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21" w:rsidRPr="00770921" w:rsidRDefault="00770921" w:rsidP="00770921">
      <w:pPr>
        <w:tabs>
          <w:tab w:val="center" w:pos="4680"/>
          <w:tab w:val="right" w:pos="9360"/>
        </w:tabs>
        <w:rPr>
          <w:rFonts w:eastAsia="Calibri"/>
          <w:szCs w:val="24"/>
          <w:lang w:val="fr-CA" w:eastAsia="en-US"/>
        </w:rPr>
      </w:pPr>
      <w:r w:rsidRPr="00770921">
        <w:rPr>
          <w:rFonts w:eastAsia="Calibri"/>
          <w:szCs w:val="24"/>
          <w:lang w:val="fr-CA" w:eastAsia="en-US"/>
        </w:rPr>
        <w:ptab w:relativeTo="margin" w:alignment="center" w:leader="none"/>
      </w:r>
      <w:r w:rsidRPr="00770921">
        <w:rPr>
          <w:rFonts w:eastAsia="Calibri"/>
          <w:szCs w:val="24"/>
          <w:lang w:val="fr-CA" w:eastAsia="en-US"/>
        </w:rPr>
        <w:t xml:space="preserve"> </w:t>
      </w:r>
      <w:r w:rsidRPr="00770921">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15pt" o:ole="">
            <v:imagedata r:id="rId8" o:title=""/>
          </v:shape>
          <o:OLEObject Type="Embed" ProgID="Presentations.Drawing.13" ShapeID="_x0000_i1025" DrawAspect="Content" ObjectID="_1709896024" r:id="rId9"/>
        </w:object>
      </w:r>
      <w:r w:rsidRPr="00770921">
        <w:rPr>
          <w:rFonts w:eastAsia="Calibri"/>
          <w:szCs w:val="24"/>
          <w:lang w:val="fr-CA" w:eastAsia="en-US"/>
        </w:rPr>
        <w:t xml:space="preserve"> </w:t>
      </w:r>
      <w:r w:rsidRPr="00770921">
        <w:rPr>
          <w:rFonts w:eastAsia="Calibri"/>
          <w:szCs w:val="24"/>
          <w:lang w:val="fr-CA" w:eastAsia="en-US"/>
        </w:rPr>
        <w:ptab w:relativeTo="margin" w:alignment="right" w:leader="none"/>
      </w:r>
    </w:p>
    <w:p w:rsidR="00770921" w:rsidRPr="00770921" w:rsidRDefault="00770921" w:rsidP="00770921">
      <w:pPr>
        <w:tabs>
          <w:tab w:val="center" w:pos="4680"/>
          <w:tab w:val="right" w:pos="9360"/>
        </w:tabs>
        <w:rPr>
          <w:rFonts w:eastAsia="Calibri"/>
          <w:szCs w:val="24"/>
          <w:lang w:val="fr-CA" w:eastAsia="en-US"/>
        </w:rPr>
      </w:pPr>
    </w:p>
    <w:p w:rsidR="00770921" w:rsidRPr="00770921" w:rsidRDefault="00770921" w:rsidP="00770921">
      <w:pPr>
        <w:jc w:val="center"/>
        <w:rPr>
          <w:rFonts w:eastAsia="Calibri"/>
          <w:b/>
          <w:szCs w:val="24"/>
          <w:lang w:val="fr-CA" w:eastAsia="en-US"/>
        </w:rPr>
      </w:pPr>
      <w:r w:rsidRPr="00770921">
        <w:rPr>
          <w:rFonts w:eastAsia="Calibri"/>
          <w:b/>
          <w:szCs w:val="24"/>
          <w:lang w:val="fr-CA" w:eastAsia="en-US"/>
        </w:rPr>
        <w:t>COUR SUPRÊME DU CANADA</w:t>
      </w:r>
    </w:p>
    <w:p w:rsidR="00770921" w:rsidRPr="00770921" w:rsidRDefault="00770921" w:rsidP="00770921">
      <w:pPr>
        <w:rPr>
          <w:rFonts w:eastAsia="Calibr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770921" w:rsidRPr="00770921" w:rsidTr="00B2492D">
        <w:trPr>
          <w:cantSplit/>
        </w:trPr>
        <w:tc>
          <w:tcPr>
            <w:tcW w:w="5940" w:type="dxa"/>
          </w:tcPr>
          <w:p w:rsidR="00770921" w:rsidRPr="00770921" w:rsidRDefault="00770921" w:rsidP="00770921">
            <w:pPr>
              <w:rPr>
                <w:rFonts w:eastAsia="Calibri"/>
                <w:szCs w:val="24"/>
                <w:lang w:val="fr-CA" w:eastAsia="en-US"/>
              </w:rPr>
            </w:pPr>
            <w:r w:rsidRPr="00770921">
              <w:rPr>
                <w:rFonts w:eastAsia="Calibri"/>
                <w:b/>
                <w:smallCaps/>
                <w:szCs w:val="24"/>
                <w:lang w:val="fr-CA" w:eastAsia="en-US"/>
              </w:rPr>
              <w:t>Référence :</w:t>
            </w:r>
            <w:r w:rsidRPr="00770921">
              <w:rPr>
                <w:rFonts w:eastAsia="Calibri"/>
                <w:szCs w:val="24"/>
                <w:lang w:val="fr-CA" w:eastAsia="en-US"/>
              </w:rPr>
              <w:t xml:space="preserve"> Bell Canada </w:t>
            </w:r>
            <w:r w:rsidRPr="00770921">
              <w:rPr>
                <w:rFonts w:eastAsia="Calibri"/>
                <w:i/>
                <w:szCs w:val="24"/>
                <w:lang w:val="fr-CA" w:eastAsia="en-US"/>
              </w:rPr>
              <w:t>c.</w:t>
            </w:r>
            <w:r w:rsidRPr="00770921">
              <w:rPr>
                <w:rFonts w:eastAsia="Calibri"/>
                <w:szCs w:val="24"/>
                <w:lang w:val="fr-CA" w:eastAsia="en-US"/>
              </w:rPr>
              <w:t xml:space="preserve"> Canada (Procureur général),</w:t>
            </w:r>
          </w:p>
          <w:p w:rsidR="00770921" w:rsidRPr="00770921" w:rsidRDefault="00770921" w:rsidP="00770921">
            <w:pPr>
              <w:rPr>
                <w:rFonts w:eastAsia="Calibri"/>
                <w:szCs w:val="24"/>
                <w:lang w:val="fr-CA" w:eastAsia="en-US"/>
              </w:rPr>
            </w:pPr>
            <w:r w:rsidRPr="00770921">
              <w:rPr>
                <w:rFonts w:eastAsia="Calibri"/>
                <w:szCs w:val="24"/>
                <w:lang w:val="fr-CA" w:eastAsia="en-US"/>
              </w:rPr>
              <w:t>2019 CSC 66, [2019] 4 R.C.S. 845</w:t>
            </w:r>
          </w:p>
        </w:tc>
        <w:tc>
          <w:tcPr>
            <w:tcW w:w="3636" w:type="dxa"/>
          </w:tcPr>
          <w:p w:rsidR="00770921" w:rsidRPr="00770921" w:rsidRDefault="00770921" w:rsidP="00770921">
            <w:pPr>
              <w:rPr>
                <w:rFonts w:eastAsia="Calibri"/>
                <w:szCs w:val="24"/>
                <w:lang w:val="fr-CA" w:eastAsia="en-US"/>
              </w:rPr>
            </w:pPr>
            <w:r w:rsidRPr="00770921">
              <w:rPr>
                <w:rFonts w:eastAsia="Calibri"/>
                <w:b/>
                <w:smallCaps/>
                <w:szCs w:val="24"/>
                <w:lang w:val="fr-CA" w:eastAsia="en-US"/>
              </w:rPr>
              <w:t>Appels entendus :</w:t>
            </w:r>
            <w:r w:rsidRPr="00770921">
              <w:rPr>
                <w:rFonts w:eastAsia="Calibri"/>
                <w:szCs w:val="24"/>
                <w:lang w:val="fr-CA" w:eastAsia="en-US"/>
              </w:rPr>
              <w:t xml:space="preserve"> 4, 5, 6 décembre 2018</w:t>
            </w:r>
          </w:p>
          <w:p w:rsidR="00770921" w:rsidRPr="00770921" w:rsidRDefault="00770921" w:rsidP="00770921">
            <w:pPr>
              <w:rPr>
                <w:rFonts w:eastAsia="Calibri"/>
                <w:szCs w:val="24"/>
                <w:lang w:val="fr-CA" w:eastAsia="en-US"/>
              </w:rPr>
            </w:pPr>
            <w:r w:rsidRPr="00770921">
              <w:rPr>
                <w:rFonts w:eastAsia="Calibri"/>
                <w:b/>
                <w:smallCaps/>
                <w:szCs w:val="24"/>
                <w:lang w:val="fr-CA" w:eastAsia="en-US"/>
              </w:rPr>
              <w:t xml:space="preserve">Jugement rendu : </w:t>
            </w:r>
            <w:r w:rsidRPr="00770921">
              <w:rPr>
                <w:rFonts w:eastAsia="Calibri"/>
                <w:szCs w:val="24"/>
                <w:lang w:val="fr-CA" w:eastAsia="en-US"/>
              </w:rPr>
              <w:t>19 décembre 2019</w:t>
            </w:r>
          </w:p>
          <w:p w:rsidR="00770921" w:rsidRPr="00770921" w:rsidRDefault="00770921" w:rsidP="00770921">
            <w:pPr>
              <w:rPr>
                <w:rFonts w:eastAsia="Calibri"/>
                <w:szCs w:val="24"/>
                <w:lang w:val="fr-CA" w:eastAsia="en-US"/>
              </w:rPr>
            </w:pPr>
            <w:r w:rsidRPr="00770921">
              <w:rPr>
                <w:rFonts w:eastAsia="Calibri"/>
                <w:b/>
                <w:smallCaps/>
                <w:szCs w:val="24"/>
                <w:lang w:val="fr-CA" w:eastAsia="en-US"/>
              </w:rPr>
              <w:t>Dossiers :</w:t>
            </w:r>
            <w:r w:rsidRPr="00770921">
              <w:rPr>
                <w:rFonts w:eastAsia="Calibri"/>
                <w:szCs w:val="24"/>
                <w:lang w:val="fr-CA" w:eastAsia="en-US"/>
              </w:rPr>
              <w:t xml:space="preserve"> 37896, 37897</w:t>
            </w:r>
          </w:p>
        </w:tc>
      </w:tr>
    </w:tbl>
    <w:p w:rsidR="00770921" w:rsidRPr="00770921" w:rsidRDefault="00770921" w:rsidP="00770921">
      <w:pPr>
        <w:rPr>
          <w:rFonts w:eastAsia="Calibri"/>
          <w:szCs w:val="24"/>
          <w:lang w:val="fr-CA" w:eastAsia="en-US"/>
        </w:rPr>
      </w:pPr>
    </w:p>
    <w:p w:rsidR="00770921" w:rsidRPr="00770921" w:rsidRDefault="00770921" w:rsidP="00770921">
      <w:pPr>
        <w:rPr>
          <w:rFonts w:eastAsia="Calibri"/>
          <w:b/>
          <w:smallCaps/>
          <w:szCs w:val="24"/>
          <w:lang w:val="fr-CA" w:eastAsia="en-US"/>
        </w:rPr>
      </w:pPr>
      <w:r w:rsidRPr="00770921">
        <w:rPr>
          <w:rFonts w:eastAsia="Calibri"/>
          <w:b/>
          <w:smallCaps/>
          <w:szCs w:val="24"/>
          <w:lang w:val="fr-CA" w:eastAsia="en-US"/>
        </w:rPr>
        <w:t>Entre :</w:t>
      </w:r>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b/>
          <w:szCs w:val="24"/>
          <w:lang w:val="fr-CA" w:eastAsia="en-US"/>
        </w:rPr>
      </w:pPr>
      <w:r w:rsidRPr="00770921">
        <w:rPr>
          <w:rFonts w:eastAsia="Calibri"/>
          <w:b/>
          <w:szCs w:val="24"/>
          <w:lang w:val="fr-CA" w:eastAsia="en-US"/>
        </w:rPr>
        <w:t xml:space="preserve">Bell Canada et Bell Média </w:t>
      </w:r>
      <w:proofErr w:type="spellStart"/>
      <w:r w:rsidRPr="00770921">
        <w:rPr>
          <w:rFonts w:eastAsia="Calibri"/>
          <w:b/>
          <w:szCs w:val="24"/>
          <w:lang w:val="fr-CA" w:eastAsia="en-US"/>
        </w:rPr>
        <w:t>inc.</w:t>
      </w:r>
      <w:proofErr w:type="spellEnd"/>
    </w:p>
    <w:p w:rsidR="00770921" w:rsidRPr="00770921" w:rsidRDefault="00770921" w:rsidP="00770921">
      <w:pPr>
        <w:jc w:val="center"/>
        <w:rPr>
          <w:rFonts w:eastAsia="Calibri"/>
          <w:szCs w:val="24"/>
          <w:lang w:val="fr-CA" w:eastAsia="en-US"/>
        </w:rPr>
      </w:pPr>
      <w:r w:rsidRPr="00770921">
        <w:rPr>
          <w:rFonts w:eastAsia="Calibri"/>
          <w:szCs w:val="24"/>
          <w:lang w:val="fr-CA" w:eastAsia="en-US"/>
        </w:rPr>
        <w:t>Appelantes</w:t>
      </w:r>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szCs w:val="24"/>
          <w:lang w:val="fr-CA" w:eastAsia="en-US"/>
        </w:rPr>
      </w:pPr>
      <w:proofErr w:type="gramStart"/>
      <w:r w:rsidRPr="00770921">
        <w:rPr>
          <w:rFonts w:eastAsia="Calibri"/>
          <w:szCs w:val="24"/>
          <w:lang w:val="fr-CA" w:eastAsia="en-US"/>
        </w:rPr>
        <w:t>et</w:t>
      </w:r>
      <w:proofErr w:type="gramEnd"/>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b/>
          <w:szCs w:val="24"/>
          <w:lang w:val="fr-CA" w:eastAsia="en-US"/>
        </w:rPr>
      </w:pPr>
      <w:r w:rsidRPr="00770921">
        <w:rPr>
          <w:rFonts w:eastAsia="Calibri"/>
          <w:b/>
          <w:szCs w:val="24"/>
          <w:lang w:val="fr-CA" w:eastAsia="en-US"/>
        </w:rPr>
        <w:t>Procureur général du Canada</w:t>
      </w:r>
    </w:p>
    <w:p w:rsidR="00770921" w:rsidRPr="00770921" w:rsidRDefault="00770921" w:rsidP="00770921">
      <w:pPr>
        <w:jc w:val="center"/>
        <w:rPr>
          <w:rFonts w:eastAsia="Calibri"/>
          <w:szCs w:val="24"/>
          <w:lang w:val="fr-CA" w:eastAsia="en-US"/>
        </w:rPr>
      </w:pPr>
      <w:r w:rsidRPr="00770921">
        <w:rPr>
          <w:rFonts w:eastAsia="Calibri"/>
          <w:szCs w:val="24"/>
          <w:lang w:val="fr-CA" w:eastAsia="en-US"/>
        </w:rPr>
        <w:t>Intimé</w:t>
      </w:r>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szCs w:val="24"/>
          <w:lang w:val="fr-CA" w:eastAsia="en-US"/>
        </w:rPr>
      </w:pPr>
      <w:r w:rsidRPr="00770921">
        <w:rPr>
          <w:rFonts w:eastAsia="Calibri"/>
          <w:szCs w:val="24"/>
          <w:lang w:val="fr-CA" w:eastAsia="en-US"/>
        </w:rPr>
        <w:t>- et -</w:t>
      </w:r>
    </w:p>
    <w:p w:rsidR="00770921" w:rsidRPr="00770921" w:rsidRDefault="00770921" w:rsidP="00770921">
      <w:pPr>
        <w:rPr>
          <w:rFonts w:eastAsia="Calibri"/>
          <w:b/>
          <w:szCs w:val="24"/>
          <w:lang w:val="fr-CA" w:eastAsia="en-US"/>
        </w:rPr>
      </w:pPr>
    </w:p>
    <w:p w:rsidR="00770921" w:rsidRPr="00770921" w:rsidRDefault="00770921" w:rsidP="00770921">
      <w:pPr>
        <w:jc w:val="center"/>
        <w:rPr>
          <w:rFonts w:eastAsia="Calibri"/>
          <w:b/>
          <w:szCs w:val="24"/>
          <w:lang w:val="fr-CA" w:eastAsia="en-US"/>
        </w:rPr>
      </w:pPr>
      <w:r w:rsidRPr="00770921">
        <w:rPr>
          <w:rFonts w:eastAsia="Calibri"/>
          <w:b/>
          <w:szCs w:val="24"/>
          <w:lang w:val="fr-CA" w:eastAsia="en-US"/>
        </w:rPr>
        <w:t xml:space="preserve">Procureur général de l’Ontario, procureure générale du Québec, procureur général de la Colombie-Britannique, procureur général de la Saskatchewan, Conseil de la radiodiffusion et des télécommunications canadiennes, </w:t>
      </w:r>
      <w:proofErr w:type="spellStart"/>
      <w:r w:rsidRPr="00770921">
        <w:rPr>
          <w:rFonts w:eastAsia="Calibri"/>
          <w:b/>
          <w:szCs w:val="24"/>
          <w:lang w:val="fr-CA" w:eastAsia="en-US"/>
        </w:rPr>
        <w:t>Telus</w:t>
      </w:r>
      <w:proofErr w:type="spellEnd"/>
      <w:r w:rsidRPr="00770921">
        <w:rPr>
          <w:rFonts w:eastAsia="Calibri"/>
          <w:b/>
          <w:szCs w:val="24"/>
          <w:lang w:val="fr-CA" w:eastAsia="en-US"/>
        </w:rPr>
        <w:t xml:space="preserve"> Communications Inc., Centre ontarien de défense des droits des locataires - Programme d’avocats de service en droit du logement, Commission des valeurs mobilières de l’Ontario, British Columbia Securities Commission, Alberta Securities Commission, </w:t>
      </w:r>
      <w:proofErr w:type="spellStart"/>
      <w:r w:rsidRPr="00770921">
        <w:rPr>
          <w:rFonts w:eastAsia="Calibri"/>
          <w:b/>
          <w:szCs w:val="24"/>
          <w:lang w:val="fr-CA" w:eastAsia="en-US"/>
        </w:rPr>
        <w:t>Ecojustice</w:t>
      </w:r>
      <w:proofErr w:type="spellEnd"/>
      <w:r w:rsidRPr="00770921">
        <w:rPr>
          <w:rFonts w:eastAsia="Calibri"/>
          <w:b/>
          <w:szCs w:val="24"/>
          <w:lang w:val="fr-CA" w:eastAsia="en-US"/>
        </w:rPr>
        <w:t xml:space="preserve"> Canada Society, Tribunal d’appel de la sécurité professionnelle et de l’assurance contre les accidents du travail (Ontario), </w:t>
      </w:r>
      <w:proofErr w:type="spellStart"/>
      <w:r w:rsidRPr="00770921">
        <w:rPr>
          <w:rFonts w:eastAsia="Calibri"/>
          <w:b/>
          <w:szCs w:val="24"/>
          <w:lang w:val="fr-CA" w:eastAsia="en-US"/>
        </w:rPr>
        <w:t>Workers</w:t>
      </w:r>
      <w:proofErr w:type="spellEnd"/>
      <w:r w:rsidRPr="00770921">
        <w:rPr>
          <w:rFonts w:eastAsia="Calibri"/>
          <w:b/>
          <w:szCs w:val="24"/>
          <w:lang w:val="fr-CA" w:eastAsia="en-US"/>
        </w:rPr>
        <w:t xml:space="preserve">’ Compensation </w:t>
      </w:r>
      <w:proofErr w:type="spellStart"/>
      <w:r w:rsidRPr="00770921">
        <w:rPr>
          <w:rFonts w:eastAsia="Calibri"/>
          <w:b/>
          <w:szCs w:val="24"/>
          <w:lang w:val="fr-CA" w:eastAsia="en-US"/>
        </w:rPr>
        <w:t>Appeals</w:t>
      </w:r>
      <w:proofErr w:type="spellEnd"/>
      <w:r w:rsidRPr="00770921">
        <w:rPr>
          <w:rFonts w:eastAsia="Calibri"/>
          <w:b/>
          <w:szCs w:val="24"/>
          <w:lang w:val="fr-CA" w:eastAsia="en-US"/>
        </w:rPr>
        <w:t xml:space="preserve"> Tribunal (Territoires du Nord-Ouest et Nunavut), Tribunal d’appel des décisions de la Commission des accidents du travail de la Nouvelle-Écosse, </w:t>
      </w:r>
      <w:proofErr w:type="spellStart"/>
      <w:r w:rsidRPr="00770921">
        <w:rPr>
          <w:rFonts w:eastAsia="Calibri"/>
          <w:b/>
          <w:szCs w:val="24"/>
          <w:lang w:val="fr-CA" w:eastAsia="en-US"/>
        </w:rPr>
        <w:t>Appeals</w:t>
      </w:r>
      <w:proofErr w:type="spellEnd"/>
      <w:r w:rsidRPr="00770921">
        <w:rPr>
          <w:rFonts w:eastAsia="Calibri"/>
          <w:b/>
          <w:szCs w:val="24"/>
          <w:lang w:val="fr-CA" w:eastAsia="en-US"/>
        </w:rPr>
        <w:t xml:space="preserve"> Commission for Alberta </w:t>
      </w:r>
      <w:proofErr w:type="spellStart"/>
      <w:r w:rsidRPr="00770921">
        <w:rPr>
          <w:rFonts w:eastAsia="Calibri"/>
          <w:b/>
          <w:szCs w:val="24"/>
          <w:lang w:val="fr-CA" w:eastAsia="en-US"/>
        </w:rPr>
        <w:t>Workers</w:t>
      </w:r>
      <w:proofErr w:type="spellEnd"/>
      <w:r w:rsidRPr="00770921">
        <w:rPr>
          <w:rFonts w:eastAsia="Calibri"/>
          <w:b/>
          <w:szCs w:val="24"/>
          <w:lang w:val="fr-CA" w:eastAsia="en-US"/>
        </w:rPr>
        <w:t xml:space="preserve">’ Compensation, Tribunal d’appel des accidents au travail (Nouveau-Brunswick), British Columbia International Commercial Arbitration Centre </w:t>
      </w:r>
      <w:proofErr w:type="spellStart"/>
      <w:r w:rsidRPr="00770921">
        <w:rPr>
          <w:rFonts w:eastAsia="Calibri"/>
          <w:b/>
          <w:szCs w:val="24"/>
          <w:lang w:val="fr-CA" w:eastAsia="en-US"/>
        </w:rPr>
        <w:t>Foundation</w:t>
      </w:r>
      <w:proofErr w:type="spellEnd"/>
      <w:r w:rsidRPr="00770921">
        <w:rPr>
          <w:rFonts w:eastAsia="Calibri"/>
          <w:b/>
          <w:szCs w:val="24"/>
          <w:lang w:val="fr-CA" w:eastAsia="en-US"/>
        </w:rPr>
        <w:t xml:space="preserve">, Conseil des tribunaux administratifs canadiens, National </w:t>
      </w:r>
      <w:proofErr w:type="spellStart"/>
      <w:r w:rsidRPr="00770921">
        <w:rPr>
          <w:rFonts w:eastAsia="Calibri"/>
          <w:b/>
          <w:szCs w:val="24"/>
          <w:lang w:val="fr-CA" w:eastAsia="en-US"/>
        </w:rPr>
        <w:t>Academy</w:t>
      </w:r>
      <w:proofErr w:type="spellEnd"/>
      <w:r w:rsidRPr="00770921">
        <w:rPr>
          <w:rFonts w:eastAsia="Calibri"/>
          <w:b/>
          <w:szCs w:val="24"/>
          <w:lang w:val="fr-CA" w:eastAsia="en-US"/>
        </w:rPr>
        <w:t xml:space="preserve"> of </w:t>
      </w:r>
      <w:proofErr w:type="spellStart"/>
      <w:r w:rsidRPr="00770921">
        <w:rPr>
          <w:rFonts w:eastAsia="Calibri"/>
          <w:b/>
          <w:szCs w:val="24"/>
          <w:lang w:val="fr-CA" w:eastAsia="en-US"/>
        </w:rPr>
        <w:t>Arbitrators</w:t>
      </w:r>
      <w:proofErr w:type="spellEnd"/>
      <w:r w:rsidRPr="00770921">
        <w:rPr>
          <w:rFonts w:eastAsia="Calibri"/>
          <w:b/>
          <w:szCs w:val="24"/>
          <w:lang w:val="fr-CA" w:eastAsia="en-US"/>
        </w:rPr>
        <w:t xml:space="preserve">, Ontario Labour-Management </w:t>
      </w:r>
      <w:proofErr w:type="spellStart"/>
      <w:r w:rsidRPr="00770921">
        <w:rPr>
          <w:rFonts w:eastAsia="Calibri"/>
          <w:b/>
          <w:szCs w:val="24"/>
          <w:lang w:val="fr-CA" w:eastAsia="en-US"/>
        </w:rPr>
        <w:t>Arbitrators</w:t>
      </w:r>
      <w:proofErr w:type="spellEnd"/>
      <w:r w:rsidRPr="00770921">
        <w:rPr>
          <w:rFonts w:eastAsia="Calibri"/>
          <w:b/>
          <w:szCs w:val="24"/>
          <w:lang w:val="fr-CA" w:eastAsia="en-US"/>
        </w:rPr>
        <w:t xml:space="preserve">’ Association, Conférence des arbitres du Québec, Congrès du travail du Canada, Association nationale des organismes de réglementation de la pharmacie, </w:t>
      </w:r>
      <w:proofErr w:type="spellStart"/>
      <w:r w:rsidRPr="00770921">
        <w:rPr>
          <w:rFonts w:eastAsia="Calibri"/>
          <w:b/>
          <w:szCs w:val="24"/>
          <w:lang w:val="fr-CA" w:eastAsia="en-US"/>
        </w:rPr>
        <w:t>Queen’s</w:t>
      </w:r>
      <w:proofErr w:type="spellEnd"/>
      <w:r w:rsidRPr="00770921">
        <w:rPr>
          <w:rFonts w:eastAsia="Calibri"/>
          <w:b/>
          <w:szCs w:val="24"/>
          <w:lang w:val="fr-CA" w:eastAsia="en-US"/>
        </w:rPr>
        <w:t xml:space="preserve"> Prison Law </w:t>
      </w:r>
      <w:proofErr w:type="spellStart"/>
      <w:r w:rsidRPr="00770921">
        <w:rPr>
          <w:rFonts w:eastAsia="Calibri"/>
          <w:b/>
          <w:szCs w:val="24"/>
          <w:lang w:val="fr-CA" w:eastAsia="en-US"/>
        </w:rPr>
        <w:t>Clinic</w:t>
      </w:r>
      <w:proofErr w:type="spellEnd"/>
      <w:r w:rsidRPr="00770921">
        <w:rPr>
          <w:rFonts w:eastAsia="Calibri"/>
          <w:b/>
          <w:szCs w:val="24"/>
          <w:lang w:val="fr-CA" w:eastAsia="en-US"/>
        </w:rPr>
        <w:t xml:space="preserve">, </w:t>
      </w:r>
      <w:proofErr w:type="spellStart"/>
      <w:r w:rsidRPr="00770921">
        <w:rPr>
          <w:rFonts w:eastAsia="Calibri"/>
          <w:b/>
          <w:szCs w:val="24"/>
          <w:lang w:val="fr-CA" w:eastAsia="en-US"/>
        </w:rPr>
        <w:t>Advocates</w:t>
      </w:r>
      <w:proofErr w:type="spellEnd"/>
      <w:r w:rsidRPr="00770921">
        <w:rPr>
          <w:rFonts w:eastAsia="Calibri"/>
          <w:b/>
          <w:szCs w:val="24"/>
          <w:lang w:val="fr-CA" w:eastAsia="en-US"/>
        </w:rPr>
        <w:t xml:space="preserve"> for the </w:t>
      </w:r>
      <w:proofErr w:type="spellStart"/>
      <w:r w:rsidRPr="00770921">
        <w:rPr>
          <w:rFonts w:eastAsia="Calibri"/>
          <w:b/>
          <w:szCs w:val="24"/>
          <w:lang w:val="fr-CA" w:eastAsia="en-US"/>
        </w:rPr>
        <w:t>Rule</w:t>
      </w:r>
      <w:proofErr w:type="spellEnd"/>
      <w:r w:rsidRPr="00770921">
        <w:rPr>
          <w:rFonts w:eastAsia="Calibri"/>
          <w:b/>
          <w:szCs w:val="24"/>
          <w:lang w:val="fr-CA" w:eastAsia="en-US"/>
        </w:rPr>
        <w:t xml:space="preserve"> of Law, Cambridge Comparative Administrative Law Forum, Association canadienne des annonceurs, Alliance of Canadian </w:t>
      </w:r>
      <w:proofErr w:type="spellStart"/>
      <w:r w:rsidRPr="00770921">
        <w:rPr>
          <w:rFonts w:eastAsia="Calibri"/>
          <w:b/>
          <w:szCs w:val="24"/>
          <w:lang w:val="fr-CA" w:eastAsia="en-US"/>
        </w:rPr>
        <w:t>Cinema</w:t>
      </w:r>
      <w:proofErr w:type="spellEnd"/>
      <w:r w:rsidRPr="00770921">
        <w:rPr>
          <w:rFonts w:eastAsia="Calibri"/>
          <w:b/>
          <w:szCs w:val="24"/>
          <w:lang w:val="fr-CA" w:eastAsia="en-US"/>
        </w:rPr>
        <w:t xml:space="preserve">, </w:t>
      </w:r>
      <w:proofErr w:type="spellStart"/>
      <w:r w:rsidRPr="00770921">
        <w:rPr>
          <w:rFonts w:eastAsia="Calibri"/>
          <w:b/>
          <w:szCs w:val="24"/>
          <w:lang w:val="fr-CA" w:eastAsia="en-US"/>
        </w:rPr>
        <w:t>Television</w:t>
      </w:r>
      <w:proofErr w:type="spellEnd"/>
      <w:r w:rsidRPr="00770921">
        <w:rPr>
          <w:rFonts w:eastAsia="Calibri"/>
          <w:b/>
          <w:szCs w:val="24"/>
          <w:lang w:val="fr-CA" w:eastAsia="en-US"/>
        </w:rPr>
        <w:t xml:space="preserve"> and Radio Artists, Clinique d’intérêt public et de politique d’internet du Canada Samuelson-</w:t>
      </w:r>
      <w:proofErr w:type="spellStart"/>
      <w:r w:rsidRPr="00770921">
        <w:rPr>
          <w:rFonts w:eastAsia="Calibri"/>
          <w:b/>
          <w:szCs w:val="24"/>
          <w:lang w:val="fr-CA" w:eastAsia="en-US"/>
        </w:rPr>
        <w:t>Glushko</w:t>
      </w:r>
      <w:proofErr w:type="spellEnd"/>
      <w:r w:rsidRPr="00770921">
        <w:rPr>
          <w:rFonts w:eastAsia="Calibri"/>
          <w:b/>
          <w:szCs w:val="24"/>
          <w:lang w:val="fr-CA" w:eastAsia="en-US"/>
        </w:rPr>
        <w:t xml:space="preserve">, Association du Barreau canadien, Blue </w:t>
      </w:r>
      <w:proofErr w:type="spellStart"/>
      <w:r w:rsidRPr="00770921">
        <w:rPr>
          <w:rFonts w:eastAsia="Calibri"/>
          <w:b/>
          <w:szCs w:val="24"/>
          <w:lang w:val="fr-CA" w:eastAsia="en-US"/>
        </w:rPr>
        <w:t>Ant</w:t>
      </w:r>
      <w:proofErr w:type="spellEnd"/>
      <w:r w:rsidRPr="00770921">
        <w:rPr>
          <w:rFonts w:eastAsia="Calibri"/>
          <w:b/>
          <w:szCs w:val="24"/>
          <w:lang w:val="fr-CA" w:eastAsia="en-US"/>
        </w:rPr>
        <w:t xml:space="preserve"> Media Inc., Société Radio-Canada, DHX Media Ltd., Groupe V Média </w:t>
      </w:r>
      <w:proofErr w:type="spellStart"/>
      <w:r w:rsidRPr="00770921">
        <w:rPr>
          <w:rFonts w:eastAsia="Calibri"/>
          <w:b/>
          <w:szCs w:val="24"/>
          <w:lang w:val="fr-CA" w:eastAsia="en-US"/>
        </w:rPr>
        <w:t>inc.</w:t>
      </w:r>
      <w:proofErr w:type="spellEnd"/>
      <w:r w:rsidRPr="00770921">
        <w:rPr>
          <w:rFonts w:eastAsia="Calibri"/>
          <w:b/>
          <w:szCs w:val="24"/>
          <w:lang w:val="fr-CA" w:eastAsia="en-US"/>
        </w:rPr>
        <w:t xml:space="preserve">, Groupe de diffuseurs indépendants, </w:t>
      </w:r>
      <w:proofErr w:type="spellStart"/>
      <w:r w:rsidRPr="00770921">
        <w:rPr>
          <w:rFonts w:eastAsia="Calibri"/>
          <w:b/>
          <w:szCs w:val="24"/>
          <w:lang w:val="fr-CA" w:eastAsia="en-US"/>
        </w:rPr>
        <w:t>Aboriginal</w:t>
      </w:r>
      <w:proofErr w:type="spellEnd"/>
      <w:r w:rsidRPr="00770921">
        <w:rPr>
          <w:rFonts w:eastAsia="Calibri"/>
          <w:b/>
          <w:szCs w:val="24"/>
          <w:lang w:val="fr-CA" w:eastAsia="en-US"/>
        </w:rPr>
        <w:t xml:space="preserve"> Peoples </w:t>
      </w:r>
      <w:proofErr w:type="spellStart"/>
      <w:r w:rsidRPr="00770921">
        <w:rPr>
          <w:rFonts w:eastAsia="Calibri"/>
          <w:b/>
          <w:szCs w:val="24"/>
          <w:lang w:val="fr-CA" w:eastAsia="en-US"/>
        </w:rPr>
        <w:t>Television</w:t>
      </w:r>
      <w:proofErr w:type="spellEnd"/>
      <w:r w:rsidRPr="00770921">
        <w:rPr>
          <w:rFonts w:eastAsia="Calibri"/>
          <w:b/>
          <w:szCs w:val="24"/>
          <w:lang w:val="fr-CA" w:eastAsia="en-US"/>
        </w:rPr>
        <w:t xml:space="preserve"> Network, </w:t>
      </w:r>
      <w:proofErr w:type="spellStart"/>
      <w:r w:rsidRPr="00770921">
        <w:rPr>
          <w:rFonts w:eastAsia="Calibri"/>
          <w:b/>
          <w:szCs w:val="24"/>
          <w:lang w:val="fr-CA" w:eastAsia="en-US"/>
        </w:rPr>
        <w:t>Allarco</w:t>
      </w:r>
      <w:proofErr w:type="spellEnd"/>
      <w:r w:rsidRPr="00770921">
        <w:rPr>
          <w:rFonts w:eastAsia="Calibri"/>
          <w:b/>
          <w:szCs w:val="24"/>
          <w:lang w:val="fr-CA" w:eastAsia="en-US"/>
        </w:rPr>
        <w:t xml:space="preserve"> Entertainment Inc., BBC Kids, Channel </w:t>
      </w:r>
      <w:proofErr w:type="spellStart"/>
      <w:r w:rsidRPr="00770921">
        <w:rPr>
          <w:rFonts w:eastAsia="Calibri"/>
          <w:b/>
          <w:szCs w:val="24"/>
          <w:lang w:val="fr-CA" w:eastAsia="en-US"/>
        </w:rPr>
        <w:t>Zero</w:t>
      </w:r>
      <w:proofErr w:type="spellEnd"/>
      <w:r w:rsidRPr="00770921">
        <w:rPr>
          <w:rFonts w:eastAsia="Calibri"/>
          <w:b/>
          <w:szCs w:val="24"/>
          <w:lang w:val="fr-CA" w:eastAsia="en-US"/>
        </w:rPr>
        <w:t xml:space="preserve">, </w:t>
      </w:r>
      <w:proofErr w:type="spellStart"/>
      <w:r w:rsidRPr="00770921">
        <w:rPr>
          <w:rFonts w:eastAsia="Calibri"/>
          <w:b/>
          <w:szCs w:val="24"/>
          <w:lang w:val="fr-CA" w:eastAsia="en-US"/>
        </w:rPr>
        <w:lastRenderedPageBreak/>
        <w:t>Ethnic</w:t>
      </w:r>
      <w:proofErr w:type="spellEnd"/>
      <w:r w:rsidRPr="00770921">
        <w:rPr>
          <w:rFonts w:eastAsia="Calibri"/>
          <w:b/>
          <w:szCs w:val="24"/>
          <w:lang w:val="fr-CA" w:eastAsia="en-US"/>
        </w:rPr>
        <w:t xml:space="preserve"> </w:t>
      </w:r>
      <w:proofErr w:type="spellStart"/>
      <w:r w:rsidRPr="00770921">
        <w:rPr>
          <w:rFonts w:eastAsia="Calibri"/>
          <w:b/>
          <w:szCs w:val="24"/>
          <w:lang w:val="fr-CA" w:eastAsia="en-US"/>
        </w:rPr>
        <w:t>Channels</w:t>
      </w:r>
      <w:proofErr w:type="spellEnd"/>
      <w:r w:rsidRPr="00770921">
        <w:rPr>
          <w:rFonts w:eastAsia="Calibri"/>
          <w:b/>
          <w:szCs w:val="24"/>
          <w:lang w:val="fr-CA" w:eastAsia="en-US"/>
        </w:rPr>
        <w:t xml:space="preserve"> Group Ltd., Hollywood Suite, </w:t>
      </w:r>
      <w:proofErr w:type="spellStart"/>
      <w:r w:rsidRPr="00770921">
        <w:rPr>
          <w:rFonts w:eastAsia="Calibri"/>
          <w:b/>
          <w:szCs w:val="24"/>
          <w:lang w:val="fr-CA" w:eastAsia="en-US"/>
        </w:rPr>
        <w:t>OUTtv</w:t>
      </w:r>
      <w:proofErr w:type="spellEnd"/>
      <w:r w:rsidRPr="00770921">
        <w:rPr>
          <w:rFonts w:eastAsia="Calibri"/>
          <w:b/>
          <w:szCs w:val="24"/>
          <w:lang w:val="fr-CA" w:eastAsia="en-US"/>
        </w:rPr>
        <w:t xml:space="preserve"> Network Inc., Groupe </w:t>
      </w:r>
      <w:proofErr w:type="spellStart"/>
      <w:r w:rsidRPr="00770921">
        <w:rPr>
          <w:rFonts w:eastAsia="Calibri"/>
          <w:b/>
          <w:szCs w:val="24"/>
          <w:lang w:val="fr-CA" w:eastAsia="en-US"/>
        </w:rPr>
        <w:t>Stingray</w:t>
      </w:r>
      <w:proofErr w:type="spellEnd"/>
      <w:r w:rsidRPr="00770921">
        <w:rPr>
          <w:rFonts w:eastAsia="Calibri"/>
          <w:b/>
          <w:szCs w:val="24"/>
          <w:lang w:val="fr-CA" w:eastAsia="en-US"/>
        </w:rPr>
        <w:t xml:space="preserve"> Digital </w:t>
      </w:r>
      <w:proofErr w:type="spellStart"/>
      <w:r w:rsidRPr="00770921">
        <w:rPr>
          <w:rFonts w:eastAsia="Calibri"/>
          <w:b/>
          <w:szCs w:val="24"/>
          <w:lang w:val="fr-CA" w:eastAsia="en-US"/>
        </w:rPr>
        <w:t>inc.</w:t>
      </w:r>
      <w:proofErr w:type="spellEnd"/>
      <w:r w:rsidRPr="00770921">
        <w:rPr>
          <w:rFonts w:eastAsia="Calibri"/>
          <w:b/>
          <w:szCs w:val="24"/>
          <w:lang w:val="fr-CA" w:eastAsia="en-US"/>
        </w:rPr>
        <w:t xml:space="preserve">, TV5 Québec Canada, </w:t>
      </w:r>
      <w:proofErr w:type="spellStart"/>
      <w:r w:rsidRPr="00770921">
        <w:rPr>
          <w:rFonts w:eastAsia="Calibri"/>
          <w:b/>
          <w:szCs w:val="24"/>
          <w:lang w:val="fr-CA" w:eastAsia="en-US"/>
        </w:rPr>
        <w:t>ZoomerMedia</w:t>
      </w:r>
      <w:proofErr w:type="spellEnd"/>
      <w:r w:rsidRPr="00770921">
        <w:rPr>
          <w:rFonts w:eastAsia="Calibri"/>
          <w:b/>
          <w:szCs w:val="24"/>
          <w:lang w:val="fr-CA" w:eastAsia="en-US"/>
        </w:rPr>
        <w:t xml:space="preserve"> Ltd., Réseau de stations </w:t>
      </w:r>
      <w:proofErr w:type="spellStart"/>
      <w:r w:rsidRPr="00770921">
        <w:rPr>
          <w:rFonts w:eastAsia="Calibri"/>
          <w:b/>
          <w:szCs w:val="24"/>
          <w:lang w:val="fr-CA" w:eastAsia="en-US"/>
        </w:rPr>
        <w:t>météoroligiques</w:t>
      </w:r>
      <w:proofErr w:type="spellEnd"/>
      <w:r w:rsidRPr="00770921">
        <w:rPr>
          <w:rFonts w:eastAsia="Calibri"/>
          <w:b/>
          <w:szCs w:val="24"/>
          <w:lang w:val="fr-CA" w:eastAsia="en-US"/>
        </w:rPr>
        <w:t xml:space="preserve"> </w:t>
      </w:r>
      <w:proofErr w:type="spellStart"/>
      <w:r w:rsidRPr="00770921">
        <w:rPr>
          <w:rFonts w:eastAsia="Calibri"/>
          <w:b/>
          <w:szCs w:val="24"/>
          <w:lang w:val="fr-CA" w:eastAsia="en-US"/>
        </w:rPr>
        <w:t>Pelmorex</w:t>
      </w:r>
      <w:proofErr w:type="spellEnd"/>
      <w:r w:rsidRPr="00770921">
        <w:rPr>
          <w:rFonts w:eastAsia="Calibri"/>
          <w:b/>
          <w:szCs w:val="24"/>
          <w:lang w:val="fr-CA" w:eastAsia="en-US"/>
        </w:rPr>
        <w:t xml:space="preserve"> (Télévision) </w:t>
      </w:r>
      <w:proofErr w:type="spellStart"/>
      <w:r w:rsidRPr="00770921">
        <w:rPr>
          <w:rFonts w:eastAsia="Calibri"/>
          <w:b/>
          <w:szCs w:val="24"/>
          <w:lang w:val="fr-CA" w:eastAsia="en-US"/>
        </w:rPr>
        <w:t>inc.</w:t>
      </w:r>
      <w:proofErr w:type="spellEnd"/>
      <w:r w:rsidRPr="00770921">
        <w:rPr>
          <w:rFonts w:eastAsia="Calibri"/>
          <w:b/>
          <w:szCs w:val="24"/>
          <w:lang w:val="fr-CA" w:eastAsia="en-US"/>
        </w:rPr>
        <w:t xml:space="preserve"> et Société de soutien à l’enfance et à la famille des Premières Nations du Canada</w:t>
      </w:r>
    </w:p>
    <w:p w:rsidR="00770921" w:rsidRPr="00770921" w:rsidRDefault="00770921" w:rsidP="00770921">
      <w:pPr>
        <w:jc w:val="center"/>
        <w:rPr>
          <w:rFonts w:eastAsia="Calibri"/>
          <w:szCs w:val="24"/>
          <w:lang w:val="fr-CA" w:eastAsia="en-US"/>
        </w:rPr>
      </w:pPr>
      <w:r w:rsidRPr="00770921">
        <w:rPr>
          <w:rFonts w:eastAsia="Calibri"/>
          <w:szCs w:val="24"/>
          <w:lang w:val="fr-CA" w:eastAsia="en-US"/>
        </w:rPr>
        <w:t>Intervenants</w:t>
      </w:r>
      <w:r w:rsidRPr="00770921">
        <w:rPr>
          <w:rFonts w:eastAsia="Calibri"/>
          <w:szCs w:val="24"/>
          <w:lang w:val="fr-CA" w:eastAsia="en-US"/>
        </w:rPr>
        <w:br/>
      </w:r>
    </w:p>
    <w:p w:rsidR="00770921" w:rsidRPr="00770921" w:rsidRDefault="00770921" w:rsidP="00770921">
      <w:pPr>
        <w:rPr>
          <w:rFonts w:eastAsia="Calibri"/>
          <w:b/>
          <w:smallCaps/>
          <w:szCs w:val="24"/>
          <w:lang w:val="fr-CA" w:eastAsia="en-US"/>
        </w:rPr>
      </w:pPr>
      <w:r w:rsidRPr="00770921">
        <w:rPr>
          <w:rFonts w:eastAsia="Calibri"/>
          <w:b/>
          <w:smallCaps/>
          <w:szCs w:val="24"/>
          <w:lang w:val="fr-CA" w:eastAsia="en-US"/>
        </w:rPr>
        <w:t>Et entre :</w:t>
      </w:r>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b/>
          <w:szCs w:val="24"/>
          <w:lang w:val="fr-CA" w:eastAsia="en-US"/>
        </w:rPr>
      </w:pPr>
      <w:r w:rsidRPr="00770921">
        <w:rPr>
          <w:rFonts w:eastAsia="Calibri"/>
          <w:b/>
          <w:szCs w:val="24"/>
          <w:lang w:val="fr-CA" w:eastAsia="en-US"/>
        </w:rPr>
        <w:t>National Football League, NFL International LLC et NFL Productions LLC</w:t>
      </w:r>
    </w:p>
    <w:p w:rsidR="00770921" w:rsidRPr="00770921" w:rsidRDefault="00770921" w:rsidP="00770921">
      <w:pPr>
        <w:jc w:val="center"/>
        <w:rPr>
          <w:rFonts w:eastAsia="Calibri"/>
          <w:szCs w:val="24"/>
          <w:lang w:val="fr-CA" w:eastAsia="en-US"/>
        </w:rPr>
      </w:pPr>
      <w:r w:rsidRPr="00770921">
        <w:rPr>
          <w:rFonts w:eastAsia="Calibri"/>
          <w:szCs w:val="24"/>
          <w:lang w:val="fr-CA" w:eastAsia="en-US"/>
        </w:rPr>
        <w:t>Appelantes</w:t>
      </w:r>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szCs w:val="24"/>
          <w:lang w:val="fr-CA" w:eastAsia="en-US"/>
        </w:rPr>
      </w:pPr>
      <w:proofErr w:type="gramStart"/>
      <w:r w:rsidRPr="00770921">
        <w:rPr>
          <w:rFonts w:eastAsia="Calibri"/>
          <w:szCs w:val="24"/>
          <w:lang w:val="fr-CA" w:eastAsia="en-US"/>
        </w:rPr>
        <w:t>et</w:t>
      </w:r>
      <w:proofErr w:type="gramEnd"/>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b/>
          <w:szCs w:val="24"/>
          <w:lang w:val="fr-CA" w:eastAsia="en-US"/>
        </w:rPr>
      </w:pPr>
      <w:r w:rsidRPr="00770921">
        <w:rPr>
          <w:rFonts w:eastAsia="Calibri"/>
          <w:b/>
          <w:szCs w:val="24"/>
          <w:lang w:val="fr-CA" w:eastAsia="en-US"/>
        </w:rPr>
        <w:t>Procureur général du Canada</w:t>
      </w:r>
    </w:p>
    <w:p w:rsidR="00770921" w:rsidRPr="00770921" w:rsidRDefault="00770921" w:rsidP="00770921">
      <w:pPr>
        <w:jc w:val="center"/>
        <w:rPr>
          <w:rFonts w:eastAsia="Calibri"/>
          <w:szCs w:val="24"/>
          <w:lang w:val="fr-CA" w:eastAsia="en-US"/>
        </w:rPr>
      </w:pPr>
      <w:r w:rsidRPr="00770921">
        <w:rPr>
          <w:rFonts w:eastAsia="Calibri"/>
          <w:szCs w:val="24"/>
          <w:lang w:val="fr-CA" w:eastAsia="en-US"/>
        </w:rPr>
        <w:t>Intimé</w:t>
      </w:r>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szCs w:val="24"/>
          <w:lang w:val="fr-CA" w:eastAsia="en-US"/>
        </w:rPr>
      </w:pPr>
      <w:r w:rsidRPr="00770921">
        <w:rPr>
          <w:rFonts w:eastAsia="Calibri"/>
          <w:szCs w:val="24"/>
          <w:lang w:val="fr-CA" w:eastAsia="en-US"/>
        </w:rPr>
        <w:t>- et -</w:t>
      </w:r>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b/>
          <w:szCs w:val="24"/>
          <w:lang w:val="fr-CA" w:eastAsia="en-US"/>
        </w:rPr>
      </w:pPr>
      <w:r w:rsidRPr="00770921">
        <w:rPr>
          <w:rFonts w:eastAsia="Calibri"/>
          <w:b/>
          <w:szCs w:val="24"/>
          <w:lang w:val="fr-CA" w:eastAsia="en-US"/>
        </w:rPr>
        <w:t xml:space="preserve">Procureur général de l’Ontario, procureure générale du Québec, procureur général de la Colombie-Britannique, procureur général de la Saskatchewan, Conseil de la radiodiffusion et des télécommunications canadiennes, </w:t>
      </w:r>
      <w:proofErr w:type="spellStart"/>
      <w:r w:rsidRPr="00770921">
        <w:rPr>
          <w:rFonts w:eastAsia="Calibri"/>
          <w:b/>
          <w:szCs w:val="24"/>
          <w:lang w:val="fr-CA" w:eastAsia="en-US"/>
        </w:rPr>
        <w:t>Telus</w:t>
      </w:r>
      <w:proofErr w:type="spellEnd"/>
      <w:r w:rsidRPr="00770921">
        <w:rPr>
          <w:rFonts w:eastAsia="Calibri"/>
          <w:b/>
          <w:szCs w:val="24"/>
          <w:lang w:val="fr-CA" w:eastAsia="en-US"/>
        </w:rPr>
        <w:t xml:space="preserve"> Communications Inc., Centre ontarien de défense des droits des locataires - Programme d’avocats de service en droit du logement, Commission des valeurs mobilières de l’Ontario, British Columbia Securities Commission, Alberta Securities Commission, </w:t>
      </w:r>
      <w:proofErr w:type="spellStart"/>
      <w:r w:rsidRPr="00770921">
        <w:rPr>
          <w:rFonts w:eastAsia="Calibri"/>
          <w:b/>
          <w:szCs w:val="24"/>
          <w:lang w:val="fr-CA" w:eastAsia="en-US"/>
        </w:rPr>
        <w:t>Ecojustice</w:t>
      </w:r>
      <w:proofErr w:type="spellEnd"/>
      <w:r w:rsidRPr="00770921">
        <w:rPr>
          <w:rFonts w:eastAsia="Calibri"/>
          <w:b/>
          <w:szCs w:val="24"/>
          <w:lang w:val="fr-CA" w:eastAsia="en-US"/>
        </w:rPr>
        <w:t xml:space="preserve"> Canada Society, Tribunal d’appel de la sécurité professionnelle et de l’assurance contre les accidents du travail (Ontario), </w:t>
      </w:r>
      <w:proofErr w:type="spellStart"/>
      <w:r w:rsidRPr="00770921">
        <w:rPr>
          <w:rFonts w:eastAsia="Calibri"/>
          <w:b/>
          <w:szCs w:val="24"/>
          <w:lang w:val="fr-CA" w:eastAsia="en-US"/>
        </w:rPr>
        <w:t>Workers</w:t>
      </w:r>
      <w:proofErr w:type="spellEnd"/>
      <w:r w:rsidRPr="00770921">
        <w:rPr>
          <w:rFonts w:eastAsia="Calibri"/>
          <w:b/>
          <w:szCs w:val="24"/>
          <w:lang w:val="fr-CA" w:eastAsia="en-US"/>
        </w:rPr>
        <w:t xml:space="preserve">’ Compensation </w:t>
      </w:r>
      <w:proofErr w:type="spellStart"/>
      <w:r w:rsidRPr="00770921">
        <w:rPr>
          <w:rFonts w:eastAsia="Calibri"/>
          <w:b/>
          <w:szCs w:val="24"/>
          <w:lang w:val="fr-CA" w:eastAsia="en-US"/>
        </w:rPr>
        <w:t>Appeals</w:t>
      </w:r>
      <w:proofErr w:type="spellEnd"/>
      <w:r w:rsidRPr="00770921">
        <w:rPr>
          <w:rFonts w:eastAsia="Calibri"/>
          <w:b/>
          <w:szCs w:val="24"/>
          <w:lang w:val="fr-CA" w:eastAsia="en-US"/>
        </w:rPr>
        <w:t xml:space="preserve"> Tribunal (Territoires du Nord-Ouest et Nunavut), Tribunal d’appel des décisions de la Commission des accidents du travail de la Nouvelle-Écosse, </w:t>
      </w:r>
      <w:proofErr w:type="spellStart"/>
      <w:r w:rsidRPr="00770921">
        <w:rPr>
          <w:rFonts w:eastAsia="Calibri"/>
          <w:b/>
          <w:szCs w:val="24"/>
          <w:lang w:val="fr-CA" w:eastAsia="en-US"/>
        </w:rPr>
        <w:t>Appeals</w:t>
      </w:r>
      <w:proofErr w:type="spellEnd"/>
      <w:r w:rsidRPr="00770921">
        <w:rPr>
          <w:rFonts w:eastAsia="Calibri"/>
          <w:b/>
          <w:szCs w:val="24"/>
          <w:lang w:val="fr-CA" w:eastAsia="en-US"/>
        </w:rPr>
        <w:t xml:space="preserve"> Commission for Alberta </w:t>
      </w:r>
      <w:proofErr w:type="spellStart"/>
      <w:r w:rsidRPr="00770921">
        <w:rPr>
          <w:rFonts w:eastAsia="Calibri"/>
          <w:b/>
          <w:szCs w:val="24"/>
          <w:lang w:val="fr-CA" w:eastAsia="en-US"/>
        </w:rPr>
        <w:t>Workers</w:t>
      </w:r>
      <w:proofErr w:type="spellEnd"/>
      <w:r w:rsidRPr="00770921">
        <w:rPr>
          <w:rFonts w:eastAsia="Calibri"/>
          <w:b/>
          <w:szCs w:val="24"/>
          <w:lang w:val="fr-CA" w:eastAsia="en-US"/>
        </w:rPr>
        <w:t xml:space="preserve">’ Compensation, Tribunal d’appel des accidents au travail (Nouveau-Brunswick), British Columbia International Commercial Arbitration Centre </w:t>
      </w:r>
      <w:proofErr w:type="spellStart"/>
      <w:r w:rsidRPr="00770921">
        <w:rPr>
          <w:rFonts w:eastAsia="Calibri"/>
          <w:b/>
          <w:szCs w:val="24"/>
          <w:lang w:val="fr-CA" w:eastAsia="en-US"/>
        </w:rPr>
        <w:t>Foundation</w:t>
      </w:r>
      <w:proofErr w:type="spellEnd"/>
      <w:r w:rsidRPr="00770921">
        <w:rPr>
          <w:rFonts w:eastAsia="Calibri"/>
          <w:b/>
          <w:szCs w:val="24"/>
          <w:lang w:val="fr-CA" w:eastAsia="en-US"/>
        </w:rPr>
        <w:t xml:space="preserve">, Conseil des tribunaux administratifs canadiens, National </w:t>
      </w:r>
      <w:proofErr w:type="spellStart"/>
      <w:r w:rsidRPr="00770921">
        <w:rPr>
          <w:rFonts w:eastAsia="Calibri"/>
          <w:b/>
          <w:szCs w:val="24"/>
          <w:lang w:val="fr-CA" w:eastAsia="en-US"/>
        </w:rPr>
        <w:t>Academy</w:t>
      </w:r>
      <w:proofErr w:type="spellEnd"/>
      <w:r w:rsidRPr="00770921">
        <w:rPr>
          <w:rFonts w:eastAsia="Calibri"/>
          <w:b/>
          <w:szCs w:val="24"/>
          <w:lang w:val="fr-CA" w:eastAsia="en-US"/>
        </w:rPr>
        <w:t xml:space="preserve"> of </w:t>
      </w:r>
      <w:proofErr w:type="spellStart"/>
      <w:r w:rsidRPr="00770921">
        <w:rPr>
          <w:rFonts w:eastAsia="Calibri"/>
          <w:b/>
          <w:szCs w:val="24"/>
          <w:lang w:val="fr-CA" w:eastAsia="en-US"/>
        </w:rPr>
        <w:t>Arbitrators</w:t>
      </w:r>
      <w:proofErr w:type="spellEnd"/>
      <w:r w:rsidRPr="00770921">
        <w:rPr>
          <w:rFonts w:eastAsia="Calibri"/>
          <w:b/>
          <w:szCs w:val="24"/>
          <w:lang w:val="fr-CA" w:eastAsia="en-US"/>
        </w:rPr>
        <w:t xml:space="preserve">, Ontario Labour-Management </w:t>
      </w:r>
      <w:proofErr w:type="spellStart"/>
      <w:r w:rsidRPr="00770921">
        <w:rPr>
          <w:rFonts w:eastAsia="Calibri"/>
          <w:b/>
          <w:szCs w:val="24"/>
          <w:lang w:val="fr-CA" w:eastAsia="en-US"/>
        </w:rPr>
        <w:t>Arbitrators</w:t>
      </w:r>
      <w:proofErr w:type="spellEnd"/>
      <w:r w:rsidRPr="00770921">
        <w:rPr>
          <w:rFonts w:eastAsia="Calibri"/>
          <w:b/>
          <w:szCs w:val="24"/>
          <w:lang w:val="fr-CA" w:eastAsia="en-US"/>
        </w:rPr>
        <w:t xml:space="preserve">’ Association, Conférence des arbitres du Québec, Congrès du travail du Canada, Association nationale des organismes de réglementation de la pharmacie, </w:t>
      </w:r>
      <w:proofErr w:type="spellStart"/>
      <w:r w:rsidRPr="00770921">
        <w:rPr>
          <w:rFonts w:eastAsia="Calibri"/>
          <w:b/>
          <w:szCs w:val="24"/>
          <w:lang w:val="fr-CA" w:eastAsia="en-US"/>
        </w:rPr>
        <w:t>Queen’s</w:t>
      </w:r>
      <w:proofErr w:type="spellEnd"/>
      <w:r w:rsidRPr="00770921">
        <w:rPr>
          <w:rFonts w:eastAsia="Calibri"/>
          <w:b/>
          <w:szCs w:val="24"/>
          <w:lang w:val="fr-CA" w:eastAsia="en-US"/>
        </w:rPr>
        <w:t xml:space="preserve"> Prison Law </w:t>
      </w:r>
      <w:proofErr w:type="spellStart"/>
      <w:r w:rsidRPr="00770921">
        <w:rPr>
          <w:rFonts w:eastAsia="Calibri"/>
          <w:b/>
          <w:szCs w:val="24"/>
          <w:lang w:val="fr-CA" w:eastAsia="en-US"/>
        </w:rPr>
        <w:t>Clinic</w:t>
      </w:r>
      <w:proofErr w:type="spellEnd"/>
      <w:r w:rsidRPr="00770921">
        <w:rPr>
          <w:rFonts w:eastAsia="Calibri"/>
          <w:b/>
          <w:szCs w:val="24"/>
          <w:lang w:val="fr-CA" w:eastAsia="en-US"/>
        </w:rPr>
        <w:t xml:space="preserve">, </w:t>
      </w:r>
      <w:proofErr w:type="spellStart"/>
      <w:r w:rsidRPr="00770921">
        <w:rPr>
          <w:rFonts w:eastAsia="Calibri"/>
          <w:b/>
          <w:szCs w:val="24"/>
          <w:lang w:val="fr-CA" w:eastAsia="en-US"/>
        </w:rPr>
        <w:t>Advocates</w:t>
      </w:r>
      <w:proofErr w:type="spellEnd"/>
      <w:r w:rsidRPr="00770921">
        <w:rPr>
          <w:rFonts w:eastAsia="Calibri"/>
          <w:b/>
          <w:szCs w:val="24"/>
          <w:lang w:val="fr-CA" w:eastAsia="en-US"/>
        </w:rPr>
        <w:t xml:space="preserve"> for the </w:t>
      </w:r>
      <w:proofErr w:type="spellStart"/>
      <w:r w:rsidRPr="00770921">
        <w:rPr>
          <w:rFonts w:eastAsia="Calibri"/>
          <w:b/>
          <w:szCs w:val="24"/>
          <w:lang w:val="fr-CA" w:eastAsia="en-US"/>
        </w:rPr>
        <w:t>Rule</w:t>
      </w:r>
      <w:proofErr w:type="spellEnd"/>
      <w:r w:rsidRPr="00770921">
        <w:rPr>
          <w:rFonts w:eastAsia="Calibri"/>
          <w:b/>
          <w:szCs w:val="24"/>
          <w:lang w:val="fr-CA" w:eastAsia="en-US"/>
        </w:rPr>
        <w:t xml:space="preserve"> of Law, Cambridge Comparative Administrative Law Forum, Association canadienne des annonceurs, Alliance of Canadian </w:t>
      </w:r>
      <w:proofErr w:type="spellStart"/>
      <w:r w:rsidRPr="00770921">
        <w:rPr>
          <w:rFonts w:eastAsia="Calibri"/>
          <w:b/>
          <w:szCs w:val="24"/>
          <w:lang w:val="fr-CA" w:eastAsia="en-US"/>
        </w:rPr>
        <w:t>Cinema</w:t>
      </w:r>
      <w:proofErr w:type="spellEnd"/>
      <w:r w:rsidRPr="00770921">
        <w:rPr>
          <w:rFonts w:eastAsia="Calibri"/>
          <w:b/>
          <w:szCs w:val="24"/>
          <w:lang w:val="fr-CA" w:eastAsia="en-US"/>
        </w:rPr>
        <w:t xml:space="preserve">, </w:t>
      </w:r>
      <w:proofErr w:type="spellStart"/>
      <w:r w:rsidRPr="00770921">
        <w:rPr>
          <w:rFonts w:eastAsia="Calibri"/>
          <w:b/>
          <w:szCs w:val="24"/>
          <w:lang w:val="fr-CA" w:eastAsia="en-US"/>
        </w:rPr>
        <w:t>Television</w:t>
      </w:r>
      <w:proofErr w:type="spellEnd"/>
      <w:r w:rsidRPr="00770921">
        <w:rPr>
          <w:rFonts w:eastAsia="Calibri"/>
          <w:b/>
          <w:szCs w:val="24"/>
          <w:lang w:val="fr-CA" w:eastAsia="en-US"/>
        </w:rPr>
        <w:t xml:space="preserve"> and Radio Artists, Clinique d’intérêt public et de politique d’internet du Canada Samuelson-</w:t>
      </w:r>
      <w:proofErr w:type="spellStart"/>
      <w:r w:rsidRPr="00770921">
        <w:rPr>
          <w:rFonts w:eastAsia="Calibri"/>
          <w:b/>
          <w:szCs w:val="24"/>
          <w:lang w:val="fr-CA" w:eastAsia="en-US"/>
        </w:rPr>
        <w:t>Glushko</w:t>
      </w:r>
      <w:proofErr w:type="spellEnd"/>
      <w:r w:rsidRPr="00770921">
        <w:rPr>
          <w:rFonts w:eastAsia="Calibri"/>
          <w:b/>
          <w:szCs w:val="24"/>
          <w:lang w:val="fr-CA" w:eastAsia="en-US"/>
        </w:rPr>
        <w:t xml:space="preserve">, Association du Barreau canadien et Société de soutien à l’enfance et à la famille des Premières Nations du Canada </w:t>
      </w:r>
    </w:p>
    <w:p w:rsidR="00770921" w:rsidRPr="00770921" w:rsidRDefault="00770921" w:rsidP="00770921">
      <w:pPr>
        <w:jc w:val="center"/>
        <w:rPr>
          <w:rFonts w:eastAsia="Calibri"/>
          <w:szCs w:val="24"/>
          <w:lang w:val="fr-CA" w:eastAsia="en-US"/>
        </w:rPr>
      </w:pPr>
      <w:r w:rsidRPr="00770921">
        <w:rPr>
          <w:rFonts w:eastAsia="Calibri"/>
          <w:szCs w:val="24"/>
          <w:lang w:val="fr-CA" w:eastAsia="en-US"/>
        </w:rPr>
        <w:t>Intervenants</w:t>
      </w:r>
    </w:p>
    <w:p w:rsidR="00770921" w:rsidRPr="00770921" w:rsidRDefault="00770921" w:rsidP="00770921">
      <w:pPr>
        <w:rPr>
          <w:rFonts w:eastAsia="Calibri"/>
          <w:szCs w:val="24"/>
          <w:lang w:val="fr-CA" w:eastAsia="en-US"/>
        </w:rPr>
      </w:pPr>
    </w:p>
    <w:p w:rsidR="00770921" w:rsidRPr="00770921" w:rsidRDefault="00770921" w:rsidP="00770921">
      <w:pPr>
        <w:rPr>
          <w:rFonts w:eastAsia="Calibri"/>
          <w:szCs w:val="24"/>
          <w:lang w:val="fr-CA" w:eastAsia="en-US"/>
        </w:rPr>
      </w:pPr>
    </w:p>
    <w:p w:rsidR="00770921" w:rsidRPr="00770921" w:rsidRDefault="00770921" w:rsidP="00770921">
      <w:pPr>
        <w:jc w:val="center"/>
        <w:rPr>
          <w:rFonts w:eastAsia="Calibri"/>
          <w:b/>
          <w:smallCaps/>
          <w:szCs w:val="24"/>
          <w:lang w:val="fr-CA" w:eastAsia="en-US"/>
        </w:rPr>
      </w:pPr>
      <w:r w:rsidRPr="00770921">
        <w:rPr>
          <w:rFonts w:eastAsia="Calibri"/>
          <w:b/>
          <w:smallCaps/>
          <w:szCs w:val="24"/>
          <w:lang w:val="fr-CA" w:eastAsia="en-US"/>
        </w:rPr>
        <w:t>Traduction française officielle</w:t>
      </w:r>
    </w:p>
    <w:p w:rsidR="00770921" w:rsidRPr="00770921" w:rsidRDefault="00770921" w:rsidP="00770921">
      <w:pPr>
        <w:rPr>
          <w:rFonts w:eastAsia="Calibri"/>
          <w:szCs w:val="24"/>
          <w:lang w:val="fr-CA" w:eastAsia="en-US"/>
        </w:rPr>
      </w:pPr>
    </w:p>
    <w:p w:rsidR="00770921" w:rsidRPr="00770921" w:rsidRDefault="00770921" w:rsidP="00770921">
      <w:pPr>
        <w:rPr>
          <w:rFonts w:eastAsia="Calibri"/>
          <w:szCs w:val="24"/>
          <w:lang w:val="fr-CA" w:eastAsia="en-US"/>
        </w:rPr>
      </w:pPr>
      <w:r w:rsidRPr="00770921">
        <w:rPr>
          <w:rFonts w:eastAsia="Calibri"/>
          <w:b/>
          <w:smallCaps/>
          <w:szCs w:val="24"/>
          <w:lang w:val="fr-CA" w:eastAsia="en-US"/>
        </w:rPr>
        <w:t>Coram :</w:t>
      </w:r>
      <w:r w:rsidRPr="00770921">
        <w:rPr>
          <w:rFonts w:eastAsia="Calibri"/>
          <w:szCs w:val="24"/>
          <w:lang w:val="fr-CA" w:eastAsia="en-US"/>
        </w:rPr>
        <w:t xml:space="preserve"> Le juge en chef Wagner et les juges Abella, </w:t>
      </w:r>
      <w:proofErr w:type="spellStart"/>
      <w:r w:rsidRPr="00770921">
        <w:rPr>
          <w:rFonts w:eastAsia="Calibri"/>
          <w:szCs w:val="24"/>
          <w:lang w:val="fr-CA" w:eastAsia="en-US"/>
        </w:rPr>
        <w:t>Moldaver</w:t>
      </w:r>
      <w:proofErr w:type="spellEnd"/>
      <w:r w:rsidRPr="00770921">
        <w:rPr>
          <w:rFonts w:eastAsia="Calibri"/>
          <w:szCs w:val="24"/>
          <w:lang w:val="fr-CA" w:eastAsia="en-US"/>
        </w:rPr>
        <w:t xml:space="preserve">, </w:t>
      </w:r>
      <w:proofErr w:type="spellStart"/>
      <w:r w:rsidRPr="00770921">
        <w:rPr>
          <w:rFonts w:eastAsia="Calibri"/>
          <w:szCs w:val="24"/>
          <w:lang w:val="fr-CA" w:eastAsia="en-US"/>
        </w:rPr>
        <w:t>Karakatsanis</w:t>
      </w:r>
      <w:proofErr w:type="spellEnd"/>
      <w:r w:rsidRPr="00770921">
        <w:rPr>
          <w:rFonts w:eastAsia="Calibri"/>
          <w:szCs w:val="24"/>
          <w:lang w:val="fr-CA" w:eastAsia="en-US"/>
        </w:rPr>
        <w:t>, Gascon, Côté, Brown, Rowe et Martin</w:t>
      </w:r>
    </w:p>
    <w:p w:rsidR="00770921" w:rsidRPr="00770921" w:rsidRDefault="00770921" w:rsidP="00770921">
      <w:pPr>
        <w:rPr>
          <w:rFonts w:eastAsia="Calibr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770921" w:rsidRPr="00770921" w:rsidTr="00B2492D">
        <w:trPr>
          <w:cantSplit/>
        </w:trPr>
        <w:tc>
          <w:tcPr>
            <w:tcW w:w="3780" w:type="dxa"/>
          </w:tcPr>
          <w:p w:rsidR="00770921" w:rsidRPr="00770921" w:rsidRDefault="00770921" w:rsidP="00770921">
            <w:pPr>
              <w:rPr>
                <w:rFonts w:eastAsia="Calibri"/>
                <w:b/>
                <w:bCs/>
                <w:smallCaps/>
                <w:szCs w:val="24"/>
                <w:lang w:val="fr-CA" w:eastAsia="en-US"/>
              </w:rPr>
            </w:pPr>
            <w:r w:rsidRPr="00770921">
              <w:rPr>
                <w:rFonts w:eastAsia="Calibri"/>
                <w:b/>
                <w:bCs/>
                <w:smallCaps/>
                <w:szCs w:val="24"/>
                <w:lang w:val="fr-CA" w:eastAsia="en-US"/>
              </w:rPr>
              <w:lastRenderedPageBreak/>
              <w:t>Motifs de jugement conjoints :</w:t>
            </w:r>
          </w:p>
          <w:p w:rsidR="00770921" w:rsidRPr="00770921" w:rsidRDefault="00770921" w:rsidP="00770921">
            <w:pPr>
              <w:rPr>
                <w:rFonts w:eastAsia="Calibri"/>
                <w:bCs/>
                <w:szCs w:val="24"/>
                <w:lang w:val="fr-CA" w:eastAsia="en-US"/>
              </w:rPr>
            </w:pPr>
            <w:r w:rsidRPr="00770921">
              <w:rPr>
                <w:rFonts w:eastAsia="Calibri"/>
                <w:bCs/>
                <w:szCs w:val="24"/>
                <w:lang w:val="fr-CA" w:eastAsia="en-US"/>
              </w:rPr>
              <w:t>(par. 1 à 59)</w:t>
            </w:r>
          </w:p>
          <w:p w:rsidR="00770921" w:rsidRPr="00770921" w:rsidRDefault="00770921" w:rsidP="00770921">
            <w:pPr>
              <w:rPr>
                <w:rFonts w:eastAsia="Calibri"/>
                <w:bCs/>
                <w:szCs w:val="24"/>
                <w:lang w:val="fr-CA" w:eastAsia="en-US"/>
              </w:rPr>
            </w:pPr>
          </w:p>
          <w:p w:rsidR="00770921" w:rsidRPr="00770921" w:rsidRDefault="00770921" w:rsidP="00770921">
            <w:pPr>
              <w:rPr>
                <w:rFonts w:eastAsia="Calibri"/>
                <w:b/>
                <w:smallCaps/>
                <w:szCs w:val="24"/>
                <w:lang w:val="fr-CA" w:eastAsia="en-US"/>
              </w:rPr>
            </w:pPr>
            <w:r w:rsidRPr="00770921">
              <w:rPr>
                <w:rFonts w:eastAsia="Calibri"/>
                <w:b/>
                <w:smallCaps/>
                <w:szCs w:val="24"/>
                <w:lang w:val="fr-CA" w:eastAsia="en-US"/>
              </w:rPr>
              <w:t>Motifs conjoints dissidents :</w:t>
            </w:r>
          </w:p>
          <w:p w:rsidR="00770921" w:rsidRPr="00770921" w:rsidRDefault="00770921" w:rsidP="00770921">
            <w:pPr>
              <w:rPr>
                <w:rFonts w:eastAsia="Calibri"/>
                <w:szCs w:val="24"/>
                <w:lang w:val="fr-CA" w:eastAsia="en-US"/>
              </w:rPr>
            </w:pPr>
            <w:r w:rsidRPr="00770921">
              <w:rPr>
                <w:rFonts w:eastAsia="Calibri"/>
                <w:szCs w:val="24"/>
                <w:lang w:val="fr-CA" w:eastAsia="en-US"/>
              </w:rPr>
              <w:t>(par. 60 à 97)</w:t>
            </w:r>
          </w:p>
        </w:tc>
        <w:tc>
          <w:tcPr>
            <w:tcW w:w="5796" w:type="dxa"/>
          </w:tcPr>
          <w:p w:rsidR="00770921" w:rsidRPr="00770921" w:rsidRDefault="00770921" w:rsidP="00770921">
            <w:pPr>
              <w:rPr>
                <w:rFonts w:eastAsia="Calibri"/>
                <w:szCs w:val="24"/>
                <w:lang w:val="fr-CA" w:eastAsia="en-US"/>
              </w:rPr>
            </w:pPr>
            <w:r w:rsidRPr="00770921">
              <w:rPr>
                <w:rFonts w:eastAsia="Calibri"/>
                <w:szCs w:val="24"/>
                <w:lang w:val="fr-CA" w:eastAsia="en-US"/>
              </w:rPr>
              <w:t xml:space="preserve">Le juge en chef Wagner et les juges </w:t>
            </w:r>
            <w:proofErr w:type="spellStart"/>
            <w:r w:rsidRPr="00770921">
              <w:rPr>
                <w:rFonts w:eastAsia="Calibri"/>
                <w:szCs w:val="24"/>
                <w:lang w:val="fr-CA" w:eastAsia="en-US"/>
              </w:rPr>
              <w:t>Moldaver</w:t>
            </w:r>
            <w:proofErr w:type="spellEnd"/>
            <w:r w:rsidRPr="00770921">
              <w:rPr>
                <w:rFonts w:eastAsia="Calibri"/>
                <w:szCs w:val="24"/>
                <w:lang w:val="fr-CA" w:eastAsia="en-US"/>
              </w:rPr>
              <w:t>, Gascon, Côté, Brown, Rowe et Martin</w:t>
            </w:r>
          </w:p>
          <w:p w:rsidR="00770921" w:rsidRPr="00770921" w:rsidRDefault="00770921" w:rsidP="00770921">
            <w:pPr>
              <w:rPr>
                <w:rFonts w:eastAsia="Calibri"/>
                <w:szCs w:val="24"/>
                <w:lang w:val="fr-CA" w:eastAsia="en-US"/>
              </w:rPr>
            </w:pPr>
          </w:p>
          <w:p w:rsidR="00770921" w:rsidRPr="00770921" w:rsidRDefault="00770921" w:rsidP="00770921">
            <w:pPr>
              <w:rPr>
                <w:rFonts w:eastAsia="Calibri"/>
                <w:szCs w:val="24"/>
                <w:lang w:val="fr-CA" w:eastAsia="en-US"/>
              </w:rPr>
            </w:pPr>
            <w:r w:rsidRPr="00770921">
              <w:rPr>
                <w:rFonts w:eastAsia="Calibri"/>
                <w:szCs w:val="24"/>
                <w:lang w:val="fr-CA" w:eastAsia="en-US"/>
              </w:rPr>
              <w:t xml:space="preserve">Les juges Abella et </w:t>
            </w:r>
            <w:proofErr w:type="spellStart"/>
            <w:r w:rsidRPr="00770921">
              <w:rPr>
                <w:rFonts w:eastAsia="Calibri"/>
                <w:szCs w:val="24"/>
                <w:lang w:val="fr-CA" w:eastAsia="en-US"/>
              </w:rPr>
              <w:t>Karakatsanis</w:t>
            </w:r>
            <w:proofErr w:type="spellEnd"/>
          </w:p>
        </w:tc>
      </w:tr>
    </w:tbl>
    <w:p w:rsidR="00770921" w:rsidRPr="00770921" w:rsidRDefault="00770921" w:rsidP="00770921">
      <w:pPr>
        <w:rPr>
          <w:rFonts w:eastAsia="Calibri"/>
          <w:szCs w:val="24"/>
          <w:lang w:val="fr-CA" w:eastAsia="en-US"/>
        </w:rPr>
      </w:pPr>
    </w:p>
    <w:p w:rsidR="00770921" w:rsidRPr="00770921" w:rsidRDefault="00770921" w:rsidP="00770921">
      <w:pPr>
        <w:rPr>
          <w:rFonts w:eastAsia="Calibri"/>
          <w:szCs w:val="24"/>
          <w:lang w:val="fr-CA" w:eastAsia="en-US"/>
        </w:rPr>
      </w:pPr>
      <w:r w:rsidRPr="00770921">
        <w:rPr>
          <w:rFonts w:eastAsia="Calibri"/>
          <w:noProof/>
          <w:szCs w:val="24"/>
          <w:lang w:val="en-US" w:eastAsia="en-US"/>
        </w:rPr>
        <mc:AlternateContent>
          <mc:Choice Requires="wps">
            <w:drawing>
              <wp:anchor distT="0" distB="0" distL="114300" distR="114300" simplePos="0" relativeHeight="251659264" behindDoc="0" locked="0" layoutInCell="1" allowOverlap="1" wp14:anchorId="5F22CBFE" wp14:editId="54F8AC6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9393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70921" w:rsidRPr="00770921" w:rsidRDefault="00770921">
      <w:pPr>
        <w:spacing w:after="160" w:line="259" w:lineRule="auto"/>
        <w:rPr>
          <w:rStyle w:val="SCCRespondentForRunningHeadChar"/>
          <w:lang w:val="fr-CA"/>
        </w:rPr>
      </w:pPr>
      <w:bookmarkStart w:id="0" w:name="_GoBack"/>
      <w:bookmarkEnd w:id="0"/>
      <w:r w:rsidRPr="00770921">
        <w:rPr>
          <w:rStyle w:val="SCCRespondentForRunningHeadChar"/>
          <w:lang w:val="fr-CA"/>
        </w:rPr>
        <w:br w:type="page"/>
      </w:r>
    </w:p>
    <w:p w:rsidR="005F030A" w:rsidRPr="00BE688E" w:rsidRDefault="005F030A" w:rsidP="005F030A">
      <w:pPr>
        <w:spacing w:after="720"/>
        <w:jc w:val="both"/>
      </w:pPr>
      <w:r w:rsidRPr="00BE688E">
        <w:rPr>
          <w:rStyle w:val="SCCRespondentForRunningHeadChar"/>
        </w:rPr>
        <w:lastRenderedPageBreak/>
        <w:t xml:space="preserve">bell </w:t>
      </w:r>
      <w:proofErr w:type="spellStart"/>
      <w:r w:rsidRPr="00BE688E">
        <w:rPr>
          <w:rStyle w:val="SCCRespondentForRunningHeadChar"/>
        </w:rPr>
        <w:t>canada</w:t>
      </w:r>
      <w:proofErr w:type="spellEnd"/>
      <w:r w:rsidRPr="00BE688E">
        <w:rPr>
          <w:rStyle w:val="SCCRespondentForRunningHeadChar"/>
        </w:rPr>
        <w:t xml:space="preserve"> </w:t>
      </w:r>
      <w:r w:rsidRPr="00BE688E">
        <w:rPr>
          <w:i/>
        </w:rPr>
        <w:t>c.</w:t>
      </w:r>
      <w:r w:rsidRPr="00BE688E">
        <w:t xml:space="preserve"> </w:t>
      </w:r>
      <w:proofErr w:type="spellStart"/>
      <w:r w:rsidRPr="00BE688E">
        <w:rPr>
          <w:smallCaps/>
        </w:rPr>
        <w:t>canada</w:t>
      </w:r>
      <w:proofErr w:type="spellEnd"/>
      <w:r w:rsidRPr="00BE688E">
        <w:rPr>
          <w:smallCaps/>
        </w:rPr>
        <w:t xml:space="preserve"> (</w:t>
      </w:r>
      <w:proofErr w:type="spellStart"/>
      <w:r w:rsidRPr="00BE688E">
        <w:rPr>
          <w:smallCaps/>
        </w:rPr>
        <w:t>p.g</w:t>
      </w:r>
      <w:proofErr w:type="spellEnd"/>
      <w:r w:rsidRPr="00BE688E">
        <w:rPr>
          <w:smallCaps/>
        </w:rPr>
        <w:t>.)</w:t>
      </w:r>
    </w:p>
    <w:p w:rsidR="005F030A" w:rsidRPr="00BE688E" w:rsidRDefault="005F030A" w:rsidP="005F030A">
      <w:pPr>
        <w:pStyle w:val="SCCLsocParty"/>
        <w:rPr>
          <w:lang w:val="fr-CA"/>
        </w:rPr>
      </w:pPr>
      <w:r w:rsidRPr="00BE688E">
        <w:rPr>
          <w:lang w:val="fr-CA"/>
        </w:rPr>
        <w:t>Bell Canada et</w:t>
      </w:r>
    </w:p>
    <w:p w:rsidR="005F030A" w:rsidRPr="00BE688E" w:rsidRDefault="005F030A" w:rsidP="005F030A">
      <w:pPr>
        <w:pStyle w:val="SCCLsocLastPartyInRole"/>
        <w:rPr>
          <w:lang w:val="fr-CA"/>
        </w:rPr>
      </w:pPr>
      <w:r w:rsidRPr="00BE688E">
        <w:rPr>
          <w:lang w:val="fr-CA"/>
        </w:rPr>
        <w:t xml:space="preserve">Bell Média </w:t>
      </w:r>
      <w:proofErr w:type="spellStart"/>
      <w:r w:rsidRPr="00BE688E">
        <w:rPr>
          <w:lang w:val="fr-CA"/>
        </w:rPr>
        <w:t>inc.</w:t>
      </w:r>
      <w:proofErr w:type="spellEnd"/>
      <w:r w:rsidRPr="00BE688E">
        <w:rPr>
          <w:rStyle w:val="SCCLsocPartyRole"/>
          <w:lang w:val="fr-CA"/>
        </w:rPr>
        <w:tab/>
        <w:t>Appelantes</w:t>
      </w:r>
    </w:p>
    <w:p w:rsidR="005F030A" w:rsidRPr="00BE688E" w:rsidRDefault="005F030A" w:rsidP="005F030A">
      <w:pPr>
        <w:pStyle w:val="SCCLsocVersus"/>
        <w:rPr>
          <w:lang w:val="fr-CA"/>
        </w:rPr>
      </w:pPr>
      <w:proofErr w:type="gramStart"/>
      <w:r w:rsidRPr="00BE688E">
        <w:rPr>
          <w:lang w:val="fr-CA"/>
        </w:rPr>
        <w:t>c</w:t>
      </w:r>
      <w:proofErr w:type="gramEnd"/>
      <w:r w:rsidRPr="00BE688E">
        <w:rPr>
          <w:lang w:val="fr-CA"/>
        </w:rPr>
        <w:t>.</w:t>
      </w:r>
    </w:p>
    <w:p w:rsidR="005F030A" w:rsidRPr="00BE688E" w:rsidRDefault="005F030A" w:rsidP="005F030A">
      <w:pPr>
        <w:pStyle w:val="SCCLsocLastPartyInRole"/>
        <w:rPr>
          <w:lang w:val="fr-CA"/>
        </w:rPr>
      </w:pPr>
      <w:r w:rsidRPr="00BE688E">
        <w:rPr>
          <w:lang w:val="fr-CA"/>
        </w:rPr>
        <w:t>Procureur général du Canada</w:t>
      </w:r>
      <w:r w:rsidRPr="00BE688E">
        <w:rPr>
          <w:rStyle w:val="SCCLsocPartyRole"/>
          <w:lang w:val="fr-CA"/>
        </w:rPr>
        <w:tab/>
        <w:t>Intimé</w:t>
      </w:r>
    </w:p>
    <w:p w:rsidR="005F030A" w:rsidRPr="00BE688E" w:rsidRDefault="005F030A" w:rsidP="005F030A">
      <w:pPr>
        <w:pStyle w:val="SCCLsocOtherPartySeparator"/>
        <w:rPr>
          <w:lang w:val="fr-CA"/>
        </w:rPr>
      </w:pPr>
      <w:proofErr w:type="gramStart"/>
      <w:r w:rsidRPr="00BE688E">
        <w:rPr>
          <w:lang w:val="fr-CA"/>
        </w:rPr>
        <w:t>et</w:t>
      </w:r>
      <w:proofErr w:type="gramEnd"/>
    </w:p>
    <w:p w:rsidR="005F030A" w:rsidRPr="00BE688E" w:rsidRDefault="005F030A" w:rsidP="005F030A">
      <w:pPr>
        <w:pStyle w:val="SCCLsocParty"/>
        <w:rPr>
          <w:lang w:val="fr-CA"/>
        </w:rPr>
      </w:pPr>
      <w:r w:rsidRPr="00BE688E">
        <w:rPr>
          <w:lang w:val="fr-CA"/>
        </w:rPr>
        <w:t>Procureur général de l’Ontario,</w:t>
      </w:r>
    </w:p>
    <w:p w:rsidR="005F030A" w:rsidRPr="00BE688E" w:rsidRDefault="005F030A" w:rsidP="005F030A">
      <w:pPr>
        <w:pStyle w:val="SCCLsocParty"/>
        <w:rPr>
          <w:lang w:val="fr-CA"/>
        </w:rPr>
      </w:pPr>
      <w:proofErr w:type="gramStart"/>
      <w:r w:rsidRPr="00BE688E">
        <w:rPr>
          <w:lang w:val="fr-CA"/>
        </w:rPr>
        <w:t>procureure</w:t>
      </w:r>
      <w:proofErr w:type="gramEnd"/>
      <w:r w:rsidRPr="00BE688E">
        <w:rPr>
          <w:lang w:val="fr-CA"/>
        </w:rPr>
        <w:t xml:space="preserve"> générale du Québec,</w:t>
      </w:r>
    </w:p>
    <w:p w:rsidR="005F030A" w:rsidRPr="00BE688E" w:rsidRDefault="005F030A" w:rsidP="005F030A">
      <w:pPr>
        <w:pStyle w:val="SCCLsocParty"/>
        <w:rPr>
          <w:lang w:val="fr-CA"/>
        </w:rPr>
      </w:pPr>
      <w:proofErr w:type="gramStart"/>
      <w:r w:rsidRPr="00BE688E">
        <w:rPr>
          <w:lang w:val="fr-CA"/>
        </w:rPr>
        <w:t>procureur</w:t>
      </w:r>
      <w:proofErr w:type="gramEnd"/>
      <w:r w:rsidRPr="00BE688E">
        <w:rPr>
          <w:lang w:val="fr-CA"/>
        </w:rPr>
        <w:t xml:space="preserve"> général de la Colombie</w:t>
      </w:r>
      <w:r>
        <w:rPr>
          <w:lang w:val="fr-CA"/>
        </w:rPr>
        <w:noBreakHyphen/>
      </w:r>
      <w:r w:rsidRPr="00BE688E">
        <w:rPr>
          <w:lang w:val="fr-CA"/>
        </w:rPr>
        <w:t>Britannique,</w:t>
      </w:r>
    </w:p>
    <w:p w:rsidR="005F030A" w:rsidRPr="00BE688E" w:rsidRDefault="005F030A" w:rsidP="005F030A">
      <w:pPr>
        <w:pStyle w:val="SCCLsocParty"/>
        <w:rPr>
          <w:lang w:val="fr-CA"/>
        </w:rPr>
      </w:pPr>
      <w:proofErr w:type="gramStart"/>
      <w:r w:rsidRPr="00BE688E">
        <w:rPr>
          <w:lang w:val="fr-CA"/>
        </w:rPr>
        <w:t>procureur</w:t>
      </w:r>
      <w:proofErr w:type="gramEnd"/>
      <w:r w:rsidRPr="00BE688E">
        <w:rPr>
          <w:lang w:val="fr-CA"/>
        </w:rPr>
        <w:t xml:space="preserve"> général de la Saskatchewan,</w:t>
      </w:r>
    </w:p>
    <w:p w:rsidR="005F030A" w:rsidRPr="00BE688E" w:rsidRDefault="005F030A" w:rsidP="005F030A">
      <w:pPr>
        <w:pStyle w:val="SCCLsocParty"/>
        <w:rPr>
          <w:lang w:val="fr-CA"/>
        </w:rPr>
      </w:pPr>
      <w:r w:rsidRPr="00BE688E">
        <w:rPr>
          <w:lang w:val="fr-CA"/>
        </w:rPr>
        <w:t>Conseil de la radiodiffusion et des télécommunications canadiennes,</w:t>
      </w:r>
    </w:p>
    <w:p w:rsidR="005F030A" w:rsidRPr="00BE688E" w:rsidRDefault="005F030A" w:rsidP="005F030A">
      <w:pPr>
        <w:pStyle w:val="SCCLsocParty"/>
        <w:rPr>
          <w:lang w:val="fr-CA"/>
        </w:rPr>
      </w:pPr>
      <w:proofErr w:type="spellStart"/>
      <w:r w:rsidRPr="00BE688E">
        <w:rPr>
          <w:lang w:val="fr-CA"/>
        </w:rPr>
        <w:t>Telus</w:t>
      </w:r>
      <w:proofErr w:type="spellEnd"/>
      <w:r w:rsidRPr="00BE688E">
        <w:rPr>
          <w:lang w:val="fr-CA"/>
        </w:rPr>
        <w:t xml:space="preserve"> Communications Inc.,</w:t>
      </w:r>
    </w:p>
    <w:p w:rsidR="005F030A" w:rsidRDefault="005F030A" w:rsidP="005F030A">
      <w:pPr>
        <w:pStyle w:val="SCCLsocParty"/>
        <w:rPr>
          <w:lang w:val="fr-CA"/>
        </w:rPr>
      </w:pPr>
      <w:r w:rsidRPr="00BE688E">
        <w:rPr>
          <w:lang w:val="fr-CA"/>
        </w:rPr>
        <w:t>Centre ontarien de défense des droits des locataire</w:t>
      </w:r>
      <w:r>
        <w:rPr>
          <w:lang w:val="fr-CA"/>
        </w:rPr>
        <w:t>s -</w:t>
      </w:r>
      <w:r w:rsidRPr="00BE688E">
        <w:rPr>
          <w:lang w:val="fr-CA"/>
        </w:rPr>
        <w:t xml:space="preserve"> Programme d’avocats de</w:t>
      </w:r>
    </w:p>
    <w:p w:rsidR="005F030A" w:rsidRPr="00BE688E" w:rsidRDefault="005F030A" w:rsidP="005F030A">
      <w:pPr>
        <w:pStyle w:val="SCCLsocParty"/>
        <w:rPr>
          <w:lang w:val="fr-CA"/>
        </w:rPr>
      </w:pPr>
      <w:proofErr w:type="gramStart"/>
      <w:r w:rsidRPr="00BE688E">
        <w:rPr>
          <w:lang w:val="fr-CA"/>
        </w:rPr>
        <w:t>service</w:t>
      </w:r>
      <w:proofErr w:type="gramEnd"/>
      <w:r w:rsidRPr="00BE688E">
        <w:rPr>
          <w:lang w:val="fr-CA"/>
        </w:rPr>
        <w:t xml:space="preserve"> en droit du logement,</w:t>
      </w:r>
    </w:p>
    <w:p w:rsidR="005F030A" w:rsidRPr="00BE688E" w:rsidRDefault="005F030A" w:rsidP="005F030A">
      <w:pPr>
        <w:pStyle w:val="SCCLsocParty"/>
        <w:rPr>
          <w:lang w:val="fr-CA"/>
        </w:rPr>
      </w:pPr>
      <w:r w:rsidRPr="00BE688E">
        <w:rPr>
          <w:lang w:val="fr-CA"/>
        </w:rPr>
        <w:t>Commission des valeurs mobilières de l’Ontario,</w:t>
      </w:r>
    </w:p>
    <w:p w:rsidR="005F030A" w:rsidRPr="00BE688E" w:rsidRDefault="005F030A" w:rsidP="005F030A">
      <w:pPr>
        <w:pStyle w:val="SCCLsocParty"/>
        <w:rPr>
          <w:lang w:val="en-US"/>
        </w:rPr>
      </w:pPr>
      <w:r w:rsidRPr="00BE688E">
        <w:rPr>
          <w:lang w:val="en-US"/>
        </w:rPr>
        <w:t>British Columbia Securities Commission,</w:t>
      </w:r>
    </w:p>
    <w:p w:rsidR="005F030A" w:rsidRPr="00BE688E" w:rsidRDefault="005F030A" w:rsidP="005F030A">
      <w:pPr>
        <w:pStyle w:val="SCCLsocParty"/>
        <w:rPr>
          <w:lang w:val="en-US"/>
        </w:rPr>
      </w:pPr>
      <w:r w:rsidRPr="00BE688E">
        <w:rPr>
          <w:lang w:val="en-US"/>
        </w:rPr>
        <w:t>Alberta Securities Commission,</w:t>
      </w:r>
    </w:p>
    <w:p w:rsidR="005F030A" w:rsidRPr="00BE688E" w:rsidRDefault="005F030A" w:rsidP="005F030A">
      <w:pPr>
        <w:pStyle w:val="SCCLsocParty"/>
        <w:rPr>
          <w:lang w:val="fr-CA"/>
        </w:rPr>
      </w:pPr>
      <w:proofErr w:type="spellStart"/>
      <w:r w:rsidRPr="00BE688E">
        <w:rPr>
          <w:lang w:val="fr-CA"/>
        </w:rPr>
        <w:t>Ecojustice</w:t>
      </w:r>
      <w:proofErr w:type="spellEnd"/>
      <w:r w:rsidRPr="00BE688E">
        <w:rPr>
          <w:lang w:val="fr-CA"/>
        </w:rPr>
        <w:t xml:space="preserve"> Canada Society,</w:t>
      </w:r>
    </w:p>
    <w:p w:rsidR="005F030A" w:rsidRDefault="005F030A" w:rsidP="005F030A">
      <w:pPr>
        <w:pStyle w:val="SCCLsocParty"/>
        <w:rPr>
          <w:lang w:val="fr-CA"/>
        </w:rPr>
      </w:pPr>
      <w:r w:rsidRPr="00BE688E">
        <w:rPr>
          <w:lang w:val="fr-CA"/>
        </w:rPr>
        <w:t>Tribunal d’appel de la sécurité professionnelle et de l’assurance contre les</w:t>
      </w:r>
    </w:p>
    <w:p w:rsidR="005F030A" w:rsidRPr="00BE688E" w:rsidRDefault="005F030A" w:rsidP="005F030A">
      <w:pPr>
        <w:pStyle w:val="SCCLsocParty"/>
        <w:rPr>
          <w:lang w:val="fr-CA"/>
        </w:rPr>
      </w:pPr>
      <w:proofErr w:type="gramStart"/>
      <w:r w:rsidRPr="00BE688E">
        <w:rPr>
          <w:lang w:val="fr-CA"/>
        </w:rPr>
        <w:t>accidents</w:t>
      </w:r>
      <w:proofErr w:type="gramEnd"/>
      <w:r w:rsidRPr="00BE688E">
        <w:rPr>
          <w:lang w:val="fr-CA"/>
        </w:rPr>
        <w:t xml:space="preserve"> du travail (Ontario),</w:t>
      </w:r>
    </w:p>
    <w:p w:rsidR="005F030A" w:rsidRDefault="005F030A" w:rsidP="005F030A">
      <w:pPr>
        <w:pStyle w:val="SCCLsocParty"/>
        <w:rPr>
          <w:lang w:val="fr-CA"/>
        </w:rPr>
      </w:pPr>
      <w:proofErr w:type="spellStart"/>
      <w:r w:rsidRPr="00BE688E">
        <w:rPr>
          <w:lang w:val="fr-CA"/>
        </w:rPr>
        <w:t>Workers</w:t>
      </w:r>
      <w:proofErr w:type="spellEnd"/>
      <w:r w:rsidRPr="00BE688E">
        <w:rPr>
          <w:lang w:val="fr-CA"/>
        </w:rPr>
        <w:t xml:space="preserve">’ Compensation </w:t>
      </w:r>
      <w:proofErr w:type="spellStart"/>
      <w:r w:rsidRPr="00BE688E">
        <w:rPr>
          <w:lang w:val="fr-CA"/>
        </w:rPr>
        <w:t>Appeals</w:t>
      </w:r>
      <w:proofErr w:type="spellEnd"/>
      <w:r w:rsidRPr="00BE688E">
        <w:rPr>
          <w:lang w:val="fr-CA"/>
        </w:rPr>
        <w:t xml:space="preserve"> Tribunal (Territoires du Nord</w:t>
      </w:r>
      <w:r>
        <w:rPr>
          <w:lang w:val="fr-CA"/>
        </w:rPr>
        <w:noBreakHyphen/>
      </w:r>
      <w:r w:rsidRPr="00BE688E">
        <w:rPr>
          <w:lang w:val="fr-CA"/>
        </w:rPr>
        <w:t>Ouest et</w:t>
      </w:r>
    </w:p>
    <w:p w:rsidR="005F030A" w:rsidRPr="00BE688E" w:rsidRDefault="005F030A" w:rsidP="005F030A">
      <w:pPr>
        <w:pStyle w:val="SCCLsocParty"/>
        <w:rPr>
          <w:lang w:val="fr-CA"/>
        </w:rPr>
      </w:pPr>
      <w:r w:rsidRPr="00BE688E">
        <w:rPr>
          <w:lang w:val="fr-CA"/>
        </w:rPr>
        <w:t>Nunavut),</w:t>
      </w:r>
    </w:p>
    <w:p w:rsidR="005F030A" w:rsidRDefault="005F030A" w:rsidP="005F030A">
      <w:pPr>
        <w:pStyle w:val="SCCLsocParty"/>
        <w:rPr>
          <w:lang w:val="fr-CA"/>
        </w:rPr>
      </w:pPr>
      <w:r w:rsidRPr="00BE688E">
        <w:rPr>
          <w:lang w:val="fr-CA"/>
        </w:rPr>
        <w:t>Tribunal d’appel des décisions de la Commission des accidents du travail de la</w:t>
      </w:r>
    </w:p>
    <w:p w:rsidR="005F030A" w:rsidRPr="00BE688E" w:rsidRDefault="005F030A" w:rsidP="005F030A">
      <w:pPr>
        <w:pStyle w:val="SCCLsocParty"/>
        <w:rPr>
          <w:lang w:val="fr-CA"/>
        </w:rPr>
      </w:pPr>
      <w:r w:rsidRPr="00BE688E">
        <w:rPr>
          <w:lang w:val="fr-CA"/>
        </w:rPr>
        <w:t>Nouvelle</w:t>
      </w:r>
      <w:r>
        <w:rPr>
          <w:lang w:val="fr-CA"/>
        </w:rPr>
        <w:noBreakHyphen/>
      </w:r>
      <w:r w:rsidRPr="00BE688E">
        <w:rPr>
          <w:lang w:val="fr-CA"/>
        </w:rPr>
        <w:t>Écosse,</w:t>
      </w:r>
    </w:p>
    <w:p w:rsidR="005F030A" w:rsidRPr="00D2683C" w:rsidRDefault="005F030A" w:rsidP="005F030A">
      <w:pPr>
        <w:pStyle w:val="SCCLsocParty"/>
        <w:rPr>
          <w:lang w:val="fr-CA"/>
        </w:rPr>
      </w:pPr>
      <w:proofErr w:type="spellStart"/>
      <w:r w:rsidRPr="00D2683C">
        <w:rPr>
          <w:lang w:val="fr-CA"/>
        </w:rPr>
        <w:t>Appeals</w:t>
      </w:r>
      <w:proofErr w:type="spellEnd"/>
      <w:r w:rsidRPr="00D2683C">
        <w:rPr>
          <w:lang w:val="fr-CA"/>
        </w:rPr>
        <w:t xml:space="preserve"> Commission for Alberta </w:t>
      </w:r>
      <w:proofErr w:type="spellStart"/>
      <w:r w:rsidRPr="00D2683C">
        <w:rPr>
          <w:lang w:val="fr-CA"/>
        </w:rPr>
        <w:t>Workers</w:t>
      </w:r>
      <w:proofErr w:type="spellEnd"/>
      <w:r w:rsidRPr="00D2683C">
        <w:rPr>
          <w:lang w:val="fr-CA"/>
        </w:rPr>
        <w:t>’ Compensation,</w:t>
      </w:r>
    </w:p>
    <w:p w:rsidR="005F030A" w:rsidRPr="00BE688E" w:rsidRDefault="005F030A" w:rsidP="005F030A">
      <w:pPr>
        <w:pStyle w:val="SCCLsocParty"/>
        <w:rPr>
          <w:lang w:val="fr-CA"/>
        </w:rPr>
      </w:pPr>
      <w:r w:rsidRPr="00BE688E">
        <w:rPr>
          <w:lang w:val="fr-CA"/>
        </w:rPr>
        <w:t>Tribunal d’appel des accidents au travail (Nouveau</w:t>
      </w:r>
      <w:r>
        <w:rPr>
          <w:lang w:val="fr-CA"/>
        </w:rPr>
        <w:noBreakHyphen/>
      </w:r>
      <w:r w:rsidRPr="00BE688E">
        <w:rPr>
          <w:lang w:val="fr-CA"/>
        </w:rPr>
        <w:t>Brunswick),</w:t>
      </w:r>
    </w:p>
    <w:p w:rsidR="005F030A" w:rsidRDefault="005F030A" w:rsidP="005F030A">
      <w:pPr>
        <w:pStyle w:val="SCCLsocParty"/>
        <w:rPr>
          <w:lang w:val="fr-CA"/>
        </w:rPr>
      </w:pPr>
      <w:r w:rsidRPr="00BE688E">
        <w:rPr>
          <w:lang w:val="fr-CA"/>
        </w:rPr>
        <w:t xml:space="preserve">British Columbia International Commercial Arbitration Centre </w:t>
      </w:r>
      <w:proofErr w:type="spellStart"/>
      <w:r w:rsidRPr="00BE688E">
        <w:rPr>
          <w:lang w:val="fr-CA"/>
        </w:rPr>
        <w:t>Foundation</w:t>
      </w:r>
      <w:proofErr w:type="spellEnd"/>
      <w:r w:rsidRPr="00BE688E">
        <w:rPr>
          <w:lang w:val="fr-CA"/>
        </w:rPr>
        <w:t>,</w:t>
      </w:r>
    </w:p>
    <w:p w:rsidR="005F030A" w:rsidRPr="00BE688E" w:rsidRDefault="005F030A" w:rsidP="005F030A">
      <w:pPr>
        <w:pStyle w:val="SCCLsocParty"/>
        <w:rPr>
          <w:lang w:val="fr-CA"/>
        </w:rPr>
      </w:pPr>
      <w:r w:rsidRPr="00BE688E">
        <w:rPr>
          <w:lang w:val="fr-CA"/>
        </w:rPr>
        <w:t>Conseil des tribunaux administratifs canadiens,</w:t>
      </w:r>
    </w:p>
    <w:p w:rsidR="005F030A" w:rsidRPr="00BE688E" w:rsidRDefault="005F030A" w:rsidP="005F030A">
      <w:pPr>
        <w:pStyle w:val="SCCLsocParty"/>
        <w:rPr>
          <w:lang w:val="fr-CA"/>
        </w:rPr>
      </w:pPr>
      <w:r w:rsidRPr="00BE688E">
        <w:rPr>
          <w:lang w:val="fr-CA"/>
        </w:rPr>
        <w:t xml:space="preserve">National </w:t>
      </w:r>
      <w:proofErr w:type="spellStart"/>
      <w:r w:rsidRPr="00BE688E">
        <w:rPr>
          <w:lang w:val="fr-CA"/>
        </w:rPr>
        <w:t>Academy</w:t>
      </w:r>
      <w:proofErr w:type="spellEnd"/>
      <w:r w:rsidRPr="00BE688E">
        <w:rPr>
          <w:lang w:val="fr-CA"/>
        </w:rPr>
        <w:t xml:space="preserve"> of </w:t>
      </w:r>
      <w:proofErr w:type="spellStart"/>
      <w:r w:rsidRPr="00BE688E">
        <w:rPr>
          <w:lang w:val="fr-CA"/>
        </w:rPr>
        <w:t>Arbitrators</w:t>
      </w:r>
      <w:proofErr w:type="spellEnd"/>
      <w:r w:rsidRPr="00BE688E">
        <w:rPr>
          <w:lang w:val="fr-CA"/>
        </w:rPr>
        <w:t>,</w:t>
      </w:r>
    </w:p>
    <w:p w:rsidR="005F030A" w:rsidRPr="00BE688E" w:rsidRDefault="005F030A" w:rsidP="005F030A">
      <w:pPr>
        <w:pStyle w:val="SCCLsocParty"/>
        <w:rPr>
          <w:lang w:val="fr-CA"/>
        </w:rPr>
      </w:pPr>
      <w:r w:rsidRPr="00BE688E">
        <w:rPr>
          <w:lang w:val="fr-CA"/>
        </w:rPr>
        <w:t>Ontario Labour</w:t>
      </w:r>
      <w:r>
        <w:rPr>
          <w:lang w:val="fr-CA"/>
        </w:rPr>
        <w:noBreakHyphen/>
      </w:r>
      <w:r w:rsidRPr="00BE688E">
        <w:rPr>
          <w:lang w:val="fr-CA"/>
        </w:rPr>
        <w:t xml:space="preserve">Management </w:t>
      </w:r>
      <w:proofErr w:type="spellStart"/>
      <w:r w:rsidRPr="00BE688E">
        <w:rPr>
          <w:lang w:val="fr-CA"/>
        </w:rPr>
        <w:t>Arbitrators</w:t>
      </w:r>
      <w:proofErr w:type="spellEnd"/>
      <w:r w:rsidRPr="00BE688E">
        <w:rPr>
          <w:lang w:val="fr-CA"/>
        </w:rPr>
        <w:t>’ Association,</w:t>
      </w:r>
    </w:p>
    <w:p w:rsidR="005F030A" w:rsidRPr="00BE688E" w:rsidRDefault="005F030A" w:rsidP="005F030A">
      <w:pPr>
        <w:pStyle w:val="SCCLsocParty"/>
        <w:rPr>
          <w:lang w:val="fr-CA"/>
        </w:rPr>
      </w:pPr>
      <w:r w:rsidRPr="00BE688E">
        <w:rPr>
          <w:lang w:val="fr-CA"/>
        </w:rPr>
        <w:t>Conférence des arbitres du Québec,</w:t>
      </w:r>
    </w:p>
    <w:p w:rsidR="005F030A" w:rsidRPr="00BE688E" w:rsidRDefault="005F030A" w:rsidP="005F030A">
      <w:pPr>
        <w:pStyle w:val="SCCLsocParty"/>
        <w:rPr>
          <w:lang w:val="fr-CA"/>
        </w:rPr>
      </w:pPr>
      <w:r w:rsidRPr="00BE688E">
        <w:rPr>
          <w:lang w:val="fr-CA"/>
        </w:rPr>
        <w:t>Congrès du travail du Canada,</w:t>
      </w:r>
    </w:p>
    <w:p w:rsidR="005F030A" w:rsidRPr="00BE688E" w:rsidRDefault="005F030A" w:rsidP="005F030A">
      <w:pPr>
        <w:pStyle w:val="SCCLsocParty"/>
        <w:rPr>
          <w:lang w:val="fr-CA"/>
        </w:rPr>
      </w:pPr>
      <w:r w:rsidRPr="00BE688E">
        <w:rPr>
          <w:lang w:val="fr-CA"/>
        </w:rPr>
        <w:t>Association nationale des organismes de réglementation de la pharmacie,</w:t>
      </w:r>
    </w:p>
    <w:p w:rsidR="005F030A" w:rsidRPr="00BE688E" w:rsidRDefault="005F030A" w:rsidP="005F030A">
      <w:pPr>
        <w:pStyle w:val="SCCLsocParty"/>
        <w:rPr>
          <w:lang w:val="en-US"/>
        </w:rPr>
      </w:pPr>
      <w:r w:rsidRPr="00BE688E">
        <w:rPr>
          <w:lang w:val="en-US"/>
        </w:rPr>
        <w:t>Queen’s Prison Law Clinic,</w:t>
      </w:r>
    </w:p>
    <w:p w:rsidR="005F030A" w:rsidRPr="00BE688E" w:rsidRDefault="005F030A" w:rsidP="005F030A">
      <w:pPr>
        <w:pStyle w:val="SCCLsocParty"/>
        <w:rPr>
          <w:lang w:val="en-US"/>
        </w:rPr>
      </w:pPr>
      <w:r w:rsidRPr="00BE688E">
        <w:rPr>
          <w:lang w:val="en-US"/>
        </w:rPr>
        <w:t>Advocates for the Rule of Law,</w:t>
      </w:r>
    </w:p>
    <w:p w:rsidR="005F030A" w:rsidRPr="00BE688E" w:rsidRDefault="005F030A" w:rsidP="005F030A">
      <w:pPr>
        <w:pStyle w:val="SCCLsocParty"/>
        <w:rPr>
          <w:lang w:val="en-US"/>
        </w:rPr>
      </w:pPr>
      <w:r w:rsidRPr="00BE688E">
        <w:rPr>
          <w:lang w:val="en-US"/>
        </w:rPr>
        <w:t>Cambridge Comparative Administrative Law Forum,</w:t>
      </w:r>
    </w:p>
    <w:p w:rsidR="005F030A" w:rsidRPr="00BE688E" w:rsidRDefault="005F030A" w:rsidP="005F030A">
      <w:pPr>
        <w:pStyle w:val="SCCLsocParty"/>
        <w:rPr>
          <w:lang w:val="fr-CA"/>
        </w:rPr>
      </w:pPr>
      <w:r w:rsidRPr="00BE688E">
        <w:rPr>
          <w:lang w:val="fr-CA"/>
        </w:rPr>
        <w:t>Association canadienne des annonceurs,</w:t>
      </w:r>
    </w:p>
    <w:p w:rsidR="005F030A" w:rsidRPr="00BE688E" w:rsidRDefault="005F030A" w:rsidP="005F030A">
      <w:pPr>
        <w:pStyle w:val="SCCLsocParty"/>
        <w:rPr>
          <w:lang w:val="fr-CA"/>
        </w:rPr>
      </w:pPr>
      <w:r w:rsidRPr="00BE688E">
        <w:rPr>
          <w:lang w:val="fr-CA"/>
        </w:rPr>
        <w:lastRenderedPageBreak/>
        <w:t xml:space="preserve">Alliance of Canadian </w:t>
      </w:r>
      <w:proofErr w:type="spellStart"/>
      <w:r w:rsidRPr="00BE688E">
        <w:rPr>
          <w:lang w:val="fr-CA"/>
        </w:rPr>
        <w:t>Cinema</w:t>
      </w:r>
      <w:proofErr w:type="spellEnd"/>
      <w:r w:rsidRPr="00BE688E">
        <w:rPr>
          <w:lang w:val="fr-CA"/>
        </w:rPr>
        <w:t xml:space="preserve">, </w:t>
      </w:r>
      <w:proofErr w:type="spellStart"/>
      <w:r w:rsidRPr="00BE688E">
        <w:rPr>
          <w:lang w:val="fr-CA"/>
        </w:rPr>
        <w:t>Television</w:t>
      </w:r>
      <w:proofErr w:type="spellEnd"/>
      <w:r w:rsidRPr="00BE688E">
        <w:rPr>
          <w:lang w:val="fr-CA"/>
        </w:rPr>
        <w:t xml:space="preserve"> and Radio Artists,</w:t>
      </w:r>
    </w:p>
    <w:p w:rsidR="005F030A" w:rsidRDefault="005F030A" w:rsidP="005F030A">
      <w:pPr>
        <w:pStyle w:val="SCCLsocParty"/>
        <w:rPr>
          <w:lang w:val="fr-CA"/>
        </w:rPr>
      </w:pPr>
      <w:r w:rsidRPr="00BE688E">
        <w:rPr>
          <w:lang w:val="fr-CA"/>
        </w:rPr>
        <w:t>Clinique d’intérêt public et de politique d’internet du Canada</w:t>
      </w:r>
    </w:p>
    <w:p w:rsidR="005F030A" w:rsidRPr="00BE688E" w:rsidRDefault="005F030A" w:rsidP="005F030A">
      <w:pPr>
        <w:pStyle w:val="SCCLsocParty"/>
        <w:rPr>
          <w:lang w:val="fr-CA"/>
        </w:rPr>
      </w:pPr>
      <w:r w:rsidRPr="00BE688E">
        <w:rPr>
          <w:lang w:val="fr-CA"/>
        </w:rPr>
        <w:t>Samuelson</w:t>
      </w:r>
      <w:r>
        <w:rPr>
          <w:lang w:val="fr-CA"/>
        </w:rPr>
        <w:noBreakHyphen/>
      </w:r>
      <w:proofErr w:type="spellStart"/>
      <w:r w:rsidRPr="00BE688E">
        <w:rPr>
          <w:lang w:val="fr-CA"/>
        </w:rPr>
        <w:t>Glushko</w:t>
      </w:r>
      <w:proofErr w:type="spellEnd"/>
      <w:r w:rsidRPr="00BE688E">
        <w:rPr>
          <w:lang w:val="fr-CA"/>
        </w:rPr>
        <w:t>,</w:t>
      </w:r>
    </w:p>
    <w:p w:rsidR="005F030A" w:rsidRPr="00BE688E" w:rsidRDefault="005F030A" w:rsidP="005F030A">
      <w:pPr>
        <w:pStyle w:val="SCCLsocParty"/>
        <w:rPr>
          <w:lang w:val="fr-CA"/>
        </w:rPr>
      </w:pPr>
      <w:r w:rsidRPr="00BE688E">
        <w:rPr>
          <w:lang w:val="fr-CA"/>
        </w:rPr>
        <w:t>Association du Barreau canadien,</w:t>
      </w:r>
    </w:p>
    <w:p w:rsidR="005F030A" w:rsidRPr="00D2683C" w:rsidRDefault="005F030A" w:rsidP="005F030A">
      <w:pPr>
        <w:pStyle w:val="SCCLsocParty"/>
      </w:pPr>
      <w:r w:rsidRPr="00D2683C">
        <w:t>Blue Ant Media Inc.,</w:t>
      </w:r>
    </w:p>
    <w:p w:rsidR="005F030A" w:rsidRPr="00D2683C" w:rsidRDefault="005F030A" w:rsidP="005F030A">
      <w:pPr>
        <w:pStyle w:val="SCCLsocParty"/>
      </w:pPr>
      <w:proofErr w:type="spellStart"/>
      <w:r w:rsidRPr="00D2683C">
        <w:t>Société</w:t>
      </w:r>
      <w:proofErr w:type="spellEnd"/>
      <w:r w:rsidRPr="00D2683C">
        <w:t xml:space="preserve"> Radio</w:t>
      </w:r>
      <w:r w:rsidRPr="00D2683C">
        <w:noBreakHyphen/>
        <w:t>Canada,</w:t>
      </w:r>
    </w:p>
    <w:p w:rsidR="005F030A" w:rsidRPr="00D2683C" w:rsidRDefault="005F030A" w:rsidP="005F030A">
      <w:pPr>
        <w:pStyle w:val="SCCLsocParty"/>
      </w:pPr>
      <w:r w:rsidRPr="00D2683C">
        <w:t>DHX Media Ltd.,</w:t>
      </w:r>
    </w:p>
    <w:p w:rsidR="005F030A" w:rsidRPr="00BE688E" w:rsidRDefault="005F030A" w:rsidP="005F030A">
      <w:pPr>
        <w:pStyle w:val="SCCLsocParty"/>
        <w:rPr>
          <w:lang w:val="fr-CA"/>
        </w:rPr>
      </w:pPr>
      <w:r w:rsidRPr="00BE688E">
        <w:rPr>
          <w:lang w:val="fr-CA"/>
        </w:rPr>
        <w:t xml:space="preserve">Groupe V Média </w:t>
      </w:r>
      <w:proofErr w:type="spellStart"/>
      <w:r w:rsidRPr="00BE688E">
        <w:rPr>
          <w:lang w:val="fr-CA"/>
        </w:rPr>
        <w:t>inc</w:t>
      </w:r>
      <w:proofErr w:type="gramStart"/>
      <w:r w:rsidRPr="00BE688E">
        <w:rPr>
          <w:lang w:val="fr-CA"/>
        </w:rPr>
        <w:t>.</w:t>
      </w:r>
      <w:proofErr w:type="spellEnd"/>
      <w:r w:rsidRPr="00BE688E">
        <w:rPr>
          <w:lang w:val="fr-CA"/>
        </w:rPr>
        <w:t>,</w:t>
      </w:r>
      <w:proofErr w:type="gramEnd"/>
    </w:p>
    <w:p w:rsidR="005F030A" w:rsidRPr="00BE688E" w:rsidRDefault="005F030A" w:rsidP="005F030A">
      <w:pPr>
        <w:pStyle w:val="SCCLsocParty"/>
        <w:rPr>
          <w:lang w:val="fr-CA"/>
        </w:rPr>
      </w:pPr>
      <w:r w:rsidRPr="00BE688E">
        <w:rPr>
          <w:lang w:val="fr-CA"/>
        </w:rPr>
        <w:t>Groupe de diffuseurs indépendants,</w:t>
      </w:r>
    </w:p>
    <w:p w:rsidR="005F030A" w:rsidRPr="00A60426" w:rsidRDefault="005F030A" w:rsidP="005F030A">
      <w:pPr>
        <w:pStyle w:val="SCCLsocParty"/>
        <w:rPr>
          <w:lang w:val="en-US"/>
        </w:rPr>
      </w:pPr>
      <w:r w:rsidRPr="00A60426">
        <w:rPr>
          <w:lang w:val="en-US"/>
        </w:rPr>
        <w:t>Aboriginal Peoples Television Network,</w:t>
      </w:r>
    </w:p>
    <w:p w:rsidR="005F030A" w:rsidRPr="00BE688E" w:rsidRDefault="005F030A" w:rsidP="005F030A">
      <w:pPr>
        <w:pStyle w:val="SCCLsocParty"/>
        <w:rPr>
          <w:lang w:val="en-US"/>
        </w:rPr>
      </w:pPr>
      <w:proofErr w:type="spellStart"/>
      <w:r w:rsidRPr="00BE688E">
        <w:rPr>
          <w:lang w:val="en-US"/>
        </w:rPr>
        <w:t>Allarco</w:t>
      </w:r>
      <w:proofErr w:type="spellEnd"/>
      <w:r w:rsidRPr="00BE688E">
        <w:rPr>
          <w:lang w:val="en-US"/>
        </w:rPr>
        <w:t xml:space="preserve"> Entertainment Inc.,</w:t>
      </w:r>
    </w:p>
    <w:p w:rsidR="005F030A" w:rsidRPr="00BE688E" w:rsidRDefault="005F030A" w:rsidP="005F030A">
      <w:pPr>
        <w:pStyle w:val="SCCLsocParty"/>
        <w:rPr>
          <w:lang w:val="en-US"/>
        </w:rPr>
      </w:pPr>
      <w:r w:rsidRPr="00BE688E">
        <w:rPr>
          <w:lang w:val="en-US"/>
        </w:rPr>
        <w:t>BBC Kids,</w:t>
      </w:r>
    </w:p>
    <w:p w:rsidR="005F030A" w:rsidRPr="00BE688E" w:rsidRDefault="005F030A" w:rsidP="005F030A">
      <w:pPr>
        <w:pStyle w:val="SCCLsocParty"/>
        <w:rPr>
          <w:lang w:val="en-US"/>
        </w:rPr>
      </w:pPr>
      <w:r w:rsidRPr="00BE688E">
        <w:rPr>
          <w:lang w:val="en-US"/>
        </w:rPr>
        <w:t>Channel Zero,</w:t>
      </w:r>
    </w:p>
    <w:p w:rsidR="005F030A" w:rsidRPr="00BE688E" w:rsidRDefault="005F030A" w:rsidP="005F030A">
      <w:pPr>
        <w:pStyle w:val="SCCLsocParty"/>
        <w:rPr>
          <w:lang w:val="en-US"/>
        </w:rPr>
      </w:pPr>
      <w:r w:rsidRPr="00BE688E">
        <w:rPr>
          <w:lang w:val="en-US"/>
        </w:rPr>
        <w:t>Ethnic Channels Group Ltd.,</w:t>
      </w:r>
    </w:p>
    <w:p w:rsidR="005F030A" w:rsidRPr="00BE688E" w:rsidRDefault="005F030A" w:rsidP="005F030A">
      <w:pPr>
        <w:pStyle w:val="SCCLsocParty"/>
        <w:rPr>
          <w:lang w:val="en-US"/>
        </w:rPr>
      </w:pPr>
      <w:r w:rsidRPr="00BE688E">
        <w:rPr>
          <w:lang w:val="en-US"/>
        </w:rPr>
        <w:t>Hollywood Suite,</w:t>
      </w:r>
    </w:p>
    <w:p w:rsidR="005F030A" w:rsidRPr="00BE688E" w:rsidRDefault="005F030A" w:rsidP="005F030A">
      <w:pPr>
        <w:pStyle w:val="SCCLsocParty"/>
        <w:rPr>
          <w:lang w:val="en-US"/>
        </w:rPr>
      </w:pPr>
      <w:proofErr w:type="spellStart"/>
      <w:r w:rsidRPr="00BE688E">
        <w:rPr>
          <w:lang w:val="en-US"/>
        </w:rPr>
        <w:t>OUTtv</w:t>
      </w:r>
      <w:proofErr w:type="spellEnd"/>
      <w:r w:rsidRPr="00BE688E">
        <w:rPr>
          <w:lang w:val="en-US"/>
        </w:rPr>
        <w:t xml:space="preserve"> Network Inc.,</w:t>
      </w:r>
    </w:p>
    <w:p w:rsidR="005F030A" w:rsidRPr="00BE688E" w:rsidRDefault="005F030A" w:rsidP="005F030A">
      <w:pPr>
        <w:pStyle w:val="SCCLsocParty"/>
        <w:rPr>
          <w:lang w:val="en-US"/>
        </w:rPr>
      </w:pPr>
      <w:proofErr w:type="spellStart"/>
      <w:r w:rsidRPr="00BE688E">
        <w:rPr>
          <w:lang w:val="en-US"/>
        </w:rPr>
        <w:t>Groupe</w:t>
      </w:r>
      <w:proofErr w:type="spellEnd"/>
      <w:r w:rsidRPr="00BE688E">
        <w:rPr>
          <w:lang w:val="en-US"/>
        </w:rPr>
        <w:t xml:space="preserve"> Stingray Digital </w:t>
      </w:r>
      <w:proofErr w:type="spellStart"/>
      <w:r w:rsidRPr="00BE688E">
        <w:rPr>
          <w:lang w:val="en-US"/>
        </w:rPr>
        <w:t>inc</w:t>
      </w:r>
      <w:proofErr w:type="gramStart"/>
      <w:r w:rsidRPr="00BE688E">
        <w:rPr>
          <w:lang w:val="en-US"/>
        </w:rPr>
        <w:t>.</w:t>
      </w:r>
      <w:proofErr w:type="spellEnd"/>
      <w:r w:rsidRPr="00BE688E">
        <w:rPr>
          <w:lang w:val="en-US"/>
        </w:rPr>
        <w:t>,</w:t>
      </w:r>
      <w:proofErr w:type="gramEnd"/>
    </w:p>
    <w:p w:rsidR="005F030A" w:rsidRPr="00BE688E" w:rsidRDefault="005F030A" w:rsidP="005F030A">
      <w:pPr>
        <w:pStyle w:val="SCCLsocParty"/>
        <w:rPr>
          <w:lang w:val="en-US"/>
        </w:rPr>
      </w:pPr>
      <w:r w:rsidRPr="00BE688E">
        <w:rPr>
          <w:lang w:val="en-US"/>
        </w:rPr>
        <w:t>TV5 Québec Canada,</w:t>
      </w:r>
    </w:p>
    <w:p w:rsidR="005F030A" w:rsidRPr="00BE688E" w:rsidRDefault="005F030A" w:rsidP="005F030A">
      <w:pPr>
        <w:pStyle w:val="SCCLsocParty"/>
        <w:rPr>
          <w:lang w:val="fr-CA"/>
        </w:rPr>
      </w:pPr>
      <w:proofErr w:type="spellStart"/>
      <w:r w:rsidRPr="00BE688E">
        <w:rPr>
          <w:lang w:val="fr-CA"/>
        </w:rPr>
        <w:t>ZoomerMedia</w:t>
      </w:r>
      <w:proofErr w:type="spellEnd"/>
      <w:r w:rsidRPr="00BE688E">
        <w:rPr>
          <w:lang w:val="fr-CA"/>
        </w:rPr>
        <w:t xml:space="preserve"> Ltd.,</w:t>
      </w:r>
    </w:p>
    <w:p w:rsidR="005F030A" w:rsidRPr="00BE688E" w:rsidRDefault="005F030A" w:rsidP="005F030A">
      <w:pPr>
        <w:pStyle w:val="SCCLsocParty"/>
        <w:rPr>
          <w:lang w:val="fr-CA"/>
        </w:rPr>
      </w:pPr>
      <w:r w:rsidRPr="00BE688E">
        <w:rPr>
          <w:lang w:val="fr-CA"/>
        </w:rPr>
        <w:t>Réseau de stations météorol</w:t>
      </w:r>
      <w:r>
        <w:rPr>
          <w:lang w:val="fr-CA"/>
        </w:rPr>
        <w:t>o</w:t>
      </w:r>
      <w:r w:rsidRPr="00BE688E">
        <w:rPr>
          <w:lang w:val="fr-CA"/>
        </w:rPr>
        <w:t xml:space="preserve">giques </w:t>
      </w:r>
      <w:proofErr w:type="spellStart"/>
      <w:r w:rsidRPr="00BE688E">
        <w:rPr>
          <w:lang w:val="fr-CA"/>
        </w:rPr>
        <w:t>Pelmorex</w:t>
      </w:r>
      <w:proofErr w:type="spellEnd"/>
      <w:r w:rsidRPr="00BE688E">
        <w:rPr>
          <w:lang w:val="fr-CA"/>
        </w:rPr>
        <w:t xml:space="preserve"> (Télévision) </w:t>
      </w:r>
      <w:proofErr w:type="spellStart"/>
      <w:r w:rsidRPr="00BE688E">
        <w:rPr>
          <w:lang w:val="fr-CA"/>
        </w:rPr>
        <w:t>inc.</w:t>
      </w:r>
      <w:proofErr w:type="spellEnd"/>
      <w:r w:rsidRPr="00BE688E">
        <w:rPr>
          <w:lang w:val="fr-CA"/>
        </w:rPr>
        <w:t xml:space="preserve"> et</w:t>
      </w:r>
    </w:p>
    <w:p w:rsidR="005F030A" w:rsidRPr="00BE688E" w:rsidRDefault="005F030A" w:rsidP="005F030A">
      <w:pPr>
        <w:pStyle w:val="SCCLsocParty"/>
        <w:rPr>
          <w:lang w:val="fr-CA"/>
        </w:rPr>
      </w:pPr>
      <w:r w:rsidRPr="00BE688E">
        <w:rPr>
          <w:lang w:val="fr-CA"/>
        </w:rPr>
        <w:t>Société de soutien à l’enfance et à la famille</w:t>
      </w:r>
    </w:p>
    <w:p w:rsidR="005F030A" w:rsidRPr="00BE688E" w:rsidRDefault="005F030A" w:rsidP="005F030A">
      <w:pPr>
        <w:pStyle w:val="SCCLsocParty"/>
        <w:spacing w:after="720"/>
        <w:jc w:val="left"/>
        <w:rPr>
          <w:lang w:val="fr-CA"/>
        </w:rPr>
      </w:pPr>
      <w:proofErr w:type="gramStart"/>
      <w:r w:rsidRPr="00BE688E">
        <w:rPr>
          <w:lang w:val="fr-CA"/>
        </w:rPr>
        <w:t>des</w:t>
      </w:r>
      <w:proofErr w:type="gramEnd"/>
      <w:r w:rsidRPr="00BE688E">
        <w:rPr>
          <w:lang w:val="fr-CA"/>
        </w:rPr>
        <w:t xml:space="preserve"> Premières Nations du Canada</w:t>
      </w:r>
      <w:r w:rsidRPr="00BE688E">
        <w:rPr>
          <w:rStyle w:val="SCCLsocPartyRole"/>
          <w:lang w:val="fr-CA"/>
        </w:rPr>
        <w:tab/>
        <w:t>Intervenants</w:t>
      </w:r>
    </w:p>
    <w:p w:rsidR="005F030A" w:rsidRPr="00BE688E" w:rsidRDefault="005F030A" w:rsidP="005F030A">
      <w:pPr>
        <w:spacing w:after="720"/>
        <w:jc w:val="both"/>
        <w:rPr>
          <w:lang w:val="fr-CA"/>
        </w:rPr>
      </w:pPr>
      <w:r>
        <w:rPr>
          <w:lang w:val="fr-CA"/>
        </w:rPr>
        <w:noBreakHyphen/>
      </w:r>
      <w:r w:rsidRPr="00BE688E">
        <w:rPr>
          <w:lang w:val="fr-CA"/>
        </w:rPr>
        <w:t xml:space="preserve"> </w:t>
      </w:r>
      <w:proofErr w:type="gramStart"/>
      <w:r w:rsidRPr="00BE688E">
        <w:rPr>
          <w:lang w:val="fr-CA"/>
        </w:rPr>
        <w:t>et</w:t>
      </w:r>
      <w:proofErr w:type="gramEnd"/>
      <w:r w:rsidRPr="00BE688E">
        <w:rPr>
          <w:lang w:val="fr-CA"/>
        </w:rPr>
        <w:t xml:space="preserve"> </w:t>
      </w:r>
      <w:r>
        <w:rPr>
          <w:lang w:val="fr-CA"/>
        </w:rPr>
        <w:noBreakHyphen/>
      </w:r>
    </w:p>
    <w:p w:rsidR="005F030A" w:rsidRPr="00BE688E" w:rsidRDefault="005F030A" w:rsidP="005F030A">
      <w:pPr>
        <w:pStyle w:val="SCCLsocParty"/>
        <w:rPr>
          <w:lang w:val="fr-CA"/>
        </w:rPr>
      </w:pPr>
      <w:r w:rsidRPr="00BE688E">
        <w:rPr>
          <w:lang w:val="fr-CA"/>
        </w:rPr>
        <w:t>National Football League,</w:t>
      </w:r>
    </w:p>
    <w:p w:rsidR="005F030A" w:rsidRPr="00BE688E" w:rsidRDefault="005F030A" w:rsidP="005F030A">
      <w:pPr>
        <w:pStyle w:val="SCCLsocLastPartyInRole"/>
        <w:rPr>
          <w:lang w:val="fr-CA"/>
        </w:rPr>
      </w:pPr>
      <w:r w:rsidRPr="00BE688E">
        <w:rPr>
          <w:lang w:val="fr-CA"/>
        </w:rPr>
        <w:t>NFL International LLC et NFL Productions LLC</w:t>
      </w:r>
      <w:r w:rsidRPr="00BE688E">
        <w:rPr>
          <w:rStyle w:val="SCCLsocPartyRole"/>
          <w:lang w:val="fr-CA"/>
        </w:rPr>
        <w:tab/>
        <w:t>Appelantes</w:t>
      </w:r>
    </w:p>
    <w:p w:rsidR="005F030A" w:rsidRPr="00BE688E" w:rsidRDefault="005F030A" w:rsidP="005F030A">
      <w:pPr>
        <w:pStyle w:val="SCCLsocVersus"/>
        <w:rPr>
          <w:lang w:val="fr-CA"/>
        </w:rPr>
      </w:pPr>
      <w:proofErr w:type="gramStart"/>
      <w:r w:rsidRPr="00BE688E">
        <w:rPr>
          <w:lang w:val="fr-CA"/>
        </w:rPr>
        <w:t>c</w:t>
      </w:r>
      <w:proofErr w:type="gramEnd"/>
      <w:r w:rsidRPr="00BE688E">
        <w:rPr>
          <w:lang w:val="fr-CA"/>
        </w:rPr>
        <w:t>.</w:t>
      </w:r>
    </w:p>
    <w:p w:rsidR="005F030A" w:rsidRPr="00BE688E" w:rsidRDefault="005F030A" w:rsidP="005F030A">
      <w:pPr>
        <w:pStyle w:val="SCCLsocLastPartyInRole"/>
        <w:rPr>
          <w:lang w:val="fr-CA"/>
        </w:rPr>
      </w:pPr>
      <w:r w:rsidRPr="00BE688E">
        <w:rPr>
          <w:lang w:val="fr-CA"/>
        </w:rPr>
        <w:t>Procureur général du Canada</w:t>
      </w:r>
      <w:r w:rsidRPr="00BE688E">
        <w:rPr>
          <w:rStyle w:val="SCCLsocPartyRole"/>
          <w:lang w:val="fr-CA"/>
        </w:rPr>
        <w:tab/>
        <w:t>Intimé</w:t>
      </w:r>
    </w:p>
    <w:p w:rsidR="005F030A" w:rsidRPr="00BE688E" w:rsidRDefault="005F030A" w:rsidP="005F030A">
      <w:pPr>
        <w:pStyle w:val="SCCLsocOtherPartySeparator"/>
        <w:rPr>
          <w:lang w:val="fr-CA"/>
        </w:rPr>
      </w:pPr>
      <w:proofErr w:type="gramStart"/>
      <w:r w:rsidRPr="00BE688E">
        <w:rPr>
          <w:lang w:val="fr-CA"/>
        </w:rPr>
        <w:t>et</w:t>
      </w:r>
      <w:proofErr w:type="gramEnd"/>
    </w:p>
    <w:p w:rsidR="005F030A" w:rsidRPr="00BE688E" w:rsidRDefault="005F030A" w:rsidP="005F030A">
      <w:pPr>
        <w:pStyle w:val="SCCLsocParty"/>
        <w:rPr>
          <w:lang w:val="fr-CA"/>
        </w:rPr>
      </w:pPr>
      <w:r w:rsidRPr="00BE688E">
        <w:rPr>
          <w:lang w:val="fr-CA"/>
        </w:rPr>
        <w:t>Procureur général de l’Ontario,</w:t>
      </w:r>
    </w:p>
    <w:p w:rsidR="005F030A" w:rsidRPr="00BE688E" w:rsidRDefault="005F030A" w:rsidP="005F030A">
      <w:pPr>
        <w:pStyle w:val="SCCLsocParty"/>
        <w:rPr>
          <w:lang w:val="fr-CA"/>
        </w:rPr>
      </w:pPr>
      <w:proofErr w:type="gramStart"/>
      <w:r w:rsidRPr="00BE688E">
        <w:rPr>
          <w:lang w:val="fr-CA"/>
        </w:rPr>
        <w:t>procureure</w:t>
      </w:r>
      <w:proofErr w:type="gramEnd"/>
      <w:r w:rsidRPr="00BE688E">
        <w:rPr>
          <w:lang w:val="fr-CA"/>
        </w:rPr>
        <w:t xml:space="preserve"> générale du Québec,</w:t>
      </w:r>
    </w:p>
    <w:p w:rsidR="005F030A" w:rsidRPr="00BE688E" w:rsidRDefault="005F030A" w:rsidP="005F030A">
      <w:pPr>
        <w:pStyle w:val="SCCLsocParty"/>
        <w:rPr>
          <w:lang w:val="fr-CA"/>
        </w:rPr>
      </w:pPr>
      <w:proofErr w:type="gramStart"/>
      <w:r w:rsidRPr="00BE688E">
        <w:rPr>
          <w:lang w:val="fr-CA"/>
        </w:rPr>
        <w:t>procureur</w:t>
      </w:r>
      <w:proofErr w:type="gramEnd"/>
      <w:r w:rsidRPr="00BE688E">
        <w:rPr>
          <w:lang w:val="fr-CA"/>
        </w:rPr>
        <w:t xml:space="preserve"> général de la Colombie</w:t>
      </w:r>
      <w:r>
        <w:rPr>
          <w:lang w:val="fr-CA"/>
        </w:rPr>
        <w:noBreakHyphen/>
      </w:r>
      <w:r w:rsidRPr="00BE688E">
        <w:rPr>
          <w:lang w:val="fr-CA"/>
        </w:rPr>
        <w:t>Britannique,</w:t>
      </w:r>
    </w:p>
    <w:p w:rsidR="005F030A" w:rsidRPr="00BE688E" w:rsidRDefault="005F030A" w:rsidP="005F030A">
      <w:pPr>
        <w:pStyle w:val="SCCLsocParty"/>
        <w:rPr>
          <w:lang w:val="fr-CA"/>
        </w:rPr>
      </w:pPr>
      <w:proofErr w:type="gramStart"/>
      <w:r w:rsidRPr="00BE688E">
        <w:rPr>
          <w:lang w:val="fr-CA"/>
        </w:rPr>
        <w:t>procureur</w:t>
      </w:r>
      <w:proofErr w:type="gramEnd"/>
      <w:r w:rsidRPr="00BE688E">
        <w:rPr>
          <w:lang w:val="fr-CA"/>
        </w:rPr>
        <w:t xml:space="preserve"> général de la Saskatchewan,</w:t>
      </w:r>
    </w:p>
    <w:p w:rsidR="005F030A" w:rsidRPr="00BE688E" w:rsidRDefault="005F030A" w:rsidP="005F030A">
      <w:pPr>
        <w:pStyle w:val="SCCLsocParty"/>
        <w:rPr>
          <w:lang w:val="fr-CA"/>
        </w:rPr>
      </w:pPr>
      <w:r w:rsidRPr="00BE688E">
        <w:rPr>
          <w:lang w:val="fr-CA"/>
        </w:rPr>
        <w:t>Conseil de la radiodiffusion et des télécommunications canadiennes,</w:t>
      </w:r>
    </w:p>
    <w:p w:rsidR="005F030A" w:rsidRPr="00BE688E" w:rsidRDefault="005F030A" w:rsidP="005F030A">
      <w:pPr>
        <w:pStyle w:val="SCCLsocParty"/>
        <w:rPr>
          <w:lang w:val="fr-CA"/>
        </w:rPr>
      </w:pPr>
      <w:proofErr w:type="spellStart"/>
      <w:r w:rsidRPr="00BE688E">
        <w:rPr>
          <w:lang w:val="fr-CA"/>
        </w:rPr>
        <w:t>Telus</w:t>
      </w:r>
      <w:proofErr w:type="spellEnd"/>
      <w:r w:rsidRPr="00BE688E">
        <w:rPr>
          <w:lang w:val="fr-CA"/>
        </w:rPr>
        <w:t xml:space="preserve"> Communications Inc.,</w:t>
      </w:r>
    </w:p>
    <w:p w:rsidR="005F030A" w:rsidRDefault="005F030A" w:rsidP="005F030A">
      <w:pPr>
        <w:pStyle w:val="SCCLsocParty"/>
        <w:rPr>
          <w:lang w:val="fr-CA"/>
        </w:rPr>
      </w:pPr>
      <w:r w:rsidRPr="00BE688E">
        <w:rPr>
          <w:lang w:val="fr-CA"/>
        </w:rPr>
        <w:lastRenderedPageBreak/>
        <w:t>Centre ontarien de déf</w:t>
      </w:r>
      <w:r>
        <w:rPr>
          <w:lang w:val="fr-CA"/>
        </w:rPr>
        <w:t>ense des droits des locataires -</w:t>
      </w:r>
      <w:r w:rsidRPr="00BE688E">
        <w:rPr>
          <w:lang w:val="fr-CA"/>
        </w:rPr>
        <w:t xml:space="preserve"> Programme d’avocats de</w:t>
      </w:r>
    </w:p>
    <w:p w:rsidR="005F030A" w:rsidRPr="00BE688E" w:rsidRDefault="005F030A" w:rsidP="005F030A">
      <w:pPr>
        <w:pStyle w:val="SCCLsocParty"/>
        <w:rPr>
          <w:lang w:val="fr-CA"/>
        </w:rPr>
      </w:pPr>
      <w:proofErr w:type="gramStart"/>
      <w:r w:rsidRPr="00BE688E">
        <w:rPr>
          <w:lang w:val="fr-CA"/>
        </w:rPr>
        <w:t>service</w:t>
      </w:r>
      <w:proofErr w:type="gramEnd"/>
      <w:r w:rsidRPr="00BE688E">
        <w:rPr>
          <w:lang w:val="fr-CA"/>
        </w:rPr>
        <w:t xml:space="preserve"> en droit du logement,</w:t>
      </w:r>
    </w:p>
    <w:p w:rsidR="005F030A" w:rsidRPr="00BE688E" w:rsidRDefault="005F030A" w:rsidP="005F030A">
      <w:pPr>
        <w:pStyle w:val="SCCLsocParty"/>
        <w:rPr>
          <w:lang w:val="fr-CA"/>
        </w:rPr>
      </w:pPr>
      <w:r w:rsidRPr="00BE688E">
        <w:rPr>
          <w:lang w:val="fr-CA"/>
        </w:rPr>
        <w:t>Commission des valeurs mobilières de l’Ontario,</w:t>
      </w:r>
    </w:p>
    <w:p w:rsidR="005F030A" w:rsidRPr="00BE688E" w:rsidRDefault="005F030A" w:rsidP="005F030A">
      <w:pPr>
        <w:pStyle w:val="SCCLsocParty"/>
        <w:rPr>
          <w:lang w:val="en-US"/>
        </w:rPr>
      </w:pPr>
      <w:r w:rsidRPr="00BE688E">
        <w:rPr>
          <w:lang w:val="en-US"/>
        </w:rPr>
        <w:t>British Columbia Securities Commission,</w:t>
      </w:r>
    </w:p>
    <w:p w:rsidR="005F030A" w:rsidRPr="00BE688E" w:rsidRDefault="005F030A" w:rsidP="005F030A">
      <w:pPr>
        <w:pStyle w:val="SCCLsocParty"/>
        <w:rPr>
          <w:lang w:val="en-US"/>
        </w:rPr>
      </w:pPr>
      <w:r w:rsidRPr="00BE688E">
        <w:rPr>
          <w:lang w:val="en-US"/>
        </w:rPr>
        <w:t>Alberta Securities Commission,</w:t>
      </w:r>
    </w:p>
    <w:p w:rsidR="005F030A" w:rsidRPr="00BE688E" w:rsidRDefault="005F030A" w:rsidP="005F030A">
      <w:pPr>
        <w:pStyle w:val="SCCLsocParty"/>
        <w:rPr>
          <w:lang w:val="fr-CA"/>
        </w:rPr>
      </w:pPr>
      <w:proofErr w:type="spellStart"/>
      <w:r w:rsidRPr="00BE688E">
        <w:rPr>
          <w:lang w:val="fr-CA"/>
        </w:rPr>
        <w:t>Ecojustice</w:t>
      </w:r>
      <w:proofErr w:type="spellEnd"/>
      <w:r w:rsidRPr="00BE688E">
        <w:rPr>
          <w:lang w:val="fr-CA"/>
        </w:rPr>
        <w:t xml:space="preserve"> Canada Society,</w:t>
      </w:r>
    </w:p>
    <w:p w:rsidR="005F030A" w:rsidRDefault="005F030A" w:rsidP="005F030A">
      <w:pPr>
        <w:pStyle w:val="SCCLsocParty"/>
        <w:rPr>
          <w:lang w:val="fr-CA"/>
        </w:rPr>
      </w:pPr>
      <w:r w:rsidRPr="00BE688E">
        <w:rPr>
          <w:lang w:val="fr-CA"/>
        </w:rPr>
        <w:t>Tribunal d’appel de la sécurité professionnelle et de l’assurance contre les</w:t>
      </w:r>
    </w:p>
    <w:p w:rsidR="005F030A" w:rsidRPr="00BE688E" w:rsidRDefault="005F030A" w:rsidP="005F030A">
      <w:pPr>
        <w:pStyle w:val="SCCLsocParty"/>
        <w:rPr>
          <w:lang w:val="fr-CA"/>
        </w:rPr>
      </w:pPr>
      <w:proofErr w:type="gramStart"/>
      <w:r w:rsidRPr="00BE688E">
        <w:rPr>
          <w:lang w:val="fr-CA"/>
        </w:rPr>
        <w:t>accidents</w:t>
      </w:r>
      <w:proofErr w:type="gramEnd"/>
      <w:r w:rsidRPr="00BE688E">
        <w:rPr>
          <w:lang w:val="fr-CA"/>
        </w:rPr>
        <w:t xml:space="preserve"> du travail (Ontario),</w:t>
      </w:r>
    </w:p>
    <w:p w:rsidR="005F030A" w:rsidRDefault="005F030A" w:rsidP="005F030A">
      <w:pPr>
        <w:pStyle w:val="SCCLsocParty"/>
        <w:rPr>
          <w:lang w:val="fr-CA"/>
        </w:rPr>
      </w:pPr>
      <w:proofErr w:type="spellStart"/>
      <w:r w:rsidRPr="00BE688E">
        <w:rPr>
          <w:lang w:val="fr-CA"/>
        </w:rPr>
        <w:t>Workers</w:t>
      </w:r>
      <w:proofErr w:type="spellEnd"/>
      <w:r w:rsidRPr="00BE688E">
        <w:rPr>
          <w:lang w:val="fr-CA"/>
        </w:rPr>
        <w:t xml:space="preserve">’ Compensation </w:t>
      </w:r>
      <w:proofErr w:type="spellStart"/>
      <w:r w:rsidRPr="00BE688E">
        <w:rPr>
          <w:lang w:val="fr-CA"/>
        </w:rPr>
        <w:t>Appeals</w:t>
      </w:r>
      <w:proofErr w:type="spellEnd"/>
      <w:r w:rsidRPr="00BE688E">
        <w:rPr>
          <w:lang w:val="fr-CA"/>
        </w:rPr>
        <w:t xml:space="preserve"> Tribunal (Territoires du Nord</w:t>
      </w:r>
      <w:r>
        <w:rPr>
          <w:lang w:val="fr-CA"/>
        </w:rPr>
        <w:noBreakHyphen/>
      </w:r>
      <w:r w:rsidRPr="00BE688E">
        <w:rPr>
          <w:lang w:val="fr-CA"/>
        </w:rPr>
        <w:t>Ouest et</w:t>
      </w:r>
    </w:p>
    <w:p w:rsidR="005F030A" w:rsidRPr="00BE688E" w:rsidRDefault="005F030A" w:rsidP="005F030A">
      <w:pPr>
        <w:pStyle w:val="SCCLsocParty"/>
        <w:rPr>
          <w:lang w:val="fr-CA"/>
        </w:rPr>
      </w:pPr>
      <w:r w:rsidRPr="00BE688E">
        <w:rPr>
          <w:lang w:val="fr-CA"/>
        </w:rPr>
        <w:t>Nunavut),</w:t>
      </w:r>
    </w:p>
    <w:p w:rsidR="005F030A" w:rsidRDefault="005F030A" w:rsidP="005F030A">
      <w:pPr>
        <w:pStyle w:val="SCCLsocParty"/>
        <w:rPr>
          <w:lang w:val="fr-CA"/>
        </w:rPr>
      </w:pPr>
      <w:r w:rsidRPr="00BE688E">
        <w:rPr>
          <w:lang w:val="fr-CA"/>
        </w:rPr>
        <w:t>Tribunal d’appel des décisions de la Commission des accidents du travail de la</w:t>
      </w:r>
    </w:p>
    <w:p w:rsidR="005F030A" w:rsidRPr="00BE688E" w:rsidRDefault="005F030A" w:rsidP="005F030A">
      <w:pPr>
        <w:pStyle w:val="SCCLsocParty"/>
        <w:rPr>
          <w:lang w:val="fr-CA"/>
        </w:rPr>
      </w:pPr>
      <w:r w:rsidRPr="00BE688E">
        <w:rPr>
          <w:lang w:val="fr-CA"/>
        </w:rPr>
        <w:t>Nouvelle</w:t>
      </w:r>
      <w:r>
        <w:rPr>
          <w:lang w:val="fr-CA"/>
        </w:rPr>
        <w:noBreakHyphen/>
      </w:r>
      <w:r w:rsidRPr="00BE688E">
        <w:rPr>
          <w:lang w:val="fr-CA"/>
        </w:rPr>
        <w:t>Écosse,</w:t>
      </w:r>
    </w:p>
    <w:p w:rsidR="005F030A" w:rsidRPr="00D2683C" w:rsidRDefault="005F030A" w:rsidP="005F030A">
      <w:pPr>
        <w:pStyle w:val="SCCLsocParty"/>
        <w:rPr>
          <w:lang w:val="fr-CA"/>
        </w:rPr>
      </w:pPr>
      <w:proofErr w:type="spellStart"/>
      <w:r w:rsidRPr="00D2683C">
        <w:rPr>
          <w:lang w:val="fr-CA"/>
        </w:rPr>
        <w:t>Appeals</w:t>
      </w:r>
      <w:proofErr w:type="spellEnd"/>
      <w:r w:rsidRPr="00D2683C">
        <w:rPr>
          <w:lang w:val="fr-CA"/>
        </w:rPr>
        <w:t xml:space="preserve"> Commission for Alberta </w:t>
      </w:r>
      <w:proofErr w:type="spellStart"/>
      <w:r w:rsidRPr="00D2683C">
        <w:rPr>
          <w:lang w:val="fr-CA"/>
        </w:rPr>
        <w:t>Workers</w:t>
      </w:r>
      <w:proofErr w:type="spellEnd"/>
      <w:r w:rsidRPr="00D2683C">
        <w:rPr>
          <w:lang w:val="fr-CA"/>
        </w:rPr>
        <w:t>’ Compensation,</w:t>
      </w:r>
    </w:p>
    <w:p w:rsidR="005F030A" w:rsidRPr="00BE688E" w:rsidRDefault="005F030A" w:rsidP="005F030A">
      <w:pPr>
        <w:pStyle w:val="SCCLsocParty"/>
        <w:rPr>
          <w:lang w:val="fr-CA"/>
        </w:rPr>
      </w:pPr>
      <w:r w:rsidRPr="00BE688E">
        <w:rPr>
          <w:lang w:val="fr-CA"/>
        </w:rPr>
        <w:t>Tribunal d’appel des accidents au travail (Nouveau</w:t>
      </w:r>
      <w:r>
        <w:rPr>
          <w:lang w:val="fr-CA"/>
        </w:rPr>
        <w:noBreakHyphen/>
      </w:r>
      <w:r w:rsidRPr="00BE688E">
        <w:rPr>
          <w:lang w:val="fr-CA"/>
        </w:rPr>
        <w:t>Brunswick),</w:t>
      </w:r>
    </w:p>
    <w:p w:rsidR="005F030A" w:rsidRDefault="005F030A" w:rsidP="005F030A">
      <w:pPr>
        <w:pStyle w:val="SCCLsocParty"/>
        <w:rPr>
          <w:lang w:val="fr-CA"/>
        </w:rPr>
      </w:pPr>
      <w:r w:rsidRPr="00BE688E">
        <w:rPr>
          <w:lang w:val="fr-CA"/>
        </w:rPr>
        <w:t xml:space="preserve">British Columbia International Commercial Arbitration Centre </w:t>
      </w:r>
      <w:proofErr w:type="spellStart"/>
      <w:r w:rsidRPr="00BE688E">
        <w:rPr>
          <w:lang w:val="fr-CA"/>
        </w:rPr>
        <w:t>Foundation</w:t>
      </w:r>
      <w:proofErr w:type="spellEnd"/>
      <w:r w:rsidRPr="00BE688E">
        <w:rPr>
          <w:lang w:val="fr-CA"/>
        </w:rPr>
        <w:t>,</w:t>
      </w:r>
    </w:p>
    <w:p w:rsidR="005F030A" w:rsidRPr="00BE688E" w:rsidRDefault="005F030A" w:rsidP="005F030A">
      <w:pPr>
        <w:pStyle w:val="SCCLsocParty"/>
        <w:rPr>
          <w:lang w:val="fr-CA"/>
        </w:rPr>
      </w:pPr>
      <w:r w:rsidRPr="00BE688E">
        <w:rPr>
          <w:lang w:val="fr-CA"/>
        </w:rPr>
        <w:t>Conseil des tribunaux administratifs canadiens,</w:t>
      </w:r>
    </w:p>
    <w:p w:rsidR="005F030A" w:rsidRPr="00BE688E" w:rsidRDefault="005F030A" w:rsidP="005F030A">
      <w:pPr>
        <w:pStyle w:val="SCCLsocParty"/>
        <w:rPr>
          <w:lang w:val="fr-CA"/>
        </w:rPr>
      </w:pPr>
      <w:r w:rsidRPr="00BE688E">
        <w:rPr>
          <w:lang w:val="fr-CA"/>
        </w:rPr>
        <w:t xml:space="preserve">National </w:t>
      </w:r>
      <w:proofErr w:type="spellStart"/>
      <w:r w:rsidRPr="00BE688E">
        <w:rPr>
          <w:lang w:val="fr-CA"/>
        </w:rPr>
        <w:t>Academy</w:t>
      </w:r>
      <w:proofErr w:type="spellEnd"/>
      <w:r w:rsidRPr="00BE688E">
        <w:rPr>
          <w:lang w:val="fr-CA"/>
        </w:rPr>
        <w:t xml:space="preserve"> of </w:t>
      </w:r>
      <w:proofErr w:type="spellStart"/>
      <w:r w:rsidRPr="00BE688E">
        <w:rPr>
          <w:lang w:val="fr-CA"/>
        </w:rPr>
        <w:t>Arbitrators</w:t>
      </w:r>
      <w:proofErr w:type="spellEnd"/>
      <w:r w:rsidRPr="00BE688E">
        <w:rPr>
          <w:lang w:val="fr-CA"/>
        </w:rPr>
        <w:t>,</w:t>
      </w:r>
    </w:p>
    <w:p w:rsidR="005F030A" w:rsidRPr="00BE688E" w:rsidRDefault="005F030A" w:rsidP="005F030A">
      <w:pPr>
        <w:pStyle w:val="SCCLsocParty"/>
        <w:rPr>
          <w:lang w:val="fr-CA"/>
        </w:rPr>
      </w:pPr>
      <w:r w:rsidRPr="00BE688E">
        <w:rPr>
          <w:lang w:val="fr-CA"/>
        </w:rPr>
        <w:t>Ontario Labour</w:t>
      </w:r>
      <w:r>
        <w:rPr>
          <w:lang w:val="fr-CA"/>
        </w:rPr>
        <w:noBreakHyphen/>
      </w:r>
      <w:r w:rsidRPr="00BE688E">
        <w:rPr>
          <w:lang w:val="fr-CA"/>
        </w:rPr>
        <w:t xml:space="preserve">Management </w:t>
      </w:r>
      <w:proofErr w:type="spellStart"/>
      <w:r w:rsidRPr="00BE688E">
        <w:rPr>
          <w:lang w:val="fr-CA"/>
        </w:rPr>
        <w:t>Arbitrators</w:t>
      </w:r>
      <w:proofErr w:type="spellEnd"/>
      <w:r w:rsidRPr="00BE688E">
        <w:rPr>
          <w:lang w:val="fr-CA"/>
        </w:rPr>
        <w:t>’ Association,</w:t>
      </w:r>
    </w:p>
    <w:p w:rsidR="005F030A" w:rsidRPr="00BE688E" w:rsidRDefault="005F030A" w:rsidP="005F030A">
      <w:pPr>
        <w:pStyle w:val="SCCLsocParty"/>
        <w:rPr>
          <w:lang w:val="fr-CA"/>
        </w:rPr>
      </w:pPr>
      <w:r w:rsidRPr="00BE688E">
        <w:rPr>
          <w:lang w:val="fr-CA"/>
        </w:rPr>
        <w:t>Conférence des arbitres du Québec,</w:t>
      </w:r>
    </w:p>
    <w:p w:rsidR="005F030A" w:rsidRPr="00BE688E" w:rsidRDefault="005F030A" w:rsidP="005F030A">
      <w:pPr>
        <w:pStyle w:val="SCCLsocParty"/>
        <w:rPr>
          <w:lang w:val="fr-CA"/>
        </w:rPr>
      </w:pPr>
      <w:r w:rsidRPr="00BE688E">
        <w:rPr>
          <w:lang w:val="fr-CA"/>
        </w:rPr>
        <w:t>Congrès du travail du Canada,</w:t>
      </w:r>
    </w:p>
    <w:p w:rsidR="005F030A" w:rsidRPr="00BE688E" w:rsidRDefault="005F030A" w:rsidP="005F030A">
      <w:pPr>
        <w:pStyle w:val="SCCLsocParty"/>
        <w:rPr>
          <w:lang w:val="fr-CA"/>
        </w:rPr>
      </w:pPr>
      <w:r w:rsidRPr="00BE688E">
        <w:rPr>
          <w:lang w:val="fr-CA"/>
        </w:rPr>
        <w:t>Association nationale des organismes de réglementation de la pharmacie,</w:t>
      </w:r>
    </w:p>
    <w:p w:rsidR="005F030A" w:rsidRPr="00BE688E" w:rsidRDefault="005F030A" w:rsidP="005F030A">
      <w:pPr>
        <w:pStyle w:val="SCCLsocParty"/>
        <w:rPr>
          <w:lang w:val="en-US"/>
        </w:rPr>
      </w:pPr>
      <w:r w:rsidRPr="00BE688E">
        <w:rPr>
          <w:lang w:val="en-US"/>
        </w:rPr>
        <w:t>Queen’s Prison Law Clinic,</w:t>
      </w:r>
    </w:p>
    <w:p w:rsidR="005F030A" w:rsidRPr="00BE688E" w:rsidRDefault="005F030A" w:rsidP="005F030A">
      <w:pPr>
        <w:pStyle w:val="SCCLsocParty"/>
        <w:rPr>
          <w:lang w:val="en-US"/>
        </w:rPr>
      </w:pPr>
      <w:r w:rsidRPr="00BE688E">
        <w:rPr>
          <w:lang w:val="en-US"/>
        </w:rPr>
        <w:t>Advocates for the Rule of Law,</w:t>
      </w:r>
    </w:p>
    <w:p w:rsidR="005F030A" w:rsidRPr="00BE688E" w:rsidRDefault="005F030A" w:rsidP="005F030A">
      <w:pPr>
        <w:pStyle w:val="SCCLsocParty"/>
        <w:rPr>
          <w:lang w:val="en-US"/>
        </w:rPr>
      </w:pPr>
      <w:r w:rsidRPr="00BE688E">
        <w:rPr>
          <w:lang w:val="en-US"/>
        </w:rPr>
        <w:t>Cambridge Comparative Administrative Law Forum,</w:t>
      </w:r>
    </w:p>
    <w:p w:rsidR="005F030A" w:rsidRPr="00BE688E" w:rsidRDefault="005F030A" w:rsidP="005F030A">
      <w:pPr>
        <w:pStyle w:val="SCCLsocParty"/>
        <w:rPr>
          <w:lang w:val="fr-CA"/>
        </w:rPr>
      </w:pPr>
      <w:r w:rsidRPr="00BE688E">
        <w:rPr>
          <w:lang w:val="fr-CA"/>
        </w:rPr>
        <w:t>Association canadienne des annonceurs,</w:t>
      </w:r>
    </w:p>
    <w:p w:rsidR="005F030A" w:rsidRPr="00BE688E" w:rsidRDefault="005F030A" w:rsidP="005F030A">
      <w:pPr>
        <w:pStyle w:val="SCCLsocParty"/>
        <w:rPr>
          <w:lang w:val="fr-CA"/>
        </w:rPr>
      </w:pPr>
      <w:r w:rsidRPr="00BE688E">
        <w:rPr>
          <w:lang w:val="fr-CA"/>
        </w:rPr>
        <w:t xml:space="preserve">Alliance of Canadian </w:t>
      </w:r>
      <w:proofErr w:type="spellStart"/>
      <w:r w:rsidRPr="00BE688E">
        <w:rPr>
          <w:lang w:val="fr-CA"/>
        </w:rPr>
        <w:t>Cinema</w:t>
      </w:r>
      <w:proofErr w:type="spellEnd"/>
      <w:r w:rsidRPr="00BE688E">
        <w:rPr>
          <w:lang w:val="fr-CA"/>
        </w:rPr>
        <w:t xml:space="preserve">, </w:t>
      </w:r>
      <w:proofErr w:type="spellStart"/>
      <w:r w:rsidRPr="00BE688E">
        <w:rPr>
          <w:lang w:val="fr-CA"/>
        </w:rPr>
        <w:t>Television</w:t>
      </w:r>
      <w:proofErr w:type="spellEnd"/>
      <w:r w:rsidRPr="00BE688E">
        <w:rPr>
          <w:lang w:val="fr-CA"/>
        </w:rPr>
        <w:t xml:space="preserve"> and Radio Artists,</w:t>
      </w:r>
    </w:p>
    <w:p w:rsidR="005F030A" w:rsidRDefault="005F030A" w:rsidP="005F030A">
      <w:pPr>
        <w:pStyle w:val="SCCLsocParty"/>
        <w:rPr>
          <w:lang w:val="fr-CA"/>
        </w:rPr>
      </w:pPr>
      <w:r w:rsidRPr="00BE688E">
        <w:rPr>
          <w:lang w:val="fr-CA"/>
        </w:rPr>
        <w:t>Clinique d’intérêt public et de politique d’internet</w:t>
      </w:r>
      <w:r>
        <w:rPr>
          <w:lang w:val="fr-CA"/>
        </w:rPr>
        <w:t xml:space="preserve"> </w:t>
      </w:r>
      <w:r w:rsidRPr="00BE688E">
        <w:rPr>
          <w:lang w:val="fr-CA"/>
        </w:rPr>
        <w:t>du Canada</w:t>
      </w:r>
    </w:p>
    <w:p w:rsidR="005F030A" w:rsidRPr="00BE688E" w:rsidRDefault="005F030A" w:rsidP="005F030A">
      <w:pPr>
        <w:pStyle w:val="SCCLsocParty"/>
        <w:rPr>
          <w:lang w:val="fr-CA"/>
        </w:rPr>
      </w:pPr>
      <w:r w:rsidRPr="00BE688E">
        <w:rPr>
          <w:lang w:val="fr-CA"/>
        </w:rPr>
        <w:t>Samuelson</w:t>
      </w:r>
      <w:r>
        <w:rPr>
          <w:lang w:val="fr-CA"/>
        </w:rPr>
        <w:noBreakHyphen/>
      </w:r>
      <w:proofErr w:type="spellStart"/>
      <w:r w:rsidRPr="00BE688E">
        <w:rPr>
          <w:lang w:val="fr-CA"/>
        </w:rPr>
        <w:t>Glushko</w:t>
      </w:r>
      <w:proofErr w:type="spellEnd"/>
      <w:r w:rsidRPr="00BE688E">
        <w:rPr>
          <w:lang w:val="fr-CA"/>
        </w:rPr>
        <w:t>,</w:t>
      </w:r>
    </w:p>
    <w:p w:rsidR="005F030A" w:rsidRPr="00BE688E" w:rsidRDefault="005F030A" w:rsidP="005F030A">
      <w:pPr>
        <w:pStyle w:val="SCCLsocParty"/>
        <w:rPr>
          <w:lang w:val="fr-CA"/>
        </w:rPr>
      </w:pPr>
      <w:r w:rsidRPr="00BE688E">
        <w:rPr>
          <w:lang w:val="fr-CA"/>
        </w:rPr>
        <w:t>Association du Barreau canadien et</w:t>
      </w:r>
    </w:p>
    <w:p w:rsidR="005F030A" w:rsidRPr="00BE688E" w:rsidRDefault="005F030A" w:rsidP="005F030A">
      <w:pPr>
        <w:pStyle w:val="SCCLsocParty"/>
        <w:rPr>
          <w:lang w:val="fr-CA"/>
        </w:rPr>
      </w:pPr>
      <w:r w:rsidRPr="00BE688E">
        <w:rPr>
          <w:lang w:val="fr-CA"/>
        </w:rPr>
        <w:t>Société de soutien à l’enfance et à la famille</w:t>
      </w:r>
    </w:p>
    <w:p w:rsidR="005F030A" w:rsidRPr="00BE688E" w:rsidRDefault="005F030A" w:rsidP="005F030A">
      <w:pPr>
        <w:pStyle w:val="SCCLsocParty"/>
        <w:spacing w:after="720"/>
        <w:jc w:val="left"/>
        <w:rPr>
          <w:lang w:val="fr-CA"/>
        </w:rPr>
      </w:pPr>
      <w:proofErr w:type="gramStart"/>
      <w:r w:rsidRPr="00BE688E">
        <w:rPr>
          <w:lang w:val="fr-CA"/>
        </w:rPr>
        <w:t>des</w:t>
      </w:r>
      <w:proofErr w:type="gramEnd"/>
      <w:r w:rsidRPr="00BE688E">
        <w:rPr>
          <w:lang w:val="fr-CA"/>
        </w:rPr>
        <w:t xml:space="preserve"> Premières Nations du Canada </w:t>
      </w:r>
      <w:r w:rsidRPr="00BE688E">
        <w:rPr>
          <w:rStyle w:val="SCCLsocPartyRole"/>
          <w:lang w:val="fr-CA"/>
        </w:rPr>
        <w:tab/>
        <w:t>Intervenants</w:t>
      </w:r>
    </w:p>
    <w:p w:rsidR="005F030A" w:rsidRPr="00BE688E" w:rsidRDefault="005F030A" w:rsidP="005F030A">
      <w:pPr>
        <w:spacing w:after="720"/>
        <w:jc w:val="both"/>
        <w:rPr>
          <w:b/>
          <w:lang w:val="fr-CA"/>
        </w:rPr>
      </w:pPr>
      <w:r w:rsidRPr="00BE688E">
        <w:rPr>
          <w:b/>
          <w:lang w:val="fr-CA"/>
        </w:rPr>
        <w:t>Répertorié</w:t>
      </w:r>
      <w:r>
        <w:rPr>
          <w:b/>
          <w:lang w:val="fr-CA"/>
        </w:rPr>
        <w:t> :</w:t>
      </w:r>
      <w:r w:rsidRPr="00BE688E">
        <w:rPr>
          <w:b/>
          <w:lang w:val="fr-CA"/>
        </w:rPr>
        <w:t xml:space="preserve"> Bell Canada </w:t>
      </w:r>
      <w:r w:rsidRPr="00BE688E">
        <w:rPr>
          <w:b/>
          <w:i/>
          <w:lang w:val="fr-CA"/>
        </w:rPr>
        <w:t>c.</w:t>
      </w:r>
      <w:r w:rsidRPr="00BE688E">
        <w:rPr>
          <w:b/>
          <w:lang w:val="fr-CA"/>
        </w:rPr>
        <w:t xml:space="preserve"> Canada (Procureur général)</w:t>
      </w:r>
    </w:p>
    <w:p w:rsidR="005F030A" w:rsidRPr="00BE688E" w:rsidRDefault="005F030A" w:rsidP="005F030A">
      <w:pPr>
        <w:pStyle w:val="SCCSystemYear"/>
        <w:spacing w:after="720"/>
        <w:jc w:val="both"/>
        <w:rPr>
          <w:lang w:val="fr-CA"/>
        </w:rPr>
      </w:pPr>
      <w:r w:rsidRPr="00BE688E">
        <w:rPr>
          <w:lang w:val="fr-CA"/>
        </w:rPr>
        <w:t>2019 CSC 66</w:t>
      </w:r>
    </w:p>
    <w:p w:rsidR="005F030A" w:rsidRPr="00BE688E" w:rsidRDefault="005F030A" w:rsidP="005F030A">
      <w:pPr>
        <w:spacing w:after="720"/>
        <w:jc w:val="both"/>
        <w:rPr>
          <w:lang w:val="fr-CA"/>
        </w:rPr>
      </w:pPr>
      <w:r w:rsidRPr="00BE688E">
        <w:rPr>
          <w:lang w:val="fr-CA"/>
        </w:rPr>
        <w:t>N</w:t>
      </w:r>
      <w:r w:rsidRPr="00BE688E">
        <w:rPr>
          <w:vertAlign w:val="superscript"/>
          <w:lang w:val="fr-CA"/>
        </w:rPr>
        <w:t>os</w:t>
      </w:r>
      <w:r w:rsidRPr="00BE688E">
        <w:rPr>
          <w:lang w:val="fr-CA"/>
        </w:rPr>
        <w:t xml:space="preserve"> du greffe</w:t>
      </w:r>
      <w:r>
        <w:rPr>
          <w:lang w:val="fr-CA"/>
        </w:rPr>
        <w:t> :</w:t>
      </w:r>
      <w:r w:rsidRPr="00BE688E">
        <w:rPr>
          <w:lang w:val="fr-CA"/>
        </w:rPr>
        <w:t xml:space="preserve"> 37896, 37897.</w:t>
      </w:r>
    </w:p>
    <w:p w:rsidR="005F030A" w:rsidRPr="00BE688E" w:rsidRDefault="005F030A" w:rsidP="005F030A">
      <w:pPr>
        <w:spacing w:after="720"/>
        <w:jc w:val="both"/>
        <w:rPr>
          <w:lang w:val="fr-CA"/>
        </w:rPr>
      </w:pPr>
      <w:r w:rsidRPr="00BE688E">
        <w:rPr>
          <w:lang w:val="fr-CA"/>
        </w:rPr>
        <w:t>2018</w:t>
      </w:r>
      <w:r>
        <w:rPr>
          <w:lang w:val="fr-CA"/>
        </w:rPr>
        <w:t> :</w:t>
      </w:r>
      <w:r w:rsidRPr="00BE688E">
        <w:rPr>
          <w:lang w:val="fr-CA"/>
        </w:rPr>
        <w:t> 4, 5, 6 décembre; 2019</w:t>
      </w:r>
      <w:r>
        <w:rPr>
          <w:lang w:val="fr-CA"/>
        </w:rPr>
        <w:t> :</w:t>
      </w:r>
      <w:r w:rsidRPr="00BE688E">
        <w:rPr>
          <w:lang w:val="fr-CA"/>
        </w:rPr>
        <w:t> 19 décembre.</w:t>
      </w:r>
    </w:p>
    <w:p w:rsidR="005F030A" w:rsidRPr="00BE688E" w:rsidRDefault="005F030A" w:rsidP="005F030A">
      <w:pPr>
        <w:spacing w:after="720"/>
        <w:jc w:val="both"/>
        <w:rPr>
          <w:lang w:val="fr-CA"/>
        </w:rPr>
      </w:pPr>
      <w:r w:rsidRPr="00BE688E">
        <w:rPr>
          <w:lang w:val="fr-CA"/>
        </w:rPr>
        <w:t>Présents</w:t>
      </w:r>
      <w:r>
        <w:rPr>
          <w:lang w:val="fr-CA"/>
        </w:rPr>
        <w:t> :</w:t>
      </w:r>
      <w:r w:rsidRPr="00BE688E">
        <w:rPr>
          <w:lang w:val="fr-CA"/>
        </w:rPr>
        <w:t xml:space="preserve"> Le juge en chef Wagner et les juges Abella, </w:t>
      </w:r>
      <w:proofErr w:type="spellStart"/>
      <w:r w:rsidRPr="00BE688E">
        <w:rPr>
          <w:lang w:val="fr-CA"/>
        </w:rPr>
        <w:t>Moldaver</w:t>
      </w:r>
      <w:proofErr w:type="spellEnd"/>
      <w:r w:rsidRPr="00BE688E">
        <w:rPr>
          <w:lang w:val="fr-CA"/>
        </w:rPr>
        <w:t xml:space="preserve">, </w:t>
      </w:r>
      <w:proofErr w:type="spellStart"/>
      <w:r w:rsidRPr="00BE688E">
        <w:rPr>
          <w:lang w:val="fr-CA"/>
        </w:rPr>
        <w:t>Karakatsanis</w:t>
      </w:r>
      <w:proofErr w:type="spellEnd"/>
      <w:r w:rsidRPr="00BE688E">
        <w:rPr>
          <w:lang w:val="fr-CA"/>
        </w:rPr>
        <w:t>, Gascon, Côté, Brown, Rowe et Martin.</w:t>
      </w:r>
    </w:p>
    <w:p w:rsidR="005F030A" w:rsidRPr="00BE688E" w:rsidRDefault="005F030A" w:rsidP="005F030A">
      <w:pPr>
        <w:spacing w:after="720"/>
        <w:jc w:val="both"/>
        <w:rPr>
          <w:smallCaps/>
          <w:lang w:val="fr-CA"/>
        </w:rPr>
      </w:pPr>
      <w:r w:rsidRPr="00BE688E">
        <w:rPr>
          <w:smallCaps/>
          <w:lang w:val="fr-CA"/>
        </w:rPr>
        <w:lastRenderedPageBreak/>
        <w:t>en appel de la cour d’appel fédérale</w:t>
      </w:r>
    </w:p>
    <w:p w:rsidR="005F030A" w:rsidRPr="00BE688E" w:rsidRDefault="005F030A" w:rsidP="005F030A">
      <w:pPr>
        <w:pStyle w:val="SCCNormalDoubleSpacing"/>
        <w:spacing w:after="480"/>
        <w:rPr>
          <w:i/>
          <w:lang w:val="fr-CA"/>
        </w:rPr>
      </w:pPr>
      <w:r w:rsidRPr="00BE688E">
        <w:rPr>
          <w:lang w:val="fr-CA"/>
        </w:rPr>
        <w:tab/>
      </w:r>
      <w:r w:rsidRPr="00BE688E">
        <w:rPr>
          <w:i/>
          <w:iCs/>
          <w:lang w:val="fr-CA"/>
        </w:rPr>
        <w:t xml:space="preserve">Droit administratif — Appels — Organismes et tribunaux administratifs — Organismes de réglementation — Compétence — Décision du CRTC portant que le régime de la substitution simultanée ne s’applique pas à la télédiffusion du Super </w:t>
      </w:r>
      <w:proofErr w:type="spellStart"/>
      <w:r w:rsidRPr="00BE688E">
        <w:rPr>
          <w:i/>
          <w:iCs/>
          <w:lang w:val="fr-CA"/>
        </w:rPr>
        <w:t>Bowl</w:t>
      </w:r>
      <w:proofErr w:type="spellEnd"/>
      <w:r w:rsidRPr="00BE688E">
        <w:rPr>
          <w:i/>
          <w:iCs/>
          <w:lang w:val="fr-CA"/>
        </w:rPr>
        <w:t xml:space="preserve"> — Décision permettant en conséquence aux téléspectateurs canadiens de voir les messages publicitaires </w:t>
      </w:r>
      <w:r>
        <w:rPr>
          <w:i/>
          <w:iCs/>
          <w:lang w:val="fr-CA"/>
        </w:rPr>
        <w:t xml:space="preserve">américains </w:t>
      </w:r>
      <w:r w:rsidRPr="00BE688E">
        <w:rPr>
          <w:i/>
          <w:iCs/>
          <w:lang w:val="fr-CA"/>
        </w:rPr>
        <w:t xml:space="preserve">présentés durant le Super </w:t>
      </w:r>
      <w:proofErr w:type="spellStart"/>
      <w:r w:rsidRPr="00BE688E">
        <w:rPr>
          <w:i/>
          <w:iCs/>
          <w:lang w:val="fr-CA"/>
        </w:rPr>
        <w:t>Bowl</w:t>
      </w:r>
      <w:proofErr w:type="spellEnd"/>
      <w:r w:rsidRPr="00BE688E">
        <w:rPr>
          <w:i/>
          <w:iCs/>
          <w:lang w:val="fr-CA"/>
        </w:rPr>
        <w:t xml:space="preserve"> — Le CRTC avait</w:t>
      </w:r>
      <w:r>
        <w:rPr>
          <w:i/>
          <w:iCs/>
          <w:lang w:val="fr-CA"/>
        </w:rPr>
        <w:noBreakHyphen/>
      </w:r>
      <w:r w:rsidRPr="00BE688E">
        <w:rPr>
          <w:i/>
          <w:iCs/>
          <w:lang w:val="fr-CA"/>
        </w:rPr>
        <w:t xml:space="preserve">il le pouvoir de prohiber la substitution simultanée dans le cas du Super </w:t>
      </w:r>
      <w:proofErr w:type="spellStart"/>
      <w:r w:rsidRPr="00BE688E">
        <w:rPr>
          <w:i/>
          <w:iCs/>
          <w:lang w:val="fr-CA"/>
        </w:rPr>
        <w:t>Bowl</w:t>
      </w:r>
      <w:proofErr w:type="spellEnd"/>
      <w:r w:rsidRPr="00BE688E">
        <w:rPr>
          <w:i/>
          <w:iCs/>
          <w:lang w:val="fr-CA"/>
        </w:rPr>
        <w:t xml:space="preserve"> — Application du cadre d’analyse établi dans </w:t>
      </w:r>
      <w:proofErr w:type="spellStart"/>
      <w:r w:rsidRPr="00BE688E">
        <w:rPr>
          <w:i/>
          <w:iCs/>
          <w:lang w:val="fr-CA"/>
        </w:rPr>
        <w:t>Vavilov</w:t>
      </w:r>
      <w:proofErr w:type="spellEnd"/>
      <w:r w:rsidRPr="00BE688E">
        <w:rPr>
          <w:i/>
          <w:iCs/>
          <w:lang w:val="fr-CA"/>
        </w:rPr>
        <w:t xml:space="preserve"> pour déterminer la norme de contrôle applicable — </w:t>
      </w:r>
      <w:r w:rsidRPr="00BE688E">
        <w:rPr>
          <w:i/>
          <w:lang w:val="fr-CA"/>
        </w:rPr>
        <w:t>Loi sur la radiodiffusion</w:t>
      </w:r>
      <w:r w:rsidRPr="00BE688E">
        <w:rPr>
          <w:lang w:val="fr-CA"/>
        </w:rPr>
        <w:t xml:space="preserve">, </w:t>
      </w:r>
      <w:r w:rsidRPr="00BE688E">
        <w:rPr>
          <w:i/>
          <w:lang w:val="fr-CA"/>
        </w:rPr>
        <w:t xml:space="preserve">L.C. 1991, c. 11, </w:t>
      </w:r>
      <w:r>
        <w:rPr>
          <w:i/>
          <w:lang w:val="fr-CA"/>
        </w:rPr>
        <w:t>art. </w:t>
      </w:r>
      <w:r w:rsidRPr="00BE688E">
        <w:rPr>
          <w:i/>
          <w:iCs/>
          <w:lang w:val="fr-CA"/>
        </w:rPr>
        <w:t>9(1)h)</w:t>
      </w:r>
      <w:r w:rsidRPr="00BE688E">
        <w:rPr>
          <w:iCs/>
          <w:lang w:val="fr-CA"/>
        </w:rPr>
        <w:t>.</w:t>
      </w:r>
    </w:p>
    <w:p w:rsidR="005F030A" w:rsidRPr="00BE688E" w:rsidRDefault="005F030A" w:rsidP="005F030A">
      <w:pPr>
        <w:pStyle w:val="SCCNormalDoubleSpacing"/>
        <w:spacing w:after="480"/>
        <w:rPr>
          <w:lang w:val="fr-CA"/>
        </w:rPr>
      </w:pPr>
      <w:r w:rsidRPr="00BE688E">
        <w:rPr>
          <w:lang w:val="fr-CA"/>
        </w:rPr>
        <w:tab/>
        <w:t>Pendant plus de 40 ans, le match du Super </w:t>
      </w:r>
      <w:proofErr w:type="spellStart"/>
      <w:r w:rsidRPr="00BE688E">
        <w:rPr>
          <w:lang w:val="fr-CA"/>
        </w:rPr>
        <w:t>Bowl</w:t>
      </w:r>
      <w:proofErr w:type="spellEnd"/>
      <w:r w:rsidRPr="00BE688E">
        <w:rPr>
          <w:lang w:val="fr-CA"/>
        </w:rPr>
        <w:t xml:space="preserve"> de la NFL, qui se joue aux États</w:t>
      </w:r>
      <w:r>
        <w:rPr>
          <w:lang w:val="fr-CA"/>
        </w:rPr>
        <w:noBreakHyphen/>
      </w:r>
      <w:r w:rsidRPr="00BE688E">
        <w:rPr>
          <w:lang w:val="fr-CA"/>
        </w:rPr>
        <w:t xml:space="preserve">Unis, a été diffusé au Canada conformément au régime de la « substitution simultanée ». Ce régime, établi dans divers règlements pris en vertu de la </w:t>
      </w:r>
      <w:r w:rsidRPr="00BE688E">
        <w:rPr>
          <w:i/>
          <w:lang w:val="fr-CA"/>
        </w:rPr>
        <w:t>Loi sur la radiodiffusion</w:t>
      </w:r>
      <w:r w:rsidRPr="00BE688E">
        <w:rPr>
          <w:lang w:val="fr-CA"/>
        </w:rPr>
        <w:t>, permet à un fournisseur de services de télévision de retirer temporairement le signal entier d’une station de télévision éloignée (généralement nationale ou internationale) pour le remplacer par le signal d’une autre station de télévision (généralement locale) qui diffuse la même émission en même temps. Le CRTC autorise la substitution simultanée pour permettre aux radiodiffuseurs canadiens de générer des revenus publicitaires plus élevés; parce que la substitution simultanée permet aux stations de télévision locales de maximiser leurs auditoires à l’égard de certaines émissions, ces stations peuvent demander aux annonceurs des tarifs plus élevés pour les messages publicitaires diffusés durant ces émissions. Comme la diffusion au Canada du Super </w:t>
      </w:r>
      <w:proofErr w:type="spellStart"/>
      <w:r w:rsidRPr="00BE688E">
        <w:rPr>
          <w:lang w:val="fr-CA"/>
        </w:rPr>
        <w:t>Bowl</w:t>
      </w:r>
      <w:proofErr w:type="spellEnd"/>
      <w:r w:rsidRPr="00BE688E">
        <w:rPr>
          <w:lang w:val="fr-CA"/>
        </w:rPr>
        <w:t xml:space="preserve"> était assujettie au régime de la substitution simultanée, la population canadienne n’était pas en mesure de voir les messages </w:t>
      </w:r>
      <w:r w:rsidRPr="00BE688E">
        <w:rPr>
          <w:lang w:val="fr-CA"/>
        </w:rPr>
        <w:lastRenderedPageBreak/>
        <w:t>publicitaires américains hautement médiatisés qui sont présentés lors de la télédiffusion du match par des stations américaines.</w:t>
      </w:r>
    </w:p>
    <w:p w:rsidR="005F030A" w:rsidRPr="00BE688E" w:rsidRDefault="005F030A" w:rsidP="005F030A">
      <w:pPr>
        <w:pStyle w:val="SCCNormalDoubleSpacing"/>
        <w:spacing w:after="480"/>
        <w:rPr>
          <w:lang w:val="fr-CA"/>
        </w:rPr>
      </w:pPr>
      <w:r w:rsidRPr="00BE688E">
        <w:rPr>
          <w:lang w:val="fr-CA"/>
        </w:rPr>
        <w:tab/>
        <w:t>En 2013, le CRTC lance une vaste consultation publique afin d’examiner l’ensemble du cadre réglementaire applicable à la télévision au Canada. Durant cette consultation, il tient une audience publique visant à recueillir des commentaires sur la substitution simultanée, audience au cours de laquelle des Canadiennes et des Canadiens ont exprimé leur frustration devant l’impossibilité de voir les messages publicitaires hautement médiatisés présentés lors de la télédiffusion américaine du Super </w:t>
      </w:r>
      <w:proofErr w:type="spellStart"/>
      <w:r w:rsidRPr="00BE688E">
        <w:rPr>
          <w:lang w:val="fr-CA"/>
        </w:rPr>
        <w:t>Bowl</w:t>
      </w:r>
      <w:proofErr w:type="spellEnd"/>
      <w:r w:rsidRPr="00BE688E">
        <w:rPr>
          <w:lang w:val="fr-CA"/>
        </w:rPr>
        <w:t>. En août 2016, le CRTC rend, en vertu de l’</w:t>
      </w:r>
      <w:r>
        <w:rPr>
          <w:lang w:val="fr-CA"/>
        </w:rPr>
        <w:t>al. </w:t>
      </w:r>
      <w:r w:rsidRPr="00BE688E">
        <w:rPr>
          <w:lang w:val="fr-CA"/>
        </w:rPr>
        <w:t xml:space="preserve">9(1)h) de la </w:t>
      </w:r>
      <w:r w:rsidRPr="00BE688E">
        <w:rPr>
          <w:i/>
          <w:lang w:val="fr-CA"/>
        </w:rPr>
        <w:t>Loi sur la radiodiffusion</w:t>
      </w:r>
      <w:r>
        <w:rPr>
          <w:lang w:val="fr-CA"/>
        </w:rPr>
        <w:t>,</w:t>
      </w:r>
      <w:r w:rsidRPr="00BE688E">
        <w:rPr>
          <w:lang w:val="fr-CA"/>
        </w:rPr>
        <w:t xml:space="preserve"> une ordonnance (« Ordonnance »), laquelle interdit la substitution simultanée du Super </w:t>
      </w:r>
      <w:proofErr w:type="spellStart"/>
      <w:r w:rsidRPr="00BE688E">
        <w:rPr>
          <w:lang w:val="fr-CA"/>
        </w:rPr>
        <w:t>Bowl</w:t>
      </w:r>
      <w:proofErr w:type="spellEnd"/>
      <w:r w:rsidRPr="00BE688E">
        <w:rPr>
          <w:lang w:val="fr-CA"/>
        </w:rPr>
        <w:t xml:space="preserve"> à compter du 1</w:t>
      </w:r>
      <w:r w:rsidRPr="00BE688E">
        <w:rPr>
          <w:vertAlign w:val="superscript"/>
          <w:lang w:val="fr-CA"/>
        </w:rPr>
        <w:t>er</w:t>
      </w:r>
      <w:r>
        <w:rPr>
          <w:lang w:val="fr-CA"/>
        </w:rPr>
        <w:t xml:space="preserve"> janvier </w:t>
      </w:r>
      <w:r w:rsidRPr="00BE688E">
        <w:rPr>
          <w:lang w:val="fr-CA"/>
        </w:rPr>
        <w:t xml:space="preserve">2017 et est accompagnée de motifs </w:t>
      </w:r>
      <w:r>
        <w:rPr>
          <w:lang w:val="fr-CA"/>
        </w:rPr>
        <w:t>l’</w:t>
      </w:r>
      <w:r w:rsidRPr="00BE688E">
        <w:rPr>
          <w:lang w:val="fr-CA"/>
        </w:rPr>
        <w:t xml:space="preserve">appuyant (« Décision »). Cela signifiait que la population canadienne pourrait regarder la télédiffusion </w:t>
      </w:r>
      <w:r>
        <w:rPr>
          <w:lang w:val="fr-CA"/>
        </w:rPr>
        <w:t xml:space="preserve">américaine </w:t>
      </w:r>
      <w:r w:rsidRPr="00BE688E">
        <w:rPr>
          <w:lang w:val="fr-CA"/>
        </w:rPr>
        <w:t xml:space="preserve">de cet événement </w:t>
      </w:r>
      <w:r>
        <w:rPr>
          <w:lang w:val="fr-CA"/>
        </w:rPr>
        <w:t xml:space="preserve">présentant </w:t>
      </w:r>
      <w:r w:rsidRPr="00BE688E">
        <w:rPr>
          <w:lang w:val="fr-CA"/>
        </w:rPr>
        <w:t>les messages publicitaires américains. Bell et la NFL demandent</w:t>
      </w:r>
      <w:r>
        <w:rPr>
          <w:lang w:val="fr-CA"/>
        </w:rPr>
        <w:t xml:space="preserve"> ensuite</w:t>
      </w:r>
      <w:r w:rsidRPr="00BE688E">
        <w:rPr>
          <w:lang w:val="fr-CA"/>
        </w:rPr>
        <w:t xml:space="preserve">, en vertu du </w:t>
      </w:r>
      <w:r>
        <w:rPr>
          <w:lang w:val="fr-CA"/>
        </w:rPr>
        <w:t>par. </w:t>
      </w:r>
      <w:r w:rsidRPr="00BE688E">
        <w:rPr>
          <w:lang w:val="fr-CA"/>
        </w:rPr>
        <w:t xml:space="preserve">31(2) de la </w:t>
      </w:r>
      <w:r w:rsidRPr="00BE688E">
        <w:rPr>
          <w:i/>
          <w:lang w:val="fr-CA"/>
        </w:rPr>
        <w:t>Loi sur la radiodiffusion</w:t>
      </w:r>
      <w:r w:rsidRPr="00BE688E">
        <w:rPr>
          <w:lang w:val="fr-CA"/>
        </w:rPr>
        <w:t xml:space="preserve">, l’autorisation de faire appel devant la Cour d’appel fédérale de la Décision et de l’Ordonnance. L’autorisation </w:t>
      </w:r>
      <w:r>
        <w:rPr>
          <w:lang w:val="fr-CA"/>
        </w:rPr>
        <w:t xml:space="preserve">d’appeler leur </w:t>
      </w:r>
      <w:r w:rsidRPr="00BE688E">
        <w:rPr>
          <w:lang w:val="fr-CA"/>
        </w:rPr>
        <w:t>est accordée, mais leurs appels sont rejetés à l’unanimité.</w:t>
      </w:r>
    </w:p>
    <w:p w:rsidR="005F030A" w:rsidRPr="00BE688E" w:rsidRDefault="005F030A" w:rsidP="005F030A">
      <w:pPr>
        <w:pStyle w:val="SCCNormalDoubleSpacing"/>
        <w:spacing w:after="480"/>
        <w:rPr>
          <w:lang w:val="fr-CA"/>
        </w:rPr>
      </w:pPr>
      <w:r w:rsidRPr="00BE688E">
        <w:rPr>
          <w:lang w:val="fr-CA"/>
        </w:rPr>
        <w:tab/>
      </w:r>
      <w:r w:rsidRPr="00BE688E">
        <w:rPr>
          <w:i/>
          <w:lang w:val="fr-CA"/>
        </w:rPr>
        <w:t>Arrêt</w:t>
      </w:r>
      <w:r w:rsidRPr="00BE688E">
        <w:rPr>
          <w:lang w:val="fr-CA"/>
        </w:rPr>
        <w:t xml:space="preserve"> (les juges Abella et </w:t>
      </w:r>
      <w:proofErr w:type="spellStart"/>
      <w:r w:rsidRPr="00BE688E">
        <w:rPr>
          <w:lang w:val="fr-CA"/>
        </w:rPr>
        <w:t>Karakatsanis</w:t>
      </w:r>
      <w:proofErr w:type="spellEnd"/>
      <w:r w:rsidRPr="00BE688E">
        <w:rPr>
          <w:lang w:val="fr-CA"/>
        </w:rPr>
        <w:t xml:space="preserve"> sont dissidentes)</w:t>
      </w:r>
      <w:r>
        <w:rPr>
          <w:lang w:val="fr-CA"/>
        </w:rPr>
        <w:t> :</w:t>
      </w:r>
      <w:r w:rsidRPr="00BE688E">
        <w:rPr>
          <w:lang w:val="fr-CA"/>
        </w:rPr>
        <w:t xml:space="preserve"> Les pourvois sont accueillis et la Décision et l’O</w:t>
      </w:r>
      <w:r>
        <w:rPr>
          <w:lang w:val="fr-CA"/>
        </w:rPr>
        <w:t>rdonnance du CRTC sont cassées.</w:t>
      </w:r>
    </w:p>
    <w:p w:rsidR="005F030A" w:rsidRPr="00BE688E" w:rsidRDefault="005F030A" w:rsidP="005F030A">
      <w:pPr>
        <w:pStyle w:val="SCCNormalDoubleSpacing"/>
        <w:spacing w:after="480"/>
        <w:rPr>
          <w:lang w:val="fr-CA"/>
        </w:rPr>
      </w:pPr>
      <w:r w:rsidRPr="00BE688E">
        <w:rPr>
          <w:i/>
          <w:lang w:val="fr-CA"/>
        </w:rPr>
        <w:tab/>
        <w:t xml:space="preserve">Le </w:t>
      </w:r>
      <w:r w:rsidRPr="00BE688E">
        <w:rPr>
          <w:lang w:val="fr-CA"/>
        </w:rPr>
        <w:t xml:space="preserve">juge en chef </w:t>
      </w:r>
      <w:r w:rsidRPr="002759FA">
        <w:rPr>
          <w:lang w:val="fr-CA"/>
        </w:rPr>
        <w:t>Wagner</w:t>
      </w:r>
      <w:r w:rsidRPr="00BE688E">
        <w:rPr>
          <w:lang w:val="fr-CA"/>
        </w:rPr>
        <w:t xml:space="preserve"> et les juges </w:t>
      </w:r>
      <w:proofErr w:type="spellStart"/>
      <w:r w:rsidRPr="002759FA">
        <w:rPr>
          <w:lang w:val="fr-CA"/>
        </w:rPr>
        <w:t>Moldaver</w:t>
      </w:r>
      <w:proofErr w:type="spellEnd"/>
      <w:r w:rsidRPr="002759FA">
        <w:rPr>
          <w:lang w:val="fr-CA"/>
        </w:rPr>
        <w:t>, Gascon, Côté, Brown,</w:t>
      </w:r>
      <w:r w:rsidRPr="00BE688E">
        <w:rPr>
          <w:b/>
          <w:lang w:val="fr-CA"/>
        </w:rPr>
        <w:t xml:space="preserve"> </w:t>
      </w:r>
      <w:r w:rsidRPr="002759FA">
        <w:rPr>
          <w:lang w:val="fr-CA"/>
        </w:rPr>
        <w:t>Rowe</w:t>
      </w:r>
      <w:r w:rsidRPr="00BE688E">
        <w:rPr>
          <w:lang w:val="fr-CA"/>
        </w:rPr>
        <w:t xml:space="preserve"> et </w:t>
      </w:r>
      <w:r w:rsidRPr="002759FA">
        <w:rPr>
          <w:lang w:val="fr-CA"/>
        </w:rPr>
        <w:t>Martin :</w:t>
      </w:r>
      <w:r w:rsidRPr="00BE688E">
        <w:rPr>
          <w:lang w:val="fr-CA"/>
        </w:rPr>
        <w:t xml:space="preserve"> L’Ordonnance a été rendue sur la base d’une interprétation erronée par le CRTC de l’étendue du pouvoir qui lui est conféré par l’</w:t>
      </w:r>
      <w:r>
        <w:rPr>
          <w:lang w:val="fr-CA"/>
        </w:rPr>
        <w:t>al. </w:t>
      </w:r>
      <w:r w:rsidRPr="00BE688E">
        <w:rPr>
          <w:lang w:val="fr-CA"/>
        </w:rPr>
        <w:t xml:space="preserve">9(1)h) de la </w:t>
      </w:r>
      <w:r w:rsidRPr="00BE688E">
        <w:rPr>
          <w:i/>
          <w:lang w:val="fr-CA"/>
        </w:rPr>
        <w:t xml:space="preserve">Loi sur la </w:t>
      </w:r>
      <w:r w:rsidRPr="00BE688E">
        <w:rPr>
          <w:i/>
          <w:lang w:val="fr-CA"/>
        </w:rPr>
        <w:lastRenderedPageBreak/>
        <w:t>radiodiffusion</w:t>
      </w:r>
      <w:r w:rsidRPr="00BE688E">
        <w:rPr>
          <w:lang w:val="fr-CA"/>
        </w:rPr>
        <w:t>. Interprétée correctement, cette disposition autorise seulement la délivrance d’ordonnances de distribution obligatoire</w:t>
      </w:r>
      <w:r>
        <w:rPr>
          <w:lang w:val="fr-CA"/>
        </w:rPr>
        <w:t xml:space="preserve"> — </w:t>
      </w:r>
      <w:r w:rsidRPr="00BE688E">
        <w:rPr>
          <w:lang w:val="fr-CA"/>
        </w:rPr>
        <w:t>c.</w:t>
      </w:r>
      <w:r>
        <w:rPr>
          <w:lang w:val="fr-CA"/>
        </w:rPr>
        <w:noBreakHyphen/>
      </w:r>
      <w:r w:rsidRPr="00BE688E">
        <w:rPr>
          <w:lang w:val="fr-CA"/>
        </w:rPr>
        <w:t>à</w:t>
      </w:r>
      <w:r>
        <w:rPr>
          <w:lang w:val="fr-CA"/>
        </w:rPr>
        <w:noBreakHyphen/>
      </w:r>
      <w:r w:rsidRPr="00BE688E">
        <w:rPr>
          <w:lang w:val="fr-CA"/>
        </w:rPr>
        <w:t xml:space="preserve">d. </w:t>
      </w:r>
      <w:proofErr w:type="gramStart"/>
      <w:r w:rsidRPr="00BE688E">
        <w:rPr>
          <w:lang w:val="fr-CA"/>
        </w:rPr>
        <w:t>des</w:t>
      </w:r>
      <w:proofErr w:type="gramEnd"/>
      <w:r w:rsidRPr="00BE688E">
        <w:rPr>
          <w:lang w:val="fr-CA"/>
        </w:rPr>
        <w:t xml:space="preserve"> ordonnances obligeant les fournisseurs de services de télévision à distribuer certaines chaînes dans le cadre des services par câble ou par satellite qu’ils offrent — selon des modalités précisées. Elle n’habilite pas le CRTC à imposer des modalités régissant la distribution de services de programmation d’une manière générale. Par conséquent, comme l’Ordonnance n’impose pas aux fournisseurs de services de télévision l’obligation de distribuer une chaîne qui diffuse le Super </w:t>
      </w:r>
      <w:proofErr w:type="spellStart"/>
      <w:r w:rsidRPr="00BE688E">
        <w:rPr>
          <w:lang w:val="fr-CA"/>
        </w:rPr>
        <w:t>Bowl</w:t>
      </w:r>
      <w:proofErr w:type="spellEnd"/>
      <w:r w:rsidRPr="00BE688E">
        <w:rPr>
          <w:lang w:val="fr-CA"/>
        </w:rPr>
        <w:t>, mais impose plutôt une condition à ceux qui le font déjà, sa délivrance n’était pas autorisée en vertu de l’</w:t>
      </w:r>
      <w:r>
        <w:rPr>
          <w:lang w:val="fr-CA"/>
        </w:rPr>
        <w:t>al. </w:t>
      </w:r>
      <w:r w:rsidRPr="00BE688E">
        <w:rPr>
          <w:lang w:val="fr-CA"/>
        </w:rPr>
        <w:t xml:space="preserve">9(1)h) de la </w:t>
      </w:r>
      <w:r w:rsidRPr="00BE688E">
        <w:rPr>
          <w:i/>
          <w:lang w:val="fr-CA"/>
        </w:rPr>
        <w:t>Loi sur la radiodiffusion.</w:t>
      </w:r>
    </w:p>
    <w:p w:rsidR="005F030A" w:rsidRPr="00BE688E" w:rsidRDefault="005F030A" w:rsidP="005F030A">
      <w:pPr>
        <w:pStyle w:val="SCCNormalDoubleSpacing"/>
        <w:spacing w:after="480"/>
        <w:rPr>
          <w:lang w:val="fr-CA"/>
        </w:rPr>
      </w:pPr>
      <w:r w:rsidRPr="00BE688E">
        <w:rPr>
          <w:lang w:val="fr-CA"/>
        </w:rPr>
        <w:tab/>
        <w:t xml:space="preserve">La norme de contrôle applicable à l’Ordonnance et à la Décision du CRTC doit être déterminée conformément au cadre d’analyse établi dans l’arrêt </w:t>
      </w:r>
      <w:proofErr w:type="spellStart"/>
      <w:r w:rsidRPr="00BE688E">
        <w:rPr>
          <w:i/>
          <w:lang w:val="fr-CA"/>
        </w:rPr>
        <w:t>Vavilov</w:t>
      </w:r>
      <w:proofErr w:type="spellEnd"/>
      <w:r w:rsidRPr="00BE688E">
        <w:rPr>
          <w:lang w:val="fr-CA"/>
        </w:rPr>
        <w:t xml:space="preserve">. Comme l’Ordonnance et la Décision du CRTC ont été contestées au moyen du mécanisme d’appel prévu au </w:t>
      </w:r>
      <w:proofErr w:type="spellStart"/>
      <w:r>
        <w:rPr>
          <w:lang w:val="fr-CA"/>
        </w:rPr>
        <w:t>par</w:t>
      </w:r>
      <w:proofErr w:type="spellEnd"/>
      <w:r>
        <w:rPr>
          <w:lang w:val="fr-CA"/>
        </w:rPr>
        <w:t>. </w:t>
      </w:r>
      <w:r w:rsidRPr="00BE688E">
        <w:rPr>
          <w:lang w:val="fr-CA"/>
        </w:rPr>
        <w:t xml:space="preserve">31(2) de la </w:t>
      </w:r>
      <w:r w:rsidRPr="00BE688E">
        <w:rPr>
          <w:i/>
          <w:lang w:val="fr-CA"/>
        </w:rPr>
        <w:t>Loi sur la radiodiffusion</w:t>
      </w:r>
      <w:r w:rsidRPr="00BE688E">
        <w:rPr>
          <w:lang w:val="fr-CA"/>
        </w:rPr>
        <w:t>, lequel prévoit la possibilité d’interjeter appel devant la Cour d’appel fédérale, avec l’autorisation de celle</w:t>
      </w:r>
      <w:r>
        <w:rPr>
          <w:lang w:val="fr-CA"/>
        </w:rPr>
        <w:noBreakHyphen/>
      </w:r>
      <w:r w:rsidRPr="00BE688E">
        <w:rPr>
          <w:lang w:val="fr-CA"/>
        </w:rPr>
        <w:t xml:space="preserve">ci, sur une question de droit ou de compétence, les normes de contrôle applicables en appel s’appliquent en l’espèce. Et parce que les points en litige dans les présents pourvois soulèvent des questions de droit qui concernent directement les limites du pouvoir conféré par la loi au CRTC, </w:t>
      </w:r>
      <w:r>
        <w:rPr>
          <w:lang w:val="fr-CA"/>
        </w:rPr>
        <w:t xml:space="preserve">— </w:t>
      </w:r>
      <w:r w:rsidRPr="00BE688E">
        <w:rPr>
          <w:lang w:val="fr-CA"/>
        </w:rPr>
        <w:t>la question de savoir si le CRTC avait ou non, en vertu de l’</w:t>
      </w:r>
      <w:r>
        <w:rPr>
          <w:lang w:val="fr-CA"/>
        </w:rPr>
        <w:t>al. </w:t>
      </w:r>
      <w:r w:rsidRPr="00BE688E">
        <w:rPr>
          <w:lang w:val="fr-CA"/>
        </w:rPr>
        <w:t xml:space="preserve">9(1)h) le pouvoir de rendre l’Ordonnance, </w:t>
      </w:r>
      <w:r>
        <w:rPr>
          <w:lang w:val="fr-CA"/>
        </w:rPr>
        <w:t xml:space="preserve">— </w:t>
      </w:r>
      <w:r w:rsidRPr="00BE688E">
        <w:rPr>
          <w:lang w:val="fr-CA"/>
        </w:rPr>
        <w:t>et qui</w:t>
      </w:r>
      <w:r>
        <w:rPr>
          <w:lang w:val="fr-CA"/>
        </w:rPr>
        <w:t xml:space="preserve"> </w:t>
      </w:r>
      <w:r w:rsidRPr="00BE688E">
        <w:rPr>
          <w:lang w:val="fr-CA"/>
        </w:rPr>
        <w:t xml:space="preserve">relèvent </w:t>
      </w:r>
      <w:r>
        <w:rPr>
          <w:lang w:val="fr-CA"/>
        </w:rPr>
        <w:t xml:space="preserve">donc </w:t>
      </w:r>
      <w:r w:rsidRPr="00BE688E">
        <w:rPr>
          <w:lang w:val="fr-CA"/>
        </w:rPr>
        <w:t xml:space="preserve">clairement du mécanisme d’appel prévu au </w:t>
      </w:r>
      <w:proofErr w:type="spellStart"/>
      <w:r>
        <w:rPr>
          <w:lang w:val="fr-CA"/>
        </w:rPr>
        <w:t>par</w:t>
      </w:r>
      <w:proofErr w:type="spellEnd"/>
      <w:r>
        <w:rPr>
          <w:lang w:val="fr-CA"/>
        </w:rPr>
        <w:t>. </w:t>
      </w:r>
      <w:r w:rsidRPr="00BE688E">
        <w:rPr>
          <w:lang w:val="fr-CA"/>
        </w:rPr>
        <w:t>31(2), la norme de contrôle applicable est celle de la décision correcte.</w:t>
      </w:r>
    </w:p>
    <w:p w:rsidR="005F030A" w:rsidRPr="00BE688E" w:rsidRDefault="005F030A" w:rsidP="005F030A">
      <w:pPr>
        <w:pStyle w:val="SCCNormalDoubleSpacing"/>
        <w:spacing w:after="480"/>
        <w:rPr>
          <w:lang w:val="fr-CA"/>
        </w:rPr>
      </w:pPr>
      <w:r w:rsidRPr="00BE688E">
        <w:rPr>
          <w:lang w:val="fr-CA"/>
        </w:rPr>
        <w:lastRenderedPageBreak/>
        <w:tab/>
        <w:t>L’étendue du pouvoir conféré au CRTC par l’</w:t>
      </w:r>
      <w:r>
        <w:rPr>
          <w:lang w:val="fr-CA"/>
        </w:rPr>
        <w:t>al. </w:t>
      </w:r>
      <w:r w:rsidRPr="00BE688E">
        <w:rPr>
          <w:lang w:val="fr-CA"/>
        </w:rPr>
        <w:t xml:space="preserve">9(1)h) de la </w:t>
      </w:r>
      <w:r w:rsidRPr="00BE688E">
        <w:rPr>
          <w:i/>
          <w:lang w:val="fr-CA"/>
        </w:rPr>
        <w:t>Loi sur la radiodiffusion</w:t>
      </w:r>
      <w:r w:rsidRPr="00BE688E">
        <w:rPr>
          <w:lang w:val="fr-CA"/>
        </w:rPr>
        <w:t xml:space="preserve"> doit être déterminée en interprétant cette disposition conformément à la démarche moderne d’interprétation des lois. Selon cette démarche, les termes d’une loi doivent être lus </w:t>
      </w:r>
      <w:r w:rsidRPr="00BE688E">
        <w:rPr>
          <w:lang w:val="fr-FR"/>
        </w:rPr>
        <w:t>dans leur contexte global en suivant le sens ordinaire et grammatical qui s’harmonise avec l’esprit de la loi, l’objet de la loi et l’intention du législateur</w:t>
      </w:r>
      <w:r w:rsidRPr="00BE688E">
        <w:rPr>
          <w:lang w:val="fr-CA"/>
        </w:rPr>
        <w:t>. Le pouvoir dont dispose le CRTC en vertu de l’</w:t>
      </w:r>
      <w:r>
        <w:rPr>
          <w:lang w:val="fr-CA"/>
        </w:rPr>
        <w:t>al. </w:t>
      </w:r>
      <w:r w:rsidRPr="00BE688E">
        <w:rPr>
          <w:lang w:val="fr-CA"/>
        </w:rPr>
        <w:t>9(1)h), interprété en conformité avec son libellé, son contexte et son objet, se limite à la délivrance d’ordonnances obligeant les fournisseurs de services de télévision à distribuer certaines chaînes dans le cadre des services qu’ils offrent, et à assortir de certaines modalités ces ordonnances de distribution obligatoire. L’alinéa</w:t>
      </w:r>
      <w:r>
        <w:rPr>
          <w:lang w:val="fr-CA"/>
        </w:rPr>
        <w:t xml:space="preserve"> </w:t>
      </w:r>
      <w:r w:rsidRPr="00BE688E">
        <w:rPr>
          <w:lang w:val="fr-CA"/>
        </w:rPr>
        <w:t>9(1)h) ne confère pas au CRTC le pouvoir général d’imposer des conditions en dehors du contexte d’une ordonnance de distribution obligatoire. Le libellé de la disposition indique que le pouvoir principal délégué au CRTC est le pouvoir d’obliger les fournisseurs de services de télévision à distribuer certains services de programmation</w:t>
      </w:r>
      <w:r w:rsidRPr="00BE688E">
        <w:rPr>
          <w:szCs w:val="24"/>
          <w:lang w:val="fr-CA"/>
        </w:rPr>
        <w:t xml:space="preserve"> </w:t>
      </w:r>
      <w:r w:rsidRPr="00BE688E">
        <w:rPr>
          <w:lang w:val="fr-CA"/>
        </w:rPr>
        <w:t>dans le cadre des services par câble ou par satellite qu’ils offrent, et que le pouvoir secondaire est celui d’imposer certaines modalités à l’égard de telles ordonnances de distribution obligatoire. Le contexte législatif entourant l’</w:t>
      </w:r>
      <w:r>
        <w:rPr>
          <w:lang w:val="fr-CA"/>
        </w:rPr>
        <w:t>al. </w:t>
      </w:r>
      <w:r w:rsidRPr="00BE688E">
        <w:rPr>
          <w:lang w:val="fr-CA"/>
        </w:rPr>
        <w:t>9(1)h), notamment les pouvoirs énoncés à l’</w:t>
      </w:r>
      <w:r>
        <w:rPr>
          <w:lang w:val="fr-CA"/>
        </w:rPr>
        <w:t>al. </w:t>
      </w:r>
      <w:r w:rsidRPr="00BE688E">
        <w:rPr>
          <w:lang w:val="fr-CA"/>
        </w:rPr>
        <w:t>9(1)b), à l’</w:t>
      </w:r>
      <w:r>
        <w:rPr>
          <w:lang w:val="fr-CA"/>
        </w:rPr>
        <w:t>al. </w:t>
      </w:r>
      <w:r w:rsidRPr="00BE688E">
        <w:rPr>
          <w:lang w:val="fr-CA"/>
        </w:rPr>
        <w:t>9(1)g) et à l’</w:t>
      </w:r>
      <w:r>
        <w:rPr>
          <w:lang w:val="fr-CA"/>
        </w:rPr>
        <w:t>art. </w:t>
      </w:r>
      <w:r w:rsidRPr="00BE688E">
        <w:rPr>
          <w:lang w:val="fr-CA"/>
        </w:rPr>
        <w:t>10, appuie cette conclusion sur la portée de celui</w:t>
      </w:r>
      <w:r>
        <w:rPr>
          <w:lang w:val="fr-CA"/>
        </w:rPr>
        <w:noBreakHyphen/>
      </w:r>
      <w:r w:rsidRPr="00BE688E">
        <w:rPr>
          <w:lang w:val="fr-CA"/>
        </w:rPr>
        <w:t>ci; l’existence de ces pouvoirs particuliers milite contre une interprétation de l’</w:t>
      </w:r>
      <w:r>
        <w:rPr>
          <w:lang w:val="fr-CA"/>
        </w:rPr>
        <w:t>al. </w:t>
      </w:r>
      <w:r w:rsidRPr="00BE688E">
        <w:rPr>
          <w:lang w:val="fr-CA"/>
        </w:rPr>
        <w:t>9(1)h) qui conférerait au CRTC un pouvoir général</w:t>
      </w:r>
      <w:r w:rsidRPr="00BE688E">
        <w:rPr>
          <w:i/>
          <w:lang w:val="fr-CA"/>
        </w:rPr>
        <w:t xml:space="preserve"> </w:t>
      </w:r>
      <w:r w:rsidRPr="00BE688E">
        <w:rPr>
          <w:lang w:val="fr-CA"/>
        </w:rPr>
        <w:t>d’imposer des conditions à l’égard de toute distribution de services de programmation. Cette interprétation est également confirmée par l’objet pour lequel l’</w:t>
      </w:r>
      <w:r>
        <w:rPr>
          <w:lang w:val="fr-CA"/>
        </w:rPr>
        <w:t>al. </w:t>
      </w:r>
      <w:r w:rsidRPr="00BE688E">
        <w:rPr>
          <w:lang w:val="fr-CA"/>
        </w:rPr>
        <w:t xml:space="preserve">9(1)h) a été édicté, ainsi que par l’historique législatif de </w:t>
      </w:r>
      <w:r>
        <w:rPr>
          <w:lang w:val="fr-CA"/>
        </w:rPr>
        <w:t xml:space="preserve">cette </w:t>
      </w:r>
      <w:r w:rsidRPr="00BE688E">
        <w:rPr>
          <w:lang w:val="fr-CA"/>
        </w:rPr>
        <w:t>disposition.</w:t>
      </w:r>
    </w:p>
    <w:p w:rsidR="005F030A" w:rsidRPr="00BE688E" w:rsidRDefault="005F030A" w:rsidP="005F030A">
      <w:pPr>
        <w:pStyle w:val="SCCNormalDoubleSpacing"/>
        <w:spacing w:after="480"/>
        <w:rPr>
          <w:lang w:val="fr-CA"/>
        </w:rPr>
      </w:pPr>
      <w:r w:rsidRPr="00BE688E">
        <w:rPr>
          <w:lang w:val="fr-CA"/>
        </w:rPr>
        <w:tab/>
        <w:t xml:space="preserve">Étant donné que le CRTC ne vise pas, dans l’Ordonnance, à rendre obligatoire la distribution de certains services de programmation, mais plutôt à </w:t>
      </w:r>
      <w:r w:rsidRPr="00BE688E">
        <w:rPr>
          <w:lang w:val="fr-FR"/>
        </w:rPr>
        <w:t xml:space="preserve">ajouter </w:t>
      </w:r>
      <w:r w:rsidRPr="00BE688E">
        <w:rPr>
          <w:lang w:val="fr-FR"/>
        </w:rPr>
        <w:lastRenderedPageBreak/>
        <w:t xml:space="preserve">une </w:t>
      </w:r>
      <w:r w:rsidRPr="00BE688E">
        <w:rPr>
          <w:lang w:val="fr-CA"/>
        </w:rPr>
        <w:t xml:space="preserve">condition </w:t>
      </w:r>
      <w:r w:rsidRPr="00BE688E">
        <w:rPr>
          <w:lang w:val="fr-FR"/>
        </w:rPr>
        <w:t>aux fournisseurs de services de télévision qui distribuent une station</w:t>
      </w:r>
      <w:r w:rsidRPr="00BE688E">
        <w:rPr>
          <w:lang w:val="fr-CA"/>
        </w:rPr>
        <w:t xml:space="preserve"> canadienne qui diffuse le Super </w:t>
      </w:r>
      <w:proofErr w:type="spellStart"/>
      <w:r w:rsidRPr="00BE688E">
        <w:rPr>
          <w:lang w:val="fr-CA"/>
        </w:rPr>
        <w:t>Bowl</w:t>
      </w:r>
      <w:proofErr w:type="spellEnd"/>
      <w:r w:rsidRPr="00BE688E">
        <w:rPr>
          <w:lang w:val="fr-CA"/>
        </w:rPr>
        <w:t>, cette Ordonnance ne pouvait être rendue en vertu du pouvoir délégué au CRTC par l’</w:t>
      </w:r>
      <w:r>
        <w:rPr>
          <w:lang w:val="fr-CA"/>
        </w:rPr>
        <w:t>al. </w:t>
      </w:r>
      <w:r w:rsidRPr="00BE688E">
        <w:rPr>
          <w:lang w:val="fr-CA"/>
        </w:rPr>
        <w:t xml:space="preserve">9(1)h) de la </w:t>
      </w:r>
      <w:r w:rsidRPr="00BE688E">
        <w:rPr>
          <w:i/>
          <w:lang w:val="fr-CA"/>
        </w:rPr>
        <w:t>Loi sur la radiodiffusion</w:t>
      </w:r>
      <w:r w:rsidRPr="00BE688E">
        <w:rPr>
          <w:lang w:val="fr-CA"/>
        </w:rPr>
        <w:t xml:space="preserve">. L’Ordonnance doit donc être cassée, tout comme la Décision; toutefois, aucune opinion n’est exprimée sur la question de savoir si le CRTC peut le faire en vertu d’un </w:t>
      </w:r>
      <w:r>
        <w:rPr>
          <w:lang w:val="fr-CA"/>
        </w:rPr>
        <w:t>autre pouvoir prévu par la loi.</w:t>
      </w:r>
    </w:p>
    <w:p w:rsidR="005F030A" w:rsidRPr="00BE688E" w:rsidRDefault="005F030A" w:rsidP="005F030A">
      <w:pPr>
        <w:pStyle w:val="SCCNormalDoubleSpacing"/>
        <w:spacing w:after="480"/>
        <w:rPr>
          <w:lang w:val="fr-CA"/>
        </w:rPr>
      </w:pPr>
      <w:r w:rsidRPr="00BE688E">
        <w:rPr>
          <w:i/>
          <w:lang w:val="fr-CA"/>
        </w:rPr>
        <w:tab/>
        <w:t>Les</w:t>
      </w:r>
      <w:r w:rsidRPr="00BE688E">
        <w:rPr>
          <w:lang w:val="fr-CA"/>
        </w:rPr>
        <w:t xml:space="preserve"> juges </w:t>
      </w:r>
      <w:r w:rsidRPr="002759FA">
        <w:rPr>
          <w:lang w:val="fr-CA"/>
        </w:rPr>
        <w:t>Abella</w:t>
      </w:r>
      <w:r w:rsidRPr="00BE688E">
        <w:rPr>
          <w:b/>
          <w:lang w:val="fr-CA"/>
        </w:rPr>
        <w:t xml:space="preserve"> </w:t>
      </w:r>
      <w:r w:rsidRPr="00BE688E">
        <w:rPr>
          <w:lang w:val="fr-CA"/>
        </w:rPr>
        <w:t xml:space="preserve">et </w:t>
      </w:r>
      <w:proofErr w:type="spellStart"/>
      <w:r w:rsidRPr="002759FA">
        <w:rPr>
          <w:lang w:val="fr-CA"/>
        </w:rPr>
        <w:t>Karakatsanis</w:t>
      </w:r>
      <w:proofErr w:type="spellEnd"/>
      <w:r w:rsidRPr="00BE688E">
        <w:rPr>
          <w:b/>
          <w:lang w:val="fr-CA"/>
        </w:rPr>
        <w:t xml:space="preserve"> </w:t>
      </w:r>
      <w:r w:rsidRPr="00BE688E">
        <w:rPr>
          <w:lang w:val="fr-CA"/>
        </w:rPr>
        <w:t>(dissidentes)</w:t>
      </w:r>
      <w:r>
        <w:rPr>
          <w:lang w:val="fr-CA"/>
        </w:rPr>
        <w:t> :</w:t>
      </w:r>
      <w:r w:rsidRPr="00BE688E">
        <w:rPr>
          <w:lang w:val="fr-CA"/>
        </w:rPr>
        <w:t xml:space="preserve"> Les pourvois devraient être rejetés. Le CRTC a raisonnablement interprété l’</w:t>
      </w:r>
      <w:r>
        <w:rPr>
          <w:lang w:val="fr-CA"/>
        </w:rPr>
        <w:t>al. </w:t>
      </w:r>
      <w:r w:rsidRPr="00BE688E">
        <w:rPr>
          <w:lang w:val="fr-CA"/>
        </w:rPr>
        <w:t xml:space="preserve">9(1)h) de la </w:t>
      </w:r>
      <w:r w:rsidRPr="00BE688E">
        <w:rPr>
          <w:i/>
          <w:lang w:val="fr-CA"/>
        </w:rPr>
        <w:t>Loi sur la radiodiffusion</w:t>
      </w:r>
      <w:r w:rsidRPr="00BE688E">
        <w:rPr>
          <w:lang w:val="fr-CA"/>
        </w:rPr>
        <w:t>, et son Ordonnance</w:t>
      </w:r>
      <w:r>
        <w:rPr>
          <w:lang w:val="fr-CA"/>
        </w:rPr>
        <w:t xml:space="preserve"> relative au Super </w:t>
      </w:r>
      <w:proofErr w:type="spellStart"/>
      <w:r>
        <w:rPr>
          <w:lang w:val="fr-CA"/>
        </w:rPr>
        <w:t>Bowl</w:t>
      </w:r>
      <w:proofErr w:type="spellEnd"/>
      <w:r w:rsidRPr="00BE688E">
        <w:rPr>
          <w:lang w:val="fr-CA"/>
        </w:rPr>
        <w:t xml:space="preserve"> était raisonnable et défendable au regard des faits et du droit.</w:t>
      </w:r>
    </w:p>
    <w:p w:rsidR="005F030A" w:rsidRPr="00BE688E" w:rsidRDefault="005F030A" w:rsidP="005F030A">
      <w:pPr>
        <w:pStyle w:val="SCCNormalDoubleSpacing"/>
        <w:spacing w:after="480"/>
        <w:rPr>
          <w:lang w:val="fr-CA"/>
        </w:rPr>
      </w:pPr>
      <w:r w:rsidRPr="00BE688E">
        <w:rPr>
          <w:lang w:val="fr-CA"/>
        </w:rPr>
        <w:tab/>
        <w:t>Le contrôle des décisions administratives doit en règle générale se faire selon la norme de la décision raisonnable. Lors d’un examen fondé sur la norme de la décision raisonnable, la cour de révision se demande si, dans son ensemble, la décision est raisonnable eu égard aux motifs exposés</w:t>
      </w:r>
      <w:r>
        <w:rPr>
          <w:lang w:val="fr-CA"/>
        </w:rPr>
        <w:t>,</w:t>
      </w:r>
      <w:r w:rsidRPr="00BE688E">
        <w:rPr>
          <w:lang w:val="fr-CA"/>
        </w:rPr>
        <w:t xml:space="preserve"> au contexte décisionnel</w:t>
      </w:r>
      <w:r>
        <w:rPr>
          <w:lang w:val="fr-CA"/>
        </w:rPr>
        <w:t xml:space="preserve"> et aux moyens invoqués pour la contester</w:t>
      </w:r>
      <w:r w:rsidRPr="00BE688E">
        <w:rPr>
          <w:lang w:val="fr-CA"/>
        </w:rPr>
        <w:t>. Les cours de révision doivent porter une attention particulière au</w:t>
      </w:r>
      <w:r>
        <w:rPr>
          <w:lang w:val="fr-CA"/>
        </w:rPr>
        <w:t>x</w:t>
      </w:r>
      <w:r w:rsidRPr="00BE688E">
        <w:rPr>
          <w:lang w:val="fr-CA"/>
        </w:rPr>
        <w:t xml:space="preserve"> conséquences</w:t>
      </w:r>
      <w:r w:rsidRPr="00211904">
        <w:rPr>
          <w:lang w:val="fr-CA"/>
        </w:rPr>
        <w:t xml:space="preserve"> </w:t>
      </w:r>
      <w:r w:rsidRPr="00BE688E">
        <w:rPr>
          <w:lang w:val="fr-CA"/>
        </w:rPr>
        <w:t xml:space="preserve">de la décision, </w:t>
      </w:r>
      <w:r>
        <w:rPr>
          <w:lang w:val="fr-CA"/>
        </w:rPr>
        <w:t>ainsi qu’a</w:t>
      </w:r>
      <w:r w:rsidRPr="00BE688E">
        <w:rPr>
          <w:lang w:val="fr-CA"/>
        </w:rPr>
        <w:t xml:space="preserve">ux implications et défis sur le plan de </w:t>
      </w:r>
      <w:r>
        <w:rPr>
          <w:lang w:val="fr-CA"/>
        </w:rPr>
        <w:t>s</w:t>
      </w:r>
      <w:r w:rsidRPr="00BE688E">
        <w:rPr>
          <w:lang w:val="fr-CA"/>
        </w:rPr>
        <w:t xml:space="preserve">a mise en œuvre dont a fait état le décideur. Parce que le fait pour la cour de révision de substituer son interprétation à celle du décideur administratif </w:t>
      </w:r>
      <w:r>
        <w:rPr>
          <w:lang w:val="fr-CA"/>
        </w:rPr>
        <w:t xml:space="preserve">serait </w:t>
      </w:r>
      <w:r w:rsidRPr="00BE688E">
        <w:rPr>
          <w:lang w:val="fr-CA"/>
        </w:rPr>
        <w:t xml:space="preserve">incompatible avec la réalisation d’un contrôle judiciaire selon la norme de la décision raisonnable, la cour de révision ne doit pas amorcer son analyse en se demandant comment elle aurait tranché la question. </w:t>
      </w:r>
      <w:r>
        <w:rPr>
          <w:lang w:val="fr-CA"/>
        </w:rPr>
        <w:t xml:space="preserve">Elle </w:t>
      </w:r>
      <w:r w:rsidRPr="00BE688E">
        <w:rPr>
          <w:lang w:val="fr-CA"/>
        </w:rPr>
        <w:t xml:space="preserve">doit </w:t>
      </w:r>
      <w:r>
        <w:rPr>
          <w:lang w:val="fr-CA"/>
        </w:rPr>
        <w:t xml:space="preserve">plutôt </w:t>
      </w:r>
      <w:r w:rsidRPr="00BE688E">
        <w:rPr>
          <w:lang w:val="fr-CA"/>
        </w:rPr>
        <w:t>déférer à </w:t>
      </w:r>
      <w:r w:rsidRPr="00BE688E">
        <w:rPr>
          <w:iCs/>
          <w:lang w:val="fr-CA"/>
        </w:rPr>
        <w:t>toute</w:t>
      </w:r>
      <w:r w:rsidRPr="00BE688E">
        <w:rPr>
          <w:lang w:val="fr-CA"/>
        </w:rPr>
        <w:t> interprétation raisonn</w:t>
      </w:r>
      <w:r>
        <w:rPr>
          <w:lang w:val="fr-CA"/>
        </w:rPr>
        <w:t xml:space="preserve">able du décideur administratif, </w:t>
      </w:r>
      <w:r w:rsidRPr="00BE688E">
        <w:rPr>
          <w:iCs/>
          <w:lang w:val="fr-CA"/>
        </w:rPr>
        <w:t>même lorsque</w:t>
      </w:r>
      <w:r w:rsidRPr="00BE688E">
        <w:rPr>
          <w:lang w:val="fr-CA"/>
        </w:rPr>
        <w:t xml:space="preserve"> d’autres interprétations raisonnables sont possibles.</w:t>
      </w:r>
    </w:p>
    <w:p w:rsidR="005F030A" w:rsidRDefault="005F030A" w:rsidP="005F030A">
      <w:pPr>
        <w:pStyle w:val="SCCNormalDoubleSpacing"/>
        <w:spacing w:after="480"/>
        <w:rPr>
          <w:lang w:val="fr-CA"/>
        </w:rPr>
      </w:pPr>
      <w:r w:rsidRPr="00BE688E">
        <w:rPr>
          <w:lang w:val="fr-CA"/>
        </w:rPr>
        <w:lastRenderedPageBreak/>
        <w:tab/>
      </w:r>
      <w:r>
        <w:rPr>
          <w:lang w:val="fr-CA"/>
        </w:rPr>
        <w:t>L</w:t>
      </w:r>
      <w:r w:rsidRPr="009966E9">
        <w:rPr>
          <w:lang w:val="fr-CA"/>
        </w:rPr>
        <w:t>e cadre d</w:t>
      </w:r>
      <w:r>
        <w:rPr>
          <w:lang w:val="fr-CA"/>
        </w:rPr>
        <w:t>’</w:t>
      </w:r>
      <w:r w:rsidRPr="009966E9">
        <w:rPr>
          <w:lang w:val="fr-CA"/>
        </w:rPr>
        <w:t>analyse appliqué par les juges majoritaires ne tient pas compte de l</w:t>
      </w:r>
      <w:r>
        <w:rPr>
          <w:lang w:val="fr-CA"/>
        </w:rPr>
        <w:t>’</w:t>
      </w:r>
      <w:r w:rsidRPr="009966E9">
        <w:rPr>
          <w:lang w:val="fr-CA"/>
        </w:rPr>
        <w:t>importance de l</w:t>
      </w:r>
      <w:r>
        <w:rPr>
          <w:lang w:val="fr-CA"/>
        </w:rPr>
        <w:t>’</w:t>
      </w:r>
      <w:r w:rsidRPr="009966E9">
        <w:rPr>
          <w:lang w:val="fr-CA"/>
        </w:rPr>
        <w:t>expertise du décideur et se traduit par une large application de la norme de la décision correcte.</w:t>
      </w:r>
      <w:r>
        <w:rPr>
          <w:lang w:val="fr-CA"/>
        </w:rPr>
        <w:t xml:space="preserve"> </w:t>
      </w:r>
      <w:r w:rsidRPr="00BE688E">
        <w:rPr>
          <w:lang w:val="fr-CA"/>
        </w:rPr>
        <w:t>Aucune des exceptions justifiant le recours à la norme de la décision correcte ne s’applique à la décision du CRTC, et l’application de la norme de la décision raisonnable est conforme à la très grande expertise que possède le CRTC. Le CRTC est l’archétype de l’organisme administratif spécialisé, et son expertise est bien établie. Des pouvoirs étendus ont été conférés par la loi à cet organisme de réglementation, et un mandat exceptionnellement spécialisé l’oblige à prendre en compte et à mettre en équilibre des considérations d’intérêt public complexes dans le cadre de la régl</w:t>
      </w:r>
      <w:r w:rsidR="002759FA">
        <w:rPr>
          <w:lang w:val="fr-CA"/>
        </w:rPr>
        <w:t>ementation d’une industrie tout</w:t>
      </w:r>
      <w:r w:rsidRPr="00BE688E">
        <w:rPr>
          <w:lang w:val="fr-CA"/>
        </w:rPr>
        <w:t xml:space="preserve"> entière. Le besoin de faire appel à un organisme expert pour mettre en équilibre de délicates questions d’intérêt public, et ce, dans un contexte hautement technique, est particulièrement évident dans la présente affaire, où le dossier d’instance renferme une série de mesures — avis publics, consultations et politiques — qui se sont étalées sur une période de presque trois ans et qui ont abouti à la décision en litige.</w:t>
      </w:r>
    </w:p>
    <w:p w:rsidR="005F030A" w:rsidRPr="005B76F3" w:rsidRDefault="005F030A" w:rsidP="005F030A">
      <w:pPr>
        <w:pStyle w:val="SCCNormalDoubleSpacing"/>
        <w:spacing w:after="480"/>
        <w:rPr>
          <w:lang w:val="fr-CA"/>
        </w:rPr>
      </w:pPr>
      <w:r>
        <w:rPr>
          <w:lang w:val="fr-CA"/>
        </w:rPr>
        <w:tab/>
      </w:r>
      <w:r w:rsidRPr="009966E9">
        <w:rPr>
          <w:lang w:val="fr-CA"/>
        </w:rPr>
        <w:t xml:space="preserve">Selon la norme de la décision raisonnable, </w:t>
      </w:r>
      <w:r w:rsidRPr="009966E9" w:rsidDel="00A13740">
        <w:rPr>
          <w:lang w:val="fr-CA"/>
        </w:rPr>
        <w:t xml:space="preserve">Bell </w:t>
      </w:r>
      <w:r w:rsidRPr="009966E9">
        <w:rPr>
          <w:lang w:val="fr-CA"/>
        </w:rPr>
        <w:t>et</w:t>
      </w:r>
      <w:r w:rsidRPr="009966E9" w:rsidDel="00A13740">
        <w:rPr>
          <w:lang w:val="fr-CA"/>
        </w:rPr>
        <w:t xml:space="preserve"> </w:t>
      </w:r>
      <w:r w:rsidRPr="009966E9">
        <w:rPr>
          <w:lang w:val="fr-CA"/>
        </w:rPr>
        <w:t xml:space="preserve">la </w:t>
      </w:r>
      <w:r w:rsidRPr="009966E9" w:rsidDel="00A13740">
        <w:rPr>
          <w:lang w:val="fr-CA"/>
        </w:rPr>
        <w:t xml:space="preserve">NFL </w:t>
      </w:r>
      <w:r w:rsidRPr="009966E9">
        <w:rPr>
          <w:lang w:val="fr-CA"/>
        </w:rPr>
        <w:t>ont le fardeau de démontrer que, globalement,</w:t>
      </w:r>
      <w:r w:rsidRPr="009966E9" w:rsidDel="00A13740">
        <w:rPr>
          <w:lang w:val="fr-CA"/>
        </w:rPr>
        <w:t xml:space="preserve"> </w:t>
      </w:r>
      <w:r w:rsidRPr="009966E9">
        <w:rPr>
          <w:lang w:val="fr-CA"/>
        </w:rPr>
        <w:t>la décision du</w:t>
      </w:r>
      <w:r w:rsidRPr="009966E9" w:rsidDel="00A13740">
        <w:rPr>
          <w:lang w:val="fr-CA"/>
        </w:rPr>
        <w:t xml:space="preserve"> CRTC</w:t>
      </w:r>
      <w:r w:rsidRPr="009966E9">
        <w:rPr>
          <w:lang w:val="fr-CA"/>
        </w:rPr>
        <w:t xml:space="preserve"> est déraisonnable</w:t>
      </w:r>
      <w:r w:rsidRPr="009966E9" w:rsidDel="00A13740">
        <w:rPr>
          <w:lang w:val="fr-CA"/>
        </w:rPr>
        <w:t xml:space="preserve">. </w:t>
      </w:r>
      <w:r>
        <w:rPr>
          <w:lang w:val="fr-CA"/>
        </w:rPr>
        <w:t xml:space="preserve">Elles </w:t>
      </w:r>
      <w:r w:rsidRPr="009966E9">
        <w:rPr>
          <w:lang w:val="fr-CA"/>
        </w:rPr>
        <w:t>ne se sont pas acquittées du fardeau qui leur incombait</w:t>
      </w:r>
      <w:r w:rsidRPr="009966E9" w:rsidDel="00A13740">
        <w:rPr>
          <w:lang w:val="fr-CA"/>
        </w:rPr>
        <w:t>.</w:t>
      </w:r>
      <w:r>
        <w:rPr>
          <w:lang w:val="fr-CA"/>
        </w:rPr>
        <w:t xml:space="preserve"> L</w:t>
      </w:r>
      <w:r w:rsidRPr="009966E9">
        <w:rPr>
          <w:lang w:val="fr-CA"/>
        </w:rPr>
        <w:t>es motifs fournis par le CRTC dans l</w:t>
      </w:r>
      <w:r>
        <w:rPr>
          <w:lang w:val="fr-CA"/>
        </w:rPr>
        <w:t>’</w:t>
      </w:r>
      <w:r w:rsidRPr="009966E9">
        <w:rPr>
          <w:lang w:val="fr-CA"/>
        </w:rPr>
        <w:t>Ordonnance et dans la politique réglementaire qui l</w:t>
      </w:r>
      <w:r>
        <w:rPr>
          <w:lang w:val="fr-CA"/>
        </w:rPr>
        <w:t>’</w:t>
      </w:r>
      <w:r w:rsidRPr="009966E9">
        <w:rPr>
          <w:lang w:val="fr-CA"/>
        </w:rPr>
        <w:t>accompagne exposent un raisonnement logique et convaincant, qui explique clairement les conséquences, ainsi que les implications et les défis sur le plan de la mise en œuvre qui ont motivé sa décision.</w:t>
      </w:r>
      <w:r>
        <w:rPr>
          <w:lang w:val="fr-CA"/>
        </w:rPr>
        <w:t xml:space="preserve"> Bien que </w:t>
      </w:r>
      <w:r w:rsidRPr="009966E9">
        <w:rPr>
          <w:lang w:val="fr-CA"/>
        </w:rPr>
        <w:t xml:space="preserve">Bell et la NFL soutiennent que </w:t>
      </w:r>
      <w:r>
        <w:rPr>
          <w:lang w:val="fr-CA"/>
        </w:rPr>
        <w:t>l’</w:t>
      </w:r>
      <w:r w:rsidRPr="009966E9">
        <w:rPr>
          <w:lang w:val="fr-CA"/>
        </w:rPr>
        <w:t>expression « services de programmation »</w:t>
      </w:r>
      <w:r>
        <w:rPr>
          <w:lang w:val="fr-CA"/>
        </w:rPr>
        <w:t xml:space="preserve"> dans </w:t>
      </w:r>
      <w:r w:rsidR="005F3232">
        <w:rPr>
          <w:lang w:val="fr-CA"/>
        </w:rPr>
        <w:t>l’</w:t>
      </w:r>
      <w:r>
        <w:rPr>
          <w:lang w:val="fr-CA"/>
        </w:rPr>
        <w:t xml:space="preserve">al. 9(1)h) </w:t>
      </w:r>
      <w:r w:rsidRPr="009966E9">
        <w:rPr>
          <w:lang w:val="fr-CA"/>
        </w:rPr>
        <w:t>ne saurait appuyer la délivrance d</w:t>
      </w:r>
      <w:r>
        <w:rPr>
          <w:lang w:val="fr-CA"/>
        </w:rPr>
        <w:t>’</w:t>
      </w:r>
      <w:r w:rsidRPr="009966E9">
        <w:rPr>
          <w:lang w:val="fr-CA"/>
        </w:rPr>
        <w:t>une ordonnance comportant des modalités qui ne visent qu</w:t>
      </w:r>
      <w:r>
        <w:rPr>
          <w:lang w:val="fr-CA"/>
        </w:rPr>
        <w:t>’</w:t>
      </w:r>
      <w:r w:rsidRPr="009966E9">
        <w:rPr>
          <w:lang w:val="fr-CA"/>
        </w:rPr>
        <w:t>une seule émission</w:t>
      </w:r>
      <w:r>
        <w:rPr>
          <w:lang w:val="fr-CA"/>
        </w:rPr>
        <w:t xml:space="preserve">, il y a accord avec la </w:t>
      </w:r>
      <w:r>
        <w:rPr>
          <w:lang w:val="fr-CA"/>
        </w:rPr>
        <w:lastRenderedPageBreak/>
        <w:t xml:space="preserve">conclusion portant que cette expression </w:t>
      </w:r>
      <w:r w:rsidRPr="009966E9">
        <w:rPr>
          <w:lang w:val="fr-CA"/>
        </w:rPr>
        <w:t>p</w:t>
      </w:r>
      <w:r>
        <w:rPr>
          <w:lang w:val="fr-CA"/>
        </w:rPr>
        <w:t>eut</w:t>
      </w:r>
      <w:r w:rsidRPr="009966E9">
        <w:rPr>
          <w:lang w:val="fr-CA"/>
        </w:rPr>
        <w:t xml:space="preserve"> s</w:t>
      </w:r>
      <w:r>
        <w:rPr>
          <w:lang w:val="fr-CA"/>
        </w:rPr>
        <w:t>’</w:t>
      </w:r>
      <w:r w:rsidRPr="009966E9">
        <w:rPr>
          <w:lang w:val="fr-CA"/>
        </w:rPr>
        <w:t>entendre d</w:t>
      </w:r>
      <w:r>
        <w:rPr>
          <w:lang w:val="fr-CA"/>
        </w:rPr>
        <w:t>’</w:t>
      </w:r>
      <w:r w:rsidRPr="009966E9">
        <w:rPr>
          <w:lang w:val="fr-CA"/>
        </w:rPr>
        <w:t xml:space="preserve">une seule émission dans le présent contexte. </w:t>
      </w:r>
      <w:r>
        <w:rPr>
          <w:lang w:val="fr-CA"/>
        </w:rPr>
        <w:t>En outre,</w:t>
      </w:r>
      <w:r w:rsidRPr="00535AB7">
        <w:rPr>
          <w:lang w:val="fr-CA"/>
        </w:rPr>
        <w:t xml:space="preserve"> </w:t>
      </w:r>
      <w:r w:rsidRPr="009966E9">
        <w:rPr>
          <w:lang w:val="fr-CA"/>
        </w:rPr>
        <w:t>l</w:t>
      </w:r>
      <w:r>
        <w:rPr>
          <w:lang w:val="fr-CA"/>
        </w:rPr>
        <w:t>’</w:t>
      </w:r>
      <w:r w:rsidRPr="009966E9">
        <w:rPr>
          <w:lang w:val="fr-CA"/>
        </w:rPr>
        <w:t>Ordonnance imposait aux stations de télévision canadiennes une condition de distribution et, suivant les termes mêmes dans lesquels elle était formulée, cette ordonnance était structurée de façon à s</w:t>
      </w:r>
      <w:r>
        <w:rPr>
          <w:lang w:val="fr-CA"/>
        </w:rPr>
        <w:t>’</w:t>
      </w:r>
      <w:r w:rsidRPr="009966E9">
        <w:rPr>
          <w:lang w:val="fr-CA"/>
        </w:rPr>
        <w:t>appliquer aux services de programmation</w:t>
      </w:r>
      <w:r>
        <w:rPr>
          <w:lang w:val="fr-CA"/>
        </w:rPr>
        <w:t xml:space="preserve"> — </w:t>
      </w:r>
      <w:r w:rsidRPr="009966E9">
        <w:rPr>
          <w:lang w:val="fr-CA"/>
        </w:rPr>
        <w:t>reflétant ainsi la manière dont la substitution simultanée est réalisée en pratique.</w:t>
      </w:r>
      <w:r>
        <w:rPr>
          <w:lang w:val="fr-CA"/>
        </w:rPr>
        <w:t xml:space="preserve"> L</w:t>
      </w:r>
      <w:r w:rsidRPr="009966E9">
        <w:rPr>
          <w:lang w:val="fr-CA"/>
        </w:rPr>
        <w:t>e raisonnement du CRTC reposait sur ses connaissances spécialisées et techniques, et il a abouti à une interprétation qui était raisonnable eu égard au contexte d</w:t>
      </w:r>
      <w:r>
        <w:rPr>
          <w:lang w:val="fr-CA"/>
        </w:rPr>
        <w:t>’</w:t>
      </w:r>
      <w:r w:rsidRPr="009966E9">
        <w:rPr>
          <w:lang w:val="fr-CA"/>
        </w:rPr>
        <w:t>application particulier.</w:t>
      </w:r>
      <w:r>
        <w:rPr>
          <w:lang w:val="fr-CA"/>
        </w:rPr>
        <w:t xml:space="preserve"> </w:t>
      </w:r>
      <w:r w:rsidRPr="009966E9">
        <w:rPr>
          <w:lang w:val="fr-CA"/>
        </w:rPr>
        <w:t>De plus, le CRTC a de toute évidence examiné l</w:t>
      </w:r>
      <w:r>
        <w:rPr>
          <w:lang w:val="fr-CA"/>
        </w:rPr>
        <w:t>’al. </w:t>
      </w:r>
      <w:r w:rsidRPr="009966E9">
        <w:rPr>
          <w:lang w:val="fr-CA"/>
        </w:rPr>
        <w:t>9(1)h) en tenant compte du contexte dans lequel il s</w:t>
      </w:r>
      <w:r>
        <w:rPr>
          <w:lang w:val="fr-CA"/>
        </w:rPr>
        <w:t>’</w:t>
      </w:r>
      <w:r w:rsidRPr="009966E9">
        <w:rPr>
          <w:lang w:val="fr-CA"/>
        </w:rPr>
        <w:t xml:space="preserve">appliquait, y compris non seulement des objectifs de la </w:t>
      </w:r>
      <w:r w:rsidRPr="009966E9">
        <w:rPr>
          <w:i/>
          <w:lang w:val="fr-CA"/>
        </w:rPr>
        <w:t>Loi sur la radiodiffusion</w:t>
      </w:r>
      <w:r w:rsidRPr="009966E9">
        <w:rPr>
          <w:lang w:val="fr-CA"/>
        </w:rPr>
        <w:t>, mais également du cadre législatif plus large.</w:t>
      </w:r>
      <w:r>
        <w:rPr>
          <w:lang w:val="fr-CA"/>
        </w:rPr>
        <w:t xml:space="preserve"> </w:t>
      </w:r>
      <w:r w:rsidRPr="00BE688E">
        <w:rPr>
          <w:lang w:val="fr-CA"/>
        </w:rPr>
        <w:t xml:space="preserve">Le CRTC a clairement indiqué qu’il prenait sa décision à la lumière de décisions de politique générale ayant une portée beaucoup plus large et de l’obligation qui lui incombe de réglementer l’ensemble du système — et c’est ainsi qu’il l’a justifiée en définitive. Une cour de justice n’a pas pour rôle d’entreprendre une pondération de tels objectifs stratégiques concurrents et de substituer ses propres conclusions quant aux objectifs à atteindre dans l’intérêt public. </w:t>
      </w:r>
      <w:r w:rsidRPr="009966E9">
        <w:rPr>
          <w:lang w:val="fr-CA"/>
        </w:rPr>
        <w:t>Enfin, l</w:t>
      </w:r>
      <w:r>
        <w:rPr>
          <w:lang w:val="fr-CA"/>
        </w:rPr>
        <w:t>’</w:t>
      </w:r>
      <w:r w:rsidRPr="009966E9">
        <w:rPr>
          <w:lang w:val="fr-CA"/>
        </w:rPr>
        <w:t>interprétation que donne le CRTC de l</w:t>
      </w:r>
      <w:r>
        <w:rPr>
          <w:lang w:val="fr-CA"/>
        </w:rPr>
        <w:t>’al. </w:t>
      </w:r>
      <w:proofErr w:type="gramStart"/>
      <w:r w:rsidRPr="009966E9">
        <w:rPr>
          <w:lang w:val="fr-CA"/>
        </w:rPr>
        <w:t>9)(</w:t>
      </w:r>
      <w:proofErr w:type="gramEnd"/>
      <w:r w:rsidRPr="009966E9">
        <w:rPr>
          <w:lang w:val="fr-CA"/>
        </w:rPr>
        <w:t xml:space="preserve">1)h) </w:t>
      </w:r>
      <w:r>
        <w:rPr>
          <w:lang w:val="fr-CA"/>
        </w:rPr>
        <w:t>n’</w:t>
      </w:r>
      <w:r w:rsidRPr="009966E9">
        <w:rPr>
          <w:lang w:val="fr-CA"/>
        </w:rPr>
        <w:t xml:space="preserve">entre </w:t>
      </w:r>
      <w:r>
        <w:rPr>
          <w:lang w:val="fr-CA"/>
        </w:rPr>
        <w:t xml:space="preserve">pas </w:t>
      </w:r>
      <w:r w:rsidRPr="009966E9">
        <w:rPr>
          <w:lang w:val="fr-CA"/>
        </w:rPr>
        <w:t xml:space="preserve">en conflit avec la </w:t>
      </w:r>
      <w:r w:rsidRPr="009966E9">
        <w:rPr>
          <w:i/>
          <w:lang w:val="fr-CA"/>
        </w:rPr>
        <w:t>Loi sur le droit d</w:t>
      </w:r>
      <w:r>
        <w:rPr>
          <w:i/>
          <w:lang w:val="fr-CA"/>
        </w:rPr>
        <w:t>’</w:t>
      </w:r>
      <w:r w:rsidRPr="009966E9">
        <w:rPr>
          <w:i/>
          <w:lang w:val="fr-CA"/>
        </w:rPr>
        <w:t xml:space="preserve">auteur </w:t>
      </w:r>
      <w:r w:rsidRPr="009966E9">
        <w:rPr>
          <w:lang w:val="fr-CA"/>
        </w:rPr>
        <w:t>et</w:t>
      </w:r>
      <w:r w:rsidRPr="00BE688E">
        <w:rPr>
          <w:lang w:val="fr-CA"/>
        </w:rPr>
        <w:t xml:space="preserve"> </w:t>
      </w:r>
      <w:r w:rsidRPr="009966E9">
        <w:rPr>
          <w:lang w:val="fr-CA"/>
        </w:rPr>
        <w:t>avec les obligations issues de traités du Canada.</w:t>
      </w:r>
      <w:r>
        <w:rPr>
          <w:lang w:val="fr-CA"/>
        </w:rPr>
        <w:t xml:space="preserve"> L</w:t>
      </w:r>
      <w:r w:rsidRPr="009966E9">
        <w:rPr>
          <w:lang w:val="fr-CA"/>
        </w:rPr>
        <w:t>e CRTC a raisonnablement interprété l</w:t>
      </w:r>
      <w:r>
        <w:rPr>
          <w:lang w:val="fr-CA"/>
        </w:rPr>
        <w:t>’al. </w:t>
      </w:r>
      <w:r w:rsidRPr="009966E9">
        <w:rPr>
          <w:lang w:val="fr-CA"/>
        </w:rPr>
        <w:t xml:space="preserve">9(1)h) de la </w:t>
      </w:r>
      <w:r w:rsidRPr="009966E9">
        <w:rPr>
          <w:i/>
          <w:lang w:val="fr-CA"/>
        </w:rPr>
        <w:t>Loi sur la radiodiffusion</w:t>
      </w:r>
      <w:r w:rsidRPr="009966E9">
        <w:rPr>
          <w:lang w:val="fr-CA"/>
        </w:rPr>
        <w:t xml:space="preserve">, et son Ordonnance relative au Super </w:t>
      </w:r>
      <w:proofErr w:type="spellStart"/>
      <w:r w:rsidRPr="009966E9">
        <w:rPr>
          <w:lang w:val="fr-CA"/>
        </w:rPr>
        <w:t>Bowl</w:t>
      </w:r>
      <w:proofErr w:type="spellEnd"/>
      <w:r w:rsidRPr="009966E9">
        <w:rPr>
          <w:lang w:val="fr-CA"/>
        </w:rPr>
        <w:t xml:space="preserve"> était raisonnable</w:t>
      </w:r>
      <w:r>
        <w:rPr>
          <w:lang w:val="fr-CA"/>
        </w:rPr>
        <w:t>.</w:t>
      </w:r>
    </w:p>
    <w:p w:rsidR="005F030A" w:rsidRPr="00BE688E" w:rsidRDefault="005F030A" w:rsidP="005F030A">
      <w:pPr>
        <w:pStyle w:val="SCCNormalDoubleSpacing"/>
        <w:spacing w:after="480"/>
        <w:rPr>
          <w:b/>
          <w:lang w:val="fr-CA"/>
        </w:rPr>
      </w:pPr>
      <w:r w:rsidRPr="00BE688E">
        <w:rPr>
          <w:b/>
          <w:lang w:val="fr-CA"/>
        </w:rPr>
        <w:t>Jurisprudence</w:t>
      </w:r>
    </w:p>
    <w:p w:rsidR="005F030A" w:rsidRPr="00BE688E" w:rsidRDefault="005F030A" w:rsidP="005F030A">
      <w:pPr>
        <w:pStyle w:val="SCCNormalDoubleSpacing"/>
        <w:spacing w:after="720" w:line="240" w:lineRule="auto"/>
        <w:rPr>
          <w:lang w:val="fr-CA"/>
        </w:rPr>
      </w:pPr>
      <w:r w:rsidRPr="00BE688E">
        <w:rPr>
          <w:lang w:val="fr-CA"/>
        </w:rPr>
        <w:t xml:space="preserve">Citée par le juge en chef Wagner et les juges </w:t>
      </w:r>
      <w:proofErr w:type="spellStart"/>
      <w:r w:rsidRPr="00BE688E">
        <w:rPr>
          <w:lang w:val="fr-CA"/>
        </w:rPr>
        <w:t>Moldaver</w:t>
      </w:r>
      <w:proofErr w:type="spellEnd"/>
      <w:r w:rsidRPr="00BE688E">
        <w:rPr>
          <w:lang w:val="fr-CA"/>
        </w:rPr>
        <w:t>, Gascon, Côté, Brown, Rowe et Martin</w:t>
      </w:r>
    </w:p>
    <w:p w:rsidR="005F030A" w:rsidRPr="00BE688E" w:rsidRDefault="005F030A" w:rsidP="005F030A">
      <w:pPr>
        <w:pStyle w:val="SCCNormalDoubleSpacing"/>
        <w:spacing w:after="480"/>
        <w:rPr>
          <w:lang w:val="fr-CA"/>
        </w:rPr>
      </w:pPr>
      <w:r w:rsidRPr="00BE688E">
        <w:rPr>
          <w:lang w:val="fr-CA"/>
        </w:rPr>
        <w:lastRenderedPageBreak/>
        <w:tab/>
      </w:r>
      <w:r>
        <w:rPr>
          <w:b/>
          <w:lang w:val="fr-CA"/>
        </w:rPr>
        <w:t>Arrêt appliqué :</w:t>
      </w:r>
      <w:r w:rsidRPr="00BE688E">
        <w:rPr>
          <w:lang w:val="fr-CA"/>
        </w:rPr>
        <w:t xml:space="preserve"> </w:t>
      </w:r>
      <w:r w:rsidRPr="00BE688E">
        <w:rPr>
          <w:i/>
          <w:lang w:val="fr-CA"/>
        </w:rPr>
        <w:t xml:space="preserve">Canada (Ministre de la Citoyenneté et de l’Immigration) c. </w:t>
      </w:r>
      <w:proofErr w:type="spellStart"/>
      <w:r w:rsidRPr="00BE688E">
        <w:rPr>
          <w:i/>
          <w:lang w:val="fr-CA"/>
        </w:rPr>
        <w:t>Vavilov</w:t>
      </w:r>
      <w:proofErr w:type="spellEnd"/>
      <w:r w:rsidRPr="00BE688E">
        <w:rPr>
          <w:lang w:val="fr-CA"/>
        </w:rPr>
        <w:t>, 2019 CSC 65</w:t>
      </w:r>
      <w:r w:rsidR="00471846">
        <w:rPr>
          <w:lang w:val="fr-CA"/>
        </w:rPr>
        <w:t xml:space="preserve">, [2019] </w:t>
      </w:r>
      <w:r w:rsidR="00E705C3">
        <w:rPr>
          <w:lang w:val="fr-CA"/>
        </w:rPr>
        <w:t>4</w:t>
      </w:r>
      <w:r w:rsidR="00471846">
        <w:rPr>
          <w:lang w:val="fr-CA"/>
        </w:rPr>
        <w:t xml:space="preserve"> R.C.S. </w:t>
      </w:r>
      <w:r w:rsidR="005F3232">
        <w:rPr>
          <w:lang w:val="fr-CA"/>
        </w:rPr>
        <w:t>653</w:t>
      </w:r>
      <w:r w:rsidRPr="00BE688E">
        <w:rPr>
          <w:lang w:val="fr-CA"/>
        </w:rPr>
        <w:t xml:space="preserve">; </w:t>
      </w:r>
      <w:r w:rsidRPr="00BE688E">
        <w:rPr>
          <w:b/>
          <w:bCs/>
          <w:lang w:val="fr-FR"/>
        </w:rPr>
        <w:t>arrêts mentionnés</w:t>
      </w:r>
      <w:r>
        <w:rPr>
          <w:b/>
          <w:bCs/>
          <w:lang w:val="fr-FR"/>
        </w:rPr>
        <w:t> :</w:t>
      </w:r>
      <w:r w:rsidRPr="00BE688E">
        <w:rPr>
          <w:b/>
          <w:bCs/>
          <w:lang w:val="fr-FR"/>
        </w:rPr>
        <w:t xml:space="preserve"> </w:t>
      </w:r>
      <w:r w:rsidRPr="00BE688E">
        <w:rPr>
          <w:i/>
          <w:lang w:val="fr-CA"/>
        </w:rPr>
        <w:t>Renvoi relatif à la Politique réglementaire de radiodiffusion CRTC 2010</w:t>
      </w:r>
      <w:r>
        <w:rPr>
          <w:i/>
          <w:lang w:val="fr-CA"/>
        </w:rPr>
        <w:noBreakHyphen/>
      </w:r>
      <w:r w:rsidRPr="00BE688E">
        <w:rPr>
          <w:i/>
          <w:lang w:val="fr-CA"/>
        </w:rPr>
        <w:t>167 et l’ordonnance de radiodiffusion CRTC 2010</w:t>
      </w:r>
      <w:r>
        <w:rPr>
          <w:i/>
          <w:lang w:val="fr-CA"/>
        </w:rPr>
        <w:noBreakHyphen/>
      </w:r>
      <w:r w:rsidRPr="00BE688E">
        <w:rPr>
          <w:i/>
          <w:lang w:val="fr-CA"/>
        </w:rPr>
        <w:t>168</w:t>
      </w:r>
      <w:r w:rsidRPr="00BE688E">
        <w:rPr>
          <w:lang w:val="fr-CA"/>
        </w:rPr>
        <w:t xml:space="preserve">, 2012 CSC 68, [2012] 3 R.C.S. 489; </w:t>
      </w:r>
      <w:r w:rsidRPr="00BE688E">
        <w:rPr>
          <w:i/>
          <w:lang w:val="fr-CA"/>
        </w:rPr>
        <w:t>Bell Canada c. Canada (Procureur général)</w:t>
      </w:r>
      <w:r w:rsidRPr="00BE688E">
        <w:rPr>
          <w:lang w:val="fr-CA"/>
        </w:rPr>
        <w:t xml:space="preserve">, 2016 CAF 217; </w:t>
      </w:r>
      <w:r w:rsidRPr="00BE688E">
        <w:rPr>
          <w:i/>
          <w:lang w:val="fr-CA"/>
        </w:rPr>
        <w:t>Bell Canada c. 7262591 Canada Ltd.</w:t>
      </w:r>
      <w:r w:rsidRPr="00BE688E">
        <w:rPr>
          <w:lang w:val="fr-CA"/>
        </w:rPr>
        <w:t>, 2018 CAF 174;</w:t>
      </w:r>
      <w:r>
        <w:rPr>
          <w:lang w:val="fr-CA"/>
        </w:rPr>
        <w:t xml:space="preserve"> </w:t>
      </w:r>
      <w:proofErr w:type="spellStart"/>
      <w:r w:rsidRPr="00BE688E">
        <w:rPr>
          <w:i/>
          <w:lang w:val="fr-CA"/>
        </w:rPr>
        <w:t>Housen</w:t>
      </w:r>
      <w:proofErr w:type="spellEnd"/>
      <w:r w:rsidRPr="00BE688E">
        <w:rPr>
          <w:i/>
          <w:lang w:val="fr-CA"/>
        </w:rPr>
        <w:t xml:space="preserve"> c. </w:t>
      </w:r>
      <w:proofErr w:type="spellStart"/>
      <w:r w:rsidRPr="00BE688E">
        <w:rPr>
          <w:i/>
          <w:lang w:val="fr-CA"/>
        </w:rPr>
        <w:t>Nikolaisen</w:t>
      </w:r>
      <w:proofErr w:type="spellEnd"/>
      <w:r w:rsidRPr="00BE688E">
        <w:rPr>
          <w:lang w:val="fr-CA"/>
        </w:rPr>
        <w:t xml:space="preserve">, 2002 CSC 33, [2002] 2 R.C.S. 235; </w:t>
      </w:r>
      <w:proofErr w:type="spellStart"/>
      <w:r w:rsidRPr="00BE688E">
        <w:rPr>
          <w:i/>
          <w:iCs/>
          <w:lang w:val="fr-CA"/>
        </w:rPr>
        <w:t>Rizzo</w:t>
      </w:r>
      <w:proofErr w:type="spellEnd"/>
      <w:r w:rsidRPr="00BE688E">
        <w:rPr>
          <w:i/>
          <w:iCs/>
          <w:lang w:val="fr-CA"/>
        </w:rPr>
        <w:t xml:space="preserve"> &amp; </w:t>
      </w:r>
      <w:proofErr w:type="spellStart"/>
      <w:r w:rsidRPr="00BE688E">
        <w:rPr>
          <w:i/>
          <w:iCs/>
          <w:lang w:val="fr-CA"/>
        </w:rPr>
        <w:t>Rizzo</w:t>
      </w:r>
      <w:proofErr w:type="spellEnd"/>
      <w:r w:rsidRPr="00BE688E">
        <w:rPr>
          <w:i/>
          <w:iCs/>
          <w:lang w:val="fr-CA"/>
        </w:rPr>
        <w:t xml:space="preserve"> </w:t>
      </w:r>
      <w:proofErr w:type="spellStart"/>
      <w:r w:rsidRPr="00BE688E">
        <w:rPr>
          <w:i/>
          <w:iCs/>
          <w:lang w:val="fr-CA"/>
        </w:rPr>
        <w:t>Shoes</w:t>
      </w:r>
      <w:proofErr w:type="spellEnd"/>
      <w:r w:rsidRPr="00BE688E">
        <w:rPr>
          <w:i/>
          <w:iCs/>
          <w:lang w:val="fr-CA"/>
        </w:rPr>
        <w:t xml:space="preserve"> Ltd. (</w:t>
      </w:r>
      <w:proofErr w:type="spellStart"/>
      <w:r w:rsidRPr="00BE688E">
        <w:rPr>
          <w:i/>
          <w:iCs/>
          <w:lang w:val="fr-CA"/>
        </w:rPr>
        <w:t>Re</w:t>
      </w:r>
      <w:proofErr w:type="spellEnd"/>
      <w:r w:rsidRPr="00BE688E">
        <w:rPr>
          <w:i/>
          <w:iCs/>
          <w:lang w:val="fr-CA"/>
        </w:rPr>
        <w:t>)</w:t>
      </w:r>
      <w:r w:rsidRPr="00BE688E">
        <w:rPr>
          <w:lang w:val="fr-CA"/>
        </w:rPr>
        <w:t>,</w:t>
      </w:r>
      <w:r w:rsidRPr="00BE688E">
        <w:rPr>
          <w:i/>
          <w:iCs/>
          <w:lang w:val="fr-CA"/>
        </w:rPr>
        <w:t xml:space="preserve"> </w:t>
      </w:r>
      <w:r w:rsidRPr="00BE688E">
        <w:rPr>
          <w:lang w:val="fr-CA"/>
        </w:rPr>
        <w:t xml:space="preserve">[1998] 1 R.C.S. 27; </w:t>
      </w:r>
      <w:r w:rsidRPr="00BE688E">
        <w:rPr>
          <w:i/>
          <w:lang w:val="fr-CA"/>
        </w:rPr>
        <w:t>R. c. Barton</w:t>
      </w:r>
      <w:r w:rsidRPr="00BE688E">
        <w:rPr>
          <w:lang w:val="fr-CA"/>
        </w:rPr>
        <w:t>, 2019 CSC 33</w:t>
      </w:r>
      <w:r w:rsidR="005F3232">
        <w:rPr>
          <w:lang w:val="fr-CA"/>
        </w:rPr>
        <w:t>, [2019] 2</w:t>
      </w:r>
      <w:r w:rsidR="0015160C">
        <w:rPr>
          <w:lang w:val="fr-CA"/>
        </w:rPr>
        <w:t xml:space="preserve"> R.C.S. </w:t>
      </w:r>
      <w:r w:rsidR="005F3232">
        <w:rPr>
          <w:lang w:val="fr-CA"/>
        </w:rPr>
        <w:t>579</w:t>
      </w:r>
      <w:r w:rsidRPr="00BE688E">
        <w:rPr>
          <w:lang w:val="fr-CA"/>
        </w:rPr>
        <w:t>.</w:t>
      </w:r>
    </w:p>
    <w:p w:rsidR="005F030A" w:rsidRPr="00BE688E" w:rsidRDefault="005F030A" w:rsidP="005F030A">
      <w:pPr>
        <w:pStyle w:val="SCCNormalDoubleSpacing"/>
        <w:spacing w:after="720" w:line="240" w:lineRule="auto"/>
        <w:rPr>
          <w:lang w:val="fr-CA"/>
        </w:rPr>
      </w:pPr>
      <w:r w:rsidRPr="00BE688E">
        <w:rPr>
          <w:lang w:val="fr-CA"/>
        </w:rPr>
        <w:t xml:space="preserve">Citée par les juges Abella et </w:t>
      </w:r>
      <w:proofErr w:type="spellStart"/>
      <w:r w:rsidRPr="00BE688E">
        <w:rPr>
          <w:lang w:val="fr-CA"/>
        </w:rPr>
        <w:t>Karakatsanis</w:t>
      </w:r>
      <w:proofErr w:type="spellEnd"/>
      <w:r w:rsidRPr="00BE688E">
        <w:rPr>
          <w:lang w:val="fr-CA"/>
        </w:rPr>
        <w:t xml:space="preserve"> (dissidentes)</w:t>
      </w:r>
    </w:p>
    <w:p w:rsidR="005F030A" w:rsidRPr="00BE688E" w:rsidRDefault="005F030A" w:rsidP="005F030A">
      <w:pPr>
        <w:pStyle w:val="SCCNormalDoubleSpacing"/>
        <w:spacing w:after="480"/>
        <w:rPr>
          <w:lang w:val="fr-CA"/>
        </w:rPr>
      </w:pPr>
      <w:r w:rsidRPr="00BE688E">
        <w:rPr>
          <w:lang w:val="fr-CA"/>
        </w:rPr>
        <w:tab/>
      </w:r>
      <w:r w:rsidRPr="00BE688E">
        <w:rPr>
          <w:i/>
          <w:lang w:val="fr-CA"/>
        </w:rPr>
        <w:t xml:space="preserve">Canada (Ministre de la Citoyenneté et de l’Immigration) c. </w:t>
      </w:r>
      <w:proofErr w:type="spellStart"/>
      <w:r w:rsidRPr="00BE688E">
        <w:rPr>
          <w:i/>
          <w:lang w:val="fr-CA"/>
        </w:rPr>
        <w:t>Vavilov</w:t>
      </w:r>
      <w:proofErr w:type="spellEnd"/>
      <w:r w:rsidRPr="00BE688E">
        <w:rPr>
          <w:lang w:val="fr-CA"/>
        </w:rPr>
        <w:t>, 2019 CSC 65</w:t>
      </w:r>
      <w:r w:rsidR="0015160C">
        <w:rPr>
          <w:lang w:val="fr-CA"/>
        </w:rPr>
        <w:t xml:space="preserve">, [2019] </w:t>
      </w:r>
      <w:r w:rsidR="004835D7">
        <w:rPr>
          <w:lang w:val="fr-CA"/>
        </w:rPr>
        <w:t>4</w:t>
      </w:r>
      <w:r w:rsidR="0015160C">
        <w:rPr>
          <w:lang w:val="fr-CA"/>
        </w:rPr>
        <w:t xml:space="preserve"> R.C.S. </w:t>
      </w:r>
      <w:r w:rsidR="005F3232">
        <w:rPr>
          <w:lang w:val="fr-CA"/>
        </w:rPr>
        <w:t>653</w:t>
      </w:r>
      <w:r w:rsidRPr="00BE688E">
        <w:rPr>
          <w:lang w:val="fr-CA"/>
        </w:rPr>
        <w:t xml:space="preserve">; </w:t>
      </w:r>
      <w:r w:rsidRPr="00BE688E">
        <w:rPr>
          <w:i/>
          <w:lang w:val="fr-CA"/>
        </w:rPr>
        <w:t>Renvoi relatif à la Politique réglementaire de radiodiffusion CRTC 2010</w:t>
      </w:r>
      <w:r>
        <w:rPr>
          <w:i/>
          <w:lang w:val="fr-CA"/>
        </w:rPr>
        <w:noBreakHyphen/>
      </w:r>
      <w:r w:rsidRPr="00BE688E">
        <w:rPr>
          <w:i/>
          <w:lang w:val="fr-CA"/>
        </w:rPr>
        <w:t>167 et l’ordonnance de radiodiffusion CRTC 2010</w:t>
      </w:r>
      <w:r>
        <w:rPr>
          <w:i/>
          <w:lang w:val="fr-CA"/>
        </w:rPr>
        <w:noBreakHyphen/>
      </w:r>
      <w:r w:rsidRPr="00BE688E">
        <w:rPr>
          <w:i/>
          <w:lang w:val="fr-CA"/>
        </w:rPr>
        <w:t>168</w:t>
      </w:r>
      <w:r w:rsidRPr="00BE688E">
        <w:rPr>
          <w:lang w:val="fr-CA"/>
        </w:rPr>
        <w:t xml:space="preserve">, 2012 CSC 68, [2012] 3 R.C.S. 489; </w:t>
      </w:r>
      <w:proofErr w:type="spellStart"/>
      <w:r w:rsidRPr="00BE688E">
        <w:rPr>
          <w:i/>
          <w:lang w:val="fr-CA"/>
        </w:rPr>
        <w:t>McLean</w:t>
      </w:r>
      <w:proofErr w:type="spellEnd"/>
      <w:r w:rsidRPr="00BE688E">
        <w:rPr>
          <w:i/>
          <w:lang w:val="fr-CA"/>
        </w:rPr>
        <w:t xml:space="preserve"> c. Colombie</w:t>
      </w:r>
      <w:r>
        <w:rPr>
          <w:i/>
          <w:lang w:val="fr-CA"/>
        </w:rPr>
        <w:noBreakHyphen/>
      </w:r>
      <w:r w:rsidRPr="00BE688E">
        <w:rPr>
          <w:i/>
          <w:lang w:val="fr-CA"/>
        </w:rPr>
        <w:t>Britannique (Securities Commission)</w:t>
      </w:r>
      <w:r w:rsidRPr="00BE688E">
        <w:rPr>
          <w:lang w:val="fr-CA"/>
        </w:rPr>
        <w:t>, 2013 CSC 67, [2013] 3 R.C.S. 895.</w:t>
      </w:r>
    </w:p>
    <w:p w:rsidR="005F030A" w:rsidRPr="00BE688E" w:rsidRDefault="005F030A" w:rsidP="005F030A">
      <w:pPr>
        <w:pStyle w:val="SCCNormalDoubleSpacing"/>
        <w:spacing w:after="720" w:line="240" w:lineRule="auto"/>
        <w:rPr>
          <w:b/>
          <w:lang w:val="fr-CA"/>
        </w:rPr>
      </w:pPr>
      <w:r w:rsidRPr="00BE688E">
        <w:rPr>
          <w:b/>
          <w:lang w:val="fr-CA"/>
        </w:rPr>
        <w:t>Lois et règlements cités</w:t>
      </w:r>
    </w:p>
    <w:p w:rsidR="005F030A" w:rsidRPr="00BE688E" w:rsidRDefault="005F030A" w:rsidP="005F030A">
      <w:pPr>
        <w:pStyle w:val="SCCNormalDoubleSpacing"/>
        <w:spacing w:after="240" w:line="240" w:lineRule="auto"/>
        <w:ind w:left="547" w:hanging="547"/>
        <w:rPr>
          <w:lang w:val="fr-CA"/>
        </w:rPr>
      </w:pPr>
      <w:r w:rsidRPr="00BE688E">
        <w:rPr>
          <w:i/>
          <w:lang w:val="fr-CA"/>
        </w:rPr>
        <w:t>Loi d’interprétation</w:t>
      </w:r>
      <w:r w:rsidRPr="00BE688E">
        <w:rPr>
          <w:lang w:val="fr-CA"/>
        </w:rPr>
        <w:t>, L.R.C. 1985, c. I</w:t>
      </w:r>
      <w:r>
        <w:rPr>
          <w:lang w:val="fr-CA"/>
        </w:rPr>
        <w:noBreakHyphen/>
      </w:r>
      <w:r w:rsidRPr="00BE688E">
        <w:rPr>
          <w:lang w:val="fr-CA"/>
        </w:rPr>
        <w:t xml:space="preserve">21, </w:t>
      </w:r>
      <w:r>
        <w:rPr>
          <w:lang w:val="fr-CA"/>
        </w:rPr>
        <w:t>art. </w:t>
      </w:r>
      <w:r w:rsidRPr="00BE688E">
        <w:rPr>
          <w:lang w:val="fr-CA"/>
        </w:rPr>
        <w:t>33(2).</w:t>
      </w:r>
    </w:p>
    <w:p w:rsidR="005F030A" w:rsidRPr="00BE688E" w:rsidRDefault="005F030A" w:rsidP="005F030A">
      <w:pPr>
        <w:pStyle w:val="SCCNormalDoubleSpacing"/>
        <w:spacing w:after="240" w:line="240" w:lineRule="auto"/>
        <w:ind w:left="547" w:hanging="547"/>
        <w:rPr>
          <w:lang w:val="fr-CA"/>
        </w:rPr>
      </w:pPr>
      <w:r w:rsidRPr="00BE688E">
        <w:rPr>
          <w:i/>
          <w:lang w:val="fr-CA"/>
        </w:rPr>
        <w:t>Loi sur la radiodiffusion</w:t>
      </w:r>
      <w:r w:rsidRPr="00BE688E">
        <w:rPr>
          <w:lang w:val="fr-CA"/>
        </w:rPr>
        <w:t xml:space="preserve">, L.C. 1991, c. 11, </w:t>
      </w:r>
      <w:r>
        <w:rPr>
          <w:lang w:val="fr-CA"/>
        </w:rPr>
        <w:t>art. </w:t>
      </w:r>
      <w:r w:rsidRPr="00BE688E">
        <w:rPr>
          <w:lang w:val="fr-CA"/>
        </w:rPr>
        <w:t>3, Partie II, 5(1), 9, 10, 18(3), 26(2), 31(2), 32, 33.</w:t>
      </w:r>
    </w:p>
    <w:p w:rsidR="005F030A" w:rsidRPr="00BE688E" w:rsidRDefault="005F030A" w:rsidP="005F030A">
      <w:pPr>
        <w:pStyle w:val="SCCNormalDoubleSpacing"/>
        <w:spacing w:after="240" w:line="240" w:lineRule="auto"/>
        <w:ind w:left="547" w:hanging="547"/>
        <w:rPr>
          <w:lang w:val="fr-CA"/>
        </w:rPr>
      </w:pPr>
      <w:r w:rsidRPr="00BE688E">
        <w:rPr>
          <w:i/>
          <w:lang w:val="fr-CA"/>
        </w:rPr>
        <w:t>Loi sur le Conseil de la radiodiffusion et des télécommunications canadiennes</w:t>
      </w:r>
      <w:r w:rsidRPr="00BE688E">
        <w:rPr>
          <w:lang w:val="fr-CA"/>
        </w:rPr>
        <w:t>, L.R.C. 1985, c. C</w:t>
      </w:r>
      <w:r>
        <w:rPr>
          <w:lang w:val="fr-CA"/>
        </w:rPr>
        <w:noBreakHyphen/>
      </w:r>
      <w:r w:rsidRPr="00BE688E">
        <w:rPr>
          <w:lang w:val="fr-CA"/>
        </w:rPr>
        <w:t xml:space="preserve">22, </w:t>
      </w:r>
      <w:r>
        <w:rPr>
          <w:lang w:val="fr-CA"/>
        </w:rPr>
        <w:t>art. </w:t>
      </w:r>
      <w:r w:rsidRPr="00BE688E">
        <w:rPr>
          <w:lang w:val="fr-CA"/>
        </w:rPr>
        <w:t>12(1).</w:t>
      </w:r>
    </w:p>
    <w:p w:rsidR="005F030A" w:rsidRPr="00BE688E" w:rsidRDefault="005F030A" w:rsidP="005F030A">
      <w:pPr>
        <w:pStyle w:val="SCCNormalDoubleSpacing"/>
        <w:spacing w:after="240" w:line="240" w:lineRule="auto"/>
        <w:ind w:left="547" w:hanging="547"/>
        <w:rPr>
          <w:lang w:val="fr-CA"/>
        </w:rPr>
      </w:pPr>
      <w:r w:rsidRPr="00BE688E">
        <w:rPr>
          <w:i/>
          <w:lang w:val="fr-CA"/>
        </w:rPr>
        <w:t>Loi sur le droit d’auteur</w:t>
      </w:r>
      <w:r w:rsidRPr="00BE688E">
        <w:rPr>
          <w:lang w:val="fr-CA"/>
        </w:rPr>
        <w:t>, L.R.C. 1985, c. C</w:t>
      </w:r>
      <w:r>
        <w:rPr>
          <w:lang w:val="fr-CA"/>
        </w:rPr>
        <w:noBreakHyphen/>
      </w:r>
      <w:r w:rsidRPr="00BE688E">
        <w:rPr>
          <w:lang w:val="fr-CA"/>
        </w:rPr>
        <w:t xml:space="preserve">42, </w:t>
      </w:r>
      <w:r>
        <w:rPr>
          <w:lang w:val="fr-CA"/>
        </w:rPr>
        <w:t>art. </w:t>
      </w:r>
      <w:r w:rsidRPr="00BE688E">
        <w:rPr>
          <w:lang w:val="fr-CA"/>
        </w:rPr>
        <w:t>31(2).</w:t>
      </w:r>
    </w:p>
    <w:p w:rsidR="005F030A" w:rsidRPr="00BE688E" w:rsidRDefault="005F030A" w:rsidP="005F030A">
      <w:pPr>
        <w:pStyle w:val="SCCNormalDoubleSpacing"/>
        <w:spacing w:after="240" w:line="240" w:lineRule="auto"/>
        <w:ind w:left="547" w:hanging="547"/>
        <w:rPr>
          <w:lang w:val="fr-CA"/>
        </w:rPr>
      </w:pPr>
      <w:r w:rsidRPr="00BE688E">
        <w:rPr>
          <w:i/>
          <w:lang w:val="fr-CA"/>
        </w:rPr>
        <w:t>Loi sur les télécommunications</w:t>
      </w:r>
      <w:r w:rsidRPr="00BE688E">
        <w:rPr>
          <w:lang w:val="fr-CA"/>
        </w:rPr>
        <w:t>, L.C. 1993, c. 38.</w:t>
      </w:r>
    </w:p>
    <w:p w:rsidR="005F030A" w:rsidRPr="00BE688E" w:rsidRDefault="005F030A" w:rsidP="005F030A">
      <w:pPr>
        <w:pStyle w:val="SCCNormalDoubleSpacing"/>
        <w:spacing w:after="240" w:line="240" w:lineRule="auto"/>
        <w:ind w:left="547" w:hanging="547"/>
        <w:rPr>
          <w:lang w:val="fr-CA"/>
        </w:rPr>
      </w:pPr>
      <w:r w:rsidRPr="00BE688E">
        <w:rPr>
          <w:i/>
          <w:lang w:val="fr-CA"/>
        </w:rPr>
        <w:lastRenderedPageBreak/>
        <w:t>Règlement sur la distribution de radiodiffusion</w:t>
      </w:r>
      <w:r w:rsidRPr="00BE688E">
        <w:rPr>
          <w:lang w:val="fr-CA"/>
        </w:rPr>
        <w:t>, DORS/97</w:t>
      </w:r>
      <w:r>
        <w:rPr>
          <w:lang w:val="fr-CA"/>
        </w:rPr>
        <w:noBreakHyphen/>
      </w:r>
      <w:r w:rsidRPr="00BE688E">
        <w:rPr>
          <w:lang w:val="fr-CA"/>
        </w:rPr>
        <w:t xml:space="preserve">555, </w:t>
      </w:r>
      <w:r>
        <w:rPr>
          <w:lang w:val="fr-CA"/>
        </w:rPr>
        <w:t>art. </w:t>
      </w:r>
      <w:r w:rsidRPr="00BE688E">
        <w:rPr>
          <w:lang w:val="fr-CA"/>
        </w:rPr>
        <w:t>7, 17(1)g), 18(3)a), 19(2)d), 38(4) [</w:t>
      </w:r>
      <w:proofErr w:type="spellStart"/>
      <w:r w:rsidRPr="00BE688E">
        <w:rPr>
          <w:lang w:val="fr-CA"/>
        </w:rPr>
        <w:t>abr</w:t>
      </w:r>
      <w:proofErr w:type="spellEnd"/>
      <w:r w:rsidRPr="00BE688E">
        <w:rPr>
          <w:lang w:val="fr-CA"/>
        </w:rPr>
        <w:t>. DORS/2015</w:t>
      </w:r>
      <w:r>
        <w:rPr>
          <w:lang w:val="fr-CA"/>
        </w:rPr>
        <w:noBreakHyphen/>
      </w:r>
      <w:r w:rsidRPr="00BE688E">
        <w:rPr>
          <w:lang w:val="fr-CA"/>
        </w:rPr>
        <w:t xml:space="preserve">240, </w:t>
      </w:r>
      <w:r>
        <w:rPr>
          <w:lang w:val="fr-CA"/>
        </w:rPr>
        <w:t>art. </w:t>
      </w:r>
      <w:r w:rsidRPr="00BE688E">
        <w:rPr>
          <w:lang w:val="fr-CA"/>
        </w:rPr>
        <w:t>7], 41(1)b), 46(3)b), 47(2</w:t>
      </w:r>
      <w:proofErr w:type="gramStart"/>
      <w:r w:rsidRPr="00BE688E">
        <w:rPr>
          <w:lang w:val="fr-CA"/>
        </w:rPr>
        <w:t>)a.1</w:t>
      </w:r>
      <w:proofErr w:type="gramEnd"/>
      <w:r w:rsidRPr="00BE688E">
        <w:rPr>
          <w:lang w:val="fr-CA"/>
        </w:rPr>
        <w:t>), 49(2)a)(i), 51(3) [</w:t>
      </w:r>
      <w:r w:rsidR="006757BC">
        <w:rPr>
          <w:i/>
          <w:lang w:val="fr-CA"/>
        </w:rPr>
        <w:t>i</w:t>
      </w:r>
      <w:r w:rsidRPr="00BE688E">
        <w:rPr>
          <w:i/>
          <w:lang w:val="fr-CA"/>
        </w:rPr>
        <w:t>dem</w:t>
      </w:r>
      <w:r w:rsidRPr="00BE688E">
        <w:rPr>
          <w:lang w:val="fr-CA"/>
        </w:rPr>
        <w:t xml:space="preserve">, </w:t>
      </w:r>
      <w:r>
        <w:rPr>
          <w:lang w:val="fr-CA"/>
        </w:rPr>
        <w:t>art. </w:t>
      </w:r>
      <w:r w:rsidRPr="00BE688E">
        <w:rPr>
          <w:lang w:val="fr-CA"/>
        </w:rPr>
        <w:t>9].</w:t>
      </w:r>
    </w:p>
    <w:p w:rsidR="005F030A" w:rsidRPr="00BE688E" w:rsidRDefault="005F030A" w:rsidP="005F030A">
      <w:pPr>
        <w:pStyle w:val="SCCNormalDoubleSpacing"/>
        <w:spacing w:after="720" w:line="240" w:lineRule="auto"/>
        <w:ind w:left="547" w:hanging="547"/>
        <w:rPr>
          <w:lang w:val="fr-CA"/>
        </w:rPr>
      </w:pPr>
      <w:r w:rsidRPr="00BE688E">
        <w:rPr>
          <w:i/>
          <w:lang w:val="fr-CA"/>
        </w:rPr>
        <w:t>Règlement sur le retrait et la substitution simultanée de services de programmation</w:t>
      </w:r>
      <w:r w:rsidRPr="00BE688E">
        <w:rPr>
          <w:lang w:val="fr-CA"/>
        </w:rPr>
        <w:t>, DORS/2015</w:t>
      </w:r>
      <w:r>
        <w:rPr>
          <w:lang w:val="fr-CA"/>
        </w:rPr>
        <w:noBreakHyphen/>
      </w:r>
      <w:r w:rsidRPr="00BE688E">
        <w:rPr>
          <w:lang w:val="fr-CA"/>
        </w:rPr>
        <w:t xml:space="preserve">240, </w:t>
      </w:r>
      <w:r>
        <w:rPr>
          <w:lang w:val="fr-CA"/>
        </w:rPr>
        <w:t>art. </w:t>
      </w:r>
      <w:r w:rsidRPr="00BE688E">
        <w:rPr>
          <w:lang w:val="fr-CA"/>
        </w:rPr>
        <w:t>3, 4.</w:t>
      </w:r>
    </w:p>
    <w:p w:rsidR="005F030A" w:rsidRPr="00BE688E" w:rsidRDefault="005F030A" w:rsidP="005F030A">
      <w:pPr>
        <w:pStyle w:val="SCCNormalDoubleSpacing"/>
        <w:spacing w:after="720" w:line="240" w:lineRule="auto"/>
        <w:rPr>
          <w:b/>
          <w:lang w:val="fr-CA"/>
        </w:rPr>
      </w:pPr>
      <w:r w:rsidRPr="00BE688E">
        <w:rPr>
          <w:b/>
          <w:lang w:val="fr-CA"/>
        </w:rPr>
        <w:t>Doctrine et autres documents cités</w:t>
      </w:r>
    </w:p>
    <w:p w:rsidR="005F030A" w:rsidRPr="00BE688E" w:rsidRDefault="005F030A" w:rsidP="005F030A">
      <w:pPr>
        <w:pStyle w:val="SCCNormalDoubleSpacing"/>
        <w:spacing w:after="240" w:line="240" w:lineRule="auto"/>
        <w:ind w:left="540" w:hanging="540"/>
        <w:rPr>
          <w:lang w:val="en-GB"/>
        </w:rPr>
      </w:pPr>
      <w:r w:rsidRPr="00BE688E">
        <w:rPr>
          <w:lang w:val="fr-CA"/>
        </w:rPr>
        <w:t xml:space="preserve">Armstrong, Robert. </w:t>
      </w:r>
      <w:r w:rsidRPr="00BE688E">
        <w:rPr>
          <w:i/>
          <w:lang w:val="en-GB"/>
        </w:rPr>
        <w:t>Broadcasting Policy in Canada</w:t>
      </w:r>
      <w:r w:rsidRPr="00BE688E">
        <w:rPr>
          <w:lang w:val="en-GB"/>
        </w:rPr>
        <w:t>, 2nd ed., Toronto, University of Toronto Press, 2016.</w:t>
      </w:r>
    </w:p>
    <w:p w:rsidR="005F030A" w:rsidRPr="00BE688E" w:rsidRDefault="005F030A" w:rsidP="005F030A">
      <w:pPr>
        <w:pStyle w:val="SCCNormalDoubleSpacing"/>
        <w:spacing w:after="240" w:line="240" w:lineRule="auto"/>
        <w:ind w:left="540" w:hanging="540"/>
        <w:rPr>
          <w:lang w:val="fr-CA"/>
        </w:rPr>
      </w:pPr>
      <w:r>
        <w:rPr>
          <w:lang w:val="fr-CA"/>
        </w:rPr>
        <w:t xml:space="preserve">Canada. </w:t>
      </w:r>
      <w:r w:rsidRPr="00BE688E">
        <w:rPr>
          <w:lang w:val="fr-CA"/>
        </w:rPr>
        <w:t xml:space="preserve">Chambre des communes. </w:t>
      </w:r>
      <w:r w:rsidRPr="00BE688E">
        <w:rPr>
          <w:i/>
          <w:lang w:val="fr-CA"/>
        </w:rPr>
        <w:t>Procès</w:t>
      </w:r>
      <w:r>
        <w:rPr>
          <w:i/>
          <w:lang w:val="fr-CA"/>
        </w:rPr>
        <w:noBreakHyphen/>
      </w:r>
      <w:r w:rsidRPr="00BE688E">
        <w:rPr>
          <w:i/>
          <w:lang w:val="fr-CA"/>
        </w:rPr>
        <w:t>verbaux et témoignages du Comité permanent des Communications et de la culture</w:t>
      </w:r>
      <w:r w:rsidRPr="00BE688E">
        <w:rPr>
          <w:lang w:val="fr-CA"/>
        </w:rPr>
        <w:t xml:space="preserve">, </w:t>
      </w:r>
      <w:r w:rsidRPr="00BE688E">
        <w:rPr>
          <w:lang w:val="fr-FR"/>
        </w:rPr>
        <w:t>n</w:t>
      </w:r>
      <w:r w:rsidRPr="00BE688E">
        <w:rPr>
          <w:vertAlign w:val="superscript"/>
          <w:lang w:val="fr-FR"/>
        </w:rPr>
        <w:t>o</w:t>
      </w:r>
      <w:r w:rsidRPr="00BE688E">
        <w:rPr>
          <w:lang w:val="fr-CA"/>
        </w:rPr>
        <w:t> 36, 2</w:t>
      </w:r>
      <w:r w:rsidRPr="00BE688E">
        <w:rPr>
          <w:vertAlign w:val="superscript"/>
          <w:lang w:val="fr-CA"/>
        </w:rPr>
        <w:t>e</w:t>
      </w:r>
      <w:r w:rsidRPr="00BE688E">
        <w:rPr>
          <w:lang w:val="fr-CA"/>
        </w:rPr>
        <w:t> </w:t>
      </w:r>
      <w:proofErr w:type="spellStart"/>
      <w:r w:rsidRPr="00BE688E">
        <w:rPr>
          <w:lang w:val="fr-CA"/>
        </w:rPr>
        <w:t>sess</w:t>
      </w:r>
      <w:proofErr w:type="spellEnd"/>
      <w:r w:rsidRPr="00BE688E">
        <w:rPr>
          <w:lang w:val="fr-CA"/>
        </w:rPr>
        <w:t>., 33</w:t>
      </w:r>
      <w:r w:rsidRPr="00BE688E">
        <w:rPr>
          <w:vertAlign w:val="superscript"/>
          <w:lang w:val="fr-CA"/>
        </w:rPr>
        <w:t>e</w:t>
      </w:r>
      <w:r w:rsidRPr="00BE688E">
        <w:rPr>
          <w:lang w:val="fr-CA"/>
        </w:rPr>
        <w:t> </w:t>
      </w:r>
      <w:proofErr w:type="spellStart"/>
      <w:r w:rsidRPr="00BE688E">
        <w:rPr>
          <w:lang w:val="fr-CA"/>
        </w:rPr>
        <w:t>lég</w:t>
      </w:r>
      <w:proofErr w:type="spellEnd"/>
      <w:r w:rsidRPr="00BE688E">
        <w:rPr>
          <w:lang w:val="fr-CA"/>
        </w:rPr>
        <w:t>., 4 mai 1987, </w:t>
      </w:r>
      <w:r>
        <w:rPr>
          <w:lang w:val="fr-CA"/>
        </w:rPr>
        <w:t>p. </w:t>
      </w:r>
      <w:r w:rsidRPr="00BE688E">
        <w:rPr>
          <w:lang w:val="fr-CA"/>
        </w:rPr>
        <w:t>78.</w:t>
      </w:r>
    </w:p>
    <w:p w:rsidR="001808C8" w:rsidRPr="00320A51" w:rsidRDefault="001808C8" w:rsidP="001808C8">
      <w:pPr>
        <w:pStyle w:val="SCCNormalDoubleSpacing"/>
        <w:spacing w:after="240" w:line="240" w:lineRule="auto"/>
        <w:ind w:left="540" w:hanging="540"/>
        <w:rPr>
          <w:lang w:val="fr-FR"/>
        </w:rPr>
      </w:pPr>
      <w:r>
        <w:rPr>
          <w:lang w:val="fr-FR"/>
        </w:rPr>
        <w:t>Canada. </w:t>
      </w:r>
      <w:r w:rsidRPr="007008B2">
        <w:rPr>
          <w:lang w:val="fr-FR"/>
        </w:rPr>
        <w:t xml:space="preserve">Conseil de la radiodiffusion et des télécommunications canadiennes. </w:t>
      </w:r>
      <w:r w:rsidRPr="007008B2">
        <w:rPr>
          <w:i/>
          <w:lang w:val="fr-FR"/>
        </w:rPr>
        <w:t>Avis de consultation de radiodiffusion CRTC 2014-190</w:t>
      </w:r>
      <w:r>
        <w:rPr>
          <w:lang w:val="fr-FR"/>
        </w:rPr>
        <w:t>, 24 </w:t>
      </w:r>
      <w:r w:rsidRPr="007008B2">
        <w:rPr>
          <w:lang w:val="fr-FR"/>
        </w:rPr>
        <w:t xml:space="preserve">avril 2014 (en ligne : </w:t>
      </w:r>
      <w:r w:rsidRPr="00036A25">
        <w:rPr>
          <w:lang w:val="fr-CA"/>
        </w:rPr>
        <w:t>https://crtc.gc.ca/fra/archive/2014/2014-190.pdf</w:t>
      </w:r>
      <w:r w:rsidRPr="007008B2">
        <w:rPr>
          <w:lang w:val="fr-FR"/>
        </w:rPr>
        <w:t xml:space="preserve">; version archivée : </w:t>
      </w:r>
      <w:hyperlink r:id="rId10" w:history="1">
        <w:r w:rsidRPr="00CF01BF">
          <w:rPr>
            <w:rFonts w:eastAsiaTheme="majorEastAsia"/>
            <w:lang w:val="fr-CA"/>
          </w:rPr>
          <w:t>https://www.scc-csc.ca/cso-dce/2019SCC-CSC66_3_fra.pdf</w:t>
        </w:r>
      </w:hyperlink>
      <w:r w:rsidRPr="00CF01BF">
        <w:rPr>
          <w:lang w:val="fr-CA"/>
        </w:rPr>
        <w:t>).</w:t>
      </w:r>
    </w:p>
    <w:p w:rsidR="001808C8" w:rsidRPr="001808C8" w:rsidRDefault="001808C8" w:rsidP="001808C8">
      <w:pPr>
        <w:pStyle w:val="SCCNormalDoubleSpacing"/>
        <w:spacing w:after="240" w:line="240" w:lineRule="auto"/>
        <w:ind w:left="540" w:hanging="540"/>
        <w:rPr>
          <w:lang w:val="fr-CA"/>
        </w:rPr>
      </w:pPr>
      <w:r>
        <w:rPr>
          <w:lang w:val="fr-FR"/>
        </w:rPr>
        <w:t>Canada. </w:t>
      </w:r>
      <w:r w:rsidRPr="007008B2">
        <w:rPr>
          <w:lang w:val="fr-FR"/>
        </w:rPr>
        <w:t xml:space="preserve">Conseil de la radiodiffusion et des télécommunications canadiennes. </w:t>
      </w:r>
      <w:r w:rsidRPr="007008B2">
        <w:rPr>
          <w:i/>
          <w:lang w:val="fr-FR"/>
        </w:rPr>
        <w:t>Avis de consultation de radiodiffusion CRTC 2014-190-3</w:t>
      </w:r>
      <w:r>
        <w:rPr>
          <w:lang w:val="fr-FR"/>
        </w:rPr>
        <w:t>, 21 </w:t>
      </w:r>
      <w:r w:rsidRPr="007008B2">
        <w:rPr>
          <w:lang w:val="fr-FR"/>
        </w:rPr>
        <w:t xml:space="preserve">août 2014 (en ligne : </w:t>
      </w:r>
      <w:r w:rsidRPr="00036A25">
        <w:rPr>
          <w:lang w:val="fr-CA"/>
        </w:rPr>
        <w:t>https://crtc.gc.ca/fra/archive/2014/2014-190-3.pdf</w:t>
      </w:r>
      <w:r w:rsidRPr="007008B2">
        <w:rPr>
          <w:lang w:val="fr-FR"/>
        </w:rPr>
        <w:t xml:space="preserve">; version archivée : </w:t>
      </w:r>
      <w:hyperlink r:id="rId11" w:history="1">
        <w:r w:rsidRPr="00CF01BF">
          <w:rPr>
            <w:rFonts w:eastAsiaTheme="majorEastAsia"/>
            <w:lang w:val="fr-CA"/>
          </w:rPr>
          <w:t>https://www.scc-csc.ca/cso-dce/2019SCC-CSC66_4_fra.pdf</w:t>
        </w:r>
      </w:hyperlink>
      <w:r w:rsidRPr="00CF01BF">
        <w:rPr>
          <w:lang w:val="fr-CA"/>
        </w:rPr>
        <w:t>).</w:t>
      </w:r>
    </w:p>
    <w:p w:rsidR="001808C8" w:rsidRPr="001808C8" w:rsidRDefault="001808C8" w:rsidP="001808C8">
      <w:pPr>
        <w:pStyle w:val="SCCNormalDoubleSpacing"/>
        <w:spacing w:after="240" w:line="240" w:lineRule="auto"/>
        <w:ind w:left="540" w:hanging="540"/>
        <w:rPr>
          <w:lang w:val="fr-CA"/>
        </w:rPr>
      </w:pPr>
      <w:r>
        <w:rPr>
          <w:lang w:val="fr-FR"/>
        </w:rPr>
        <w:t>Canada.</w:t>
      </w:r>
      <w:r w:rsidRPr="007008B2">
        <w:rPr>
          <w:lang w:val="fr-FR"/>
        </w:rPr>
        <w:t xml:space="preserve"> Conseil de la radiodiffusion et des télécommunications canadiennes. </w:t>
      </w:r>
      <w:r w:rsidRPr="007008B2">
        <w:rPr>
          <w:i/>
          <w:lang w:val="fr-FR"/>
        </w:rPr>
        <w:t xml:space="preserve">Avis de consultation de radiodiffusion CRTC </w:t>
      </w:r>
      <w:r w:rsidRPr="007008B2">
        <w:rPr>
          <w:rStyle w:val="wrap-none"/>
          <w:i/>
          <w:lang w:val="fr-FR"/>
        </w:rPr>
        <w:t>2015-330</w:t>
      </w:r>
      <w:r w:rsidRPr="007008B2">
        <w:rPr>
          <w:rStyle w:val="wrap-none"/>
          <w:lang w:val="fr-FR"/>
        </w:rPr>
        <w:t>, 23</w:t>
      </w:r>
      <w:r>
        <w:rPr>
          <w:rStyle w:val="wrap-none"/>
          <w:lang w:val="fr-FR"/>
        </w:rPr>
        <w:t> </w:t>
      </w:r>
      <w:r w:rsidRPr="007008B2">
        <w:rPr>
          <w:rStyle w:val="wrap-none"/>
          <w:lang w:val="fr-FR"/>
        </w:rPr>
        <w:t xml:space="preserve">juillet 2015 (en ligne : </w:t>
      </w:r>
      <w:r w:rsidRPr="00036A25">
        <w:rPr>
          <w:lang w:val="fr-CA"/>
        </w:rPr>
        <w:t>https://crtc.gc.ca/fra/archive/2015/2015-330.pdf</w:t>
      </w:r>
      <w:r w:rsidRPr="007008B2">
        <w:rPr>
          <w:rStyle w:val="wrap-none"/>
          <w:lang w:val="fr-FR"/>
        </w:rPr>
        <w:t xml:space="preserve">; version archivée : </w:t>
      </w:r>
      <w:hyperlink r:id="rId12" w:history="1">
        <w:r w:rsidRPr="00CF01BF">
          <w:rPr>
            <w:rFonts w:eastAsiaTheme="majorEastAsia"/>
            <w:lang w:val="fr-CA"/>
          </w:rPr>
          <w:t>https://www.scc-csc.ca/cso-dce/2019SCC-CSC66_8_fra.pdf</w:t>
        </w:r>
      </w:hyperlink>
      <w:r w:rsidRPr="00CF01BF">
        <w:rPr>
          <w:lang w:val="fr-CA"/>
        </w:rPr>
        <w:t>).</w:t>
      </w:r>
    </w:p>
    <w:p w:rsidR="001808C8" w:rsidRPr="001808C8" w:rsidRDefault="001808C8" w:rsidP="001808C8">
      <w:pPr>
        <w:pStyle w:val="SCCNormalDoubleSpacing"/>
        <w:spacing w:after="240" w:line="240" w:lineRule="auto"/>
        <w:ind w:left="540" w:hanging="540"/>
        <w:rPr>
          <w:rFonts w:eastAsiaTheme="majorEastAsia"/>
          <w:lang w:val="fr-CA"/>
        </w:rPr>
      </w:pPr>
      <w:r>
        <w:rPr>
          <w:lang w:val="fr-FR"/>
        </w:rPr>
        <w:t>Canada.</w:t>
      </w:r>
      <w:r w:rsidRPr="007008B2">
        <w:rPr>
          <w:lang w:val="fr-FR"/>
        </w:rPr>
        <w:t xml:space="preserve"> Conseil de la radiodiffusion et des télécommunications canadiennes. </w:t>
      </w:r>
      <w:r w:rsidRPr="007008B2">
        <w:rPr>
          <w:i/>
          <w:lang w:val="fr-FR"/>
        </w:rPr>
        <w:t>Avis de consultation de radiodiffusion CRTC 2016-37</w:t>
      </w:r>
      <w:r w:rsidRPr="007008B2">
        <w:rPr>
          <w:lang w:val="fr-FR"/>
        </w:rPr>
        <w:t>, 3</w:t>
      </w:r>
      <w:r>
        <w:rPr>
          <w:lang w:val="fr-FR"/>
        </w:rPr>
        <w:t> </w:t>
      </w:r>
      <w:r w:rsidRPr="007008B2">
        <w:rPr>
          <w:lang w:val="fr-FR"/>
        </w:rPr>
        <w:t xml:space="preserve">février 2016 (en ligne : </w:t>
      </w:r>
      <w:r w:rsidRPr="00036A25">
        <w:rPr>
          <w:lang w:val="fr-CA"/>
        </w:rPr>
        <w:t>https://crtc.gc.ca/fra/archive/2016/2016-37.pdf</w:t>
      </w:r>
      <w:r w:rsidRPr="007008B2">
        <w:rPr>
          <w:lang w:val="fr-FR"/>
        </w:rPr>
        <w:t xml:space="preserve">; version archivée : </w:t>
      </w:r>
      <w:hyperlink r:id="rId13" w:history="1">
        <w:r w:rsidRPr="00CF01BF">
          <w:rPr>
            <w:rFonts w:eastAsiaTheme="majorEastAsia"/>
            <w:lang w:val="fr-CA"/>
          </w:rPr>
          <w:t>https://www.scc-csc.ca/cso-dce/2019SCC-CSC66_11_fra.pdf</w:t>
        </w:r>
      </w:hyperlink>
      <w:r w:rsidRPr="00CF01BF">
        <w:rPr>
          <w:rFonts w:eastAsiaTheme="majorEastAsia"/>
          <w:lang w:val="fr-CA"/>
        </w:rPr>
        <w:t>).</w:t>
      </w:r>
    </w:p>
    <w:p w:rsidR="001808C8" w:rsidRPr="001808C8" w:rsidRDefault="001808C8" w:rsidP="001808C8">
      <w:pPr>
        <w:pStyle w:val="SCCNormalDoubleSpacing"/>
        <w:spacing w:after="240" w:line="240" w:lineRule="auto"/>
        <w:ind w:left="540" w:hanging="540"/>
        <w:rPr>
          <w:lang w:val="fr-CA"/>
        </w:rPr>
      </w:pPr>
      <w:r>
        <w:rPr>
          <w:lang w:val="fr-FR"/>
        </w:rPr>
        <w:t>Canada.</w:t>
      </w:r>
      <w:r w:rsidRPr="007008B2">
        <w:rPr>
          <w:lang w:val="fr-FR"/>
        </w:rPr>
        <w:t xml:space="preserve"> Conseil de la radiodiffusion et des télécommunications canadiennes. </w:t>
      </w:r>
      <w:r w:rsidRPr="007008B2">
        <w:rPr>
          <w:i/>
          <w:lang w:val="fr-FR"/>
        </w:rPr>
        <w:t xml:space="preserve">Bulletin d’information de radiodiffusion CRTC </w:t>
      </w:r>
      <w:r w:rsidRPr="007008B2">
        <w:rPr>
          <w:rStyle w:val="wrap-none"/>
          <w:i/>
          <w:lang w:val="fr-FR"/>
        </w:rPr>
        <w:t>2015-329</w:t>
      </w:r>
      <w:r>
        <w:rPr>
          <w:rStyle w:val="wrap-none"/>
          <w:lang w:val="fr-FR"/>
        </w:rPr>
        <w:t>, 23 </w:t>
      </w:r>
      <w:r w:rsidRPr="007008B2">
        <w:rPr>
          <w:rStyle w:val="wrap-none"/>
          <w:lang w:val="fr-FR"/>
        </w:rPr>
        <w:t xml:space="preserve">juillet 2015 (en ligne : </w:t>
      </w:r>
      <w:r w:rsidRPr="00036A25">
        <w:rPr>
          <w:lang w:val="fr-CA"/>
        </w:rPr>
        <w:t>https://crtc.gc.ca/fra/archive/2015/2015-329.pdf</w:t>
      </w:r>
      <w:r w:rsidRPr="007008B2">
        <w:rPr>
          <w:rStyle w:val="wrap-none"/>
          <w:lang w:val="fr-FR"/>
        </w:rPr>
        <w:t xml:space="preserve">; version archivée : </w:t>
      </w:r>
      <w:hyperlink r:id="rId14" w:history="1">
        <w:r w:rsidRPr="00CF01BF">
          <w:rPr>
            <w:rFonts w:eastAsiaTheme="majorEastAsia"/>
            <w:lang w:val="fr-CA"/>
          </w:rPr>
          <w:t>https://www.scc-csc.ca/cso-dce/2019SCC-CSC66_7_fra.pdf</w:t>
        </w:r>
      </w:hyperlink>
      <w:r w:rsidRPr="00CF01BF">
        <w:rPr>
          <w:lang w:val="fr-CA"/>
        </w:rPr>
        <w:t>).</w:t>
      </w:r>
    </w:p>
    <w:p w:rsidR="005F030A" w:rsidRPr="00320A51" w:rsidRDefault="005F030A" w:rsidP="005F030A">
      <w:pPr>
        <w:pStyle w:val="SCCNormalDoubleSpacing"/>
        <w:spacing w:after="240" w:line="240" w:lineRule="auto"/>
        <w:ind w:left="540" w:hanging="540"/>
        <w:rPr>
          <w:lang w:val="fr-FR"/>
        </w:rPr>
      </w:pPr>
      <w:r>
        <w:rPr>
          <w:lang w:val="fr-FR"/>
        </w:rPr>
        <w:t>Canada.</w:t>
      </w:r>
      <w:r w:rsidRPr="007008B2">
        <w:rPr>
          <w:lang w:val="fr-FR"/>
        </w:rPr>
        <w:t xml:space="preserve"> Conseil de la radiodiffusion et des télécommunications canadiennes. </w:t>
      </w:r>
      <w:r w:rsidRPr="007008B2">
        <w:rPr>
          <w:i/>
          <w:lang w:val="fr-FR"/>
        </w:rPr>
        <w:t>Décision de radiodiffusion CRTC 2005-195</w:t>
      </w:r>
      <w:r>
        <w:rPr>
          <w:lang w:val="fr-FR"/>
        </w:rPr>
        <w:t>, 12 </w:t>
      </w:r>
      <w:r w:rsidRPr="007008B2">
        <w:rPr>
          <w:lang w:val="fr-FR"/>
        </w:rPr>
        <w:t xml:space="preserve">mai 2005 (en ligne : </w:t>
      </w:r>
      <w:r w:rsidRPr="00C74497">
        <w:rPr>
          <w:lang w:val="fr-CA"/>
        </w:rPr>
        <w:t>https://crtc.gc.ca/fra/archive/2005/db2005-195.htm</w:t>
      </w:r>
      <w:r w:rsidRPr="007008B2">
        <w:rPr>
          <w:lang w:val="fr-FR"/>
        </w:rPr>
        <w:t xml:space="preserve">; version archivée : </w:t>
      </w:r>
      <w:hyperlink r:id="rId15" w:history="1">
        <w:r w:rsidRPr="00CF01BF">
          <w:rPr>
            <w:rFonts w:eastAsiaTheme="majorEastAsia"/>
            <w:lang w:val="fr-CA"/>
          </w:rPr>
          <w:t>https://www.scc-csc.ca/cso-dce/2019SCC-CSC66_1_fra.pdf</w:t>
        </w:r>
      </w:hyperlink>
      <w:r w:rsidRPr="00CF01BF">
        <w:rPr>
          <w:rFonts w:eastAsiaTheme="majorEastAsia"/>
          <w:lang w:val="fr-CA"/>
        </w:rPr>
        <w:t>).</w:t>
      </w:r>
    </w:p>
    <w:p w:rsidR="001808C8" w:rsidRPr="001808C8" w:rsidRDefault="001808C8" w:rsidP="001808C8">
      <w:pPr>
        <w:pStyle w:val="SCCNormalDoubleSpacing"/>
        <w:spacing w:after="240" w:line="240" w:lineRule="auto"/>
        <w:ind w:left="540" w:hanging="540"/>
        <w:rPr>
          <w:rFonts w:eastAsiaTheme="majorEastAsia"/>
          <w:lang w:val="fr-CA"/>
        </w:rPr>
      </w:pPr>
      <w:r>
        <w:rPr>
          <w:lang w:val="fr-FR"/>
        </w:rPr>
        <w:t>Canada. </w:t>
      </w:r>
      <w:r w:rsidRPr="007008B2">
        <w:rPr>
          <w:lang w:val="fr-FR"/>
        </w:rPr>
        <w:t xml:space="preserve">Conseil de la radiodiffusion et des télécommunications canadiennes. </w:t>
      </w:r>
      <w:r w:rsidRPr="007008B2">
        <w:rPr>
          <w:i/>
          <w:lang w:val="fr-FR"/>
        </w:rPr>
        <w:t xml:space="preserve">Ordonnance de radiodiffusion CRTC </w:t>
      </w:r>
      <w:r w:rsidRPr="007008B2">
        <w:rPr>
          <w:rStyle w:val="wrap-none"/>
          <w:i/>
          <w:lang w:val="fr-FR"/>
        </w:rPr>
        <w:t>2015-439</w:t>
      </w:r>
      <w:r>
        <w:rPr>
          <w:rStyle w:val="wrap-none"/>
          <w:lang w:val="fr-FR"/>
        </w:rPr>
        <w:t>, 24 </w:t>
      </w:r>
      <w:r w:rsidRPr="007008B2">
        <w:rPr>
          <w:rStyle w:val="wrap-none"/>
          <w:lang w:val="fr-FR"/>
        </w:rPr>
        <w:t xml:space="preserve">septembre 2015 (en ligne : </w:t>
      </w:r>
      <w:r w:rsidRPr="00036A25">
        <w:rPr>
          <w:lang w:val="fr-CA"/>
        </w:rPr>
        <w:lastRenderedPageBreak/>
        <w:t>https://crtc.gc.ca/fra/archive/2015/2015-439.pdf</w:t>
      </w:r>
      <w:r w:rsidRPr="007008B2">
        <w:rPr>
          <w:rStyle w:val="wrap-none"/>
          <w:lang w:val="fr-FR"/>
        </w:rPr>
        <w:t xml:space="preserve">; version archivée : </w:t>
      </w:r>
      <w:hyperlink r:id="rId16" w:history="1">
        <w:r w:rsidRPr="00CF01BF">
          <w:rPr>
            <w:rFonts w:eastAsiaTheme="majorEastAsia"/>
            <w:lang w:val="fr-CA"/>
          </w:rPr>
          <w:t>https://www.scc-csc.ca/cso-dce/2019SCC-CSC66_9_fra.pdf</w:t>
        </w:r>
      </w:hyperlink>
      <w:r w:rsidRPr="00CF01BF">
        <w:rPr>
          <w:rFonts w:eastAsiaTheme="majorEastAsia"/>
          <w:lang w:val="fr-CA"/>
        </w:rPr>
        <w:t>).</w:t>
      </w:r>
    </w:p>
    <w:p w:rsidR="001808C8" w:rsidRPr="001808C8" w:rsidRDefault="001808C8" w:rsidP="001808C8">
      <w:pPr>
        <w:pStyle w:val="SCCNormalDoubleSpacing"/>
        <w:spacing w:after="240" w:line="240" w:lineRule="auto"/>
        <w:ind w:left="540" w:hanging="540"/>
        <w:rPr>
          <w:rFonts w:eastAsiaTheme="majorEastAsia"/>
          <w:lang w:val="fr-CA"/>
        </w:rPr>
      </w:pPr>
      <w:r>
        <w:rPr>
          <w:lang w:val="fr-FR"/>
        </w:rPr>
        <w:t>Canada. </w:t>
      </w:r>
      <w:r w:rsidRPr="007008B2">
        <w:rPr>
          <w:lang w:val="fr-FR"/>
        </w:rPr>
        <w:t xml:space="preserve">Conseil de la radiodiffusion et des télécommunications canadiennes. </w:t>
      </w:r>
      <w:r w:rsidRPr="007008B2">
        <w:rPr>
          <w:i/>
          <w:lang w:val="fr-FR"/>
        </w:rPr>
        <w:t>Ordonnance de radiodiffusion CRTC 2018-341</w:t>
      </w:r>
      <w:r>
        <w:rPr>
          <w:lang w:val="fr-FR"/>
        </w:rPr>
        <w:t>, 31 </w:t>
      </w:r>
      <w:r w:rsidRPr="007008B2">
        <w:rPr>
          <w:lang w:val="fr-FR"/>
        </w:rPr>
        <w:t xml:space="preserve">août 2018 (en ligne : </w:t>
      </w:r>
      <w:r w:rsidRPr="00036A25">
        <w:rPr>
          <w:lang w:val="fr-CA"/>
        </w:rPr>
        <w:t>https://crtc.gc.ca/fra/archive/2018/2018-341.pdf</w:t>
      </w:r>
      <w:r w:rsidRPr="007008B2">
        <w:rPr>
          <w:lang w:val="fr-FR"/>
        </w:rPr>
        <w:t xml:space="preserve">; version archivée : </w:t>
      </w:r>
      <w:hyperlink r:id="rId17" w:history="1">
        <w:r w:rsidRPr="00BF65E0">
          <w:rPr>
            <w:rFonts w:eastAsiaTheme="majorEastAsia"/>
            <w:lang w:val="fr-CA"/>
          </w:rPr>
          <w:t>https://www.scc-csc.ca/cso-dce/2019SCC-CSC66_13_fra.pdf</w:t>
        </w:r>
      </w:hyperlink>
      <w:r>
        <w:rPr>
          <w:rFonts w:eastAsiaTheme="majorEastAsia"/>
          <w:lang w:val="fr-CA"/>
        </w:rPr>
        <w:t>).</w:t>
      </w:r>
    </w:p>
    <w:p w:rsidR="005F030A" w:rsidRPr="00CF01BF" w:rsidRDefault="005F030A" w:rsidP="005F030A">
      <w:pPr>
        <w:pStyle w:val="SCCNormalDoubleSpacing"/>
        <w:spacing w:after="240" w:line="240" w:lineRule="auto"/>
        <w:ind w:left="540" w:hanging="540"/>
        <w:rPr>
          <w:rFonts w:eastAsiaTheme="majorEastAsia"/>
          <w:lang w:val="fr-CA"/>
        </w:rPr>
      </w:pPr>
      <w:r>
        <w:rPr>
          <w:lang w:val="fr-FR"/>
        </w:rPr>
        <w:t>Canada.</w:t>
      </w:r>
      <w:r w:rsidRPr="007008B2">
        <w:rPr>
          <w:lang w:val="fr-FR"/>
        </w:rPr>
        <w:t xml:space="preserve"> Conseil de la radiodiffusion et des télécommunications canadiennes. </w:t>
      </w:r>
      <w:r w:rsidRPr="007008B2">
        <w:rPr>
          <w:i/>
          <w:lang w:val="fr-FR"/>
        </w:rPr>
        <w:t>Politique réglementaire de radiodiffusion CRTC 2013-372</w:t>
      </w:r>
      <w:r>
        <w:rPr>
          <w:lang w:val="fr-FR"/>
        </w:rPr>
        <w:t>, 8 </w:t>
      </w:r>
      <w:r w:rsidRPr="007008B2">
        <w:rPr>
          <w:lang w:val="fr-FR"/>
        </w:rPr>
        <w:t xml:space="preserve">août 2013 (en ligne : </w:t>
      </w:r>
      <w:r w:rsidRPr="00036A25">
        <w:rPr>
          <w:lang w:val="fr-CA"/>
        </w:rPr>
        <w:t>https://crtc.gc.ca/fra/archive/2013/2013-372.pdf</w:t>
      </w:r>
      <w:r w:rsidRPr="007008B2">
        <w:rPr>
          <w:lang w:val="fr-FR"/>
        </w:rPr>
        <w:t xml:space="preserve">; version archivée : </w:t>
      </w:r>
      <w:hyperlink r:id="rId18" w:history="1">
        <w:r w:rsidRPr="00CF01BF">
          <w:rPr>
            <w:rFonts w:eastAsiaTheme="majorEastAsia"/>
            <w:lang w:val="fr-CA"/>
          </w:rPr>
          <w:t>https://www.scc-csc.ca/cso-dce/2019SCC-CSC66_2_fra.pdf</w:t>
        </w:r>
      </w:hyperlink>
      <w:r w:rsidRPr="00CF01BF">
        <w:rPr>
          <w:rFonts w:eastAsiaTheme="majorEastAsia"/>
          <w:lang w:val="fr-CA"/>
        </w:rPr>
        <w:t>).</w:t>
      </w:r>
    </w:p>
    <w:p w:rsidR="005F030A" w:rsidRPr="00CF01BF" w:rsidRDefault="005F030A" w:rsidP="005F030A">
      <w:pPr>
        <w:pStyle w:val="SCCNormalDoubleSpacing"/>
        <w:spacing w:after="240" w:line="240" w:lineRule="auto"/>
        <w:ind w:left="540" w:hanging="540"/>
        <w:rPr>
          <w:rFonts w:eastAsiaTheme="majorEastAsia"/>
          <w:lang w:val="fr-CA"/>
        </w:rPr>
      </w:pPr>
      <w:r>
        <w:rPr>
          <w:lang w:val="fr-FR"/>
        </w:rPr>
        <w:t>Canada. </w:t>
      </w:r>
      <w:r w:rsidRPr="007008B2">
        <w:rPr>
          <w:lang w:val="fr-FR"/>
        </w:rPr>
        <w:t xml:space="preserve">Conseil de la radiodiffusion et des télécommunications canadiennes. </w:t>
      </w:r>
      <w:r w:rsidRPr="007008B2">
        <w:rPr>
          <w:i/>
          <w:lang w:val="fr-FR"/>
        </w:rPr>
        <w:t xml:space="preserve">Politique réglementaire de radiodiffusion CRTC </w:t>
      </w:r>
      <w:r w:rsidRPr="007008B2">
        <w:rPr>
          <w:rStyle w:val="wrap-none"/>
          <w:i/>
          <w:lang w:val="fr-FR"/>
        </w:rPr>
        <w:t>2015-24</w:t>
      </w:r>
      <w:r w:rsidRPr="007008B2">
        <w:rPr>
          <w:rStyle w:val="wrap-none"/>
          <w:lang w:val="fr-FR"/>
        </w:rPr>
        <w:t>, 29</w:t>
      </w:r>
      <w:r>
        <w:rPr>
          <w:rStyle w:val="wrap-none"/>
          <w:lang w:val="fr-FR"/>
        </w:rPr>
        <w:t> </w:t>
      </w:r>
      <w:r w:rsidRPr="007008B2">
        <w:rPr>
          <w:rStyle w:val="wrap-none"/>
          <w:lang w:val="fr-FR"/>
        </w:rPr>
        <w:t xml:space="preserve">janvier 2015 (en ligne : </w:t>
      </w:r>
      <w:r w:rsidRPr="00036A25">
        <w:rPr>
          <w:lang w:val="fr-CA"/>
        </w:rPr>
        <w:t>https://crtc.gc.ca/fra/archive/2015/2015-24.pdf</w:t>
      </w:r>
      <w:r w:rsidRPr="007008B2">
        <w:rPr>
          <w:rStyle w:val="wrap-none"/>
          <w:lang w:val="fr-FR"/>
        </w:rPr>
        <w:t xml:space="preserve">; version archivée : </w:t>
      </w:r>
      <w:hyperlink r:id="rId19" w:history="1">
        <w:r w:rsidRPr="00CF01BF">
          <w:rPr>
            <w:rFonts w:eastAsiaTheme="majorEastAsia"/>
            <w:lang w:val="fr-CA"/>
          </w:rPr>
          <w:t>https://www.scc-csc.ca/cso-dce/2019SCC-CSC66_5_fra.pdf</w:t>
        </w:r>
      </w:hyperlink>
      <w:r w:rsidRPr="00CF01BF">
        <w:rPr>
          <w:rFonts w:eastAsiaTheme="majorEastAsia"/>
          <w:lang w:val="fr-CA"/>
        </w:rPr>
        <w:t>).</w:t>
      </w:r>
    </w:p>
    <w:p w:rsidR="005F030A" w:rsidRPr="00CF01BF" w:rsidRDefault="005F030A" w:rsidP="005F030A">
      <w:pPr>
        <w:pStyle w:val="SCCNormalDoubleSpacing"/>
        <w:spacing w:after="240" w:line="240" w:lineRule="auto"/>
        <w:ind w:left="540" w:hanging="540"/>
        <w:rPr>
          <w:rFonts w:eastAsiaTheme="majorEastAsia"/>
          <w:lang w:val="fr-CA"/>
        </w:rPr>
      </w:pPr>
      <w:r>
        <w:rPr>
          <w:lang w:val="fr-FR"/>
        </w:rPr>
        <w:t xml:space="preserve">Canada. </w:t>
      </w:r>
      <w:r w:rsidRPr="007008B2">
        <w:rPr>
          <w:lang w:val="fr-FR"/>
        </w:rPr>
        <w:t xml:space="preserve">Conseil de la radiodiffusion et des télécommunications canadiennes. </w:t>
      </w:r>
      <w:r w:rsidRPr="007008B2">
        <w:rPr>
          <w:i/>
          <w:lang w:val="fr-FR"/>
        </w:rPr>
        <w:t xml:space="preserve">Politique réglementaire de radiodiffusion CRTC </w:t>
      </w:r>
      <w:r w:rsidRPr="007008B2">
        <w:rPr>
          <w:rStyle w:val="wrap-none"/>
          <w:i/>
          <w:lang w:val="fr-FR"/>
        </w:rPr>
        <w:t>2015-25</w:t>
      </w:r>
      <w:r w:rsidRPr="007008B2">
        <w:rPr>
          <w:rStyle w:val="wrap-none"/>
          <w:lang w:val="fr-FR"/>
        </w:rPr>
        <w:t>, 29</w:t>
      </w:r>
      <w:r>
        <w:rPr>
          <w:rStyle w:val="wrap-none"/>
          <w:lang w:val="fr-FR"/>
        </w:rPr>
        <w:t> </w:t>
      </w:r>
      <w:r w:rsidRPr="007008B2">
        <w:rPr>
          <w:rStyle w:val="wrap-none"/>
          <w:lang w:val="fr-FR"/>
        </w:rPr>
        <w:t xml:space="preserve">janvier 2015 (en ligne : </w:t>
      </w:r>
      <w:r w:rsidRPr="00036A25">
        <w:rPr>
          <w:lang w:val="fr-CA"/>
        </w:rPr>
        <w:t>https://crtc.gc.ca/fra/archive/2015/2015-25.pdf</w:t>
      </w:r>
      <w:r w:rsidRPr="007008B2">
        <w:rPr>
          <w:rStyle w:val="wrap-none"/>
          <w:lang w:val="fr-FR"/>
        </w:rPr>
        <w:t xml:space="preserve">; version archivée : </w:t>
      </w:r>
      <w:hyperlink r:id="rId20" w:history="1">
        <w:r w:rsidRPr="00CF01BF">
          <w:rPr>
            <w:rFonts w:eastAsiaTheme="majorEastAsia"/>
            <w:lang w:val="fr-CA"/>
          </w:rPr>
          <w:t>https://www.scc-csc.ca/cso-dce/2019SCC-CSC66_6_fra.pdf</w:t>
        </w:r>
      </w:hyperlink>
      <w:r w:rsidRPr="00CF01BF">
        <w:rPr>
          <w:rFonts w:eastAsiaTheme="majorEastAsia"/>
          <w:lang w:val="fr-CA"/>
        </w:rPr>
        <w:t>).</w:t>
      </w:r>
    </w:p>
    <w:p w:rsidR="005F030A" w:rsidRPr="00CF01BF" w:rsidRDefault="005F030A" w:rsidP="005F030A">
      <w:pPr>
        <w:pStyle w:val="SCCNormalDoubleSpacing"/>
        <w:spacing w:after="240" w:line="240" w:lineRule="auto"/>
        <w:ind w:left="540" w:hanging="540"/>
        <w:rPr>
          <w:rFonts w:eastAsiaTheme="majorEastAsia"/>
          <w:lang w:val="fr-CA"/>
        </w:rPr>
      </w:pPr>
      <w:r>
        <w:rPr>
          <w:lang w:val="fr-FR"/>
        </w:rPr>
        <w:t>Canada.</w:t>
      </w:r>
      <w:r w:rsidRPr="007008B2">
        <w:rPr>
          <w:lang w:val="fr-FR"/>
        </w:rPr>
        <w:t xml:space="preserve"> Conseil de la radiodiffusion et des télécommunications canadiennes. </w:t>
      </w:r>
      <w:r w:rsidRPr="007008B2">
        <w:rPr>
          <w:i/>
          <w:lang w:val="fr-FR"/>
        </w:rPr>
        <w:t xml:space="preserve">Politique réglementaire de radiodiffusion CRTC </w:t>
      </w:r>
      <w:r w:rsidRPr="007008B2">
        <w:rPr>
          <w:rStyle w:val="wrap-none"/>
          <w:i/>
          <w:lang w:val="fr-FR"/>
        </w:rPr>
        <w:t>2015-513</w:t>
      </w:r>
      <w:r>
        <w:rPr>
          <w:rStyle w:val="wrap-none"/>
          <w:lang w:val="fr-FR"/>
        </w:rPr>
        <w:t>, 19 </w:t>
      </w:r>
      <w:r w:rsidRPr="007008B2">
        <w:rPr>
          <w:rStyle w:val="wrap-none"/>
          <w:lang w:val="fr-FR"/>
        </w:rPr>
        <w:t xml:space="preserve">novembre 2015 (en ligne : </w:t>
      </w:r>
      <w:r w:rsidRPr="00036A25">
        <w:rPr>
          <w:lang w:val="fr-CA"/>
        </w:rPr>
        <w:t>https://crtc.gc.ca/fra/archive/2015/2015-513.pdf</w:t>
      </w:r>
      <w:r w:rsidRPr="007008B2">
        <w:rPr>
          <w:rStyle w:val="wrap-none"/>
          <w:lang w:val="fr-FR"/>
        </w:rPr>
        <w:t xml:space="preserve">; version archivée : </w:t>
      </w:r>
      <w:hyperlink r:id="rId21" w:history="1">
        <w:r w:rsidRPr="00CF01BF">
          <w:rPr>
            <w:rFonts w:eastAsiaTheme="majorEastAsia"/>
            <w:lang w:val="fr-CA"/>
          </w:rPr>
          <w:t>https://www.scc-csc.ca/cso-dce/2019SCC-CSC66_10_fra.pdf</w:t>
        </w:r>
      </w:hyperlink>
      <w:r w:rsidRPr="00CF01BF">
        <w:rPr>
          <w:rFonts w:eastAsiaTheme="majorEastAsia"/>
          <w:lang w:val="fr-CA"/>
        </w:rPr>
        <w:t>).</w:t>
      </w:r>
    </w:p>
    <w:p w:rsidR="005F030A" w:rsidRPr="00BF65E0" w:rsidRDefault="005F030A" w:rsidP="005F030A">
      <w:pPr>
        <w:pStyle w:val="SCCNormalDoubleSpacing"/>
        <w:spacing w:after="240" w:line="240" w:lineRule="auto"/>
        <w:ind w:left="540" w:hanging="540"/>
        <w:rPr>
          <w:lang w:val="fr-CA"/>
        </w:rPr>
      </w:pPr>
      <w:r>
        <w:rPr>
          <w:lang w:val="fr-FR"/>
        </w:rPr>
        <w:t>Canada.</w:t>
      </w:r>
      <w:r w:rsidRPr="007008B2">
        <w:rPr>
          <w:lang w:val="fr-FR"/>
        </w:rPr>
        <w:t xml:space="preserve"> Conseil de la radiodiffusion et des télécommunications canadiennes. </w:t>
      </w:r>
      <w:r w:rsidRPr="007008B2">
        <w:rPr>
          <w:i/>
          <w:lang w:val="fr-FR"/>
        </w:rPr>
        <w:t>Politique réglementaire de radiodiffusion CRTC 2016-334 et ordonnance de radiodiffusion CRTC 2016-335</w:t>
      </w:r>
      <w:r>
        <w:rPr>
          <w:lang w:val="fr-FR"/>
        </w:rPr>
        <w:t>, 19 </w:t>
      </w:r>
      <w:r w:rsidRPr="007008B2">
        <w:rPr>
          <w:lang w:val="fr-FR"/>
        </w:rPr>
        <w:t xml:space="preserve">août 2016 (en ligne : </w:t>
      </w:r>
      <w:r w:rsidRPr="00036A25">
        <w:rPr>
          <w:lang w:val="fr-CA"/>
        </w:rPr>
        <w:t>https://crtc.gc.ca/fra/archive/2016/2016-334.pdf</w:t>
      </w:r>
      <w:r w:rsidRPr="007008B2">
        <w:rPr>
          <w:lang w:val="fr-FR"/>
        </w:rPr>
        <w:t xml:space="preserve">; version archivée : </w:t>
      </w:r>
      <w:hyperlink r:id="rId22" w:history="1">
        <w:r w:rsidRPr="00BF65E0">
          <w:rPr>
            <w:rFonts w:eastAsiaTheme="majorEastAsia"/>
            <w:lang w:val="fr-CA"/>
          </w:rPr>
          <w:t>https://www.scc-csc.ca/cso-dce/2019SCC-CSC66_12_fra.pdf</w:t>
        </w:r>
      </w:hyperlink>
      <w:r w:rsidRPr="00BF65E0">
        <w:rPr>
          <w:rFonts w:eastAsiaTheme="majorEastAsia"/>
          <w:lang w:val="fr-CA"/>
        </w:rPr>
        <w:t>).</w:t>
      </w:r>
    </w:p>
    <w:p w:rsidR="005F030A" w:rsidRPr="00BE688E" w:rsidRDefault="005F030A" w:rsidP="005F030A">
      <w:pPr>
        <w:pStyle w:val="SCCNormalDoubleSpacing"/>
        <w:spacing w:after="240" w:line="240" w:lineRule="auto"/>
        <w:ind w:left="540" w:hanging="540"/>
        <w:rPr>
          <w:lang w:val="en-US"/>
        </w:rPr>
      </w:pPr>
      <w:r w:rsidRPr="00BE688E">
        <w:rPr>
          <w:lang w:val="en-US"/>
        </w:rPr>
        <w:t xml:space="preserve">Canada. Department of Communications. </w:t>
      </w:r>
      <w:r w:rsidRPr="00BE688E">
        <w:rPr>
          <w:i/>
          <w:lang w:val="en-US"/>
        </w:rPr>
        <w:t xml:space="preserve">The Broadcasting Act </w:t>
      </w:r>
      <w:proofErr w:type="gramStart"/>
      <w:r w:rsidR="0011734B" w:rsidRPr="00BE688E">
        <w:rPr>
          <w:i/>
          <w:lang w:val="en-US"/>
        </w:rPr>
        <w:t>1988</w:t>
      </w:r>
      <w:r w:rsidR="0011734B">
        <w:rPr>
          <w:i/>
          <w:lang w:val="en-US"/>
        </w:rPr>
        <w:t xml:space="preserve"> :</w:t>
      </w:r>
      <w:proofErr w:type="gramEnd"/>
      <w:r w:rsidRPr="00BE688E">
        <w:rPr>
          <w:i/>
          <w:lang w:val="en-US"/>
        </w:rPr>
        <w:t xml:space="preserve"> A Clause</w:t>
      </w:r>
      <w:r>
        <w:rPr>
          <w:i/>
          <w:lang w:val="en-US"/>
        </w:rPr>
        <w:noBreakHyphen/>
      </w:r>
      <w:r w:rsidRPr="00BE688E">
        <w:rPr>
          <w:i/>
          <w:lang w:val="en-US"/>
        </w:rPr>
        <w:t>by</w:t>
      </w:r>
      <w:r>
        <w:rPr>
          <w:i/>
          <w:lang w:val="en-US"/>
        </w:rPr>
        <w:noBreakHyphen/>
      </w:r>
      <w:r w:rsidRPr="00BE688E">
        <w:rPr>
          <w:i/>
          <w:lang w:val="en-US"/>
        </w:rPr>
        <w:t>Clause Analysis of Bill C</w:t>
      </w:r>
      <w:r>
        <w:rPr>
          <w:i/>
          <w:lang w:val="en-US"/>
        </w:rPr>
        <w:noBreakHyphen/>
      </w:r>
      <w:r w:rsidRPr="00BE688E">
        <w:rPr>
          <w:i/>
          <w:lang w:val="en-US"/>
        </w:rPr>
        <w:t>136</w:t>
      </w:r>
      <w:r w:rsidRPr="00BE688E">
        <w:rPr>
          <w:lang w:val="en-US"/>
        </w:rPr>
        <w:t>, Ottawa, 1988.</w:t>
      </w:r>
    </w:p>
    <w:p w:rsidR="005F030A" w:rsidRPr="00BE688E" w:rsidRDefault="005F030A" w:rsidP="005F030A">
      <w:pPr>
        <w:pStyle w:val="SCCNormalDoubleSpacing"/>
        <w:spacing w:after="240" w:line="240" w:lineRule="auto"/>
        <w:ind w:left="540" w:hanging="540"/>
        <w:rPr>
          <w:lang w:val="fr-CA"/>
        </w:rPr>
      </w:pPr>
      <w:r w:rsidRPr="00BE688E">
        <w:rPr>
          <w:lang w:val="fr-CA"/>
        </w:rPr>
        <w:t>Canada.</w:t>
      </w:r>
      <w:r w:rsidRPr="00BE688E">
        <w:rPr>
          <w:i/>
          <w:lang w:val="fr-CA"/>
        </w:rPr>
        <w:t xml:space="preserve"> Réponse du Gouvernement au quinzième rapport du Comité permanent des Communications et de la culture</w:t>
      </w:r>
      <w:r w:rsidRPr="00BE688E">
        <w:rPr>
          <w:lang w:val="fr-CA"/>
        </w:rPr>
        <w:t>, Ottawa, 1988.</w:t>
      </w:r>
    </w:p>
    <w:p w:rsidR="005F030A" w:rsidRPr="00BE688E" w:rsidRDefault="005F030A" w:rsidP="005F030A">
      <w:pPr>
        <w:pStyle w:val="SCCNormalDoubleSpacing"/>
        <w:spacing w:after="240" w:line="240" w:lineRule="auto"/>
        <w:ind w:left="540" w:hanging="540"/>
      </w:pPr>
      <w:proofErr w:type="spellStart"/>
      <w:r w:rsidRPr="00BE688E">
        <w:t>Driedger</w:t>
      </w:r>
      <w:proofErr w:type="spellEnd"/>
      <w:r w:rsidRPr="00BE688E">
        <w:t>,</w:t>
      </w:r>
      <w:r>
        <w:t xml:space="preserve"> Elmer </w:t>
      </w:r>
      <w:r w:rsidRPr="00BE688E">
        <w:t xml:space="preserve">A. </w:t>
      </w:r>
      <w:r w:rsidRPr="00BE688E">
        <w:rPr>
          <w:i/>
          <w:iCs/>
        </w:rPr>
        <w:t>Construction of Statutes</w:t>
      </w:r>
      <w:r w:rsidRPr="00BE688E">
        <w:rPr>
          <w:iCs/>
        </w:rPr>
        <w:t>,</w:t>
      </w:r>
      <w:r w:rsidRPr="00BE688E">
        <w:rPr>
          <w:i/>
          <w:iCs/>
        </w:rPr>
        <w:t xml:space="preserve"> </w:t>
      </w:r>
      <w:r w:rsidRPr="00BE688E">
        <w:t>2nd ed., Toronto, Butterworths, 1983.</w:t>
      </w:r>
    </w:p>
    <w:p w:rsidR="005F030A" w:rsidRPr="00BE688E" w:rsidRDefault="005F030A" w:rsidP="005F030A">
      <w:pPr>
        <w:pStyle w:val="SCCNormalDoubleSpacing"/>
        <w:spacing w:after="240" w:line="240" w:lineRule="auto"/>
        <w:ind w:left="540" w:hanging="540"/>
        <w:rPr>
          <w:lang w:val="fr-CA"/>
        </w:rPr>
      </w:pPr>
      <w:r>
        <w:rPr>
          <w:lang w:val="fr-CA"/>
        </w:rPr>
        <w:t xml:space="preserve">Dunbar, Laurence J. E., et Christian </w:t>
      </w:r>
      <w:r w:rsidRPr="00BE688E">
        <w:rPr>
          <w:lang w:val="fr-CA"/>
        </w:rPr>
        <w:t xml:space="preserve">Leblanc. </w:t>
      </w:r>
      <w:r w:rsidRPr="00BE688E">
        <w:rPr>
          <w:i/>
          <w:lang w:val="fr-CA"/>
        </w:rPr>
        <w:t>Révision du cadre réglementaire des services de radiodiffusion au Canada — Rapport final</w:t>
      </w:r>
      <w:r w:rsidRPr="00BE688E">
        <w:rPr>
          <w:lang w:val="fr-CA"/>
        </w:rPr>
        <w:t>, Ottawa, Conseil de la radiodiffusion et des télécommunications canadiennes, 2007.</w:t>
      </w:r>
    </w:p>
    <w:p w:rsidR="005F030A" w:rsidRPr="00BE688E" w:rsidRDefault="005F030A" w:rsidP="005F030A">
      <w:pPr>
        <w:pStyle w:val="SCCNormalDoubleSpacing"/>
        <w:spacing w:after="720" w:line="240" w:lineRule="auto"/>
        <w:ind w:left="547" w:hanging="547"/>
        <w:rPr>
          <w:rStyle w:val="Hyperlink"/>
        </w:rPr>
      </w:pPr>
      <w:proofErr w:type="spellStart"/>
      <w:r w:rsidRPr="00BE688E">
        <w:t>Kain</w:t>
      </w:r>
      <w:proofErr w:type="spellEnd"/>
      <w:r w:rsidRPr="00BE688E">
        <w:t xml:space="preserve">, Brandon. « Developments in Communications </w:t>
      </w:r>
      <w:proofErr w:type="gramStart"/>
      <w:r w:rsidRPr="00BE688E">
        <w:t>Law</w:t>
      </w:r>
      <w:r>
        <w:t> :</w:t>
      </w:r>
      <w:proofErr w:type="gramEnd"/>
      <w:r w:rsidRPr="00BE688E">
        <w:t xml:space="preserve"> The 2012</w:t>
      </w:r>
      <w:r>
        <w:noBreakHyphen/>
      </w:r>
      <w:r w:rsidRPr="00BE688E">
        <w:t xml:space="preserve">2013 Term — The </w:t>
      </w:r>
      <w:r w:rsidRPr="00BE688E">
        <w:rPr>
          <w:i/>
        </w:rPr>
        <w:t>Broadcasting Reference</w:t>
      </w:r>
      <w:r w:rsidRPr="00BE688E">
        <w:t xml:space="preserve">, the Supreme Court and the Limits of the CRTC » (2014), 64 </w:t>
      </w:r>
      <w:r w:rsidRPr="00BE688E">
        <w:rPr>
          <w:i/>
        </w:rPr>
        <w:t>S.C.L.R.</w:t>
      </w:r>
      <w:r w:rsidRPr="00BE688E">
        <w:t xml:space="preserve"> (2d) 63.</w:t>
      </w:r>
    </w:p>
    <w:p w:rsidR="005F030A" w:rsidRPr="00BE688E" w:rsidRDefault="005F030A" w:rsidP="005F030A">
      <w:pPr>
        <w:pStyle w:val="SCCNormalDoubleSpacing"/>
        <w:spacing w:after="480"/>
        <w:rPr>
          <w:lang w:val="fr-CA"/>
        </w:rPr>
      </w:pPr>
      <w:r w:rsidRPr="00BE688E">
        <w:rPr>
          <w:lang w:val="en-US"/>
        </w:rPr>
        <w:lastRenderedPageBreak/>
        <w:tab/>
      </w:r>
      <w:r w:rsidRPr="00BE688E">
        <w:rPr>
          <w:lang w:val="fr-CA"/>
        </w:rPr>
        <w:t xml:space="preserve">POURVOIS contre un arrêt de la Cour d’appel fédérale (les juges Webb, Near et </w:t>
      </w:r>
      <w:proofErr w:type="spellStart"/>
      <w:r w:rsidRPr="00BE688E">
        <w:rPr>
          <w:lang w:val="fr-CA"/>
        </w:rPr>
        <w:t>Gleason</w:t>
      </w:r>
      <w:proofErr w:type="spellEnd"/>
      <w:r w:rsidRPr="00BE688E">
        <w:rPr>
          <w:lang w:val="fr-CA"/>
        </w:rPr>
        <w:t>), 2017 CAF 249, [2018] 4 R.C.F. 300,</w:t>
      </w:r>
      <w:r w:rsidR="0011734B" w:rsidRPr="0011734B">
        <w:rPr>
          <w:lang w:val="fr-CA"/>
        </w:rPr>
        <w:t xml:space="preserve"> 154 C.P.R. (4th) 85,</w:t>
      </w:r>
      <w:r w:rsidRPr="00BE688E">
        <w:rPr>
          <w:lang w:val="fr-CA"/>
        </w:rPr>
        <w:t xml:space="preserve"> [2017] A.C.F. n</w:t>
      </w:r>
      <w:r w:rsidRPr="00BE688E">
        <w:rPr>
          <w:vertAlign w:val="superscript"/>
          <w:lang w:val="fr-CA"/>
        </w:rPr>
        <w:t>o</w:t>
      </w:r>
      <w:r w:rsidRPr="00BE688E">
        <w:rPr>
          <w:lang w:val="fr-CA"/>
        </w:rPr>
        <w:t xml:space="preserve"> 1252 (QL), 2017 </w:t>
      </w:r>
      <w:proofErr w:type="spellStart"/>
      <w:r w:rsidRPr="00BE688E">
        <w:rPr>
          <w:lang w:val="fr-CA"/>
        </w:rPr>
        <w:t>CarswellNat</w:t>
      </w:r>
      <w:proofErr w:type="spellEnd"/>
      <w:r w:rsidRPr="00BE688E">
        <w:rPr>
          <w:lang w:val="fr-CA"/>
        </w:rPr>
        <w:t xml:space="preserve"> 9838 (WL Can.). Pourvois accueillis, </w:t>
      </w:r>
      <w:r w:rsidRPr="00BE688E">
        <w:rPr>
          <w:lang w:val="fr-FR"/>
        </w:rPr>
        <w:t xml:space="preserve">les juges Abella et </w:t>
      </w:r>
      <w:proofErr w:type="spellStart"/>
      <w:r w:rsidRPr="00BE688E">
        <w:rPr>
          <w:lang w:val="fr-FR"/>
        </w:rPr>
        <w:t>Karakatsanis</w:t>
      </w:r>
      <w:proofErr w:type="spellEnd"/>
      <w:r w:rsidRPr="00BE688E">
        <w:rPr>
          <w:lang w:val="fr-FR"/>
        </w:rPr>
        <w:t xml:space="preserve"> sont dissidentes.</w:t>
      </w:r>
    </w:p>
    <w:p w:rsidR="005F030A" w:rsidRPr="00BE688E" w:rsidRDefault="005F030A" w:rsidP="005F030A">
      <w:pPr>
        <w:pStyle w:val="SCCNormalDoubleSpacing"/>
        <w:spacing w:after="480"/>
        <w:rPr>
          <w:lang w:val="fr-CA"/>
        </w:rPr>
      </w:pPr>
      <w:r w:rsidRPr="00BE688E">
        <w:rPr>
          <w:rStyle w:val="SCCCounselPartyRoleChar"/>
          <w:lang w:val="fr-CA"/>
        </w:rPr>
        <w:tab/>
      </w:r>
      <w:r>
        <w:rPr>
          <w:rStyle w:val="SCCCounselNameChar"/>
          <w:lang w:val="fr-CA"/>
        </w:rPr>
        <w:t>Steven </w:t>
      </w:r>
      <w:r w:rsidRPr="00BE688E">
        <w:rPr>
          <w:rStyle w:val="SCCCounselNameChar"/>
          <w:lang w:val="fr-CA"/>
        </w:rPr>
        <w:t xml:space="preserve">G. </w:t>
      </w:r>
      <w:proofErr w:type="spellStart"/>
      <w:r w:rsidRPr="00BE688E">
        <w:rPr>
          <w:rStyle w:val="SCCCounselNameChar"/>
          <w:lang w:val="fr-CA"/>
        </w:rPr>
        <w:t>Mason</w:t>
      </w:r>
      <w:proofErr w:type="spellEnd"/>
      <w:r w:rsidRPr="00BE688E">
        <w:rPr>
          <w:rStyle w:val="SCCCounselSeparatorChar"/>
          <w:lang w:val="fr-CA"/>
        </w:rPr>
        <w:t xml:space="preserve">, </w:t>
      </w:r>
      <w:r w:rsidRPr="00BE688E">
        <w:rPr>
          <w:rStyle w:val="SCCCounselNameChar"/>
          <w:lang w:val="fr-CA"/>
        </w:rPr>
        <w:t xml:space="preserve">Brandon </w:t>
      </w:r>
      <w:proofErr w:type="spellStart"/>
      <w:r w:rsidRPr="00BE688E">
        <w:rPr>
          <w:rStyle w:val="SCCCounselNameChar"/>
          <w:lang w:val="fr-CA"/>
        </w:rPr>
        <w:t>Kain</w:t>
      </w:r>
      <w:proofErr w:type="spellEnd"/>
      <w:r w:rsidRPr="00BE688E">
        <w:rPr>
          <w:rStyle w:val="SCCCounselSeparatorChar"/>
          <w:lang w:val="fr-CA"/>
        </w:rPr>
        <w:t xml:space="preserve"> et </w:t>
      </w:r>
      <w:r w:rsidRPr="00BE688E">
        <w:rPr>
          <w:rStyle w:val="SCCCounselNameChar"/>
          <w:lang w:val="fr-CA"/>
        </w:rPr>
        <w:t xml:space="preserve">Richard </w:t>
      </w:r>
      <w:proofErr w:type="spellStart"/>
      <w:r w:rsidRPr="00BE688E">
        <w:rPr>
          <w:rStyle w:val="SCCCounselNameChar"/>
          <w:lang w:val="fr-CA"/>
        </w:rPr>
        <w:t>Lizius</w:t>
      </w:r>
      <w:proofErr w:type="spellEnd"/>
      <w:r w:rsidRPr="00BE688E">
        <w:rPr>
          <w:rStyle w:val="SCCCounselPartyRoleChar"/>
          <w:lang w:val="fr-CA"/>
        </w:rPr>
        <w:t>, pour les appelantes.</w:t>
      </w:r>
    </w:p>
    <w:p w:rsidR="005F030A" w:rsidRPr="00BE688E" w:rsidRDefault="005F030A" w:rsidP="005F030A">
      <w:pPr>
        <w:pStyle w:val="SCCNormalDoubleSpacing"/>
        <w:spacing w:after="480"/>
        <w:rPr>
          <w:lang w:val="fr-CA"/>
        </w:rPr>
      </w:pPr>
      <w:r w:rsidRPr="00BE688E">
        <w:rPr>
          <w:rStyle w:val="SCCCounselNameChar"/>
          <w:lang w:val="fr-CA"/>
        </w:rPr>
        <w:tab/>
      </w:r>
      <w:r>
        <w:rPr>
          <w:rStyle w:val="SCCCounselNameChar"/>
          <w:lang w:val="fr-CA"/>
        </w:rPr>
        <w:t>Michael </w:t>
      </w:r>
      <w:r w:rsidRPr="00BE688E">
        <w:rPr>
          <w:rStyle w:val="SCCCounselNameChar"/>
          <w:lang w:val="fr-CA"/>
        </w:rPr>
        <w:t>H. Morris</w:t>
      </w:r>
      <w:r w:rsidRPr="00BE688E">
        <w:rPr>
          <w:rStyle w:val="SCCCounselSeparatorChar"/>
          <w:lang w:val="fr-CA"/>
        </w:rPr>
        <w:t xml:space="preserve"> et </w:t>
      </w:r>
      <w:r w:rsidRPr="00BE688E">
        <w:rPr>
          <w:rStyle w:val="SCCCounselNameChar"/>
          <w:lang w:val="fr-CA"/>
        </w:rPr>
        <w:t>Ian Demers</w:t>
      </w:r>
      <w:r w:rsidRPr="00BE688E">
        <w:rPr>
          <w:rStyle w:val="SCCCounselPartyRoleChar"/>
          <w:lang w:val="fr-CA"/>
        </w:rPr>
        <w:t>, pour l’intimé.</w:t>
      </w:r>
    </w:p>
    <w:p w:rsidR="005F030A" w:rsidRPr="00BE688E" w:rsidRDefault="005F030A" w:rsidP="005F030A">
      <w:pPr>
        <w:pStyle w:val="SCCNormalDoubleSpacing"/>
        <w:spacing w:after="480"/>
        <w:rPr>
          <w:lang w:val="fr-CA"/>
        </w:rPr>
      </w:pPr>
      <w:r w:rsidRPr="00BE688E">
        <w:rPr>
          <w:rStyle w:val="SCCCounselNameChar"/>
          <w:lang w:val="fr-CA"/>
        </w:rPr>
        <w:tab/>
        <w:t>Sara Blake</w:t>
      </w:r>
      <w:r w:rsidRPr="00BE688E">
        <w:rPr>
          <w:rStyle w:val="SCCCounselSeparatorChar"/>
          <w:lang w:val="fr-CA"/>
        </w:rPr>
        <w:t xml:space="preserve"> et </w:t>
      </w:r>
      <w:proofErr w:type="spellStart"/>
      <w:r w:rsidRPr="00BE688E">
        <w:rPr>
          <w:rStyle w:val="SCCCounselNameChar"/>
          <w:lang w:val="fr-CA"/>
        </w:rPr>
        <w:t>Judie</w:t>
      </w:r>
      <w:proofErr w:type="spellEnd"/>
      <w:r w:rsidRPr="00BE688E">
        <w:rPr>
          <w:rStyle w:val="SCCCounselNameChar"/>
          <w:lang w:val="fr-CA"/>
        </w:rPr>
        <w:t xml:space="preserve"> Im</w:t>
      </w:r>
      <w:r w:rsidRPr="00BE688E">
        <w:rPr>
          <w:rStyle w:val="SCCCounselPartyRoleChar"/>
          <w:lang w:val="fr-CA"/>
        </w:rPr>
        <w:t>, pour l’intervenant le procureur général de l’Ontario.</w:t>
      </w:r>
    </w:p>
    <w:p w:rsidR="005F030A" w:rsidRPr="00BE688E" w:rsidRDefault="005F030A" w:rsidP="005F030A">
      <w:pPr>
        <w:pStyle w:val="SCCNormalDoubleSpacing"/>
        <w:spacing w:after="480"/>
        <w:rPr>
          <w:rStyle w:val="SCCCounselPartyRoleChar"/>
          <w:lang w:val="fr-CA"/>
        </w:rPr>
      </w:pPr>
      <w:r w:rsidRPr="00BE688E">
        <w:rPr>
          <w:rStyle w:val="SCCCounselPartyRoleChar"/>
          <w:lang w:val="fr-CA"/>
        </w:rPr>
        <w:tab/>
      </w:r>
      <w:r w:rsidRPr="00BE688E">
        <w:rPr>
          <w:rStyle w:val="SCCCounselNameChar"/>
          <w:lang w:val="fr-CA"/>
        </w:rPr>
        <w:t>Stéphane Rochette</w:t>
      </w:r>
      <w:r w:rsidRPr="00BE688E">
        <w:rPr>
          <w:rStyle w:val="SCCCounselPartyRoleChar"/>
          <w:lang w:val="fr-CA"/>
        </w:rPr>
        <w:t>, pour l’intervenante la procureure générale du Québec.</w:t>
      </w:r>
    </w:p>
    <w:p w:rsidR="005F030A" w:rsidRPr="00BE688E" w:rsidRDefault="005F030A" w:rsidP="005F030A">
      <w:pPr>
        <w:pStyle w:val="SCCNormalDoubleSpacing"/>
        <w:spacing w:after="480"/>
        <w:rPr>
          <w:rStyle w:val="SCCCounselPartyRoleChar"/>
          <w:lang w:val="fr-CA"/>
        </w:rPr>
      </w:pPr>
      <w:r w:rsidRPr="00BE688E">
        <w:rPr>
          <w:rStyle w:val="SCCCounselPartyRoleChar"/>
          <w:lang w:val="fr-CA"/>
        </w:rPr>
        <w:tab/>
      </w:r>
      <w:r w:rsidRPr="00BE688E">
        <w:rPr>
          <w:rStyle w:val="SCCCounselPartyRoleChar"/>
          <w:i/>
          <w:lang w:val="fr-CA"/>
        </w:rPr>
        <w:t>J. Gareth Morley</w:t>
      </w:r>
      <w:r w:rsidRPr="00BE688E">
        <w:rPr>
          <w:rStyle w:val="SCCCounselPartyRoleChar"/>
          <w:lang w:val="fr-CA"/>
        </w:rPr>
        <w:t xml:space="preserve"> et </w:t>
      </w:r>
      <w:r w:rsidRPr="00BE688E">
        <w:rPr>
          <w:rStyle w:val="SCCCounselPartyRoleChar"/>
          <w:i/>
          <w:lang w:val="fr-CA"/>
        </w:rPr>
        <w:t>Katie Hamilton</w:t>
      </w:r>
      <w:r w:rsidRPr="00BE688E">
        <w:rPr>
          <w:rStyle w:val="SCCCounselPartyRoleChar"/>
          <w:lang w:val="fr-CA"/>
        </w:rPr>
        <w:t>, pour l’intervenant le procureur général de la Colombie</w:t>
      </w:r>
      <w:r>
        <w:rPr>
          <w:rStyle w:val="SCCCounselPartyRoleChar"/>
          <w:lang w:val="fr-CA"/>
        </w:rPr>
        <w:noBreakHyphen/>
      </w:r>
      <w:r w:rsidRPr="00BE688E">
        <w:rPr>
          <w:rStyle w:val="SCCCounselPartyRoleChar"/>
          <w:lang w:val="fr-CA"/>
        </w:rPr>
        <w:t>Britannique.</w:t>
      </w:r>
    </w:p>
    <w:p w:rsidR="005F030A" w:rsidRPr="00BE688E" w:rsidRDefault="005F030A" w:rsidP="005F030A">
      <w:pPr>
        <w:pStyle w:val="SCCNormalDoubleSpacing"/>
        <w:spacing w:after="480"/>
        <w:rPr>
          <w:rStyle w:val="SCCCounselPartyRoleChar"/>
          <w:lang w:val="fr-CA"/>
        </w:rPr>
      </w:pPr>
      <w:r w:rsidRPr="00BE688E">
        <w:rPr>
          <w:rStyle w:val="SCCCounselNameChar"/>
          <w:lang w:val="fr-CA"/>
        </w:rPr>
        <w:tab/>
        <w:t xml:space="preserve">Kyle </w:t>
      </w:r>
      <w:proofErr w:type="spellStart"/>
      <w:r w:rsidRPr="00BE688E">
        <w:rPr>
          <w:rStyle w:val="SCCCounselNameChar"/>
          <w:lang w:val="fr-CA"/>
        </w:rPr>
        <w:t>McCreary</w:t>
      </w:r>
      <w:proofErr w:type="spellEnd"/>
      <w:r w:rsidRPr="00BE688E">
        <w:rPr>
          <w:rStyle w:val="SCCCounselSeparatorChar"/>
          <w:lang w:val="fr-CA"/>
        </w:rPr>
        <w:t xml:space="preserve"> et </w:t>
      </w:r>
      <w:proofErr w:type="spellStart"/>
      <w:r w:rsidRPr="00BE688E">
        <w:rPr>
          <w:rStyle w:val="SCCCounselNameChar"/>
          <w:lang w:val="fr-CA"/>
        </w:rPr>
        <w:t>Johnna</w:t>
      </w:r>
      <w:proofErr w:type="spellEnd"/>
      <w:r w:rsidRPr="00BE688E">
        <w:rPr>
          <w:rStyle w:val="SCCCounselNameChar"/>
          <w:lang w:val="fr-CA"/>
        </w:rPr>
        <w:t xml:space="preserve"> Van Parys</w:t>
      </w:r>
      <w:r w:rsidRPr="00BE688E">
        <w:rPr>
          <w:rStyle w:val="SCCCounselPartyRoleChar"/>
          <w:lang w:val="fr-CA"/>
        </w:rPr>
        <w:t>, pour l’intervenant le procureur général de la Saskatchewan.</w:t>
      </w:r>
    </w:p>
    <w:p w:rsidR="005F030A" w:rsidRPr="00BE688E" w:rsidRDefault="005F030A" w:rsidP="005F030A">
      <w:pPr>
        <w:pStyle w:val="SCCNormalDoubleSpacing"/>
        <w:spacing w:after="480"/>
        <w:rPr>
          <w:rStyle w:val="SCCCounselPartyRoleChar"/>
          <w:lang w:val="fr-CA"/>
        </w:rPr>
      </w:pPr>
      <w:r w:rsidRPr="00BE688E">
        <w:rPr>
          <w:rStyle w:val="SCCCounselPartyRoleChar"/>
          <w:lang w:val="fr-CA"/>
        </w:rPr>
        <w:tab/>
      </w:r>
      <w:r w:rsidRPr="00772176">
        <w:rPr>
          <w:rStyle w:val="SCCCounselNameChar"/>
          <w:i w:val="0"/>
          <w:lang w:val="fr-CA"/>
        </w:rPr>
        <w:t>Personne n’a comparu</w:t>
      </w:r>
      <w:r w:rsidRPr="00BE688E">
        <w:rPr>
          <w:rStyle w:val="SCCCounselNameChar"/>
          <w:lang w:val="fr-CA"/>
        </w:rPr>
        <w:t xml:space="preserve"> </w:t>
      </w:r>
      <w:r w:rsidRPr="00BE688E">
        <w:rPr>
          <w:rStyle w:val="SCCCounselPartyRoleChar"/>
          <w:lang w:val="fr-CA"/>
        </w:rPr>
        <w:t>pour l’intervenant le Conseil de la radiodiffusion et des télécommunications canadiennes.</w:t>
      </w:r>
    </w:p>
    <w:p w:rsidR="005F030A" w:rsidRPr="00BE688E" w:rsidRDefault="005F030A" w:rsidP="005F030A">
      <w:pPr>
        <w:pStyle w:val="SCCNormalDoubleSpacing"/>
        <w:spacing w:after="480"/>
        <w:rPr>
          <w:lang w:val="fr-CA"/>
        </w:rPr>
      </w:pPr>
      <w:r w:rsidRPr="00BE688E">
        <w:rPr>
          <w:lang w:val="fr-CA"/>
        </w:rPr>
        <w:tab/>
      </w:r>
      <w:r w:rsidRPr="00BE688E">
        <w:rPr>
          <w:i/>
          <w:lang w:val="fr-CA"/>
        </w:rPr>
        <w:t xml:space="preserve">Christopher C. </w:t>
      </w:r>
      <w:proofErr w:type="spellStart"/>
      <w:r w:rsidRPr="00BE688E">
        <w:rPr>
          <w:i/>
          <w:lang w:val="fr-CA"/>
        </w:rPr>
        <w:t>Rootham</w:t>
      </w:r>
      <w:proofErr w:type="spellEnd"/>
      <w:r w:rsidRPr="00BE688E">
        <w:rPr>
          <w:lang w:val="fr-CA"/>
        </w:rPr>
        <w:t xml:space="preserve">, pour l’intervenante </w:t>
      </w:r>
      <w:proofErr w:type="spellStart"/>
      <w:r w:rsidRPr="00BE688E">
        <w:rPr>
          <w:lang w:val="fr-CA"/>
        </w:rPr>
        <w:t>Telus</w:t>
      </w:r>
      <w:proofErr w:type="spellEnd"/>
      <w:r w:rsidRPr="00BE688E">
        <w:rPr>
          <w:lang w:val="fr-CA"/>
        </w:rPr>
        <w:t xml:space="preserve"> Communications Inc.</w:t>
      </w:r>
    </w:p>
    <w:p w:rsidR="005F030A" w:rsidRPr="00BE688E" w:rsidRDefault="005F030A" w:rsidP="005F030A">
      <w:pPr>
        <w:pStyle w:val="SCCNormalDoubleSpacing"/>
        <w:spacing w:after="480"/>
        <w:rPr>
          <w:lang w:val="fr-CA"/>
        </w:rPr>
      </w:pPr>
      <w:r w:rsidRPr="00BE688E">
        <w:rPr>
          <w:rStyle w:val="SCCCounselNameChar"/>
          <w:lang w:val="fr-CA"/>
        </w:rPr>
        <w:lastRenderedPageBreak/>
        <w:tab/>
      </w:r>
      <w:r w:rsidR="0011734B" w:rsidRPr="0011734B">
        <w:rPr>
          <w:rStyle w:val="SCCCounselNameChar"/>
          <w:i w:val="0"/>
          <w:lang w:val="fr-CA"/>
        </w:rPr>
        <w:t>Argumentation écrite seulement par</w:t>
      </w:r>
      <w:r w:rsidR="0011734B">
        <w:rPr>
          <w:rStyle w:val="SCCCounselNameChar"/>
          <w:lang w:val="fr-CA"/>
        </w:rPr>
        <w:t xml:space="preserve"> </w:t>
      </w:r>
      <w:r w:rsidRPr="00BE688E">
        <w:rPr>
          <w:rStyle w:val="SCCCounselNameChar"/>
          <w:lang w:val="fr-CA"/>
        </w:rPr>
        <w:t>Karen Andrews</w:t>
      </w:r>
      <w:r w:rsidRPr="00BE688E">
        <w:rPr>
          <w:rStyle w:val="SCCCounselPartyRoleChar"/>
          <w:lang w:val="fr-CA"/>
        </w:rPr>
        <w:t xml:space="preserve">, pour l’intervenant le Centre ontarien de défense des droits des locataires </w:t>
      </w:r>
      <w:r>
        <w:rPr>
          <w:lang w:val="fr-CA"/>
        </w:rPr>
        <w:noBreakHyphen/>
      </w:r>
      <w:r w:rsidRPr="00BE688E">
        <w:rPr>
          <w:lang w:val="fr-CA"/>
        </w:rPr>
        <w:t xml:space="preserve"> Programme d’avocats de service en droit du logement</w:t>
      </w:r>
      <w:r w:rsidRPr="00BE688E">
        <w:rPr>
          <w:rStyle w:val="SCCCounselPartyRoleChar"/>
          <w:lang w:val="fr-CA"/>
        </w:rPr>
        <w:t>.</w:t>
      </w:r>
    </w:p>
    <w:p w:rsidR="005F030A" w:rsidRPr="00BE688E" w:rsidRDefault="005F030A" w:rsidP="005F030A">
      <w:pPr>
        <w:pStyle w:val="SCCNormalDoubleSpacing"/>
        <w:spacing w:after="480"/>
        <w:rPr>
          <w:lang w:val="fr-CA"/>
        </w:rPr>
      </w:pPr>
      <w:r w:rsidRPr="00BE688E">
        <w:rPr>
          <w:rStyle w:val="SCCCounselNameChar"/>
          <w:lang w:val="fr-CA"/>
        </w:rPr>
        <w:tab/>
        <w:t xml:space="preserve">Matthew </w:t>
      </w:r>
      <w:proofErr w:type="spellStart"/>
      <w:r w:rsidRPr="00BE688E">
        <w:rPr>
          <w:rStyle w:val="SCCCounselNameChar"/>
          <w:lang w:val="fr-CA"/>
        </w:rPr>
        <w:t>Britton</w:t>
      </w:r>
      <w:proofErr w:type="spellEnd"/>
      <w:r w:rsidRPr="00BE688E">
        <w:rPr>
          <w:rStyle w:val="SCCCounselSeparatorChar"/>
          <w:lang w:val="fr-CA"/>
        </w:rPr>
        <w:t xml:space="preserve"> et </w:t>
      </w:r>
      <w:r w:rsidRPr="00BE688E">
        <w:rPr>
          <w:rStyle w:val="SCCCounselNameChar"/>
          <w:lang w:val="fr-CA"/>
        </w:rPr>
        <w:t>Jennifer M. Lynch</w:t>
      </w:r>
      <w:r w:rsidRPr="00BE688E">
        <w:rPr>
          <w:rStyle w:val="SCCCounselPartyRoleChar"/>
          <w:lang w:val="fr-CA"/>
        </w:rPr>
        <w:t>, pour les intervenantes la Commission des valeurs mobilières de l’Ontario, British Columbia Securities Commission et Alberta Securities Commission.</w:t>
      </w:r>
    </w:p>
    <w:p w:rsidR="005F030A" w:rsidRPr="00BE688E" w:rsidRDefault="005F030A" w:rsidP="005F030A">
      <w:pPr>
        <w:pStyle w:val="SCCNormalDoubleSpacing"/>
        <w:spacing w:after="480"/>
        <w:rPr>
          <w:lang w:val="fr-CA"/>
        </w:rPr>
      </w:pPr>
      <w:r w:rsidRPr="00BE688E">
        <w:rPr>
          <w:rStyle w:val="SCCCounselNameChar"/>
          <w:lang w:val="fr-CA"/>
        </w:rPr>
        <w:tab/>
        <w:t>Laura Bowman</w:t>
      </w:r>
      <w:r w:rsidRPr="00BE688E">
        <w:rPr>
          <w:rStyle w:val="SCCCounselSeparatorChar"/>
          <w:lang w:val="fr-CA"/>
        </w:rPr>
        <w:t xml:space="preserve"> et </w:t>
      </w:r>
      <w:proofErr w:type="spellStart"/>
      <w:r w:rsidRPr="00BE688E">
        <w:rPr>
          <w:rStyle w:val="SCCCounselNameChar"/>
          <w:lang w:val="fr-CA"/>
        </w:rPr>
        <w:t>Bronwyn</w:t>
      </w:r>
      <w:proofErr w:type="spellEnd"/>
      <w:r w:rsidRPr="00BE688E">
        <w:rPr>
          <w:rStyle w:val="SCCCounselNameChar"/>
          <w:lang w:val="fr-CA"/>
        </w:rPr>
        <w:t xml:space="preserve"> </w:t>
      </w:r>
      <w:proofErr w:type="spellStart"/>
      <w:r w:rsidRPr="00BE688E">
        <w:rPr>
          <w:rStyle w:val="SCCCounselNameChar"/>
          <w:lang w:val="fr-CA"/>
        </w:rPr>
        <w:t>Roe</w:t>
      </w:r>
      <w:proofErr w:type="spellEnd"/>
      <w:r w:rsidRPr="00BE688E">
        <w:rPr>
          <w:rStyle w:val="SCCCounselPartyRoleChar"/>
          <w:lang w:val="fr-CA"/>
        </w:rPr>
        <w:t xml:space="preserve">, pour l’intervenante </w:t>
      </w:r>
      <w:proofErr w:type="spellStart"/>
      <w:r w:rsidRPr="00BE688E">
        <w:rPr>
          <w:rStyle w:val="SCCCounselPartyRoleChar"/>
          <w:lang w:val="fr-CA"/>
        </w:rPr>
        <w:t>Ecojustice</w:t>
      </w:r>
      <w:proofErr w:type="spellEnd"/>
      <w:r w:rsidRPr="00BE688E">
        <w:rPr>
          <w:rStyle w:val="SCCCounselPartyRoleChar"/>
          <w:lang w:val="fr-CA"/>
        </w:rPr>
        <w:t xml:space="preserve"> Canada Society.</w:t>
      </w:r>
    </w:p>
    <w:p w:rsidR="005F030A" w:rsidRPr="00BE688E" w:rsidRDefault="005F030A" w:rsidP="005F030A">
      <w:pPr>
        <w:pStyle w:val="SCCNormalDoubleSpacing"/>
        <w:spacing w:after="480"/>
        <w:rPr>
          <w:lang w:val="fr-CA"/>
        </w:rPr>
      </w:pPr>
      <w:r w:rsidRPr="00BE688E">
        <w:rPr>
          <w:rStyle w:val="SCCCounselNameChar"/>
          <w:lang w:val="fr-CA"/>
        </w:rPr>
        <w:tab/>
      </w:r>
      <w:r w:rsidRPr="00BE688E">
        <w:rPr>
          <w:rStyle w:val="SCCCounselNameChar"/>
          <w:rFonts w:eastAsiaTheme="majorEastAsia"/>
          <w:lang w:val="fr-CA"/>
        </w:rPr>
        <w:t xml:space="preserve">David </w:t>
      </w:r>
      <w:proofErr w:type="spellStart"/>
      <w:r w:rsidRPr="00BE688E">
        <w:rPr>
          <w:rStyle w:val="SCCCounselNameChar"/>
          <w:rFonts w:eastAsiaTheme="majorEastAsia"/>
          <w:lang w:val="fr-CA"/>
        </w:rPr>
        <w:t>Corbett</w:t>
      </w:r>
      <w:proofErr w:type="spellEnd"/>
      <w:r w:rsidRPr="00BE688E">
        <w:rPr>
          <w:rStyle w:val="SCCCounselNameChar"/>
          <w:rFonts w:eastAsiaTheme="majorEastAsia"/>
          <w:lang w:val="fr-CA"/>
        </w:rPr>
        <w:t xml:space="preserve"> </w:t>
      </w:r>
      <w:r w:rsidRPr="00BE688E">
        <w:rPr>
          <w:rStyle w:val="SCCCounselSeparatorChar"/>
          <w:lang w:val="fr-CA"/>
        </w:rPr>
        <w:t xml:space="preserve">et </w:t>
      </w:r>
      <w:r w:rsidRPr="00BE688E">
        <w:rPr>
          <w:rStyle w:val="SCCCounselNameChar"/>
          <w:rFonts w:eastAsiaTheme="majorEastAsia"/>
          <w:lang w:val="fr-CA"/>
        </w:rPr>
        <w:t>Michelle Alton</w:t>
      </w:r>
      <w:r w:rsidRPr="00BE688E">
        <w:rPr>
          <w:rStyle w:val="SCCCounselPartyRoleChar"/>
          <w:lang w:val="fr-CA"/>
        </w:rPr>
        <w:t xml:space="preserve">, pour les intervenants le Tribunal d’appel de la sécurité professionnelle et de l’assurance contre les accidents du travail (Ontario), </w:t>
      </w:r>
      <w:proofErr w:type="spellStart"/>
      <w:r w:rsidRPr="00BE688E">
        <w:rPr>
          <w:rStyle w:val="SCCCounselPartyRoleChar"/>
          <w:lang w:val="fr-CA"/>
        </w:rPr>
        <w:t>Workers</w:t>
      </w:r>
      <w:proofErr w:type="spellEnd"/>
      <w:r w:rsidRPr="00BE688E">
        <w:rPr>
          <w:rStyle w:val="SCCCounselPartyRoleChar"/>
          <w:lang w:val="fr-CA"/>
        </w:rPr>
        <w:t xml:space="preserve">’ Compensation </w:t>
      </w:r>
      <w:proofErr w:type="spellStart"/>
      <w:r w:rsidRPr="00BE688E">
        <w:rPr>
          <w:rStyle w:val="SCCCounselPartyRoleChar"/>
          <w:lang w:val="fr-CA"/>
        </w:rPr>
        <w:t>Appeals</w:t>
      </w:r>
      <w:proofErr w:type="spellEnd"/>
      <w:r w:rsidRPr="00BE688E">
        <w:rPr>
          <w:rStyle w:val="SCCCounselPartyRoleChar"/>
          <w:lang w:val="fr-CA"/>
        </w:rPr>
        <w:t xml:space="preserve"> Tribunal (Territoires du Nord</w:t>
      </w:r>
      <w:r>
        <w:rPr>
          <w:rStyle w:val="SCCCounselPartyRoleChar"/>
          <w:lang w:val="fr-CA"/>
        </w:rPr>
        <w:noBreakHyphen/>
      </w:r>
      <w:r w:rsidRPr="00BE688E">
        <w:rPr>
          <w:rStyle w:val="SCCCounselPartyRoleChar"/>
          <w:lang w:val="fr-CA"/>
        </w:rPr>
        <w:t>Ouest et Nunavut), le Tribunal d’appel des décisions de la Commission des accidents du travail de la Nouvelle</w:t>
      </w:r>
      <w:r>
        <w:rPr>
          <w:rStyle w:val="SCCCounselPartyRoleChar"/>
          <w:lang w:val="fr-CA"/>
        </w:rPr>
        <w:noBreakHyphen/>
      </w:r>
      <w:r w:rsidRPr="00BE688E">
        <w:rPr>
          <w:rStyle w:val="SCCCounselPartyRoleChar"/>
          <w:lang w:val="fr-CA"/>
        </w:rPr>
        <w:t xml:space="preserve">Écosse, </w:t>
      </w:r>
      <w:proofErr w:type="spellStart"/>
      <w:r w:rsidRPr="00BE688E">
        <w:rPr>
          <w:rStyle w:val="SCCCounselPartyRoleChar"/>
          <w:lang w:val="fr-CA"/>
        </w:rPr>
        <w:t>Appeals</w:t>
      </w:r>
      <w:proofErr w:type="spellEnd"/>
      <w:r w:rsidRPr="00BE688E">
        <w:rPr>
          <w:rStyle w:val="SCCCounselPartyRoleChar"/>
          <w:lang w:val="fr-CA"/>
        </w:rPr>
        <w:t xml:space="preserve"> Commission for Alberta </w:t>
      </w:r>
      <w:proofErr w:type="spellStart"/>
      <w:r w:rsidRPr="00BE688E">
        <w:rPr>
          <w:rStyle w:val="SCCCounselPartyRoleChar"/>
          <w:lang w:val="fr-CA"/>
        </w:rPr>
        <w:t>Workers</w:t>
      </w:r>
      <w:proofErr w:type="spellEnd"/>
      <w:r w:rsidRPr="00BE688E">
        <w:rPr>
          <w:rStyle w:val="SCCCounselPartyRoleChar"/>
          <w:lang w:val="fr-CA"/>
        </w:rPr>
        <w:t>’ Compensation et le Tribunal d’appel des accidents au travail (Nouveau</w:t>
      </w:r>
      <w:r>
        <w:rPr>
          <w:rStyle w:val="SCCCounselPartyRoleChar"/>
          <w:lang w:val="fr-CA"/>
        </w:rPr>
        <w:noBreakHyphen/>
      </w:r>
      <w:r w:rsidRPr="00BE688E">
        <w:rPr>
          <w:rStyle w:val="SCCCounselPartyRoleChar"/>
          <w:lang w:val="fr-CA"/>
        </w:rPr>
        <w:t>Brunswick).</w:t>
      </w:r>
    </w:p>
    <w:p w:rsidR="005F030A" w:rsidRPr="00BE688E" w:rsidRDefault="005F030A" w:rsidP="005F030A">
      <w:pPr>
        <w:pStyle w:val="SCCNormalDoubleSpacing"/>
        <w:spacing w:after="480"/>
        <w:rPr>
          <w:lang w:val="fr-CA"/>
        </w:rPr>
      </w:pPr>
      <w:r w:rsidRPr="00BE688E">
        <w:rPr>
          <w:rStyle w:val="SCCCounselNameChar"/>
          <w:lang w:val="fr-CA"/>
        </w:rPr>
        <w:tab/>
      </w:r>
      <w:r w:rsidRPr="00BE688E">
        <w:rPr>
          <w:lang w:val="fr-CA"/>
        </w:rPr>
        <w:t xml:space="preserve">Argumentation écrite seulement par </w:t>
      </w:r>
      <w:r w:rsidRPr="00BE688E">
        <w:rPr>
          <w:rStyle w:val="SCCCounselNameChar"/>
          <w:rFonts w:eastAsiaTheme="majorEastAsia"/>
          <w:lang w:val="fr-CA"/>
        </w:rPr>
        <w:t xml:space="preserve">Gavin R. Cameron </w:t>
      </w:r>
      <w:r w:rsidRPr="005F3232">
        <w:rPr>
          <w:rStyle w:val="SCCCounselNameChar"/>
          <w:rFonts w:eastAsiaTheme="majorEastAsia"/>
          <w:i w:val="0"/>
          <w:lang w:val="fr-CA"/>
        </w:rPr>
        <w:t>et</w:t>
      </w:r>
      <w:r w:rsidRPr="00BE688E">
        <w:rPr>
          <w:rStyle w:val="SCCCounselNameChar"/>
          <w:rFonts w:eastAsiaTheme="majorEastAsia"/>
          <w:lang w:val="fr-CA"/>
        </w:rPr>
        <w:t xml:space="preserve"> Tom </w:t>
      </w:r>
      <w:proofErr w:type="spellStart"/>
      <w:r w:rsidRPr="00BE688E">
        <w:rPr>
          <w:rStyle w:val="SCCCounselNameChar"/>
          <w:rFonts w:eastAsiaTheme="majorEastAsia"/>
          <w:lang w:val="fr-CA"/>
        </w:rPr>
        <w:t>Posyniak</w:t>
      </w:r>
      <w:proofErr w:type="spellEnd"/>
      <w:r w:rsidRPr="00BE688E">
        <w:rPr>
          <w:rStyle w:val="SCCCounselNameChar"/>
          <w:rFonts w:eastAsiaTheme="majorEastAsia"/>
          <w:lang w:val="fr-CA"/>
        </w:rPr>
        <w:t>,</w:t>
      </w:r>
      <w:r w:rsidRPr="00BE688E">
        <w:rPr>
          <w:rStyle w:val="SCCCounselNameChar"/>
          <w:lang w:val="fr-CA"/>
        </w:rPr>
        <w:t xml:space="preserve"> </w:t>
      </w:r>
      <w:r w:rsidRPr="00BE688E">
        <w:rPr>
          <w:rStyle w:val="SCCCounselPartyRoleChar"/>
          <w:lang w:val="fr-CA"/>
        </w:rPr>
        <w:t xml:space="preserve">pour l’intervenante British Columbia International Commercial Arbitration Centre </w:t>
      </w:r>
      <w:proofErr w:type="spellStart"/>
      <w:r w:rsidRPr="00BE688E">
        <w:rPr>
          <w:rStyle w:val="SCCCounselPartyRoleChar"/>
          <w:lang w:val="fr-CA"/>
        </w:rPr>
        <w:t>Foundation</w:t>
      </w:r>
      <w:proofErr w:type="spellEnd"/>
      <w:r w:rsidRPr="00BE688E">
        <w:rPr>
          <w:rStyle w:val="SCCCounselPartyRoleChar"/>
          <w:lang w:val="fr-CA"/>
        </w:rPr>
        <w:t>.</w:t>
      </w:r>
    </w:p>
    <w:p w:rsidR="005F030A" w:rsidRPr="00BE688E" w:rsidRDefault="005F030A" w:rsidP="005F030A">
      <w:pPr>
        <w:pStyle w:val="SCCNormalDoubleSpacing"/>
        <w:spacing w:after="480"/>
        <w:rPr>
          <w:lang w:val="fr-CA"/>
        </w:rPr>
      </w:pPr>
      <w:r w:rsidRPr="00BE688E">
        <w:rPr>
          <w:rStyle w:val="SCCCounselNameChar"/>
          <w:lang w:val="fr-CA"/>
        </w:rPr>
        <w:tab/>
        <w:t xml:space="preserve">Terrence J. </w:t>
      </w:r>
      <w:proofErr w:type="spellStart"/>
      <w:r w:rsidRPr="00BE688E">
        <w:rPr>
          <w:rStyle w:val="SCCCounselNameChar"/>
          <w:lang w:val="fr-CA"/>
        </w:rPr>
        <w:t>O’Sullivan</w:t>
      </w:r>
      <w:proofErr w:type="spellEnd"/>
      <w:r w:rsidRPr="00BE688E">
        <w:rPr>
          <w:rStyle w:val="SCCCounselSeparatorChar"/>
          <w:lang w:val="fr-CA"/>
        </w:rPr>
        <w:t xml:space="preserve"> et </w:t>
      </w:r>
      <w:r w:rsidRPr="00BE688E">
        <w:rPr>
          <w:rStyle w:val="SCCCounselNameChar"/>
          <w:lang w:val="fr-CA"/>
        </w:rPr>
        <w:t xml:space="preserve">Paul </w:t>
      </w:r>
      <w:proofErr w:type="spellStart"/>
      <w:r w:rsidRPr="00BE688E">
        <w:rPr>
          <w:rStyle w:val="SCCCounselNameChar"/>
          <w:lang w:val="fr-CA"/>
        </w:rPr>
        <w:t>Michell</w:t>
      </w:r>
      <w:proofErr w:type="spellEnd"/>
      <w:r w:rsidRPr="00BE688E">
        <w:rPr>
          <w:rStyle w:val="SCCCounselPartyRoleChar"/>
          <w:lang w:val="fr-CA"/>
        </w:rPr>
        <w:t>, pour l’intervenant le Conseil des tribunaux administratifs canadiens.</w:t>
      </w:r>
    </w:p>
    <w:p w:rsidR="005F030A" w:rsidRPr="00BE688E" w:rsidRDefault="005F030A" w:rsidP="005F030A">
      <w:pPr>
        <w:pStyle w:val="SCCNormalDoubleSpacing"/>
        <w:spacing w:after="480"/>
        <w:rPr>
          <w:rStyle w:val="SCCCounselPartyRoleChar"/>
          <w:lang w:val="fr-CA"/>
        </w:rPr>
      </w:pPr>
      <w:r w:rsidRPr="00BE688E">
        <w:rPr>
          <w:rStyle w:val="SCCCounselNameChar"/>
          <w:lang w:val="fr-CA"/>
        </w:rPr>
        <w:lastRenderedPageBreak/>
        <w:tab/>
      </w:r>
      <w:r w:rsidRPr="00BE688E">
        <w:rPr>
          <w:lang w:val="fr-CA"/>
        </w:rPr>
        <w:t xml:space="preserve">Argumentation écrite seulement par </w:t>
      </w:r>
      <w:r w:rsidRPr="00BE688E">
        <w:rPr>
          <w:rStyle w:val="SCCCounselNameChar"/>
          <w:rFonts w:eastAsiaTheme="majorEastAsia"/>
          <w:lang w:val="fr-CA"/>
        </w:rPr>
        <w:t xml:space="preserve">Susan L. Stewart, Linda R. </w:t>
      </w:r>
      <w:proofErr w:type="spellStart"/>
      <w:r w:rsidRPr="00BE688E">
        <w:rPr>
          <w:rStyle w:val="SCCCounselNameChar"/>
          <w:rFonts w:eastAsiaTheme="majorEastAsia"/>
          <w:lang w:val="fr-CA"/>
        </w:rPr>
        <w:t>Rothstein</w:t>
      </w:r>
      <w:proofErr w:type="spellEnd"/>
      <w:r w:rsidRPr="00BE688E">
        <w:rPr>
          <w:rStyle w:val="SCCCounselNameChar"/>
          <w:rFonts w:eastAsiaTheme="majorEastAsia"/>
          <w:lang w:val="fr-CA"/>
        </w:rPr>
        <w:t xml:space="preserve">, Michael </w:t>
      </w:r>
      <w:proofErr w:type="spellStart"/>
      <w:r w:rsidRPr="00BE688E">
        <w:rPr>
          <w:rStyle w:val="SCCCounselNameChar"/>
          <w:rFonts w:eastAsiaTheme="majorEastAsia"/>
          <w:lang w:val="fr-CA"/>
        </w:rPr>
        <w:t>Fenrick</w:t>
      </w:r>
      <w:proofErr w:type="spellEnd"/>
      <w:r w:rsidRPr="00BE688E">
        <w:rPr>
          <w:rStyle w:val="SCCCounselNameChar"/>
          <w:rFonts w:eastAsiaTheme="majorEastAsia"/>
          <w:lang w:val="fr-CA"/>
        </w:rPr>
        <w:t>, Angela E. Rae</w:t>
      </w:r>
      <w:r>
        <w:rPr>
          <w:rStyle w:val="SCCCounselNameChar"/>
          <w:rFonts w:eastAsiaTheme="majorEastAsia"/>
          <w:lang w:val="fr-CA"/>
        </w:rPr>
        <w:t xml:space="preserve"> </w:t>
      </w:r>
      <w:r w:rsidRPr="005F3232">
        <w:rPr>
          <w:rStyle w:val="SCCCounselNameChar"/>
          <w:rFonts w:eastAsiaTheme="majorEastAsia"/>
          <w:i w:val="0"/>
          <w:lang w:val="fr-CA"/>
        </w:rPr>
        <w:t>et</w:t>
      </w:r>
      <w:r>
        <w:rPr>
          <w:rStyle w:val="SCCCounselNameChar"/>
          <w:rFonts w:eastAsiaTheme="majorEastAsia"/>
          <w:lang w:val="fr-CA"/>
        </w:rPr>
        <w:t xml:space="preserve"> </w:t>
      </w:r>
      <w:r w:rsidRPr="00BE688E">
        <w:rPr>
          <w:rStyle w:val="SCCCounselNameChar"/>
          <w:rFonts w:eastAsiaTheme="majorEastAsia"/>
          <w:lang w:val="fr-CA"/>
        </w:rPr>
        <w:t xml:space="preserve">Anne Marie </w:t>
      </w:r>
      <w:proofErr w:type="spellStart"/>
      <w:r w:rsidRPr="00BE688E">
        <w:rPr>
          <w:rStyle w:val="SCCCounselNameChar"/>
          <w:rFonts w:eastAsiaTheme="majorEastAsia"/>
          <w:lang w:val="fr-CA"/>
        </w:rPr>
        <w:t>Heenan</w:t>
      </w:r>
      <w:proofErr w:type="spellEnd"/>
      <w:r w:rsidRPr="00BE688E">
        <w:rPr>
          <w:rStyle w:val="SCCCounselNameChar"/>
          <w:rFonts w:eastAsiaTheme="majorEastAsia"/>
          <w:lang w:val="fr-CA"/>
        </w:rPr>
        <w:t>,</w:t>
      </w:r>
      <w:r w:rsidRPr="00BE688E">
        <w:rPr>
          <w:rStyle w:val="SCCCounselPartyRoleChar"/>
          <w:lang w:val="fr-CA"/>
        </w:rPr>
        <w:t xml:space="preserve"> pour les intervenantes National </w:t>
      </w:r>
      <w:proofErr w:type="spellStart"/>
      <w:r w:rsidRPr="00BE688E">
        <w:rPr>
          <w:rStyle w:val="SCCCounselPartyRoleChar"/>
          <w:lang w:val="fr-CA"/>
        </w:rPr>
        <w:t>Academy</w:t>
      </w:r>
      <w:proofErr w:type="spellEnd"/>
      <w:r w:rsidRPr="00BE688E">
        <w:rPr>
          <w:rStyle w:val="SCCCounselPartyRoleChar"/>
          <w:lang w:val="fr-CA"/>
        </w:rPr>
        <w:t xml:space="preserve"> of </w:t>
      </w:r>
      <w:proofErr w:type="spellStart"/>
      <w:r w:rsidRPr="00BE688E">
        <w:rPr>
          <w:rStyle w:val="SCCCounselPartyRoleChar"/>
          <w:lang w:val="fr-CA"/>
        </w:rPr>
        <w:t>Arbitrators</w:t>
      </w:r>
      <w:proofErr w:type="spellEnd"/>
      <w:r w:rsidRPr="00BE688E">
        <w:rPr>
          <w:rStyle w:val="SCCCounselPartyRoleChar"/>
          <w:lang w:val="fr-CA"/>
        </w:rPr>
        <w:t>, Ontario Labour</w:t>
      </w:r>
      <w:r>
        <w:rPr>
          <w:rStyle w:val="SCCCounselPartyRoleChar"/>
          <w:lang w:val="fr-CA"/>
        </w:rPr>
        <w:noBreakHyphen/>
      </w:r>
      <w:r w:rsidRPr="00BE688E">
        <w:rPr>
          <w:rStyle w:val="SCCCounselPartyRoleChar"/>
          <w:lang w:val="fr-CA"/>
        </w:rPr>
        <w:t xml:space="preserve">Management </w:t>
      </w:r>
      <w:proofErr w:type="spellStart"/>
      <w:r w:rsidRPr="00BE688E">
        <w:rPr>
          <w:rStyle w:val="SCCCounselPartyRoleChar"/>
          <w:lang w:val="fr-CA"/>
        </w:rPr>
        <w:t>Arbitrators</w:t>
      </w:r>
      <w:proofErr w:type="spellEnd"/>
      <w:r w:rsidRPr="00BE688E">
        <w:rPr>
          <w:rStyle w:val="SCCCounselPartyRoleChar"/>
          <w:lang w:val="fr-CA"/>
        </w:rPr>
        <w:t>’ Association et la Conférence des arbitres du Québec.</w:t>
      </w:r>
    </w:p>
    <w:p w:rsidR="005F030A" w:rsidRPr="00BE688E" w:rsidRDefault="005F030A" w:rsidP="005F030A">
      <w:pPr>
        <w:pStyle w:val="SCCNormalDoubleSpacing"/>
        <w:spacing w:after="480"/>
        <w:rPr>
          <w:lang w:val="fr-CA"/>
        </w:rPr>
      </w:pPr>
      <w:r w:rsidRPr="00BE688E">
        <w:rPr>
          <w:rStyle w:val="SCCCounselNameChar"/>
          <w:lang w:val="fr-CA"/>
        </w:rPr>
        <w:tab/>
        <w:t xml:space="preserve">Steven </w:t>
      </w:r>
      <w:proofErr w:type="spellStart"/>
      <w:r w:rsidRPr="00BE688E">
        <w:rPr>
          <w:rStyle w:val="SCCCounselNameChar"/>
          <w:lang w:val="fr-CA"/>
        </w:rPr>
        <w:t>Barrett</w:t>
      </w:r>
      <w:proofErr w:type="spellEnd"/>
      <w:r w:rsidRPr="00BE688E">
        <w:rPr>
          <w:rStyle w:val="SCCCounselPartyRoleChar"/>
          <w:lang w:val="fr-CA"/>
        </w:rPr>
        <w:t>, pour l’intervenant le Congrès du travail du Canada.</w:t>
      </w:r>
    </w:p>
    <w:p w:rsidR="005F030A" w:rsidRPr="00BE688E" w:rsidRDefault="005F030A" w:rsidP="005F030A">
      <w:pPr>
        <w:pStyle w:val="SCCNormalDoubleSpacing"/>
        <w:spacing w:after="480"/>
        <w:rPr>
          <w:lang w:val="fr-CA"/>
        </w:rPr>
      </w:pPr>
      <w:r w:rsidRPr="00BE688E">
        <w:rPr>
          <w:rStyle w:val="SCCCounselNameChar"/>
          <w:lang w:val="fr-CA"/>
        </w:rPr>
        <w:tab/>
      </w:r>
      <w:r w:rsidRPr="00BE688E">
        <w:rPr>
          <w:lang w:val="fr-CA"/>
        </w:rPr>
        <w:t xml:space="preserve">Argumentation écrite seulement par </w:t>
      </w:r>
      <w:r w:rsidRPr="00BE688E">
        <w:rPr>
          <w:rStyle w:val="SCCCounselNameChar"/>
          <w:rFonts w:eastAsiaTheme="majorEastAsia"/>
          <w:lang w:val="fr-CA"/>
        </w:rPr>
        <w:t xml:space="preserve">William W. </w:t>
      </w:r>
      <w:proofErr w:type="spellStart"/>
      <w:r w:rsidRPr="00BE688E">
        <w:rPr>
          <w:rStyle w:val="SCCCounselNameChar"/>
          <w:rFonts w:eastAsiaTheme="majorEastAsia"/>
          <w:lang w:val="fr-CA"/>
        </w:rPr>
        <w:t>Shores</w:t>
      </w:r>
      <w:proofErr w:type="spellEnd"/>
      <w:r w:rsidRPr="005F3232">
        <w:rPr>
          <w:rStyle w:val="SCCCounselNameChar"/>
          <w:rFonts w:eastAsiaTheme="majorEastAsia"/>
          <w:i w:val="0"/>
          <w:lang w:val="fr-CA"/>
        </w:rPr>
        <w:t>,</w:t>
      </w:r>
      <w:r w:rsidRPr="00BE688E">
        <w:rPr>
          <w:rStyle w:val="SCCCounselNameChar"/>
          <w:rFonts w:eastAsiaTheme="majorEastAsia"/>
          <w:lang w:val="fr-CA"/>
        </w:rPr>
        <w:t xml:space="preserve"> </w:t>
      </w:r>
      <w:proofErr w:type="spellStart"/>
      <w:proofErr w:type="gramStart"/>
      <w:r w:rsidRPr="00BE688E">
        <w:rPr>
          <w:rStyle w:val="SCCCounselNameChar"/>
          <w:rFonts w:eastAsiaTheme="majorEastAsia"/>
          <w:lang w:val="fr-CA"/>
        </w:rPr>
        <w:t>c.r</w:t>
      </w:r>
      <w:proofErr w:type="spellEnd"/>
      <w:r w:rsidRPr="00BE688E">
        <w:rPr>
          <w:rStyle w:val="SCCCounselNameChar"/>
          <w:rFonts w:eastAsiaTheme="majorEastAsia"/>
          <w:lang w:val="fr-CA"/>
        </w:rPr>
        <w:t>.</w:t>
      </w:r>
      <w:r w:rsidRPr="005F3232">
        <w:rPr>
          <w:rStyle w:val="SCCCounselNameChar"/>
          <w:rFonts w:eastAsiaTheme="majorEastAsia"/>
          <w:i w:val="0"/>
          <w:lang w:val="fr-CA"/>
        </w:rPr>
        <w:t>,</w:t>
      </w:r>
      <w:proofErr w:type="gramEnd"/>
      <w:r w:rsidRPr="005F3232">
        <w:rPr>
          <w:rStyle w:val="SCCCounselNameChar"/>
          <w:rFonts w:eastAsiaTheme="majorEastAsia"/>
          <w:i w:val="0"/>
          <w:lang w:val="fr-CA"/>
        </w:rPr>
        <w:t xml:space="preserve"> et</w:t>
      </w:r>
      <w:r w:rsidRPr="00BE688E">
        <w:rPr>
          <w:rStyle w:val="SCCCounselNameChar"/>
          <w:rFonts w:eastAsiaTheme="majorEastAsia"/>
          <w:lang w:val="fr-CA"/>
        </w:rPr>
        <w:t xml:space="preserve"> Kirk N. </w:t>
      </w:r>
      <w:proofErr w:type="spellStart"/>
      <w:r w:rsidRPr="00BE688E">
        <w:rPr>
          <w:rStyle w:val="SCCCounselNameChar"/>
          <w:rFonts w:eastAsiaTheme="majorEastAsia"/>
          <w:lang w:val="fr-CA"/>
        </w:rPr>
        <w:t>Lambrecht</w:t>
      </w:r>
      <w:proofErr w:type="spellEnd"/>
      <w:r w:rsidRPr="005F3232">
        <w:rPr>
          <w:rStyle w:val="SCCCounselNameChar"/>
          <w:rFonts w:eastAsiaTheme="majorEastAsia"/>
          <w:i w:val="0"/>
          <w:lang w:val="fr-CA"/>
        </w:rPr>
        <w:t>,</w:t>
      </w:r>
      <w:r w:rsidRPr="00BE688E">
        <w:rPr>
          <w:rStyle w:val="SCCCounselNameChar"/>
          <w:rFonts w:eastAsiaTheme="majorEastAsia"/>
          <w:lang w:val="fr-CA"/>
        </w:rPr>
        <w:t xml:space="preserve"> </w:t>
      </w:r>
      <w:proofErr w:type="spellStart"/>
      <w:r w:rsidRPr="00BE688E">
        <w:rPr>
          <w:rStyle w:val="SCCCounselNameChar"/>
          <w:rFonts w:eastAsiaTheme="majorEastAsia"/>
          <w:lang w:val="fr-CA"/>
        </w:rPr>
        <w:t>c.r</w:t>
      </w:r>
      <w:proofErr w:type="spellEnd"/>
      <w:r w:rsidRPr="00BE688E">
        <w:rPr>
          <w:rStyle w:val="SCCCounselNameChar"/>
          <w:rFonts w:eastAsiaTheme="majorEastAsia"/>
          <w:lang w:val="fr-CA"/>
        </w:rPr>
        <w:t>.</w:t>
      </w:r>
      <w:r w:rsidRPr="005F3232">
        <w:rPr>
          <w:rStyle w:val="SCCCounselNameChar"/>
          <w:rFonts w:eastAsiaTheme="majorEastAsia"/>
          <w:i w:val="0"/>
          <w:lang w:val="fr-CA"/>
        </w:rPr>
        <w:t>,</w:t>
      </w:r>
      <w:r w:rsidRPr="00BE688E">
        <w:rPr>
          <w:rStyle w:val="SCCCounselPartyRoleChar"/>
          <w:lang w:val="fr-CA"/>
        </w:rPr>
        <w:t xml:space="preserve"> pour l’intervenante l’Association nationale des organismes de réglementation de la pharmacie.</w:t>
      </w:r>
    </w:p>
    <w:p w:rsidR="005F030A" w:rsidRPr="00BE688E" w:rsidRDefault="005F030A" w:rsidP="005F030A">
      <w:pPr>
        <w:pStyle w:val="SCCNormalDoubleSpacing"/>
        <w:spacing w:after="480"/>
        <w:rPr>
          <w:lang w:val="fr-CA"/>
        </w:rPr>
      </w:pPr>
      <w:r w:rsidRPr="00BE688E">
        <w:rPr>
          <w:rStyle w:val="SCCCounselNameChar"/>
          <w:lang w:val="fr-CA"/>
        </w:rPr>
        <w:tab/>
        <w:t xml:space="preserve">Brendan Van </w:t>
      </w:r>
      <w:proofErr w:type="spellStart"/>
      <w:r w:rsidRPr="00BE688E">
        <w:rPr>
          <w:rStyle w:val="SCCCounselNameChar"/>
          <w:lang w:val="fr-CA"/>
        </w:rPr>
        <w:t>Niejenhuis</w:t>
      </w:r>
      <w:proofErr w:type="spellEnd"/>
      <w:r w:rsidRPr="00BE688E">
        <w:rPr>
          <w:rStyle w:val="SCCCounselSeparatorChar"/>
          <w:lang w:val="fr-CA"/>
        </w:rPr>
        <w:t xml:space="preserve"> et </w:t>
      </w:r>
      <w:r w:rsidRPr="00BE688E">
        <w:rPr>
          <w:rStyle w:val="SCCCounselNameChar"/>
          <w:lang w:val="fr-CA"/>
        </w:rPr>
        <w:t xml:space="preserve">Andrea </w:t>
      </w:r>
      <w:proofErr w:type="spellStart"/>
      <w:r w:rsidRPr="00BE688E">
        <w:rPr>
          <w:rStyle w:val="SCCCounselNameChar"/>
          <w:lang w:val="fr-CA"/>
        </w:rPr>
        <w:t>Gonsalves</w:t>
      </w:r>
      <w:proofErr w:type="spellEnd"/>
      <w:r w:rsidRPr="00BE688E">
        <w:rPr>
          <w:rStyle w:val="SCCCounselPartyRoleChar"/>
          <w:lang w:val="fr-CA"/>
        </w:rPr>
        <w:t xml:space="preserve">, pour l’intervenante </w:t>
      </w:r>
      <w:proofErr w:type="spellStart"/>
      <w:r w:rsidRPr="00BE688E">
        <w:rPr>
          <w:rStyle w:val="SCCCounselPartyRoleChar"/>
          <w:lang w:val="fr-CA"/>
        </w:rPr>
        <w:t>Queen’s</w:t>
      </w:r>
      <w:proofErr w:type="spellEnd"/>
      <w:r w:rsidRPr="00BE688E">
        <w:rPr>
          <w:rStyle w:val="SCCCounselPartyRoleChar"/>
          <w:lang w:val="fr-CA"/>
        </w:rPr>
        <w:t xml:space="preserve"> Prison Law </w:t>
      </w:r>
      <w:proofErr w:type="spellStart"/>
      <w:r w:rsidRPr="00BE688E">
        <w:rPr>
          <w:rStyle w:val="SCCCounselPartyRoleChar"/>
          <w:lang w:val="fr-CA"/>
        </w:rPr>
        <w:t>Clinic</w:t>
      </w:r>
      <w:proofErr w:type="spellEnd"/>
      <w:r w:rsidRPr="00BE688E">
        <w:rPr>
          <w:rStyle w:val="SCCCounselPartyRoleChar"/>
          <w:lang w:val="fr-CA"/>
        </w:rPr>
        <w:t>.</w:t>
      </w:r>
    </w:p>
    <w:p w:rsidR="005F030A" w:rsidRPr="00BE688E" w:rsidRDefault="005F030A" w:rsidP="005F030A">
      <w:pPr>
        <w:pStyle w:val="SCCNormalDoubleSpacing"/>
        <w:spacing w:after="480"/>
      </w:pPr>
      <w:r w:rsidRPr="00BE688E">
        <w:rPr>
          <w:rStyle w:val="SCCCounselNameChar"/>
          <w:lang w:val="fr-CA"/>
        </w:rPr>
        <w:tab/>
      </w:r>
      <w:r w:rsidRPr="00BE688E">
        <w:rPr>
          <w:rStyle w:val="SCCCounselNameChar"/>
        </w:rPr>
        <w:t>Adam Goldenberg</w:t>
      </w:r>
      <w:r w:rsidRPr="00BE688E">
        <w:rPr>
          <w:rStyle w:val="SCCCounselSeparatorChar"/>
        </w:rPr>
        <w:t xml:space="preserve">, </w:t>
      </w:r>
      <w:r w:rsidRPr="00BE688E">
        <w:rPr>
          <w:rStyle w:val="SCCCounselPartyRoleChar"/>
        </w:rPr>
        <w:t xml:space="preserve">pour </w:t>
      </w:r>
      <w:proofErr w:type="spellStart"/>
      <w:r w:rsidRPr="00BE688E">
        <w:rPr>
          <w:rStyle w:val="SCCCounselPartyRoleChar"/>
        </w:rPr>
        <w:t>l’intervenant</w:t>
      </w:r>
      <w:proofErr w:type="spellEnd"/>
      <w:r w:rsidRPr="00BE688E">
        <w:rPr>
          <w:rStyle w:val="SCCCounselPartyRoleChar"/>
        </w:rPr>
        <w:t xml:space="preserve"> Advocates for the Rule of Law.</w:t>
      </w:r>
    </w:p>
    <w:p w:rsidR="005F030A" w:rsidRPr="00BE688E" w:rsidRDefault="005F030A" w:rsidP="005F030A">
      <w:pPr>
        <w:pStyle w:val="SCCNormalDoubleSpacing"/>
        <w:spacing w:after="480"/>
        <w:rPr>
          <w:rStyle w:val="SCCCounselPartyRoleChar"/>
          <w:lang w:val="fr-CA"/>
        </w:rPr>
      </w:pPr>
      <w:r w:rsidRPr="00BE688E">
        <w:rPr>
          <w:rStyle w:val="SCCCounselNameChar"/>
        </w:rPr>
        <w:tab/>
      </w:r>
      <w:r w:rsidRPr="00BE688E">
        <w:rPr>
          <w:rStyle w:val="SCCCounselNameChar"/>
          <w:lang w:val="fr-CA"/>
        </w:rPr>
        <w:t xml:space="preserve">Paul </w:t>
      </w:r>
      <w:proofErr w:type="spellStart"/>
      <w:r w:rsidRPr="00BE688E">
        <w:rPr>
          <w:rStyle w:val="SCCCounselNameChar"/>
          <w:lang w:val="fr-CA"/>
        </w:rPr>
        <w:t>Warchuk</w:t>
      </w:r>
      <w:proofErr w:type="spellEnd"/>
      <w:r w:rsidRPr="00BE688E">
        <w:rPr>
          <w:rStyle w:val="SCCCounselSeparatorChar"/>
          <w:lang w:val="fr-CA"/>
        </w:rPr>
        <w:t xml:space="preserve"> et </w:t>
      </w:r>
      <w:r w:rsidRPr="00BE688E">
        <w:rPr>
          <w:rStyle w:val="SCCCounselNameChar"/>
          <w:lang w:val="fr-CA"/>
        </w:rPr>
        <w:t>Francis Lévesque</w:t>
      </w:r>
      <w:r w:rsidRPr="00BE688E">
        <w:rPr>
          <w:rStyle w:val="SCCCounselPartyRoleChar"/>
          <w:lang w:val="fr-CA"/>
        </w:rPr>
        <w:t>, pour l’intervenant Cambridge Comparative Administrative Law Forum.</w:t>
      </w:r>
    </w:p>
    <w:p w:rsidR="005F030A" w:rsidRDefault="005F030A" w:rsidP="005F030A">
      <w:pPr>
        <w:pStyle w:val="SCCNormalDoubleSpacing"/>
        <w:spacing w:after="480"/>
        <w:rPr>
          <w:rStyle w:val="SCCCounselPartyRoleChar"/>
          <w:lang w:val="fr-CA"/>
        </w:rPr>
      </w:pPr>
      <w:r w:rsidRPr="00BE688E">
        <w:rPr>
          <w:rStyle w:val="SCCCounselNameChar"/>
          <w:lang w:val="fr-CA"/>
        </w:rPr>
        <w:tab/>
      </w:r>
      <w:r w:rsidRPr="00BE688E">
        <w:rPr>
          <w:lang w:val="fr-CA"/>
        </w:rPr>
        <w:t xml:space="preserve">Argumentation écrite seulement par </w:t>
      </w:r>
      <w:r>
        <w:rPr>
          <w:rStyle w:val="SCCCounselNameChar"/>
          <w:rFonts w:eastAsiaTheme="majorEastAsia"/>
          <w:lang w:val="fr-CA"/>
        </w:rPr>
        <w:t>J. </w:t>
      </w:r>
      <w:r w:rsidRPr="00BE688E">
        <w:rPr>
          <w:rStyle w:val="SCCCounselNameChar"/>
          <w:rFonts w:eastAsiaTheme="majorEastAsia"/>
          <w:lang w:val="fr-CA"/>
        </w:rPr>
        <w:t xml:space="preserve">Thomas Curry </w:t>
      </w:r>
      <w:r w:rsidRPr="005F3232">
        <w:rPr>
          <w:rStyle w:val="SCCCounselNameChar"/>
          <w:rFonts w:eastAsiaTheme="majorEastAsia"/>
          <w:i w:val="0"/>
          <w:lang w:val="fr-CA"/>
        </w:rPr>
        <w:t>et</w:t>
      </w:r>
      <w:r w:rsidRPr="00BE688E">
        <w:rPr>
          <w:rStyle w:val="SCCCounselNameChar"/>
          <w:rFonts w:eastAsiaTheme="majorEastAsia"/>
          <w:lang w:val="fr-CA"/>
        </w:rPr>
        <w:t xml:space="preserve"> Sam </w:t>
      </w:r>
      <w:proofErr w:type="spellStart"/>
      <w:r w:rsidRPr="00BE688E">
        <w:rPr>
          <w:rStyle w:val="SCCCounselNameChar"/>
          <w:rFonts w:eastAsiaTheme="majorEastAsia"/>
          <w:lang w:val="fr-CA"/>
        </w:rPr>
        <w:t>Johansen</w:t>
      </w:r>
      <w:proofErr w:type="spellEnd"/>
      <w:r w:rsidRPr="00BE688E">
        <w:rPr>
          <w:rStyle w:val="SCCCounselNameChar"/>
          <w:rFonts w:eastAsiaTheme="majorEastAsia"/>
          <w:lang w:val="fr-CA"/>
        </w:rPr>
        <w:t>,</w:t>
      </w:r>
      <w:r w:rsidRPr="00BE688E">
        <w:rPr>
          <w:rStyle w:val="SCCCounselPartyRoleChar"/>
          <w:lang w:val="fr-CA"/>
        </w:rPr>
        <w:t xml:space="preserve"> pour les intervenantes l’Association canadienne des annonceurs et Alliance of Canadian </w:t>
      </w:r>
      <w:proofErr w:type="spellStart"/>
      <w:r w:rsidRPr="00BE688E">
        <w:rPr>
          <w:rStyle w:val="SCCCounselPartyRoleChar"/>
          <w:lang w:val="fr-CA"/>
        </w:rPr>
        <w:t>Cinema</w:t>
      </w:r>
      <w:proofErr w:type="spellEnd"/>
      <w:r w:rsidRPr="00BE688E">
        <w:rPr>
          <w:rStyle w:val="SCCCounselPartyRoleChar"/>
          <w:lang w:val="fr-CA"/>
        </w:rPr>
        <w:t xml:space="preserve">, </w:t>
      </w:r>
      <w:proofErr w:type="spellStart"/>
      <w:r w:rsidRPr="00BE688E">
        <w:rPr>
          <w:rStyle w:val="SCCCounselPartyRoleChar"/>
          <w:lang w:val="fr-CA"/>
        </w:rPr>
        <w:t>Television</w:t>
      </w:r>
      <w:proofErr w:type="spellEnd"/>
      <w:r w:rsidRPr="00BE688E">
        <w:rPr>
          <w:rStyle w:val="SCCCounselPartyRoleChar"/>
          <w:lang w:val="fr-CA"/>
        </w:rPr>
        <w:t xml:space="preserve"> and Radio Artists.</w:t>
      </w:r>
    </w:p>
    <w:p w:rsidR="005F030A" w:rsidRPr="00BE688E" w:rsidRDefault="005F030A" w:rsidP="005F030A">
      <w:pPr>
        <w:pStyle w:val="SCCNormalDoubleSpacing"/>
        <w:spacing w:after="480"/>
        <w:rPr>
          <w:lang w:val="fr-CA"/>
        </w:rPr>
      </w:pPr>
      <w:r>
        <w:rPr>
          <w:rStyle w:val="SCCCounselNameChar"/>
          <w:rFonts w:eastAsiaTheme="majorEastAsia"/>
          <w:lang w:val="fr-CA"/>
        </w:rPr>
        <w:tab/>
      </w:r>
      <w:r w:rsidRPr="00BE688E">
        <w:rPr>
          <w:rStyle w:val="SCCCounselNameChar"/>
          <w:rFonts w:eastAsiaTheme="majorEastAsia"/>
          <w:lang w:val="fr-CA"/>
        </w:rPr>
        <w:t xml:space="preserve">James </w:t>
      </w:r>
      <w:proofErr w:type="spellStart"/>
      <w:r w:rsidRPr="00BE688E">
        <w:rPr>
          <w:rStyle w:val="SCCCounselNameChar"/>
          <w:rFonts w:eastAsiaTheme="majorEastAsia"/>
          <w:lang w:val="fr-CA"/>
        </w:rPr>
        <w:t>Plotkin</w:t>
      </w:r>
      <w:proofErr w:type="spellEnd"/>
      <w:r w:rsidRPr="00BE688E">
        <w:rPr>
          <w:rStyle w:val="SCCCounselNameChar"/>
          <w:rFonts w:eastAsiaTheme="majorEastAsia"/>
          <w:lang w:val="fr-CA"/>
        </w:rPr>
        <w:t xml:space="preserve"> </w:t>
      </w:r>
      <w:r w:rsidRPr="005F3232">
        <w:rPr>
          <w:rStyle w:val="SCCCounselNameChar"/>
          <w:rFonts w:eastAsiaTheme="majorEastAsia"/>
          <w:i w:val="0"/>
          <w:lang w:val="fr-CA"/>
        </w:rPr>
        <w:t>et</w:t>
      </w:r>
      <w:r w:rsidRPr="00BE688E">
        <w:rPr>
          <w:rStyle w:val="SCCCounselNameChar"/>
          <w:rFonts w:eastAsiaTheme="majorEastAsia"/>
          <w:lang w:val="fr-CA"/>
        </w:rPr>
        <w:t xml:space="preserve"> Alyssa </w:t>
      </w:r>
      <w:proofErr w:type="spellStart"/>
      <w:r w:rsidRPr="00BE688E">
        <w:rPr>
          <w:rStyle w:val="SCCCounselNameChar"/>
          <w:rFonts w:eastAsiaTheme="majorEastAsia"/>
          <w:lang w:val="fr-CA"/>
        </w:rPr>
        <w:t>Tomkins</w:t>
      </w:r>
      <w:proofErr w:type="spellEnd"/>
      <w:r w:rsidRPr="00BE688E">
        <w:rPr>
          <w:rStyle w:val="SCCCounselPartyRoleChar"/>
          <w:lang w:val="fr-CA"/>
        </w:rPr>
        <w:t>, pour l’intervenante la Clinique d’intérêt public et de politique d’internet du Canada Samuelson</w:t>
      </w:r>
      <w:r>
        <w:rPr>
          <w:rStyle w:val="SCCCounselPartyRoleChar"/>
          <w:lang w:val="fr-CA"/>
        </w:rPr>
        <w:noBreakHyphen/>
      </w:r>
      <w:proofErr w:type="spellStart"/>
      <w:r w:rsidRPr="00BE688E">
        <w:rPr>
          <w:rStyle w:val="SCCCounselPartyRoleChar"/>
          <w:lang w:val="fr-CA"/>
        </w:rPr>
        <w:t>Glushko</w:t>
      </w:r>
      <w:proofErr w:type="spellEnd"/>
      <w:r w:rsidRPr="00BE688E">
        <w:rPr>
          <w:rStyle w:val="SCCCounselPartyRoleChar"/>
          <w:lang w:val="fr-CA"/>
        </w:rPr>
        <w:t>.</w:t>
      </w:r>
    </w:p>
    <w:p w:rsidR="005F030A" w:rsidRPr="00BE688E" w:rsidRDefault="005F030A" w:rsidP="005F030A">
      <w:pPr>
        <w:pStyle w:val="SCCNormalDoubleSpacing"/>
        <w:spacing w:after="480"/>
        <w:rPr>
          <w:rStyle w:val="SCCCounselPartyRoleChar"/>
          <w:lang w:val="fr-CA"/>
        </w:rPr>
      </w:pPr>
      <w:r w:rsidRPr="00BE688E">
        <w:rPr>
          <w:rStyle w:val="SCCCounselNameChar"/>
          <w:lang w:val="fr-CA"/>
        </w:rPr>
        <w:lastRenderedPageBreak/>
        <w:tab/>
        <w:t xml:space="preserve">Guy </w:t>
      </w:r>
      <w:proofErr w:type="spellStart"/>
      <w:r w:rsidRPr="00BE688E">
        <w:rPr>
          <w:rStyle w:val="SCCCounselNameChar"/>
          <w:lang w:val="fr-CA"/>
        </w:rPr>
        <w:t>Régimbald</w:t>
      </w:r>
      <w:proofErr w:type="spellEnd"/>
      <w:r w:rsidRPr="005F3232">
        <w:rPr>
          <w:rStyle w:val="SCCCounselNameChar"/>
          <w:i w:val="0"/>
          <w:lang w:val="fr-CA"/>
        </w:rPr>
        <w:t>,</w:t>
      </w:r>
      <w:r w:rsidRPr="00BE688E">
        <w:rPr>
          <w:rStyle w:val="SCCCounselNameChar"/>
          <w:lang w:val="fr-CA"/>
        </w:rPr>
        <w:t xml:space="preserve"> </w:t>
      </w:r>
      <w:r w:rsidRPr="00BE688E">
        <w:rPr>
          <w:rStyle w:val="SCCCounselPartyRoleChar"/>
          <w:lang w:val="fr-CA"/>
        </w:rPr>
        <w:t>pour l’intervenante l’Association du Barreau canadien.</w:t>
      </w:r>
    </w:p>
    <w:p w:rsidR="005F030A" w:rsidRPr="00BE688E" w:rsidRDefault="005F030A" w:rsidP="005F030A">
      <w:pPr>
        <w:pStyle w:val="SCCNormalDoubleSpacing"/>
        <w:spacing w:after="480"/>
        <w:rPr>
          <w:rStyle w:val="SCCCounselPartyRoleChar"/>
          <w:lang w:val="fr-CA"/>
        </w:rPr>
      </w:pPr>
      <w:r w:rsidRPr="00BE688E">
        <w:rPr>
          <w:rStyle w:val="SCCCounselNameChar"/>
          <w:lang w:val="fr-CA"/>
        </w:rPr>
        <w:tab/>
      </w:r>
      <w:r w:rsidRPr="00BE688E">
        <w:rPr>
          <w:lang w:val="fr-CA"/>
        </w:rPr>
        <w:t xml:space="preserve">Argumentation écrite seulement par </w:t>
      </w:r>
      <w:r w:rsidRPr="00BE688E">
        <w:rPr>
          <w:rStyle w:val="SCCCounselNameChar"/>
          <w:rFonts w:eastAsiaTheme="majorEastAsia"/>
          <w:lang w:val="fr-CA"/>
        </w:rPr>
        <w:t xml:space="preserve">Christian Leblanc </w:t>
      </w:r>
      <w:r w:rsidRPr="005F3232">
        <w:rPr>
          <w:rStyle w:val="SCCCounselNameChar"/>
          <w:rFonts w:eastAsiaTheme="majorEastAsia"/>
          <w:i w:val="0"/>
          <w:lang w:val="fr-CA"/>
        </w:rPr>
        <w:t>et</w:t>
      </w:r>
      <w:r w:rsidRPr="00BE688E">
        <w:rPr>
          <w:rStyle w:val="SCCCounselNameChar"/>
          <w:rFonts w:eastAsiaTheme="majorEastAsia"/>
          <w:lang w:val="fr-CA"/>
        </w:rPr>
        <w:t xml:space="preserve"> Michael Shortt,</w:t>
      </w:r>
      <w:r w:rsidRPr="00BE688E">
        <w:rPr>
          <w:rStyle w:val="SCCCounselPartyRoleChar"/>
          <w:lang w:val="fr-CA"/>
        </w:rPr>
        <w:t xml:space="preserve"> pour les intervenants Blue </w:t>
      </w:r>
      <w:proofErr w:type="spellStart"/>
      <w:r w:rsidRPr="00BE688E">
        <w:rPr>
          <w:rStyle w:val="SCCCounselPartyRoleChar"/>
          <w:lang w:val="fr-CA"/>
        </w:rPr>
        <w:t>Ant</w:t>
      </w:r>
      <w:proofErr w:type="spellEnd"/>
      <w:r w:rsidRPr="00BE688E">
        <w:rPr>
          <w:rStyle w:val="SCCCounselPartyRoleChar"/>
          <w:lang w:val="fr-CA"/>
        </w:rPr>
        <w:t xml:space="preserve"> Media Inc., la Société Radio</w:t>
      </w:r>
      <w:r>
        <w:rPr>
          <w:rStyle w:val="SCCCounselPartyRoleChar"/>
          <w:lang w:val="fr-CA"/>
        </w:rPr>
        <w:noBreakHyphen/>
      </w:r>
      <w:r w:rsidRPr="00BE688E">
        <w:rPr>
          <w:rStyle w:val="SCCCounselPartyRoleChar"/>
          <w:lang w:val="fr-CA"/>
        </w:rPr>
        <w:t xml:space="preserve">Canada, DHX Media Ltd., le Groupe V Média </w:t>
      </w:r>
      <w:proofErr w:type="spellStart"/>
      <w:r w:rsidRPr="00BE688E">
        <w:rPr>
          <w:rStyle w:val="SCCCounselPartyRoleChar"/>
          <w:lang w:val="fr-CA"/>
        </w:rPr>
        <w:t>inc.</w:t>
      </w:r>
      <w:proofErr w:type="spellEnd"/>
      <w:r w:rsidRPr="00BE688E">
        <w:rPr>
          <w:rStyle w:val="SCCCounselPartyRoleChar"/>
          <w:lang w:val="fr-CA"/>
        </w:rPr>
        <w:t xml:space="preserve">, le Groupe de diffuseurs indépendants, </w:t>
      </w:r>
      <w:proofErr w:type="spellStart"/>
      <w:r w:rsidRPr="00BE688E">
        <w:rPr>
          <w:rStyle w:val="SCCCounselPartyRoleChar"/>
          <w:lang w:val="fr-CA"/>
        </w:rPr>
        <w:t>Aboriginal</w:t>
      </w:r>
      <w:proofErr w:type="spellEnd"/>
      <w:r w:rsidRPr="00BE688E">
        <w:rPr>
          <w:rStyle w:val="SCCCounselPartyRoleChar"/>
          <w:lang w:val="fr-CA"/>
        </w:rPr>
        <w:t xml:space="preserve"> Peoples </w:t>
      </w:r>
      <w:proofErr w:type="spellStart"/>
      <w:r w:rsidRPr="00BE688E">
        <w:rPr>
          <w:rStyle w:val="SCCCounselPartyRoleChar"/>
          <w:lang w:val="fr-CA"/>
        </w:rPr>
        <w:t>Television</w:t>
      </w:r>
      <w:proofErr w:type="spellEnd"/>
      <w:r w:rsidRPr="00BE688E">
        <w:rPr>
          <w:rStyle w:val="SCCCounselPartyRoleChar"/>
          <w:lang w:val="fr-CA"/>
        </w:rPr>
        <w:t xml:space="preserve"> Network, </w:t>
      </w:r>
      <w:proofErr w:type="spellStart"/>
      <w:r w:rsidRPr="00BE688E">
        <w:rPr>
          <w:rStyle w:val="SCCCounselPartyRoleChar"/>
          <w:lang w:val="fr-CA"/>
        </w:rPr>
        <w:t>Allarco</w:t>
      </w:r>
      <w:proofErr w:type="spellEnd"/>
      <w:r w:rsidRPr="00BE688E">
        <w:rPr>
          <w:rStyle w:val="SCCCounselPartyRoleChar"/>
          <w:lang w:val="fr-CA"/>
        </w:rPr>
        <w:t xml:space="preserve"> Entertainment Inc., BBC Kids, Channel </w:t>
      </w:r>
      <w:proofErr w:type="spellStart"/>
      <w:r w:rsidRPr="00BE688E">
        <w:rPr>
          <w:rStyle w:val="SCCCounselPartyRoleChar"/>
          <w:lang w:val="fr-CA"/>
        </w:rPr>
        <w:t>Zero</w:t>
      </w:r>
      <w:proofErr w:type="spellEnd"/>
      <w:r w:rsidRPr="00BE688E">
        <w:rPr>
          <w:rStyle w:val="SCCCounselPartyRoleChar"/>
          <w:lang w:val="fr-CA"/>
        </w:rPr>
        <w:t xml:space="preserve">, </w:t>
      </w:r>
      <w:proofErr w:type="spellStart"/>
      <w:r w:rsidRPr="00BE688E">
        <w:rPr>
          <w:rStyle w:val="SCCCounselPartyRoleChar"/>
          <w:lang w:val="fr-CA"/>
        </w:rPr>
        <w:t>Ethnic</w:t>
      </w:r>
      <w:proofErr w:type="spellEnd"/>
      <w:r w:rsidRPr="00BE688E">
        <w:rPr>
          <w:rStyle w:val="SCCCounselPartyRoleChar"/>
          <w:lang w:val="fr-CA"/>
        </w:rPr>
        <w:t xml:space="preserve"> </w:t>
      </w:r>
      <w:proofErr w:type="spellStart"/>
      <w:r w:rsidRPr="00BE688E">
        <w:rPr>
          <w:rStyle w:val="SCCCounselPartyRoleChar"/>
          <w:lang w:val="fr-CA"/>
        </w:rPr>
        <w:t>Channels</w:t>
      </w:r>
      <w:proofErr w:type="spellEnd"/>
      <w:r w:rsidRPr="00BE688E">
        <w:rPr>
          <w:rStyle w:val="SCCCounselPartyRoleChar"/>
          <w:lang w:val="fr-CA"/>
        </w:rPr>
        <w:t xml:space="preserve"> Group Ltd., Hollywood Suite, </w:t>
      </w:r>
      <w:proofErr w:type="spellStart"/>
      <w:r w:rsidRPr="00BE688E">
        <w:rPr>
          <w:rStyle w:val="SCCCounselPartyRoleChar"/>
          <w:lang w:val="fr-CA"/>
        </w:rPr>
        <w:t>OUTtv</w:t>
      </w:r>
      <w:proofErr w:type="spellEnd"/>
      <w:r w:rsidRPr="00BE688E">
        <w:rPr>
          <w:rStyle w:val="SCCCounselPartyRoleChar"/>
          <w:lang w:val="fr-CA"/>
        </w:rPr>
        <w:t xml:space="preserve"> Network Inc., le Groupe </w:t>
      </w:r>
      <w:proofErr w:type="spellStart"/>
      <w:r w:rsidRPr="00BE688E">
        <w:rPr>
          <w:rStyle w:val="SCCCounselPartyRoleChar"/>
          <w:lang w:val="fr-CA"/>
        </w:rPr>
        <w:t>Stingray</w:t>
      </w:r>
      <w:proofErr w:type="spellEnd"/>
      <w:r w:rsidRPr="00BE688E">
        <w:rPr>
          <w:rStyle w:val="SCCCounselPartyRoleChar"/>
          <w:lang w:val="fr-CA"/>
        </w:rPr>
        <w:t xml:space="preserve"> Digital </w:t>
      </w:r>
      <w:proofErr w:type="spellStart"/>
      <w:r w:rsidRPr="00BE688E">
        <w:rPr>
          <w:rStyle w:val="SCCCounselPartyRoleChar"/>
          <w:lang w:val="fr-CA"/>
        </w:rPr>
        <w:t>inc.</w:t>
      </w:r>
      <w:proofErr w:type="spellEnd"/>
      <w:r w:rsidRPr="00BE688E">
        <w:rPr>
          <w:rStyle w:val="SCCCounselPartyRoleChar"/>
          <w:lang w:val="fr-CA"/>
        </w:rPr>
        <w:t xml:space="preserve">, TV5 Québec Canada, </w:t>
      </w:r>
      <w:proofErr w:type="spellStart"/>
      <w:r w:rsidRPr="00BE688E">
        <w:rPr>
          <w:rStyle w:val="SCCCounselPartyRoleChar"/>
          <w:lang w:val="fr-CA"/>
        </w:rPr>
        <w:t>ZoomerMedia</w:t>
      </w:r>
      <w:proofErr w:type="spellEnd"/>
      <w:r w:rsidRPr="00BE688E">
        <w:rPr>
          <w:rStyle w:val="SCCCounselPartyRoleChar"/>
          <w:lang w:val="fr-CA"/>
        </w:rPr>
        <w:t xml:space="preserve"> Ltd. et le Réseau de stations météorologiques </w:t>
      </w:r>
      <w:proofErr w:type="spellStart"/>
      <w:r w:rsidRPr="00BE688E">
        <w:rPr>
          <w:rStyle w:val="SCCCounselPartyRoleChar"/>
          <w:lang w:val="fr-CA"/>
        </w:rPr>
        <w:t>Pelmorex</w:t>
      </w:r>
      <w:proofErr w:type="spellEnd"/>
      <w:r w:rsidRPr="00BE688E">
        <w:rPr>
          <w:rStyle w:val="SCCCounselPartyRoleChar"/>
          <w:lang w:val="fr-CA"/>
        </w:rPr>
        <w:t xml:space="preserve"> (Télévision) </w:t>
      </w:r>
      <w:proofErr w:type="spellStart"/>
      <w:r w:rsidRPr="00BE688E">
        <w:rPr>
          <w:rStyle w:val="SCCCounselPartyRoleChar"/>
          <w:lang w:val="fr-CA"/>
        </w:rPr>
        <w:t>inc.</w:t>
      </w:r>
      <w:proofErr w:type="spellEnd"/>
      <w:r w:rsidRPr="00BE688E">
        <w:rPr>
          <w:rStyle w:val="SCCCounselPartyRoleChar"/>
          <w:lang w:val="fr-CA"/>
        </w:rPr>
        <w:t xml:space="preserve"> (37896).</w:t>
      </w:r>
    </w:p>
    <w:p w:rsidR="005F030A" w:rsidRPr="00BE688E" w:rsidRDefault="005F030A" w:rsidP="005F030A">
      <w:pPr>
        <w:pStyle w:val="SCCNormalDoubleSpacing"/>
        <w:spacing w:after="480"/>
        <w:rPr>
          <w:rStyle w:val="SCCCounselPartyRoleChar"/>
          <w:lang w:val="fr-CA"/>
        </w:rPr>
      </w:pPr>
      <w:r w:rsidRPr="00BE688E">
        <w:rPr>
          <w:rStyle w:val="SCCCounselNameChar"/>
          <w:lang w:val="fr-CA"/>
        </w:rPr>
        <w:tab/>
        <w:t xml:space="preserve">Nicholas </w:t>
      </w:r>
      <w:proofErr w:type="spellStart"/>
      <w:r w:rsidRPr="00BE688E">
        <w:rPr>
          <w:rStyle w:val="SCCCounselNameChar"/>
          <w:lang w:val="fr-CA"/>
        </w:rPr>
        <w:t>McHaffie</w:t>
      </w:r>
      <w:proofErr w:type="spellEnd"/>
      <w:r w:rsidRPr="00BE688E">
        <w:rPr>
          <w:rStyle w:val="SCCCounselPartyRoleChar"/>
          <w:lang w:val="fr-CA"/>
        </w:rPr>
        <w:t>, pour l’intervenante la Société de soutien à l’enfance et à la famille des Premières Nations du Canada.</w:t>
      </w:r>
    </w:p>
    <w:p w:rsidR="005F030A" w:rsidRDefault="0011734B" w:rsidP="005F030A">
      <w:pPr>
        <w:pStyle w:val="SCCNormalDoubleSpacing"/>
        <w:spacing w:after="480"/>
        <w:rPr>
          <w:rStyle w:val="SCCCounselPartyRoleChar"/>
          <w:lang w:val="fr-CA"/>
        </w:rPr>
      </w:pPr>
      <w:r>
        <w:rPr>
          <w:rStyle w:val="SCCCounselNameChar"/>
          <w:lang w:val="fr-CA"/>
        </w:rPr>
        <w:tab/>
        <w:t xml:space="preserve">Daniel </w:t>
      </w:r>
      <w:proofErr w:type="spellStart"/>
      <w:r>
        <w:rPr>
          <w:rStyle w:val="SCCCounselNameChar"/>
          <w:lang w:val="fr-CA"/>
        </w:rPr>
        <w:t>Jutras</w:t>
      </w:r>
      <w:proofErr w:type="spellEnd"/>
      <w:r w:rsidRPr="0011734B">
        <w:rPr>
          <w:rStyle w:val="SCCCounselNameChar"/>
          <w:i w:val="0"/>
          <w:lang w:val="fr-CA"/>
        </w:rPr>
        <w:t>,</w:t>
      </w:r>
      <w:r>
        <w:rPr>
          <w:rStyle w:val="SCCCounselNameChar"/>
          <w:lang w:val="fr-CA"/>
        </w:rPr>
        <w:t xml:space="preserve"> </w:t>
      </w:r>
      <w:r w:rsidR="005F030A" w:rsidRPr="00BE688E">
        <w:rPr>
          <w:rStyle w:val="SCCCounselNameChar"/>
          <w:lang w:val="fr-CA"/>
        </w:rPr>
        <w:t xml:space="preserve">Audrey </w:t>
      </w:r>
      <w:proofErr w:type="spellStart"/>
      <w:r w:rsidR="005F030A" w:rsidRPr="00BE688E">
        <w:rPr>
          <w:rStyle w:val="SCCCounselNameChar"/>
          <w:lang w:val="fr-CA"/>
        </w:rPr>
        <w:t>Boctor</w:t>
      </w:r>
      <w:proofErr w:type="spellEnd"/>
      <w:r>
        <w:rPr>
          <w:rStyle w:val="SCCCounselPartyRoleChar"/>
          <w:lang w:val="fr-CA"/>
        </w:rPr>
        <w:t xml:space="preserve">, </w:t>
      </w:r>
      <w:r w:rsidR="005F030A" w:rsidRPr="00BE688E">
        <w:rPr>
          <w:rStyle w:val="SCCCounselNameChar"/>
          <w:rFonts w:eastAsiaTheme="majorEastAsia"/>
          <w:lang w:val="fr-CA"/>
        </w:rPr>
        <w:t xml:space="preserve">Olga </w:t>
      </w:r>
      <w:proofErr w:type="spellStart"/>
      <w:r w:rsidR="005F030A" w:rsidRPr="00BE688E">
        <w:rPr>
          <w:rStyle w:val="SCCCounselNameChar"/>
          <w:rFonts w:eastAsiaTheme="majorEastAsia"/>
          <w:lang w:val="fr-CA"/>
        </w:rPr>
        <w:t>Redko</w:t>
      </w:r>
      <w:proofErr w:type="spellEnd"/>
      <w:r w:rsidR="005F030A" w:rsidRPr="00BE688E">
        <w:rPr>
          <w:rStyle w:val="SCCCounselNameChar"/>
          <w:rFonts w:eastAsiaTheme="majorEastAsia"/>
          <w:lang w:val="fr-CA"/>
        </w:rPr>
        <w:t xml:space="preserve"> </w:t>
      </w:r>
      <w:r w:rsidR="005F030A" w:rsidRPr="0011734B">
        <w:rPr>
          <w:rStyle w:val="SCCCounselNameChar"/>
          <w:rFonts w:eastAsiaTheme="majorEastAsia"/>
          <w:i w:val="0"/>
          <w:lang w:val="fr-CA"/>
        </w:rPr>
        <w:t>et</w:t>
      </w:r>
      <w:r w:rsidR="005F030A" w:rsidRPr="00BE688E">
        <w:rPr>
          <w:rStyle w:val="SCCCounselNameChar"/>
          <w:rFonts w:eastAsiaTheme="majorEastAsia"/>
          <w:lang w:val="fr-CA"/>
        </w:rPr>
        <w:t xml:space="preserve"> Edward </w:t>
      </w:r>
      <w:proofErr w:type="spellStart"/>
      <w:r w:rsidR="005F030A" w:rsidRPr="00BE688E">
        <w:rPr>
          <w:rStyle w:val="SCCCounselNameChar"/>
          <w:rFonts w:eastAsiaTheme="majorEastAsia"/>
          <w:lang w:val="fr-CA"/>
        </w:rPr>
        <w:t>Béchard</w:t>
      </w:r>
      <w:proofErr w:type="spellEnd"/>
      <w:r w:rsidR="005F030A" w:rsidRPr="00BE688E">
        <w:rPr>
          <w:rStyle w:val="SCCCounselNameChar"/>
          <w:rFonts w:eastAsiaTheme="majorEastAsia"/>
          <w:lang w:val="fr-CA"/>
        </w:rPr>
        <w:t xml:space="preserve"> Torres</w:t>
      </w:r>
      <w:r>
        <w:rPr>
          <w:rStyle w:val="SCCCounselPartyRoleChar"/>
          <w:lang w:val="fr-CA"/>
        </w:rPr>
        <w:t xml:space="preserve">, </w:t>
      </w:r>
      <w:r w:rsidRPr="00BE688E">
        <w:rPr>
          <w:rStyle w:val="SCCCounselPartyRoleChar"/>
          <w:lang w:val="fr-CA"/>
        </w:rPr>
        <w:t xml:space="preserve">en qualité </w:t>
      </w:r>
      <w:proofErr w:type="spellStart"/>
      <w:r w:rsidRPr="00BE688E">
        <w:rPr>
          <w:rStyle w:val="SCCCounselPartyRoleChar"/>
          <w:lang w:val="fr-CA"/>
        </w:rPr>
        <w:t>d’</w:t>
      </w:r>
      <w:r w:rsidRPr="00BE688E">
        <w:rPr>
          <w:rStyle w:val="SCCCounselPartyRoleChar"/>
          <w:i/>
          <w:lang w:val="fr-CA"/>
        </w:rPr>
        <w:t>amici</w:t>
      </w:r>
      <w:proofErr w:type="spellEnd"/>
      <w:r w:rsidRPr="00BE688E">
        <w:rPr>
          <w:rStyle w:val="SCCCounselPartyRoleChar"/>
          <w:i/>
          <w:lang w:val="fr-CA"/>
        </w:rPr>
        <w:t xml:space="preserve"> </w:t>
      </w:r>
      <w:proofErr w:type="spellStart"/>
      <w:r w:rsidRPr="00BE688E">
        <w:rPr>
          <w:rStyle w:val="SCCCounselPartyRoleChar"/>
          <w:i/>
          <w:lang w:val="fr-CA"/>
        </w:rPr>
        <w:t>curiae</w:t>
      </w:r>
      <w:proofErr w:type="spellEnd"/>
      <w:r>
        <w:rPr>
          <w:rStyle w:val="SCCCounselPartyRoleChar"/>
          <w:i/>
          <w:lang w:val="fr-CA"/>
        </w:rPr>
        <w:t>.</w:t>
      </w:r>
    </w:p>
    <w:p w:rsidR="005F030A" w:rsidRPr="00ED159F" w:rsidRDefault="00ED159F" w:rsidP="00ED159F">
      <w:pPr>
        <w:pStyle w:val="SCCNormalDoubleSpacing"/>
        <w:spacing w:after="480"/>
        <w:rPr>
          <w:rFonts w:eastAsia="Calibri"/>
          <w:lang w:val="fr-CA"/>
        </w:rPr>
      </w:pPr>
      <w:r>
        <w:rPr>
          <w:rStyle w:val="SCCCounselPartyRoleChar"/>
          <w:rFonts w:eastAsia="Calibri"/>
          <w:lang w:val="fr-CA"/>
        </w:rPr>
        <w:tab/>
      </w:r>
      <w:r w:rsidR="005F030A" w:rsidRPr="00ED159F">
        <w:rPr>
          <w:rStyle w:val="SCCCounselPartyRoleChar"/>
          <w:rFonts w:eastAsia="Calibri"/>
          <w:lang w:val="fr-CA"/>
        </w:rPr>
        <w:t>Version française du jugement rendu par</w:t>
      </w:r>
    </w:p>
    <w:p w:rsidR="005F030A" w:rsidRPr="00E739DA" w:rsidRDefault="005F7DB7" w:rsidP="00205E10">
      <w:pPr>
        <w:pStyle w:val="ParaNoNdepar-AltN"/>
        <w:rPr>
          <w:rFonts w:cs="Times New Roman"/>
          <w:lang w:val="fr-CA"/>
        </w:rPr>
      </w:pPr>
      <w:r>
        <w:rPr>
          <w:smallCaps/>
          <w:lang w:val="fr-CA"/>
        </w:rPr>
        <w:t>L</w:t>
      </w:r>
      <w:r w:rsidR="00ED159F" w:rsidRPr="00205E10">
        <w:rPr>
          <w:smallCaps/>
          <w:lang w:val="fr-CA"/>
        </w:rPr>
        <w:t xml:space="preserve">e juge en chef et les juges </w:t>
      </w:r>
      <w:proofErr w:type="spellStart"/>
      <w:r>
        <w:rPr>
          <w:smallCaps/>
          <w:lang w:val="fr-CA"/>
        </w:rPr>
        <w:t>M</w:t>
      </w:r>
      <w:r w:rsidR="00ED159F" w:rsidRPr="00205E10">
        <w:rPr>
          <w:smallCaps/>
          <w:lang w:val="fr-CA"/>
        </w:rPr>
        <w:t>oldaver</w:t>
      </w:r>
      <w:proofErr w:type="spellEnd"/>
      <w:r w:rsidR="00ED159F" w:rsidRPr="00205E10">
        <w:rPr>
          <w:smallCaps/>
          <w:lang w:val="fr-CA"/>
        </w:rPr>
        <w:t xml:space="preserve">, </w:t>
      </w:r>
      <w:r>
        <w:rPr>
          <w:smallCaps/>
          <w:lang w:val="fr-CA"/>
        </w:rPr>
        <w:t>G</w:t>
      </w:r>
      <w:r w:rsidR="00ED159F" w:rsidRPr="00205E10">
        <w:rPr>
          <w:smallCaps/>
          <w:lang w:val="fr-CA"/>
        </w:rPr>
        <w:t xml:space="preserve">ascon, </w:t>
      </w:r>
      <w:r>
        <w:rPr>
          <w:smallCaps/>
          <w:lang w:val="fr-CA"/>
        </w:rPr>
        <w:t>C</w:t>
      </w:r>
      <w:r w:rsidR="00ED159F" w:rsidRPr="00205E10">
        <w:rPr>
          <w:smallCaps/>
          <w:lang w:val="fr-CA"/>
        </w:rPr>
        <w:t xml:space="preserve">ôté, </w:t>
      </w:r>
      <w:r>
        <w:rPr>
          <w:smallCaps/>
          <w:lang w:val="fr-CA"/>
        </w:rPr>
        <w:t>B</w:t>
      </w:r>
      <w:r w:rsidR="00ED159F" w:rsidRPr="00205E10">
        <w:rPr>
          <w:smallCaps/>
          <w:lang w:val="fr-CA"/>
        </w:rPr>
        <w:t xml:space="preserve">rown, </w:t>
      </w:r>
      <w:r>
        <w:rPr>
          <w:smallCaps/>
          <w:lang w:val="fr-CA"/>
        </w:rPr>
        <w:t>R</w:t>
      </w:r>
      <w:r w:rsidR="00ED159F" w:rsidRPr="00205E10">
        <w:rPr>
          <w:smallCaps/>
          <w:lang w:val="fr-CA"/>
        </w:rPr>
        <w:t xml:space="preserve">owe et </w:t>
      </w:r>
      <w:r>
        <w:rPr>
          <w:smallCaps/>
          <w:lang w:val="fr-CA"/>
        </w:rPr>
        <w:t>M</w:t>
      </w:r>
      <w:r w:rsidR="00ED159F" w:rsidRPr="00205E10">
        <w:rPr>
          <w:smallCaps/>
          <w:lang w:val="fr-CA"/>
        </w:rPr>
        <w:t>artin</w:t>
      </w:r>
      <w:r w:rsidR="00205E10" w:rsidRPr="00205E10">
        <w:rPr>
          <w:smallCaps/>
          <w:lang w:val="fr-CA"/>
        </w:rPr>
        <w:t xml:space="preserve"> —</w:t>
      </w:r>
      <w:r w:rsidR="00205E10">
        <w:rPr>
          <w:lang w:val="fr-CA"/>
        </w:rPr>
        <w:t xml:space="preserve"> </w:t>
      </w:r>
      <w:r w:rsidR="005F030A" w:rsidRPr="00E739DA">
        <w:rPr>
          <w:rFonts w:cs="Times New Roman"/>
          <w:lang w:val="fr-CA"/>
        </w:rPr>
        <w:t>Pendant plus de 40 ans, le Super </w:t>
      </w:r>
      <w:proofErr w:type="spellStart"/>
      <w:r w:rsidR="005F030A" w:rsidRPr="00E739DA">
        <w:rPr>
          <w:rFonts w:cs="Times New Roman"/>
          <w:lang w:val="fr-CA"/>
        </w:rPr>
        <w:t>Bowl</w:t>
      </w:r>
      <w:proofErr w:type="spellEnd"/>
      <w:r w:rsidR="005F030A" w:rsidRPr="00E739DA">
        <w:rPr>
          <w:rFonts w:cs="Times New Roman"/>
          <w:lang w:val="fr-CA"/>
        </w:rPr>
        <w:t>, qui se joue aux États</w:t>
      </w:r>
      <w:r w:rsidR="005F030A" w:rsidRPr="00E739DA">
        <w:rPr>
          <w:rFonts w:cs="Times New Roman"/>
          <w:lang w:val="fr-CA"/>
        </w:rPr>
        <w:noBreakHyphen/>
        <w:t xml:space="preserve">Unis, a été diffusé au Canada conformément au régime de la « substitution simultanée » établi dans divers règlements pris en vertu de la </w:t>
      </w:r>
      <w:r w:rsidR="005F030A" w:rsidRPr="00E739DA">
        <w:rPr>
          <w:rFonts w:cs="Times New Roman"/>
          <w:i/>
          <w:lang w:val="fr-CA"/>
        </w:rPr>
        <w:t>Loi sur la radiodiffusion</w:t>
      </w:r>
      <w:r w:rsidR="005F030A" w:rsidRPr="00E739DA">
        <w:rPr>
          <w:rFonts w:cs="Times New Roman"/>
          <w:lang w:val="fr-CA"/>
        </w:rPr>
        <w:t>, L.C. 1991, c. 11. En raison de ce régime, la population canadienne n</w:t>
      </w:r>
      <w:r w:rsidR="005F030A">
        <w:rPr>
          <w:rFonts w:cs="Times New Roman"/>
          <w:lang w:val="fr-CA"/>
        </w:rPr>
        <w:t>’</w:t>
      </w:r>
      <w:r w:rsidR="005F030A" w:rsidRPr="00E739DA">
        <w:rPr>
          <w:rFonts w:cs="Times New Roman"/>
          <w:lang w:val="fr-CA"/>
        </w:rPr>
        <w:t xml:space="preserve">était pas en mesure de voir les messages publicitaires hautement médiatisés qui sont présentés lors de la télédiffusion du Super </w:t>
      </w:r>
      <w:proofErr w:type="spellStart"/>
      <w:r w:rsidR="005F030A" w:rsidRPr="00E739DA">
        <w:rPr>
          <w:rFonts w:cs="Times New Roman"/>
          <w:lang w:val="fr-CA"/>
        </w:rPr>
        <w:t>Bowl</w:t>
      </w:r>
      <w:proofErr w:type="spellEnd"/>
      <w:r w:rsidR="005F030A" w:rsidRPr="00E739DA">
        <w:rPr>
          <w:rFonts w:cs="Times New Roman"/>
          <w:lang w:val="fr-CA"/>
        </w:rPr>
        <w:t xml:space="preserve"> par des stations américaines.</w:t>
      </w:r>
    </w:p>
    <w:p w:rsidR="005F030A" w:rsidRPr="00E739DA" w:rsidRDefault="005F030A" w:rsidP="005F030A">
      <w:pPr>
        <w:pStyle w:val="ParaNoNdepar-AltN"/>
        <w:spacing w:before="0"/>
        <w:rPr>
          <w:rFonts w:cs="Times New Roman"/>
          <w:lang w:val="fr-CA"/>
        </w:rPr>
      </w:pPr>
      <w:r w:rsidRPr="00E739DA">
        <w:rPr>
          <w:rFonts w:cs="Times New Roman"/>
          <w:lang w:val="fr-CA"/>
        </w:rPr>
        <w:lastRenderedPageBreak/>
        <w:t>Au terme d</w:t>
      </w:r>
      <w:r>
        <w:rPr>
          <w:rFonts w:cs="Times New Roman"/>
          <w:lang w:val="fr-CA"/>
        </w:rPr>
        <w:t>’</w:t>
      </w:r>
      <w:r w:rsidRPr="00E739DA">
        <w:rPr>
          <w:rFonts w:cs="Times New Roman"/>
          <w:lang w:val="fr-CA"/>
        </w:rPr>
        <w:t xml:space="preserve">un long processus de consultations, le </w:t>
      </w:r>
      <w:r w:rsidRPr="00E739DA">
        <w:rPr>
          <w:rFonts w:cs="Times New Roman"/>
          <w:lang w:val="fr-FR"/>
        </w:rPr>
        <w:t>Conseil de la radiodiffusion et des télécommunications canadiennes</w:t>
      </w:r>
      <w:r w:rsidRPr="00E739DA">
        <w:rPr>
          <w:rFonts w:cs="Times New Roman"/>
          <w:lang w:val="fr-CA"/>
        </w:rPr>
        <w:t xml:space="preserve"> (« CRTC ») a décidé que la diffusion du Super </w:t>
      </w:r>
      <w:proofErr w:type="spellStart"/>
      <w:r w:rsidRPr="00E739DA">
        <w:rPr>
          <w:rFonts w:cs="Times New Roman"/>
          <w:lang w:val="fr-CA"/>
        </w:rPr>
        <w:t>Bowl</w:t>
      </w:r>
      <w:proofErr w:type="spellEnd"/>
      <w:r w:rsidRPr="00E739DA">
        <w:rPr>
          <w:rFonts w:cs="Times New Roman"/>
          <w:lang w:val="fr-CA"/>
        </w:rPr>
        <w:t xml:space="preserve"> devait être exemptée du régime de substitution simultanée à compter du 1</w:t>
      </w:r>
      <w:r w:rsidRPr="00E739DA">
        <w:rPr>
          <w:rFonts w:cs="Times New Roman"/>
          <w:vertAlign w:val="superscript"/>
          <w:lang w:val="fr-CA"/>
        </w:rPr>
        <w:t>er</w:t>
      </w:r>
      <w:r>
        <w:rPr>
          <w:rFonts w:cs="Times New Roman"/>
          <w:lang w:val="fr-CA"/>
        </w:rPr>
        <w:t> </w:t>
      </w:r>
      <w:r w:rsidRPr="00E739DA">
        <w:rPr>
          <w:rFonts w:cs="Times New Roman"/>
          <w:lang w:val="fr-CA"/>
        </w:rPr>
        <w:t>janvier 2017 (« Décision définitive ») afin que la population canadienne puisse regarder la télédiffusion américaine de cet événement et ainsi voir les messages publicitaires américains</w:t>
      </w:r>
      <w:r>
        <w:rPr>
          <w:rFonts w:cs="Times New Roman"/>
          <w:lang w:val="fr-CA"/>
        </w:rPr>
        <w:t xml:space="preserve"> </w:t>
      </w:r>
      <w:r w:rsidRPr="00E739DA">
        <w:rPr>
          <w:rFonts w:cs="Times New Roman"/>
          <w:lang w:val="fr-CA"/>
        </w:rPr>
        <w:t>—</w:t>
      </w:r>
      <w:r>
        <w:rPr>
          <w:rFonts w:cs="Times New Roman"/>
          <w:lang w:val="fr-CA"/>
        </w:rPr>
        <w:t xml:space="preserve"> </w:t>
      </w:r>
      <w:r w:rsidRPr="00E739DA">
        <w:rPr>
          <w:rFonts w:cs="Times New Roman"/>
          <w:lang w:val="fr-CA"/>
        </w:rPr>
        <w:t>messages publicitaires que le CRTC décrit comme constituant « un élément intégral de l</w:t>
      </w:r>
      <w:r>
        <w:rPr>
          <w:rFonts w:cs="Times New Roman"/>
          <w:lang w:val="fr-CA"/>
        </w:rPr>
        <w:t>’</w:t>
      </w:r>
      <w:r w:rsidRPr="00E739DA">
        <w:rPr>
          <w:rFonts w:cs="Times New Roman"/>
          <w:lang w:val="fr-CA"/>
        </w:rPr>
        <w:t>événement ». Il a mis en œuvre cette décision au moyen d</w:t>
      </w:r>
      <w:r>
        <w:rPr>
          <w:rFonts w:cs="Times New Roman"/>
          <w:lang w:val="fr-CA"/>
        </w:rPr>
        <w:t>’</w:t>
      </w:r>
      <w:r w:rsidRPr="00E739DA">
        <w:rPr>
          <w:rFonts w:cs="Times New Roman"/>
          <w:lang w:val="fr-CA"/>
        </w:rPr>
        <w:t>une ordonnance (« Ordonnance définitive ») rendue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disposition qui prévoit que le CRTC peut obliger les fournisseurs de services de télévision à « </w:t>
      </w:r>
      <w:r w:rsidRPr="00E739DA">
        <w:rPr>
          <w:rFonts w:cs="Times New Roman"/>
          <w:lang w:val="fr-FR"/>
        </w:rPr>
        <w:t>offrir certains services de programmation selon les modalités qu</w:t>
      </w:r>
      <w:r>
        <w:rPr>
          <w:rFonts w:cs="Times New Roman"/>
          <w:lang w:val="fr-FR"/>
        </w:rPr>
        <w:t>’</w:t>
      </w:r>
      <w:r w:rsidRPr="00E739DA">
        <w:rPr>
          <w:rFonts w:cs="Times New Roman"/>
          <w:lang w:val="fr-FR"/>
        </w:rPr>
        <w:t>il précise</w:t>
      </w:r>
      <w:r w:rsidRPr="00E739DA">
        <w:rPr>
          <w:rFonts w:cs="Times New Roman"/>
          <w:lang w:val="fr-CA"/>
        </w:rPr>
        <w:t> ».</w:t>
      </w:r>
    </w:p>
    <w:p w:rsidR="005F030A" w:rsidRPr="00E739DA" w:rsidRDefault="005F030A" w:rsidP="005F030A">
      <w:pPr>
        <w:pStyle w:val="ParaNoNdepar-AltN"/>
        <w:spacing w:before="0"/>
        <w:rPr>
          <w:rFonts w:cs="Times New Roman"/>
          <w:lang w:val="fr-CA"/>
        </w:rPr>
      </w:pPr>
      <w:r w:rsidRPr="00E739DA">
        <w:rPr>
          <w:rFonts w:cs="Times New Roman"/>
          <w:lang w:val="fr-CA"/>
        </w:rPr>
        <w:t>La principale question en litige dans les présents appels prévus par la loi consiste à décider si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xml:space="preserve"> confère au CRTC le pouvoir de rendre l</w:t>
      </w:r>
      <w:r>
        <w:rPr>
          <w:rFonts w:cs="Times New Roman"/>
          <w:lang w:val="fr-CA"/>
        </w:rPr>
        <w:t>’</w:t>
      </w:r>
      <w:r w:rsidRPr="00E739DA">
        <w:rPr>
          <w:rFonts w:cs="Times New Roman"/>
          <w:lang w:val="fr-CA"/>
        </w:rPr>
        <w:t>Ordonnance définitive. La Cour d</w:t>
      </w:r>
      <w:r>
        <w:rPr>
          <w:rFonts w:cs="Times New Roman"/>
          <w:lang w:val="fr-CA"/>
        </w:rPr>
        <w:t>’</w:t>
      </w:r>
      <w:r w:rsidRPr="00E739DA">
        <w:rPr>
          <w:rFonts w:cs="Times New Roman"/>
          <w:lang w:val="fr-CA"/>
        </w:rPr>
        <w:t>appel fédérale a répondu par l</w:t>
      </w:r>
      <w:r>
        <w:rPr>
          <w:rFonts w:cs="Times New Roman"/>
          <w:lang w:val="fr-CA"/>
        </w:rPr>
        <w:t>’</w:t>
      </w:r>
      <w:r w:rsidRPr="00E739DA">
        <w:rPr>
          <w:rFonts w:cs="Times New Roman"/>
          <w:lang w:val="fr-CA"/>
        </w:rPr>
        <w:t>affirmative à cette question. Appliquant la norme de la décision raisonnable, la cour a conclu que —</w:t>
      </w:r>
      <w:r w:rsidRPr="00E739DA">
        <w:rPr>
          <w:rFonts w:eastAsia="Times New Roman" w:cs="Times New Roman"/>
          <w:szCs w:val="24"/>
          <w:lang w:val="fr-FR" w:eastAsia="en-CA"/>
        </w:rPr>
        <w:t xml:space="preserve"> compte tenu de « </w:t>
      </w:r>
      <w:r w:rsidRPr="00E739DA">
        <w:rPr>
          <w:rFonts w:cs="Times New Roman"/>
          <w:lang w:val="fr-FR"/>
        </w:rPr>
        <w:t>la déférence qui est due au CRTC lorsqu</w:t>
      </w:r>
      <w:r>
        <w:rPr>
          <w:rFonts w:cs="Times New Roman"/>
          <w:lang w:val="fr-FR"/>
        </w:rPr>
        <w:t>’</w:t>
      </w:r>
      <w:r w:rsidRPr="00E739DA">
        <w:rPr>
          <w:rFonts w:cs="Times New Roman"/>
          <w:lang w:val="fr-FR"/>
        </w:rPr>
        <w:t>il interprète ses lois habilitantes ainsi que le pouvoir discrétionnaire élargi conféré au CRTC par l</w:t>
      </w:r>
      <w:r>
        <w:rPr>
          <w:rFonts w:cs="Times New Roman"/>
          <w:lang w:val="fr-FR"/>
        </w:rPr>
        <w:t>’</w:t>
      </w:r>
      <w:r w:rsidRPr="00E739DA">
        <w:rPr>
          <w:rFonts w:cs="Times New Roman"/>
          <w:lang w:val="fr-FR"/>
        </w:rPr>
        <w:t>alinéa 9(1)h) »</w:t>
      </w:r>
      <w:r w:rsidRPr="00E739DA">
        <w:rPr>
          <w:rFonts w:cs="Times New Roman"/>
          <w:lang w:val="fr-CA"/>
        </w:rPr>
        <w:t xml:space="preserve"> — « [l</w:t>
      </w:r>
      <w:r>
        <w:rPr>
          <w:rFonts w:cs="Times New Roman"/>
          <w:lang w:val="fr-CA"/>
        </w:rPr>
        <w:t>’</w:t>
      </w:r>
      <w:r w:rsidRPr="00E739DA">
        <w:rPr>
          <w:rFonts w:cs="Times New Roman"/>
          <w:lang w:val="fr-CA"/>
        </w:rPr>
        <w:t>]</w:t>
      </w:r>
      <w:r w:rsidRPr="00E739DA">
        <w:rPr>
          <w:rFonts w:cs="Times New Roman"/>
          <w:lang w:val="fr-FR"/>
        </w:rPr>
        <w:t>explication [du CRTC] quant à sa compétence pour rendre son ordonnance définitive est justifiée, transparente et intelligible, et elle appartient aux issues raisonnables pouvant se justifier en regard des faits et du droit</w:t>
      </w:r>
      <w:r w:rsidRPr="00E739DA">
        <w:rPr>
          <w:rFonts w:cs="Times New Roman"/>
          <w:lang w:val="fr-CA"/>
        </w:rPr>
        <w:t> » (2017 CAF 249, [2018] 4 R.C.F. 300, par. 28).</w:t>
      </w:r>
    </w:p>
    <w:p w:rsidR="005F030A" w:rsidRPr="00E739DA" w:rsidRDefault="005F030A" w:rsidP="005F030A">
      <w:pPr>
        <w:pStyle w:val="ParaNoNdepar-AltN"/>
        <w:rPr>
          <w:rFonts w:cs="Times New Roman"/>
          <w:lang w:val="fr-CA"/>
        </w:rPr>
      </w:pPr>
      <w:r w:rsidRPr="00E739DA">
        <w:rPr>
          <w:rFonts w:cs="Times New Roman"/>
          <w:lang w:val="fr-CA"/>
        </w:rPr>
        <w:t>Nous en arrivons à une conclusion différente. La norme de contrôle applicable doit être déterminée conformément au cadre d</w:t>
      </w:r>
      <w:r>
        <w:rPr>
          <w:rFonts w:cs="Times New Roman"/>
          <w:lang w:val="fr-CA"/>
        </w:rPr>
        <w:t>’</w:t>
      </w:r>
      <w:r w:rsidRPr="00E739DA">
        <w:rPr>
          <w:rFonts w:cs="Times New Roman"/>
          <w:lang w:val="fr-CA"/>
        </w:rPr>
        <w:t>analyse établi dans l</w:t>
      </w:r>
      <w:r>
        <w:rPr>
          <w:rFonts w:cs="Times New Roman"/>
          <w:lang w:val="fr-CA"/>
        </w:rPr>
        <w:t>’</w:t>
      </w:r>
      <w:r w:rsidRPr="00E739DA">
        <w:rPr>
          <w:rFonts w:cs="Times New Roman"/>
          <w:lang w:val="fr-CA"/>
        </w:rPr>
        <w:t xml:space="preserve">arrêt </w:t>
      </w:r>
      <w:r w:rsidRPr="00E739DA">
        <w:rPr>
          <w:rFonts w:cs="Times New Roman"/>
          <w:i/>
          <w:lang w:val="fr-CA"/>
        </w:rPr>
        <w:lastRenderedPageBreak/>
        <w:t xml:space="preserve">Canada (Citoyenneté et Immigration) c. </w:t>
      </w:r>
      <w:proofErr w:type="spellStart"/>
      <w:r w:rsidRPr="00E739DA">
        <w:rPr>
          <w:rFonts w:cs="Times New Roman"/>
          <w:i/>
          <w:lang w:val="fr-CA"/>
        </w:rPr>
        <w:t>Vavilov</w:t>
      </w:r>
      <w:proofErr w:type="spellEnd"/>
      <w:r w:rsidRPr="00E739DA">
        <w:rPr>
          <w:rFonts w:cs="Times New Roman"/>
          <w:lang w:val="fr-CA"/>
        </w:rPr>
        <w:t>, 2019 CSC 65</w:t>
      </w:r>
      <w:r w:rsidR="00ED159F">
        <w:rPr>
          <w:rFonts w:cs="Times New Roman"/>
          <w:lang w:val="fr-CA"/>
        </w:rPr>
        <w:t xml:space="preserve">, [2019] </w:t>
      </w:r>
      <w:r w:rsidR="00385C6A">
        <w:rPr>
          <w:rFonts w:cs="Times New Roman"/>
          <w:lang w:val="fr-CA"/>
        </w:rPr>
        <w:t xml:space="preserve">4 </w:t>
      </w:r>
      <w:r w:rsidR="00ED159F">
        <w:rPr>
          <w:rFonts w:cs="Times New Roman"/>
          <w:lang w:val="fr-CA"/>
        </w:rPr>
        <w:t xml:space="preserve">R.C.S. </w:t>
      </w:r>
      <w:r w:rsidR="005F3232">
        <w:rPr>
          <w:rFonts w:cs="Times New Roman"/>
          <w:lang w:val="fr-CA"/>
        </w:rPr>
        <w:t>653</w:t>
      </w:r>
      <w:r w:rsidRPr="00E739DA">
        <w:rPr>
          <w:rFonts w:cs="Times New Roman"/>
          <w:lang w:val="fr-CA"/>
        </w:rPr>
        <w:t>, que la Cour a entendu en même temps que les présents pourvois prévus par la loi afin de « se pencher sur le droit applicable au contrôle judiciaire des décisions administratives tel que traité dans l</w:t>
      </w:r>
      <w:r>
        <w:rPr>
          <w:rFonts w:cs="Times New Roman"/>
          <w:lang w:val="fr-CA"/>
        </w:rPr>
        <w:t>’</w:t>
      </w:r>
      <w:r w:rsidRPr="00E739DA">
        <w:rPr>
          <w:rFonts w:cs="Times New Roman"/>
          <w:lang w:val="fr-CA"/>
        </w:rPr>
        <w:t xml:space="preserve">arrêt </w:t>
      </w:r>
      <w:proofErr w:type="spellStart"/>
      <w:r w:rsidRPr="00E739DA">
        <w:rPr>
          <w:rFonts w:cs="Times New Roman"/>
          <w:i/>
          <w:lang w:val="fr-CA"/>
        </w:rPr>
        <w:t>Dunsmuir</w:t>
      </w:r>
      <w:proofErr w:type="spellEnd"/>
      <w:r w:rsidRPr="00E739DA">
        <w:rPr>
          <w:rFonts w:cs="Times New Roman"/>
          <w:lang w:val="fr-CA"/>
        </w:rPr>
        <w:t xml:space="preserve"> et les arrêts subséquents » (</w:t>
      </w:r>
      <w:proofErr w:type="spellStart"/>
      <w:r w:rsidRPr="00E739DA">
        <w:rPr>
          <w:rFonts w:cs="Times New Roman"/>
          <w:i/>
          <w:lang w:val="fr-CA"/>
        </w:rPr>
        <w:t>Vavilov</w:t>
      </w:r>
      <w:proofErr w:type="spellEnd"/>
      <w:r w:rsidRPr="00E739DA">
        <w:rPr>
          <w:rFonts w:cs="Times New Roman"/>
          <w:lang w:val="fr-CA"/>
        </w:rPr>
        <w:t>, par. 6). Comme les appelantes ont contesté la Décision définitive et l</w:t>
      </w:r>
      <w:r>
        <w:rPr>
          <w:rFonts w:cs="Times New Roman"/>
          <w:lang w:val="fr-CA"/>
        </w:rPr>
        <w:t>’</w:t>
      </w:r>
      <w:r w:rsidRPr="00E739DA">
        <w:rPr>
          <w:rFonts w:cs="Times New Roman"/>
          <w:lang w:val="fr-CA"/>
        </w:rPr>
        <w:t>Ordonnance définitive du CRTC par le mécanisme d</w:t>
      </w:r>
      <w:r>
        <w:rPr>
          <w:rFonts w:cs="Times New Roman"/>
          <w:lang w:val="fr-CA"/>
        </w:rPr>
        <w:t>’</w:t>
      </w:r>
      <w:r w:rsidRPr="00E739DA">
        <w:rPr>
          <w:rFonts w:cs="Times New Roman"/>
          <w:lang w:val="fr-CA"/>
        </w:rPr>
        <w:t xml:space="preserve">appel prévu au </w:t>
      </w:r>
      <w:proofErr w:type="spellStart"/>
      <w:r w:rsidRPr="00E739DA">
        <w:rPr>
          <w:rFonts w:cs="Times New Roman"/>
          <w:lang w:val="fr-CA"/>
        </w:rPr>
        <w:t>par</w:t>
      </w:r>
      <w:proofErr w:type="spellEnd"/>
      <w:r w:rsidRPr="00E739DA">
        <w:rPr>
          <w:rFonts w:cs="Times New Roman"/>
          <w:lang w:val="fr-CA"/>
        </w:rPr>
        <w:t xml:space="preserve">. 31(2) de la </w:t>
      </w:r>
      <w:r w:rsidRPr="00E739DA">
        <w:rPr>
          <w:rFonts w:cs="Times New Roman"/>
          <w:i/>
          <w:lang w:val="fr-CA"/>
        </w:rPr>
        <w:t>Loi sur la radiodiffusion</w:t>
      </w:r>
      <w:r w:rsidRPr="00E739DA">
        <w:rPr>
          <w:rFonts w:cs="Times New Roman"/>
          <w:lang w:val="fr-CA"/>
        </w:rPr>
        <w:t>, les normes de contrôle applicables en appel s</w:t>
      </w:r>
      <w:r>
        <w:rPr>
          <w:rFonts w:cs="Times New Roman"/>
          <w:lang w:val="fr-CA"/>
        </w:rPr>
        <w:t>’</w:t>
      </w:r>
      <w:r w:rsidRPr="00E739DA">
        <w:rPr>
          <w:rFonts w:cs="Times New Roman"/>
          <w:lang w:val="fr-CA"/>
        </w:rPr>
        <w:t>appliquent en l</w:t>
      </w:r>
      <w:r>
        <w:rPr>
          <w:rFonts w:cs="Times New Roman"/>
          <w:lang w:val="fr-CA"/>
        </w:rPr>
        <w:t>’</w:t>
      </w:r>
      <w:r w:rsidRPr="00E739DA">
        <w:rPr>
          <w:rFonts w:cs="Times New Roman"/>
          <w:lang w:val="fr-CA"/>
        </w:rPr>
        <w:t>espèce (</w:t>
      </w:r>
      <w:proofErr w:type="spellStart"/>
      <w:r w:rsidRPr="00E739DA">
        <w:rPr>
          <w:rFonts w:cs="Times New Roman"/>
          <w:i/>
          <w:lang w:val="fr-CA"/>
        </w:rPr>
        <w:t>Vavilov</w:t>
      </w:r>
      <w:proofErr w:type="spellEnd"/>
      <w:r w:rsidRPr="00E739DA">
        <w:rPr>
          <w:rFonts w:cs="Times New Roman"/>
          <w:lang w:val="fr-CA"/>
        </w:rPr>
        <w:t>, par. 36</w:t>
      </w:r>
      <w:r w:rsidRPr="00E739DA">
        <w:rPr>
          <w:rFonts w:cs="Times New Roman"/>
          <w:lang w:val="fr-CA"/>
        </w:rPr>
        <w:noBreakHyphen/>
        <w:t>52). Et parce que les points en litige dans les présents pourvois soulèvent des questions de droit qui concernent directement les limites du pouvoir conféré par la loi au CRTC et qui, de ce fait, relèvent clairement du mécanisme d</w:t>
      </w:r>
      <w:r>
        <w:rPr>
          <w:rFonts w:cs="Times New Roman"/>
          <w:lang w:val="fr-CA"/>
        </w:rPr>
        <w:t>’</w:t>
      </w:r>
      <w:r w:rsidRPr="00E739DA">
        <w:rPr>
          <w:rFonts w:cs="Times New Roman"/>
          <w:lang w:val="fr-CA"/>
        </w:rPr>
        <w:t>appel susmentionné, la norme de contrôle applicable est celle de la décision correcte.</w:t>
      </w:r>
    </w:p>
    <w:p w:rsidR="005F030A" w:rsidRPr="00E739DA" w:rsidRDefault="005F030A" w:rsidP="005F030A">
      <w:pPr>
        <w:pStyle w:val="ParaNoNdepar-AltN"/>
        <w:spacing w:before="0"/>
        <w:rPr>
          <w:rFonts w:cs="Times New Roman"/>
          <w:lang w:val="fr-CA"/>
        </w:rPr>
      </w:pPr>
      <w:r w:rsidRPr="00E739DA">
        <w:rPr>
          <w:rFonts w:cs="Times New Roman"/>
          <w:lang w:val="fr-CA"/>
        </w:rPr>
        <w:t>Suivant cette norme, nous estimons que l</w:t>
      </w:r>
      <w:r>
        <w:rPr>
          <w:rFonts w:cs="Times New Roman"/>
          <w:lang w:val="fr-CA"/>
        </w:rPr>
        <w:t>’</w:t>
      </w:r>
      <w:r w:rsidRPr="00E739DA">
        <w:rPr>
          <w:rFonts w:cs="Times New Roman"/>
          <w:lang w:val="fr-CA"/>
        </w:rPr>
        <w:t>Ordonnance définitive a été rendue sur la base d</w:t>
      </w:r>
      <w:r>
        <w:rPr>
          <w:rFonts w:cs="Times New Roman"/>
          <w:lang w:val="fr-CA"/>
        </w:rPr>
        <w:t>’</w:t>
      </w:r>
      <w:r w:rsidRPr="00E739DA">
        <w:rPr>
          <w:rFonts w:cs="Times New Roman"/>
          <w:lang w:val="fr-CA"/>
        </w:rPr>
        <w:t>une interprétation erronée de l</w:t>
      </w:r>
      <w:r>
        <w:rPr>
          <w:rFonts w:cs="Times New Roman"/>
          <w:lang w:val="fr-CA"/>
        </w:rPr>
        <w:t>’</w:t>
      </w:r>
      <w:r w:rsidRPr="00E739DA">
        <w:rPr>
          <w:rFonts w:cs="Times New Roman"/>
          <w:lang w:val="fr-CA"/>
        </w:rPr>
        <w:t>étendue du pouvoir conféré au CRTC par l</w:t>
      </w:r>
      <w:r>
        <w:rPr>
          <w:rFonts w:cs="Times New Roman"/>
          <w:lang w:val="fr-CA"/>
        </w:rPr>
        <w:t>’</w:t>
      </w:r>
      <w:r w:rsidRPr="00E739DA">
        <w:rPr>
          <w:rFonts w:cs="Times New Roman"/>
          <w:lang w:val="fr-CA"/>
        </w:rPr>
        <w:t>al. 9(1)h). Interprétée correctement, cette disposition autorise seulement la délivrance d</w:t>
      </w:r>
      <w:r>
        <w:rPr>
          <w:rFonts w:cs="Times New Roman"/>
          <w:lang w:val="fr-CA"/>
        </w:rPr>
        <w:t>’</w:t>
      </w:r>
      <w:r w:rsidRPr="00E739DA">
        <w:rPr>
          <w:rFonts w:cs="Times New Roman"/>
          <w:lang w:val="fr-CA"/>
        </w:rPr>
        <w:t>ordonnances de distribution obligatoire — c.</w:t>
      </w:r>
      <w:r w:rsidRPr="00E739DA">
        <w:rPr>
          <w:rFonts w:cs="Times New Roman"/>
          <w:lang w:val="fr-CA"/>
        </w:rPr>
        <w:noBreakHyphen/>
        <w:t>à</w:t>
      </w:r>
      <w:r w:rsidRPr="00E739DA">
        <w:rPr>
          <w:rFonts w:cs="Times New Roman"/>
          <w:lang w:val="fr-CA"/>
        </w:rPr>
        <w:noBreakHyphen/>
        <w:t>d. des ordonnances obligeant les fournisseurs de services de télévision à distribuer certaines chaînes dans le cadre des services par câble ou par satellite qu</w:t>
      </w:r>
      <w:r>
        <w:rPr>
          <w:rFonts w:cs="Times New Roman"/>
          <w:lang w:val="fr-CA"/>
        </w:rPr>
        <w:t>’</w:t>
      </w:r>
      <w:r w:rsidRPr="00E739DA">
        <w:rPr>
          <w:rFonts w:cs="Times New Roman"/>
          <w:lang w:val="fr-CA"/>
        </w:rPr>
        <w:t>ils offrent — selon des modalités précisées. Elle n</w:t>
      </w:r>
      <w:r>
        <w:rPr>
          <w:rFonts w:cs="Times New Roman"/>
          <w:lang w:val="fr-CA"/>
        </w:rPr>
        <w:t>’</w:t>
      </w:r>
      <w:r w:rsidRPr="00E739DA">
        <w:rPr>
          <w:rFonts w:cs="Times New Roman"/>
          <w:lang w:val="fr-CA"/>
        </w:rPr>
        <w:t xml:space="preserve">habilite toutefois pas le CRTC à imposer des modalités régissant la distribution de services de programmation </w:t>
      </w:r>
      <w:r w:rsidRPr="00E739DA">
        <w:rPr>
          <w:rFonts w:cs="Times New Roman"/>
          <w:i/>
          <w:lang w:val="fr-CA"/>
        </w:rPr>
        <w:t>d</w:t>
      </w:r>
      <w:r>
        <w:rPr>
          <w:rFonts w:cs="Times New Roman"/>
          <w:i/>
          <w:lang w:val="fr-CA"/>
        </w:rPr>
        <w:t>’</w:t>
      </w:r>
      <w:r w:rsidRPr="00E739DA">
        <w:rPr>
          <w:rFonts w:cs="Times New Roman"/>
          <w:i/>
          <w:lang w:val="fr-CA"/>
        </w:rPr>
        <w:t>une manière générale</w:t>
      </w:r>
      <w:r w:rsidRPr="00E739DA">
        <w:rPr>
          <w:rFonts w:cs="Times New Roman"/>
          <w:lang w:val="fr-CA"/>
        </w:rPr>
        <w:t>. Par conséquent, comme l</w:t>
      </w:r>
      <w:r>
        <w:rPr>
          <w:rFonts w:cs="Times New Roman"/>
          <w:lang w:val="fr-CA"/>
        </w:rPr>
        <w:t>’</w:t>
      </w:r>
      <w:r w:rsidRPr="00E739DA">
        <w:rPr>
          <w:rFonts w:cs="Times New Roman"/>
          <w:lang w:val="fr-CA"/>
        </w:rPr>
        <w:t>Ordonnance définitive n</w:t>
      </w:r>
      <w:r>
        <w:rPr>
          <w:rFonts w:cs="Times New Roman"/>
          <w:lang w:val="fr-CA"/>
        </w:rPr>
        <w:t>’</w:t>
      </w:r>
      <w:r w:rsidRPr="00E739DA">
        <w:rPr>
          <w:rFonts w:cs="Times New Roman"/>
          <w:lang w:val="fr-CA"/>
        </w:rPr>
        <w:t>impose pas aux fournisseurs de services de télévision l</w:t>
      </w:r>
      <w:r>
        <w:rPr>
          <w:rFonts w:cs="Times New Roman"/>
          <w:lang w:val="fr-CA"/>
        </w:rPr>
        <w:t>’</w:t>
      </w:r>
      <w:r w:rsidRPr="00E739DA">
        <w:rPr>
          <w:rFonts w:cs="Times New Roman"/>
          <w:lang w:val="fr-CA"/>
        </w:rPr>
        <w:t>obligation de distribuer une chaîne qui diffuse le Super </w:t>
      </w:r>
      <w:proofErr w:type="spellStart"/>
      <w:r w:rsidRPr="00E739DA">
        <w:rPr>
          <w:rFonts w:cs="Times New Roman"/>
          <w:lang w:val="fr-CA"/>
        </w:rPr>
        <w:t>Bowl</w:t>
      </w:r>
      <w:proofErr w:type="spellEnd"/>
      <w:r w:rsidRPr="00E739DA">
        <w:rPr>
          <w:rFonts w:cs="Times New Roman"/>
          <w:lang w:val="fr-CA"/>
        </w:rPr>
        <w:t>, mais impose plutôt une condition à ceux qui le font déjà, la délivrance de cette ordonnance n</w:t>
      </w:r>
      <w:r>
        <w:rPr>
          <w:rFonts w:cs="Times New Roman"/>
          <w:lang w:val="fr-CA"/>
        </w:rPr>
        <w:t>’</w:t>
      </w:r>
      <w:r w:rsidRPr="00E739DA">
        <w:rPr>
          <w:rFonts w:cs="Times New Roman"/>
          <w:lang w:val="fr-CA"/>
        </w:rPr>
        <w:t>était pas autorisée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w:t>
      </w:r>
    </w:p>
    <w:p w:rsidR="005F030A" w:rsidRPr="00E739DA" w:rsidRDefault="005F030A" w:rsidP="005F030A">
      <w:pPr>
        <w:pStyle w:val="ParaNoNdepar-AltN"/>
        <w:spacing w:before="0"/>
        <w:rPr>
          <w:rFonts w:cs="Times New Roman"/>
          <w:lang w:val="fr-CA"/>
        </w:rPr>
      </w:pPr>
      <w:r w:rsidRPr="00E739DA">
        <w:rPr>
          <w:rFonts w:cs="Times New Roman"/>
          <w:lang w:val="fr-CA"/>
        </w:rPr>
        <w:lastRenderedPageBreak/>
        <w:t>Nous sommes d</w:t>
      </w:r>
      <w:r>
        <w:rPr>
          <w:rFonts w:cs="Times New Roman"/>
          <w:lang w:val="fr-CA"/>
        </w:rPr>
        <w:t>’</w:t>
      </w:r>
      <w:r w:rsidRPr="00E739DA">
        <w:rPr>
          <w:rFonts w:cs="Times New Roman"/>
          <w:lang w:val="fr-CA"/>
        </w:rPr>
        <w:t>avis d</w:t>
      </w:r>
      <w:r>
        <w:rPr>
          <w:rFonts w:cs="Times New Roman"/>
          <w:lang w:val="fr-CA"/>
        </w:rPr>
        <w:t>’</w:t>
      </w:r>
      <w:r w:rsidRPr="00E739DA">
        <w:rPr>
          <w:rFonts w:cs="Times New Roman"/>
          <w:lang w:val="fr-CA"/>
        </w:rPr>
        <w:t>accueillir les pourvois et en conséquence de casser l</w:t>
      </w:r>
      <w:r>
        <w:rPr>
          <w:rFonts w:cs="Times New Roman"/>
          <w:lang w:val="fr-CA"/>
        </w:rPr>
        <w:t>’</w:t>
      </w:r>
      <w:r w:rsidRPr="00E739DA">
        <w:rPr>
          <w:rFonts w:cs="Times New Roman"/>
          <w:lang w:val="fr-CA"/>
        </w:rPr>
        <w:t>Ordonnance définitive et la Décision définitive.</w:t>
      </w:r>
    </w:p>
    <w:p w:rsidR="005F030A" w:rsidRPr="00E739DA" w:rsidRDefault="005F030A" w:rsidP="005F030A">
      <w:pPr>
        <w:pStyle w:val="Title1LevelTitre1Niveau-AltL"/>
        <w:spacing w:before="0"/>
        <w:rPr>
          <w:rFonts w:cs="Times New Roman"/>
          <w:lang w:val="fr-CA"/>
        </w:rPr>
      </w:pPr>
      <w:r w:rsidRPr="00E739DA">
        <w:rPr>
          <w:rFonts w:cs="Times New Roman"/>
          <w:lang w:val="fr-CA"/>
        </w:rPr>
        <w:t>Le contexte</w:t>
      </w:r>
    </w:p>
    <w:p w:rsidR="005F030A" w:rsidRPr="00E739DA" w:rsidRDefault="005F030A" w:rsidP="005F030A">
      <w:pPr>
        <w:pStyle w:val="Title2LevelTitre2Niveau"/>
        <w:spacing w:before="0"/>
        <w:rPr>
          <w:rFonts w:cs="Times New Roman"/>
          <w:lang w:val="fr-CA"/>
        </w:rPr>
      </w:pPr>
      <w:r w:rsidRPr="00E739DA">
        <w:rPr>
          <w:rFonts w:cs="Times New Roman"/>
          <w:lang w:val="fr-CA"/>
        </w:rPr>
        <w:t>Survol de la substitution simultanée au Canada</w:t>
      </w:r>
    </w:p>
    <w:p w:rsidR="005F030A" w:rsidRPr="00E739DA" w:rsidRDefault="005F030A" w:rsidP="005F030A">
      <w:pPr>
        <w:pStyle w:val="ParaNoNdepar-AltN"/>
        <w:spacing w:before="0"/>
        <w:rPr>
          <w:rFonts w:cs="Times New Roman"/>
          <w:lang w:val="fr-CA"/>
        </w:rPr>
      </w:pPr>
      <w:r w:rsidRPr="00E739DA">
        <w:rPr>
          <w:rFonts w:cs="Times New Roman"/>
          <w:lang w:val="fr-CA"/>
        </w:rPr>
        <w:t>Le CRTC est un organisme public indépendant qui surveille la radiodiffusion et les télécommunications au Canada. Selon le par</w:t>
      </w:r>
      <w:r w:rsidR="00385C6A">
        <w:rPr>
          <w:rFonts w:cs="Times New Roman"/>
          <w:lang w:val="fr-CA"/>
        </w:rPr>
        <w:t>.</w:t>
      </w:r>
      <w:r w:rsidRPr="00E739DA">
        <w:rPr>
          <w:rFonts w:cs="Times New Roman"/>
          <w:lang w:val="fr-CA"/>
        </w:rPr>
        <w:t xml:space="preserve"> 5(1) de la </w:t>
      </w:r>
      <w:r w:rsidRPr="00E739DA">
        <w:rPr>
          <w:rFonts w:cs="Times New Roman"/>
          <w:i/>
          <w:lang w:val="fr-CA"/>
        </w:rPr>
        <w:t>Loi sur la radiodiffusion</w:t>
      </w:r>
      <w:r w:rsidRPr="00E739DA">
        <w:rPr>
          <w:rFonts w:cs="Times New Roman"/>
          <w:lang w:val="fr-CA"/>
        </w:rPr>
        <w:t>, le CRTC « </w:t>
      </w:r>
      <w:r w:rsidRPr="00E739DA">
        <w:rPr>
          <w:rFonts w:cs="Times New Roman"/>
          <w:lang w:val="fr-FR"/>
        </w:rPr>
        <w:t>réglemente et surveille tous les aspects du système canadien de radiodiffusion en vue de mettre en œuvre la politique canadienne de radiodiffusion</w:t>
      </w:r>
      <w:r w:rsidRPr="00E739DA">
        <w:rPr>
          <w:rFonts w:cs="Times New Roman"/>
          <w:lang w:val="fr-CA"/>
        </w:rPr>
        <w:t> ».</w:t>
      </w:r>
    </w:p>
    <w:p w:rsidR="005F030A" w:rsidRPr="00E739DA" w:rsidRDefault="005F030A" w:rsidP="005F030A">
      <w:pPr>
        <w:pStyle w:val="ParaNoNdepar-AltN"/>
        <w:spacing w:before="0"/>
        <w:rPr>
          <w:rFonts w:cs="Times New Roman"/>
          <w:lang w:val="fr-CA"/>
        </w:rPr>
      </w:pPr>
      <w:r w:rsidRPr="00E739DA">
        <w:rPr>
          <w:rFonts w:cs="Times New Roman"/>
          <w:lang w:val="fr-CA"/>
        </w:rPr>
        <w:t>Dans le cadre de la réglementation de l</w:t>
      </w:r>
      <w:r>
        <w:rPr>
          <w:rFonts w:cs="Times New Roman"/>
          <w:lang w:val="fr-CA"/>
        </w:rPr>
        <w:t>’</w:t>
      </w:r>
      <w:r w:rsidRPr="00E739DA">
        <w:rPr>
          <w:rFonts w:cs="Times New Roman"/>
          <w:lang w:val="fr-CA"/>
        </w:rPr>
        <w:t>industrie canadienne de la radiodiffusion, le CRTC veille principalement à ce que toutes les « entreprises de programmation » et toutes les « entreprises de distribution » détiennent une licence et se conforment aux modalités applicables à ces licences (</w:t>
      </w:r>
      <w:r w:rsidRPr="00E739DA">
        <w:rPr>
          <w:rFonts w:cs="Times New Roman"/>
          <w:i/>
          <w:lang w:val="fr-CA"/>
        </w:rPr>
        <w:t>Loi sur la radiodiffusion</w:t>
      </w:r>
      <w:r w:rsidRPr="00E739DA">
        <w:rPr>
          <w:rFonts w:cs="Times New Roman"/>
          <w:lang w:val="fr-CA"/>
        </w:rPr>
        <w:t>, art. 32 et 33).</w:t>
      </w:r>
    </w:p>
    <w:p w:rsidR="005F030A" w:rsidRPr="00E739DA" w:rsidRDefault="005F030A" w:rsidP="005F030A">
      <w:pPr>
        <w:pStyle w:val="ParaNoNdepar-AltN"/>
        <w:spacing w:before="0"/>
        <w:rPr>
          <w:rFonts w:cs="Times New Roman"/>
          <w:lang w:val="fr-CA"/>
        </w:rPr>
      </w:pPr>
      <w:r w:rsidRPr="00E739DA">
        <w:rPr>
          <w:rFonts w:cs="Times New Roman"/>
          <w:lang w:val="fr-CA"/>
        </w:rPr>
        <w:t>Les entreprises de programmation sont des radiodiffuseurs ou des stations de télévision qui « </w:t>
      </w:r>
      <w:r w:rsidRPr="00E739DA">
        <w:rPr>
          <w:rFonts w:cs="Times New Roman"/>
          <w:lang w:val="fr-FR"/>
        </w:rPr>
        <w:t>acquièrent, créent et produisent des émissions de télévision. Le CRTC leur délivre des licences les autorisant à desservir une région donnée à l</w:t>
      </w:r>
      <w:r>
        <w:rPr>
          <w:rFonts w:cs="Times New Roman"/>
          <w:lang w:val="fr-FR"/>
        </w:rPr>
        <w:t>’</w:t>
      </w:r>
      <w:r w:rsidRPr="00E739DA">
        <w:rPr>
          <w:rFonts w:cs="Times New Roman"/>
          <w:lang w:val="fr-FR"/>
        </w:rPr>
        <w:t>intérieur de la portée de leur émetteur</w:t>
      </w:r>
      <w:r w:rsidRPr="00E739DA">
        <w:rPr>
          <w:rFonts w:cs="Times New Roman"/>
          <w:lang w:val="fr-CA"/>
        </w:rPr>
        <w:t> » (</w:t>
      </w:r>
      <w:r w:rsidRPr="00E739DA">
        <w:rPr>
          <w:rFonts w:cs="Times New Roman"/>
          <w:i/>
          <w:lang w:val="fr-FR"/>
        </w:rPr>
        <w:t>Renvoi relatif à la Politique réglementaire de radiodiffusion CRTC 2010</w:t>
      </w:r>
      <w:r w:rsidRPr="00E739DA">
        <w:rPr>
          <w:rFonts w:cs="Times New Roman"/>
          <w:i/>
          <w:lang w:val="fr-FR"/>
        </w:rPr>
        <w:noBreakHyphen/>
        <w:t>167 et l</w:t>
      </w:r>
      <w:r>
        <w:rPr>
          <w:rFonts w:cs="Times New Roman"/>
          <w:i/>
          <w:lang w:val="fr-FR"/>
        </w:rPr>
        <w:t>’</w:t>
      </w:r>
      <w:r w:rsidRPr="00E739DA">
        <w:rPr>
          <w:rFonts w:cs="Times New Roman"/>
          <w:i/>
          <w:lang w:val="fr-FR"/>
        </w:rPr>
        <w:t>ordonnance de radiodiffusion CRTC 2010</w:t>
      </w:r>
      <w:r w:rsidRPr="00E739DA">
        <w:rPr>
          <w:rFonts w:cs="Times New Roman"/>
          <w:i/>
          <w:lang w:val="fr-FR"/>
        </w:rPr>
        <w:noBreakHyphen/>
        <w:t>168</w:t>
      </w:r>
      <w:r w:rsidRPr="00E739DA">
        <w:rPr>
          <w:rFonts w:cs="Times New Roman"/>
          <w:lang w:val="fr-CA"/>
        </w:rPr>
        <w:t>, 2012 CSC 68, [2012] 3 R.C.S. 489 (« </w:t>
      </w:r>
      <w:proofErr w:type="spellStart"/>
      <w:r w:rsidRPr="00E739DA">
        <w:rPr>
          <w:rFonts w:cs="Times New Roman"/>
          <w:i/>
          <w:lang w:val="fr-CA"/>
        </w:rPr>
        <w:t>Cogeco</w:t>
      </w:r>
      <w:proofErr w:type="spellEnd"/>
      <w:r w:rsidRPr="00E739DA">
        <w:rPr>
          <w:rFonts w:cs="Times New Roman"/>
          <w:i/>
          <w:lang w:val="fr-CA"/>
        </w:rPr>
        <w:t> </w:t>
      </w:r>
      <w:r w:rsidRPr="00E739DA">
        <w:rPr>
          <w:rFonts w:cs="Times New Roman"/>
          <w:lang w:val="fr-CA"/>
        </w:rPr>
        <w:t xml:space="preserve">»), par. 4). Bien que les signaux des stations de télévision locales puissent être captés gratuitement par toute personne </w:t>
      </w:r>
      <w:r w:rsidRPr="00E739DA">
        <w:rPr>
          <w:rFonts w:cs="Times New Roman"/>
          <w:lang w:val="fr-CA"/>
        </w:rPr>
        <w:lastRenderedPageBreak/>
        <w:t>disposant de l</w:t>
      </w:r>
      <w:r>
        <w:rPr>
          <w:rFonts w:cs="Times New Roman"/>
          <w:lang w:val="fr-CA"/>
        </w:rPr>
        <w:t>’</w:t>
      </w:r>
      <w:r w:rsidRPr="00E739DA">
        <w:rPr>
          <w:rFonts w:cs="Times New Roman"/>
          <w:lang w:val="fr-CA"/>
        </w:rPr>
        <w:t>équipement approprié, la plupart des Canadiennes et des Canadiens reçoivent ces signaux d</w:t>
      </w:r>
      <w:r>
        <w:rPr>
          <w:rFonts w:cs="Times New Roman"/>
          <w:lang w:val="fr-CA"/>
        </w:rPr>
        <w:t>’</w:t>
      </w:r>
      <w:r w:rsidRPr="00E739DA">
        <w:rPr>
          <w:rFonts w:cs="Times New Roman"/>
          <w:lang w:val="fr-CA"/>
        </w:rPr>
        <w:t>« entreprises de distribution » — qui sont essentiellement des fournisseurs de services de télévision comme Bell — dans le cadre de leur abonnement à un service de télévision par câble, par satellite ou sur Internet (</w:t>
      </w:r>
      <w:r w:rsidRPr="00E739DA">
        <w:rPr>
          <w:rFonts w:cs="Times New Roman"/>
          <w:lang w:val="fr-FR"/>
        </w:rPr>
        <w:t xml:space="preserve">Politique réglementaire de radiodiffusion </w:t>
      </w:r>
      <w:r w:rsidRPr="00E739DA">
        <w:rPr>
          <w:rFonts w:cs="Times New Roman"/>
          <w:lang w:val="fr-CA"/>
        </w:rPr>
        <w:t>CRTC 2015</w:t>
      </w:r>
      <w:r w:rsidRPr="00E739DA">
        <w:rPr>
          <w:rFonts w:cs="Times New Roman"/>
          <w:lang w:val="fr-CA"/>
        </w:rPr>
        <w:noBreakHyphen/>
        <w:t>24</w:t>
      </w:r>
      <w:r>
        <w:rPr>
          <w:rFonts w:cs="Times New Roman"/>
          <w:lang w:val="fr-CA"/>
        </w:rPr>
        <w:t xml:space="preserve">, </w:t>
      </w:r>
      <w:r w:rsidRPr="005F7DB7">
        <w:rPr>
          <w:rStyle w:val="Emphasis"/>
          <w:i w:val="0"/>
          <w:lang w:val="fr-CA"/>
        </w:rPr>
        <w:t>29 janvier 2015 (en ligne)</w:t>
      </w:r>
      <w:r w:rsidRPr="005F7DB7">
        <w:rPr>
          <w:rFonts w:cs="Times New Roman"/>
          <w:lang w:val="fr-CA"/>
        </w:rPr>
        <w:t>,</w:t>
      </w:r>
      <w:r w:rsidRPr="00E739DA">
        <w:rPr>
          <w:rFonts w:cs="Times New Roman"/>
          <w:lang w:val="fr-CA"/>
        </w:rPr>
        <w:t xml:space="preserve"> par. </w:t>
      </w:r>
      <w:r>
        <w:rPr>
          <w:rFonts w:cs="Times New Roman"/>
          <w:lang w:val="fr-CA"/>
        </w:rPr>
        <w:t>3</w:t>
      </w:r>
      <w:r w:rsidRPr="00E739DA">
        <w:rPr>
          <w:rFonts w:cs="Times New Roman"/>
          <w:lang w:val="fr-CA"/>
        </w:rPr>
        <w:t xml:space="preserve">). Ces </w:t>
      </w:r>
      <w:r>
        <w:rPr>
          <w:rFonts w:cs="Times New Roman"/>
          <w:lang w:val="fr-CA"/>
        </w:rPr>
        <w:t xml:space="preserve">entreprises de distribution </w:t>
      </w:r>
      <w:r w:rsidRPr="00E739DA">
        <w:rPr>
          <w:rFonts w:cs="Times New Roman"/>
          <w:lang w:val="fr-CA"/>
        </w:rPr>
        <w:t>reçoivent les signaux de stations de télévision, et les retransmettent à leurs abonnés moyennant certains frais (</w:t>
      </w:r>
      <w:proofErr w:type="spellStart"/>
      <w:r w:rsidRPr="00E739DA">
        <w:rPr>
          <w:rFonts w:cs="Times New Roman"/>
          <w:i/>
          <w:lang w:val="fr-CA"/>
        </w:rPr>
        <w:t>Cogeco</w:t>
      </w:r>
      <w:proofErr w:type="spellEnd"/>
      <w:r w:rsidRPr="00E739DA">
        <w:rPr>
          <w:rFonts w:cs="Times New Roman"/>
          <w:lang w:val="fr-CA"/>
        </w:rPr>
        <w:t>, par. 4).</w:t>
      </w:r>
    </w:p>
    <w:p w:rsidR="005F030A" w:rsidRPr="00E739DA" w:rsidRDefault="005F030A" w:rsidP="005F030A">
      <w:pPr>
        <w:pStyle w:val="ParaNoNdepar-AltN"/>
        <w:spacing w:before="0"/>
        <w:rPr>
          <w:rFonts w:cs="Times New Roman"/>
          <w:lang w:val="fr-CA"/>
        </w:rPr>
      </w:pPr>
      <w:r w:rsidRPr="00E739DA">
        <w:rPr>
          <w:rFonts w:cs="Times New Roman"/>
          <w:lang w:val="fr-CA"/>
        </w:rPr>
        <w:t>Vu la nature technique de ces termes, dans les présents motifs, nous appellerons « fournisseurs de services de télévision » les entreprises de distribution, et « stations de télévision » les entreprises de programmation. Dans certaines sources, jurisprudentielles et autres, les entreprises de programmation sont également appelées « radiodiffuseurs ».</w:t>
      </w:r>
    </w:p>
    <w:p w:rsidR="005F030A" w:rsidRPr="00E739DA" w:rsidRDefault="005F030A" w:rsidP="005F030A">
      <w:pPr>
        <w:pStyle w:val="ParaNoNdepar-AltN"/>
        <w:spacing w:before="0"/>
        <w:rPr>
          <w:rFonts w:cs="Times New Roman"/>
          <w:lang w:val="fr-CA"/>
        </w:rPr>
      </w:pPr>
      <w:r w:rsidRPr="00E739DA">
        <w:rPr>
          <w:rFonts w:cs="Times New Roman"/>
          <w:lang w:val="fr-CA"/>
        </w:rPr>
        <w:t>L</w:t>
      </w:r>
      <w:r>
        <w:rPr>
          <w:rFonts w:cs="Times New Roman"/>
          <w:lang w:val="fr-CA"/>
        </w:rPr>
        <w:t>’</w:t>
      </w:r>
      <w:r w:rsidRPr="00E739DA">
        <w:rPr>
          <w:rFonts w:cs="Times New Roman"/>
          <w:lang w:val="fr-CA"/>
        </w:rPr>
        <w:t xml:space="preserve">article 7 du </w:t>
      </w:r>
      <w:r w:rsidRPr="00E739DA">
        <w:rPr>
          <w:rFonts w:cs="Times New Roman"/>
          <w:i/>
          <w:lang w:val="fr-FR"/>
        </w:rPr>
        <w:t>Règlement sur la distribution de radiodiffusion</w:t>
      </w:r>
      <w:r w:rsidRPr="00E739DA">
        <w:rPr>
          <w:rFonts w:cs="Times New Roman"/>
          <w:lang w:val="fr-CA"/>
        </w:rPr>
        <w:t>, DORS/97</w:t>
      </w:r>
      <w:r w:rsidRPr="00E739DA">
        <w:rPr>
          <w:rFonts w:cs="Times New Roman"/>
          <w:lang w:val="fr-CA"/>
        </w:rPr>
        <w:noBreakHyphen/>
        <w:t>555 (« </w:t>
      </w:r>
      <w:r w:rsidRPr="00E739DA">
        <w:rPr>
          <w:rFonts w:cs="Times New Roman"/>
          <w:i/>
          <w:lang w:val="fr-CA"/>
        </w:rPr>
        <w:t>Règlement sur la distribution</w:t>
      </w:r>
      <w:r w:rsidRPr="00E739DA">
        <w:rPr>
          <w:rFonts w:cs="Times New Roman"/>
          <w:lang w:val="fr-CA"/>
        </w:rPr>
        <w:t> »), précise que, en règle générale, les fournisseurs de services de télévision ne peuvent modifier ou retirer les signaux des stations de télévision au cours de leur retransmission. L</w:t>
      </w:r>
      <w:r>
        <w:rPr>
          <w:rFonts w:cs="Times New Roman"/>
          <w:lang w:val="fr-CA"/>
        </w:rPr>
        <w:t>’</w:t>
      </w:r>
      <w:r w:rsidRPr="00E739DA">
        <w:rPr>
          <w:rFonts w:cs="Times New Roman"/>
          <w:lang w:val="fr-CA"/>
        </w:rPr>
        <w:t xml:space="preserve">alinéa 7a) du </w:t>
      </w:r>
      <w:r w:rsidRPr="00E739DA">
        <w:rPr>
          <w:rFonts w:cs="Times New Roman"/>
          <w:i/>
          <w:lang w:val="fr-CA"/>
        </w:rPr>
        <w:t>Règlement sur la distribution</w:t>
      </w:r>
      <w:r w:rsidRPr="00E739DA">
        <w:rPr>
          <w:rFonts w:cs="Times New Roman"/>
          <w:lang w:val="fr-CA"/>
        </w:rPr>
        <w:t xml:space="preserve"> prévoit une exception à cette règle dans le cas où la substitution simultanée du signal est faite en conformité avec le</w:t>
      </w:r>
      <w:r w:rsidRPr="00E739DA">
        <w:rPr>
          <w:rFonts w:eastAsia="Times New Roman" w:cs="Times New Roman"/>
          <w:i/>
          <w:iCs/>
          <w:sz w:val="21"/>
          <w:szCs w:val="21"/>
          <w:lang w:val="fr-FR" w:eastAsia="en-CA"/>
        </w:rPr>
        <w:t xml:space="preserve"> </w:t>
      </w:r>
      <w:r w:rsidRPr="00E739DA">
        <w:rPr>
          <w:rFonts w:cs="Times New Roman"/>
          <w:i/>
          <w:iCs/>
          <w:lang w:val="fr-FR"/>
        </w:rPr>
        <w:t>Règlement sur le retrait et la substitution simultanés de services de programmation</w:t>
      </w:r>
      <w:r w:rsidRPr="00E739DA">
        <w:rPr>
          <w:rFonts w:cs="Times New Roman"/>
          <w:lang w:val="fr-CA"/>
        </w:rPr>
        <w:t>, DORS/2015</w:t>
      </w:r>
      <w:r w:rsidRPr="00E739DA">
        <w:rPr>
          <w:rFonts w:cs="Times New Roman"/>
          <w:lang w:val="fr-CA"/>
        </w:rPr>
        <w:noBreakHyphen/>
        <w:t>240 (« </w:t>
      </w:r>
      <w:r w:rsidRPr="00E739DA">
        <w:rPr>
          <w:rFonts w:cs="Times New Roman"/>
          <w:i/>
          <w:lang w:val="fr-CA"/>
        </w:rPr>
        <w:t>Règlement sur la substitution simultanée</w:t>
      </w:r>
      <w:r w:rsidRPr="00E739DA">
        <w:rPr>
          <w:rFonts w:cs="Times New Roman"/>
          <w:lang w:val="fr-CA"/>
        </w:rPr>
        <w:t xml:space="preserve"> »). Le CRTC a pris le </w:t>
      </w:r>
      <w:r w:rsidRPr="00E739DA">
        <w:rPr>
          <w:rFonts w:cs="Times New Roman"/>
          <w:i/>
          <w:lang w:val="fr-CA"/>
        </w:rPr>
        <w:t xml:space="preserve">Règlement sur la substitution simultanée </w:t>
      </w:r>
      <w:r w:rsidRPr="00E739DA">
        <w:rPr>
          <w:rFonts w:cs="Times New Roman"/>
          <w:lang w:val="fr-CA"/>
        </w:rPr>
        <w:t xml:space="preserve">en novembre 2015, en vertu des pouvoirs que lui confère le par. 10(1) de la </w:t>
      </w:r>
      <w:r w:rsidRPr="00E739DA">
        <w:rPr>
          <w:rFonts w:cs="Times New Roman"/>
          <w:i/>
          <w:lang w:val="fr-CA"/>
        </w:rPr>
        <w:t>Loi sur la radiodiffusion</w:t>
      </w:r>
      <w:r w:rsidRPr="00E739DA">
        <w:rPr>
          <w:rFonts w:cs="Times New Roman"/>
          <w:lang w:val="fr-CA"/>
        </w:rPr>
        <w:t>.</w:t>
      </w:r>
    </w:p>
    <w:p w:rsidR="005F030A" w:rsidRPr="00E739DA" w:rsidRDefault="005F030A" w:rsidP="005F030A">
      <w:pPr>
        <w:pStyle w:val="ParaNoNdepar-AltN"/>
        <w:spacing w:before="0"/>
        <w:rPr>
          <w:rFonts w:cs="Times New Roman"/>
          <w:lang w:val="fr-CA"/>
        </w:rPr>
      </w:pPr>
      <w:r w:rsidRPr="00E739DA">
        <w:rPr>
          <w:rFonts w:cs="Times New Roman"/>
          <w:lang w:val="fr-CA"/>
        </w:rPr>
        <w:lastRenderedPageBreak/>
        <w:t xml:space="preserve">La substitution simultanée est le processus par lequel un fournisseur de services de télévision retire temporairement le signal </w:t>
      </w:r>
      <w:r w:rsidRPr="00E739DA">
        <w:rPr>
          <w:rFonts w:cs="Times New Roman"/>
          <w:i/>
          <w:lang w:val="fr-CA"/>
        </w:rPr>
        <w:t xml:space="preserve">entier </w:t>
      </w:r>
      <w:r w:rsidRPr="00E739DA">
        <w:rPr>
          <w:rFonts w:cs="Times New Roman"/>
          <w:lang w:val="fr-CA"/>
        </w:rPr>
        <w:t>d</w:t>
      </w:r>
      <w:r>
        <w:rPr>
          <w:rFonts w:cs="Times New Roman"/>
          <w:lang w:val="fr-CA"/>
        </w:rPr>
        <w:t>’</w:t>
      </w:r>
      <w:r w:rsidRPr="00E739DA">
        <w:rPr>
          <w:rFonts w:cs="Times New Roman"/>
          <w:lang w:val="fr-CA"/>
        </w:rPr>
        <w:t>une station de télévision éloignée (généralement nationale ou internationale) pour le remplacer par le signal d</w:t>
      </w:r>
      <w:r>
        <w:rPr>
          <w:rFonts w:cs="Times New Roman"/>
          <w:lang w:val="fr-CA"/>
        </w:rPr>
        <w:t>’</w:t>
      </w:r>
      <w:r w:rsidRPr="00E739DA">
        <w:rPr>
          <w:rFonts w:cs="Times New Roman"/>
          <w:lang w:val="fr-CA"/>
        </w:rPr>
        <w:t>une autre station de télévision (généralement locale) qui diffuse la même émission en même temps. Les demandes de substitution simultanée sont le plus souvent présentées par des stations de télévision canadiennes jouissant de droits exclusifs de télédiffusion d</w:t>
      </w:r>
      <w:r>
        <w:rPr>
          <w:rFonts w:cs="Times New Roman"/>
          <w:lang w:val="fr-CA"/>
        </w:rPr>
        <w:t>’</w:t>
      </w:r>
      <w:r w:rsidRPr="00E739DA">
        <w:rPr>
          <w:rFonts w:cs="Times New Roman"/>
          <w:lang w:val="fr-CA"/>
        </w:rPr>
        <w:t>une émission américaine donnée afin que des fournisseurs de services de télévision canadiens remplacent le signal d</w:t>
      </w:r>
      <w:r>
        <w:rPr>
          <w:rFonts w:cs="Times New Roman"/>
          <w:lang w:val="fr-CA"/>
        </w:rPr>
        <w:t>’</w:t>
      </w:r>
      <w:r w:rsidRPr="00E739DA">
        <w:rPr>
          <w:rFonts w:cs="Times New Roman"/>
          <w:lang w:val="fr-CA"/>
        </w:rPr>
        <w:t xml:space="preserve">une station américaine qui diffuse cette émission par celui de la station canadienne. Par exemple, si la Canadian </w:t>
      </w:r>
      <w:proofErr w:type="spellStart"/>
      <w:r w:rsidRPr="00E739DA">
        <w:rPr>
          <w:rFonts w:cs="Times New Roman"/>
          <w:lang w:val="fr-CA"/>
        </w:rPr>
        <w:t>Broadcasting</w:t>
      </w:r>
      <w:proofErr w:type="spellEnd"/>
      <w:r w:rsidRPr="00E739DA">
        <w:rPr>
          <w:rFonts w:cs="Times New Roman"/>
          <w:lang w:val="fr-CA"/>
        </w:rPr>
        <w:t xml:space="preserve"> Corporation (« CBC ») jouit du droit exclusif de diffusion d</w:t>
      </w:r>
      <w:r>
        <w:rPr>
          <w:rFonts w:cs="Times New Roman"/>
          <w:lang w:val="fr-CA"/>
        </w:rPr>
        <w:t>’</w:t>
      </w:r>
      <w:r w:rsidRPr="00E739DA">
        <w:rPr>
          <w:rFonts w:cs="Times New Roman"/>
          <w:lang w:val="fr-CA"/>
        </w:rPr>
        <w:t>un événement donné (p. ex. la cérémonie de remise des Oscars), elle peut demander que le signal d</w:t>
      </w:r>
      <w:r>
        <w:rPr>
          <w:rFonts w:cs="Times New Roman"/>
          <w:lang w:val="fr-CA"/>
        </w:rPr>
        <w:t>’</w:t>
      </w:r>
      <w:r w:rsidRPr="00E739DA">
        <w:rPr>
          <w:rFonts w:cs="Times New Roman"/>
          <w:lang w:val="fr-CA"/>
        </w:rPr>
        <w:t>une station américaine qui diffuse cet événement (p. ex. une station de l</w:t>
      </w:r>
      <w:r>
        <w:rPr>
          <w:rFonts w:cs="Times New Roman"/>
          <w:lang w:val="fr-CA"/>
        </w:rPr>
        <w:t>’</w:t>
      </w:r>
      <w:r w:rsidRPr="00E739DA">
        <w:rPr>
          <w:rFonts w:cs="Times New Roman"/>
          <w:lang w:val="fr-CA"/>
        </w:rPr>
        <w:t xml:space="preserve">American </w:t>
      </w:r>
      <w:proofErr w:type="spellStart"/>
      <w:r w:rsidRPr="00E739DA">
        <w:rPr>
          <w:rFonts w:cs="Times New Roman"/>
          <w:lang w:val="fr-CA"/>
        </w:rPr>
        <w:t>Broadcasting</w:t>
      </w:r>
      <w:proofErr w:type="spellEnd"/>
      <w:r w:rsidRPr="00E739DA">
        <w:rPr>
          <w:rFonts w:cs="Times New Roman"/>
          <w:lang w:val="fr-CA"/>
        </w:rPr>
        <w:t xml:space="preserve"> </w:t>
      </w:r>
      <w:proofErr w:type="spellStart"/>
      <w:r w:rsidRPr="00E739DA">
        <w:rPr>
          <w:rFonts w:cs="Times New Roman"/>
          <w:lang w:val="fr-CA"/>
        </w:rPr>
        <w:t>Company</w:t>
      </w:r>
      <w:proofErr w:type="spellEnd"/>
      <w:r w:rsidRPr="00E739DA">
        <w:rPr>
          <w:rFonts w:cs="Times New Roman"/>
          <w:lang w:val="fr-CA"/>
        </w:rPr>
        <w:t xml:space="preserve">) soit remplacé par celui de la CBC. Ainsi, le téléspectateur local verra la télédiffusion par la CBC de cet événement — avec le même contenu que la télédiffusion américaine, </w:t>
      </w:r>
      <w:r w:rsidRPr="00E739DA">
        <w:rPr>
          <w:rFonts w:cs="Times New Roman"/>
          <w:i/>
          <w:lang w:val="fr-CA"/>
        </w:rPr>
        <w:t>mais avec des publicités différentes</w:t>
      </w:r>
      <w:r w:rsidRPr="00E739DA">
        <w:rPr>
          <w:rFonts w:cs="Times New Roman"/>
          <w:lang w:val="fr-CA"/>
        </w:rPr>
        <w:t xml:space="preserve"> — lorsqu</w:t>
      </w:r>
      <w:r>
        <w:rPr>
          <w:rFonts w:cs="Times New Roman"/>
          <w:lang w:val="fr-CA"/>
        </w:rPr>
        <w:t>’</w:t>
      </w:r>
      <w:r w:rsidRPr="00E739DA">
        <w:rPr>
          <w:rFonts w:cs="Times New Roman"/>
          <w:lang w:val="fr-CA"/>
        </w:rPr>
        <w:t>il syntonisera l</w:t>
      </w:r>
      <w:r>
        <w:rPr>
          <w:rFonts w:cs="Times New Roman"/>
          <w:lang w:val="fr-CA"/>
        </w:rPr>
        <w:t>’</w:t>
      </w:r>
      <w:r w:rsidRPr="00E739DA">
        <w:rPr>
          <w:rFonts w:cs="Times New Roman"/>
          <w:lang w:val="fr-CA"/>
        </w:rPr>
        <w:t>une ou l</w:t>
      </w:r>
      <w:r>
        <w:rPr>
          <w:rFonts w:cs="Times New Roman"/>
          <w:lang w:val="fr-CA"/>
        </w:rPr>
        <w:t>’</w:t>
      </w:r>
      <w:r w:rsidRPr="00E739DA">
        <w:rPr>
          <w:rFonts w:cs="Times New Roman"/>
          <w:lang w:val="fr-CA"/>
        </w:rPr>
        <w:t>autre de ces stations.</w:t>
      </w:r>
    </w:p>
    <w:p w:rsidR="005F030A" w:rsidRPr="00E739DA" w:rsidRDefault="005F030A" w:rsidP="005F030A">
      <w:pPr>
        <w:pStyle w:val="ParaNoNdepar-AltN"/>
        <w:spacing w:before="0"/>
        <w:rPr>
          <w:rFonts w:cs="Times New Roman"/>
          <w:lang w:val="fr-CA"/>
        </w:rPr>
      </w:pPr>
      <w:r w:rsidRPr="00E739DA">
        <w:rPr>
          <w:rFonts w:cs="Times New Roman"/>
          <w:lang w:val="fr-CA"/>
        </w:rPr>
        <w:t>Une raison importante pour laquelle le CRTC autorise la substitution simultanée, à titre d</w:t>
      </w:r>
      <w:r>
        <w:rPr>
          <w:rFonts w:cs="Times New Roman"/>
          <w:lang w:val="fr-CA"/>
        </w:rPr>
        <w:t>’</w:t>
      </w:r>
      <w:r w:rsidRPr="00E739DA">
        <w:rPr>
          <w:rFonts w:cs="Times New Roman"/>
          <w:lang w:val="fr-CA"/>
        </w:rPr>
        <w:t>exception à la règle générale énoncée à l</w:t>
      </w:r>
      <w:r>
        <w:rPr>
          <w:rFonts w:cs="Times New Roman"/>
          <w:lang w:val="fr-CA"/>
        </w:rPr>
        <w:t>’</w:t>
      </w:r>
      <w:r w:rsidRPr="00E739DA">
        <w:rPr>
          <w:rFonts w:cs="Times New Roman"/>
          <w:lang w:val="fr-CA"/>
        </w:rPr>
        <w:t xml:space="preserve">art. 7 du </w:t>
      </w:r>
      <w:r w:rsidRPr="00E739DA">
        <w:rPr>
          <w:rFonts w:cs="Times New Roman"/>
          <w:i/>
          <w:lang w:val="fr-CA"/>
        </w:rPr>
        <w:t>Règlement sur la distribution</w:t>
      </w:r>
      <w:r w:rsidRPr="00E739DA">
        <w:rPr>
          <w:rFonts w:cs="Times New Roman"/>
          <w:lang w:val="fr-CA"/>
        </w:rPr>
        <w:t>, est qu</w:t>
      </w:r>
      <w:r>
        <w:rPr>
          <w:rFonts w:cs="Times New Roman"/>
          <w:lang w:val="fr-CA"/>
        </w:rPr>
        <w:t>’</w:t>
      </w:r>
      <w:r w:rsidRPr="00E739DA">
        <w:rPr>
          <w:rFonts w:cs="Times New Roman"/>
          <w:lang w:val="fr-CA"/>
        </w:rPr>
        <w:t>une telle mesure permet aux radiodiffuseurs canadiens de générer des revenus publicitaires plus élevés :</w:t>
      </w:r>
    </w:p>
    <w:p w:rsidR="005F030A" w:rsidRPr="00E739DA" w:rsidRDefault="005F030A" w:rsidP="005F030A">
      <w:pPr>
        <w:pStyle w:val="Citation-AltC"/>
        <w:spacing w:after="240"/>
        <w:ind w:hanging="446"/>
        <w:contextualSpacing w:val="0"/>
        <w:rPr>
          <w:rStyle w:val="Emphasis"/>
          <w:lang w:val="fr-CA"/>
        </w:rPr>
      </w:pPr>
      <w:r w:rsidRPr="00E739DA">
        <w:rPr>
          <w:iCs/>
          <w:lang w:val="fr-CA"/>
        </w:rPr>
        <w:tab/>
        <w:t>Le dossier de la présente instance indique que la substitution simultanée demeure très avantageuse pour les radiodiffuseurs canadiens puisqu</w:t>
      </w:r>
      <w:r>
        <w:rPr>
          <w:iCs/>
          <w:lang w:val="fr-CA"/>
        </w:rPr>
        <w:t>’</w:t>
      </w:r>
      <w:r w:rsidRPr="00E739DA">
        <w:rPr>
          <w:iCs/>
          <w:lang w:val="fr-CA"/>
        </w:rPr>
        <w:t>elle leur permet d</w:t>
      </w:r>
      <w:r>
        <w:rPr>
          <w:iCs/>
          <w:lang w:val="fr-CA"/>
        </w:rPr>
        <w:t>’</w:t>
      </w:r>
      <w:r w:rsidRPr="00E739DA">
        <w:rPr>
          <w:iCs/>
          <w:lang w:val="fr-CA"/>
        </w:rPr>
        <w:t>exploiter et de rentabiliser au maximum les droits d</w:t>
      </w:r>
      <w:r>
        <w:rPr>
          <w:iCs/>
          <w:lang w:val="fr-CA"/>
        </w:rPr>
        <w:t>’</w:t>
      </w:r>
      <w:r w:rsidRPr="00E739DA">
        <w:rPr>
          <w:iCs/>
          <w:lang w:val="fr-CA"/>
        </w:rPr>
        <w:t>émissions qu</w:t>
      </w:r>
      <w:r>
        <w:rPr>
          <w:iCs/>
          <w:lang w:val="fr-CA"/>
        </w:rPr>
        <w:t>’</w:t>
      </w:r>
      <w:r w:rsidRPr="00E739DA">
        <w:rPr>
          <w:iCs/>
          <w:lang w:val="fr-CA"/>
        </w:rPr>
        <w:t>ils achètent, au profit de leur investissement dans la production d</w:t>
      </w:r>
      <w:r>
        <w:rPr>
          <w:iCs/>
          <w:lang w:val="fr-CA"/>
        </w:rPr>
        <w:t>’</w:t>
      </w:r>
      <w:r w:rsidRPr="00E739DA">
        <w:rPr>
          <w:iCs/>
          <w:lang w:val="fr-CA"/>
        </w:rPr>
        <w:t xml:space="preserve">émissions canadiennes. Bien que le Conseil reconnaisse les défis en matière de quantification des avantages financiers réels de la </w:t>
      </w:r>
      <w:r w:rsidRPr="00E739DA">
        <w:rPr>
          <w:iCs/>
          <w:lang w:val="fr-CA"/>
        </w:rPr>
        <w:lastRenderedPageBreak/>
        <w:t>substitution simultanée pour les radiodiffuseurs, il est en général d</w:t>
      </w:r>
      <w:r>
        <w:rPr>
          <w:iCs/>
          <w:lang w:val="fr-CA"/>
        </w:rPr>
        <w:t>’</w:t>
      </w:r>
      <w:r w:rsidRPr="00E739DA">
        <w:rPr>
          <w:iCs/>
          <w:lang w:val="fr-CA"/>
        </w:rPr>
        <w:t>avis que la valeur estimée des revenus de publicité attribuables à la substitution, pour l</w:t>
      </w:r>
      <w:r>
        <w:rPr>
          <w:iCs/>
          <w:lang w:val="fr-CA"/>
        </w:rPr>
        <w:t>’</w:t>
      </w:r>
      <w:r w:rsidRPr="00E739DA">
        <w:rPr>
          <w:iCs/>
          <w:lang w:val="fr-CA"/>
        </w:rPr>
        <w:t>année de radiodiffusion 2012</w:t>
      </w:r>
      <w:r w:rsidRPr="00E739DA">
        <w:rPr>
          <w:iCs/>
          <w:lang w:val="fr-CA"/>
        </w:rPr>
        <w:noBreakHyphen/>
        <w:t>2013, est d</w:t>
      </w:r>
      <w:r>
        <w:rPr>
          <w:iCs/>
          <w:lang w:val="fr-CA"/>
        </w:rPr>
        <w:t>’</w:t>
      </w:r>
      <w:r w:rsidRPr="00E739DA">
        <w:rPr>
          <w:iCs/>
          <w:lang w:val="fr-CA"/>
        </w:rPr>
        <w:t>environ 250 millions de dollars.</w:t>
      </w:r>
    </w:p>
    <w:p w:rsidR="005F030A" w:rsidRPr="00E739DA" w:rsidRDefault="005F030A" w:rsidP="00205E10">
      <w:pPr>
        <w:pStyle w:val="Citation-AltC"/>
        <w:ind w:left="0"/>
        <w:contextualSpacing w:val="0"/>
        <w:rPr>
          <w:rStyle w:val="Emphasis"/>
          <w:i w:val="0"/>
          <w:lang w:val="fr-CA"/>
        </w:rPr>
      </w:pPr>
      <w:r w:rsidRPr="00FF269B">
        <w:rPr>
          <w:rStyle w:val="Emphasis"/>
          <w:i w:val="0"/>
          <w:lang w:val="fr-CA"/>
        </w:rPr>
        <w:t>(</w:t>
      </w:r>
      <w:r w:rsidRPr="00711AC1">
        <w:rPr>
          <w:rStyle w:val="Emphasis"/>
          <w:i w:val="0"/>
          <w:lang w:val="fr-CA"/>
        </w:rPr>
        <w:t>Politique réglementaire de radiodiffusion CRTC 2015</w:t>
      </w:r>
      <w:r w:rsidRPr="00711AC1">
        <w:rPr>
          <w:rStyle w:val="Emphasis"/>
          <w:i w:val="0"/>
          <w:lang w:val="fr-CA"/>
        </w:rPr>
        <w:noBreakHyphen/>
        <w:t>25, 29 janvier 2015 (en ligne), par. 14</w:t>
      </w:r>
      <w:r w:rsidRPr="00FF269B">
        <w:rPr>
          <w:rStyle w:val="Emphasis"/>
          <w:i w:val="0"/>
          <w:lang w:val="fr-CA"/>
        </w:rPr>
        <w:t>)</w:t>
      </w:r>
    </w:p>
    <w:p w:rsidR="005F030A" w:rsidRPr="00E739DA" w:rsidRDefault="005F030A" w:rsidP="005F030A">
      <w:pPr>
        <w:pStyle w:val="ContinueParaSuitedupar-AltP"/>
        <w:spacing w:before="0"/>
        <w:rPr>
          <w:rFonts w:cs="Times New Roman"/>
          <w:lang w:val="fr-CA"/>
        </w:rPr>
      </w:pPr>
      <w:r w:rsidRPr="00E739DA">
        <w:rPr>
          <w:rFonts w:cs="Times New Roman"/>
          <w:lang w:val="fr-CA"/>
        </w:rPr>
        <w:t>En termes simples, parce que la substitution simultanée permet aux stations de télévision locales de maximiser leurs auditoires à l</w:t>
      </w:r>
      <w:r>
        <w:rPr>
          <w:rFonts w:cs="Times New Roman"/>
          <w:lang w:val="fr-CA"/>
        </w:rPr>
        <w:t>’</w:t>
      </w:r>
      <w:r w:rsidRPr="00E739DA">
        <w:rPr>
          <w:rFonts w:cs="Times New Roman"/>
          <w:lang w:val="fr-CA"/>
        </w:rPr>
        <w:t>égard de certaines émissions, ces stations peuvent demander aux annonceurs des tarifs plus élevés pour les messages publicitaires diffusés durant ces émissions.</w:t>
      </w:r>
    </w:p>
    <w:p w:rsidR="005F030A" w:rsidRPr="00E739DA" w:rsidRDefault="005F030A" w:rsidP="005F030A">
      <w:pPr>
        <w:pStyle w:val="ParaNoNdepar-AltN"/>
        <w:spacing w:before="0"/>
        <w:rPr>
          <w:rFonts w:cs="Times New Roman"/>
          <w:lang w:val="fr-CA"/>
        </w:rPr>
      </w:pPr>
      <w:r w:rsidRPr="00E739DA">
        <w:rPr>
          <w:rFonts w:cs="Times New Roman"/>
          <w:lang w:val="fr-CA"/>
        </w:rPr>
        <w:t>L</w:t>
      </w:r>
      <w:r>
        <w:rPr>
          <w:rFonts w:cs="Times New Roman"/>
          <w:lang w:val="fr-CA"/>
        </w:rPr>
        <w:t>’</w:t>
      </w:r>
      <w:r w:rsidRPr="00E739DA">
        <w:rPr>
          <w:rFonts w:cs="Times New Roman"/>
          <w:lang w:val="fr-CA"/>
        </w:rPr>
        <w:t xml:space="preserve">article 3 du </w:t>
      </w:r>
      <w:r w:rsidRPr="00E739DA">
        <w:rPr>
          <w:rFonts w:cs="Times New Roman"/>
          <w:i/>
          <w:lang w:val="fr-CA"/>
        </w:rPr>
        <w:t xml:space="preserve">Règlement sur la substitution simultanée </w:t>
      </w:r>
      <w:r w:rsidRPr="00E739DA">
        <w:rPr>
          <w:rFonts w:cs="Times New Roman"/>
          <w:lang w:val="fr-CA"/>
        </w:rPr>
        <w:t>autorise l</w:t>
      </w:r>
      <w:r>
        <w:rPr>
          <w:rFonts w:cs="Times New Roman"/>
          <w:lang w:val="fr-FR"/>
        </w:rPr>
        <w:t>’</w:t>
      </w:r>
      <w:r w:rsidRPr="00E739DA">
        <w:rPr>
          <w:rFonts w:cs="Times New Roman"/>
          <w:lang w:val="fr-FR"/>
        </w:rPr>
        <w:t>exploitant d</w:t>
      </w:r>
      <w:r>
        <w:rPr>
          <w:rFonts w:cs="Times New Roman"/>
          <w:lang w:val="fr-FR"/>
        </w:rPr>
        <w:t>’</w:t>
      </w:r>
      <w:r w:rsidRPr="00E739DA">
        <w:rPr>
          <w:rFonts w:cs="Times New Roman"/>
          <w:lang w:val="fr-FR"/>
        </w:rPr>
        <w:t xml:space="preserve">une station de télévision canadienne à demander à un </w:t>
      </w:r>
      <w:r w:rsidRPr="00E739DA">
        <w:rPr>
          <w:rFonts w:cs="Times New Roman"/>
          <w:lang w:val="fr-CA"/>
        </w:rPr>
        <w:t>fournisseur de services de télévision « </w:t>
      </w:r>
      <w:r w:rsidRPr="00E739DA">
        <w:rPr>
          <w:rFonts w:cs="Times New Roman"/>
          <w:lang w:val="fr-FR"/>
        </w:rPr>
        <w:t>de retirer le service de programmation d</w:t>
      </w:r>
      <w:r>
        <w:rPr>
          <w:rFonts w:cs="Times New Roman"/>
          <w:lang w:val="fr-FR"/>
        </w:rPr>
        <w:t>’</w:t>
      </w:r>
      <w:r w:rsidRPr="00E739DA">
        <w:rPr>
          <w:rFonts w:cs="Times New Roman"/>
          <w:lang w:val="fr-FR"/>
        </w:rPr>
        <w:t>une station de télévision canadienne ou d</w:t>
      </w:r>
      <w:r>
        <w:rPr>
          <w:rFonts w:cs="Times New Roman"/>
          <w:lang w:val="fr-FR"/>
        </w:rPr>
        <w:t>’</w:t>
      </w:r>
      <w:r w:rsidRPr="00E739DA">
        <w:rPr>
          <w:rFonts w:cs="Times New Roman"/>
          <w:lang w:val="fr-FR"/>
        </w:rPr>
        <w:t>une station de télévision non canadienne et d</w:t>
      </w:r>
      <w:r>
        <w:rPr>
          <w:rFonts w:cs="Times New Roman"/>
          <w:lang w:val="fr-FR"/>
        </w:rPr>
        <w:t>’</w:t>
      </w:r>
      <w:r w:rsidRPr="00E739DA">
        <w:rPr>
          <w:rFonts w:cs="Times New Roman"/>
          <w:lang w:val="fr-FR"/>
        </w:rPr>
        <w:t>y substituer le service de programmation d</w:t>
      </w:r>
      <w:r>
        <w:rPr>
          <w:rFonts w:cs="Times New Roman"/>
          <w:lang w:val="fr-FR"/>
        </w:rPr>
        <w:t>’</w:t>
      </w:r>
      <w:r w:rsidRPr="00E739DA">
        <w:rPr>
          <w:rFonts w:cs="Times New Roman"/>
          <w:lang w:val="fr-FR"/>
        </w:rPr>
        <w:t>une station de télévision locale ou d</w:t>
      </w:r>
      <w:r>
        <w:rPr>
          <w:rFonts w:cs="Times New Roman"/>
          <w:lang w:val="fr-FR"/>
        </w:rPr>
        <w:t>’</w:t>
      </w:r>
      <w:r w:rsidRPr="00E739DA">
        <w:rPr>
          <w:rFonts w:cs="Times New Roman"/>
          <w:lang w:val="fr-FR"/>
        </w:rPr>
        <w:t>une station de télévision régionale</w:t>
      </w:r>
      <w:r w:rsidRPr="00E739DA">
        <w:rPr>
          <w:rFonts w:cs="Times New Roman"/>
          <w:lang w:val="fr-CA"/>
        </w:rPr>
        <w:t> ». Aux termes de l</w:t>
      </w:r>
      <w:r>
        <w:rPr>
          <w:rFonts w:cs="Times New Roman"/>
          <w:lang w:val="fr-CA"/>
        </w:rPr>
        <w:t>’</w:t>
      </w:r>
      <w:r w:rsidRPr="00E739DA">
        <w:rPr>
          <w:rFonts w:cs="Times New Roman"/>
          <w:lang w:val="fr-CA"/>
        </w:rPr>
        <w:t>al. 4(1)b), le fournisseur de services de télévision doit donner suite à la demande si, notamment, « </w:t>
      </w:r>
      <w:r w:rsidRPr="00E739DA">
        <w:rPr>
          <w:rFonts w:cs="Times New Roman"/>
          <w:lang w:val="fr-FR"/>
        </w:rPr>
        <w:t>le service de programmation à retirer et le service de programmation à substituer sont comparables et doivent être diffusés simultanément</w:t>
      </w:r>
      <w:r w:rsidRPr="00E739DA">
        <w:rPr>
          <w:rFonts w:cs="Times New Roman"/>
          <w:lang w:val="fr-CA"/>
        </w:rPr>
        <w:t> ». Suivant le par. 4(3), toutefois, le fournisseur de services de télévision « </w:t>
      </w:r>
      <w:r w:rsidRPr="00E739DA">
        <w:rPr>
          <w:rFonts w:cs="Times New Roman"/>
          <w:lang w:val="fr-FR"/>
        </w:rPr>
        <w:t xml:space="preserve">ne peut retirer un service de programmation et y substituer un autre service de programmation si le [CRTC] rend une décision, en vertu du paragraphe 18(3) de la </w:t>
      </w:r>
      <w:r w:rsidRPr="00E739DA">
        <w:rPr>
          <w:rFonts w:cs="Times New Roman"/>
          <w:i/>
          <w:iCs/>
          <w:lang w:val="fr-FR"/>
        </w:rPr>
        <w:t>Loi sur la radiodiffusion</w:t>
      </w:r>
      <w:r w:rsidRPr="00E739DA">
        <w:rPr>
          <w:rFonts w:cs="Times New Roman"/>
          <w:lang w:val="fr-FR"/>
        </w:rPr>
        <w:t>, portant que le retrait et la substitution ne sont pas dans l</w:t>
      </w:r>
      <w:r>
        <w:rPr>
          <w:rFonts w:cs="Times New Roman"/>
          <w:lang w:val="fr-FR"/>
        </w:rPr>
        <w:t>’</w:t>
      </w:r>
      <w:r w:rsidRPr="00E739DA">
        <w:rPr>
          <w:rFonts w:cs="Times New Roman"/>
          <w:lang w:val="fr-FR"/>
        </w:rPr>
        <w:t>intérêt public</w:t>
      </w:r>
      <w:r w:rsidRPr="00E739DA">
        <w:rPr>
          <w:rFonts w:cs="Times New Roman"/>
          <w:lang w:val="fr-CA"/>
        </w:rPr>
        <w:t xml:space="preserve"> ». Le paragraphe 18(3) de la </w:t>
      </w:r>
      <w:r w:rsidRPr="00E739DA">
        <w:rPr>
          <w:rFonts w:cs="Times New Roman"/>
          <w:i/>
          <w:lang w:val="fr-CA"/>
        </w:rPr>
        <w:t>Loi sur la radiodiffusion</w:t>
      </w:r>
      <w:r w:rsidRPr="00E739DA">
        <w:rPr>
          <w:rFonts w:cs="Times New Roman"/>
          <w:lang w:val="fr-CA"/>
        </w:rPr>
        <w:t xml:space="preserve"> est rédigé ainsi :</w:t>
      </w:r>
    </w:p>
    <w:p w:rsidR="005F030A" w:rsidRPr="00E739DA" w:rsidRDefault="005F030A" w:rsidP="005F030A">
      <w:pPr>
        <w:pStyle w:val="Citation-AltC"/>
        <w:tabs>
          <w:tab w:val="left" w:pos="1440"/>
        </w:tabs>
        <w:contextualSpacing w:val="0"/>
        <w:rPr>
          <w:lang w:val="fr-CA"/>
        </w:rPr>
      </w:pPr>
      <w:r w:rsidRPr="00E739DA">
        <w:rPr>
          <w:lang w:val="fr-FR"/>
        </w:rPr>
        <w:tab/>
        <w:t xml:space="preserve">Les plaintes et les observations présentées au [CRTC], de même que toute autre question relevant de sa compétence au titre de la présente loi, </w:t>
      </w:r>
      <w:r w:rsidRPr="00E739DA">
        <w:rPr>
          <w:lang w:val="fr-FR"/>
        </w:rPr>
        <w:lastRenderedPageBreak/>
        <w:t>font l</w:t>
      </w:r>
      <w:r>
        <w:rPr>
          <w:lang w:val="fr-FR"/>
        </w:rPr>
        <w:t>’</w:t>
      </w:r>
      <w:r w:rsidRPr="00E739DA">
        <w:rPr>
          <w:lang w:val="fr-FR"/>
        </w:rPr>
        <w:t>objet de telles audiences, d</w:t>
      </w:r>
      <w:r>
        <w:rPr>
          <w:lang w:val="fr-FR"/>
        </w:rPr>
        <w:t>’</w:t>
      </w:r>
      <w:r w:rsidRPr="00E739DA">
        <w:rPr>
          <w:lang w:val="fr-FR"/>
        </w:rPr>
        <w:t>un rapport et d</w:t>
      </w:r>
      <w:r>
        <w:rPr>
          <w:lang w:val="fr-FR"/>
        </w:rPr>
        <w:t>’</w:t>
      </w:r>
      <w:r w:rsidRPr="00E739DA">
        <w:rPr>
          <w:lang w:val="fr-FR"/>
        </w:rPr>
        <w:t>une décision — notamment une approbation — si le [CRTC] l</w:t>
      </w:r>
      <w:r>
        <w:rPr>
          <w:lang w:val="fr-FR"/>
        </w:rPr>
        <w:t>’</w:t>
      </w:r>
      <w:r w:rsidRPr="00E739DA">
        <w:rPr>
          <w:lang w:val="fr-FR"/>
        </w:rPr>
        <w:t>estime dans l</w:t>
      </w:r>
      <w:r>
        <w:rPr>
          <w:lang w:val="fr-FR"/>
        </w:rPr>
        <w:t>’</w:t>
      </w:r>
      <w:r w:rsidRPr="00E739DA">
        <w:rPr>
          <w:lang w:val="fr-FR"/>
        </w:rPr>
        <w:t>intérêt public</w:t>
      </w:r>
      <w:r w:rsidRPr="00E739DA">
        <w:rPr>
          <w:lang w:val="fr-CA"/>
        </w:rPr>
        <w:t>.</w:t>
      </w:r>
    </w:p>
    <w:p w:rsidR="005F030A" w:rsidRPr="00E739DA" w:rsidRDefault="005F030A" w:rsidP="005F030A">
      <w:pPr>
        <w:pStyle w:val="ParaNoNdepar-AltN"/>
        <w:spacing w:before="0"/>
        <w:rPr>
          <w:rFonts w:cs="Times New Roman"/>
          <w:lang w:val="fr-CA"/>
        </w:rPr>
      </w:pPr>
      <w:r w:rsidRPr="00E739DA">
        <w:rPr>
          <w:rFonts w:cs="Times New Roman"/>
          <w:lang w:val="fr-CA"/>
        </w:rPr>
        <w:t xml:space="preserve">Les dispositions pertinentes de la </w:t>
      </w:r>
      <w:r w:rsidRPr="00E739DA">
        <w:rPr>
          <w:rFonts w:cs="Times New Roman"/>
          <w:i/>
          <w:lang w:val="fr-CA"/>
        </w:rPr>
        <w:t>Loi sur la radiodiffusion</w:t>
      </w:r>
      <w:r w:rsidRPr="00E739DA">
        <w:rPr>
          <w:rFonts w:cs="Times New Roman"/>
          <w:lang w:val="fr-CA"/>
        </w:rPr>
        <w:t xml:space="preserve">, du </w:t>
      </w:r>
      <w:r w:rsidRPr="00E739DA">
        <w:rPr>
          <w:rFonts w:cs="Times New Roman"/>
          <w:i/>
          <w:lang w:val="fr-CA"/>
        </w:rPr>
        <w:t>Règlement sur la distribution</w:t>
      </w:r>
      <w:r w:rsidRPr="00E739DA">
        <w:rPr>
          <w:rFonts w:cs="Times New Roman"/>
          <w:lang w:val="fr-CA"/>
        </w:rPr>
        <w:t xml:space="preserve"> et du </w:t>
      </w:r>
      <w:r w:rsidRPr="00E739DA">
        <w:rPr>
          <w:rFonts w:cs="Times New Roman"/>
          <w:i/>
          <w:lang w:val="fr-CA"/>
        </w:rPr>
        <w:t xml:space="preserve">Règlement sur la substitution simultanée </w:t>
      </w:r>
      <w:r w:rsidRPr="00E739DA">
        <w:rPr>
          <w:rFonts w:cs="Times New Roman"/>
          <w:lang w:val="fr-CA"/>
        </w:rPr>
        <w:t>sont reproduites en entier à l</w:t>
      </w:r>
      <w:r>
        <w:rPr>
          <w:rFonts w:cs="Times New Roman"/>
          <w:lang w:val="fr-CA"/>
        </w:rPr>
        <w:t>’</w:t>
      </w:r>
      <w:r w:rsidRPr="00E739DA">
        <w:rPr>
          <w:rFonts w:cs="Times New Roman"/>
          <w:lang w:val="fr-CA"/>
        </w:rPr>
        <w:t>annexe A des présents motifs.</w:t>
      </w:r>
    </w:p>
    <w:p w:rsidR="005F030A" w:rsidRPr="00E739DA" w:rsidRDefault="005F030A" w:rsidP="005F030A">
      <w:pPr>
        <w:pStyle w:val="Title2LevelTitre2Niveau"/>
        <w:rPr>
          <w:rFonts w:cs="Times New Roman"/>
          <w:lang w:val="fr-CA"/>
        </w:rPr>
      </w:pPr>
      <w:r w:rsidRPr="00E739DA">
        <w:rPr>
          <w:rFonts w:cs="Times New Roman"/>
          <w:lang w:val="fr-CA"/>
        </w:rPr>
        <w:t>La substitution simultanée et le Super </w:t>
      </w:r>
      <w:proofErr w:type="spellStart"/>
      <w:r w:rsidRPr="00E739DA">
        <w:rPr>
          <w:rFonts w:cs="Times New Roman"/>
          <w:lang w:val="fr-CA"/>
        </w:rPr>
        <w:t>Bowl</w:t>
      </w:r>
      <w:proofErr w:type="spellEnd"/>
    </w:p>
    <w:p w:rsidR="005F030A" w:rsidRPr="00E739DA" w:rsidRDefault="005F030A" w:rsidP="005F030A">
      <w:pPr>
        <w:pStyle w:val="ParaNoNdepar-AltN"/>
        <w:spacing w:before="0"/>
        <w:rPr>
          <w:rFonts w:cs="Times New Roman"/>
          <w:lang w:val="fr-CA"/>
        </w:rPr>
      </w:pPr>
      <w:r w:rsidRPr="00E739DA">
        <w:rPr>
          <w:rFonts w:cs="Times New Roman"/>
          <w:lang w:val="fr-CA"/>
        </w:rPr>
        <w:t xml:space="preserve">Bell Média </w:t>
      </w:r>
      <w:proofErr w:type="spellStart"/>
      <w:r>
        <w:rPr>
          <w:rFonts w:cs="Times New Roman"/>
          <w:lang w:val="fr-CA"/>
        </w:rPr>
        <w:t>i</w:t>
      </w:r>
      <w:r w:rsidRPr="00E739DA">
        <w:rPr>
          <w:rFonts w:cs="Times New Roman"/>
          <w:lang w:val="fr-CA"/>
        </w:rPr>
        <w:t>nc.</w:t>
      </w:r>
      <w:proofErr w:type="spellEnd"/>
      <w:r w:rsidRPr="00E739DA">
        <w:rPr>
          <w:rFonts w:cs="Times New Roman"/>
          <w:lang w:val="fr-CA"/>
        </w:rPr>
        <w:t xml:space="preserve"> (« Bell ») est un radiodiffuseur canadien qui possède et exploite un certain nombre de stations de télévision de CTV dans de petits et grands marchés partout au pays.</w:t>
      </w:r>
    </w:p>
    <w:p w:rsidR="005F030A" w:rsidRPr="00E739DA" w:rsidRDefault="005F030A" w:rsidP="005F030A">
      <w:pPr>
        <w:pStyle w:val="ParaNoNdepar-AltN"/>
        <w:spacing w:before="0"/>
        <w:rPr>
          <w:rFonts w:cs="Times New Roman"/>
          <w:lang w:val="fr-CA"/>
        </w:rPr>
      </w:pPr>
      <w:r w:rsidRPr="00E739DA">
        <w:rPr>
          <w:rFonts w:cs="Times New Roman"/>
          <w:lang w:val="fr-CA"/>
        </w:rPr>
        <w:t>La National Football League (« NFL ») est une association non constituée en personne morale qui regroupe 32 équipes appartenant à des propriétaires différents, qui exploitent chacun une équipe de football professionnel. Le match de championnat de la NFL, le Super </w:t>
      </w:r>
      <w:proofErr w:type="spellStart"/>
      <w:r w:rsidRPr="00E739DA">
        <w:rPr>
          <w:rFonts w:cs="Times New Roman"/>
          <w:lang w:val="fr-CA"/>
        </w:rPr>
        <w:t>Bowl</w:t>
      </w:r>
      <w:proofErr w:type="spellEnd"/>
      <w:r w:rsidRPr="00E739DA">
        <w:rPr>
          <w:rFonts w:cs="Times New Roman"/>
          <w:lang w:val="fr-CA"/>
        </w:rPr>
        <w:t>, figure chaque année parmi les événements télévisuels individuels les plus regardés au Canada.</w:t>
      </w:r>
    </w:p>
    <w:p w:rsidR="005F030A" w:rsidRPr="00E739DA" w:rsidRDefault="005F030A" w:rsidP="005F030A">
      <w:pPr>
        <w:pStyle w:val="ParaNoNdepar-AltN"/>
        <w:spacing w:before="0"/>
        <w:rPr>
          <w:rFonts w:cs="Times New Roman"/>
          <w:lang w:val="fr-CA"/>
        </w:rPr>
      </w:pPr>
      <w:r w:rsidRPr="00E739DA">
        <w:rPr>
          <w:rFonts w:cs="Times New Roman"/>
          <w:lang w:val="fr-CA"/>
        </w:rPr>
        <w:t>La NFL est titulaire des droits d</w:t>
      </w:r>
      <w:r>
        <w:rPr>
          <w:rFonts w:cs="Times New Roman"/>
          <w:lang w:val="fr-CA"/>
        </w:rPr>
        <w:t>’</w:t>
      </w:r>
      <w:r w:rsidRPr="00E739DA">
        <w:rPr>
          <w:rFonts w:cs="Times New Roman"/>
          <w:lang w:val="fr-CA"/>
        </w:rPr>
        <w:t>auteur sur la production télévisuelle du Super </w:t>
      </w:r>
      <w:proofErr w:type="spellStart"/>
      <w:r w:rsidRPr="00E739DA">
        <w:rPr>
          <w:rFonts w:cs="Times New Roman"/>
          <w:lang w:val="fr-CA"/>
        </w:rPr>
        <w:t>Bowl</w:t>
      </w:r>
      <w:proofErr w:type="spellEnd"/>
      <w:r w:rsidRPr="00E739DA">
        <w:rPr>
          <w:rFonts w:cs="Times New Roman"/>
          <w:lang w:val="fr-CA"/>
        </w:rPr>
        <w:t>. En 2013, elle accorde à Bell le droit exclusif de diffuser cet événement au Canada sur CTV jusqu</w:t>
      </w:r>
      <w:r>
        <w:rPr>
          <w:rFonts w:cs="Times New Roman"/>
          <w:lang w:val="fr-CA"/>
        </w:rPr>
        <w:t>’</w:t>
      </w:r>
      <w:r w:rsidRPr="00E739DA">
        <w:rPr>
          <w:rFonts w:cs="Times New Roman"/>
          <w:lang w:val="fr-CA"/>
        </w:rPr>
        <w:t>à la saison 2018</w:t>
      </w:r>
      <w:r w:rsidRPr="00E739DA">
        <w:rPr>
          <w:rFonts w:cs="Times New Roman"/>
          <w:lang w:val="fr-CA"/>
        </w:rPr>
        <w:noBreakHyphen/>
        <w:t>2019.</w:t>
      </w:r>
    </w:p>
    <w:p w:rsidR="005F030A" w:rsidRPr="00E739DA" w:rsidRDefault="005F030A" w:rsidP="005F030A">
      <w:pPr>
        <w:pStyle w:val="ParaNoNdepar-AltN"/>
        <w:spacing w:before="0"/>
        <w:rPr>
          <w:rFonts w:cs="Times New Roman"/>
          <w:lang w:val="fr-CA"/>
        </w:rPr>
      </w:pPr>
      <w:r w:rsidRPr="00E739DA">
        <w:rPr>
          <w:rFonts w:cs="Times New Roman"/>
          <w:lang w:val="fr-CA"/>
        </w:rPr>
        <w:t>Depuis plus de 40 ans, la diffusion au Canada du Super </w:t>
      </w:r>
      <w:proofErr w:type="spellStart"/>
      <w:r w:rsidRPr="00E739DA">
        <w:rPr>
          <w:rFonts w:cs="Times New Roman"/>
          <w:lang w:val="fr-CA"/>
        </w:rPr>
        <w:t>Bowl</w:t>
      </w:r>
      <w:proofErr w:type="spellEnd"/>
      <w:r w:rsidRPr="00E739DA">
        <w:rPr>
          <w:rFonts w:cs="Times New Roman"/>
          <w:lang w:val="fr-CA"/>
        </w:rPr>
        <w:t xml:space="preserve"> est assujettie au régime de substitution simultanée, ce qui veut dire que les téléspectateurs canadiens n</w:t>
      </w:r>
      <w:r>
        <w:rPr>
          <w:rFonts w:cs="Times New Roman"/>
          <w:lang w:val="fr-CA"/>
        </w:rPr>
        <w:t>’</w:t>
      </w:r>
      <w:r w:rsidRPr="00E739DA">
        <w:rPr>
          <w:rFonts w:cs="Times New Roman"/>
          <w:lang w:val="fr-CA"/>
        </w:rPr>
        <w:t>ont pas accès à la télédiffusion américaine de cet événement, au cours de laquelle sont présentés les messages publicitaires américains.</w:t>
      </w:r>
    </w:p>
    <w:p w:rsidR="005F030A" w:rsidRPr="00E739DA" w:rsidRDefault="005F030A" w:rsidP="005F030A">
      <w:pPr>
        <w:pStyle w:val="ParaNoNdepar-AltN"/>
        <w:spacing w:before="0"/>
        <w:rPr>
          <w:rFonts w:cs="Times New Roman"/>
          <w:lang w:val="fr-CA"/>
        </w:rPr>
      </w:pPr>
      <w:r w:rsidRPr="00E739DA">
        <w:rPr>
          <w:rFonts w:cs="Times New Roman"/>
          <w:lang w:val="fr-CA"/>
        </w:rPr>
        <w:lastRenderedPageBreak/>
        <w:t>En 2013, le CRTC lance une vaste consultation publique, appelée « Parlons télé : une conversation avec les Canadiens sur l</w:t>
      </w:r>
      <w:r>
        <w:rPr>
          <w:rFonts w:cs="Times New Roman"/>
          <w:lang w:val="fr-CA"/>
        </w:rPr>
        <w:t>’</w:t>
      </w:r>
      <w:r w:rsidRPr="00E739DA">
        <w:rPr>
          <w:rFonts w:cs="Times New Roman"/>
          <w:lang w:val="fr-CA"/>
        </w:rPr>
        <w:t>avenir de la télévision », afin d</w:t>
      </w:r>
      <w:r>
        <w:rPr>
          <w:rFonts w:cs="Times New Roman"/>
          <w:lang w:val="fr-CA"/>
        </w:rPr>
        <w:t>’</w:t>
      </w:r>
      <w:r w:rsidRPr="00E739DA">
        <w:rPr>
          <w:rFonts w:cs="Times New Roman"/>
          <w:lang w:val="fr-CA"/>
        </w:rPr>
        <w:t>examiner l</w:t>
      </w:r>
      <w:r>
        <w:rPr>
          <w:rFonts w:cs="Times New Roman"/>
          <w:lang w:val="fr-CA"/>
        </w:rPr>
        <w:t>’</w:t>
      </w:r>
      <w:r w:rsidRPr="00E739DA">
        <w:rPr>
          <w:rFonts w:cs="Times New Roman"/>
          <w:lang w:val="fr-CA"/>
        </w:rPr>
        <w:t>ensemble du cadre réglementaire applicable à la télévision au Canada. Dans le cadre de cette consultation, il tient une audience publique visant à recueillir des commentaires sur la substitution simultanée, audience au cours de laquelle des Canadiennes et des Canadiens ont exprimé leur frustration devant l</w:t>
      </w:r>
      <w:r>
        <w:rPr>
          <w:rFonts w:cs="Times New Roman"/>
          <w:lang w:val="fr-CA"/>
        </w:rPr>
        <w:t>’</w:t>
      </w:r>
      <w:r w:rsidRPr="00E739DA">
        <w:rPr>
          <w:rFonts w:cs="Times New Roman"/>
          <w:lang w:val="fr-CA"/>
        </w:rPr>
        <w:t>impossibilité de voir les messages publicitaires hautement médiatisés présentés lors de la télédiffusion américaine du Super </w:t>
      </w:r>
      <w:proofErr w:type="spellStart"/>
      <w:r w:rsidRPr="00E739DA">
        <w:rPr>
          <w:rFonts w:cs="Times New Roman"/>
          <w:lang w:val="fr-CA"/>
        </w:rPr>
        <w:t>Bowl</w:t>
      </w:r>
      <w:proofErr w:type="spellEnd"/>
      <w:r w:rsidRPr="00E739DA">
        <w:rPr>
          <w:rFonts w:cs="Times New Roman"/>
          <w:lang w:val="fr-CA"/>
        </w:rPr>
        <w:t>.</w:t>
      </w:r>
    </w:p>
    <w:p w:rsidR="005F030A" w:rsidRPr="00E739DA" w:rsidRDefault="005F030A" w:rsidP="005F030A">
      <w:pPr>
        <w:pStyle w:val="ParaNoNdepar-AltN"/>
        <w:spacing w:before="0"/>
        <w:rPr>
          <w:rFonts w:cs="Times New Roman"/>
          <w:lang w:val="fr-CA"/>
        </w:rPr>
      </w:pPr>
      <w:r w:rsidRPr="00E739DA">
        <w:rPr>
          <w:rFonts w:cs="Times New Roman"/>
          <w:lang w:val="fr-CA"/>
        </w:rPr>
        <w:t>Le 29</w:t>
      </w:r>
      <w:r>
        <w:rPr>
          <w:rFonts w:cs="Times New Roman"/>
          <w:lang w:val="fr-CA"/>
        </w:rPr>
        <w:t> </w:t>
      </w:r>
      <w:r w:rsidRPr="00E739DA">
        <w:rPr>
          <w:rFonts w:cs="Times New Roman"/>
          <w:lang w:val="fr-CA"/>
        </w:rPr>
        <w:t>janvier 2015, le CRTC publie la P</w:t>
      </w:r>
      <w:r w:rsidRPr="00E739DA">
        <w:rPr>
          <w:rFonts w:cs="Times New Roman"/>
          <w:iCs/>
          <w:lang w:val="fr-CA"/>
        </w:rPr>
        <w:t>olitique réglementaire de radiodiffusion CRTC 2015</w:t>
      </w:r>
      <w:r w:rsidRPr="00E739DA">
        <w:rPr>
          <w:rFonts w:cs="Times New Roman"/>
          <w:iCs/>
          <w:lang w:val="fr-CA"/>
        </w:rPr>
        <w:noBreakHyphen/>
        <w:t>25</w:t>
      </w:r>
      <w:r w:rsidRPr="00E739DA">
        <w:rPr>
          <w:rFonts w:cs="Times New Roman"/>
          <w:lang w:val="fr-CA"/>
        </w:rPr>
        <w:t>, annonçant son intention de continuer à permettre le recours à la substitution simultanée de façon générale, mais de ne pas permettre cette mesure, entre autres, pour la radiodiffusion du Super </w:t>
      </w:r>
      <w:proofErr w:type="spellStart"/>
      <w:r w:rsidRPr="00E739DA">
        <w:rPr>
          <w:rFonts w:cs="Times New Roman"/>
          <w:lang w:val="fr-CA"/>
        </w:rPr>
        <w:t>Bowl</w:t>
      </w:r>
      <w:proofErr w:type="spellEnd"/>
      <w:r w:rsidRPr="00E739DA">
        <w:rPr>
          <w:rFonts w:cs="Times New Roman"/>
          <w:lang w:val="fr-CA"/>
        </w:rPr>
        <w:t>, et ce, à compter de 2017. Le CRTC fonde sa décision sur « [l]</w:t>
      </w:r>
      <w:r w:rsidRPr="00E739DA">
        <w:rPr>
          <w:rFonts w:cs="Times New Roman"/>
          <w:lang w:val="fr-FR"/>
        </w:rPr>
        <w:t>es commentaires des Canadiens et [le] fait que la publicité non canadienne produite à l</w:t>
      </w:r>
      <w:r>
        <w:rPr>
          <w:rFonts w:cs="Times New Roman"/>
          <w:lang w:val="fr-FR"/>
        </w:rPr>
        <w:t>’</w:t>
      </w:r>
      <w:r w:rsidRPr="00E739DA">
        <w:rPr>
          <w:rFonts w:cs="Times New Roman"/>
          <w:lang w:val="fr-FR"/>
        </w:rPr>
        <w:t>occasion du Super </w:t>
      </w:r>
      <w:proofErr w:type="spellStart"/>
      <w:r w:rsidRPr="00E739DA">
        <w:rPr>
          <w:rFonts w:cs="Times New Roman"/>
          <w:lang w:val="fr-FR"/>
        </w:rPr>
        <w:t>Bowl</w:t>
      </w:r>
      <w:proofErr w:type="spellEnd"/>
      <w:r w:rsidRPr="00E739DA">
        <w:rPr>
          <w:rFonts w:cs="Times New Roman"/>
          <w:lang w:val="fr-FR"/>
        </w:rPr>
        <w:t xml:space="preserve"> fait partie intégrante de la diffusion de cet événement spécial</w:t>
      </w:r>
      <w:r w:rsidRPr="00E739DA">
        <w:rPr>
          <w:rFonts w:cs="Times New Roman"/>
          <w:lang w:val="fr-CA"/>
        </w:rPr>
        <w:t> » (par. 22).</w:t>
      </w:r>
    </w:p>
    <w:p w:rsidR="005F030A" w:rsidRPr="00E739DA" w:rsidRDefault="005F030A" w:rsidP="005F030A">
      <w:pPr>
        <w:pStyle w:val="ParaNoNdepar-AltN"/>
        <w:spacing w:before="0"/>
        <w:rPr>
          <w:rFonts w:cs="Times New Roman"/>
          <w:lang w:val="fr-CA"/>
        </w:rPr>
      </w:pPr>
      <w:r w:rsidRPr="00E739DA">
        <w:rPr>
          <w:rFonts w:cs="Times New Roman"/>
          <w:lang w:val="fr-CA"/>
        </w:rPr>
        <w:t>Le19 novembre 2015, le CRTC annonce l</w:t>
      </w:r>
      <w:r>
        <w:rPr>
          <w:rFonts w:cs="Times New Roman"/>
          <w:lang w:val="fr-CA"/>
        </w:rPr>
        <w:t>’</w:t>
      </w:r>
      <w:r w:rsidRPr="00E739DA">
        <w:rPr>
          <w:rFonts w:cs="Times New Roman"/>
          <w:lang w:val="fr-CA"/>
        </w:rPr>
        <w:t xml:space="preserve">édiction du </w:t>
      </w:r>
      <w:r w:rsidRPr="00E739DA">
        <w:rPr>
          <w:rFonts w:cs="Times New Roman"/>
          <w:i/>
          <w:lang w:val="fr-CA"/>
        </w:rPr>
        <w:t>Règlement sur la substitution simultanée</w:t>
      </w:r>
      <w:r w:rsidRPr="00E739DA">
        <w:rPr>
          <w:rFonts w:cs="Times New Roman"/>
          <w:lang w:val="fr-CA"/>
        </w:rPr>
        <w:t xml:space="preserve">, afin de remplacer le régime précédent établi dans le </w:t>
      </w:r>
      <w:r w:rsidRPr="00E739DA">
        <w:rPr>
          <w:rFonts w:cs="Times New Roman"/>
          <w:i/>
          <w:lang w:val="fr-CA"/>
        </w:rPr>
        <w:t>Règlement sur la distribution</w:t>
      </w:r>
      <w:r w:rsidRPr="00E739DA">
        <w:rPr>
          <w:rFonts w:cs="Times New Roman"/>
          <w:lang w:val="fr-CA"/>
        </w:rPr>
        <w:t>. Dans la P</w:t>
      </w:r>
      <w:r w:rsidRPr="00E739DA">
        <w:rPr>
          <w:rFonts w:cs="Times New Roman"/>
          <w:iCs/>
          <w:lang w:val="fr-CA"/>
        </w:rPr>
        <w:t>olitique réglementaire de radiodiffusion CRTC</w:t>
      </w:r>
      <w:r w:rsidRPr="00E739DA">
        <w:rPr>
          <w:rFonts w:cs="Times New Roman"/>
          <w:lang w:val="fr-CA"/>
        </w:rPr>
        <w:t xml:space="preserve"> 2015</w:t>
      </w:r>
      <w:r w:rsidRPr="00E739DA">
        <w:rPr>
          <w:rFonts w:cs="Times New Roman"/>
          <w:lang w:val="fr-CA"/>
        </w:rPr>
        <w:noBreakHyphen/>
        <w:t>513, 19 novembre 2015 (en ligne) qui l</w:t>
      </w:r>
      <w:r>
        <w:rPr>
          <w:rFonts w:cs="Times New Roman"/>
          <w:lang w:val="fr-CA"/>
        </w:rPr>
        <w:t>’</w:t>
      </w:r>
      <w:r w:rsidRPr="00E739DA">
        <w:rPr>
          <w:rFonts w:cs="Times New Roman"/>
          <w:lang w:val="fr-CA"/>
        </w:rPr>
        <w:t>accompagne, le CRTC indique qu</w:t>
      </w:r>
      <w:r>
        <w:rPr>
          <w:rFonts w:cs="Times New Roman"/>
          <w:lang w:val="fr-CA"/>
        </w:rPr>
        <w:t>’</w:t>
      </w:r>
      <w:r w:rsidRPr="00E739DA">
        <w:rPr>
          <w:rFonts w:cs="Times New Roman"/>
          <w:lang w:val="fr-CA"/>
        </w:rPr>
        <w:t>il entend interdire la substitution simultanée lors du Super </w:t>
      </w:r>
      <w:proofErr w:type="spellStart"/>
      <w:r w:rsidRPr="00E739DA">
        <w:rPr>
          <w:rFonts w:cs="Times New Roman"/>
          <w:lang w:val="fr-CA"/>
        </w:rPr>
        <w:t>Bowl</w:t>
      </w:r>
      <w:proofErr w:type="spellEnd"/>
      <w:r w:rsidRPr="00E739DA">
        <w:rPr>
          <w:rFonts w:cs="Times New Roman"/>
          <w:lang w:val="fr-CA"/>
        </w:rPr>
        <w:t xml:space="preserve"> en rendant une ordonnance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w:t>
      </w:r>
    </w:p>
    <w:p w:rsidR="005F030A" w:rsidRPr="00E739DA" w:rsidRDefault="005F030A" w:rsidP="005F030A">
      <w:pPr>
        <w:pStyle w:val="ParaNoNdepar-AltN"/>
        <w:rPr>
          <w:rFonts w:cs="Times New Roman"/>
          <w:lang w:val="fr-CA"/>
        </w:rPr>
      </w:pPr>
      <w:r w:rsidRPr="00E739DA">
        <w:rPr>
          <w:rFonts w:cs="Times New Roman"/>
          <w:lang w:val="fr-CA"/>
        </w:rPr>
        <w:lastRenderedPageBreak/>
        <w:t>La Cour d</w:t>
      </w:r>
      <w:r>
        <w:rPr>
          <w:rFonts w:cs="Times New Roman"/>
          <w:lang w:val="fr-CA"/>
        </w:rPr>
        <w:t>’</w:t>
      </w:r>
      <w:r w:rsidRPr="00E739DA">
        <w:rPr>
          <w:rFonts w:cs="Times New Roman"/>
          <w:lang w:val="fr-CA"/>
        </w:rPr>
        <w:t>appel fédérale rejette à l</w:t>
      </w:r>
      <w:r>
        <w:rPr>
          <w:rFonts w:cs="Times New Roman"/>
          <w:lang w:val="fr-CA"/>
        </w:rPr>
        <w:t>’</w:t>
      </w:r>
      <w:r w:rsidRPr="00E739DA">
        <w:rPr>
          <w:rFonts w:cs="Times New Roman"/>
          <w:lang w:val="fr-CA"/>
        </w:rPr>
        <w:t>unanimité les appels prévus par la loi interjetés par Bell et la NFL à l</w:t>
      </w:r>
      <w:r>
        <w:rPr>
          <w:rFonts w:cs="Times New Roman"/>
          <w:lang w:val="fr-CA"/>
        </w:rPr>
        <w:t>’</w:t>
      </w:r>
      <w:r w:rsidRPr="00E739DA">
        <w:rPr>
          <w:rFonts w:cs="Times New Roman"/>
          <w:lang w:val="fr-CA"/>
        </w:rPr>
        <w:t xml:space="preserve">encontre des </w:t>
      </w:r>
      <w:r>
        <w:rPr>
          <w:rFonts w:cs="Times New Roman"/>
          <w:lang w:val="fr-CA"/>
        </w:rPr>
        <w:t>é</w:t>
      </w:r>
      <w:r w:rsidRPr="00E739DA">
        <w:rPr>
          <w:rFonts w:cs="Times New Roman"/>
          <w:lang w:val="fr-CA"/>
        </w:rPr>
        <w:t xml:space="preserve">noncés de politique de janvier et de novembre 2015 du CRTC et de la prise du </w:t>
      </w:r>
      <w:r w:rsidRPr="00E739DA">
        <w:rPr>
          <w:rFonts w:cs="Times New Roman"/>
          <w:i/>
          <w:lang w:val="fr-CA"/>
        </w:rPr>
        <w:t>Règlement sur la substitution simultanée</w:t>
      </w:r>
      <w:r w:rsidRPr="00E739DA">
        <w:rPr>
          <w:rFonts w:cs="Times New Roman"/>
          <w:lang w:val="fr-CA"/>
        </w:rPr>
        <w:t xml:space="preserve"> (</w:t>
      </w:r>
      <w:r w:rsidRPr="00E739DA">
        <w:rPr>
          <w:rFonts w:cs="Times New Roman"/>
          <w:i/>
          <w:lang w:val="fr-CA"/>
        </w:rPr>
        <w:t>Bell Canada c. Canada (Procureur général)</w:t>
      </w:r>
      <w:r w:rsidRPr="00E739DA">
        <w:rPr>
          <w:rFonts w:cs="Times New Roman"/>
          <w:lang w:val="fr-CA"/>
        </w:rPr>
        <w:t>, 2016 CAF 217). Rédigeant les motifs de la cour, le juge de Montigny conclut qu</w:t>
      </w:r>
      <w:r>
        <w:rPr>
          <w:rFonts w:cs="Times New Roman"/>
          <w:lang w:val="fr-CA"/>
        </w:rPr>
        <w:t>’</w:t>
      </w:r>
      <w:r w:rsidRPr="00E739DA">
        <w:rPr>
          <w:rFonts w:cs="Times New Roman"/>
          <w:lang w:val="fr-CA"/>
        </w:rPr>
        <w:t>il est prématuré d</w:t>
      </w:r>
      <w:r>
        <w:rPr>
          <w:rFonts w:cs="Times New Roman"/>
          <w:lang w:val="fr-CA"/>
        </w:rPr>
        <w:t>’</w:t>
      </w:r>
      <w:r w:rsidRPr="00E739DA">
        <w:rPr>
          <w:rFonts w:cs="Times New Roman"/>
          <w:lang w:val="fr-CA"/>
        </w:rPr>
        <w:t>évaluer la validité d</w:t>
      </w:r>
      <w:r>
        <w:rPr>
          <w:rFonts w:cs="Times New Roman"/>
          <w:lang w:val="fr-CA"/>
        </w:rPr>
        <w:t>’</w:t>
      </w:r>
      <w:r w:rsidRPr="00E739DA">
        <w:rPr>
          <w:rFonts w:cs="Times New Roman"/>
          <w:lang w:val="fr-CA"/>
        </w:rPr>
        <w:t xml:space="preserve">un </w:t>
      </w:r>
      <w:r w:rsidRPr="00E739DA">
        <w:rPr>
          <w:rFonts w:cs="Times New Roman"/>
          <w:i/>
          <w:lang w:val="fr-CA"/>
        </w:rPr>
        <w:t>projet</w:t>
      </w:r>
      <w:r w:rsidRPr="00E739DA">
        <w:rPr>
          <w:rFonts w:cs="Times New Roman"/>
          <w:lang w:val="fr-CA"/>
        </w:rPr>
        <w:t xml:space="preserve"> d</w:t>
      </w:r>
      <w:r>
        <w:rPr>
          <w:rFonts w:cs="Times New Roman"/>
          <w:lang w:val="fr-CA"/>
        </w:rPr>
        <w:t>’</w:t>
      </w:r>
      <w:r w:rsidRPr="00E739DA">
        <w:rPr>
          <w:rFonts w:cs="Times New Roman"/>
          <w:lang w:val="fr-CA"/>
        </w:rPr>
        <w:t>ordonnance de distribution ou de règlement interdisant la substitution simultanée à l</w:t>
      </w:r>
      <w:r>
        <w:rPr>
          <w:rFonts w:cs="Times New Roman"/>
          <w:lang w:val="fr-CA"/>
        </w:rPr>
        <w:t>’</w:t>
      </w:r>
      <w:r w:rsidRPr="00E739DA">
        <w:rPr>
          <w:rFonts w:cs="Times New Roman"/>
          <w:lang w:val="fr-CA"/>
        </w:rPr>
        <w:t xml:space="preserve">occasion du Super </w:t>
      </w:r>
      <w:proofErr w:type="spellStart"/>
      <w:r w:rsidRPr="00E739DA">
        <w:rPr>
          <w:rFonts w:cs="Times New Roman"/>
          <w:lang w:val="fr-CA"/>
        </w:rPr>
        <w:t>Bowl</w:t>
      </w:r>
      <w:proofErr w:type="spellEnd"/>
      <w:r w:rsidRPr="00E739DA">
        <w:rPr>
          <w:rFonts w:cs="Times New Roman"/>
          <w:lang w:val="fr-CA"/>
        </w:rPr>
        <w:t>, étant donné qu</w:t>
      </w:r>
      <w:r>
        <w:rPr>
          <w:rFonts w:cs="Times New Roman"/>
          <w:lang w:val="fr-CA"/>
        </w:rPr>
        <w:t>’</w:t>
      </w:r>
      <w:r w:rsidRPr="00E739DA">
        <w:rPr>
          <w:rFonts w:cs="Times New Roman"/>
          <w:lang w:val="fr-CA"/>
        </w:rPr>
        <w:t>aucune ordonnance n</w:t>
      </w:r>
      <w:r>
        <w:rPr>
          <w:rFonts w:cs="Times New Roman"/>
          <w:lang w:val="fr-CA"/>
        </w:rPr>
        <w:t>’</w:t>
      </w:r>
      <w:r w:rsidRPr="00E739DA">
        <w:rPr>
          <w:rFonts w:cs="Times New Roman"/>
          <w:lang w:val="fr-CA"/>
        </w:rPr>
        <w:t>a encore été rendue ni aucun règlement pris au moment de l</w:t>
      </w:r>
      <w:r>
        <w:rPr>
          <w:rFonts w:cs="Times New Roman"/>
          <w:lang w:val="fr-CA"/>
        </w:rPr>
        <w:t>’</w:t>
      </w:r>
      <w:r w:rsidRPr="00E739DA">
        <w:rPr>
          <w:rFonts w:cs="Times New Roman"/>
          <w:lang w:val="fr-CA"/>
        </w:rPr>
        <w:t>audience (par. 34). Il juge également que « </w:t>
      </w:r>
      <w:r w:rsidRPr="00E739DA">
        <w:rPr>
          <w:rFonts w:cs="Times New Roman"/>
          <w:lang w:val="fr-FR"/>
        </w:rPr>
        <w:t>le régime de réparation énoncé dans</w:t>
      </w:r>
      <w:r w:rsidRPr="00E739DA">
        <w:rPr>
          <w:rFonts w:cs="Times New Roman"/>
          <w:lang w:val="fr-CA"/>
        </w:rPr>
        <w:t xml:space="preserve"> [le </w:t>
      </w:r>
      <w:r w:rsidRPr="00E739DA">
        <w:rPr>
          <w:rFonts w:cs="Times New Roman"/>
          <w:i/>
          <w:lang w:val="fr-CA"/>
        </w:rPr>
        <w:t>Règlement sur la substitution simultanée</w:t>
      </w:r>
      <w:r w:rsidRPr="00E739DA">
        <w:rPr>
          <w:rFonts w:cs="Times New Roman"/>
          <w:lang w:val="fr-CA"/>
        </w:rPr>
        <w:t>] a été pris à bon droit » (par. 54).</w:t>
      </w:r>
    </w:p>
    <w:p w:rsidR="005F030A" w:rsidRPr="00E739DA" w:rsidRDefault="005F030A" w:rsidP="005F030A">
      <w:pPr>
        <w:pStyle w:val="ParaNoNdepar-AltN"/>
        <w:spacing w:before="0"/>
        <w:rPr>
          <w:rFonts w:cs="Times New Roman"/>
          <w:lang w:val="fr-CA"/>
        </w:rPr>
      </w:pPr>
      <w:r w:rsidRPr="00E739DA">
        <w:rPr>
          <w:rFonts w:cs="Times New Roman"/>
          <w:lang w:val="fr-CA"/>
        </w:rPr>
        <w:t>Le 3 février 2016, le CRTC sollicite des commentaires au sujet de l</w:t>
      </w:r>
      <w:r>
        <w:rPr>
          <w:rFonts w:cs="Times New Roman"/>
          <w:lang w:val="fr-CA"/>
        </w:rPr>
        <w:t>’</w:t>
      </w:r>
      <w:r w:rsidRPr="00E739DA">
        <w:rPr>
          <w:rFonts w:cs="Times New Roman"/>
          <w:lang w:val="fr-CA"/>
        </w:rPr>
        <w:t>ordonnance qu</w:t>
      </w:r>
      <w:r>
        <w:rPr>
          <w:rFonts w:cs="Times New Roman"/>
          <w:lang w:val="fr-CA"/>
        </w:rPr>
        <w:t>’</w:t>
      </w:r>
      <w:r w:rsidRPr="00E739DA">
        <w:rPr>
          <w:rFonts w:cs="Times New Roman"/>
          <w:lang w:val="fr-CA"/>
        </w:rPr>
        <w:t>il se propose de rendre en vertu de l</w:t>
      </w:r>
      <w:r>
        <w:rPr>
          <w:rFonts w:cs="Times New Roman"/>
          <w:lang w:val="fr-CA"/>
        </w:rPr>
        <w:t>’</w:t>
      </w:r>
      <w:r w:rsidRPr="00E739DA">
        <w:rPr>
          <w:rFonts w:cs="Times New Roman"/>
          <w:lang w:val="fr-CA"/>
        </w:rPr>
        <w:t>al. 9(1)h) afin d</w:t>
      </w:r>
      <w:r>
        <w:rPr>
          <w:rFonts w:cs="Times New Roman"/>
          <w:lang w:val="fr-CA"/>
        </w:rPr>
        <w:t>’</w:t>
      </w:r>
      <w:r w:rsidRPr="00E739DA">
        <w:rPr>
          <w:rFonts w:cs="Times New Roman"/>
          <w:lang w:val="fr-CA"/>
        </w:rPr>
        <w:t xml:space="preserve">interdire la substitution simultanée lors du Super </w:t>
      </w:r>
      <w:proofErr w:type="spellStart"/>
      <w:r w:rsidRPr="00E739DA">
        <w:rPr>
          <w:rFonts w:cs="Times New Roman"/>
          <w:lang w:val="fr-CA"/>
        </w:rPr>
        <w:t>Bowl</w:t>
      </w:r>
      <w:proofErr w:type="spellEnd"/>
      <w:r w:rsidRPr="00E739DA">
        <w:rPr>
          <w:rFonts w:cs="Times New Roman"/>
          <w:lang w:val="fr-CA"/>
        </w:rPr>
        <w:t xml:space="preserve"> (</w:t>
      </w:r>
      <w:r w:rsidRPr="00E739DA">
        <w:rPr>
          <w:rFonts w:cs="Times New Roman"/>
          <w:lang w:val="fr-FR"/>
        </w:rPr>
        <w:t xml:space="preserve">Avis de consultation de radiodiffusion </w:t>
      </w:r>
      <w:r w:rsidRPr="00E739DA">
        <w:rPr>
          <w:rFonts w:cs="Times New Roman"/>
          <w:lang w:val="fr-CA"/>
        </w:rPr>
        <w:t>CRTC 2016</w:t>
      </w:r>
      <w:r w:rsidRPr="00E739DA">
        <w:rPr>
          <w:rFonts w:cs="Times New Roman"/>
          <w:lang w:val="fr-CA"/>
        </w:rPr>
        <w:noBreakHyphen/>
        <w:t>37, 3 février 2016, (en ligne)). Il reçoit les observations d</w:t>
      </w:r>
      <w:r>
        <w:rPr>
          <w:rFonts w:cs="Times New Roman"/>
          <w:lang w:val="fr-CA"/>
        </w:rPr>
        <w:t>’</w:t>
      </w:r>
      <w:r w:rsidRPr="00E739DA">
        <w:rPr>
          <w:rFonts w:cs="Times New Roman"/>
          <w:lang w:val="fr-CA"/>
        </w:rPr>
        <w:t>un certain nombre de parties intéressées, dont Bell et la NFL.</w:t>
      </w:r>
    </w:p>
    <w:p w:rsidR="005F030A" w:rsidRPr="00E739DA" w:rsidRDefault="005F030A" w:rsidP="005F030A">
      <w:pPr>
        <w:pStyle w:val="Title1LevelTitre1Niveau-AltL"/>
        <w:spacing w:before="0"/>
        <w:rPr>
          <w:rFonts w:cs="Times New Roman"/>
          <w:lang w:val="fr-CA"/>
        </w:rPr>
      </w:pPr>
      <w:r w:rsidRPr="00E739DA">
        <w:rPr>
          <w:rFonts w:cs="Times New Roman"/>
          <w:lang w:val="fr-CA"/>
        </w:rPr>
        <w:t>Les décisions des juridictions inférieures</w:t>
      </w:r>
    </w:p>
    <w:p w:rsidR="005F030A" w:rsidRPr="00E739DA" w:rsidRDefault="005F030A" w:rsidP="005F030A">
      <w:pPr>
        <w:pStyle w:val="Title2LevelTitre2Niveau"/>
        <w:spacing w:before="0"/>
        <w:rPr>
          <w:rFonts w:cs="Times New Roman"/>
          <w:lang w:val="fr-CA"/>
        </w:rPr>
      </w:pPr>
      <w:r w:rsidRPr="00E739DA">
        <w:rPr>
          <w:rFonts w:cs="Times New Roman"/>
          <w:lang w:val="fr-CA"/>
        </w:rPr>
        <w:t>Les décisions du CRTC : Politique réglementaire de radiodiffusion CRTC 2016</w:t>
      </w:r>
      <w:r w:rsidRPr="00E739DA">
        <w:rPr>
          <w:rFonts w:cs="Times New Roman"/>
          <w:lang w:val="fr-CA"/>
        </w:rPr>
        <w:noBreakHyphen/>
        <w:t>334 et Ordonnance de radiodiffusion CRTC 2016</w:t>
      </w:r>
      <w:r w:rsidRPr="00E739DA">
        <w:rPr>
          <w:rFonts w:cs="Times New Roman"/>
          <w:lang w:val="fr-CA"/>
        </w:rPr>
        <w:noBreakHyphen/>
        <w:t>335, 19 août 2016 (en ligne)</w:t>
      </w:r>
    </w:p>
    <w:p w:rsidR="005F030A" w:rsidRPr="00E739DA" w:rsidRDefault="005F030A" w:rsidP="005F030A">
      <w:pPr>
        <w:pStyle w:val="ParaNoNdepar-AltN"/>
        <w:spacing w:before="0"/>
        <w:rPr>
          <w:rFonts w:cs="Times New Roman"/>
          <w:lang w:val="fr-CA"/>
        </w:rPr>
      </w:pPr>
      <w:r w:rsidRPr="00E739DA">
        <w:rPr>
          <w:rFonts w:cs="Times New Roman"/>
          <w:lang w:val="fr-CA"/>
        </w:rPr>
        <w:t>Le 19 août 2016, le CRTC rend,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l</w:t>
      </w:r>
      <w:r>
        <w:rPr>
          <w:rFonts w:cs="Times New Roman"/>
          <w:lang w:val="fr-CA"/>
        </w:rPr>
        <w:t>’</w:t>
      </w:r>
      <w:r w:rsidRPr="00E739DA">
        <w:rPr>
          <w:rFonts w:cs="Times New Roman"/>
          <w:lang w:val="fr-CA"/>
        </w:rPr>
        <w:t>ordonnance de radiodiffusion 2016</w:t>
      </w:r>
      <w:r w:rsidRPr="00E739DA">
        <w:rPr>
          <w:rFonts w:cs="Times New Roman"/>
          <w:lang w:val="fr-CA"/>
        </w:rPr>
        <w:noBreakHyphen/>
        <w:t xml:space="preserve">335 (« Ordonnance définitive »), laquelle interdit la substitution simultanée du Super </w:t>
      </w:r>
      <w:proofErr w:type="spellStart"/>
      <w:r w:rsidRPr="00E739DA">
        <w:rPr>
          <w:rFonts w:cs="Times New Roman"/>
          <w:lang w:val="fr-CA"/>
        </w:rPr>
        <w:t>Bowl</w:t>
      </w:r>
      <w:proofErr w:type="spellEnd"/>
      <w:r w:rsidRPr="00E739DA">
        <w:rPr>
          <w:rFonts w:cs="Times New Roman"/>
          <w:lang w:val="fr-CA"/>
        </w:rPr>
        <w:t xml:space="preserve"> à compter du 1</w:t>
      </w:r>
      <w:r w:rsidRPr="00E739DA">
        <w:rPr>
          <w:rFonts w:cs="Times New Roman"/>
          <w:vertAlign w:val="superscript"/>
          <w:lang w:val="fr-CA"/>
        </w:rPr>
        <w:t>er</w:t>
      </w:r>
      <w:r w:rsidRPr="00E739DA">
        <w:rPr>
          <w:rFonts w:cs="Times New Roman"/>
          <w:lang w:val="fr-CA"/>
        </w:rPr>
        <w:t> janvier 2017. Voici le passage pertinent de l</w:t>
      </w:r>
      <w:r>
        <w:rPr>
          <w:rFonts w:cs="Times New Roman"/>
          <w:lang w:val="fr-CA"/>
        </w:rPr>
        <w:t>’</w:t>
      </w:r>
      <w:r w:rsidRPr="00E739DA">
        <w:rPr>
          <w:rFonts w:cs="Times New Roman"/>
          <w:lang w:val="fr-CA"/>
        </w:rPr>
        <w:t>Ordonnance définitive :</w:t>
      </w:r>
    </w:p>
    <w:p w:rsidR="005F030A" w:rsidRPr="00E739DA" w:rsidRDefault="005F030A" w:rsidP="005F030A">
      <w:pPr>
        <w:pStyle w:val="Citation-AltC"/>
        <w:ind w:hanging="446"/>
        <w:contextualSpacing w:val="0"/>
        <w:rPr>
          <w:lang w:val="fr-CA"/>
        </w:rPr>
      </w:pPr>
      <w:r w:rsidRPr="00E739DA">
        <w:rPr>
          <w:lang w:val="fr-FR"/>
        </w:rPr>
        <w:lastRenderedPageBreak/>
        <w:tab/>
        <w:t>Une entreprise de distribution visée par la présente ordonnance peut distribuer le service de programmation d</w:t>
      </w:r>
      <w:r>
        <w:rPr>
          <w:lang w:val="fr-FR"/>
        </w:rPr>
        <w:t>’</w:t>
      </w:r>
      <w:r w:rsidRPr="00E739DA">
        <w:rPr>
          <w:lang w:val="fr-FR"/>
        </w:rPr>
        <w:t>une station de télévision canadienne qui diffuse le Super </w:t>
      </w:r>
      <w:proofErr w:type="spellStart"/>
      <w:r w:rsidRPr="00E739DA">
        <w:rPr>
          <w:lang w:val="fr-FR"/>
        </w:rPr>
        <w:t>Bowl</w:t>
      </w:r>
      <w:proofErr w:type="spellEnd"/>
      <w:r w:rsidRPr="00E739DA">
        <w:rPr>
          <w:lang w:val="fr-FR"/>
        </w:rPr>
        <w:t xml:space="preserve"> seulement si l</w:t>
      </w:r>
      <w:r>
        <w:rPr>
          <w:lang w:val="fr-FR"/>
        </w:rPr>
        <w:t>’</w:t>
      </w:r>
      <w:r w:rsidRPr="00E739DA">
        <w:rPr>
          <w:lang w:val="fr-FR"/>
        </w:rPr>
        <w:t>entreprise de distribution ne donne pas suite à une demande déposée par cette station de télévision canadienne, en vertu de l</w:t>
      </w:r>
      <w:r>
        <w:rPr>
          <w:lang w:val="fr-FR"/>
        </w:rPr>
        <w:t>’</w:t>
      </w:r>
      <w:r w:rsidRPr="00E739DA">
        <w:rPr>
          <w:lang w:val="fr-FR"/>
        </w:rPr>
        <w:t xml:space="preserve">article 3 du </w:t>
      </w:r>
      <w:r w:rsidRPr="00E739DA">
        <w:rPr>
          <w:i/>
          <w:iCs/>
          <w:lang w:val="fr-FR"/>
        </w:rPr>
        <w:t>Règlement sur le retrait et la substitution simultanée de services de programmation</w:t>
      </w:r>
      <w:r w:rsidRPr="00E739DA">
        <w:rPr>
          <w:lang w:val="fr-FR"/>
        </w:rPr>
        <w:t>, qui exigerait de retirer le service de programmation d</w:t>
      </w:r>
      <w:r>
        <w:rPr>
          <w:lang w:val="fr-FR"/>
        </w:rPr>
        <w:t>’</w:t>
      </w:r>
      <w:r w:rsidRPr="00E739DA">
        <w:rPr>
          <w:lang w:val="fr-FR"/>
        </w:rPr>
        <w:t>une autre station de télévision canadienne ou non canadienne pour y substituer le service de programmation d</w:t>
      </w:r>
      <w:r>
        <w:rPr>
          <w:lang w:val="fr-FR"/>
        </w:rPr>
        <w:t>’</w:t>
      </w:r>
      <w:r w:rsidRPr="00E739DA">
        <w:rPr>
          <w:lang w:val="fr-FR"/>
        </w:rPr>
        <w:t>une station de télévision locale ou régionale pendant toute période où le Super </w:t>
      </w:r>
      <w:proofErr w:type="spellStart"/>
      <w:r w:rsidRPr="00E739DA">
        <w:rPr>
          <w:lang w:val="fr-FR"/>
        </w:rPr>
        <w:t>Bowl</w:t>
      </w:r>
      <w:proofErr w:type="spellEnd"/>
      <w:r w:rsidRPr="00E739DA">
        <w:rPr>
          <w:lang w:val="fr-FR"/>
        </w:rPr>
        <w:t xml:space="preserve"> est diffusé par la station de télévision canadienne ayant déposé la demande</w:t>
      </w:r>
      <w:r w:rsidRPr="00E739DA">
        <w:rPr>
          <w:lang w:val="fr-CA"/>
        </w:rPr>
        <w:t>. [</w:t>
      </w:r>
      <w:proofErr w:type="gramStart"/>
      <w:r w:rsidRPr="00E739DA">
        <w:rPr>
          <w:lang w:val="fr-CA"/>
        </w:rPr>
        <w:t>par</w:t>
      </w:r>
      <w:proofErr w:type="gramEnd"/>
      <w:r w:rsidRPr="00E739DA">
        <w:rPr>
          <w:lang w:val="fr-CA"/>
        </w:rPr>
        <w:t>. 3]</w:t>
      </w:r>
    </w:p>
    <w:p w:rsidR="005F030A" w:rsidRPr="00E739DA" w:rsidRDefault="005F030A" w:rsidP="005F030A">
      <w:pPr>
        <w:pStyle w:val="ParaNoNdepar-AltN"/>
        <w:spacing w:before="0"/>
        <w:rPr>
          <w:rFonts w:cs="Times New Roman"/>
          <w:lang w:val="fr-CA"/>
        </w:rPr>
      </w:pPr>
      <w:r w:rsidRPr="00E739DA">
        <w:rPr>
          <w:rFonts w:cs="Times New Roman"/>
          <w:lang w:val="fr-CA"/>
        </w:rPr>
        <w:t>Les motifs exposés par le CRTC pour justifier la délivrance de l</w:t>
      </w:r>
      <w:r>
        <w:rPr>
          <w:rFonts w:cs="Times New Roman"/>
          <w:lang w:val="fr-CA"/>
        </w:rPr>
        <w:t>’</w:t>
      </w:r>
      <w:r w:rsidRPr="00E739DA">
        <w:rPr>
          <w:rFonts w:cs="Times New Roman"/>
          <w:lang w:val="fr-CA"/>
        </w:rPr>
        <w:t>Ordonnance définitive sont énoncés dans la Politique réglementaire de radiodiffusion CRTC 2016</w:t>
      </w:r>
      <w:r w:rsidRPr="00E739DA">
        <w:rPr>
          <w:rFonts w:cs="Times New Roman"/>
          <w:lang w:val="fr-CA"/>
        </w:rPr>
        <w:noBreakHyphen/>
        <w:t>334 (« Décision définitive »). Dans ces motifs, le CRTC exprime l</w:t>
      </w:r>
      <w:r>
        <w:rPr>
          <w:rFonts w:cs="Times New Roman"/>
          <w:lang w:val="fr-CA"/>
        </w:rPr>
        <w:t>’</w:t>
      </w:r>
      <w:r w:rsidRPr="00E739DA">
        <w:rPr>
          <w:rFonts w:cs="Times New Roman"/>
          <w:lang w:val="fr-CA"/>
        </w:rPr>
        <w:t>avis que la décision de ne plus autoriser la substitution simultanée du Super </w:t>
      </w:r>
      <w:proofErr w:type="spellStart"/>
      <w:r w:rsidRPr="00E739DA">
        <w:rPr>
          <w:rFonts w:cs="Times New Roman"/>
          <w:lang w:val="fr-CA"/>
        </w:rPr>
        <w:t>Bowl</w:t>
      </w:r>
      <w:proofErr w:type="spellEnd"/>
      <w:r w:rsidRPr="00E739DA">
        <w:rPr>
          <w:rFonts w:cs="Times New Roman"/>
          <w:lang w:val="fr-CA"/>
        </w:rPr>
        <w:t xml:space="preserve"> établit un équilibre raisonnable entre les nombreux objectifs de politique générale de la </w:t>
      </w:r>
      <w:r w:rsidRPr="00E739DA">
        <w:rPr>
          <w:rFonts w:cs="Times New Roman"/>
          <w:i/>
          <w:lang w:val="fr-CA"/>
        </w:rPr>
        <w:t>Loi sur la radiodiffusion</w:t>
      </w:r>
      <w:r w:rsidRPr="00E739DA">
        <w:rPr>
          <w:rFonts w:cs="Times New Roman"/>
          <w:lang w:val="fr-CA"/>
        </w:rPr>
        <w:t>. Le CRTC conclut également que son pouvoir de mettre en œuvre cette décision de politique générale tire son origine de l</w:t>
      </w:r>
      <w:r>
        <w:rPr>
          <w:rFonts w:cs="Times New Roman"/>
          <w:lang w:val="fr-CA"/>
        </w:rPr>
        <w:t>’</w:t>
      </w:r>
      <w:r w:rsidRPr="00E739DA">
        <w:rPr>
          <w:rFonts w:cs="Times New Roman"/>
          <w:lang w:val="fr-CA"/>
        </w:rPr>
        <w:t>al. 9(1)h) de cette loi, et que l</w:t>
      </w:r>
      <w:r>
        <w:rPr>
          <w:rFonts w:cs="Times New Roman"/>
          <w:lang w:val="fr-CA"/>
        </w:rPr>
        <w:t>’</w:t>
      </w:r>
      <w:r w:rsidRPr="00E739DA">
        <w:rPr>
          <w:rFonts w:cs="Times New Roman"/>
          <w:lang w:val="fr-CA"/>
        </w:rPr>
        <w:t xml:space="preserve">Ordonnance définitive rendue en vertu de ce pouvoir satisfait au </w:t>
      </w:r>
      <w:proofErr w:type="spellStart"/>
      <w:r w:rsidRPr="00E739DA">
        <w:rPr>
          <w:rFonts w:cs="Times New Roman"/>
          <w:lang w:val="fr-CA"/>
        </w:rPr>
        <w:t>par</w:t>
      </w:r>
      <w:proofErr w:type="spellEnd"/>
      <w:r w:rsidRPr="00E739DA">
        <w:rPr>
          <w:rFonts w:cs="Times New Roman"/>
          <w:lang w:val="fr-CA"/>
        </w:rPr>
        <w:t xml:space="preserve">. 4(3) du </w:t>
      </w:r>
      <w:r w:rsidRPr="00E739DA">
        <w:rPr>
          <w:rFonts w:cs="Times New Roman"/>
          <w:i/>
          <w:lang w:val="fr-CA"/>
        </w:rPr>
        <w:t>Règlement sur la substitution simultanée</w:t>
      </w:r>
      <w:r w:rsidRPr="00E739DA">
        <w:rPr>
          <w:rFonts w:cs="Times New Roman"/>
          <w:lang w:val="fr-CA"/>
        </w:rPr>
        <w:t>. Comme nous l</w:t>
      </w:r>
      <w:r>
        <w:rPr>
          <w:rFonts w:cs="Times New Roman"/>
          <w:lang w:val="fr-CA"/>
        </w:rPr>
        <w:t>’</w:t>
      </w:r>
      <w:r w:rsidRPr="00E739DA">
        <w:rPr>
          <w:rFonts w:cs="Times New Roman"/>
          <w:lang w:val="fr-CA"/>
        </w:rPr>
        <w:t xml:space="preserve">avons vu, cette disposition interdit aux fournisseurs de services de télévision de procéder à la substitution simultanée si le CRTC décide, en vertu du par. 18(3) de la </w:t>
      </w:r>
      <w:r w:rsidRPr="00E739DA">
        <w:rPr>
          <w:rFonts w:cs="Times New Roman"/>
          <w:i/>
          <w:lang w:val="fr-CA"/>
        </w:rPr>
        <w:t>Loi sur la radiodiffusion</w:t>
      </w:r>
      <w:r w:rsidRPr="00E739DA">
        <w:rPr>
          <w:rFonts w:cs="Times New Roman"/>
          <w:lang w:val="fr-CA"/>
        </w:rPr>
        <w:t>, qu</w:t>
      </w:r>
      <w:r>
        <w:rPr>
          <w:rFonts w:cs="Times New Roman"/>
          <w:lang w:val="fr-CA"/>
        </w:rPr>
        <w:t>’</w:t>
      </w:r>
      <w:r w:rsidRPr="00E739DA">
        <w:rPr>
          <w:rFonts w:cs="Times New Roman"/>
          <w:lang w:val="fr-CA"/>
        </w:rPr>
        <w:t>il n</w:t>
      </w:r>
      <w:r>
        <w:rPr>
          <w:rFonts w:cs="Times New Roman"/>
          <w:lang w:val="fr-CA"/>
        </w:rPr>
        <w:t>’</w:t>
      </w:r>
      <w:r w:rsidRPr="00E739DA">
        <w:rPr>
          <w:rFonts w:cs="Times New Roman"/>
          <w:lang w:val="fr-CA"/>
        </w:rPr>
        <w:t>est pas dans l</w:t>
      </w:r>
      <w:r>
        <w:rPr>
          <w:rFonts w:cs="Times New Roman"/>
          <w:lang w:val="fr-CA"/>
        </w:rPr>
        <w:t>’</w:t>
      </w:r>
      <w:r w:rsidRPr="00E739DA">
        <w:rPr>
          <w:rFonts w:cs="Times New Roman"/>
          <w:lang w:val="fr-CA"/>
        </w:rPr>
        <w:t>intérêt public de le faire.</w:t>
      </w:r>
    </w:p>
    <w:p w:rsidR="005F030A" w:rsidRPr="00E739DA" w:rsidRDefault="005F030A" w:rsidP="005F030A">
      <w:pPr>
        <w:pStyle w:val="ParaNoNdepar-AltN"/>
        <w:rPr>
          <w:rFonts w:cs="Times New Roman"/>
          <w:lang w:val="fr-CA"/>
        </w:rPr>
      </w:pPr>
      <w:r w:rsidRPr="00E739DA">
        <w:rPr>
          <w:rFonts w:cs="Times New Roman"/>
          <w:lang w:val="fr-CA"/>
        </w:rPr>
        <w:t>Parmi les arguments juridiques invoqués dans le cadre du processus de consultation, Bell et la NFL soutiennent que le CRTC n</w:t>
      </w:r>
      <w:r>
        <w:rPr>
          <w:rFonts w:cs="Times New Roman"/>
          <w:lang w:val="fr-CA"/>
        </w:rPr>
        <w:t>’</w:t>
      </w:r>
      <w:r w:rsidRPr="00E739DA">
        <w:rPr>
          <w:rFonts w:cs="Times New Roman"/>
          <w:lang w:val="fr-CA"/>
        </w:rPr>
        <w:t>a pas compétence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xml:space="preserve"> pour rendre l</w:t>
      </w:r>
      <w:r>
        <w:rPr>
          <w:rFonts w:cs="Times New Roman"/>
          <w:lang w:val="fr-CA"/>
        </w:rPr>
        <w:t>’</w:t>
      </w:r>
      <w:r w:rsidRPr="00E739DA">
        <w:rPr>
          <w:rFonts w:cs="Times New Roman"/>
          <w:lang w:val="fr-CA"/>
        </w:rPr>
        <w:t>Ordonnance définitive. Elles font plutôt valoir qu</w:t>
      </w:r>
      <w:r>
        <w:rPr>
          <w:rFonts w:cs="Times New Roman"/>
          <w:lang w:val="fr-CA"/>
        </w:rPr>
        <w:t>’</w:t>
      </w:r>
      <w:r w:rsidRPr="00E739DA">
        <w:rPr>
          <w:rFonts w:cs="Times New Roman"/>
          <w:lang w:val="fr-CA"/>
        </w:rPr>
        <w:t>une ordonnance rendue suivant cette disposition « </w:t>
      </w:r>
      <w:r w:rsidRPr="00E739DA">
        <w:rPr>
          <w:rFonts w:cs="Times New Roman"/>
          <w:lang w:val="fr-FR"/>
        </w:rPr>
        <w:t>ne peut porter que sur un service de programmation (l</w:t>
      </w:r>
      <w:r>
        <w:rPr>
          <w:rFonts w:cs="Times New Roman"/>
          <w:lang w:val="fr-FR"/>
        </w:rPr>
        <w:t>’</w:t>
      </w:r>
      <w:r w:rsidRPr="00E739DA">
        <w:rPr>
          <w:rFonts w:cs="Times New Roman"/>
          <w:lang w:val="fr-FR"/>
        </w:rPr>
        <w:t>entièreté du signal d</w:t>
      </w:r>
      <w:r>
        <w:rPr>
          <w:rFonts w:cs="Times New Roman"/>
          <w:lang w:val="fr-FR"/>
        </w:rPr>
        <w:t>’</w:t>
      </w:r>
      <w:r w:rsidRPr="00E739DA">
        <w:rPr>
          <w:rFonts w:cs="Times New Roman"/>
          <w:lang w:val="fr-FR"/>
        </w:rPr>
        <w:t xml:space="preserve">un service) et non cibler </w:t>
      </w:r>
      <w:r w:rsidRPr="00E739DA">
        <w:rPr>
          <w:rFonts w:cs="Times New Roman"/>
          <w:lang w:val="fr-FR"/>
        </w:rPr>
        <w:lastRenderedPageBreak/>
        <w:t>une émission particulière comme le Super </w:t>
      </w:r>
      <w:proofErr w:type="spellStart"/>
      <w:r w:rsidRPr="00E739DA">
        <w:rPr>
          <w:rFonts w:cs="Times New Roman"/>
          <w:lang w:val="fr-FR"/>
        </w:rPr>
        <w:t>Bowl</w:t>
      </w:r>
      <w:proofErr w:type="spellEnd"/>
      <w:r w:rsidRPr="00E739DA">
        <w:rPr>
          <w:rFonts w:cs="Times New Roman"/>
          <w:lang w:val="fr-CA"/>
        </w:rPr>
        <w:t> » (Décision définitive, par. 52). Le CRTC ne retient pas ces arguments, concluant que la disposition contestée lui confère le « </w:t>
      </w:r>
      <w:r w:rsidRPr="00E739DA">
        <w:rPr>
          <w:rFonts w:cs="Times New Roman"/>
          <w:lang w:val="fr-FR"/>
        </w:rPr>
        <w:t>pouvoir étendu [. . .] de réglementer l</w:t>
      </w:r>
      <w:r>
        <w:rPr>
          <w:rFonts w:cs="Times New Roman"/>
          <w:lang w:val="fr-FR"/>
        </w:rPr>
        <w:t>’</w:t>
      </w:r>
      <w:r w:rsidRPr="00E739DA">
        <w:rPr>
          <w:rFonts w:cs="Times New Roman"/>
          <w:lang w:val="fr-FR"/>
        </w:rPr>
        <w:t>industrie du câble et d</w:t>
      </w:r>
      <w:r>
        <w:rPr>
          <w:rFonts w:cs="Times New Roman"/>
          <w:lang w:val="fr-FR"/>
        </w:rPr>
        <w:t>’</w:t>
      </w:r>
      <w:r w:rsidRPr="00E739DA">
        <w:rPr>
          <w:rFonts w:cs="Times New Roman"/>
          <w:lang w:val="fr-FR"/>
        </w:rPr>
        <w:t>imposer toute condition pour ce faire</w:t>
      </w:r>
      <w:r w:rsidRPr="00E739DA">
        <w:rPr>
          <w:rFonts w:cs="Times New Roman"/>
          <w:lang w:val="fr-CA"/>
        </w:rPr>
        <w:t> » (par. 21). Sur le rapport entre l</w:t>
      </w:r>
      <w:r>
        <w:rPr>
          <w:rFonts w:cs="Times New Roman"/>
          <w:lang w:val="fr-CA"/>
        </w:rPr>
        <w:t>’</w:t>
      </w:r>
      <w:r w:rsidRPr="00E739DA">
        <w:rPr>
          <w:rFonts w:cs="Times New Roman"/>
          <w:lang w:val="fr-CA"/>
        </w:rPr>
        <w:t>al. 9(1)h) et l</w:t>
      </w:r>
      <w:r>
        <w:rPr>
          <w:rFonts w:cs="Times New Roman"/>
          <w:lang w:val="fr-CA"/>
        </w:rPr>
        <w:t>’</w:t>
      </w:r>
      <w:r w:rsidRPr="00E739DA">
        <w:rPr>
          <w:rFonts w:cs="Times New Roman"/>
          <w:lang w:val="fr-CA"/>
        </w:rPr>
        <w:t>Ordonnance définitive de façon plus particulière, le CRTC formule les explications suivantes :</w:t>
      </w:r>
    </w:p>
    <w:p w:rsidR="005F030A" w:rsidRPr="00E739DA" w:rsidRDefault="005F030A" w:rsidP="005F030A">
      <w:pPr>
        <w:pStyle w:val="Citation-AltC"/>
        <w:spacing w:after="240"/>
        <w:ind w:hanging="446"/>
        <w:contextualSpacing w:val="0"/>
        <w:rPr>
          <w:lang w:val="fr-CA"/>
        </w:rPr>
      </w:pPr>
      <w:r w:rsidRPr="00E739DA">
        <w:rPr>
          <w:lang w:val="fr-FR"/>
        </w:rPr>
        <w:tab/>
        <w:t>L</w:t>
      </w:r>
      <w:r>
        <w:rPr>
          <w:lang w:val="fr-FR"/>
        </w:rPr>
        <w:t>’</w:t>
      </w:r>
      <w:r w:rsidRPr="00E739DA">
        <w:rPr>
          <w:lang w:val="fr-FR"/>
        </w:rPr>
        <w:t>ordonnance de distribution proposée porte sur la distribution « d</w:t>
      </w:r>
      <w:r>
        <w:rPr>
          <w:lang w:val="fr-FR"/>
        </w:rPr>
        <w:t>’</w:t>
      </w:r>
      <w:r w:rsidRPr="00E739DA">
        <w:rPr>
          <w:lang w:val="fr-FR"/>
        </w:rPr>
        <w:t>une station de télévision canadienne qui diffuse le Super </w:t>
      </w:r>
      <w:proofErr w:type="spellStart"/>
      <w:r w:rsidRPr="00E739DA">
        <w:rPr>
          <w:lang w:val="fr-FR"/>
        </w:rPr>
        <w:t>Bowl</w:t>
      </w:r>
      <w:proofErr w:type="spellEnd"/>
      <w:r w:rsidRPr="00E739DA">
        <w:rPr>
          <w:lang w:val="fr-FR"/>
        </w:rPr>
        <w:t> », [. . .] puis impose une condition à cette distribution en précisant que la substitution simultanée ne doit pas être effectuée lors du Super </w:t>
      </w:r>
      <w:proofErr w:type="spellStart"/>
      <w:r w:rsidRPr="00E739DA">
        <w:rPr>
          <w:lang w:val="fr-FR"/>
        </w:rPr>
        <w:t>Bowl</w:t>
      </w:r>
      <w:proofErr w:type="spellEnd"/>
      <w:r w:rsidRPr="00E739DA">
        <w:rPr>
          <w:lang w:val="fr-FR"/>
        </w:rPr>
        <w:t>. De plus, la formulation de l</w:t>
      </w:r>
      <w:r>
        <w:rPr>
          <w:lang w:val="fr-FR"/>
        </w:rPr>
        <w:t>’</w:t>
      </w:r>
      <w:r w:rsidRPr="00E739DA">
        <w:rPr>
          <w:lang w:val="fr-FR"/>
        </w:rPr>
        <w:t>ordonnance proposée répond adéquatement à l</w:t>
      </w:r>
      <w:r>
        <w:rPr>
          <w:lang w:val="fr-FR"/>
        </w:rPr>
        <w:t>’</w:t>
      </w:r>
      <w:r w:rsidRPr="00E739DA">
        <w:rPr>
          <w:lang w:val="fr-FR"/>
        </w:rPr>
        <w:t>allégation selon laquelle l</w:t>
      </w:r>
      <w:r>
        <w:rPr>
          <w:lang w:val="fr-FR"/>
        </w:rPr>
        <w:t>’</w:t>
      </w:r>
      <w:r w:rsidRPr="00E739DA">
        <w:rPr>
          <w:lang w:val="fr-FR"/>
        </w:rPr>
        <w:t>article 9(1)h) ne peut s</w:t>
      </w:r>
      <w:r>
        <w:rPr>
          <w:lang w:val="fr-FR"/>
        </w:rPr>
        <w:t>’</w:t>
      </w:r>
      <w:r w:rsidRPr="00E739DA">
        <w:rPr>
          <w:lang w:val="fr-FR"/>
        </w:rPr>
        <w:t>appliquer qu</w:t>
      </w:r>
      <w:r>
        <w:rPr>
          <w:lang w:val="fr-FR"/>
        </w:rPr>
        <w:t>’</w:t>
      </w:r>
      <w:r w:rsidRPr="00E739DA">
        <w:rPr>
          <w:lang w:val="fr-FR"/>
        </w:rPr>
        <w:t>à un service de programmation et non à une émission en particulier (comme le Super </w:t>
      </w:r>
      <w:proofErr w:type="spellStart"/>
      <w:r w:rsidRPr="00E739DA">
        <w:rPr>
          <w:lang w:val="fr-FR"/>
        </w:rPr>
        <w:t>Bowl</w:t>
      </w:r>
      <w:proofErr w:type="spellEnd"/>
      <w:r w:rsidRPr="00E739DA">
        <w:rPr>
          <w:lang w:val="fr-FR"/>
        </w:rPr>
        <w:t>)</w:t>
      </w:r>
      <w:r w:rsidRPr="00E739DA">
        <w:rPr>
          <w:lang w:val="fr-CA"/>
        </w:rPr>
        <w:t>.</w:t>
      </w:r>
    </w:p>
    <w:p w:rsidR="005F030A" w:rsidRPr="00E739DA" w:rsidRDefault="005F030A" w:rsidP="005F030A">
      <w:pPr>
        <w:pStyle w:val="Citation-AltC"/>
        <w:ind w:hanging="446"/>
        <w:contextualSpacing w:val="0"/>
        <w:rPr>
          <w:lang w:val="fr-CA"/>
        </w:rPr>
      </w:pPr>
      <w:r w:rsidRPr="00E739DA">
        <w:rPr>
          <w:lang w:val="fr-FR"/>
        </w:rPr>
        <w:tab/>
        <w:t>En outre, l</w:t>
      </w:r>
      <w:r>
        <w:rPr>
          <w:lang w:val="fr-FR"/>
        </w:rPr>
        <w:t>’</w:t>
      </w:r>
      <w:r w:rsidRPr="00E739DA">
        <w:rPr>
          <w:lang w:val="fr-FR"/>
        </w:rPr>
        <w:t>ordonnance de distribution reflète la façon dont la substitution simultanée est effectuée. Pour une émission précise, le signal intégral d</w:t>
      </w:r>
      <w:r>
        <w:rPr>
          <w:lang w:val="fr-FR"/>
        </w:rPr>
        <w:t>’</w:t>
      </w:r>
      <w:r w:rsidRPr="00E739DA">
        <w:rPr>
          <w:lang w:val="fr-FR"/>
        </w:rPr>
        <w:t>un service de programmation est supprimé et le signal intégral d</w:t>
      </w:r>
      <w:r>
        <w:rPr>
          <w:lang w:val="fr-FR"/>
        </w:rPr>
        <w:t>’</w:t>
      </w:r>
      <w:r w:rsidRPr="00E739DA">
        <w:rPr>
          <w:lang w:val="fr-FR"/>
        </w:rPr>
        <w:t>un autre service de programmation lui est substitué jusqu</w:t>
      </w:r>
      <w:r>
        <w:rPr>
          <w:lang w:val="fr-FR"/>
        </w:rPr>
        <w:t>’</w:t>
      </w:r>
      <w:r w:rsidRPr="00E739DA">
        <w:rPr>
          <w:lang w:val="fr-FR"/>
        </w:rPr>
        <w:t>à la fin de l</w:t>
      </w:r>
      <w:r>
        <w:rPr>
          <w:lang w:val="fr-FR"/>
        </w:rPr>
        <w:t>’</w:t>
      </w:r>
      <w:r w:rsidRPr="00E739DA">
        <w:rPr>
          <w:lang w:val="fr-FR"/>
        </w:rPr>
        <w:t>émission. L</w:t>
      </w:r>
      <w:r>
        <w:rPr>
          <w:lang w:val="fr-FR"/>
        </w:rPr>
        <w:t>’</w:t>
      </w:r>
      <w:r w:rsidRPr="00E739DA">
        <w:rPr>
          <w:lang w:val="fr-FR"/>
        </w:rPr>
        <w:t>ordonnance de distribution reflète le fait que le signal intégral du service de programmation d</w:t>
      </w:r>
      <w:r>
        <w:rPr>
          <w:lang w:val="fr-FR"/>
        </w:rPr>
        <w:t>’</w:t>
      </w:r>
      <w:r w:rsidRPr="00E739DA">
        <w:rPr>
          <w:lang w:val="fr-FR"/>
        </w:rPr>
        <w:t>une station de télévision ne sera ni supprimé ni substitué au cours d</w:t>
      </w:r>
      <w:r>
        <w:rPr>
          <w:lang w:val="fr-FR"/>
        </w:rPr>
        <w:t>’</w:t>
      </w:r>
      <w:r w:rsidRPr="00E739DA">
        <w:rPr>
          <w:lang w:val="fr-FR"/>
        </w:rPr>
        <w:t>une émission particulière, le Super </w:t>
      </w:r>
      <w:proofErr w:type="spellStart"/>
      <w:r w:rsidRPr="00E739DA">
        <w:rPr>
          <w:lang w:val="fr-FR"/>
        </w:rPr>
        <w:t>Bowl</w:t>
      </w:r>
      <w:proofErr w:type="spellEnd"/>
      <w:r w:rsidRPr="00E739DA">
        <w:rPr>
          <w:lang w:val="fr-CA"/>
        </w:rPr>
        <w:t>. [par. 54</w:t>
      </w:r>
      <w:r w:rsidRPr="00E739DA">
        <w:rPr>
          <w:lang w:val="fr-CA"/>
        </w:rPr>
        <w:noBreakHyphen/>
        <w:t>55]</w:t>
      </w:r>
    </w:p>
    <w:p w:rsidR="005F030A" w:rsidRPr="00E739DA" w:rsidRDefault="005F030A" w:rsidP="005F030A">
      <w:pPr>
        <w:pStyle w:val="ParaNoNdepar-AltN"/>
        <w:spacing w:before="0"/>
        <w:rPr>
          <w:rFonts w:cs="Times New Roman"/>
          <w:lang w:val="fr-CA"/>
        </w:rPr>
      </w:pPr>
      <w:r w:rsidRPr="00E739DA">
        <w:rPr>
          <w:rFonts w:cs="Times New Roman"/>
          <w:lang w:val="fr-CA"/>
        </w:rPr>
        <w:t>La Décision définitive répond également à l</w:t>
      </w:r>
      <w:r>
        <w:rPr>
          <w:rFonts w:cs="Times New Roman"/>
          <w:lang w:val="fr-CA"/>
        </w:rPr>
        <w:t>’</w:t>
      </w:r>
      <w:r w:rsidRPr="00E739DA">
        <w:rPr>
          <w:rFonts w:cs="Times New Roman"/>
          <w:lang w:val="fr-CA"/>
        </w:rPr>
        <w:t xml:space="preserve">observation de </w:t>
      </w:r>
      <w:proofErr w:type="spellStart"/>
      <w:r w:rsidRPr="00E739DA">
        <w:rPr>
          <w:rFonts w:cs="Times New Roman"/>
          <w:lang w:val="fr-CA"/>
        </w:rPr>
        <w:t>SaskTel</w:t>
      </w:r>
      <w:proofErr w:type="spellEnd"/>
      <w:r w:rsidRPr="00E739DA">
        <w:rPr>
          <w:rFonts w:cs="Times New Roman"/>
          <w:lang w:val="fr-CA"/>
        </w:rPr>
        <w:t xml:space="preserve"> selon laquelle la formulation de l</w:t>
      </w:r>
      <w:r>
        <w:rPr>
          <w:rFonts w:cs="Times New Roman"/>
          <w:lang w:val="fr-CA"/>
        </w:rPr>
        <w:t>’</w:t>
      </w:r>
      <w:r w:rsidRPr="00E739DA">
        <w:rPr>
          <w:rFonts w:cs="Times New Roman"/>
          <w:lang w:val="fr-CA"/>
        </w:rPr>
        <w:t>Ordonnance définitive pourrait être interprétée comme ayant pour effet d</w:t>
      </w:r>
      <w:r>
        <w:rPr>
          <w:rFonts w:cs="Times New Roman"/>
          <w:lang w:val="fr-CA"/>
        </w:rPr>
        <w:t>’</w:t>
      </w:r>
      <w:r w:rsidRPr="00E739DA">
        <w:rPr>
          <w:rFonts w:cs="Times New Roman"/>
          <w:lang w:val="fr-CA"/>
        </w:rPr>
        <w:t xml:space="preserve">imposer au fournisseur de services de télévision de distribuer la station de télévision canadienne qui diffuse le Super </w:t>
      </w:r>
      <w:proofErr w:type="spellStart"/>
      <w:r w:rsidRPr="00E739DA">
        <w:rPr>
          <w:rFonts w:cs="Times New Roman"/>
          <w:lang w:val="fr-CA"/>
        </w:rPr>
        <w:t>Bowl</w:t>
      </w:r>
      <w:proofErr w:type="spellEnd"/>
      <w:r w:rsidRPr="00E739DA">
        <w:rPr>
          <w:rFonts w:cs="Times New Roman"/>
          <w:lang w:val="fr-CA"/>
        </w:rPr>
        <w:t>, même s</w:t>
      </w:r>
      <w:r>
        <w:rPr>
          <w:rFonts w:cs="Times New Roman"/>
          <w:lang w:val="fr-CA"/>
        </w:rPr>
        <w:t>’</w:t>
      </w:r>
      <w:r w:rsidRPr="00E739DA">
        <w:rPr>
          <w:rFonts w:cs="Times New Roman"/>
          <w:lang w:val="fr-CA"/>
        </w:rPr>
        <w:t>il ne la distribue pas déjà (par. 62). Le CRTC précise sa position : l</w:t>
      </w:r>
      <w:r>
        <w:rPr>
          <w:rFonts w:cs="Times New Roman"/>
          <w:lang w:val="fr-CA"/>
        </w:rPr>
        <w:t>’</w:t>
      </w:r>
      <w:r w:rsidRPr="00E739DA">
        <w:rPr>
          <w:rFonts w:cs="Times New Roman"/>
          <w:lang w:val="fr-CA"/>
        </w:rPr>
        <w:t>Ordonnance définitive n</w:t>
      </w:r>
      <w:r>
        <w:rPr>
          <w:rFonts w:cs="Times New Roman"/>
          <w:lang w:val="fr-CA"/>
        </w:rPr>
        <w:t>’</w:t>
      </w:r>
      <w:r w:rsidRPr="00E739DA">
        <w:rPr>
          <w:rFonts w:cs="Times New Roman"/>
          <w:lang w:val="fr-CA"/>
        </w:rPr>
        <w:t>a jamais eu pour objet d</w:t>
      </w:r>
      <w:r>
        <w:rPr>
          <w:rFonts w:cs="Times New Roman"/>
          <w:lang w:val="fr-CA"/>
        </w:rPr>
        <w:t>’</w:t>
      </w:r>
      <w:r w:rsidRPr="00E739DA">
        <w:rPr>
          <w:rFonts w:cs="Times New Roman"/>
          <w:lang w:val="fr-CA"/>
        </w:rPr>
        <w:t>imposer la distribution d</w:t>
      </w:r>
      <w:r>
        <w:rPr>
          <w:rFonts w:cs="Times New Roman"/>
          <w:lang w:val="fr-CA"/>
        </w:rPr>
        <w:t>’</w:t>
      </w:r>
      <w:r w:rsidRPr="00E739DA">
        <w:rPr>
          <w:rFonts w:cs="Times New Roman"/>
          <w:lang w:val="fr-CA"/>
        </w:rPr>
        <w:t>une station qui diffuse le Super </w:t>
      </w:r>
      <w:proofErr w:type="spellStart"/>
      <w:r w:rsidRPr="00E739DA">
        <w:rPr>
          <w:rFonts w:cs="Times New Roman"/>
          <w:lang w:val="fr-CA"/>
        </w:rPr>
        <w:t>Bowl</w:t>
      </w:r>
      <w:proofErr w:type="spellEnd"/>
      <w:r w:rsidRPr="00E739DA">
        <w:rPr>
          <w:rFonts w:cs="Times New Roman"/>
          <w:lang w:val="fr-CA"/>
        </w:rPr>
        <w:t>, « </w:t>
      </w:r>
      <w:r w:rsidRPr="00E739DA">
        <w:rPr>
          <w:rFonts w:cs="Times New Roman"/>
          <w:lang w:val="fr-FR"/>
        </w:rPr>
        <w:t>mais simplement d</w:t>
      </w:r>
      <w:r>
        <w:rPr>
          <w:rFonts w:cs="Times New Roman"/>
          <w:lang w:val="fr-FR"/>
        </w:rPr>
        <w:t>’</w:t>
      </w:r>
      <w:r w:rsidRPr="00E739DA">
        <w:rPr>
          <w:rFonts w:cs="Times New Roman"/>
          <w:lang w:val="fr-FR"/>
        </w:rPr>
        <w:t xml:space="preserve">ajouter une condition aux </w:t>
      </w:r>
      <w:r w:rsidRPr="00E739DA">
        <w:rPr>
          <w:rFonts w:cs="Times New Roman"/>
          <w:u w:val="single"/>
          <w:lang w:val="fr-FR"/>
        </w:rPr>
        <w:t>[fournisseurs de services de télévision] qui distribuent une telle station</w:t>
      </w:r>
      <w:r w:rsidRPr="00E739DA">
        <w:rPr>
          <w:rFonts w:cs="Times New Roman"/>
          <w:lang w:val="fr-FR"/>
        </w:rPr>
        <w:t xml:space="preserve"> (que cette distribution soit obligatoire en vertu de la réglementation à titre de station de télévision locale ou qu</w:t>
      </w:r>
      <w:r>
        <w:rPr>
          <w:rFonts w:cs="Times New Roman"/>
          <w:lang w:val="fr-FR"/>
        </w:rPr>
        <w:t>’</w:t>
      </w:r>
      <w:r w:rsidRPr="00E739DA">
        <w:rPr>
          <w:rFonts w:cs="Times New Roman"/>
          <w:lang w:val="fr-FR"/>
        </w:rPr>
        <w:t>elle soit simplement autorisée à titre de signal éloigné)</w:t>
      </w:r>
      <w:r w:rsidRPr="00E739DA">
        <w:rPr>
          <w:rFonts w:cs="Times New Roman"/>
          <w:lang w:val="fr-CA"/>
        </w:rPr>
        <w:t> » (par. 63 (nous soulignons)).</w:t>
      </w:r>
    </w:p>
    <w:p w:rsidR="005F030A" w:rsidRPr="00E739DA" w:rsidRDefault="005F030A" w:rsidP="005F030A">
      <w:pPr>
        <w:pStyle w:val="Title2LevelTitre2Niveau"/>
        <w:spacing w:before="0"/>
        <w:rPr>
          <w:rFonts w:cs="Times New Roman"/>
          <w:lang w:val="fr-CA"/>
        </w:rPr>
      </w:pPr>
      <w:r w:rsidRPr="00E739DA">
        <w:rPr>
          <w:rFonts w:cs="Times New Roman"/>
          <w:lang w:val="fr-CA"/>
        </w:rPr>
        <w:lastRenderedPageBreak/>
        <w:t>L</w:t>
      </w:r>
      <w:r>
        <w:rPr>
          <w:rFonts w:cs="Times New Roman"/>
          <w:lang w:val="fr-CA"/>
        </w:rPr>
        <w:t>’</w:t>
      </w:r>
      <w:r w:rsidRPr="00E739DA">
        <w:rPr>
          <w:rFonts w:cs="Times New Roman"/>
          <w:lang w:val="fr-CA"/>
        </w:rPr>
        <w:t>arrêt de la Cour d</w:t>
      </w:r>
      <w:r>
        <w:rPr>
          <w:rFonts w:cs="Times New Roman"/>
          <w:lang w:val="fr-CA"/>
        </w:rPr>
        <w:t>’</w:t>
      </w:r>
      <w:r w:rsidRPr="00E739DA">
        <w:rPr>
          <w:rFonts w:cs="Times New Roman"/>
          <w:lang w:val="fr-CA"/>
        </w:rPr>
        <w:t>appel fédérale : 2017 CAF 249, [2018] 4 R.C.F. 300</w:t>
      </w:r>
    </w:p>
    <w:p w:rsidR="005F030A" w:rsidRPr="00E739DA" w:rsidRDefault="005F030A" w:rsidP="005F030A">
      <w:pPr>
        <w:pStyle w:val="ParaNoNdepar-AltN"/>
        <w:spacing w:before="0"/>
        <w:rPr>
          <w:rFonts w:cs="Times New Roman"/>
          <w:lang w:val="fr-CA"/>
        </w:rPr>
      </w:pPr>
      <w:r w:rsidRPr="00E739DA">
        <w:rPr>
          <w:rFonts w:cs="Times New Roman"/>
          <w:lang w:val="fr-CA"/>
        </w:rPr>
        <w:t xml:space="preserve">Bell et la NFL obtiennent, en vertu du par. 31(2) de la </w:t>
      </w:r>
      <w:r w:rsidRPr="00E739DA">
        <w:rPr>
          <w:rFonts w:cs="Times New Roman"/>
          <w:i/>
          <w:lang w:val="fr-CA"/>
        </w:rPr>
        <w:t>Loi sur la radiodiffusion</w:t>
      </w:r>
      <w:r w:rsidRPr="00E739DA">
        <w:rPr>
          <w:rFonts w:cs="Times New Roman"/>
          <w:lang w:val="fr-CA"/>
        </w:rPr>
        <w:t>, l</w:t>
      </w:r>
      <w:r>
        <w:rPr>
          <w:rFonts w:cs="Times New Roman"/>
          <w:lang w:val="fr-CA"/>
        </w:rPr>
        <w:t>’</w:t>
      </w:r>
      <w:r w:rsidRPr="00E739DA">
        <w:rPr>
          <w:rFonts w:cs="Times New Roman"/>
          <w:lang w:val="fr-CA"/>
        </w:rPr>
        <w:t>autorisation de faire appel devant la Cour d</w:t>
      </w:r>
      <w:r>
        <w:rPr>
          <w:rFonts w:cs="Times New Roman"/>
          <w:lang w:val="fr-CA"/>
        </w:rPr>
        <w:t>’</w:t>
      </w:r>
      <w:r w:rsidRPr="00E739DA">
        <w:rPr>
          <w:rFonts w:cs="Times New Roman"/>
          <w:lang w:val="fr-CA"/>
        </w:rPr>
        <w:t>appel fédérale de la Décision définitive et de l</w:t>
      </w:r>
      <w:r>
        <w:rPr>
          <w:rFonts w:cs="Times New Roman"/>
          <w:lang w:val="fr-CA"/>
        </w:rPr>
        <w:t>’</w:t>
      </w:r>
      <w:r w:rsidRPr="00E739DA">
        <w:rPr>
          <w:rFonts w:cs="Times New Roman"/>
          <w:lang w:val="fr-CA"/>
        </w:rPr>
        <w:t>Ordonnance définitive. Leurs appels sont rejetés à l</w:t>
      </w:r>
      <w:r>
        <w:rPr>
          <w:rFonts w:cs="Times New Roman"/>
          <w:lang w:val="fr-CA"/>
        </w:rPr>
        <w:t>’</w:t>
      </w:r>
      <w:r w:rsidRPr="00E739DA">
        <w:rPr>
          <w:rFonts w:cs="Times New Roman"/>
          <w:lang w:val="fr-CA"/>
        </w:rPr>
        <w:t>unanimité.</w:t>
      </w:r>
    </w:p>
    <w:p w:rsidR="005F030A" w:rsidRPr="00E739DA" w:rsidRDefault="005F030A" w:rsidP="005F030A">
      <w:pPr>
        <w:pStyle w:val="ParaNoNdepar-AltN"/>
        <w:spacing w:before="0"/>
        <w:rPr>
          <w:rFonts w:cs="Times New Roman"/>
          <w:lang w:val="fr-CA"/>
        </w:rPr>
      </w:pPr>
      <w:r w:rsidRPr="00E739DA">
        <w:rPr>
          <w:rFonts w:cs="Times New Roman"/>
          <w:lang w:val="fr-CA"/>
        </w:rPr>
        <w:t>Rédigeant les motifs de la Cour d</w:t>
      </w:r>
      <w:r>
        <w:rPr>
          <w:rFonts w:cs="Times New Roman"/>
          <w:lang w:val="fr-CA"/>
        </w:rPr>
        <w:t>’</w:t>
      </w:r>
      <w:r w:rsidRPr="00E739DA">
        <w:rPr>
          <w:rFonts w:cs="Times New Roman"/>
          <w:lang w:val="fr-CA"/>
        </w:rPr>
        <w:t>appel fédérale, le juge Near commence son analyse en examinant la question de savoir si le CRTC a compétence en vertu de l</w:t>
      </w:r>
      <w:r>
        <w:rPr>
          <w:rFonts w:cs="Times New Roman"/>
          <w:lang w:val="fr-CA"/>
        </w:rPr>
        <w:t>’</w:t>
      </w:r>
      <w:r w:rsidRPr="00E739DA">
        <w:rPr>
          <w:rFonts w:cs="Times New Roman"/>
          <w:lang w:val="fr-CA"/>
        </w:rPr>
        <w:t xml:space="preserve">al. 9(1)h) de la </w:t>
      </w:r>
      <w:r w:rsidRPr="00E739DA">
        <w:rPr>
          <w:rFonts w:cs="Times New Roman"/>
          <w:i/>
          <w:lang w:val="fr-CA"/>
        </w:rPr>
        <w:t xml:space="preserve">Loi sur la radiodiffusion </w:t>
      </w:r>
      <w:r w:rsidRPr="00E739DA">
        <w:rPr>
          <w:rFonts w:cs="Times New Roman"/>
          <w:lang w:val="fr-CA"/>
        </w:rPr>
        <w:t>pour rendre l</w:t>
      </w:r>
      <w:r>
        <w:rPr>
          <w:rFonts w:cs="Times New Roman"/>
          <w:lang w:val="fr-CA"/>
        </w:rPr>
        <w:t>’</w:t>
      </w:r>
      <w:r w:rsidRPr="00E739DA">
        <w:rPr>
          <w:rFonts w:cs="Times New Roman"/>
          <w:lang w:val="fr-CA"/>
        </w:rPr>
        <w:t>Ordonnance définitive. Après avoir déterminé que la norme de contrôle applicable est celle de la décision raisonnable, il statue qu</w:t>
      </w:r>
      <w:r>
        <w:rPr>
          <w:rFonts w:cs="Times New Roman"/>
          <w:lang w:val="fr-CA"/>
        </w:rPr>
        <w:t>’</w:t>
      </w:r>
      <w:r w:rsidRPr="00E739DA">
        <w:rPr>
          <w:rFonts w:cs="Times New Roman"/>
          <w:lang w:val="fr-CA"/>
        </w:rPr>
        <w:t>il était raisonnable de la part du CRTC d</w:t>
      </w:r>
      <w:r>
        <w:rPr>
          <w:rFonts w:cs="Times New Roman"/>
          <w:lang w:val="fr-CA"/>
        </w:rPr>
        <w:t>’</w:t>
      </w:r>
      <w:r w:rsidRPr="00E739DA">
        <w:rPr>
          <w:rFonts w:cs="Times New Roman"/>
          <w:lang w:val="fr-CA"/>
        </w:rPr>
        <w:t>avoir considéré que l</w:t>
      </w:r>
      <w:r>
        <w:rPr>
          <w:rFonts w:cs="Times New Roman"/>
          <w:lang w:val="fr-CA"/>
        </w:rPr>
        <w:t>’</w:t>
      </w:r>
      <w:r w:rsidRPr="00E739DA">
        <w:rPr>
          <w:rFonts w:cs="Times New Roman"/>
          <w:lang w:val="fr-CA"/>
        </w:rPr>
        <w:t>expression « services de programmation », telle qu</w:t>
      </w:r>
      <w:r>
        <w:rPr>
          <w:rFonts w:cs="Times New Roman"/>
          <w:lang w:val="fr-CA"/>
        </w:rPr>
        <w:t>’</w:t>
      </w:r>
      <w:r w:rsidRPr="00E739DA">
        <w:rPr>
          <w:rFonts w:cs="Times New Roman"/>
          <w:lang w:val="fr-CA"/>
        </w:rPr>
        <w:t>elle est employée à l</w:t>
      </w:r>
      <w:r>
        <w:rPr>
          <w:rFonts w:cs="Times New Roman"/>
          <w:lang w:val="fr-CA"/>
        </w:rPr>
        <w:t>’</w:t>
      </w:r>
      <w:r w:rsidRPr="00E739DA">
        <w:rPr>
          <w:rFonts w:cs="Times New Roman"/>
          <w:lang w:val="fr-CA"/>
        </w:rPr>
        <w:t>al. 9(1)h), peut s</w:t>
      </w:r>
      <w:r>
        <w:rPr>
          <w:rFonts w:cs="Times New Roman"/>
          <w:lang w:val="fr-CA"/>
        </w:rPr>
        <w:t>’</w:t>
      </w:r>
      <w:r w:rsidRPr="00E739DA">
        <w:rPr>
          <w:rFonts w:cs="Times New Roman"/>
          <w:lang w:val="fr-CA"/>
        </w:rPr>
        <w:t>entendre d</w:t>
      </w:r>
      <w:r>
        <w:rPr>
          <w:rFonts w:cs="Times New Roman"/>
          <w:lang w:val="fr-CA"/>
        </w:rPr>
        <w:t>’</w:t>
      </w:r>
      <w:r w:rsidRPr="00E739DA">
        <w:rPr>
          <w:rFonts w:cs="Times New Roman"/>
          <w:lang w:val="fr-CA"/>
        </w:rPr>
        <w:t>une seule et unique émission comme le Super </w:t>
      </w:r>
      <w:proofErr w:type="spellStart"/>
      <w:r w:rsidRPr="00E739DA">
        <w:rPr>
          <w:rFonts w:cs="Times New Roman"/>
          <w:lang w:val="fr-CA"/>
        </w:rPr>
        <w:t>Bowl</w:t>
      </w:r>
      <w:proofErr w:type="spellEnd"/>
      <w:r w:rsidRPr="00E739DA">
        <w:rPr>
          <w:rFonts w:cs="Times New Roman"/>
          <w:lang w:val="fr-CA"/>
        </w:rPr>
        <w:t>. Il conclut également que la décision de politique générale du CRTC selon laquelle la substitution simultanée du Super </w:t>
      </w:r>
      <w:proofErr w:type="spellStart"/>
      <w:r w:rsidRPr="00E739DA">
        <w:rPr>
          <w:rFonts w:cs="Times New Roman"/>
          <w:lang w:val="fr-CA"/>
        </w:rPr>
        <w:t>Bowl</w:t>
      </w:r>
      <w:proofErr w:type="spellEnd"/>
      <w:r w:rsidRPr="00E739DA">
        <w:rPr>
          <w:rFonts w:cs="Times New Roman"/>
          <w:lang w:val="fr-CA"/>
        </w:rPr>
        <w:t xml:space="preserve"> n</w:t>
      </w:r>
      <w:r>
        <w:rPr>
          <w:rFonts w:cs="Times New Roman"/>
          <w:lang w:val="fr-CA"/>
        </w:rPr>
        <w:t>’</w:t>
      </w:r>
      <w:r w:rsidRPr="00E739DA">
        <w:rPr>
          <w:rFonts w:cs="Times New Roman"/>
          <w:lang w:val="fr-CA"/>
        </w:rPr>
        <w:t>est pas dans l</w:t>
      </w:r>
      <w:r>
        <w:rPr>
          <w:rFonts w:cs="Times New Roman"/>
          <w:lang w:val="fr-CA"/>
        </w:rPr>
        <w:t>’</w:t>
      </w:r>
      <w:r w:rsidRPr="00E739DA">
        <w:rPr>
          <w:rFonts w:cs="Times New Roman"/>
          <w:lang w:val="fr-CA"/>
        </w:rPr>
        <w:t>intérêt public commande la déférence en appel (par. 24), et qu</w:t>
      </w:r>
      <w:r>
        <w:rPr>
          <w:rFonts w:cs="Times New Roman"/>
          <w:lang w:val="fr-CA"/>
        </w:rPr>
        <w:t>’</w:t>
      </w:r>
      <w:r w:rsidRPr="00E739DA">
        <w:rPr>
          <w:rFonts w:cs="Times New Roman"/>
          <w:lang w:val="fr-CA"/>
        </w:rPr>
        <w:t xml:space="preserve">après avoir rendu cette décision en vertu du par. 18(3) de la </w:t>
      </w:r>
      <w:r w:rsidRPr="00E739DA">
        <w:rPr>
          <w:rFonts w:cs="Times New Roman"/>
          <w:i/>
          <w:lang w:val="fr-CA"/>
        </w:rPr>
        <w:t>Loi sur la radiodiffusion</w:t>
      </w:r>
      <w:r w:rsidRPr="00E739DA">
        <w:rPr>
          <w:rFonts w:cs="Times New Roman"/>
          <w:lang w:val="fr-CA"/>
        </w:rPr>
        <w:t>, « </w:t>
      </w:r>
      <w:r w:rsidRPr="00E739DA">
        <w:rPr>
          <w:rFonts w:cs="Times New Roman"/>
          <w:lang w:val="fr-FR"/>
        </w:rPr>
        <w:t>le CRTC pouvait alors exempter le Super </w:t>
      </w:r>
      <w:proofErr w:type="spellStart"/>
      <w:r w:rsidRPr="00E739DA">
        <w:rPr>
          <w:rFonts w:cs="Times New Roman"/>
          <w:lang w:val="fr-FR"/>
        </w:rPr>
        <w:t>Bowl</w:t>
      </w:r>
      <w:proofErr w:type="spellEnd"/>
      <w:r w:rsidRPr="00E739DA">
        <w:rPr>
          <w:rFonts w:cs="Times New Roman"/>
          <w:lang w:val="fr-FR"/>
        </w:rPr>
        <w:t xml:space="preserve"> du régime de substitution simultanée au titre du paragraphe </w:t>
      </w:r>
      <w:r w:rsidRPr="00E739DA">
        <w:rPr>
          <w:rFonts w:cs="Times New Roman"/>
          <w:lang w:val="fr-CA"/>
        </w:rPr>
        <w:t>4(3) du [</w:t>
      </w:r>
      <w:r w:rsidRPr="00E739DA">
        <w:rPr>
          <w:rFonts w:cs="Times New Roman"/>
          <w:i/>
          <w:lang w:val="fr-CA"/>
        </w:rPr>
        <w:t>Règlement sur la substitution simultanée</w:t>
      </w:r>
      <w:r w:rsidRPr="00E739DA">
        <w:rPr>
          <w:rFonts w:cs="Times New Roman"/>
          <w:lang w:val="fr-CA"/>
        </w:rPr>
        <w:t>] » (par. 25).</w:t>
      </w:r>
    </w:p>
    <w:p w:rsidR="005F030A" w:rsidRPr="00E739DA" w:rsidRDefault="005F030A" w:rsidP="005F030A">
      <w:pPr>
        <w:pStyle w:val="ParaNoNdepar-AltN"/>
        <w:spacing w:before="0"/>
        <w:rPr>
          <w:rFonts w:cs="Times New Roman"/>
          <w:lang w:val="fr-CA"/>
        </w:rPr>
      </w:pPr>
      <w:r w:rsidRPr="00E739DA">
        <w:rPr>
          <w:rFonts w:cs="Times New Roman"/>
          <w:lang w:val="fr-CA"/>
        </w:rPr>
        <w:t>En plus de contester le caractère raisonnable de la Décision définitive et de l</w:t>
      </w:r>
      <w:r>
        <w:rPr>
          <w:rFonts w:cs="Times New Roman"/>
          <w:lang w:val="fr-CA"/>
        </w:rPr>
        <w:t>’</w:t>
      </w:r>
      <w:r w:rsidRPr="00E739DA">
        <w:rPr>
          <w:rFonts w:cs="Times New Roman"/>
          <w:lang w:val="fr-CA"/>
        </w:rPr>
        <w:t>Ordonnance définitive du CRTC, la NFL fait valoir que l</w:t>
      </w:r>
      <w:r>
        <w:rPr>
          <w:rFonts w:cs="Times New Roman"/>
          <w:lang w:val="fr-CA"/>
        </w:rPr>
        <w:t>’</w:t>
      </w:r>
      <w:r w:rsidRPr="00E739DA">
        <w:rPr>
          <w:rFonts w:cs="Times New Roman"/>
          <w:lang w:val="fr-CA"/>
        </w:rPr>
        <w:t>Ordonnance définitive doit être annulée parce qu</w:t>
      </w:r>
      <w:r>
        <w:rPr>
          <w:rFonts w:cs="Times New Roman"/>
          <w:lang w:val="fr-CA"/>
        </w:rPr>
        <w:t>’</w:t>
      </w:r>
      <w:r w:rsidRPr="00E739DA">
        <w:rPr>
          <w:rFonts w:cs="Times New Roman"/>
          <w:lang w:val="fr-CA"/>
        </w:rPr>
        <w:t xml:space="preserve">elle entre en conflit avec la </w:t>
      </w:r>
      <w:r w:rsidRPr="00E739DA">
        <w:rPr>
          <w:rFonts w:cs="Times New Roman"/>
          <w:i/>
          <w:lang w:val="fr-CA"/>
        </w:rPr>
        <w:t>Loi sur le droit d</w:t>
      </w:r>
      <w:r>
        <w:rPr>
          <w:rFonts w:cs="Times New Roman"/>
          <w:i/>
          <w:lang w:val="fr-CA"/>
        </w:rPr>
        <w:t>’</w:t>
      </w:r>
      <w:r w:rsidRPr="00E739DA">
        <w:rPr>
          <w:rFonts w:cs="Times New Roman"/>
          <w:i/>
          <w:lang w:val="fr-CA"/>
        </w:rPr>
        <w:t>auteur</w:t>
      </w:r>
      <w:r w:rsidRPr="00E739DA">
        <w:rPr>
          <w:rFonts w:cs="Times New Roman"/>
          <w:lang w:val="fr-CA"/>
        </w:rPr>
        <w:t>, L.R.</w:t>
      </w:r>
      <w:r>
        <w:rPr>
          <w:rFonts w:cs="Times New Roman"/>
          <w:lang w:val="fr-CA"/>
        </w:rPr>
        <w:t>C. 1985, c. </w:t>
      </w:r>
      <w:r w:rsidRPr="00E739DA">
        <w:rPr>
          <w:rFonts w:cs="Times New Roman"/>
          <w:lang w:val="fr-CA"/>
        </w:rPr>
        <w:t>C</w:t>
      </w:r>
      <w:r w:rsidRPr="00E739DA">
        <w:rPr>
          <w:rFonts w:cs="Times New Roman"/>
          <w:lang w:val="fr-CA"/>
        </w:rPr>
        <w:noBreakHyphen/>
        <w:t>42, et le droit commercial international.</w:t>
      </w:r>
      <w:r>
        <w:rPr>
          <w:rFonts w:cs="Times New Roman"/>
          <w:lang w:val="fr-CA"/>
        </w:rPr>
        <w:t xml:space="preserve"> </w:t>
      </w:r>
      <w:r w:rsidRPr="00E739DA">
        <w:rPr>
          <w:rFonts w:cs="Times New Roman"/>
          <w:lang w:val="fr-CA"/>
        </w:rPr>
        <w:t>Le juge Near retient l</w:t>
      </w:r>
      <w:r>
        <w:rPr>
          <w:rFonts w:cs="Times New Roman"/>
          <w:lang w:val="fr-CA"/>
        </w:rPr>
        <w:t>’</w:t>
      </w:r>
      <w:r w:rsidRPr="00E739DA">
        <w:rPr>
          <w:rFonts w:cs="Times New Roman"/>
          <w:lang w:val="fr-CA"/>
        </w:rPr>
        <w:t xml:space="preserve">argument de la NFL suivant lequel la norme de contrôle applicable à cette question est celle de la décision </w:t>
      </w:r>
      <w:r w:rsidRPr="00E739DA">
        <w:rPr>
          <w:rFonts w:cs="Times New Roman"/>
          <w:lang w:val="fr-CA"/>
        </w:rPr>
        <w:lastRenderedPageBreak/>
        <w:t xml:space="preserve">correcte, à la fois parce que la </w:t>
      </w:r>
      <w:r w:rsidRPr="00E739DA">
        <w:rPr>
          <w:rFonts w:cs="Times New Roman"/>
          <w:i/>
          <w:lang w:val="fr-CA"/>
        </w:rPr>
        <w:t>Loi sur le droit d</w:t>
      </w:r>
      <w:r>
        <w:rPr>
          <w:rFonts w:cs="Times New Roman"/>
          <w:i/>
          <w:lang w:val="fr-CA"/>
        </w:rPr>
        <w:t>’</w:t>
      </w:r>
      <w:r w:rsidRPr="00E739DA">
        <w:rPr>
          <w:rFonts w:cs="Times New Roman"/>
          <w:i/>
          <w:lang w:val="fr-CA"/>
        </w:rPr>
        <w:t>auteur</w:t>
      </w:r>
      <w:r w:rsidRPr="00E739DA">
        <w:rPr>
          <w:rFonts w:cs="Times New Roman"/>
          <w:lang w:val="fr-CA"/>
        </w:rPr>
        <w:t xml:space="preserve"> n</w:t>
      </w:r>
      <w:r>
        <w:rPr>
          <w:rFonts w:cs="Times New Roman"/>
          <w:lang w:val="fr-CA"/>
        </w:rPr>
        <w:t>’</w:t>
      </w:r>
      <w:r w:rsidRPr="00E739DA">
        <w:rPr>
          <w:rFonts w:cs="Times New Roman"/>
          <w:lang w:val="fr-CA"/>
        </w:rPr>
        <w:t xml:space="preserve">est pas la « loi habilitante » du CRTC et parce que le CRTC </w:t>
      </w:r>
      <w:r w:rsidRPr="00E739DA">
        <w:rPr>
          <w:rFonts w:cs="Times New Roman"/>
          <w:lang w:val="fr-FR"/>
        </w:rPr>
        <w:t>partage sa compétence à l</w:t>
      </w:r>
      <w:r>
        <w:rPr>
          <w:rFonts w:cs="Times New Roman"/>
          <w:lang w:val="fr-FR"/>
        </w:rPr>
        <w:t>’</w:t>
      </w:r>
      <w:r w:rsidRPr="00E739DA">
        <w:rPr>
          <w:rFonts w:cs="Times New Roman"/>
          <w:lang w:val="fr-FR"/>
        </w:rPr>
        <w:t>égard de l</w:t>
      </w:r>
      <w:r>
        <w:rPr>
          <w:rFonts w:cs="Times New Roman"/>
          <w:lang w:val="fr-FR"/>
        </w:rPr>
        <w:t>’</w:t>
      </w:r>
      <w:r w:rsidRPr="00E739DA">
        <w:rPr>
          <w:rFonts w:cs="Times New Roman"/>
          <w:lang w:val="fr-FR"/>
        </w:rPr>
        <w:t>application de celle</w:t>
      </w:r>
      <w:r w:rsidRPr="00E739DA">
        <w:rPr>
          <w:rFonts w:cs="Times New Roman"/>
          <w:lang w:val="fr-FR"/>
        </w:rPr>
        <w:noBreakHyphen/>
        <w:t>ci avec la Commission du droit d</w:t>
      </w:r>
      <w:r>
        <w:rPr>
          <w:rFonts w:cs="Times New Roman"/>
          <w:lang w:val="fr-FR"/>
        </w:rPr>
        <w:t>’</w:t>
      </w:r>
      <w:r w:rsidRPr="00E739DA">
        <w:rPr>
          <w:rFonts w:cs="Times New Roman"/>
          <w:lang w:val="fr-FR"/>
        </w:rPr>
        <w:t xml:space="preserve">auteur et les tribunaux de première instance </w:t>
      </w:r>
      <w:r w:rsidRPr="00E739DA">
        <w:rPr>
          <w:rFonts w:cs="Times New Roman"/>
          <w:lang w:val="fr-CA"/>
        </w:rPr>
        <w:t>(par. 38). Sur le fond, toutefois, il conclut à l</w:t>
      </w:r>
      <w:r>
        <w:rPr>
          <w:rFonts w:cs="Times New Roman"/>
          <w:lang w:val="fr-CA"/>
        </w:rPr>
        <w:t>’</w:t>
      </w:r>
      <w:r w:rsidRPr="00E739DA">
        <w:rPr>
          <w:rFonts w:cs="Times New Roman"/>
          <w:lang w:val="fr-CA"/>
        </w:rPr>
        <w:t>absence de conflit — sur le plan de l</w:t>
      </w:r>
      <w:r>
        <w:rPr>
          <w:rFonts w:cs="Times New Roman"/>
          <w:lang w:val="fr-CA"/>
        </w:rPr>
        <w:t>’</w:t>
      </w:r>
      <w:r w:rsidRPr="00E739DA">
        <w:rPr>
          <w:rFonts w:cs="Times New Roman"/>
          <w:lang w:val="fr-CA"/>
        </w:rPr>
        <w:t>objet et de l</w:t>
      </w:r>
      <w:r>
        <w:rPr>
          <w:rFonts w:cs="Times New Roman"/>
          <w:lang w:val="fr-CA"/>
        </w:rPr>
        <w:t>’</w:t>
      </w:r>
      <w:r w:rsidRPr="00E739DA">
        <w:rPr>
          <w:rFonts w:cs="Times New Roman"/>
          <w:lang w:val="fr-CA"/>
        </w:rPr>
        <w:t>application — entre l</w:t>
      </w:r>
      <w:r>
        <w:rPr>
          <w:rFonts w:cs="Times New Roman"/>
          <w:lang w:val="fr-CA"/>
        </w:rPr>
        <w:t>’</w:t>
      </w:r>
      <w:r w:rsidRPr="00E739DA">
        <w:rPr>
          <w:rFonts w:cs="Times New Roman"/>
          <w:lang w:val="fr-CA"/>
        </w:rPr>
        <w:t xml:space="preserve">Ordonnance définitive et la </w:t>
      </w:r>
      <w:r w:rsidRPr="00E739DA">
        <w:rPr>
          <w:rFonts w:cs="Times New Roman"/>
          <w:i/>
          <w:lang w:val="fr-CA"/>
        </w:rPr>
        <w:t>Loi sur le droit d</w:t>
      </w:r>
      <w:r>
        <w:rPr>
          <w:rFonts w:cs="Times New Roman"/>
          <w:i/>
          <w:lang w:val="fr-CA"/>
        </w:rPr>
        <w:t>’</w:t>
      </w:r>
      <w:r w:rsidRPr="00E739DA">
        <w:rPr>
          <w:rFonts w:cs="Times New Roman"/>
          <w:i/>
          <w:lang w:val="fr-CA"/>
        </w:rPr>
        <w:t>auteur</w:t>
      </w:r>
      <w:r w:rsidRPr="00E739DA">
        <w:rPr>
          <w:rFonts w:cs="Times New Roman"/>
          <w:lang w:val="fr-CA"/>
        </w:rPr>
        <w:t>, et il rejette en conséquence l</w:t>
      </w:r>
      <w:r>
        <w:rPr>
          <w:rFonts w:cs="Times New Roman"/>
          <w:lang w:val="fr-CA"/>
        </w:rPr>
        <w:t>’</w:t>
      </w:r>
      <w:r w:rsidRPr="00E739DA">
        <w:rPr>
          <w:rFonts w:cs="Times New Roman"/>
          <w:lang w:val="fr-CA"/>
        </w:rPr>
        <w:t>argument de la NFL à cet égard.</w:t>
      </w:r>
    </w:p>
    <w:p w:rsidR="005F030A" w:rsidRPr="00E739DA" w:rsidRDefault="005F030A" w:rsidP="005F030A">
      <w:pPr>
        <w:pStyle w:val="Title1LevelTitre1Niveau-AltL"/>
        <w:spacing w:before="0"/>
        <w:rPr>
          <w:rFonts w:cs="Times New Roman"/>
          <w:lang w:val="fr-CA"/>
        </w:rPr>
      </w:pPr>
      <w:r w:rsidRPr="00E739DA">
        <w:rPr>
          <w:rFonts w:cs="Times New Roman"/>
          <w:lang w:val="fr-CA"/>
        </w:rPr>
        <w:t>Analyse</w:t>
      </w:r>
    </w:p>
    <w:p w:rsidR="005F030A" w:rsidRPr="00E739DA" w:rsidRDefault="005F030A" w:rsidP="005F030A">
      <w:pPr>
        <w:pStyle w:val="ParaNoNdepar-AltN"/>
        <w:spacing w:before="0"/>
        <w:rPr>
          <w:rFonts w:cs="Times New Roman"/>
          <w:lang w:val="fr-CA"/>
        </w:rPr>
      </w:pPr>
      <w:r w:rsidRPr="00E739DA">
        <w:rPr>
          <w:rFonts w:cs="Times New Roman"/>
          <w:lang w:val="fr-CA"/>
        </w:rPr>
        <w:t>Devant notre Cour, les appelantes Bell et la NFL soutiennent que l</w:t>
      </w:r>
      <w:r>
        <w:rPr>
          <w:rFonts w:cs="Times New Roman"/>
          <w:lang w:val="fr-CA"/>
        </w:rPr>
        <w:t>’</w:t>
      </w:r>
      <w:r w:rsidRPr="00E739DA">
        <w:rPr>
          <w:rFonts w:cs="Times New Roman"/>
          <w:lang w:val="fr-CA"/>
        </w:rPr>
        <w:t>Ordonnance définitive et la Décision définitive devraient être annulées au motif que le CRTC n</w:t>
      </w:r>
      <w:r>
        <w:rPr>
          <w:rFonts w:cs="Times New Roman"/>
          <w:lang w:val="fr-CA"/>
        </w:rPr>
        <w:t>’</w:t>
      </w:r>
      <w:r w:rsidRPr="00E739DA">
        <w:rPr>
          <w:rFonts w:cs="Times New Roman"/>
          <w:lang w:val="fr-CA"/>
        </w:rPr>
        <w:t>a pas le pouvoir,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d</w:t>
      </w:r>
      <w:r>
        <w:rPr>
          <w:rFonts w:cs="Times New Roman"/>
          <w:lang w:val="fr-CA"/>
        </w:rPr>
        <w:t>’</w:t>
      </w:r>
      <w:r w:rsidRPr="00E739DA">
        <w:rPr>
          <w:rFonts w:cs="Times New Roman"/>
          <w:lang w:val="fr-CA"/>
        </w:rPr>
        <w:t xml:space="preserve">interdire la substitution simultanée du Super </w:t>
      </w:r>
      <w:proofErr w:type="spellStart"/>
      <w:r w:rsidRPr="00E739DA">
        <w:rPr>
          <w:rFonts w:cs="Times New Roman"/>
          <w:lang w:val="fr-CA"/>
        </w:rPr>
        <w:t>Bowl</w:t>
      </w:r>
      <w:proofErr w:type="spellEnd"/>
      <w:r w:rsidRPr="00E739DA">
        <w:rPr>
          <w:rFonts w:cs="Times New Roman"/>
          <w:lang w:val="fr-CA"/>
        </w:rPr>
        <w:t>. Elles plaident en outre que la Décision définitive et l</w:t>
      </w:r>
      <w:r>
        <w:rPr>
          <w:rFonts w:cs="Times New Roman"/>
          <w:lang w:val="fr-CA"/>
        </w:rPr>
        <w:t>’</w:t>
      </w:r>
      <w:r w:rsidRPr="00E739DA">
        <w:rPr>
          <w:rFonts w:cs="Times New Roman"/>
          <w:lang w:val="fr-CA"/>
        </w:rPr>
        <w:t>Ordonnance définitive sont également invalides parce qu</w:t>
      </w:r>
      <w:r>
        <w:rPr>
          <w:rFonts w:cs="Times New Roman"/>
          <w:lang w:val="fr-CA"/>
        </w:rPr>
        <w:t>’</w:t>
      </w:r>
      <w:r w:rsidRPr="00E739DA">
        <w:rPr>
          <w:rFonts w:cs="Times New Roman"/>
          <w:lang w:val="fr-CA"/>
        </w:rPr>
        <w:t>elles entrent en conflit avec l</w:t>
      </w:r>
      <w:r>
        <w:rPr>
          <w:rFonts w:cs="Times New Roman"/>
          <w:lang w:val="fr-CA"/>
        </w:rPr>
        <w:t>’</w:t>
      </w:r>
      <w:r w:rsidRPr="00E739DA">
        <w:rPr>
          <w:rFonts w:cs="Times New Roman"/>
          <w:lang w:val="fr-CA"/>
        </w:rPr>
        <w:t>application et l</w:t>
      </w:r>
      <w:r>
        <w:rPr>
          <w:rFonts w:cs="Times New Roman"/>
          <w:lang w:val="fr-CA"/>
        </w:rPr>
        <w:t>’</w:t>
      </w:r>
      <w:r w:rsidRPr="00E739DA">
        <w:rPr>
          <w:rFonts w:cs="Times New Roman"/>
          <w:lang w:val="fr-CA"/>
        </w:rPr>
        <w:t xml:space="preserve">objet du par. 31(2) de la </w:t>
      </w:r>
      <w:r w:rsidRPr="00E739DA">
        <w:rPr>
          <w:rFonts w:cs="Times New Roman"/>
          <w:i/>
          <w:lang w:val="fr-CA"/>
        </w:rPr>
        <w:t>Loi sur le droit d</w:t>
      </w:r>
      <w:r>
        <w:rPr>
          <w:rFonts w:cs="Times New Roman"/>
          <w:i/>
          <w:lang w:val="fr-CA"/>
        </w:rPr>
        <w:t>’</w:t>
      </w:r>
      <w:r w:rsidRPr="00E739DA">
        <w:rPr>
          <w:rFonts w:cs="Times New Roman"/>
          <w:i/>
          <w:lang w:val="fr-CA"/>
        </w:rPr>
        <w:t>auteur</w:t>
      </w:r>
      <w:r w:rsidRPr="00E739DA">
        <w:rPr>
          <w:rFonts w:cs="Times New Roman"/>
          <w:lang w:val="fr-CA"/>
        </w:rPr>
        <w:t>.</w:t>
      </w:r>
    </w:p>
    <w:p w:rsidR="005F030A" w:rsidRPr="00E739DA" w:rsidRDefault="005F030A" w:rsidP="005F030A">
      <w:pPr>
        <w:pStyle w:val="ParaNoNdepar-AltN"/>
        <w:spacing w:before="0"/>
        <w:rPr>
          <w:rFonts w:cs="Times New Roman"/>
          <w:lang w:val="fr-CA"/>
        </w:rPr>
      </w:pPr>
      <w:r w:rsidRPr="00E739DA">
        <w:rPr>
          <w:rFonts w:cs="Times New Roman"/>
          <w:lang w:val="fr-CA"/>
        </w:rPr>
        <w:t>Étant donné que nous souscrivons au principal argument des appelantes relativement à la question de la compétence, et que nous sommes d</w:t>
      </w:r>
      <w:r>
        <w:rPr>
          <w:rFonts w:cs="Times New Roman"/>
          <w:lang w:val="fr-CA"/>
        </w:rPr>
        <w:t>’</w:t>
      </w:r>
      <w:r w:rsidRPr="00E739DA">
        <w:rPr>
          <w:rFonts w:cs="Times New Roman"/>
          <w:lang w:val="fr-CA"/>
        </w:rPr>
        <w:t>avis d</w:t>
      </w:r>
      <w:r>
        <w:rPr>
          <w:rFonts w:cs="Times New Roman"/>
          <w:lang w:val="fr-CA"/>
        </w:rPr>
        <w:t>’</w:t>
      </w:r>
      <w:r w:rsidRPr="00E739DA">
        <w:rPr>
          <w:rFonts w:cs="Times New Roman"/>
          <w:lang w:val="fr-CA"/>
        </w:rPr>
        <w:t>accueillir les pourvois sur cette seule base, nous estimons qu</w:t>
      </w:r>
      <w:r>
        <w:rPr>
          <w:rFonts w:cs="Times New Roman"/>
          <w:lang w:val="fr-CA"/>
        </w:rPr>
        <w:t>’</w:t>
      </w:r>
      <w:r w:rsidRPr="00E739DA">
        <w:rPr>
          <w:rFonts w:cs="Times New Roman"/>
          <w:lang w:val="fr-CA"/>
        </w:rPr>
        <w:t>il n</w:t>
      </w:r>
      <w:r>
        <w:rPr>
          <w:rFonts w:cs="Times New Roman"/>
          <w:lang w:val="fr-CA"/>
        </w:rPr>
        <w:t>’</w:t>
      </w:r>
      <w:r w:rsidRPr="00E739DA">
        <w:rPr>
          <w:rFonts w:cs="Times New Roman"/>
          <w:lang w:val="fr-CA"/>
        </w:rPr>
        <w:t>est pas nécessaire d</w:t>
      </w:r>
      <w:r>
        <w:rPr>
          <w:rFonts w:cs="Times New Roman"/>
          <w:lang w:val="fr-CA"/>
        </w:rPr>
        <w:t>’</w:t>
      </w:r>
      <w:r w:rsidRPr="00E739DA">
        <w:rPr>
          <w:rFonts w:cs="Times New Roman"/>
          <w:lang w:val="fr-CA"/>
        </w:rPr>
        <w:t>examiner le conflit entre la Décision définitive et l</w:t>
      </w:r>
      <w:r>
        <w:rPr>
          <w:rFonts w:cs="Times New Roman"/>
          <w:lang w:val="fr-CA"/>
        </w:rPr>
        <w:t>’</w:t>
      </w:r>
      <w:r w:rsidRPr="00E739DA">
        <w:rPr>
          <w:rFonts w:cs="Times New Roman"/>
          <w:lang w:val="fr-CA"/>
        </w:rPr>
        <w:t>Ordonnance définitive d</w:t>
      </w:r>
      <w:r>
        <w:rPr>
          <w:rFonts w:cs="Times New Roman"/>
          <w:lang w:val="fr-CA"/>
        </w:rPr>
        <w:t>’</w:t>
      </w:r>
      <w:r w:rsidRPr="00E739DA">
        <w:rPr>
          <w:rFonts w:cs="Times New Roman"/>
          <w:lang w:val="fr-CA"/>
        </w:rPr>
        <w:t xml:space="preserve">une part, et la </w:t>
      </w:r>
      <w:r w:rsidRPr="00E739DA">
        <w:rPr>
          <w:rFonts w:cs="Times New Roman"/>
          <w:i/>
          <w:lang w:val="fr-CA"/>
        </w:rPr>
        <w:t>Loi sur le droit d</w:t>
      </w:r>
      <w:r>
        <w:rPr>
          <w:rFonts w:cs="Times New Roman"/>
          <w:i/>
          <w:lang w:val="fr-CA"/>
        </w:rPr>
        <w:t>’</w:t>
      </w:r>
      <w:r w:rsidRPr="00E739DA">
        <w:rPr>
          <w:rFonts w:cs="Times New Roman"/>
          <w:i/>
          <w:lang w:val="fr-CA"/>
        </w:rPr>
        <w:t>auteur</w:t>
      </w:r>
      <w:r w:rsidRPr="00E739DA">
        <w:rPr>
          <w:rFonts w:cs="Times New Roman"/>
          <w:lang w:val="fr-CA"/>
        </w:rPr>
        <w:t xml:space="preserve"> d</w:t>
      </w:r>
      <w:r>
        <w:rPr>
          <w:rFonts w:cs="Times New Roman"/>
          <w:lang w:val="fr-CA"/>
        </w:rPr>
        <w:t>’</w:t>
      </w:r>
      <w:r w:rsidRPr="00E739DA">
        <w:rPr>
          <w:rFonts w:cs="Times New Roman"/>
          <w:lang w:val="fr-CA"/>
        </w:rPr>
        <w:t>autre part. Les deux questions sur lesquelles nous nous penchons dans les présents motifs sont donc les suivantes :</w:t>
      </w:r>
    </w:p>
    <w:p w:rsidR="005F030A" w:rsidRPr="00E739DA" w:rsidRDefault="005F030A" w:rsidP="00FB2217">
      <w:pPr>
        <w:pStyle w:val="Citation-AltC"/>
        <w:numPr>
          <w:ilvl w:val="2"/>
          <w:numId w:val="6"/>
        </w:numPr>
        <w:spacing w:after="480" w:line="480" w:lineRule="auto"/>
        <w:ind w:left="540" w:hanging="540"/>
        <w:contextualSpacing w:val="0"/>
        <w:rPr>
          <w:lang w:val="fr-CA"/>
        </w:rPr>
      </w:pPr>
      <w:r w:rsidRPr="00E739DA">
        <w:rPr>
          <w:lang w:val="fr-CA"/>
        </w:rPr>
        <w:t xml:space="preserve">Selon quelle norme la Cour </w:t>
      </w:r>
      <w:proofErr w:type="spellStart"/>
      <w:r w:rsidRPr="00E739DA">
        <w:rPr>
          <w:lang w:val="fr-CA"/>
        </w:rPr>
        <w:t>doit</w:t>
      </w:r>
      <w:r w:rsidRPr="00E739DA">
        <w:rPr>
          <w:lang w:val="fr-CA"/>
        </w:rPr>
        <w:noBreakHyphen/>
        <w:t>elle</w:t>
      </w:r>
      <w:proofErr w:type="spellEnd"/>
      <w:r w:rsidRPr="00E739DA">
        <w:rPr>
          <w:lang w:val="fr-CA"/>
        </w:rPr>
        <w:t xml:space="preserve"> contrôler la décision du CRTC concernant l</w:t>
      </w:r>
      <w:r>
        <w:rPr>
          <w:lang w:val="fr-CA"/>
        </w:rPr>
        <w:t>’</w:t>
      </w:r>
      <w:r w:rsidRPr="00E739DA">
        <w:rPr>
          <w:lang w:val="fr-CA"/>
        </w:rPr>
        <w:t>étendue du pouvoir que lui confère l</w:t>
      </w:r>
      <w:r>
        <w:rPr>
          <w:lang w:val="fr-CA"/>
        </w:rPr>
        <w:t>’</w:t>
      </w:r>
      <w:r w:rsidRPr="00E739DA">
        <w:rPr>
          <w:lang w:val="fr-CA"/>
        </w:rPr>
        <w:t xml:space="preserve">al. 9(1)h) de la </w:t>
      </w:r>
      <w:r w:rsidRPr="00E739DA">
        <w:rPr>
          <w:i/>
          <w:lang w:val="fr-CA"/>
        </w:rPr>
        <w:t>Loi sur la radiodiffusion</w:t>
      </w:r>
      <w:r w:rsidRPr="00E739DA">
        <w:rPr>
          <w:lang w:val="fr-CA"/>
        </w:rPr>
        <w:t>?</w:t>
      </w:r>
    </w:p>
    <w:p w:rsidR="005F030A" w:rsidRPr="00E739DA" w:rsidRDefault="005F030A" w:rsidP="00FB2217">
      <w:pPr>
        <w:pStyle w:val="Citation-AltC"/>
        <w:numPr>
          <w:ilvl w:val="2"/>
          <w:numId w:val="6"/>
        </w:numPr>
        <w:spacing w:after="480" w:line="480" w:lineRule="auto"/>
        <w:ind w:left="540" w:hanging="540"/>
        <w:contextualSpacing w:val="0"/>
        <w:rPr>
          <w:rFonts w:eastAsia="Calibri"/>
          <w:szCs w:val="22"/>
          <w:lang w:val="fr-CA" w:eastAsia="en-US"/>
        </w:rPr>
      </w:pPr>
      <w:r w:rsidRPr="00E739DA">
        <w:rPr>
          <w:rFonts w:eastAsia="Calibri"/>
          <w:szCs w:val="22"/>
          <w:lang w:val="fr-CA" w:eastAsia="en-US"/>
        </w:rPr>
        <w:lastRenderedPageBreak/>
        <w:t xml:space="preserve">Le CRTC </w:t>
      </w:r>
      <w:proofErr w:type="spellStart"/>
      <w:r w:rsidRPr="00E739DA">
        <w:rPr>
          <w:rFonts w:eastAsia="Calibri"/>
          <w:szCs w:val="22"/>
          <w:lang w:val="fr-CA" w:eastAsia="en-US"/>
        </w:rPr>
        <w:t>a</w:t>
      </w:r>
      <w:r w:rsidRPr="00E739DA">
        <w:rPr>
          <w:rFonts w:eastAsia="Calibri"/>
          <w:szCs w:val="22"/>
          <w:lang w:val="fr-CA" w:eastAsia="en-US"/>
        </w:rPr>
        <w:noBreakHyphen/>
        <w:t>t</w:t>
      </w:r>
      <w:r w:rsidRPr="00E739DA">
        <w:rPr>
          <w:rFonts w:eastAsia="Calibri"/>
          <w:szCs w:val="22"/>
          <w:lang w:val="fr-CA" w:eastAsia="en-US"/>
        </w:rPr>
        <w:noBreakHyphen/>
        <w:t>il</w:t>
      </w:r>
      <w:proofErr w:type="spellEnd"/>
      <w:r w:rsidRPr="00E739DA">
        <w:rPr>
          <w:rFonts w:eastAsia="Calibri"/>
          <w:szCs w:val="22"/>
          <w:lang w:val="fr-CA" w:eastAsia="en-US"/>
        </w:rPr>
        <w:t xml:space="preserve"> eu </w:t>
      </w:r>
      <w:r w:rsidRPr="00E564C0">
        <w:rPr>
          <w:lang w:val="fr-CA"/>
        </w:rPr>
        <w:t>raison</w:t>
      </w:r>
      <w:r w:rsidRPr="00E739DA">
        <w:rPr>
          <w:rFonts w:eastAsia="Calibri"/>
          <w:szCs w:val="22"/>
          <w:lang w:val="fr-CA" w:eastAsia="en-US"/>
        </w:rPr>
        <w:t xml:space="preserve"> de décider qu</w:t>
      </w:r>
      <w:r>
        <w:rPr>
          <w:rFonts w:eastAsia="Calibri"/>
          <w:szCs w:val="22"/>
          <w:lang w:val="fr-CA" w:eastAsia="en-US"/>
        </w:rPr>
        <w:t>’</w:t>
      </w:r>
      <w:r w:rsidRPr="00E739DA">
        <w:rPr>
          <w:rFonts w:eastAsia="Calibri"/>
          <w:szCs w:val="22"/>
          <w:lang w:val="fr-CA" w:eastAsia="en-US"/>
        </w:rPr>
        <w:t>il avait, en vertu de l</w:t>
      </w:r>
      <w:r>
        <w:rPr>
          <w:rFonts w:eastAsia="Calibri"/>
          <w:szCs w:val="22"/>
          <w:lang w:val="fr-CA" w:eastAsia="en-US"/>
        </w:rPr>
        <w:t>’</w:t>
      </w:r>
      <w:r w:rsidRPr="00E739DA">
        <w:rPr>
          <w:rFonts w:eastAsia="Calibri"/>
          <w:szCs w:val="22"/>
          <w:lang w:val="fr-CA" w:eastAsia="en-US"/>
        </w:rPr>
        <w:t xml:space="preserve">al. 9(1)h) de la </w:t>
      </w:r>
      <w:r w:rsidRPr="00E739DA">
        <w:rPr>
          <w:rFonts w:eastAsia="Calibri"/>
          <w:i/>
          <w:szCs w:val="22"/>
          <w:lang w:val="fr-CA" w:eastAsia="en-US"/>
        </w:rPr>
        <w:t>Loi sur la radiodiffusion</w:t>
      </w:r>
      <w:r w:rsidRPr="00E739DA">
        <w:rPr>
          <w:rFonts w:eastAsia="Calibri"/>
          <w:szCs w:val="22"/>
          <w:lang w:val="fr-CA" w:eastAsia="en-US"/>
        </w:rPr>
        <w:t>, le pouvoir de mettre en œuvre sa Décision définitive de rendre l</w:t>
      </w:r>
      <w:r>
        <w:rPr>
          <w:rFonts w:eastAsia="Calibri"/>
          <w:szCs w:val="22"/>
          <w:lang w:val="fr-CA" w:eastAsia="en-US"/>
        </w:rPr>
        <w:t>’</w:t>
      </w:r>
      <w:r w:rsidRPr="00E739DA">
        <w:rPr>
          <w:rFonts w:eastAsia="Calibri"/>
          <w:szCs w:val="22"/>
          <w:lang w:val="fr-CA" w:eastAsia="en-US"/>
        </w:rPr>
        <w:t>Ordonnance définitive interdisant la substitution simultanée du Super </w:t>
      </w:r>
      <w:proofErr w:type="spellStart"/>
      <w:r w:rsidRPr="00E739DA">
        <w:rPr>
          <w:rFonts w:eastAsia="Calibri"/>
          <w:szCs w:val="22"/>
          <w:lang w:val="fr-CA" w:eastAsia="en-US"/>
        </w:rPr>
        <w:t>Bowl</w:t>
      </w:r>
      <w:proofErr w:type="spellEnd"/>
      <w:r w:rsidRPr="00E739DA">
        <w:rPr>
          <w:rFonts w:eastAsia="Calibri"/>
          <w:szCs w:val="22"/>
          <w:lang w:val="fr-CA" w:eastAsia="en-US"/>
        </w:rPr>
        <w:t>?</w:t>
      </w:r>
    </w:p>
    <w:p w:rsidR="005F030A" w:rsidRPr="00E739DA" w:rsidRDefault="005F030A" w:rsidP="005F030A">
      <w:pPr>
        <w:pStyle w:val="Title2LevelTitre2Niveau"/>
        <w:spacing w:before="0"/>
        <w:rPr>
          <w:rFonts w:cs="Times New Roman"/>
          <w:lang w:val="fr-CA"/>
        </w:rPr>
      </w:pPr>
      <w:r w:rsidRPr="00E739DA">
        <w:rPr>
          <w:rFonts w:cs="Times New Roman"/>
          <w:lang w:val="fr-CA"/>
        </w:rPr>
        <w:t>La norme de contrôle applicable : la norme de la décision correcte</w:t>
      </w:r>
    </w:p>
    <w:p w:rsidR="005F030A" w:rsidRPr="00E739DA" w:rsidRDefault="005F030A" w:rsidP="005F030A">
      <w:pPr>
        <w:pStyle w:val="ParaNoNdepar-AltN"/>
        <w:spacing w:before="0"/>
        <w:rPr>
          <w:rFonts w:cs="Times New Roman"/>
          <w:lang w:val="fr-CA"/>
        </w:rPr>
      </w:pPr>
      <w:r w:rsidRPr="00E739DA">
        <w:rPr>
          <w:rFonts w:cs="Times New Roman"/>
          <w:lang w:val="fr-CA"/>
        </w:rPr>
        <w:t>Bell et la NFL contestent la Décision définitive et l</w:t>
      </w:r>
      <w:r>
        <w:rPr>
          <w:rFonts w:cs="Times New Roman"/>
          <w:lang w:val="fr-CA"/>
        </w:rPr>
        <w:t>’</w:t>
      </w:r>
      <w:r w:rsidRPr="00E739DA">
        <w:rPr>
          <w:rFonts w:cs="Times New Roman"/>
          <w:lang w:val="fr-CA"/>
        </w:rPr>
        <w:t>Ordonnance définitive au moyen du mécanisme d</w:t>
      </w:r>
      <w:r>
        <w:rPr>
          <w:rFonts w:cs="Times New Roman"/>
          <w:lang w:val="fr-CA"/>
        </w:rPr>
        <w:t>’</w:t>
      </w:r>
      <w:r w:rsidRPr="00E739DA">
        <w:rPr>
          <w:rFonts w:cs="Times New Roman"/>
          <w:lang w:val="fr-CA"/>
        </w:rPr>
        <w:t xml:space="preserve">appel prévu au </w:t>
      </w:r>
      <w:proofErr w:type="spellStart"/>
      <w:r w:rsidRPr="00E739DA">
        <w:rPr>
          <w:rFonts w:cs="Times New Roman"/>
          <w:lang w:val="fr-CA"/>
        </w:rPr>
        <w:t>par</w:t>
      </w:r>
      <w:proofErr w:type="spellEnd"/>
      <w:r w:rsidRPr="00E739DA">
        <w:rPr>
          <w:rFonts w:cs="Times New Roman"/>
          <w:lang w:val="fr-CA"/>
        </w:rPr>
        <w:t xml:space="preserve">. 31(2) de la </w:t>
      </w:r>
      <w:r w:rsidRPr="00E739DA">
        <w:rPr>
          <w:rFonts w:cs="Times New Roman"/>
          <w:i/>
          <w:lang w:val="fr-CA"/>
        </w:rPr>
        <w:t>Loi sur la radiodiffusion</w:t>
      </w:r>
      <w:r w:rsidRPr="00E739DA">
        <w:rPr>
          <w:rFonts w:cs="Times New Roman"/>
          <w:lang w:val="fr-CA"/>
        </w:rPr>
        <w:t>, lequel prévoit la possibilité d</w:t>
      </w:r>
      <w:r>
        <w:rPr>
          <w:rFonts w:cs="Times New Roman"/>
          <w:lang w:val="fr-CA"/>
        </w:rPr>
        <w:t>’</w:t>
      </w:r>
      <w:r w:rsidRPr="00E739DA">
        <w:rPr>
          <w:rFonts w:cs="Times New Roman"/>
          <w:lang w:val="fr-CA"/>
        </w:rPr>
        <w:t>interjeter appel devant la Cour d</w:t>
      </w:r>
      <w:r>
        <w:rPr>
          <w:rFonts w:cs="Times New Roman"/>
          <w:lang w:val="fr-CA"/>
        </w:rPr>
        <w:t>’</w:t>
      </w:r>
      <w:r w:rsidRPr="00E739DA">
        <w:rPr>
          <w:rFonts w:cs="Times New Roman"/>
          <w:lang w:val="fr-CA"/>
        </w:rPr>
        <w:t>appel fédérale, avec l</w:t>
      </w:r>
      <w:r>
        <w:rPr>
          <w:rFonts w:cs="Times New Roman"/>
          <w:lang w:val="fr-CA"/>
        </w:rPr>
        <w:t>’</w:t>
      </w:r>
      <w:r w:rsidRPr="00E739DA">
        <w:rPr>
          <w:rFonts w:cs="Times New Roman"/>
          <w:lang w:val="fr-CA"/>
        </w:rPr>
        <w:t>autorisation de celle</w:t>
      </w:r>
      <w:r w:rsidRPr="00E739DA">
        <w:rPr>
          <w:rFonts w:cs="Times New Roman"/>
          <w:lang w:val="fr-CA"/>
        </w:rPr>
        <w:noBreakHyphen/>
        <w:t>ci, « sur une question de droit ou de compétence ». Les normes de contrôle applicables en appel s</w:t>
      </w:r>
      <w:r>
        <w:rPr>
          <w:rFonts w:cs="Times New Roman"/>
          <w:lang w:val="fr-CA"/>
        </w:rPr>
        <w:t>’</w:t>
      </w:r>
      <w:r w:rsidRPr="00E739DA">
        <w:rPr>
          <w:rFonts w:cs="Times New Roman"/>
          <w:lang w:val="fr-CA"/>
        </w:rPr>
        <w:t>appliquent donc en l</w:t>
      </w:r>
      <w:r>
        <w:rPr>
          <w:rFonts w:cs="Times New Roman"/>
          <w:lang w:val="fr-CA"/>
        </w:rPr>
        <w:t>’</w:t>
      </w:r>
      <w:r w:rsidRPr="00E739DA">
        <w:rPr>
          <w:rFonts w:cs="Times New Roman"/>
          <w:lang w:val="fr-CA"/>
        </w:rPr>
        <w:t>espèce (voir </w:t>
      </w:r>
      <w:proofErr w:type="spellStart"/>
      <w:r w:rsidRPr="00E739DA">
        <w:rPr>
          <w:rFonts w:cs="Times New Roman"/>
          <w:i/>
          <w:lang w:val="fr-CA"/>
        </w:rPr>
        <w:t>Vavilov</w:t>
      </w:r>
      <w:proofErr w:type="spellEnd"/>
      <w:r w:rsidRPr="00E739DA">
        <w:rPr>
          <w:rFonts w:cs="Times New Roman"/>
          <w:lang w:val="fr-CA"/>
        </w:rPr>
        <w:t>, par. 36</w:t>
      </w:r>
      <w:r w:rsidRPr="00E739DA">
        <w:rPr>
          <w:rFonts w:cs="Times New Roman"/>
          <w:lang w:val="fr-CA"/>
        </w:rPr>
        <w:noBreakHyphen/>
        <w:t>52).</w:t>
      </w:r>
    </w:p>
    <w:p w:rsidR="005F030A" w:rsidRPr="00E739DA" w:rsidRDefault="005F030A" w:rsidP="005F030A">
      <w:pPr>
        <w:pStyle w:val="ParaNoNdepar-AltN"/>
        <w:spacing w:before="0"/>
        <w:rPr>
          <w:rFonts w:cs="Times New Roman"/>
          <w:lang w:val="fr-CA"/>
        </w:rPr>
      </w:pPr>
      <w:r w:rsidRPr="00E739DA">
        <w:rPr>
          <w:rFonts w:cs="Times New Roman"/>
          <w:lang w:val="fr-CA"/>
        </w:rPr>
        <w:t>Bell et la NFL ne contestent pas que le CRTC est l</w:t>
      </w:r>
      <w:r>
        <w:rPr>
          <w:rFonts w:cs="Times New Roman"/>
          <w:lang w:val="fr-CA"/>
        </w:rPr>
        <w:t>’</w:t>
      </w:r>
      <w:r w:rsidRPr="00E739DA">
        <w:rPr>
          <w:rFonts w:cs="Times New Roman"/>
          <w:lang w:val="fr-CA"/>
        </w:rPr>
        <w:t xml:space="preserve">organisme administratif chargé par la loi de surveiller la radiodiffusion et les télécommunications au Canada, conformément aux objectifs de politique générale énoncés dans la </w:t>
      </w:r>
      <w:r w:rsidRPr="00E739DA">
        <w:rPr>
          <w:rFonts w:cs="Times New Roman"/>
          <w:i/>
          <w:lang w:val="fr-CA"/>
        </w:rPr>
        <w:t>Loi sur la radiodiffusion</w:t>
      </w:r>
      <w:r w:rsidRPr="00E739DA">
        <w:rPr>
          <w:rFonts w:cs="Times New Roman"/>
          <w:lang w:val="fr-CA"/>
        </w:rPr>
        <w:t xml:space="preserve"> et la </w:t>
      </w:r>
      <w:r w:rsidRPr="00E739DA">
        <w:rPr>
          <w:rFonts w:cs="Times New Roman"/>
          <w:i/>
          <w:lang w:val="fr-CA"/>
        </w:rPr>
        <w:t>Loi sur les télécommunications</w:t>
      </w:r>
      <w:r w:rsidRPr="00E739DA">
        <w:rPr>
          <w:rFonts w:cs="Times New Roman"/>
          <w:lang w:val="fr-CA"/>
        </w:rPr>
        <w:t>, L.C. 1993, c. 38. Le principal moyen d</w:t>
      </w:r>
      <w:r>
        <w:rPr>
          <w:rFonts w:cs="Times New Roman"/>
          <w:lang w:val="fr-CA"/>
        </w:rPr>
        <w:t>’</w:t>
      </w:r>
      <w:r w:rsidRPr="00E739DA">
        <w:rPr>
          <w:rFonts w:cs="Times New Roman"/>
          <w:lang w:val="fr-CA"/>
        </w:rPr>
        <w:t>appel qu</w:t>
      </w:r>
      <w:r>
        <w:rPr>
          <w:rFonts w:cs="Times New Roman"/>
          <w:lang w:val="fr-CA"/>
        </w:rPr>
        <w:t>’</w:t>
      </w:r>
      <w:r w:rsidRPr="00E739DA">
        <w:rPr>
          <w:rFonts w:cs="Times New Roman"/>
          <w:lang w:val="fr-CA"/>
        </w:rPr>
        <w:t>elles invoquent en l</w:t>
      </w:r>
      <w:r>
        <w:rPr>
          <w:rFonts w:cs="Times New Roman"/>
          <w:lang w:val="fr-CA"/>
        </w:rPr>
        <w:t>’</w:t>
      </w:r>
      <w:r w:rsidRPr="00E739DA">
        <w:rPr>
          <w:rFonts w:cs="Times New Roman"/>
          <w:lang w:val="fr-CA"/>
        </w:rPr>
        <w:t>espèce est plutôt que le CRTC n</w:t>
      </w:r>
      <w:r>
        <w:rPr>
          <w:rFonts w:cs="Times New Roman"/>
          <w:lang w:val="fr-CA"/>
        </w:rPr>
        <w:t>’</w:t>
      </w:r>
      <w:r w:rsidRPr="00E739DA">
        <w:rPr>
          <w:rFonts w:cs="Times New Roman"/>
          <w:lang w:val="fr-CA"/>
        </w:rPr>
        <w:t>a pas,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le pouvoir de rendre une ordonnance particulière interdisant la substitution simultanée du Super </w:t>
      </w:r>
      <w:proofErr w:type="spellStart"/>
      <w:r w:rsidRPr="00E739DA">
        <w:rPr>
          <w:rFonts w:cs="Times New Roman"/>
          <w:lang w:val="fr-CA"/>
        </w:rPr>
        <w:t>Bowl</w:t>
      </w:r>
      <w:proofErr w:type="spellEnd"/>
      <w:r w:rsidRPr="00E739DA">
        <w:rPr>
          <w:rFonts w:cs="Times New Roman"/>
          <w:lang w:val="fr-CA"/>
        </w:rPr>
        <w:t>. Cet argument soulève une question qui touche directement aux limites du pouvoir conféré par la loi au CRTC et qui, de ce fait, relève clairement du mécanisme d</w:t>
      </w:r>
      <w:r>
        <w:rPr>
          <w:rFonts w:cs="Times New Roman"/>
          <w:lang w:val="fr-CA"/>
        </w:rPr>
        <w:t>’</w:t>
      </w:r>
      <w:r w:rsidRPr="00E739DA">
        <w:rPr>
          <w:rFonts w:cs="Times New Roman"/>
          <w:lang w:val="fr-CA"/>
        </w:rPr>
        <w:t xml:space="preserve">appel prévu au </w:t>
      </w:r>
      <w:proofErr w:type="spellStart"/>
      <w:r w:rsidRPr="00E739DA">
        <w:rPr>
          <w:rFonts w:cs="Times New Roman"/>
          <w:lang w:val="fr-CA"/>
        </w:rPr>
        <w:t>par</w:t>
      </w:r>
      <w:proofErr w:type="spellEnd"/>
      <w:r w:rsidRPr="00E739DA">
        <w:rPr>
          <w:rFonts w:cs="Times New Roman"/>
          <w:lang w:val="fr-CA"/>
        </w:rPr>
        <w:t>. 31(2); ce que concède d</w:t>
      </w:r>
      <w:r>
        <w:rPr>
          <w:rFonts w:cs="Times New Roman"/>
          <w:lang w:val="fr-CA"/>
        </w:rPr>
        <w:t>’</w:t>
      </w:r>
      <w:r w:rsidRPr="00E739DA">
        <w:rPr>
          <w:rFonts w:cs="Times New Roman"/>
          <w:lang w:val="fr-CA"/>
        </w:rPr>
        <w:t xml:space="preserve">ailleurs le procureur général du Canada au cours des plaidoiries </w:t>
      </w:r>
      <w:r w:rsidRPr="00E739DA">
        <w:rPr>
          <w:rFonts w:cs="Times New Roman"/>
          <w:lang w:val="fr-CA"/>
        </w:rPr>
        <w:lastRenderedPageBreak/>
        <w:t>(transcription de l</w:t>
      </w:r>
      <w:r>
        <w:rPr>
          <w:rFonts w:cs="Times New Roman"/>
          <w:lang w:val="fr-CA"/>
        </w:rPr>
        <w:t>’</w:t>
      </w:r>
      <w:r w:rsidRPr="00E739DA">
        <w:rPr>
          <w:rFonts w:cs="Times New Roman"/>
          <w:lang w:val="fr-CA"/>
        </w:rPr>
        <w:t>audience, jour 1, p. 80)</w:t>
      </w:r>
      <w:r w:rsidRPr="00202980">
        <w:rPr>
          <w:rStyle w:val="Hyperlink"/>
          <w:vertAlign w:val="superscript"/>
        </w:rPr>
        <w:footnoteReference w:id="1"/>
      </w:r>
      <w:r w:rsidRPr="00E739DA">
        <w:rPr>
          <w:rFonts w:cs="Times New Roman"/>
          <w:lang w:val="fr-CA"/>
        </w:rPr>
        <w:t>. La norme applicable est par conséquent celle de la décision correcte (</w:t>
      </w:r>
      <w:proofErr w:type="spellStart"/>
      <w:r w:rsidRPr="00E739DA">
        <w:rPr>
          <w:rFonts w:cs="Times New Roman"/>
          <w:i/>
          <w:lang w:val="fr-CA"/>
        </w:rPr>
        <w:t>Housen</w:t>
      </w:r>
      <w:proofErr w:type="spellEnd"/>
      <w:r w:rsidRPr="00E739DA">
        <w:rPr>
          <w:rFonts w:cs="Times New Roman"/>
          <w:i/>
          <w:lang w:val="fr-CA"/>
        </w:rPr>
        <w:t xml:space="preserve"> c. </w:t>
      </w:r>
      <w:proofErr w:type="spellStart"/>
      <w:r w:rsidRPr="00E739DA">
        <w:rPr>
          <w:rFonts w:cs="Times New Roman"/>
          <w:i/>
          <w:lang w:val="fr-CA"/>
        </w:rPr>
        <w:t>Nikolaisen</w:t>
      </w:r>
      <w:proofErr w:type="spellEnd"/>
      <w:r w:rsidRPr="00E739DA">
        <w:rPr>
          <w:rFonts w:cs="Times New Roman"/>
          <w:lang w:val="fr-CA"/>
        </w:rPr>
        <w:t>, 2002 CSC 33, [2002] 2 R.C.S. 235, par. 8).</w:t>
      </w:r>
    </w:p>
    <w:p w:rsidR="005F030A" w:rsidRPr="00E739DA" w:rsidRDefault="005F030A" w:rsidP="005F030A">
      <w:pPr>
        <w:pStyle w:val="Title2LevelTitre2Niveau"/>
        <w:spacing w:before="0"/>
        <w:rPr>
          <w:rFonts w:cs="Times New Roman"/>
          <w:lang w:val="fr-CA"/>
        </w:rPr>
      </w:pPr>
      <w:r w:rsidRPr="00E739DA">
        <w:rPr>
          <w:rFonts w:cs="Times New Roman"/>
          <w:lang w:val="fr-CA"/>
        </w:rPr>
        <w:t>Le pouvoir conféré au CRTC par l</w:t>
      </w:r>
      <w:r>
        <w:rPr>
          <w:rFonts w:cs="Times New Roman"/>
          <w:lang w:val="fr-CA"/>
        </w:rPr>
        <w:t>’</w:t>
      </w:r>
      <w:r w:rsidRPr="00E739DA">
        <w:rPr>
          <w:rFonts w:cs="Times New Roman"/>
          <w:lang w:val="fr-CA"/>
        </w:rPr>
        <w:t>alinéa 9(1)</w:t>
      </w:r>
      <w:r w:rsidRPr="005F7DB7">
        <w:rPr>
          <w:rFonts w:cs="Times New Roman"/>
          <w:lang w:val="fr-CA"/>
        </w:rPr>
        <w:t>h</w:t>
      </w:r>
      <w:r w:rsidRPr="00E739DA">
        <w:rPr>
          <w:rFonts w:cs="Times New Roman"/>
          <w:lang w:val="fr-CA"/>
        </w:rPr>
        <w:t>) de la Loi sur la radiodiffusion</w:t>
      </w:r>
    </w:p>
    <w:p w:rsidR="005F030A" w:rsidRPr="00E739DA" w:rsidRDefault="005F030A" w:rsidP="005F030A">
      <w:pPr>
        <w:pStyle w:val="ParaNoNdepar-AltN"/>
        <w:spacing w:before="0"/>
        <w:rPr>
          <w:rFonts w:cs="Times New Roman"/>
          <w:lang w:val="fr-CA"/>
        </w:rPr>
      </w:pPr>
      <w:r w:rsidRPr="00E739DA">
        <w:rPr>
          <w:rFonts w:cs="Times New Roman"/>
          <w:lang w:val="fr-CA"/>
        </w:rPr>
        <w:t>La principale question de fond à trancher dans les présents pourvois consiste donc à décider si le CRTC a eu raison de statuer qu</w:t>
      </w:r>
      <w:r>
        <w:rPr>
          <w:rFonts w:cs="Times New Roman"/>
          <w:lang w:val="fr-CA"/>
        </w:rPr>
        <w:t>’</w:t>
      </w:r>
      <w:r w:rsidRPr="00E739DA">
        <w:rPr>
          <w:rFonts w:cs="Times New Roman"/>
          <w:lang w:val="fr-CA"/>
        </w:rPr>
        <w:t>il a le pouvoir,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de mettre en œuvre sa Décision définitive de rendre l</w:t>
      </w:r>
      <w:r>
        <w:rPr>
          <w:rFonts w:cs="Times New Roman"/>
          <w:lang w:val="fr-CA"/>
        </w:rPr>
        <w:t>’</w:t>
      </w:r>
      <w:r w:rsidRPr="00E739DA">
        <w:rPr>
          <w:rFonts w:cs="Times New Roman"/>
          <w:lang w:val="fr-CA"/>
        </w:rPr>
        <w:t>Ordonnance définitive interdisant la substitution simultanée du Super </w:t>
      </w:r>
      <w:proofErr w:type="spellStart"/>
      <w:r w:rsidRPr="00E739DA">
        <w:rPr>
          <w:rFonts w:cs="Times New Roman"/>
          <w:lang w:val="fr-CA"/>
        </w:rPr>
        <w:t>Bowl</w:t>
      </w:r>
      <w:proofErr w:type="spellEnd"/>
      <w:r w:rsidRPr="00E739DA">
        <w:rPr>
          <w:rFonts w:cs="Times New Roman"/>
          <w:lang w:val="fr-CA"/>
        </w:rPr>
        <w:t>. Avant de déterminer l</w:t>
      </w:r>
      <w:r>
        <w:rPr>
          <w:rFonts w:cs="Times New Roman"/>
          <w:lang w:val="fr-CA"/>
        </w:rPr>
        <w:t>’</w:t>
      </w:r>
      <w:r w:rsidRPr="00E739DA">
        <w:rPr>
          <w:rFonts w:cs="Times New Roman"/>
          <w:lang w:val="fr-CA"/>
        </w:rPr>
        <w:t>étendue du pouvoir que confère cette disposition législative au CRTC, nous analysons d</w:t>
      </w:r>
      <w:r>
        <w:rPr>
          <w:rFonts w:cs="Times New Roman"/>
          <w:lang w:val="fr-CA"/>
        </w:rPr>
        <w:t>’</w:t>
      </w:r>
      <w:r w:rsidRPr="00E739DA">
        <w:rPr>
          <w:rFonts w:cs="Times New Roman"/>
          <w:lang w:val="fr-CA"/>
        </w:rPr>
        <w:t>abord la nature et l</w:t>
      </w:r>
      <w:r>
        <w:rPr>
          <w:rFonts w:cs="Times New Roman"/>
          <w:lang w:val="fr-CA"/>
        </w:rPr>
        <w:t>’</w:t>
      </w:r>
      <w:r w:rsidRPr="00E739DA">
        <w:rPr>
          <w:rFonts w:cs="Times New Roman"/>
          <w:lang w:val="fr-CA"/>
        </w:rPr>
        <w:t>effet de l</w:t>
      </w:r>
      <w:r>
        <w:rPr>
          <w:rFonts w:cs="Times New Roman"/>
          <w:lang w:val="fr-CA"/>
        </w:rPr>
        <w:t>’</w:t>
      </w:r>
      <w:r w:rsidRPr="00E739DA">
        <w:rPr>
          <w:rFonts w:cs="Times New Roman"/>
          <w:lang w:val="fr-CA"/>
        </w:rPr>
        <w:t>Ordonnance définitive.</w:t>
      </w:r>
    </w:p>
    <w:p w:rsidR="005F030A" w:rsidRPr="00E739DA" w:rsidRDefault="005F030A" w:rsidP="005F030A">
      <w:pPr>
        <w:pStyle w:val="Title3LevelTitre3Niveau"/>
        <w:spacing w:before="0"/>
        <w:rPr>
          <w:rFonts w:cs="Times New Roman"/>
          <w:lang w:val="fr-CA"/>
        </w:rPr>
      </w:pPr>
      <w:r w:rsidRPr="00E739DA">
        <w:rPr>
          <w:rFonts w:cs="Times New Roman"/>
          <w:lang w:val="fr-CA"/>
        </w:rPr>
        <w:t>La nature et l</w:t>
      </w:r>
      <w:r>
        <w:rPr>
          <w:rFonts w:cs="Times New Roman"/>
          <w:lang w:val="fr-CA"/>
        </w:rPr>
        <w:t>’</w:t>
      </w:r>
      <w:r w:rsidRPr="00E739DA">
        <w:rPr>
          <w:rFonts w:cs="Times New Roman"/>
          <w:lang w:val="fr-CA"/>
        </w:rPr>
        <w:t>effet de l</w:t>
      </w:r>
      <w:r>
        <w:rPr>
          <w:rFonts w:cs="Times New Roman"/>
          <w:lang w:val="fr-CA"/>
        </w:rPr>
        <w:t>’</w:t>
      </w:r>
      <w:r w:rsidRPr="00E739DA">
        <w:rPr>
          <w:rFonts w:cs="Times New Roman"/>
          <w:lang w:val="fr-CA"/>
        </w:rPr>
        <w:t>Ordonnance définitive</w:t>
      </w:r>
    </w:p>
    <w:p w:rsidR="005F030A" w:rsidRPr="00E739DA" w:rsidRDefault="005F030A" w:rsidP="005F030A">
      <w:pPr>
        <w:pStyle w:val="ParaNoNdepar-AltN"/>
        <w:spacing w:before="0"/>
        <w:rPr>
          <w:rFonts w:cs="Times New Roman"/>
          <w:lang w:val="fr-CA"/>
        </w:rPr>
      </w:pPr>
      <w:r w:rsidRPr="00E739DA">
        <w:rPr>
          <w:rFonts w:cs="Times New Roman"/>
          <w:lang w:val="fr-CA"/>
        </w:rPr>
        <w:t>L</w:t>
      </w:r>
      <w:r>
        <w:rPr>
          <w:rFonts w:cs="Times New Roman"/>
          <w:lang w:val="fr-CA"/>
        </w:rPr>
        <w:t>’</w:t>
      </w:r>
      <w:r w:rsidRPr="00E739DA">
        <w:rPr>
          <w:rFonts w:cs="Times New Roman"/>
          <w:lang w:val="fr-CA"/>
        </w:rPr>
        <w:t>Ordonnance définitive permet aux fournisseurs de services de télévision de distribuer « </w:t>
      </w:r>
      <w:r w:rsidRPr="00E739DA">
        <w:rPr>
          <w:rFonts w:cs="Times New Roman"/>
          <w:b/>
          <w:lang w:val="fr-FR"/>
        </w:rPr>
        <w:t>le service de programmation</w:t>
      </w:r>
      <w:r w:rsidRPr="00E739DA">
        <w:rPr>
          <w:rFonts w:cs="Times New Roman"/>
          <w:lang w:val="fr-FR"/>
        </w:rPr>
        <w:t xml:space="preserve"> d</w:t>
      </w:r>
      <w:r>
        <w:rPr>
          <w:rFonts w:cs="Times New Roman"/>
          <w:lang w:val="fr-FR"/>
        </w:rPr>
        <w:t>’</w:t>
      </w:r>
      <w:r w:rsidRPr="00E739DA">
        <w:rPr>
          <w:rFonts w:cs="Times New Roman"/>
          <w:lang w:val="fr-FR"/>
        </w:rPr>
        <w:t>une station de télévision canadienne qui diffuse le Super </w:t>
      </w:r>
      <w:proofErr w:type="spellStart"/>
      <w:r w:rsidRPr="00E739DA">
        <w:rPr>
          <w:rFonts w:cs="Times New Roman"/>
          <w:lang w:val="fr-FR"/>
        </w:rPr>
        <w:t>Bowl</w:t>
      </w:r>
      <w:proofErr w:type="spellEnd"/>
      <w:r w:rsidRPr="00E739DA">
        <w:rPr>
          <w:rFonts w:cs="Times New Roman"/>
          <w:lang w:val="fr-CA"/>
        </w:rPr>
        <w:t xml:space="preserve"> » (Décision définitive, par. 53), </w:t>
      </w:r>
      <w:r w:rsidRPr="00E739DA">
        <w:rPr>
          <w:rFonts w:cs="Times New Roman"/>
          <w:i/>
          <w:lang w:val="fr-CA"/>
        </w:rPr>
        <w:t>à la condition que</w:t>
      </w:r>
      <w:r w:rsidRPr="00E739DA">
        <w:rPr>
          <w:rFonts w:cs="Times New Roman"/>
          <w:lang w:val="fr-CA"/>
        </w:rPr>
        <w:t xml:space="preserve"> ces fournisseurs s</w:t>
      </w:r>
      <w:r>
        <w:rPr>
          <w:rFonts w:cs="Times New Roman"/>
          <w:lang w:val="fr-CA"/>
        </w:rPr>
        <w:t>’</w:t>
      </w:r>
      <w:r w:rsidRPr="00E739DA">
        <w:rPr>
          <w:rFonts w:cs="Times New Roman"/>
          <w:lang w:val="fr-CA"/>
        </w:rPr>
        <w:t>abstiennent de donner suite à une demande qui serait déposée par la station en question en vue d</w:t>
      </w:r>
      <w:r>
        <w:rPr>
          <w:rFonts w:cs="Times New Roman"/>
          <w:lang w:val="fr-CA"/>
        </w:rPr>
        <w:t>’</w:t>
      </w:r>
      <w:r w:rsidRPr="00E739DA">
        <w:rPr>
          <w:rFonts w:cs="Times New Roman"/>
          <w:lang w:val="fr-CA"/>
        </w:rPr>
        <w:t>obtenir la substitution simultanée pendant toute la durée de l</w:t>
      </w:r>
      <w:r>
        <w:rPr>
          <w:rFonts w:cs="Times New Roman"/>
          <w:lang w:val="fr-CA"/>
        </w:rPr>
        <w:t>’</w:t>
      </w:r>
      <w:r w:rsidRPr="00E739DA">
        <w:rPr>
          <w:rFonts w:cs="Times New Roman"/>
          <w:lang w:val="fr-CA"/>
        </w:rPr>
        <w:t>événement. En conséquence, l</w:t>
      </w:r>
      <w:r>
        <w:rPr>
          <w:rFonts w:cs="Times New Roman"/>
          <w:lang w:val="fr-CA"/>
        </w:rPr>
        <w:t>’</w:t>
      </w:r>
      <w:r w:rsidRPr="00E739DA">
        <w:rPr>
          <w:rFonts w:cs="Times New Roman"/>
          <w:lang w:val="fr-CA"/>
        </w:rPr>
        <w:t>Ordonnance a pour effet qu</w:t>
      </w:r>
      <w:r>
        <w:rPr>
          <w:rFonts w:cs="Times New Roman"/>
          <w:lang w:val="fr-CA"/>
        </w:rPr>
        <w:t>’</w:t>
      </w:r>
      <w:r w:rsidRPr="00E739DA">
        <w:rPr>
          <w:rFonts w:cs="Times New Roman"/>
          <w:lang w:val="fr-CA"/>
        </w:rPr>
        <w:t xml:space="preserve">un fournisseur de services de télévision qui distribue à la fois une station de télévision canadienne et une </w:t>
      </w:r>
      <w:r w:rsidRPr="00E739DA">
        <w:rPr>
          <w:rFonts w:cs="Times New Roman"/>
          <w:lang w:val="fr-CA"/>
        </w:rPr>
        <w:lastRenderedPageBreak/>
        <w:t>station de télévision américaine diffusant toutes deux le Super </w:t>
      </w:r>
      <w:proofErr w:type="spellStart"/>
      <w:r w:rsidRPr="00E739DA">
        <w:rPr>
          <w:rFonts w:cs="Times New Roman"/>
          <w:lang w:val="fr-CA"/>
        </w:rPr>
        <w:t>Bowl</w:t>
      </w:r>
      <w:proofErr w:type="spellEnd"/>
      <w:r w:rsidRPr="00E739DA">
        <w:rPr>
          <w:rFonts w:cs="Times New Roman"/>
          <w:lang w:val="fr-CA"/>
        </w:rPr>
        <w:t xml:space="preserve"> doit le faire sans modifier leur signal respectif.</w:t>
      </w:r>
    </w:p>
    <w:p w:rsidR="005F030A" w:rsidRPr="00E739DA" w:rsidRDefault="005F030A" w:rsidP="005F030A">
      <w:pPr>
        <w:pStyle w:val="ParaNoNdepar-AltN"/>
        <w:spacing w:before="0"/>
        <w:rPr>
          <w:rFonts w:cs="Times New Roman"/>
          <w:lang w:val="fr-CA"/>
        </w:rPr>
      </w:pPr>
      <w:r w:rsidRPr="00E739DA">
        <w:rPr>
          <w:rFonts w:cs="Times New Roman"/>
          <w:lang w:val="fr-CA"/>
        </w:rPr>
        <w:t>Il importe toutefois de reconnaître que l</w:t>
      </w:r>
      <w:r>
        <w:rPr>
          <w:rFonts w:cs="Times New Roman"/>
          <w:lang w:val="fr-CA"/>
        </w:rPr>
        <w:t>’</w:t>
      </w:r>
      <w:r w:rsidRPr="00E739DA">
        <w:rPr>
          <w:rFonts w:cs="Times New Roman"/>
          <w:lang w:val="fr-CA"/>
        </w:rPr>
        <w:t>Ordonnance définitive n</w:t>
      </w:r>
      <w:r>
        <w:rPr>
          <w:rFonts w:cs="Times New Roman"/>
          <w:lang w:val="fr-CA"/>
        </w:rPr>
        <w:t>’</w:t>
      </w:r>
      <w:r w:rsidRPr="00E739DA">
        <w:rPr>
          <w:rFonts w:cs="Times New Roman"/>
          <w:lang w:val="fr-CA"/>
        </w:rPr>
        <w:t xml:space="preserve">oblige pas les fournisseurs de services de télévision à distribuer des services de programmation donnés à leurs clients; cela est clairement indiqué dans la Décision définitive du CRTC. En effet, répondant à la préoccupation de </w:t>
      </w:r>
      <w:proofErr w:type="spellStart"/>
      <w:r w:rsidRPr="00E739DA">
        <w:rPr>
          <w:rFonts w:cs="Times New Roman"/>
          <w:lang w:val="fr-CA"/>
        </w:rPr>
        <w:t>SaskTel</w:t>
      </w:r>
      <w:proofErr w:type="spellEnd"/>
      <w:r w:rsidRPr="00E739DA">
        <w:rPr>
          <w:rFonts w:cs="Times New Roman"/>
          <w:lang w:val="fr-CA"/>
        </w:rPr>
        <w:t xml:space="preserve"> selon laquelle la formulation de l</w:t>
      </w:r>
      <w:r>
        <w:rPr>
          <w:rFonts w:cs="Times New Roman"/>
          <w:lang w:val="fr-CA"/>
        </w:rPr>
        <w:t>’</w:t>
      </w:r>
      <w:r w:rsidRPr="00E739DA">
        <w:rPr>
          <w:rFonts w:cs="Times New Roman"/>
          <w:lang w:val="fr-CA"/>
        </w:rPr>
        <w:t>Ordonnance définitive « </w:t>
      </w:r>
      <w:r w:rsidRPr="00E739DA">
        <w:rPr>
          <w:rFonts w:cs="Times New Roman"/>
          <w:lang w:val="fr-FR"/>
        </w:rPr>
        <w:t>pourrait être interprétée comme l</w:t>
      </w:r>
      <w:r>
        <w:rPr>
          <w:rFonts w:cs="Times New Roman"/>
          <w:lang w:val="fr-FR"/>
        </w:rPr>
        <w:t>’</w:t>
      </w:r>
      <w:r w:rsidRPr="00E739DA">
        <w:rPr>
          <w:rFonts w:cs="Times New Roman"/>
          <w:lang w:val="fr-FR"/>
        </w:rPr>
        <w:t>imposition à [tout fournisseur de services de télévision] de distribuer une station qui diffuse le Super </w:t>
      </w:r>
      <w:proofErr w:type="spellStart"/>
      <w:r w:rsidRPr="00E739DA">
        <w:rPr>
          <w:rFonts w:cs="Times New Roman"/>
          <w:lang w:val="fr-FR"/>
        </w:rPr>
        <w:t>Bowl</w:t>
      </w:r>
      <w:proofErr w:type="spellEnd"/>
      <w:r w:rsidRPr="00E739DA">
        <w:rPr>
          <w:rFonts w:cs="Times New Roman"/>
          <w:lang w:val="fr-FR"/>
        </w:rPr>
        <w:t>, même si [le fournisseur de services de télévision] ne la distribue pas déjà</w:t>
      </w:r>
      <w:r w:rsidRPr="00E739DA">
        <w:rPr>
          <w:rFonts w:cs="Times New Roman"/>
          <w:lang w:val="fr-CA"/>
        </w:rPr>
        <w:t> », la CRTC fournit les explications suivantes :</w:t>
      </w:r>
    </w:p>
    <w:p w:rsidR="005F030A" w:rsidRPr="00E739DA" w:rsidRDefault="005F030A" w:rsidP="005F030A">
      <w:pPr>
        <w:pStyle w:val="Citation-AltC"/>
        <w:ind w:hanging="446"/>
        <w:contextualSpacing w:val="0"/>
        <w:rPr>
          <w:lang w:val="fr-CA"/>
        </w:rPr>
      </w:pPr>
      <w:r w:rsidRPr="00E739DA">
        <w:rPr>
          <w:lang w:val="fr-FR"/>
        </w:rPr>
        <w:tab/>
        <w:t>Le [CRTC] n</w:t>
      </w:r>
      <w:r>
        <w:rPr>
          <w:lang w:val="fr-FR"/>
        </w:rPr>
        <w:t>’</w:t>
      </w:r>
      <w:r w:rsidRPr="00E739DA">
        <w:rPr>
          <w:lang w:val="fr-FR"/>
        </w:rPr>
        <w:t>avait pas l</w:t>
      </w:r>
      <w:r>
        <w:rPr>
          <w:lang w:val="fr-FR"/>
        </w:rPr>
        <w:t>’</w:t>
      </w:r>
      <w:r w:rsidRPr="00E739DA">
        <w:rPr>
          <w:lang w:val="fr-FR"/>
        </w:rPr>
        <w:t>intention d</w:t>
      </w:r>
      <w:r>
        <w:rPr>
          <w:lang w:val="fr-FR"/>
        </w:rPr>
        <w:t>’</w:t>
      </w:r>
      <w:r w:rsidRPr="00E739DA">
        <w:rPr>
          <w:lang w:val="fr-FR"/>
        </w:rPr>
        <w:t>obliger [les fournisseurs de services de télévision] à distribuer une station qui diffuse le Super </w:t>
      </w:r>
      <w:proofErr w:type="spellStart"/>
      <w:r w:rsidRPr="00E739DA">
        <w:rPr>
          <w:lang w:val="fr-FR"/>
        </w:rPr>
        <w:t>Bowl</w:t>
      </w:r>
      <w:proofErr w:type="spellEnd"/>
      <w:r w:rsidRPr="00E739DA">
        <w:rPr>
          <w:lang w:val="fr-FR"/>
        </w:rPr>
        <w:t>, mais simplement d</w:t>
      </w:r>
      <w:r>
        <w:rPr>
          <w:lang w:val="fr-FR"/>
        </w:rPr>
        <w:t>’</w:t>
      </w:r>
      <w:r w:rsidRPr="00E739DA">
        <w:rPr>
          <w:lang w:val="fr-FR"/>
        </w:rPr>
        <w:t>ajouter une condition aux [fournisseurs de services de télévision] qui distribuent une telle station (que cette distribution soit obligatoire en vertu de la réglementation à titre de station de télévision locale ou qu</w:t>
      </w:r>
      <w:r>
        <w:rPr>
          <w:lang w:val="fr-FR"/>
        </w:rPr>
        <w:t>’</w:t>
      </w:r>
      <w:r w:rsidRPr="00E739DA">
        <w:rPr>
          <w:lang w:val="fr-FR"/>
        </w:rPr>
        <w:t xml:space="preserve">elle soit simplement autorisée à titre de signal éloigné). Par conséquent, la proposition de </w:t>
      </w:r>
      <w:proofErr w:type="spellStart"/>
      <w:r w:rsidRPr="00E739DA">
        <w:rPr>
          <w:lang w:val="fr-FR"/>
        </w:rPr>
        <w:t>SaskTel</w:t>
      </w:r>
      <w:proofErr w:type="spellEnd"/>
      <w:r w:rsidRPr="00E739DA">
        <w:rPr>
          <w:lang w:val="fr-FR"/>
        </w:rPr>
        <w:t xml:space="preserve"> correspond à l</w:t>
      </w:r>
      <w:r>
        <w:rPr>
          <w:lang w:val="fr-FR"/>
        </w:rPr>
        <w:t>’</w:t>
      </w:r>
      <w:r w:rsidRPr="00E739DA">
        <w:rPr>
          <w:lang w:val="fr-FR"/>
        </w:rPr>
        <w:t>intention de l</w:t>
      </w:r>
      <w:r>
        <w:rPr>
          <w:lang w:val="fr-FR"/>
        </w:rPr>
        <w:t>’</w:t>
      </w:r>
      <w:r w:rsidRPr="00E739DA">
        <w:rPr>
          <w:lang w:val="fr-FR"/>
        </w:rPr>
        <w:t>ordonnance de distribution et à son interprétation future par le [CRTC]</w:t>
      </w:r>
      <w:r w:rsidRPr="00E739DA">
        <w:rPr>
          <w:lang w:val="fr-CA"/>
        </w:rPr>
        <w:t>. [</w:t>
      </w:r>
      <w:proofErr w:type="gramStart"/>
      <w:r w:rsidRPr="00E739DA">
        <w:rPr>
          <w:lang w:val="fr-CA"/>
        </w:rPr>
        <w:t>par</w:t>
      </w:r>
      <w:proofErr w:type="gramEnd"/>
      <w:r w:rsidRPr="00E739DA">
        <w:rPr>
          <w:lang w:val="fr-CA"/>
        </w:rPr>
        <w:t>. 63]</w:t>
      </w:r>
    </w:p>
    <w:p w:rsidR="005F030A" w:rsidRPr="00E739DA" w:rsidRDefault="005F030A" w:rsidP="005F030A">
      <w:pPr>
        <w:pStyle w:val="ParaNoNdepar-AltN"/>
        <w:spacing w:before="0"/>
        <w:rPr>
          <w:rFonts w:cs="Times New Roman"/>
          <w:lang w:val="fr-CA"/>
        </w:rPr>
      </w:pPr>
      <w:r w:rsidRPr="00E739DA">
        <w:rPr>
          <w:rFonts w:cs="Times New Roman"/>
          <w:lang w:val="fr-CA"/>
        </w:rPr>
        <w:t>Il s</w:t>
      </w:r>
      <w:r>
        <w:rPr>
          <w:rFonts w:cs="Times New Roman"/>
          <w:lang w:val="fr-CA"/>
        </w:rPr>
        <w:t>’</w:t>
      </w:r>
      <w:r w:rsidRPr="00E739DA">
        <w:rPr>
          <w:rFonts w:cs="Times New Roman"/>
          <w:lang w:val="fr-CA"/>
        </w:rPr>
        <w:t>ensuit donc que la condition de distribution énoncée dans l</w:t>
      </w:r>
      <w:r>
        <w:rPr>
          <w:rFonts w:cs="Times New Roman"/>
          <w:lang w:val="fr-CA"/>
        </w:rPr>
        <w:t>’</w:t>
      </w:r>
      <w:r w:rsidRPr="00E739DA">
        <w:rPr>
          <w:rFonts w:cs="Times New Roman"/>
          <w:lang w:val="fr-CA"/>
        </w:rPr>
        <w:t>Ordonnance définitive — qui interdit la substitution simultanée du Super </w:t>
      </w:r>
      <w:proofErr w:type="spellStart"/>
      <w:r w:rsidRPr="00E739DA">
        <w:rPr>
          <w:rFonts w:cs="Times New Roman"/>
          <w:lang w:val="fr-CA"/>
        </w:rPr>
        <w:t>Bowl</w:t>
      </w:r>
      <w:proofErr w:type="spellEnd"/>
      <w:r w:rsidRPr="00E739DA">
        <w:rPr>
          <w:rFonts w:cs="Times New Roman"/>
          <w:lang w:val="fr-CA"/>
        </w:rPr>
        <w:t xml:space="preserve"> — s</w:t>
      </w:r>
      <w:r>
        <w:rPr>
          <w:rFonts w:cs="Times New Roman"/>
          <w:lang w:val="fr-CA"/>
        </w:rPr>
        <w:t>’</w:t>
      </w:r>
      <w:r w:rsidRPr="00E739DA">
        <w:rPr>
          <w:rFonts w:cs="Times New Roman"/>
          <w:lang w:val="fr-CA"/>
        </w:rPr>
        <w:t>applique seulement aux fournisseurs de services qui distribuent déjà les services de programmation d</w:t>
      </w:r>
      <w:r>
        <w:rPr>
          <w:rFonts w:cs="Times New Roman"/>
          <w:lang w:val="fr-CA"/>
        </w:rPr>
        <w:t>’</w:t>
      </w:r>
      <w:r w:rsidRPr="00E739DA">
        <w:rPr>
          <w:rFonts w:cs="Times New Roman"/>
          <w:lang w:val="fr-CA"/>
        </w:rPr>
        <w:t>une station de télévision canadienne qui présente le Super </w:t>
      </w:r>
      <w:proofErr w:type="spellStart"/>
      <w:r w:rsidRPr="00E739DA">
        <w:rPr>
          <w:rFonts w:cs="Times New Roman"/>
          <w:lang w:val="fr-CA"/>
        </w:rPr>
        <w:t>Bowl</w:t>
      </w:r>
      <w:proofErr w:type="spellEnd"/>
      <w:r w:rsidRPr="00E739DA">
        <w:rPr>
          <w:rFonts w:cs="Times New Roman"/>
          <w:lang w:val="fr-CA"/>
        </w:rPr>
        <w:t>, que ce soit parce qu</w:t>
      </w:r>
      <w:r>
        <w:rPr>
          <w:rFonts w:cs="Times New Roman"/>
          <w:lang w:val="fr-CA"/>
        </w:rPr>
        <w:t>’</w:t>
      </w:r>
      <w:r w:rsidRPr="00E739DA">
        <w:rPr>
          <w:rFonts w:cs="Times New Roman"/>
          <w:lang w:val="fr-CA"/>
        </w:rPr>
        <w:t>ils sont tenus de le faire en vertu d</w:t>
      </w:r>
      <w:r>
        <w:rPr>
          <w:rFonts w:cs="Times New Roman"/>
          <w:lang w:val="fr-CA"/>
        </w:rPr>
        <w:t>’</w:t>
      </w:r>
      <w:r w:rsidRPr="00E739DA">
        <w:rPr>
          <w:rFonts w:cs="Times New Roman"/>
          <w:lang w:val="fr-CA"/>
        </w:rPr>
        <w:t>une autre ordonnance ou parce qu</w:t>
      </w:r>
      <w:r>
        <w:rPr>
          <w:rFonts w:cs="Times New Roman"/>
          <w:lang w:val="fr-CA"/>
        </w:rPr>
        <w:t>’</w:t>
      </w:r>
      <w:r w:rsidRPr="00E739DA">
        <w:rPr>
          <w:rFonts w:cs="Times New Roman"/>
          <w:lang w:val="fr-CA"/>
        </w:rPr>
        <w:t>ils ont choisi de le faire de leur plein gré. L</w:t>
      </w:r>
      <w:r>
        <w:rPr>
          <w:rFonts w:cs="Times New Roman"/>
          <w:lang w:val="fr-CA"/>
        </w:rPr>
        <w:t>’</w:t>
      </w:r>
      <w:r w:rsidRPr="00E739DA">
        <w:rPr>
          <w:rFonts w:cs="Times New Roman"/>
          <w:lang w:val="fr-CA"/>
        </w:rPr>
        <w:t>Ordonnance définitive n</w:t>
      </w:r>
      <w:r>
        <w:rPr>
          <w:rFonts w:cs="Times New Roman"/>
          <w:lang w:val="fr-CA"/>
        </w:rPr>
        <w:t>’</w:t>
      </w:r>
      <w:r w:rsidRPr="00E739DA">
        <w:rPr>
          <w:rFonts w:cs="Times New Roman"/>
          <w:i/>
          <w:lang w:val="fr-CA"/>
        </w:rPr>
        <w:t xml:space="preserve">impose </w:t>
      </w:r>
      <w:r w:rsidRPr="00E739DA">
        <w:rPr>
          <w:rFonts w:cs="Times New Roman"/>
          <w:lang w:val="fr-CA"/>
        </w:rPr>
        <w:t>pas la distribution d</w:t>
      </w:r>
      <w:r>
        <w:rPr>
          <w:rFonts w:cs="Times New Roman"/>
          <w:lang w:val="fr-CA"/>
        </w:rPr>
        <w:t>’</w:t>
      </w:r>
      <w:r w:rsidRPr="00E739DA">
        <w:rPr>
          <w:rFonts w:cs="Times New Roman"/>
          <w:lang w:val="fr-CA"/>
        </w:rPr>
        <w:t>une telle station.</w:t>
      </w:r>
    </w:p>
    <w:p w:rsidR="005F030A" w:rsidRPr="00E739DA" w:rsidRDefault="005F030A" w:rsidP="005F030A">
      <w:pPr>
        <w:pStyle w:val="Title3LevelTitre3Niveau"/>
        <w:spacing w:before="0"/>
        <w:rPr>
          <w:rFonts w:cs="Times New Roman"/>
          <w:lang w:val="fr-CA"/>
        </w:rPr>
      </w:pPr>
      <w:r w:rsidRPr="00E739DA">
        <w:rPr>
          <w:rFonts w:cs="Times New Roman"/>
          <w:lang w:val="fr-CA"/>
        </w:rPr>
        <w:lastRenderedPageBreak/>
        <w:t>L</w:t>
      </w:r>
      <w:r>
        <w:rPr>
          <w:rFonts w:cs="Times New Roman"/>
          <w:lang w:val="fr-CA"/>
        </w:rPr>
        <w:t>’</w:t>
      </w:r>
      <w:r w:rsidRPr="00E739DA">
        <w:rPr>
          <w:rFonts w:cs="Times New Roman"/>
          <w:lang w:val="fr-CA"/>
        </w:rPr>
        <w:t>étendue du pouvoir conféré au CRTC par l</w:t>
      </w:r>
      <w:r>
        <w:rPr>
          <w:rFonts w:cs="Times New Roman"/>
          <w:lang w:val="fr-CA"/>
        </w:rPr>
        <w:t>’</w:t>
      </w:r>
      <w:r w:rsidRPr="00E739DA">
        <w:rPr>
          <w:rFonts w:cs="Times New Roman"/>
          <w:lang w:val="fr-CA"/>
        </w:rPr>
        <w:t>al</w:t>
      </w:r>
      <w:r w:rsidR="00231C74">
        <w:rPr>
          <w:rFonts w:cs="Times New Roman"/>
          <w:lang w:val="fr-CA"/>
        </w:rPr>
        <w:t>.</w:t>
      </w:r>
      <w:r w:rsidRPr="00E739DA">
        <w:rPr>
          <w:rFonts w:cs="Times New Roman"/>
          <w:lang w:val="fr-CA"/>
        </w:rPr>
        <w:t xml:space="preserve"> 9(1)h) de la </w:t>
      </w:r>
      <w:r w:rsidRPr="00E739DA">
        <w:rPr>
          <w:rFonts w:cs="Times New Roman"/>
          <w:i/>
          <w:lang w:val="fr-CA"/>
        </w:rPr>
        <w:t>Loi sur la radiodiffusion</w:t>
      </w:r>
    </w:p>
    <w:p w:rsidR="005F030A" w:rsidRPr="00E739DA" w:rsidRDefault="005F030A" w:rsidP="005F030A">
      <w:pPr>
        <w:pStyle w:val="ParaNoNdepar-AltN"/>
        <w:spacing w:before="0"/>
        <w:rPr>
          <w:rFonts w:cs="Times New Roman"/>
          <w:lang w:val="fr-CA"/>
        </w:rPr>
      </w:pPr>
      <w:r w:rsidRPr="00E739DA">
        <w:rPr>
          <w:rFonts w:cs="Times New Roman"/>
          <w:lang w:val="fr-CA"/>
        </w:rPr>
        <w:t>L</w:t>
      </w:r>
      <w:r>
        <w:rPr>
          <w:rFonts w:cs="Times New Roman"/>
          <w:lang w:val="fr-CA"/>
        </w:rPr>
        <w:t>’</w:t>
      </w:r>
      <w:r w:rsidRPr="00E739DA">
        <w:rPr>
          <w:rFonts w:cs="Times New Roman"/>
          <w:lang w:val="fr-CA"/>
        </w:rPr>
        <w:t>idée maîtresse de la position avancée par Bell et la NFL est que l</w:t>
      </w:r>
      <w:r>
        <w:rPr>
          <w:rFonts w:cs="Times New Roman"/>
          <w:lang w:val="fr-CA"/>
        </w:rPr>
        <w:t>’</w:t>
      </w:r>
      <w:r w:rsidRPr="00E739DA">
        <w:rPr>
          <w:rFonts w:cs="Times New Roman"/>
          <w:lang w:val="fr-CA"/>
        </w:rPr>
        <w:t>Ordonnance définitive déborde le cadre du pouvoir qui est délégué au CRTC par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disposition qui est rédigée ainsi :</w:t>
      </w:r>
    </w:p>
    <w:p w:rsidR="005F030A" w:rsidRPr="00E739DA" w:rsidRDefault="005F030A" w:rsidP="005F030A">
      <w:pPr>
        <w:pStyle w:val="Citation-AltC"/>
        <w:spacing w:after="240"/>
        <w:ind w:left="1168" w:hanging="1166"/>
        <w:contextualSpacing w:val="0"/>
        <w:rPr>
          <w:lang w:val="fr-CA"/>
        </w:rPr>
      </w:pPr>
      <w:r w:rsidRPr="00E739DA">
        <w:rPr>
          <w:rStyle w:val="sectionlabel"/>
          <w:b/>
          <w:bCs/>
          <w:lang w:val="fr-CA"/>
        </w:rPr>
        <w:tab/>
        <w:t>9</w:t>
      </w:r>
      <w:r w:rsidRPr="00E739DA">
        <w:rPr>
          <w:lang w:val="fr-CA"/>
        </w:rPr>
        <w:t> </w:t>
      </w:r>
      <w:r w:rsidRPr="00E739DA">
        <w:rPr>
          <w:rStyle w:val="lawlabel"/>
          <w:rFonts w:eastAsiaTheme="minorEastAsia"/>
          <w:b/>
          <w:lang w:val="fr-CA"/>
        </w:rPr>
        <w:t>(1)</w:t>
      </w:r>
      <w:r w:rsidRPr="00E739DA">
        <w:rPr>
          <w:lang w:val="fr-CA"/>
        </w:rPr>
        <w:t> </w:t>
      </w:r>
      <w:r w:rsidRPr="00E739DA">
        <w:rPr>
          <w:lang w:val="fr-FR"/>
        </w:rPr>
        <w:t>Sous réserve des autres dispositions de la présente partie, le [CRTC] peut, dans l</w:t>
      </w:r>
      <w:r>
        <w:rPr>
          <w:lang w:val="fr-FR"/>
        </w:rPr>
        <w:t>’</w:t>
      </w:r>
      <w:r w:rsidRPr="00E739DA">
        <w:rPr>
          <w:lang w:val="fr-FR"/>
        </w:rPr>
        <w:t>exécution de sa mission :</w:t>
      </w:r>
    </w:p>
    <w:p w:rsidR="005F030A" w:rsidRPr="00E739DA" w:rsidRDefault="005F030A" w:rsidP="005F030A">
      <w:pPr>
        <w:pStyle w:val="Citation-AltC"/>
        <w:spacing w:after="240"/>
        <w:ind w:left="1168" w:hanging="1168"/>
        <w:contextualSpacing w:val="0"/>
        <w:jc w:val="center"/>
        <w:rPr>
          <w:lang w:val="fr-CA"/>
        </w:rPr>
      </w:pPr>
      <w:r w:rsidRPr="00E739DA">
        <w:rPr>
          <w:rStyle w:val="sectionlabel"/>
          <w:bCs/>
          <w:lang w:val="fr-CA"/>
        </w:rPr>
        <w:tab/>
        <w:t>. . .</w:t>
      </w:r>
    </w:p>
    <w:p w:rsidR="005F030A" w:rsidRPr="00E739DA" w:rsidRDefault="005F030A" w:rsidP="0015160C">
      <w:pPr>
        <w:pStyle w:val="Citation-AltC"/>
        <w:ind w:left="1620" w:hanging="1436"/>
        <w:contextualSpacing w:val="0"/>
        <w:rPr>
          <w:lang w:val="fr-CA"/>
        </w:rPr>
      </w:pPr>
      <w:r w:rsidRPr="00E739DA">
        <w:rPr>
          <w:rStyle w:val="lawlabel"/>
          <w:rFonts w:eastAsiaTheme="minorEastAsia"/>
          <w:lang w:val="fr-CA"/>
        </w:rPr>
        <w:tab/>
      </w:r>
      <w:r w:rsidRPr="00E739DA">
        <w:rPr>
          <w:rStyle w:val="lawlabel"/>
          <w:rFonts w:eastAsiaTheme="minorEastAsia"/>
          <w:b/>
          <w:lang w:val="fr-CA"/>
        </w:rPr>
        <w:t>h)</w:t>
      </w:r>
      <w:r w:rsidRPr="00E739DA">
        <w:rPr>
          <w:lang w:val="fr-CA"/>
        </w:rPr>
        <w:t> </w:t>
      </w:r>
      <w:r w:rsidRPr="00E739DA">
        <w:rPr>
          <w:lang w:val="fr-FR"/>
        </w:rPr>
        <w:t>obliger [les] titulaires [de licences d</w:t>
      </w:r>
      <w:r>
        <w:rPr>
          <w:lang w:val="fr-FR"/>
        </w:rPr>
        <w:t>’</w:t>
      </w:r>
      <w:r w:rsidRPr="00E739DA">
        <w:rPr>
          <w:lang w:val="fr-FR"/>
        </w:rPr>
        <w:t>exploitation d</w:t>
      </w:r>
      <w:r>
        <w:rPr>
          <w:lang w:val="fr-FR"/>
        </w:rPr>
        <w:t>’</w:t>
      </w:r>
      <w:r w:rsidRPr="00E739DA">
        <w:rPr>
          <w:lang w:val="fr-FR"/>
        </w:rPr>
        <w:t>entreprises de distribution] à offrir certains services de programmation selon les modalités qu</w:t>
      </w:r>
      <w:r>
        <w:rPr>
          <w:lang w:val="fr-FR"/>
        </w:rPr>
        <w:t>’</w:t>
      </w:r>
      <w:r w:rsidRPr="00E739DA">
        <w:rPr>
          <w:lang w:val="fr-FR"/>
        </w:rPr>
        <w:t>il précise</w:t>
      </w:r>
      <w:r w:rsidRPr="00E739DA">
        <w:rPr>
          <w:lang w:val="fr-CA"/>
        </w:rPr>
        <w:t>.</w:t>
      </w:r>
    </w:p>
    <w:p w:rsidR="005F030A" w:rsidRPr="00E739DA" w:rsidRDefault="005F030A" w:rsidP="005F030A">
      <w:pPr>
        <w:pStyle w:val="ParaNoNdepar-AltN"/>
        <w:spacing w:before="0"/>
        <w:rPr>
          <w:rFonts w:cs="Times New Roman"/>
          <w:lang w:val="fr-CA"/>
        </w:rPr>
      </w:pPr>
      <w:r w:rsidRPr="00E739DA">
        <w:rPr>
          <w:rFonts w:cs="Times New Roman"/>
          <w:lang w:val="fr-CA"/>
        </w:rPr>
        <w:t>L</w:t>
      </w:r>
      <w:r>
        <w:rPr>
          <w:rFonts w:cs="Times New Roman"/>
          <w:lang w:val="fr-CA"/>
        </w:rPr>
        <w:t>’</w:t>
      </w:r>
      <w:r w:rsidRPr="00E739DA">
        <w:rPr>
          <w:rFonts w:cs="Times New Roman"/>
          <w:lang w:val="fr-CA"/>
        </w:rPr>
        <w:t>étendue du pouvoir conféré au CRTC doit être déterminée en interprétant cette disposition conformément à la démarche moderne d</w:t>
      </w:r>
      <w:r>
        <w:rPr>
          <w:rFonts w:cs="Times New Roman"/>
          <w:lang w:val="fr-CA"/>
        </w:rPr>
        <w:t>’</w:t>
      </w:r>
      <w:r w:rsidRPr="00E739DA">
        <w:rPr>
          <w:rFonts w:cs="Times New Roman"/>
          <w:lang w:val="fr-CA"/>
        </w:rPr>
        <w:t>interprétation des lois. Comme l</w:t>
      </w:r>
      <w:r>
        <w:rPr>
          <w:rFonts w:cs="Times New Roman"/>
          <w:lang w:val="fr-CA"/>
        </w:rPr>
        <w:t>’</w:t>
      </w:r>
      <w:r w:rsidRPr="00E739DA">
        <w:rPr>
          <w:rFonts w:cs="Times New Roman"/>
          <w:lang w:val="fr-CA"/>
        </w:rPr>
        <w:t>a maintes fois répété notre Cour, conformément à cette démarche, les termes d</w:t>
      </w:r>
      <w:r>
        <w:rPr>
          <w:rFonts w:cs="Times New Roman"/>
          <w:lang w:val="fr-CA"/>
        </w:rPr>
        <w:t>’</w:t>
      </w:r>
      <w:r w:rsidRPr="00E739DA">
        <w:rPr>
          <w:rFonts w:cs="Times New Roman"/>
          <w:lang w:val="fr-CA"/>
        </w:rPr>
        <w:t>une loi doivent être lus [</w:t>
      </w:r>
      <w:r w:rsidRPr="00E739DA">
        <w:rPr>
          <w:rFonts w:cs="Times New Roman"/>
          <w:smallCaps/>
          <w:lang w:val="fr-CA"/>
        </w:rPr>
        <w:t>traduction</w:t>
      </w:r>
      <w:r w:rsidRPr="00E739DA">
        <w:rPr>
          <w:rFonts w:cs="Times New Roman"/>
          <w:lang w:val="fr-CA"/>
        </w:rPr>
        <w:t>] « </w:t>
      </w:r>
      <w:r w:rsidRPr="00E739DA">
        <w:rPr>
          <w:rFonts w:cs="Times New Roman"/>
          <w:lang w:val="fr-FR"/>
        </w:rPr>
        <w:t>dans leur contexte global en suivant le sens ordinaire et grammatical qui s</w:t>
      </w:r>
      <w:r>
        <w:rPr>
          <w:rFonts w:cs="Times New Roman"/>
          <w:lang w:val="fr-FR"/>
        </w:rPr>
        <w:t>’</w:t>
      </w:r>
      <w:r w:rsidRPr="00E739DA">
        <w:rPr>
          <w:rFonts w:cs="Times New Roman"/>
          <w:lang w:val="fr-FR"/>
        </w:rPr>
        <w:t>harmonise avec l</w:t>
      </w:r>
      <w:r>
        <w:rPr>
          <w:rFonts w:cs="Times New Roman"/>
          <w:lang w:val="fr-FR"/>
        </w:rPr>
        <w:t>’</w:t>
      </w:r>
      <w:r w:rsidRPr="00E739DA">
        <w:rPr>
          <w:rFonts w:cs="Times New Roman"/>
          <w:lang w:val="fr-FR"/>
        </w:rPr>
        <w:t>esprit de la loi, l</w:t>
      </w:r>
      <w:r>
        <w:rPr>
          <w:rFonts w:cs="Times New Roman"/>
          <w:lang w:val="fr-FR"/>
        </w:rPr>
        <w:t>’</w:t>
      </w:r>
      <w:r w:rsidRPr="00E739DA">
        <w:rPr>
          <w:rFonts w:cs="Times New Roman"/>
          <w:lang w:val="fr-FR"/>
        </w:rPr>
        <w:t>objet de la loi et l</w:t>
      </w:r>
      <w:r>
        <w:rPr>
          <w:rFonts w:cs="Times New Roman"/>
          <w:lang w:val="fr-FR"/>
        </w:rPr>
        <w:t>’</w:t>
      </w:r>
      <w:r w:rsidRPr="00E739DA">
        <w:rPr>
          <w:rFonts w:cs="Times New Roman"/>
          <w:lang w:val="fr-FR"/>
        </w:rPr>
        <w:t>intention du législateur</w:t>
      </w:r>
      <w:r w:rsidRPr="00E739DA">
        <w:rPr>
          <w:rFonts w:cs="Times New Roman"/>
          <w:lang w:val="fr-CA"/>
        </w:rPr>
        <w:t xml:space="preserve"> » (E. A. </w:t>
      </w:r>
      <w:proofErr w:type="spellStart"/>
      <w:r w:rsidRPr="00E739DA">
        <w:rPr>
          <w:rFonts w:cs="Times New Roman"/>
          <w:lang w:val="fr-CA"/>
        </w:rPr>
        <w:t>Driedger</w:t>
      </w:r>
      <w:proofErr w:type="spellEnd"/>
      <w:r w:rsidRPr="00E739DA">
        <w:rPr>
          <w:rFonts w:cs="Times New Roman"/>
          <w:lang w:val="fr-CA"/>
        </w:rPr>
        <w:t xml:space="preserve">, </w:t>
      </w:r>
      <w:r w:rsidRPr="00E739DA">
        <w:rPr>
          <w:rFonts w:cs="Times New Roman"/>
          <w:i/>
          <w:iCs/>
          <w:lang w:val="fr-CA"/>
        </w:rPr>
        <w:t xml:space="preserve">Construction of </w:t>
      </w:r>
      <w:proofErr w:type="spellStart"/>
      <w:r w:rsidRPr="00E739DA">
        <w:rPr>
          <w:rFonts w:cs="Times New Roman"/>
          <w:i/>
          <w:iCs/>
          <w:lang w:val="fr-CA"/>
        </w:rPr>
        <w:t>Statutes</w:t>
      </w:r>
      <w:proofErr w:type="spellEnd"/>
      <w:r w:rsidRPr="00E739DA">
        <w:rPr>
          <w:rFonts w:cs="Times New Roman"/>
          <w:lang w:val="fr-CA"/>
        </w:rPr>
        <w:t> (2</w:t>
      </w:r>
      <w:r w:rsidRPr="00E739DA">
        <w:rPr>
          <w:rFonts w:cs="Times New Roman"/>
          <w:vertAlign w:val="superscript"/>
          <w:lang w:val="fr-CA"/>
        </w:rPr>
        <w:t>e</w:t>
      </w:r>
      <w:r w:rsidRPr="00E739DA">
        <w:rPr>
          <w:rFonts w:cs="Times New Roman"/>
          <w:lang w:val="fr-CA"/>
        </w:rPr>
        <w:t xml:space="preserve"> éd. 1983), p. 87, cité dans </w:t>
      </w:r>
      <w:proofErr w:type="spellStart"/>
      <w:r w:rsidRPr="00E739DA">
        <w:rPr>
          <w:rFonts w:cs="Times New Roman"/>
          <w:i/>
          <w:iCs/>
          <w:lang w:val="fr-CA"/>
        </w:rPr>
        <w:t>Rizzo</w:t>
      </w:r>
      <w:proofErr w:type="spellEnd"/>
      <w:r w:rsidRPr="00E739DA">
        <w:rPr>
          <w:rFonts w:cs="Times New Roman"/>
          <w:i/>
          <w:iCs/>
          <w:lang w:val="fr-CA"/>
        </w:rPr>
        <w:t xml:space="preserve"> &amp; </w:t>
      </w:r>
      <w:proofErr w:type="spellStart"/>
      <w:r w:rsidRPr="00E739DA">
        <w:rPr>
          <w:rFonts w:cs="Times New Roman"/>
          <w:i/>
          <w:iCs/>
          <w:lang w:val="fr-CA"/>
        </w:rPr>
        <w:t>Rizzo</w:t>
      </w:r>
      <w:proofErr w:type="spellEnd"/>
      <w:r w:rsidRPr="00E739DA">
        <w:rPr>
          <w:rFonts w:cs="Times New Roman"/>
          <w:i/>
          <w:iCs/>
          <w:lang w:val="fr-CA"/>
        </w:rPr>
        <w:t xml:space="preserve"> </w:t>
      </w:r>
      <w:proofErr w:type="spellStart"/>
      <w:r w:rsidRPr="00E739DA">
        <w:rPr>
          <w:rFonts w:cs="Times New Roman"/>
          <w:i/>
          <w:iCs/>
          <w:lang w:val="fr-CA"/>
        </w:rPr>
        <w:t>Shoes</w:t>
      </w:r>
      <w:proofErr w:type="spellEnd"/>
      <w:r w:rsidRPr="00E739DA">
        <w:rPr>
          <w:rFonts w:cs="Times New Roman"/>
          <w:i/>
          <w:iCs/>
          <w:lang w:val="fr-CA"/>
        </w:rPr>
        <w:t xml:space="preserve"> Ltd. (</w:t>
      </w:r>
      <w:proofErr w:type="spellStart"/>
      <w:r w:rsidRPr="00E739DA">
        <w:rPr>
          <w:rFonts w:cs="Times New Roman"/>
          <w:i/>
          <w:iCs/>
          <w:lang w:val="fr-CA"/>
        </w:rPr>
        <w:t>Re</w:t>
      </w:r>
      <w:proofErr w:type="spellEnd"/>
      <w:r w:rsidRPr="00E739DA">
        <w:rPr>
          <w:rFonts w:cs="Times New Roman"/>
          <w:i/>
          <w:iCs/>
          <w:lang w:val="fr-CA"/>
        </w:rPr>
        <w:t>)</w:t>
      </w:r>
      <w:r w:rsidRPr="00E739DA">
        <w:rPr>
          <w:rFonts w:cs="Times New Roman"/>
          <w:lang w:val="fr-CA"/>
        </w:rPr>
        <w:t>,</w:t>
      </w:r>
      <w:r w:rsidRPr="00E739DA">
        <w:rPr>
          <w:rFonts w:cs="Times New Roman"/>
          <w:i/>
          <w:iCs/>
          <w:lang w:val="fr-CA"/>
        </w:rPr>
        <w:t xml:space="preserve"> </w:t>
      </w:r>
      <w:r w:rsidRPr="00E739DA">
        <w:rPr>
          <w:rFonts w:cs="Times New Roman"/>
          <w:lang w:val="fr-CA"/>
        </w:rPr>
        <w:t xml:space="preserve">[1998] 1 R.C.S. 27, par. 21, et plus récemment dans </w:t>
      </w:r>
      <w:r w:rsidRPr="00E739DA">
        <w:rPr>
          <w:rFonts w:cs="Times New Roman"/>
          <w:i/>
          <w:lang w:val="fr-CA"/>
        </w:rPr>
        <w:t>R. c. Barton</w:t>
      </w:r>
      <w:r w:rsidRPr="00E739DA">
        <w:rPr>
          <w:rFonts w:cs="Times New Roman"/>
          <w:lang w:val="fr-CA"/>
        </w:rPr>
        <w:t>, 2019 CSC 33,</w:t>
      </w:r>
      <w:r w:rsidR="005F3232">
        <w:rPr>
          <w:rFonts w:cs="Times New Roman"/>
          <w:lang w:val="fr-CA"/>
        </w:rPr>
        <w:t xml:space="preserve"> [2019] 2</w:t>
      </w:r>
      <w:r w:rsidR="0015160C">
        <w:rPr>
          <w:rFonts w:cs="Times New Roman"/>
          <w:lang w:val="fr-CA"/>
        </w:rPr>
        <w:t xml:space="preserve"> R.C.S. </w:t>
      </w:r>
      <w:r w:rsidR="005F3232">
        <w:rPr>
          <w:rFonts w:cs="Times New Roman"/>
          <w:lang w:val="fr-CA"/>
        </w:rPr>
        <w:t>579</w:t>
      </w:r>
      <w:r w:rsidR="0015160C">
        <w:rPr>
          <w:rFonts w:cs="Times New Roman"/>
          <w:lang w:val="fr-CA"/>
        </w:rPr>
        <w:t>,</w:t>
      </w:r>
      <w:r w:rsidRPr="00E739DA">
        <w:rPr>
          <w:rFonts w:cs="Times New Roman"/>
          <w:lang w:val="fr-CA"/>
        </w:rPr>
        <w:t xml:space="preserve"> par. 71).</w:t>
      </w:r>
    </w:p>
    <w:p w:rsidR="005F030A" w:rsidRPr="00E739DA" w:rsidRDefault="005F030A" w:rsidP="005F030A">
      <w:pPr>
        <w:pStyle w:val="ParaNoNdepar-AltN"/>
        <w:spacing w:before="0"/>
        <w:rPr>
          <w:rFonts w:cs="Times New Roman"/>
          <w:lang w:val="fr-CA"/>
        </w:rPr>
      </w:pPr>
      <w:r w:rsidRPr="00E739DA">
        <w:rPr>
          <w:rFonts w:cs="Times New Roman"/>
          <w:lang w:val="fr-CA"/>
        </w:rPr>
        <w:t xml:space="preserve">Bell et la </w:t>
      </w:r>
      <w:proofErr w:type="gramStart"/>
      <w:r w:rsidRPr="00E739DA">
        <w:rPr>
          <w:rFonts w:cs="Times New Roman"/>
          <w:lang w:val="fr-CA"/>
        </w:rPr>
        <w:t>NFL soutiennent</w:t>
      </w:r>
      <w:proofErr w:type="gramEnd"/>
      <w:r w:rsidRPr="00E739DA">
        <w:rPr>
          <w:rFonts w:cs="Times New Roman"/>
          <w:lang w:val="fr-CA"/>
        </w:rPr>
        <w:t xml:space="preserve"> que l</w:t>
      </w:r>
      <w:r>
        <w:rPr>
          <w:rFonts w:cs="Times New Roman"/>
          <w:lang w:val="fr-CA"/>
        </w:rPr>
        <w:t>’</w:t>
      </w:r>
      <w:r w:rsidRPr="00E739DA">
        <w:rPr>
          <w:rFonts w:cs="Times New Roman"/>
          <w:lang w:val="fr-CA"/>
        </w:rPr>
        <w:t>al. 9(1)h) [</w:t>
      </w:r>
      <w:r w:rsidRPr="00E739DA">
        <w:rPr>
          <w:rFonts w:cs="Times New Roman"/>
          <w:smallCaps/>
          <w:lang w:val="fr-CA"/>
        </w:rPr>
        <w:t>traduction</w:t>
      </w:r>
      <w:r w:rsidRPr="00E739DA">
        <w:rPr>
          <w:rFonts w:cs="Times New Roman"/>
          <w:lang w:val="fr-CA"/>
        </w:rPr>
        <w:t>] « ne permet pas au CRTC d</w:t>
      </w:r>
      <w:r>
        <w:rPr>
          <w:rFonts w:cs="Times New Roman"/>
          <w:lang w:val="fr-CA"/>
        </w:rPr>
        <w:t>’</w:t>
      </w:r>
      <w:r w:rsidRPr="00E739DA">
        <w:rPr>
          <w:rFonts w:cs="Times New Roman"/>
          <w:lang w:val="fr-CA"/>
        </w:rPr>
        <w:t>exiger que les [fournisseurs de services de télévision] distribuent une émission particulière, ou de fixer les modalités applicables à la distribution d</w:t>
      </w:r>
      <w:r>
        <w:rPr>
          <w:rFonts w:cs="Times New Roman"/>
          <w:lang w:val="fr-CA"/>
        </w:rPr>
        <w:t>’</w:t>
      </w:r>
      <w:r w:rsidRPr="00E739DA">
        <w:rPr>
          <w:rFonts w:cs="Times New Roman"/>
          <w:lang w:val="fr-CA"/>
        </w:rPr>
        <w:t>une seule émission comme le Super </w:t>
      </w:r>
      <w:proofErr w:type="spellStart"/>
      <w:r w:rsidRPr="00E739DA">
        <w:rPr>
          <w:rFonts w:cs="Times New Roman"/>
          <w:lang w:val="fr-CA"/>
        </w:rPr>
        <w:t>Bowl</w:t>
      </w:r>
      <w:proofErr w:type="spellEnd"/>
      <w:r w:rsidRPr="00E739DA">
        <w:rPr>
          <w:rFonts w:cs="Times New Roman"/>
          <w:lang w:val="fr-CA"/>
        </w:rPr>
        <w:t> » (</w:t>
      </w:r>
      <w:proofErr w:type="spellStart"/>
      <w:r w:rsidRPr="00E739DA">
        <w:rPr>
          <w:rFonts w:cs="Times New Roman"/>
          <w:lang w:val="fr-CA"/>
        </w:rPr>
        <w:t>m.a</w:t>
      </w:r>
      <w:proofErr w:type="spellEnd"/>
      <w:r w:rsidRPr="00E739DA">
        <w:rPr>
          <w:rFonts w:cs="Times New Roman"/>
          <w:lang w:val="fr-CA"/>
        </w:rPr>
        <w:t>. (NFL), par. 35). Elles affirment que l</w:t>
      </w:r>
      <w:r>
        <w:rPr>
          <w:rFonts w:cs="Times New Roman"/>
          <w:lang w:val="fr-CA"/>
        </w:rPr>
        <w:t>’</w:t>
      </w:r>
      <w:r w:rsidRPr="00E739DA">
        <w:rPr>
          <w:rFonts w:cs="Times New Roman"/>
          <w:lang w:val="fr-CA"/>
        </w:rPr>
        <w:t>expression</w:t>
      </w:r>
      <w:r w:rsidRPr="00E739DA">
        <w:rPr>
          <w:rFonts w:eastAsia="Times New Roman" w:cs="Times New Roman"/>
          <w:szCs w:val="24"/>
          <w:lang w:val="fr-FR" w:eastAsia="en-CA"/>
        </w:rPr>
        <w:t xml:space="preserve"> «</w:t>
      </w:r>
      <w:r w:rsidRPr="00E739DA">
        <w:rPr>
          <w:rFonts w:eastAsia="Times New Roman" w:cs="Times New Roman"/>
          <w:szCs w:val="24"/>
          <w:lang w:val="fr-CA" w:eastAsia="en-CA"/>
        </w:rPr>
        <w:t> </w:t>
      </w:r>
      <w:r w:rsidRPr="00E739DA">
        <w:rPr>
          <w:rFonts w:cs="Times New Roman"/>
          <w:lang w:val="fr-FR"/>
        </w:rPr>
        <w:t>services de programmation </w:t>
      </w:r>
      <w:r w:rsidRPr="00E739DA">
        <w:rPr>
          <w:rFonts w:cs="Times New Roman"/>
          <w:lang w:val="fr-CA"/>
        </w:rPr>
        <w:t>», telle qu</w:t>
      </w:r>
      <w:r>
        <w:rPr>
          <w:rFonts w:cs="Times New Roman"/>
          <w:lang w:val="fr-CA"/>
        </w:rPr>
        <w:t>’</w:t>
      </w:r>
      <w:r w:rsidRPr="00E739DA">
        <w:rPr>
          <w:rFonts w:cs="Times New Roman"/>
          <w:lang w:val="fr-CA"/>
        </w:rPr>
        <w:t xml:space="preserve">elle est employée dans cette </w:t>
      </w:r>
      <w:r w:rsidRPr="00E739DA">
        <w:rPr>
          <w:rFonts w:cs="Times New Roman"/>
          <w:lang w:val="fr-CA"/>
        </w:rPr>
        <w:lastRenderedPageBreak/>
        <w:t>disposition, vise plutôt l</w:t>
      </w:r>
      <w:r>
        <w:rPr>
          <w:rFonts w:cs="Times New Roman"/>
          <w:lang w:val="fr-CA"/>
        </w:rPr>
        <w:t>’</w:t>
      </w:r>
      <w:r w:rsidRPr="00E739DA">
        <w:rPr>
          <w:rFonts w:cs="Times New Roman"/>
          <w:i/>
          <w:lang w:val="fr-CA"/>
        </w:rPr>
        <w:t xml:space="preserve">ensemble des émissions </w:t>
      </w:r>
      <w:r w:rsidRPr="00E739DA">
        <w:rPr>
          <w:rFonts w:cs="Times New Roman"/>
          <w:lang w:val="fr-CA"/>
        </w:rPr>
        <w:t>diffusées par une station de télévision. Pour ce motif, elles prétendent que le CRTC ne peut pas rendre en vertu de l</w:t>
      </w:r>
      <w:r>
        <w:rPr>
          <w:rFonts w:cs="Times New Roman"/>
          <w:lang w:val="fr-CA"/>
        </w:rPr>
        <w:t>’</w:t>
      </w:r>
      <w:r w:rsidRPr="00E739DA">
        <w:rPr>
          <w:rFonts w:cs="Times New Roman"/>
          <w:lang w:val="fr-CA"/>
        </w:rPr>
        <w:t xml:space="preserve">al. 9(1)h) une ordonnance visant des </w:t>
      </w:r>
      <w:r w:rsidRPr="00E739DA">
        <w:rPr>
          <w:rFonts w:cs="Times New Roman"/>
          <w:i/>
          <w:lang w:val="fr-CA"/>
        </w:rPr>
        <w:t>émissions individuelles</w:t>
      </w:r>
      <w:r w:rsidRPr="00E739DA">
        <w:rPr>
          <w:rFonts w:cs="Times New Roman"/>
          <w:lang w:val="fr-CA"/>
        </w:rPr>
        <w:t>, tel le Super </w:t>
      </w:r>
      <w:proofErr w:type="spellStart"/>
      <w:r w:rsidRPr="00E739DA">
        <w:rPr>
          <w:rFonts w:cs="Times New Roman"/>
          <w:lang w:val="fr-CA"/>
        </w:rPr>
        <w:t>Bowl</w:t>
      </w:r>
      <w:proofErr w:type="spellEnd"/>
      <w:r w:rsidRPr="00E739DA">
        <w:rPr>
          <w:rFonts w:cs="Times New Roman"/>
          <w:lang w:val="fr-CA"/>
        </w:rPr>
        <w:t>.</w:t>
      </w:r>
    </w:p>
    <w:p w:rsidR="005F030A" w:rsidRPr="00E739DA" w:rsidRDefault="005F030A" w:rsidP="005F030A">
      <w:pPr>
        <w:pStyle w:val="ParaNoNdepar-AltN"/>
        <w:rPr>
          <w:rFonts w:cs="Times New Roman"/>
          <w:lang w:val="fr-CA"/>
        </w:rPr>
      </w:pPr>
      <w:r w:rsidRPr="00E739DA">
        <w:rPr>
          <w:rFonts w:cs="Times New Roman"/>
          <w:lang w:val="fr-CA"/>
        </w:rPr>
        <w:t>Nous tenons d</w:t>
      </w:r>
      <w:r>
        <w:rPr>
          <w:rFonts w:cs="Times New Roman"/>
          <w:lang w:val="fr-CA"/>
        </w:rPr>
        <w:t>’</w:t>
      </w:r>
      <w:r w:rsidRPr="00E739DA">
        <w:rPr>
          <w:rFonts w:cs="Times New Roman"/>
          <w:lang w:val="fr-CA"/>
        </w:rPr>
        <w:t>abord à souligner que l</w:t>
      </w:r>
      <w:r>
        <w:rPr>
          <w:rFonts w:cs="Times New Roman"/>
          <w:lang w:val="fr-CA"/>
        </w:rPr>
        <w:t>’</w:t>
      </w:r>
      <w:r w:rsidRPr="00E739DA">
        <w:rPr>
          <w:rFonts w:cs="Times New Roman"/>
          <w:lang w:val="fr-CA"/>
        </w:rPr>
        <w:t>Ordonnance définitive semble imposer une condition à la distribution du signal d</w:t>
      </w:r>
      <w:r>
        <w:rPr>
          <w:rFonts w:cs="Times New Roman"/>
          <w:lang w:val="fr-CA"/>
        </w:rPr>
        <w:t>’</w:t>
      </w:r>
      <w:r w:rsidRPr="00E739DA">
        <w:rPr>
          <w:rFonts w:cs="Times New Roman"/>
          <w:lang w:val="fr-CA"/>
        </w:rPr>
        <w:t>une station de télévision canadienne; elle énonce effectivement qu</w:t>
      </w:r>
      <w:r>
        <w:rPr>
          <w:rFonts w:cs="Times New Roman"/>
          <w:lang w:val="fr-CA"/>
        </w:rPr>
        <w:t>’</w:t>
      </w:r>
      <w:r w:rsidRPr="00E739DA">
        <w:rPr>
          <w:rFonts w:cs="Times New Roman"/>
          <w:lang w:val="fr-CA"/>
        </w:rPr>
        <w:t>un fournisseur de services peut distribuer un tel signal pendant la diffusion du Super </w:t>
      </w:r>
      <w:proofErr w:type="spellStart"/>
      <w:r w:rsidRPr="00E739DA">
        <w:rPr>
          <w:rFonts w:cs="Times New Roman"/>
          <w:lang w:val="fr-CA"/>
        </w:rPr>
        <w:t>Bowl</w:t>
      </w:r>
      <w:proofErr w:type="spellEnd"/>
      <w:r w:rsidRPr="00E739DA">
        <w:rPr>
          <w:rFonts w:cs="Times New Roman"/>
          <w:lang w:val="fr-CA"/>
        </w:rPr>
        <w:t xml:space="preserve"> </w:t>
      </w:r>
      <w:r w:rsidRPr="00E739DA">
        <w:rPr>
          <w:rFonts w:cs="Times New Roman"/>
          <w:i/>
          <w:lang w:val="fr-CA"/>
        </w:rPr>
        <w:t xml:space="preserve">dans la mesure où </w:t>
      </w:r>
      <w:r w:rsidRPr="00E739DA">
        <w:rPr>
          <w:rFonts w:cs="Times New Roman"/>
          <w:lang w:val="fr-CA"/>
        </w:rPr>
        <w:t>il ne donne pas suite à une demande de substitution simultanée, pendant toute la durée de l</w:t>
      </w:r>
      <w:r>
        <w:rPr>
          <w:rFonts w:cs="Times New Roman"/>
          <w:lang w:val="fr-CA"/>
        </w:rPr>
        <w:t>’</w:t>
      </w:r>
      <w:r w:rsidRPr="00E739DA">
        <w:rPr>
          <w:rFonts w:cs="Times New Roman"/>
          <w:lang w:val="fr-CA"/>
        </w:rPr>
        <w:t>événement, du signal d</w:t>
      </w:r>
      <w:r>
        <w:rPr>
          <w:rFonts w:cs="Times New Roman"/>
          <w:lang w:val="fr-CA"/>
        </w:rPr>
        <w:t>’</w:t>
      </w:r>
      <w:r w:rsidRPr="00E739DA">
        <w:rPr>
          <w:rFonts w:cs="Times New Roman"/>
          <w:lang w:val="fr-CA"/>
        </w:rPr>
        <w:t>une station de télévision américaine qui diffuse elle aussi le Super </w:t>
      </w:r>
      <w:proofErr w:type="spellStart"/>
      <w:r w:rsidRPr="00E739DA">
        <w:rPr>
          <w:rFonts w:cs="Times New Roman"/>
          <w:lang w:val="fr-CA"/>
        </w:rPr>
        <w:t>Bowl</w:t>
      </w:r>
      <w:proofErr w:type="spellEnd"/>
      <w:r w:rsidRPr="00E739DA">
        <w:rPr>
          <w:rFonts w:cs="Times New Roman"/>
          <w:lang w:val="fr-CA"/>
        </w:rPr>
        <w:t xml:space="preserve"> (Décision définitive, par. 54). Cette condition, affirme le CRTC, « </w:t>
      </w:r>
      <w:r w:rsidRPr="00E739DA">
        <w:rPr>
          <w:rFonts w:cs="Times New Roman"/>
          <w:lang w:val="fr-FR"/>
        </w:rPr>
        <w:t>reflète la façon dont la substitution simultanée est effectuée » :</w:t>
      </w:r>
      <w:r w:rsidRPr="00E739DA">
        <w:rPr>
          <w:rFonts w:cs="Times New Roman"/>
          <w:lang w:val="fr-CA"/>
        </w:rPr>
        <w:t xml:space="preserve"> le fournisseur de services de télévision supprime et remplace le signal d</w:t>
      </w:r>
      <w:r>
        <w:rPr>
          <w:rFonts w:cs="Times New Roman"/>
          <w:lang w:val="fr-CA"/>
        </w:rPr>
        <w:t>’</w:t>
      </w:r>
      <w:r w:rsidRPr="00E739DA">
        <w:rPr>
          <w:rFonts w:cs="Times New Roman"/>
          <w:lang w:val="fr-CA"/>
        </w:rPr>
        <w:t xml:space="preserve">une </w:t>
      </w:r>
      <w:r w:rsidRPr="00E739DA">
        <w:rPr>
          <w:rFonts w:cs="Times New Roman"/>
          <w:i/>
          <w:lang w:val="fr-CA"/>
        </w:rPr>
        <w:t>station de télévision</w:t>
      </w:r>
      <w:r w:rsidRPr="00E739DA">
        <w:rPr>
          <w:rFonts w:cs="Times New Roman"/>
          <w:lang w:val="fr-CA"/>
        </w:rPr>
        <w:t>, et non celui d</w:t>
      </w:r>
      <w:r>
        <w:rPr>
          <w:rFonts w:cs="Times New Roman"/>
          <w:lang w:val="fr-CA"/>
        </w:rPr>
        <w:t>’</w:t>
      </w:r>
      <w:r w:rsidRPr="00E739DA">
        <w:rPr>
          <w:rFonts w:cs="Times New Roman"/>
          <w:lang w:val="fr-CA"/>
        </w:rPr>
        <w:t xml:space="preserve">une </w:t>
      </w:r>
      <w:r w:rsidRPr="00E739DA">
        <w:rPr>
          <w:rFonts w:cs="Times New Roman"/>
          <w:i/>
          <w:lang w:val="fr-CA"/>
        </w:rPr>
        <w:t>émission de télévision</w:t>
      </w:r>
      <w:r w:rsidRPr="00E739DA">
        <w:rPr>
          <w:rFonts w:cs="Times New Roman"/>
          <w:lang w:val="fr-CA"/>
        </w:rPr>
        <w:t xml:space="preserve"> particulière (</w:t>
      </w:r>
      <w:r w:rsidRPr="00E739DA">
        <w:rPr>
          <w:rFonts w:cs="Times New Roman"/>
          <w:i/>
          <w:lang w:val="fr-CA"/>
        </w:rPr>
        <w:t>ibid.</w:t>
      </w:r>
      <w:r w:rsidRPr="00E739DA">
        <w:rPr>
          <w:rFonts w:cs="Times New Roman"/>
          <w:lang w:val="fr-CA"/>
        </w:rPr>
        <w:t>, par. 55). En termes simples, l</w:t>
      </w:r>
      <w:r>
        <w:rPr>
          <w:rFonts w:cs="Times New Roman"/>
          <w:lang w:val="fr-CA"/>
        </w:rPr>
        <w:t>’</w:t>
      </w:r>
      <w:r w:rsidRPr="00E739DA">
        <w:rPr>
          <w:rFonts w:cs="Times New Roman"/>
          <w:lang w:val="fr-CA"/>
        </w:rPr>
        <w:t>Ordonnance définitive impose une condition à la distribution d</w:t>
      </w:r>
      <w:r>
        <w:rPr>
          <w:rFonts w:cs="Times New Roman"/>
          <w:lang w:val="fr-CA"/>
        </w:rPr>
        <w:t>’</w:t>
      </w:r>
      <w:r w:rsidRPr="00E739DA">
        <w:rPr>
          <w:rFonts w:cs="Times New Roman"/>
          <w:lang w:val="fr-CA"/>
        </w:rPr>
        <w:t>un « service de programmation » donné — c</w:t>
      </w:r>
      <w:r>
        <w:rPr>
          <w:rFonts w:cs="Times New Roman"/>
          <w:lang w:val="fr-CA"/>
        </w:rPr>
        <w:t>’</w:t>
      </w:r>
      <w:r w:rsidRPr="00E739DA">
        <w:rPr>
          <w:rFonts w:cs="Times New Roman"/>
          <w:lang w:val="fr-CA"/>
        </w:rPr>
        <w:t>est</w:t>
      </w:r>
      <w:r w:rsidRPr="00E739DA">
        <w:rPr>
          <w:rFonts w:cs="Times New Roman"/>
          <w:lang w:val="fr-CA"/>
        </w:rPr>
        <w:noBreakHyphen/>
        <w:t>à</w:t>
      </w:r>
      <w:r w:rsidRPr="00E739DA">
        <w:rPr>
          <w:rFonts w:cs="Times New Roman"/>
          <w:lang w:val="fr-CA"/>
        </w:rPr>
        <w:noBreakHyphen/>
        <w:t>dire la programmation des stations de télévision visées — quoique seulement pour la durée d</w:t>
      </w:r>
      <w:r>
        <w:rPr>
          <w:rFonts w:cs="Times New Roman"/>
          <w:lang w:val="fr-CA"/>
        </w:rPr>
        <w:t>’</w:t>
      </w:r>
      <w:r w:rsidRPr="00E739DA">
        <w:rPr>
          <w:rFonts w:cs="Times New Roman"/>
          <w:lang w:val="fr-CA"/>
        </w:rPr>
        <w:t>une émission particulière.</w:t>
      </w:r>
    </w:p>
    <w:p w:rsidR="005F030A" w:rsidRPr="00E739DA" w:rsidRDefault="005F030A" w:rsidP="005F030A">
      <w:pPr>
        <w:pStyle w:val="ParaNoNdepar-AltN"/>
        <w:spacing w:before="0"/>
        <w:rPr>
          <w:rFonts w:cs="Times New Roman"/>
          <w:lang w:val="fr-CA"/>
        </w:rPr>
      </w:pPr>
      <w:r w:rsidRPr="00E739DA">
        <w:rPr>
          <w:rFonts w:cs="Times New Roman"/>
          <w:lang w:val="fr-CA"/>
        </w:rPr>
        <w:t>Pour trancher les présents pourvois, nous n</w:t>
      </w:r>
      <w:r>
        <w:rPr>
          <w:rFonts w:cs="Times New Roman"/>
          <w:lang w:val="fr-CA"/>
        </w:rPr>
        <w:t>’</w:t>
      </w:r>
      <w:r w:rsidRPr="00E739DA">
        <w:rPr>
          <w:rFonts w:cs="Times New Roman"/>
          <w:lang w:val="fr-CA"/>
        </w:rPr>
        <w:t>avons pas à décider si les « modalités » pouvant être imposées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xml:space="preserve"> peuvent porter directement sur une émission particulière, ou si elles doivent plutôt porter sur la totalité de la programmation d</w:t>
      </w:r>
      <w:r>
        <w:rPr>
          <w:rFonts w:cs="Times New Roman"/>
          <w:lang w:val="fr-CA"/>
        </w:rPr>
        <w:t>’</w:t>
      </w:r>
      <w:r w:rsidRPr="00E739DA">
        <w:rPr>
          <w:rFonts w:cs="Times New Roman"/>
          <w:lang w:val="fr-CA"/>
        </w:rPr>
        <w:t>une station de télévision. Il en est ainsi parce que nous sommes d</w:t>
      </w:r>
      <w:r>
        <w:rPr>
          <w:rFonts w:cs="Times New Roman"/>
          <w:lang w:val="fr-CA"/>
        </w:rPr>
        <w:t>’</w:t>
      </w:r>
      <w:r w:rsidRPr="00E739DA">
        <w:rPr>
          <w:rFonts w:cs="Times New Roman"/>
          <w:lang w:val="fr-CA"/>
        </w:rPr>
        <w:t>avis que le CRTC n</w:t>
      </w:r>
      <w:r>
        <w:rPr>
          <w:rFonts w:cs="Times New Roman"/>
          <w:lang w:val="fr-CA"/>
        </w:rPr>
        <w:t>’</w:t>
      </w:r>
      <w:r w:rsidRPr="00E739DA">
        <w:rPr>
          <w:rFonts w:cs="Times New Roman"/>
          <w:lang w:val="fr-CA"/>
        </w:rPr>
        <w:t>est de toute façon pas autorisé par la loi à rendre l</w:t>
      </w:r>
      <w:r>
        <w:rPr>
          <w:rFonts w:cs="Times New Roman"/>
          <w:lang w:val="fr-CA"/>
        </w:rPr>
        <w:t>’</w:t>
      </w:r>
      <w:r w:rsidRPr="00E739DA">
        <w:rPr>
          <w:rFonts w:cs="Times New Roman"/>
          <w:lang w:val="fr-CA"/>
        </w:rPr>
        <w:t>Ordonnance définitive en vertu de cette disposition. Pour être plus précis, le pouvoir dont dispose le CRTC en vertu de l</w:t>
      </w:r>
      <w:r>
        <w:rPr>
          <w:rFonts w:cs="Times New Roman"/>
          <w:lang w:val="fr-CA"/>
        </w:rPr>
        <w:t>’</w:t>
      </w:r>
      <w:r w:rsidRPr="00E739DA">
        <w:rPr>
          <w:rFonts w:cs="Times New Roman"/>
          <w:lang w:val="fr-CA"/>
        </w:rPr>
        <w:t xml:space="preserve">al. 9(1)h) — interprété </w:t>
      </w:r>
      <w:r w:rsidRPr="00E739DA">
        <w:rPr>
          <w:rFonts w:cs="Times New Roman"/>
          <w:lang w:val="fr-CA"/>
        </w:rPr>
        <w:lastRenderedPageBreak/>
        <w:t>en conformité avec son libellé, son contexte et son objet — se limite à la délivrance d</w:t>
      </w:r>
      <w:r>
        <w:rPr>
          <w:rFonts w:cs="Times New Roman"/>
          <w:lang w:val="fr-CA"/>
        </w:rPr>
        <w:t>’</w:t>
      </w:r>
      <w:r w:rsidRPr="00E739DA">
        <w:rPr>
          <w:rFonts w:cs="Times New Roman"/>
          <w:lang w:val="fr-CA"/>
        </w:rPr>
        <w:t>ordonnances obligeant les fournisseurs de services de télévision à distribuer certaines chaînes dans le cadre des services qu</w:t>
      </w:r>
      <w:r>
        <w:rPr>
          <w:rFonts w:cs="Times New Roman"/>
          <w:lang w:val="fr-CA"/>
        </w:rPr>
        <w:t>’</w:t>
      </w:r>
      <w:r w:rsidRPr="00E739DA">
        <w:rPr>
          <w:rFonts w:cs="Times New Roman"/>
          <w:lang w:val="fr-CA"/>
        </w:rPr>
        <w:t>ils offrent, et à assortir de certaines modalités ces ordonnances de distribution obligatoire (</w:t>
      </w:r>
      <w:proofErr w:type="spellStart"/>
      <w:r w:rsidRPr="00E739DA">
        <w:rPr>
          <w:rFonts w:cs="Times New Roman"/>
          <w:lang w:val="fr-CA"/>
        </w:rPr>
        <w:t>m.a</w:t>
      </w:r>
      <w:proofErr w:type="spellEnd"/>
      <w:r w:rsidRPr="00E739DA">
        <w:rPr>
          <w:rFonts w:cs="Times New Roman"/>
          <w:lang w:val="fr-CA"/>
        </w:rPr>
        <w:t>. (NFL), par. 3, 8, 12, 29, 35, 61</w:t>
      </w:r>
      <w:r w:rsidRPr="00E739DA">
        <w:rPr>
          <w:rFonts w:cs="Times New Roman"/>
          <w:lang w:val="fr-CA"/>
        </w:rPr>
        <w:noBreakHyphen/>
        <w:t>62 et 77</w:t>
      </w:r>
      <w:r w:rsidRPr="00E739DA">
        <w:rPr>
          <w:rFonts w:cs="Times New Roman"/>
          <w:lang w:val="fr-CA"/>
        </w:rPr>
        <w:noBreakHyphen/>
        <w:t>79; transcription de l</w:t>
      </w:r>
      <w:r>
        <w:rPr>
          <w:rFonts w:cs="Times New Roman"/>
          <w:lang w:val="fr-CA"/>
        </w:rPr>
        <w:t>’</w:t>
      </w:r>
      <w:r w:rsidRPr="00E739DA">
        <w:rPr>
          <w:rFonts w:cs="Times New Roman"/>
          <w:lang w:val="fr-CA"/>
        </w:rPr>
        <w:t>audience, jour 1, p. 5 et 17</w:t>
      </w:r>
      <w:r w:rsidRPr="00E739DA">
        <w:rPr>
          <w:rFonts w:cs="Times New Roman"/>
          <w:lang w:val="fr-CA"/>
        </w:rPr>
        <w:noBreakHyphen/>
        <w:t>21; jour 3, p. 180</w:t>
      </w:r>
      <w:r w:rsidRPr="00E739DA">
        <w:rPr>
          <w:rFonts w:cs="Times New Roman"/>
          <w:lang w:val="fr-CA"/>
        </w:rPr>
        <w:noBreakHyphen/>
        <w:t>183). Contrairement à ce que prétend le procureur général du Canada (</w:t>
      </w:r>
      <w:proofErr w:type="spellStart"/>
      <w:proofErr w:type="gramStart"/>
      <w:r w:rsidRPr="00E739DA">
        <w:rPr>
          <w:rFonts w:cs="Times New Roman"/>
          <w:lang w:val="fr-CA"/>
        </w:rPr>
        <w:t>m.i</w:t>
      </w:r>
      <w:proofErr w:type="spellEnd"/>
      <w:r w:rsidRPr="00E739DA">
        <w:rPr>
          <w:rFonts w:cs="Times New Roman"/>
          <w:lang w:val="fr-CA"/>
        </w:rPr>
        <w:t>.,</w:t>
      </w:r>
      <w:proofErr w:type="gramEnd"/>
      <w:r w:rsidRPr="00E739DA">
        <w:rPr>
          <w:rFonts w:cs="Times New Roman"/>
          <w:lang w:val="fr-CA"/>
        </w:rPr>
        <w:t xml:space="preserve"> par. 65, 66, 71 et 76</w:t>
      </w:r>
      <w:r w:rsidRPr="00E739DA">
        <w:rPr>
          <w:rFonts w:cs="Times New Roman"/>
          <w:lang w:val="fr-CA"/>
        </w:rPr>
        <w:noBreakHyphen/>
        <w:t>78; transcription de l</w:t>
      </w:r>
      <w:r>
        <w:rPr>
          <w:rFonts w:cs="Times New Roman"/>
          <w:lang w:val="fr-CA"/>
        </w:rPr>
        <w:t>’</w:t>
      </w:r>
      <w:r w:rsidRPr="00E739DA">
        <w:rPr>
          <w:rFonts w:cs="Times New Roman"/>
          <w:lang w:val="fr-CA"/>
        </w:rPr>
        <w:t>audience, jour 1, p. 80 et 90</w:t>
      </w:r>
      <w:r w:rsidRPr="00E739DA">
        <w:rPr>
          <w:rFonts w:cs="Times New Roman"/>
          <w:lang w:val="fr-CA"/>
        </w:rPr>
        <w:noBreakHyphen/>
        <w:t>92), cette disposition ne confère pas au CRTC le pouvoir général d</w:t>
      </w:r>
      <w:r>
        <w:rPr>
          <w:rFonts w:cs="Times New Roman"/>
          <w:lang w:val="fr-CA"/>
        </w:rPr>
        <w:t>’</w:t>
      </w:r>
      <w:r w:rsidRPr="00E739DA">
        <w:rPr>
          <w:rFonts w:cs="Times New Roman"/>
          <w:lang w:val="fr-CA"/>
        </w:rPr>
        <w:t>imposer des conditions en dehors du contexte d</w:t>
      </w:r>
      <w:r>
        <w:rPr>
          <w:rFonts w:cs="Times New Roman"/>
          <w:lang w:val="fr-CA"/>
        </w:rPr>
        <w:t>’</w:t>
      </w:r>
      <w:r w:rsidRPr="00E739DA">
        <w:rPr>
          <w:rFonts w:cs="Times New Roman"/>
          <w:lang w:val="fr-CA"/>
        </w:rPr>
        <w:t>une ordonnance de distribution obligatoire.</w:t>
      </w:r>
    </w:p>
    <w:p w:rsidR="00CF01BF" w:rsidRPr="00CF01BF" w:rsidRDefault="005F030A" w:rsidP="00CF01BF">
      <w:pPr>
        <w:pStyle w:val="ParaNoNdepar-AltN"/>
        <w:spacing w:before="0"/>
        <w:rPr>
          <w:rFonts w:cs="Times New Roman"/>
          <w:lang w:val="fr-CA"/>
        </w:rPr>
      </w:pPr>
      <w:r w:rsidRPr="00E739DA">
        <w:rPr>
          <w:rFonts w:cs="Times New Roman"/>
          <w:lang w:val="fr-CA"/>
        </w:rPr>
        <w:t>Nous amorçons notre interprétation par l</w:t>
      </w:r>
      <w:r>
        <w:rPr>
          <w:rFonts w:cs="Times New Roman"/>
          <w:lang w:val="fr-CA"/>
        </w:rPr>
        <w:t>’</w:t>
      </w:r>
      <w:r w:rsidRPr="00E739DA">
        <w:rPr>
          <w:rFonts w:cs="Times New Roman"/>
          <w:lang w:val="fr-CA"/>
        </w:rPr>
        <w:t>examen du libellé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dont nous reproduisons ci</w:t>
      </w:r>
      <w:r w:rsidRPr="00E739DA">
        <w:rPr>
          <w:rFonts w:cs="Times New Roman"/>
          <w:lang w:val="fr-CA"/>
        </w:rPr>
        <w:noBreakHyphen/>
        <w:t>dessous les versions anglaise et française par souci de commodité :</w:t>
      </w:r>
    </w:p>
    <w:p w:rsidR="008A34E8" w:rsidRPr="00E739DA" w:rsidRDefault="008A34E8" w:rsidP="008A34E8">
      <w:pPr>
        <w:pStyle w:val="Citation-AltC"/>
        <w:spacing w:after="240"/>
        <w:ind w:left="1168" w:hanging="1166"/>
        <w:contextualSpacing w:val="0"/>
        <w:rPr>
          <w:lang w:val="fr-CA"/>
        </w:rPr>
      </w:pPr>
      <w:r w:rsidRPr="00E739DA">
        <w:rPr>
          <w:rStyle w:val="sectionlabel"/>
          <w:b/>
          <w:bCs/>
          <w:lang w:val="fr-CA"/>
        </w:rPr>
        <w:tab/>
        <w:t>9</w:t>
      </w:r>
      <w:r w:rsidRPr="00E739DA">
        <w:rPr>
          <w:lang w:val="fr-CA"/>
        </w:rPr>
        <w:t> </w:t>
      </w:r>
      <w:r w:rsidRPr="00E739DA">
        <w:rPr>
          <w:rStyle w:val="lawlabel"/>
          <w:rFonts w:eastAsiaTheme="minorEastAsia"/>
          <w:b/>
          <w:lang w:val="fr-CA"/>
        </w:rPr>
        <w:t>(1)</w:t>
      </w:r>
      <w:r w:rsidRPr="00E739DA">
        <w:rPr>
          <w:lang w:val="fr-CA"/>
        </w:rPr>
        <w:t> </w:t>
      </w:r>
      <w:r w:rsidRPr="00E739DA">
        <w:rPr>
          <w:lang w:val="fr-FR"/>
        </w:rPr>
        <w:t>Sous réserve des autres dispositions de la présente partie, le [CRTC] peut, dans l</w:t>
      </w:r>
      <w:r>
        <w:rPr>
          <w:lang w:val="fr-FR"/>
        </w:rPr>
        <w:t>’</w:t>
      </w:r>
      <w:r w:rsidRPr="00E739DA">
        <w:rPr>
          <w:lang w:val="fr-FR"/>
        </w:rPr>
        <w:t>exécution de sa mission :</w:t>
      </w:r>
    </w:p>
    <w:p w:rsidR="008A34E8" w:rsidRPr="00E739DA" w:rsidRDefault="008A34E8" w:rsidP="008A34E8">
      <w:pPr>
        <w:pStyle w:val="Citation-AltC"/>
        <w:spacing w:after="240"/>
        <w:ind w:left="1168" w:hanging="1168"/>
        <w:contextualSpacing w:val="0"/>
        <w:jc w:val="center"/>
        <w:rPr>
          <w:lang w:val="fr-CA"/>
        </w:rPr>
      </w:pPr>
      <w:r w:rsidRPr="00E739DA">
        <w:rPr>
          <w:rStyle w:val="sectionlabel"/>
          <w:bCs/>
          <w:lang w:val="fr-CA"/>
        </w:rPr>
        <w:tab/>
        <w:t>. . .</w:t>
      </w:r>
    </w:p>
    <w:p w:rsidR="008A34E8" w:rsidRPr="00E739DA" w:rsidRDefault="008A34E8" w:rsidP="008A34E8">
      <w:pPr>
        <w:pStyle w:val="Citation-AltC"/>
        <w:ind w:left="1620" w:hanging="1436"/>
        <w:contextualSpacing w:val="0"/>
        <w:rPr>
          <w:lang w:val="fr-CA"/>
        </w:rPr>
      </w:pPr>
      <w:r w:rsidRPr="00E739DA">
        <w:rPr>
          <w:rStyle w:val="lawlabel"/>
          <w:rFonts w:eastAsiaTheme="minorEastAsia"/>
          <w:lang w:val="fr-CA"/>
        </w:rPr>
        <w:tab/>
      </w:r>
      <w:r w:rsidRPr="00E739DA">
        <w:rPr>
          <w:rStyle w:val="lawlabel"/>
          <w:rFonts w:eastAsiaTheme="minorEastAsia"/>
          <w:b/>
          <w:lang w:val="fr-CA"/>
        </w:rPr>
        <w:t>h)</w:t>
      </w:r>
      <w:r w:rsidRPr="00E739DA">
        <w:rPr>
          <w:lang w:val="fr-CA"/>
        </w:rPr>
        <w:t> </w:t>
      </w:r>
      <w:r w:rsidRPr="00E739DA">
        <w:rPr>
          <w:lang w:val="fr-FR"/>
        </w:rPr>
        <w:t>obliger [les] titulaires [de licences d</w:t>
      </w:r>
      <w:r>
        <w:rPr>
          <w:lang w:val="fr-FR"/>
        </w:rPr>
        <w:t>’</w:t>
      </w:r>
      <w:r w:rsidRPr="00E739DA">
        <w:rPr>
          <w:lang w:val="fr-FR"/>
        </w:rPr>
        <w:t>exploitation d</w:t>
      </w:r>
      <w:r>
        <w:rPr>
          <w:lang w:val="fr-FR"/>
        </w:rPr>
        <w:t>’</w:t>
      </w:r>
      <w:r w:rsidRPr="00E739DA">
        <w:rPr>
          <w:lang w:val="fr-FR"/>
        </w:rPr>
        <w:t>entreprises de distribution] à offrir certains services de programmation selon les modalités qu</w:t>
      </w:r>
      <w:r>
        <w:rPr>
          <w:lang w:val="fr-FR"/>
        </w:rPr>
        <w:t>’</w:t>
      </w:r>
      <w:r w:rsidRPr="00E739DA">
        <w:rPr>
          <w:lang w:val="fr-FR"/>
        </w:rPr>
        <w:t>il précise</w:t>
      </w:r>
      <w:r w:rsidRPr="00E739DA">
        <w:rPr>
          <w:lang w:val="fr-CA"/>
        </w:rPr>
        <w:t>.</w:t>
      </w:r>
    </w:p>
    <w:p w:rsidR="008A34E8" w:rsidRPr="008A34E8" w:rsidRDefault="008A34E8" w:rsidP="003C66AE">
      <w:pPr>
        <w:pStyle w:val="Citation-AltC"/>
        <w:rPr>
          <w:rStyle w:val="sectionlabel"/>
          <w:b/>
          <w:bCs/>
          <w:lang w:val="fr-CA"/>
        </w:rPr>
      </w:pPr>
    </w:p>
    <w:p w:rsidR="003C66AE" w:rsidRPr="00964F39" w:rsidRDefault="003C66AE" w:rsidP="003C66AE">
      <w:pPr>
        <w:pStyle w:val="Citation-AltC"/>
      </w:pPr>
      <w:r w:rsidRPr="00964F39">
        <w:rPr>
          <w:rStyle w:val="sectionlabel"/>
          <w:b/>
          <w:bCs/>
        </w:rPr>
        <w:t>9</w:t>
      </w:r>
      <w:r w:rsidRPr="00964F39">
        <w:t> </w:t>
      </w:r>
      <w:r w:rsidRPr="00964F39">
        <w:rPr>
          <w:rStyle w:val="lawlabel"/>
          <w:rFonts w:eastAsiaTheme="minorEastAsia"/>
          <w:b/>
        </w:rPr>
        <w:t>(1)</w:t>
      </w:r>
      <w:r w:rsidRPr="00964F39">
        <w:t> Subject to this Part, the [CRTC] may, in furtherance of its objects,</w:t>
      </w:r>
    </w:p>
    <w:p w:rsidR="003C66AE" w:rsidRPr="00964F39" w:rsidRDefault="003C66AE" w:rsidP="003C66AE">
      <w:pPr>
        <w:pStyle w:val="Citation-AltC"/>
        <w:rPr>
          <w:rStyle w:val="sectionlabel"/>
          <w:b/>
          <w:bCs/>
        </w:rPr>
      </w:pPr>
    </w:p>
    <w:p w:rsidR="003C66AE" w:rsidRPr="00964F39" w:rsidRDefault="003C66AE" w:rsidP="003C66AE">
      <w:pPr>
        <w:pStyle w:val="Citation-AltC"/>
        <w:ind w:firstLine="274"/>
        <w:jc w:val="center"/>
      </w:pPr>
      <w:r w:rsidRPr="00964F39">
        <w:rPr>
          <w:rStyle w:val="sectionlabel"/>
          <w:bCs/>
        </w:rPr>
        <w:t>. . .</w:t>
      </w:r>
    </w:p>
    <w:p w:rsidR="003C66AE" w:rsidRPr="00964F39" w:rsidRDefault="003C66AE" w:rsidP="003C66AE">
      <w:pPr>
        <w:pStyle w:val="Citation-AltC"/>
        <w:rPr>
          <w:rStyle w:val="lawlabel"/>
          <w:rFonts w:eastAsiaTheme="minorEastAsia"/>
        </w:rPr>
      </w:pPr>
    </w:p>
    <w:p w:rsidR="003C66AE" w:rsidRPr="003C66AE" w:rsidRDefault="003C66AE" w:rsidP="003C66AE">
      <w:pPr>
        <w:pStyle w:val="Citation-AltC"/>
        <w:ind w:left="1530"/>
        <w:rPr>
          <w:lang w:val="en-US"/>
        </w:rPr>
      </w:pPr>
      <w:r w:rsidRPr="00964F39">
        <w:rPr>
          <w:rStyle w:val="lawlabel"/>
          <w:rFonts w:eastAsiaTheme="minorEastAsia"/>
          <w:b/>
        </w:rPr>
        <w:t>(h)</w:t>
      </w:r>
      <w:r w:rsidRPr="00964F39">
        <w:t> </w:t>
      </w:r>
      <w:proofErr w:type="gramStart"/>
      <w:r w:rsidRPr="00964F39">
        <w:t>require</w:t>
      </w:r>
      <w:proofErr w:type="gramEnd"/>
      <w:r w:rsidRPr="00964F39">
        <w:t xml:space="preserve"> any licensee who is authorized to carry on a distribution undertaking to carry, on such terms and conditions as the [CRTC] deems appropriate, programming services specified by the [CRTC].</w:t>
      </w:r>
    </w:p>
    <w:p w:rsidR="005F030A" w:rsidRPr="00E739DA" w:rsidRDefault="005F030A" w:rsidP="005F030A">
      <w:pPr>
        <w:pStyle w:val="ContinueParaSuitedupar-AltP"/>
        <w:rPr>
          <w:rFonts w:cs="Times New Roman"/>
          <w:lang w:val="fr-CA"/>
        </w:rPr>
      </w:pPr>
      <w:r w:rsidRPr="00E739DA">
        <w:rPr>
          <w:rFonts w:cs="Times New Roman"/>
          <w:lang w:val="fr-CA"/>
        </w:rPr>
        <w:lastRenderedPageBreak/>
        <w:t>Une considération extrêmement pertinente est le fait que, dans la version anglaise de la disposition, les mots « </w:t>
      </w:r>
      <w:r w:rsidRPr="00E739DA">
        <w:rPr>
          <w:rFonts w:cs="Times New Roman"/>
          <w:i/>
          <w:lang w:val="fr-CA"/>
        </w:rPr>
        <w:t xml:space="preserve">on </w:t>
      </w:r>
      <w:proofErr w:type="spellStart"/>
      <w:r w:rsidRPr="00E739DA">
        <w:rPr>
          <w:rFonts w:cs="Times New Roman"/>
          <w:i/>
          <w:lang w:val="fr-CA"/>
        </w:rPr>
        <w:t>such</w:t>
      </w:r>
      <w:proofErr w:type="spellEnd"/>
      <w:r w:rsidRPr="00E739DA">
        <w:rPr>
          <w:rFonts w:cs="Times New Roman"/>
          <w:i/>
          <w:lang w:val="fr-CA"/>
        </w:rPr>
        <w:t xml:space="preserve"> </w:t>
      </w:r>
      <w:proofErr w:type="spellStart"/>
      <w:r w:rsidRPr="00E739DA">
        <w:rPr>
          <w:rFonts w:cs="Times New Roman"/>
          <w:i/>
          <w:lang w:val="fr-CA"/>
        </w:rPr>
        <w:t>terms</w:t>
      </w:r>
      <w:proofErr w:type="spellEnd"/>
      <w:r w:rsidRPr="00E739DA">
        <w:rPr>
          <w:rFonts w:cs="Times New Roman"/>
          <w:i/>
          <w:lang w:val="fr-CA"/>
        </w:rPr>
        <w:t xml:space="preserve"> and conditions as the </w:t>
      </w:r>
      <w:r w:rsidRPr="00E739DA">
        <w:rPr>
          <w:rFonts w:cs="Times New Roman"/>
          <w:lang w:val="fr-CA"/>
        </w:rPr>
        <w:t>[CRTC]</w:t>
      </w:r>
      <w:r w:rsidRPr="00E739DA">
        <w:rPr>
          <w:rFonts w:cs="Times New Roman"/>
          <w:i/>
          <w:lang w:val="fr-CA"/>
        </w:rPr>
        <w:t xml:space="preserve"> </w:t>
      </w:r>
      <w:proofErr w:type="spellStart"/>
      <w:r w:rsidRPr="00E739DA">
        <w:rPr>
          <w:rFonts w:cs="Times New Roman"/>
          <w:i/>
          <w:lang w:val="fr-CA"/>
        </w:rPr>
        <w:t>deems</w:t>
      </w:r>
      <w:proofErr w:type="spellEnd"/>
      <w:r w:rsidRPr="00E739DA">
        <w:rPr>
          <w:rFonts w:cs="Times New Roman"/>
          <w:i/>
          <w:lang w:val="fr-CA"/>
        </w:rPr>
        <w:t xml:space="preserve"> </w:t>
      </w:r>
      <w:proofErr w:type="spellStart"/>
      <w:r w:rsidRPr="00E739DA">
        <w:rPr>
          <w:rFonts w:cs="Times New Roman"/>
          <w:i/>
          <w:lang w:val="fr-CA"/>
        </w:rPr>
        <w:t>appropriate</w:t>
      </w:r>
      <w:proofErr w:type="spellEnd"/>
      <w:r w:rsidRPr="00E739DA">
        <w:rPr>
          <w:rFonts w:cs="Times New Roman"/>
          <w:lang w:val="fr-CA"/>
        </w:rPr>
        <w:t> » sont intercalés, au moyen de virgules, entre les mots « </w:t>
      </w:r>
      <w:r w:rsidRPr="00E739DA">
        <w:rPr>
          <w:rFonts w:cs="Times New Roman"/>
          <w:i/>
          <w:lang w:val="fr-CA"/>
        </w:rPr>
        <w:t>carry</w:t>
      </w:r>
      <w:r w:rsidRPr="00E739DA">
        <w:rPr>
          <w:rFonts w:cs="Times New Roman"/>
          <w:lang w:val="fr-CA"/>
        </w:rPr>
        <w:t> » et « </w:t>
      </w:r>
      <w:proofErr w:type="spellStart"/>
      <w:r w:rsidRPr="00E739DA">
        <w:rPr>
          <w:rFonts w:cs="Times New Roman"/>
          <w:i/>
          <w:lang w:val="fr-CA"/>
        </w:rPr>
        <w:t>programming</w:t>
      </w:r>
      <w:proofErr w:type="spellEnd"/>
      <w:r w:rsidRPr="00E739DA">
        <w:rPr>
          <w:rFonts w:cs="Times New Roman"/>
          <w:i/>
          <w:lang w:val="fr-CA"/>
        </w:rPr>
        <w:t xml:space="preserve"> services</w:t>
      </w:r>
      <w:r w:rsidRPr="00E739DA">
        <w:rPr>
          <w:rFonts w:cs="Times New Roman"/>
          <w:lang w:val="fr-CA"/>
        </w:rPr>
        <w:t xml:space="preserve"> ». À notre avis, cela indique que le pouvoir </w:t>
      </w:r>
      <w:r w:rsidRPr="00E739DA">
        <w:rPr>
          <w:rFonts w:cs="Times New Roman"/>
          <w:i/>
          <w:lang w:val="fr-CA"/>
        </w:rPr>
        <w:t>principal</w:t>
      </w:r>
      <w:r w:rsidRPr="00E739DA">
        <w:rPr>
          <w:rFonts w:cs="Times New Roman"/>
          <w:lang w:val="fr-CA"/>
        </w:rPr>
        <w:t xml:space="preserve"> délégué au CRTC est le pouvoir d</w:t>
      </w:r>
      <w:r>
        <w:rPr>
          <w:rFonts w:cs="Times New Roman"/>
          <w:lang w:val="fr-CA"/>
        </w:rPr>
        <w:t>’</w:t>
      </w:r>
      <w:r w:rsidRPr="00E739DA">
        <w:rPr>
          <w:rFonts w:cs="Times New Roman"/>
          <w:lang w:val="fr-CA"/>
        </w:rPr>
        <w:t>obliger les fournisseurs de services de télévision à distribuer certains services de programmation</w:t>
      </w:r>
      <w:r w:rsidRPr="00E739DA">
        <w:rPr>
          <w:rFonts w:eastAsia="Times New Roman" w:cs="Times New Roman"/>
          <w:szCs w:val="24"/>
          <w:lang w:val="fr-CA" w:eastAsia="en-CA"/>
        </w:rPr>
        <w:t xml:space="preserve"> </w:t>
      </w:r>
      <w:r w:rsidRPr="00E739DA">
        <w:rPr>
          <w:rFonts w:cs="Times New Roman"/>
          <w:lang w:val="fr-CA"/>
        </w:rPr>
        <w:t>dans le cadre des services par câble ou par satellite qu</w:t>
      </w:r>
      <w:r>
        <w:rPr>
          <w:rFonts w:cs="Times New Roman"/>
          <w:lang w:val="fr-CA"/>
        </w:rPr>
        <w:t>’</w:t>
      </w:r>
      <w:r w:rsidRPr="00E739DA">
        <w:rPr>
          <w:rFonts w:cs="Times New Roman"/>
          <w:lang w:val="fr-CA"/>
        </w:rPr>
        <w:t xml:space="preserve">ils offrent, et que le pouvoir </w:t>
      </w:r>
      <w:r w:rsidRPr="00E739DA">
        <w:rPr>
          <w:rFonts w:cs="Times New Roman"/>
          <w:i/>
          <w:lang w:val="fr-CA"/>
        </w:rPr>
        <w:t>secondaire</w:t>
      </w:r>
      <w:r w:rsidRPr="00E739DA">
        <w:rPr>
          <w:rFonts w:cs="Times New Roman"/>
          <w:lang w:val="fr-CA"/>
        </w:rPr>
        <w:t xml:space="preserve"> est celui d</w:t>
      </w:r>
      <w:r>
        <w:rPr>
          <w:rFonts w:cs="Times New Roman"/>
          <w:lang w:val="fr-CA"/>
        </w:rPr>
        <w:t>’</w:t>
      </w:r>
      <w:r w:rsidRPr="00E739DA">
        <w:rPr>
          <w:rFonts w:cs="Times New Roman"/>
          <w:lang w:val="fr-CA"/>
        </w:rPr>
        <w:t>imposer certaines modalités à l</w:t>
      </w:r>
      <w:r>
        <w:rPr>
          <w:rFonts w:cs="Times New Roman"/>
          <w:lang w:val="fr-CA"/>
        </w:rPr>
        <w:t>’</w:t>
      </w:r>
      <w:r w:rsidRPr="00E739DA">
        <w:rPr>
          <w:rFonts w:cs="Times New Roman"/>
          <w:lang w:val="fr-CA"/>
        </w:rPr>
        <w:t>égard de telles ordonnances de distribution obligatoire.</w:t>
      </w:r>
    </w:p>
    <w:p w:rsidR="005F030A" w:rsidRPr="00E739DA" w:rsidRDefault="005F030A" w:rsidP="005F030A">
      <w:pPr>
        <w:pStyle w:val="ParaNoNdepar-AltN"/>
        <w:spacing w:before="0"/>
        <w:rPr>
          <w:rFonts w:cs="Times New Roman"/>
          <w:i/>
          <w:lang w:val="fr-CA"/>
        </w:rPr>
      </w:pPr>
      <w:r w:rsidRPr="00E739DA">
        <w:rPr>
          <w:rFonts w:cs="Times New Roman"/>
          <w:lang w:val="fr-CA"/>
        </w:rPr>
        <w:t xml:space="preserve">Cette interprétation trouve également appui dans le libellé de la version française. Les termes qui y sont employés envisagent un lien direct entre « les modalités » </w:t>
      </w:r>
      <w:r>
        <w:rPr>
          <w:rFonts w:cs="Times New Roman"/>
          <w:lang w:val="fr-CA"/>
        </w:rPr>
        <w:t>(</w:t>
      </w:r>
      <w:r w:rsidRPr="00B738B7">
        <w:rPr>
          <w:rFonts w:cs="Times New Roman"/>
          <w:i/>
          <w:lang w:val="fr-CA"/>
        </w:rPr>
        <w:t xml:space="preserve">the </w:t>
      </w:r>
      <w:proofErr w:type="spellStart"/>
      <w:r w:rsidRPr="00B738B7">
        <w:rPr>
          <w:rFonts w:cs="Times New Roman"/>
          <w:i/>
          <w:lang w:val="fr-CA"/>
        </w:rPr>
        <w:t>terms</w:t>
      </w:r>
      <w:proofErr w:type="spellEnd"/>
      <w:r w:rsidRPr="00B738B7">
        <w:rPr>
          <w:rFonts w:cs="Times New Roman"/>
          <w:i/>
          <w:lang w:val="fr-CA"/>
        </w:rPr>
        <w:t xml:space="preserve"> and conditions</w:t>
      </w:r>
      <w:r>
        <w:rPr>
          <w:rFonts w:cs="Times New Roman"/>
          <w:lang w:val="fr-CA"/>
        </w:rPr>
        <w:t xml:space="preserve">) </w:t>
      </w:r>
      <w:r w:rsidRPr="00E739DA">
        <w:rPr>
          <w:rFonts w:cs="Times New Roman"/>
          <w:lang w:val="fr-CA"/>
        </w:rPr>
        <w:t>et l</w:t>
      </w:r>
      <w:r>
        <w:rPr>
          <w:rFonts w:cs="Times New Roman"/>
          <w:lang w:val="fr-CA"/>
        </w:rPr>
        <w:t>’</w:t>
      </w:r>
      <w:r w:rsidRPr="00E739DA">
        <w:rPr>
          <w:rFonts w:cs="Times New Roman"/>
          <w:lang w:val="fr-CA"/>
        </w:rPr>
        <w:t>« </w:t>
      </w:r>
      <w:proofErr w:type="spellStart"/>
      <w:proofErr w:type="gramStart"/>
      <w:r w:rsidRPr="00E739DA">
        <w:rPr>
          <w:rFonts w:cs="Times New Roman"/>
          <w:lang w:val="fr-CA"/>
        </w:rPr>
        <w:t>oblig</w:t>
      </w:r>
      <w:proofErr w:type="spellEnd"/>
      <w:r w:rsidRPr="00E739DA">
        <w:rPr>
          <w:rFonts w:cs="Times New Roman"/>
          <w:lang w:val="fr-CA"/>
        </w:rPr>
        <w:t>[</w:t>
      </w:r>
      <w:proofErr w:type="spellStart"/>
      <w:proofErr w:type="gramEnd"/>
      <w:r w:rsidRPr="00E739DA">
        <w:rPr>
          <w:rFonts w:cs="Times New Roman"/>
          <w:lang w:val="fr-CA"/>
        </w:rPr>
        <w:t>ation</w:t>
      </w:r>
      <w:proofErr w:type="spellEnd"/>
      <w:r w:rsidRPr="00E739DA">
        <w:rPr>
          <w:rFonts w:cs="Times New Roman"/>
          <w:lang w:val="fr-CA"/>
        </w:rPr>
        <w:t>] [. . .] [d</w:t>
      </w:r>
      <w:r>
        <w:rPr>
          <w:rFonts w:cs="Times New Roman"/>
          <w:lang w:val="fr-CA"/>
        </w:rPr>
        <w:t>’</w:t>
      </w:r>
      <w:r w:rsidRPr="00E739DA">
        <w:rPr>
          <w:rFonts w:cs="Times New Roman"/>
          <w:lang w:val="fr-CA"/>
        </w:rPr>
        <w:t>]offrir [des] services de programmation »</w:t>
      </w:r>
      <w:r>
        <w:rPr>
          <w:rFonts w:cs="Times New Roman"/>
          <w:lang w:val="fr-CA"/>
        </w:rPr>
        <w:t xml:space="preserve"> (</w:t>
      </w:r>
      <w:r w:rsidRPr="00B738B7">
        <w:rPr>
          <w:rFonts w:cs="Times New Roman"/>
          <w:i/>
          <w:lang w:val="fr-CA"/>
        </w:rPr>
        <w:t xml:space="preserve">obligation to carry </w:t>
      </w:r>
      <w:proofErr w:type="spellStart"/>
      <w:r w:rsidRPr="00B738B7">
        <w:rPr>
          <w:rFonts w:cs="Times New Roman"/>
          <w:i/>
          <w:lang w:val="fr-CA"/>
        </w:rPr>
        <w:t>programming</w:t>
      </w:r>
      <w:proofErr w:type="spellEnd"/>
      <w:r w:rsidRPr="00B738B7">
        <w:rPr>
          <w:rFonts w:cs="Times New Roman"/>
          <w:i/>
          <w:lang w:val="fr-CA"/>
        </w:rPr>
        <w:t xml:space="preserve"> and services</w:t>
      </w:r>
      <w:r>
        <w:rPr>
          <w:rFonts w:cs="Times New Roman"/>
          <w:lang w:val="fr-CA"/>
        </w:rPr>
        <w:t>)</w:t>
      </w:r>
      <w:r w:rsidRPr="00E739DA">
        <w:rPr>
          <w:rFonts w:cs="Times New Roman"/>
          <w:lang w:val="fr-CA"/>
        </w:rPr>
        <w:t xml:space="preserve"> — et, de ce fait, militent encore davantage contre une interprétation de cette disposition qui conférerait au CRTC un pouvoir général d</w:t>
      </w:r>
      <w:r>
        <w:rPr>
          <w:rFonts w:cs="Times New Roman"/>
          <w:lang w:val="fr-CA"/>
        </w:rPr>
        <w:t>’</w:t>
      </w:r>
      <w:r w:rsidRPr="00E739DA">
        <w:rPr>
          <w:rFonts w:cs="Times New Roman"/>
          <w:lang w:val="fr-CA"/>
        </w:rPr>
        <w:t>imposer des conditions de distribution. Il n</w:t>
      </w:r>
      <w:r>
        <w:rPr>
          <w:rFonts w:cs="Times New Roman"/>
          <w:lang w:val="fr-CA"/>
        </w:rPr>
        <w:t>’</w:t>
      </w:r>
      <w:r w:rsidRPr="00E739DA">
        <w:rPr>
          <w:rFonts w:cs="Times New Roman"/>
          <w:lang w:val="fr-CA"/>
        </w:rPr>
        <w:t>existe d</w:t>
      </w:r>
      <w:r>
        <w:rPr>
          <w:rFonts w:cs="Times New Roman"/>
          <w:lang w:val="fr-CA"/>
        </w:rPr>
        <w:t>’</w:t>
      </w:r>
      <w:r w:rsidRPr="00E739DA">
        <w:rPr>
          <w:rFonts w:cs="Times New Roman"/>
          <w:lang w:val="fr-CA"/>
        </w:rPr>
        <w:t>ailleurs aucune contradiction entre les versions anglaise et française de cette disposition; elles indiquent toutes deux que celle</w:t>
      </w:r>
      <w:r w:rsidRPr="00E739DA">
        <w:rPr>
          <w:rFonts w:cs="Times New Roman"/>
          <w:lang w:val="fr-CA"/>
        </w:rPr>
        <w:noBreakHyphen/>
        <w:t>ci se limite à autoriser le CRTC à rendre des ordonnances de distribution obligatoire</w:t>
      </w:r>
      <w:r w:rsidRPr="00E739DA">
        <w:rPr>
          <w:rFonts w:eastAsia="Times New Roman" w:cs="Times New Roman"/>
          <w:szCs w:val="24"/>
          <w:lang w:val="fr-CA" w:eastAsia="en-CA"/>
        </w:rPr>
        <w:t xml:space="preserve"> </w:t>
      </w:r>
      <w:r w:rsidRPr="00E739DA">
        <w:rPr>
          <w:rFonts w:cs="Times New Roman"/>
          <w:lang w:val="fr-CA"/>
        </w:rPr>
        <w:t>selon les modalités qu</w:t>
      </w:r>
      <w:r>
        <w:rPr>
          <w:rFonts w:cs="Times New Roman"/>
          <w:lang w:val="fr-CA"/>
        </w:rPr>
        <w:t>’</w:t>
      </w:r>
      <w:r w:rsidRPr="00E739DA">
        <w:rPr>
          <w:rFonts w:cs="Times New Roman"/>
          <w:lang w:val="fr-CA"/>
        </w:rPr>
        <w:t>il précise.</w:t>
      </w:r>
    </w:p>
    <w:p w:rsidR="005F030A" w:rsidRPr="00E739DA" w:rsidRDefault="005F030A" w:rsidP="005F030A">
      <w:pPr>
        <w:pStyle w:val="ParaNoNdepar-AltN"/>
        <w:spacing w:before="0"/>
        <w:rPr>
          <w:rFonts w:cs="Times New Roman"/>
          <w:lang w:val="fr-CA"/>
        </w:rPr>
      </w:pPr>
      <w:r w:rsidRPr="00E739DA">
        <w:rPr>
          <w:rFonts w:cs="Times New Roman"/>
          <w:lang w:val="fr-CA"/>
        </w:rPr>
        <w:t>La Cour d</w:t>
      </w:r>
      <w:r>
        <w:rPr>
          <w:rFonts w:cs="Times New Roman"/>
          <w:lang w:val="fr-CA"/>
        </w:rPr>
        <w:t>’</w:t>
      </w:r>
      <w:r w:rsidRPr="00E739DA">
        <w:rPr>
          <w:rFonts w:cs="Times New Roman"/>
          <w:lang w:val="fr-CA"/>
        </w:rPr>
        <w:t>appel fédérale est arrivée à la même conclusion en ce qui concerne le sens ordinaire de cette disposition législative dans l</w:t>
      </w:r>
      <w:r>
        <w:rPr>
          <w:rFonts w:cs="Times New Roman"/>
          <w:lang w:val="fr-CA"/>
        </w:rPr>
        <w:t>’</w:t>
      </w:r>
      <w:r w:rsidRPr="00E739DA">
        <w:rPr>
          <w:rFonts w:cs="Times New Roman"/>
          <w:lang w:val="fr-CA"/>
        </w:rPr>
        <w:t xml:space="preserve">arrêt </w:t>
      </w:r>
      <w:r w:rsidRPr="00E739DA">
        <w:rPr>
          <w:rFonts w:cs="Times New Roman"/>
          <w:i/>
          <w:lang w:val="fr-CA"/>
        </w:rPr>
        <w:t>Bell Canada c. 7262591 Canada Ltd.</w:t>
      </w:r>
      <w:r w:rsidRPr="00E739DA">
        <w:rPr>
          <w:rFonts w:cs="Times New Roman"/>
          <w:lang w:val="fr-CA"/>
        </w:rPr>
        <w:t>, 2018 CAF 174. Dans cette affaire, il s</w:t>
      </w:r>
      <w:r>
        <w:rPr>
          <w:rFonts w:cs="Times New Roman"/>
          <w:lang w:val="fr-CA"/>
        </w:rPr>
        <w:t>’</w:t>
      </w:r>
      <w:r w:rsidRPr="00E739DA">
        <w:rPr>
          <w:rFonts w:cs="Times New Roman"/>
          <w:lang w:val="fr-CA"/>
        </w:rPr>
        <w:t>agissait de décider si le CRTC avait compétence, en vertu de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pour ordonner aux fournisseurs de services de télévision d</w:t>
      </w:r>
      <w:r>
        <w:rPr>
          <w:rFonts w:cs="Times New Roman"/>
          <w:lang w:val="fr-CA"/>
        </w:rPr>
        <w:t>’</w:t>
      </w:r>
      <w:r w:rsidRPr="00E739DA">
        <w:rPr>
          <w:rFonts w:cs="Times New Roman"/>
          <w:lang w:val="fr-CA"/>
        </w:rPr>
        <w:t xml:space="preserve">adhérer au « Code sur la vente en gros », une politique qui régit les </w:t>
      </w:r>
      <w:r>
        <w:rPr>
          <w:rFonts w:cs="Times New Roman"/>
          <w:lang w:val="fr-CA"/>
        </w:rPr>
        <w:t>« </w:t>
      </w:r>
      <w:r w:rsidRPr="00E739DA">
        <w:rPr>
          <w:rFonts w:cs="Times New Roman"/>
          <w:lang w:val="fr-CA"/>
        </w:rPr>
        <w:t>accords d</w:t>
      </w:r>
      <w:r>
        <w:rPr>
          <w:rFonts w:cs="Times New Roman"/>
          <w:lang w:val="fr-CA"/>
        </w:rPr>
        <w:t>’</w:t>
      </w:r>
      <w:r w:rsidRPr="00E739DA">
        <w:rPr>
          <w:rFonts w:cs="Times New Roman"/>
          <w:lang w:val="fr-CA"/>
        </w:rPr>
        <w:t>affiliation</w:t>
      </w:r>
      <w:r>
        <w:rPr>
          <w:rFonts w:cs="Times New Roman"/>
          <w:lang w:val="fr-CA"/>
        </w:rPr>
        <w:t> »</w:t>
      </w:r>
      <w:r w:rsidRPr="00E739DA">
        <w:rPr>
          <w:rFonts w:cs="Times New Roman"/>
          <w:lang w:val="fr-CA"/>
        </w:rPr>
        <w:t xml:space="preserve"> entre les stations de </w:t>
      </w:r>
      <w:r w:rsidRPr="00E739DA">
        <w:rPr>
          <w:rFonts w:cs="Times New Roman"/>
          <w:lang w:val="fr-CA"/>
        </w:rPr>
        <w:lastRenderedPageBreak/>
        <w:t>télévision et les fournisseurs de services. Répondant à cette question par la négative, l</w:t>
      </w:r>
      <w:r>
        <w:rPr>
          <w:rFonts w:cs="Times New Roman"/>
          <w:lang w:val="fr-CA"/>
        </w:rPr>
        <w:t>a</w:t>
      </w:r>
      <w:r w:rsidRPr="00E739DA">
        <w:rPr>
          <w:rFonts w:cs="Times New Roman"/>
          <w:lang w:val="fr-CA"/>
        </w:rPr>
        <w:t xml:space="preserve"> juge Woods a expliqué ce qui suit :</w:t>
      </w:r>
    </w:p>
    <w:p w:rsidR="005F030A" w:rsidRPr="00E739DA" w:rsidRDefault="005F030A" w:rsidP="005F030A">
      <w:pPr>
        <w:pStyle w:val="Citation-AltC"/>
        <w:tabs>
          <w:tab w:val="left" w:pos="1440"/>
        </w:tabs>
        <w:spacing w:after="240"/>
        <w:ind w:left="1170"/>
        <w:contextualSpacing w:val="0"/>
        <w:rPr>
          <w:lang w:val="fr-CA"/>
        </w:rPr>
      </w:pPr>
      <w:r w:rsidRPr="00E739DA">
        <w:rPr>
          <w:lang w:val="fr-CA"/>
        </w:rPr>
        <w:tab/>
      </w:r>
      <w:r w:rsidRPr="00E739DA">
        <w:rPr>
          <w:lang w:val="fr-FR"/>
        </w:rPr>
        <w:t>Selon ce texte, l</w:t>
      </w:r>
      <w:r>
        <w:rPr>
          <w:lang w:val="fr-FR"/>
        </w:rPr>
        <w:t>’</w:t>
      </w:r>
      <w:r w:rsidRPr="00E739DA">
        <w:rPr>
          <w:lang w:val="fr-FR"/>
        </w:rPr>
        <w:t>alinéa 9(1)h) confère au CRTC le pouvoir d</w:t>
      </w:r>
      <w:r>
        <w:rPr>
          <w:lang w:val="fr-FR"/>
        </w:rPr>
        <w:t>’</w:t>
      </w:r>
      <w:r w:rsidRPr="00E739DA">
        <w:rPr>
          <w:lang w:val="fr-FR"/>
        </w:rPr>
        <w:t>obliger le titulaire de licence à offrir certains services de programmation et, si c</w:t>
      </w:r>
      <w:r>
        <w:rPr>
          <w:lang w:val="fr-FR"/>
        </w:rPr>
        <w:t>’</w:t>
      </w:r>
      <w:r w:rsidRPr="00E739DA">
        <w:rPr>
          <w:lang w:val="fr-FR"/>
        </w:rPr>
        <w:t>est nécessaire, lui confère un pouvoir additionnel de rendre obligatoires les modalités et conditions relatives à la prestation de ces services qu</w:t>
      </w:r>
      <w:r>
        <w:rPr>
          <w:lang w:val="fr-FR"/>
        </w:rPr>
        <w:t>’</w:t>
      </w:r>
      <w:r w:rsidRPr="00E739DA">
        <w:rPr>
          <w:lang w:val="fr-FR"/>
        </w:rPr>
        <w:t>il estime appropriées</w:t>
      </w:r>
      <w:r w:rsidRPr="00E739DA">
        <w:rPr>
          <w:lang w:val="fr-CA"/>
        </w:rPr>
        <w:t>. . . </w:t>
      </w:r>
    </w:p>
    <w:p w:rsidR="005F030A" w:rsidRPr="00E739DA" w:rsidRDefault="005F030A" w:rsidP="005F030A">
      <w:pPr>
        <w:pStyle w:val="Citation-AltC"/>
        <w:contextualSpacing w:val="0"/>
        <w:rPr>
          <w:lang w:val="fr-CA"/>
        </w:rPr>
      </w:pPr>
      <w:r w:rsidRPr="00E739DA">
        <w:rPr>
          <w:lang w:val="fr-FR"/>
        </w:rPr>
        <w:tab/>
        <w:t>Vu son sens ordinaire, cette disposition n</w:t>
      </w:r>
      <w:r>
        <w:rPr>
          <w:lang w:val="fr-FR"/>
        </w:rPr>
        <w:t>’</w:t>
      </w:r>
      <w:r w:rsidRPr="00E739DA">
        <w:rPr>
          <w:lang w:val="fr-FR"/>
        </w:rPr>
        <w:t>inclut pas le pouvoir général de régir les modalités et conditions relatives à la prestation des services. Le CRTC ne peut que régir les modalités et conditions des services de programmation qu</w:t>
      </w:r>
      <w:r>
        <w:rPr>
          <w:lang w:val="fr-FR"/>
        </w:rPr>
        <w:t>’</w:t>
      </w:r>
      <w:r w:rsidRPr="00E739DA">
        <w:rPr>
          <w:lang w:val="fr-FR"/>
        </w:rPr>
        <w:t>il précise et que doivent assurer les titulaires</w:t>
      </w:r>
      <w:r w:rsidRPr="00E739DA">
        <w:rPr>
          <w:lang w:val="fr-CA"/>
        </w:rPr>
        <w:t>. [par. 168</w:t>
      </w:r>
      <w:r w:rsidRPr="00E739DA">
        <w:rPr>
          <w:lang w:val="fr-CA"/>
        </w:rPr>
        <w:noBreakHyphen/>
        <w:t>169]</w:t>
      </w:r>
    </w:p>
    <w:p w:rsidR="005F030A" w:rsidRPr="00E739DA" w:rsidRDefault="005F030A" w:rsidP="005F030A">
      <w:pPr>
        <w:pStyle w:val="ParaNoNdepar-AltN"/>
        <w:spacing w:before="0"/>
        <w:rPr>
          <w:rFonts w:cs="Times New Roman"/>
          <w:lang w:val="fr-CA"/>
        </w:rPr>
      </w:pPr>
      <w:r w:rsidRPr="00E739DA">
        <w:rPr>
          <w:rFonts w:cs="Times New Roman"/>
          <w:lang w:val="fr-CA"/>
        </w:rPr>
        <w:t>Le contexte entourant l</w:t>
      </w:r>
      <w:r>
        <w:rPr>
          <w:rFonts w:cs="Times New Roman"/>
          <w:lang w:val="fr-CA"/>
        </w:rPr>
        <w:t>’</w:t>
      </w:r>
      <w:r w:rsidRPr="00E739DA">
        <w:rPr>
          <w:rFonts w:cs="Times New Roman"/>
          <w:lang w:val="fr-CA"/>
        </w:rPr>
        <w:t>al. 9(1)h) appuie également notre point de vue sur la portée de celui</w:t>
      </w:r>
      <w:r w:rsidRPr="00E739DA">
        <w:rPr>
          <w:rFonts w:cs="Times New Roman"/>
          <w:lang w:val="fr-CA"/>
        </w:rPr>
        <w:noBreakHyphen/>
        <w:t>ci. Il importe de reconnaître que cette disposition particulière n</w:t>
      </w:r>
      <w:r>
        <w:rPr>
          <w:rFonts w:cs="Times New Roman"/>
          <w:lang w:val="fr-CA"/>
        </w:rPr>
        <w:t>’</w:t>
      </w:r>
      <w:r w:rsidRPr="00E739DA">
        <w:rPr>
          <w:rFonts w:cs="Times New Roman"/>
          <w:lang w:val="fr-CA"/>
        </w:rPr>
        <w:t>énonce que l</w:t>
      </w:r>
      <w:r>
        <w:rPr>
          <w:rFonts w:cs="Times New Roman"/>
          <w:lang w:val="fr-CA"/>
        </w:rPr>
        <w:t>’</w:t>
      </w:r>
      <w:r w:rsidRPr="00E739DA">
        <w:rPr>
          <w:rFonts w:cs="Times New Roman"/>
          <w:lang w:val="fr-CA"/>
        </w:rPr>
        <w:t>un des nombreux pouvoirs dont dispose le CRTC relativement à l</w:t>
      </w:r>
      <w:r>
        <w:rPr>
          <w:rFonts w:cs="Times New Roman"/>
          <w:lang w:val="fr-CA"/>
        </w:rPr>
        <w:t>’</w:t>
      </w:r>
      <w:r w:rsidRPr="00E739DA">
        <w:rPr>
          <w:rFonts w:cs="Times New Roman"/>
          <w:lang w:val="fr-CA"/>
        </w:rPr>
        <w:t>attribution de licences aux entreprises de radiodiffusion, en vertu de l</w:t>
      </w:r>
      <w:r>
        <w:rPr>
          <w:rFonts w:cs="Times New Roman"/>
          <w:lang w:val="fr-CA"/>
        </w:rPr>
        <w:t>’</w:t>
      </w:r>
      <w:r w:rsidRPr="00E739DA">
        <w:rPr>
          <w:rFonts w:cs="Times New Roman"/>
          <w:lang w:val="fr-CA"/>
        </w:rPr>
        <w:t xml:space="preserve">art. 9 de la </w:t>
      </w:r>
      <w:r w:rsidRPr="00E739DA">
        <w:rPr>
          <w:rFonts w:cs="Times New Roman"/>
          <w:i/>
          <w:lang w:val="fr-CA"/>
        </w:rPr>
        <w:t>Loi sur la radiodiffusion</w:t>
      </w:r>
      <w:r w:rsidRPr="00E739DA">
        <w:rPr>
          <w:rFonts w:cs="Times New Roman"/>
          <w:lang w:val="fr-CA"/>
        </w:rPr>
        <w:t>. Soulignons notamment le pouvoir énoncé à l</w:t>
      </w:r>
      <w:r>
        <w:rPr>
          <w:rFonts w:cs="Times New Roman"/>
          <w:lang w:val="fr-CA"/>
        </w:rPr>
        <w:t>’</w:t>
      </w:r>
      <w:r w:rsidRPr="00E739DA">
        <w:rPr>
          <w:rFonts w:cs="Times New Roman"/>
          <w:lang w:val="fr-CA"/>
        </w:rPr>
        <w:t>al. 9(1)b), qui permet au CRTC d</w:t>
      </w:r>
      <w:r>
        <w:rPr>
          <w:rFonts w:cs="Times New Roman"/>
          <w:lang w:val="fr-CA"/>
        </w:rPr>
        <w:t>’</w:t>
      </w:r>
      <w:r w:rsidRPr="00E739DA">
        <w:rPr>
          <w:rFonts w:cs="Times New Roman"/>
          <w:lang w:val="fr-CA"/>
        </w:rPr>
        <w:t>assortir ces licences des conditions qu</w:t>
      </w:r>
      <w:r>
        <w:rPr>
          <w:rFonts w:cs="Times New Roman"/>
          <w:lang w:val="fr-CA"/>
        </w:rPr>
        <w:t>’</w:t>
      </w:r>
      <w:r w:rsidRPr="00E739DA">
        <w:rPr>
          <w:rFonts w:cs="Times New Roman"/>
          <w:lang w:val="fr-CA"/>
        </w:rPr>
        <w:t>il estime indiquées pour la mise en œuvre de la politique canadienne de radiodiffusion, et celui prévu à l</w:t>
      </w:r>
      <w:r>
        <w:rPr>
          <w:rFonts w:cs="Times New Roman"/>
          <w:lang w:val="fr-CA"/>
        </w:rPr>
        <w:t>’</w:t>
      </w:r>
      <w:r w:rsidRPr="00E739DA">
        <w:rPr>
          <w:rFonts w:cs="Times New Roman"/>
          <w:lang w:val="fr-CA"/>
        </w:rPr>
        <w:t>al. 9(1)g), qui permet au CRTC d</w:t>
      </w:r>
      <w:r>
        <w:rPr>
          <w:rFonts w:cs="Times New Roman"/>
          <w:lang w:val="fr-CA"/>
        </w:rPr>
        <w:t>’</w:t>
      </w:r>
      <w:r w:rsidRPr="00E739DA">
        <w:rPr>
          <w:rFonts w:cs="Times New Roman"/>
          <w:lang w:val="fr-CA"/>
        </w:rPr>
        <w:t>« </w:t>
      </w:r>
      <w:r w:rsidRPr="00E739DA">
        <w:rPr>
          <w:rFonts w:cs="Times New Roman"/>
          <w:lang w:val="fr-FR"/>
        </w:rPr>
        <w:t>obliger les titulaires de licences d</w:t>
      </w:r>
      <w:r>
        <w:rPr>
          <w:rFonts w:cs="Times New Roman"/>
          <w:lang w:val="fr-FR"/>
        </w:rPr>
        <w:t>’</w:t>
      </w:r>
      <w:r w:rsidRPr="00E739DA">
        <w:rPr>
          <w:rFonts w:cs="Times New Roman"/>
          <w:lang w:val="fr-FR"/>
        </w:rPr>
        <w:t>exploitation d</w:t>
      </w:r>
      <w:r>
        <w:rPr>
          <w:rFonts w:cs="Times New Roman"/>
          <w:lang w:val="fr-FR"/>
        </w:rPr>
        <w:t>’</w:t>
      </w:r>
      <w:r w:rsidRPr="00E739DA">
        <w:rPr>
          <w:rFonts w:cs="Times New Roman"/>
          <w:lang w:val="fr-FR"/>
        </w:rPr>
        <w:t>entreprises de distribution à privilégier la fourniture de radiodiffusion</w:t>
      </w:r>
      <w:r w:rsidRPr="00E739DA">
        <w:rPr>
          <w:rFonts w:cs="Times New Roman"/>
          <w:lang w:val="fr-CA"/>
        </w:rPr>
        <w:t> ». L</w:t>
      </w:r>
      <w:r>
        <w:rPr>
          <w:rFonts w:cs="Times New Roman"/>
          <w:lang w:val="fr-CA"/>
        </w:rPr>
        <w:t>’</w:t>
      </w:r>
      <w:r w:rsidRPr="00E739DA">
        <w:rPr>
          <w:rFonts w:cs="Times New Roman"/>
          <w:lang w:val="fr-CA"/>
        </w:rPr>
        <w:t xml:space="preserve">existence de ces pouvoirs </w:t>
      </w:r>
      <w:r w:rsidRPr="00E739DA">
        <w:rPr>
          <w:rFonts w:cs="Times New Roman"/>
          <w:i/>
          <w:lang w:val="fr-CA"/>
        </w:rPr>
        <w:t>particuliers</w:t>
      </w:r>
      <w:r w:rsidRPr="00E739DA">
        <w:rPr>
          <w:rFonts w:cs="Times New Roman"/>
          <w:lang w:val="fr-CA"/>
        </w:rPr>
        <w:t xml:space="preserve"> milite contre une interprétation de l</w:t>
      </w:r>
      <w:r>
        <w:rPr>
          <w:rFonts w:cs="Times New Roman"/>
          <w:lang w:val="fr-CA"/>
        </w:rPr>
        <w:t>’</w:t>
      </w:r>
      <w:r w:rsidRPr="00E739DA">
        <w:rPr>
          <w:rFonts w:cs="Times New Roman"/>
          <w:lang w:val="fr-CA"/>
        </w:rPr>
        <w:t xml:space="preserve">al. 9(1)h) qui conférerait au CRTC un pouvoir </w:t>
      </w:r>
      <w:r w:rsidRPr="00E739DA">
        <w:rPr>
          <w:rFonts w:cs="Times New Roman"/>
          <w:i/>
          <w:lang w:val="fr-CA"/>
        </w:rPr>
        <w:t xml:space="preserve">général </w:t>
      </w:r>
      <w:r w:rsidRPr="00E739DA">
        <w:rPr>
          <w:rFonts w:cs="Times New Roman"/>
          <w:lang w:val="fr-CA"/>
        </w:rPr>
        <w:t>d</w:t>
      </w:r>
      <w:r>
        <w:rPr>
          <w:rFonts w:cs="Times New Roman"/>
          <w:lang w:val="fr-CA"/>
        </w:rPr>
        <w:t>’</w:t>
      </w:r>
      <w:r w:rsidRPr="00E739DA">
        <w:rPr>
          <w:rFonts w:cs="Times New Roman"/>
          <w:lang w:val="fr-CA"/>
        </w:rPr>
        <w:t>imposer des conditions à l</w:t>
      </w:r>
      <w:r>
        <w:rPr>
          <w:rFonts w:cs="Times New Roman"/>
          <w:lang w:val="fr-CA"/>
        </w:rPr>
        <w:t>’</w:t>
      </w:r>
      <w:r w:rsidRPr="00E739DA">
        <w:rPr>
          <w:rFonts w:cs="Times New Roman"/>
          <w:lang w:val="fr-CA"/>
        </w:rPr>
        <w:t>égard de toute distribution de services de programmation.</w:t>
      </w:r>
    </w:p>
    <w:p w:rsidR="005F030A" w:rsidRPr="00E739DA" w:rsidRDefault="005F030A" w:rsidP="005F030A">
      <w:pPr>
        <w:pStyle w:val="ParaNoNdepar-AltN"/>
        <w:spacing w:before="0"/>
        <w:rPr>
          <w:rFonts w:cs="Times New Roman"/>
          <w:lang w:val="fr-CA"/>
        </w:rPr>
      </w:pPr>
      <w:r w:rsidRPr="00E739DA">
        <w:rPr>
          <w:rFonts w:cs="Times New Roman"/>
          <w:lang w:val="fr-CA"/>
        </w:rPr>
        <w:t>De plus, l</w:t>
      </w:r>
      <w:r>
        <w:rPr>
          <w:rFonts w:cs="Times New Roman"/>
          <w:lang w:val="fr-CA"/>
        </w:rPr>
        <w:t>’</w:t>
      </w:r>
      <w:r w:rsidRPr="00E739DA">
        <w:rPr>
          <w:rFonts w:cs="Times New Roman"/>
          <w:lang w:val="fr-CA"/>
        </w:rPr>
        <w:t>art</w:t>
      </w:r>
      <w:r w:rsidR="001B36D3">
        <w:rPr>
          <w:rFonts w:cs="Times New Roman"/>
          <w:lang w:val="fr-CA"/>
        </w:rPr>
        <w:t>.</w:t>
      </w:r>
      <w:r w:rsidRPr="00E739DA">
        <w:rPr>
          <w:rFonts w:cs="Times New Roman"/>
          <w:lang w:val="fr-CA"/>
        </w:rPr>
        <w:t xml:space="preserve"> 10 de la </w:t>
      </w:r>
      <w:r w:rsidRPr="00E739DA">
        <w:rPr>
          <w:rFonts w:cs="Times New Roman"/>
          <w:i/>
          <w:lang w:val="fr-CA"/>
        </w:rPr>
        <w:t>Loi sur la radiodiffusion</w:t>
      </w:r>
      <w:r w:rsidRPr="00E739DA">
        <w:rPr>
          <w:rFonts w:cs="Times New Roman"/>
          <w:lang w:val="fr-CA"/>
        </w:rPr>
        <w:t xml:space="preserve"> confère au CRTC le pouvoir de prendre des règlements portant sur divers aspects du système de radiodiffusion, notamment : « </w:t>
      </w:r>
      <w:r w:rsidRPr="00E739DA">
        <w:rPr>
          <w:rFonts w:cs="Times New Roman"/>
          <w:lang w:val="fr-FR"/>
        </w:rPr>
        <w:t>les normes des émissions et l</w:t>
      </w:r>
      <w:r>
        <w:rPr>
          <w:rFonts w:cs="Times New Roman"/>
          <w:lang w:val="fr-FR"/>
        </w:rPr>
        <w:t>’</w:t>
      </w:r>
      <w:r w:rsidRPr="00E739DA">
        <w:rPr>
          <w:rFonts w:cs="Times New Roman"/>
          <w:lang w:val="fr-FR"/>
        </w:rPr>
        <w:t xml:space="preserve">attribution du temps </w:t>
      </w:r>
      <w:r w:rsidRPr="00E739DA">
        <w:rPr>
          <w:rFonts w:cs="Times New Roman"/>
          <w:lang w:val="fr-FR"/>
        </w:rPr>
        <w:lastRenderedPageBreak/>
        <w:t>d</w:t>
      </w:r>
      <w:r>
        <w:rPr>
          <w:rFonts w:cs="Times New Roman"/>
          <w:lang w:val="fr-FR"/>
        </w:rPr>
        <w:t>’</w:t>
      </w:r>
      <w:r w:rsidRPr="00E739DA">
        <w:rPr>
          <w:rFonts w:cs="Times New Roman"/>
          <w:lang w:val="fr-FR"/>
        </w:rPr>
        <w:t>antenne pour mettre en œuvre la politique canadienne de radiodiffusion</w:t>
      </w:r>
      <w:r w:rsidRPr="00E739DA">
        <w:rPr>
          <w:rFonts w:cs="Times New Roman"/>
          <w:lang w:val="fr-CA"/>
        </w:rPr>
        <w:t> » (al. 10(1)c)); « </w:t>
      </w:r>
      <w:r w:rsidRPr="00E739DA">
        <w:rPr>
          <w:rFonts w:cs="Times New Roman"/>
          <w:lang w:val="fr-FR"/>
        </w:rPr>
        <w:t>la fourniture de services de programmation — même étrangers — par les entreprises de distribution</w:t>
      </w:r>
      <w:r w:rsidRPr="00E739DA">
        <w:rPr>
          <w:rFonts w:cs="Times New Roman"/>
          <w:lang w:val="fr-CA"/>
        </w:rPr>
        <w:t> » (al. 10(1)g)); et « </w:t>
      </w:r>
      <w:r w:rsidRPr="00E739DA">
        <w:rPr>
          <w:rFonts w:cs="Times New Roman"/>
          <w:lang w:val="fr-FR"/>
        </w:rPr>
        <w:t>toute autre mesure qu</w:t>
      </w:r>
      <w:r>
        <w:rPr>
          <w:rFonts w:cs="Times New Roman"/>
          <w:lang w:val="fr-FR"/>
        </w:rPr>
        <w:t>’</w:t>
      </w:r>
      <w:r w:rsidRPr="00E739DA">
        <w:rPr>
          <w:rFonts w:cs="Times New Roman"/>
          <w:lang w:val="fr-FR"/>
        </w:rPr>
        <w:t>il estime nécessaire à l</w:t>
      </w:r>
      <w:r>
        <w:rPr>
          <w:rFonts w:cs="Times New Roman"/>
          <w:lang w:val="fr-FR"/>
        </w:rPr>
        <w:t>’</w:t>
      </w:r>
      <w:r w:rsidRPr="00E739DA">
        <w:rPr>
          <w:rFonts w:cs="Times New Roman"/>
          <w:lang w:val="fr-FR"/>
        </w:rPr>
        <w:t>exécution de sa mission</w:t>
      </w:r>
      <w:r w:rsidRPr="00E739DA">
        <w:rPr>
          <w:rFonts w:cs="Times New Roman"/>
          <w:lang w:val="fr-CA"/>
        </w:rPr>
        <w:t> » (al. 10(1)k)). Là encore, l</w:t>
      </w:r>
      <w:r>
        <w:rPr>
          <w:rFonts w:cs="Times New Roman"/>
          <w:lang w:val="fr-CA"/>
        </w:rPr>
        <w:t>’</w:t>
      </w:r>
      <w:r w:rsidRPr="00E739DA">
        <w:rPr>
          <w:rFonts w:cs="Times New Roman"/>
          <w:lang w:val="fr-CA"/>
        </w:rPr>
        <w:t xml:space="preserve">étendue des pouvoirs que confère au CRTC cette disposition de la </w:t>
      </w:r>
      <w:r w:rsidRPr="00E739DA">
        <w:rPr>
          <w:rFonts w:cs="Times New Roman"/>
          <w:i/>
          <w:lang w:val="fr-CA"/>
        </w:rPr>
        <w:t>Loi sur la radiodiffusion</w:t>
      </w:r>
      <w:r w:rsidRPr="00E739DA">
        <w:rPr>
          <w:rFonts w:cs="Times New Roman"/>
          <w:lang w:val="fr-CA"/>
        </w:rPr>
        <w:t xml:space="preserve"> indique qu</w:t>
      </w:r>
      <w:r>
        <w:rPr>
          <w:rFonts w:cs="Times New Roman"/>
          <w:lang w:val="fr-CA"/>
        </w:rPr>
        <w:t>’</w:t>
      </w:r>
      <w:r w:rsidRPr="00E739DA">
        <w:rPr>
          <w:rFonts w:cs="Times New Roman"/>
          <w:lang w:val="fr-CA"/>
        </w:rPr>
        <w:t>une interprétation restrictive de l</w:t>
      </w:r>
      <w:r>
        <w:rPr>
          <w:rFonts w:cs="Times New Roman"/>
          <w:lang w:val="fr-CA"/>
        </w:rPr>
        <w:t>’</w:t>
      </w:r>
      <w:r w:rsidRPr="00E739DA">
        <w:rPr>
          <w:rFonts w:cs="Times New Roman"/>
          <w:lang w:val="fr-CA"/>
        </w:rPr>
        <w:t>al. 9(1)</w:t>
      </w:r>
      <w:r w:rsidRPr="00E739DA">
        <w:rPr>
          <w:rFonts w:cs="Times New Roman"/>
          <w:i/>
          <w:lang w:val="fr-CA"/>
        </w:rPr>
        <w:t>h</w:t>
      </w:r>
      <w:r w:rsidRPr="00E739DA">
        <w:rPr>
          <w:rFonts w:cs="Times New Roman"/>
          <w:lang w:val="fr-CA"/>
        </w:rPr>
        <w:t>) n</w:t>
      </w:r>
      <w:r>
        <w:rPr>
          <w:rFonts w:cs="Times New Roman"/>
          <w:lang w:val="fr-CA"/>
        </w:rPr>
        <w:t>’</w:t>
      </w:r>
      <w:r w:rsidRPr="00E739DA">
        <w:rPr>
          <w:rFonts w:cs="Times New Roman"/>
          <w:lang w:val="fr-CA"/>
        </w:rPr>
        <w:t>entravera pas les efforts déployés par cet organisme pour réglementer l</w:t>
      </w:r>
      <w:r>
        <w:rPr>
          <w:rFonts w:cs="Times New Roman"/>
          <w:lang w:val="fr-CA"/>
        </w:rPr>
        <w:t>’</w:t>
      </w:r>
      <w:r w:rsidRPr="00E739DA">
        <w:rPr>
          <w:rFonts w:cs="Times New Roman"/>
          <w:lang w:val="fr-CA"/>
        </w:rPr>
        <w:t xml:space="preserve">industrie de la radiodiffusion conformément aux objectifs énumérés au </w:t>
      </w:r>
      <w:proofErr w:type="spellStart"/>
      <w:r w:rsidRPr="00E739DA">
        <w:rPr>
          <w:rFonts w:cs="Times New Roman"/>
          <w:lang w:val="fr-CA"/>
        </w:rPr>
        <w:t>par</w:t>
      </w:r>
      <w:proofErr w:type="spellEnd"/>
      <w:r w:rsidRPr="00E739DA">
        <w:rPr>
          <w:rFonts w:cs="Times New Roman"/>
          <w:lang w:val="fr-CA"/>
        </w:rPr>
        <w:t>. 3(1).</w:t>
      </w:r>
    </w:p>
    <w:p w:rsidR="005F030A" w:rsidRPr="00E739DA" w:rsidRDefault="005F030A" w:rsidP="005F030A">
      <w:pPr>
        <w:pStyle w:val="ParaNoNdepar-AltN"/>
        <w:spacing w:before="0"/>
        <w:rPr>
          <w:rFonts w:cs="Times New Roman"/>
          <w:lang w:val="fr-CA"/>
        </w:rPr>
      </w:pPr>
      <w:r w:rsidRPr="00E739DA">
        <w:rPr>
          <w:rFonts w:cs="Times New Roman"/>
          <w:lang w:val="fr-CA"/>
        </w:rPr>
        <w:t>Le</w:t>
      </w:r>
      <w:r w:rsidRPr="00E739DA">
        <w:rPr>
          <w:rFonts w:cs="Times New Roman"/>
          <w:i/>
          <w:lang w:val="fr-CA"/>
        </w:rPr>
        <w:t xml:space="preserve"> Règlement sur la distribution </w:t>
      </w:r>
      <w:r w:rsidRPr="00E739DA">
        <w:rPr>
          <w:rFonts w:cs="Times New Roman"/>
          <w:lang w:val="fr-CA"/>
        </w:rPr>
        <w:t>mentionne également, à plusieurs endroits, les « </w:t>
      </w:r>
      <w:r w:rsidRPr="00E739DA">
        <w:rPr>
          <w:rFonts w:cs="Times New Roman"/>
          <w:lang w:val="fr-FR"/>
        </w:rPr>
        <w:t>services de programmation d</w:t>
      </w:r>
      <w:r>
        <w:rPr>
          <w:rFonts w:cs="Times New Roman"/>
          <w:lang w:val="fr-FR"/>
        </w:rPr>
        <w:t>’</w:t>
      </w:r>
      <w:r w:rsidRPr="00E739DA">
        <w:rPr>
          <w:rFonts w:cs="Times New Roman"/>
          <w:lang w:val="fr-FR"/>
        </w:rPr>
        <w:t>une entreprise de programmation dont la distribution dans le cadre du service de base [d</w:t>
      </w:r>
      <w:r>
        <w:rPr>
          <w:rFonts w:cs="Times New Roman"/>
          <w:lang w:val="fr-FR"/>
        </w:rPr>
        <w:t>’</w:t>
      </w:r>
      <w:r w:rsidRPr="00E739DA">
        <w:rPr>
          <w:rFonts w:cs="Times New Roman"/>
          <w:lang w:val="fr-FR"/>
        </w:rPr>
        <w:t>un fournisseur de services de télévision] est rendue obligatoire par le [CRTC] en application de l</w:t>
      </w:r>
      <w:r>
        <w:rPr>
          <w:rFonts w:cs="Times New Roman"/>
          <w:lang w:val="fr-FR"/>
        </w:rPr>
        <w:t>’</w:t>
      </w:r>
      <w:r w:rsidRPr="00E739DA">
        <w:rPr>
          <w:rFonts w:cs="Times New Roman"/>
          <w:lang w:val="fr-FR"/>
        </w:rPr>
        <w:t>alinéa 9(1)h) de la Loi</w:t>
      </w:r>
      <w:r w:rsidRPr="00E739DA">
        <w:rPr>
          <w:rFonts w:cs="Times New Roman"/>
          <w:lang w:val="fr-CA"/>
        </w:rPr>
        <w:t> » (al. 17(1</w:t>
      </w:r>
      <w:proofErr w:type="gramStart"/>
      <w:r w:rsidRPr="00E739DA">
        <w:rPr>
          <w:rFonts w:cs="Times New Roman"/>
          <w:lang w:val="fr-CA"/>
        </w:rPr>
        <w:t>)g</w:t>
      </w:r>
      <w:proofErr w:type="gramEnd"/>
      <w:r w:rsidRPr="00E739DA">
        <w:rPr>
          <w:rFonts w:cs="Times New Roman"/>
          <w:lang w:val="fr-CA"/>
        </w:rPr>
        <w:t>), 41(1)b) et 46(3)b)); voir également les al. 18(3)a), 19(2)d) et 47(2</w:t>
      </w:r>
      <w:proofErr w:type="gramStart"/>
      <w:r w:rsidRPr="00E739DA">
        <w:rPr>
          <w:rFonts w:cs="Times New Roman"/>
          <w:lang w:val="fr-CA"/>
        </w:rPr>
        <w:t>)a.1</w:t>
      </w:r>
      <w:proofErr w:type="gramEnd"/>
      <w:r w:rsidRPr="00E739DA">
        <w:rPr>
          <w:rFonts w:cs="Times New Roman"/>
          <w:lang w:val="fr-CA"/>
        </w:rPr>
        <w:t>), ainsi que le sous</w:t>
      </w:r>
      <w:r w:rsidRPr="00E739DA">
        <w:rPr>
          <w:rFonts w:cs="Times New Roman"/>
          <w:lang w:val="fr-CA"/>
        </w:rPr>
        <w:noBreakHyphen/>
        <w:t>al. 49(2)a)(i)). Ces dispositions réglementaires fournissent</w:t>
      </w:r>
      <w:r w:rsidR="00BF76C5">
        <w:rPr>
          <w:rFonts w:cs="Times New Roman"/>
          <w:lang w:val="fr-CA"/>
        </w:rPr>
        <w:t>-</w:t>
      </w:r>
      <w:r w:rsidRPr="00E739DA">
        <w:rPr>
          <w:rFonts w:cs="Times New Roman"/>
          <w:lang w:val="fr-CA"/>
        </w:rPr>
        <w:t>elles aussi un autre élément contextuel indiquant que le pouvoir prévu à l</w:t>
      </w:r>
      <w:r>
        <w:rPr>
          <w:rFonts w:cs="Times New Roman"/>
          <w:lang w:val="fr-CA"/>
        </w:rPr>
        <w:t>’</w:t>
      </w:r>
      <w:r w:rsidRPr="00E739DA">
        <w:rPr>
          <w:rFonts w:cs="Times New Roman"/>
          <w:lang w:val="fr-CA"/>
        </w:rPr>
        <w:t>al. 9(1)h) vise uniquement les ordonnances de distribution obligatoire rendues selon des modalités précisées.</w:t>
      </w:r>
    </w:p>
    <w:p w:rsidR="005F030A" w:rsidRPr="00E739DA" w:rsidRDefault="005F030A" w:rsidP="005F030A">
      <w:pPr>
        <w:pStyle w:val="ParaNoNdepar-AltN"/>
        <w:spacing w:before="0"/>
        <w:rPr>
          <w:rFonts w:cs="Times New Roman"/>
          <w:lang w:val="fr-CA"/>
        </w:rPr>
      </w:pPr>
      <w:r w:rsidRPr="00E739DA">
        <w:rPr>
          <w:rFonts w:cs="Times New Roman"/>
          <w:lang w:val="fr-CA"/>
        </w:rPr>
        <w:t>Enfin, l</w:t>
      </w:r>
      <w:r>
        <w:rPr>
          <w:rFonts w:cs="Times New Roman"/>
          <w:lang w:val="fr-CA"/>
        </w:rPr>
        <w:t>’</w:t>
      </w:r>
      <w:r w:rsidRPr="00E739DA">
        <w:rPr>
          <w:rFonts w:cs="Times New Roman"/>
          <w:lang w:val="fr-CA"/>
        </w:rPr>
        <w:t>objet pour lequel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xml:space="preserve"> a été édicté confirme cette interprétation. Comme l</w:t>
      </w:r>
      <w:r>
        <w:rPr>
          <w:rFonts w:cs="Times New Roman"/>
          <w:lang w:val="fr-CA"/>
        </w:rPr>
        <w:t>’</w:t>
      </w:r>
      <w:r w:rsidRPr="00E739DA">
        <w:rPr>
          <w:rFonts w:cs="Times New Roman"/>
          <w:lang w:val="fr-CA"/>
        </w:rPr>
        <w:t xml:space="preserve">expliquent les auteurs du document </w:t>
      </w:r>
      <w:r w:rsidRPr="00E739DA">
        <w:rPr>
          <w:rFonts w:cs="Times New Roman"/>
          <w:i/>
          <w:lang w:val="fr-CA"/>
        </w:rPr>
        <w:t>Révision du cadre réglementaire des services de radiodiffusion au Canada</w:t>
      </w:r>
      <w:r w:rsidRPr="00E739DA">
        <w:rPr>
          <w:rFonts w:cs="Times New Roman"/>
          <w:lang w:val="fr-CA"/>
        </w:rPr>
        <w:t> :</w:t>
      </w:r>
    </w:p>
    <w:p w:rsidR="005F030A" w:rsidRPr="00E739DA" w:rsidRDefault="005F030A" w:rsidP="005F030A">
      <w:pPr>
        <w:pStyle w:val="Citation-AltC"/>
        <w:spacing w:after="240"/>
        <w:ind w:left="1168" w:hanging="1168"/>
        <w:contextualSpacing w:val="0"/>
        <w:rPr>
          <w:lang w:val="fr-CA"/>
        </w:rPr>
      </w:pPr>
      <w:r w:rsidRPr="00E739DA">
        <w:rPr>
          <w:lang w:val="fr-CA"/>
        </w:rPr>
        <w:tab/>
        <w:t>L</w:t>
      </w:r>
      <w:r>
        <w:rPr>
          <w:lang w:val="fr-CA"/>
        </w:rPr>
        <w:t>’</w:t>
      </w:r>
      <w:r w:rsidRPr="00E739DA">
        <w:rPr>
          <w:lang w:val="fr-CA"/>
        </w:rPr>
        <w:t>alinéa 9(1)</w:t>
      </w:r>
      <w:r w:rsidRPr="00E739DA">
        <w:rPr>
          <w:i/>
          <w:iCs/>
          <w:lang w:val="fr-CA"/>
        </w:rPr>
        <w:t>h</w:t>
      </w:r>
      <w:r w:rsidRPr="00E739DA">
        <w:rPr>
          <w:lang w:val="fr-CA"/>
        </w:rPr>
        <w:t xml:space="preserve">) est un outil important qui permet au Conseil de garantir la distribution de services canadiens importants que les forces du marché ne suffiraient pas à assurer dans certaines régions du Canada. Grâce à cette importante prérogative, le système canadien de radiodiffusion contribue à </w:t>
      </w:r>
      <w:r w:rsidRPr="00E739DA">
        <w:rPr>
          <w:lang w:val="fr-CA"/>
        </w:rPr>
        <w:lastRenderedPageBreak/>
        <w:t>renforcer et enrichir le tissu culturel, politique, social et économique du Canada.</w:t>
      </w:r>
    </w:p>
    <w:p w:rsidR="005F030A" w:rsidRPr="00E739DA" w:rsidRDefault="005F030A" w:rsidP="001B36D3">
      <w:pPr>
        <w:pStyle w:val="Citation-AltC"/>
        <w:ind w:left="0" w:hanging="90"/>
        <w:rPr>
          <w:lang w:val="fr-CA"/>
        </w:rPr>
      </w:pPr>
      <w:r w:rsidRPr="00E739DA">
        <w:rPr>
          <w:lang w:val="fr-CA"/>
        </w:rPr>
        <w:tab/>
        <w:t xml:space="preserve">(L. J. E. Dunbar et C. Leblanc, </w:t>
      </w:r>
      <w:r w:rsidRPr="00E739DA">
        <w:rPr>
          <w:i/>
          <w:lang w:val="fr-CA"/>
        </w:rPr>
        <w:t>Révision du cadre réglementaire des services de radiodiffusion au Canada — Rapport final</w:t>
      </w:r>
      <w:r w:rsidRPr="00E739DA">
        <w:rPr>
          <w:lang w:val="fr-CA"/>
        </w:rPr>
        <w:t xml:space="preserve"> (2007), p. 154)</w:t>
      </w:r>
    </w:p>
    <w:p w:rsidR="005F030A" w:rsidRPr="00E739DA" w:rsidRDefault="005F030A" w:rsidP="005F030A">
      <w:pPr>
        <w:pStyle w:val="ParaNoNdepar-AltN"/>
        <w:spacing w:before="0"/>
        <w:rPr>
          <w:rFonts w:cs="Times New Roman"/>
          <w:lang w:val="fr-CA"/>
        </w:rPr>
      </w:pPr>
      <w:r w:rsidRPr="00E739DA">
        <w:rPr>
          <w:rFonts w:cs="Times New Roman"/>
          <w:lang w:val="fr-CA"/>
        </w:rPr>
        <w:t>Le pouvoir de rendre obligatoire la distribution de certains services de programmation constitue donc un outil utile — parmi bien d</w:t>
      </w:r>
      <w:r>
        <w:rPr>
          <w:rFonts w:cs="Times New Roman"/>
          <w:lang w:val="fr-CA"/>
        </w:rPr>
        <w:t>’</w:t>
      </w:r>
      <w:r w:rsidRPr="00E739DA">
        <w:rPr>
          <w:rFonts w:cs="Times New Roman"/>
          <w:lang w:val="fr-CA"/>
        </w:rPr>
        <w:t>autres — que peut utiliser le CRTC pour réaliser les divers objectifs de politique générale énumérés à l</w:t>
      </w:r>
      <w:r>
        <w:rPr>
          <w:rFonts w:cs="Times New Roman"/>
          <w:lang w:val="fr-CA"/>
        </w:rPr>
        <w:t>’</w:t>
      </w:r>
      <w:r w:rsidRPr="00E739DA">
        <w:rPr>
          <w:rFonts w:cs="Times New Roman"/>
          <w:lang w:val="fr-CA"/>
        </w:rPr>
        <w:t xml:space="preserve">art. 3 de la </w:t>
      </w:r>
      <w:r w:rsidRPr="00E739DA">
        <w:rPr>
          <w:rFonts w:cs="Times New Roman"/>
          <w:i/>
          <w:lang w:val="fr-CA"/>
        </w:rPr>
        <w:t>Loi sur la radiodiffusion</w:t>
      </w:r>
      <w:r w:rsidRPr="00E739DA">
        <w:rPr>
          <w:rFonts w:cs="Times New Roman"/>
          <w:lang w:val="fr-CA"/>
        </w:rPr>
        <w:t xml:space="preserve"> (</w:t>
      </w:r>
      <w:r w:rsidRPr="00E739DA">
        <w:rPr>
          <w:rFonts w:cs="Times New Roman"/>
          <w:i/>
          <w:lang w:val="fr-CA"/>
        </w:rPr>
        <w:t>ibid.</w:t>
      </w:r>
      <w:r w:rsidRPr="00E739DA">
        <w:rPr>
          <w:rFonts w:cs="Times New Roman"/>
          <w:lang w:val="fr-CA"/>
        </w:rPr>
        <w:t>, p. 75). D</w:t>
      </w:r>
      <w:r>
        <w:rPr>
          <w:rFonts w:cs="Times New Roman"/>
          <w:lang w:val="fr-CA"/>
        </w:rPr>
        <w:t>’</w:t>
      </w:r>
      <w:r w:rsidRPr="00E739DA">
        <w:rPr>
          <w:rFonts w:cs="Times New Roman"/>
          <w:lang w:val="fr-CA"/>
        </w:rPr>
        <w:t>ailleurs, le CRTC a exercé ce pouvoir à plusieurs reprises afin de rendre obligatoire la distribution d</w:t>
      </w:r>
      <w:r>
        <w:rPr>
          <w:rFonts w:cs="Times New Roman"/>
          <w:lang w:val="fr-CA"/>
        </w:rPr>
        <w:t>’</w:t>
      </w:r>
      <w:r w:rsidRPr="00E739DA">
        <w:rPr>
          <w:rFonts w:cs="Times New Roman"/>
          <w:lang w:val="fr-CA"/>
        </w:rPr>
        <w:t xml:space="preserve">un </w:t>
      </w:r>
      <w:r w:rsidRPr="00E739DA">
        <w:rPr>
          <w:rFonts w:cs="Times New Roman"/>
          <w:iCs/>
          <w:lang w:val="fr-FR"/>
        </w:rPr>
        <w:t>service, existant ou proposé, atteignant les objectifs suivants</w:t>
      </w:r>
      <w:r w:rsidRPr="00E739DA">
        <w:rPr>
          <w:rFonts w:cs="Times New Roman"/>
          <w:lang w:val="fr-CA"/>
        </w:rPr>
        <w:t> :</w:t>
      </w:r>
    </w:p>
    <w:p w:rsidR="005F030A" w:rsidRDefault="005F030A" w:rsidP="005F030A">
      <w:pPr>
        <w:pStyle w:val="Citation-AltC"/>
        <w:numPr>
          <w:ilvl w:val="0"/>
          <w:numId w:val="15"/>
        </w:numPr>
        <w:rPr>
          <w:lang w:val="fr-FR"/>
        </w:rPr>
      </w:pPr>
      <w:r w:rsidRPr="00E739DA">
        <w:rPr>
          <w:lang w:val="fr-FR"/>
        </w:rPr>
        <w:t xml:space="preserve">il </w:t>
      </w:r>
      <w:r w:rsidRPr="00E739DA">
        <w:rPr>
          <w:lang w:val="fr-CA"/>
        </w:rPr>
        <w:t>contribue</w:t>
      </w:r>
      <w:r w:rsidRPr="00E739DA">
        <w:rPr>
          <w:lang w:val="fr-FR"/>
        </w:rPr>
        <w:t xml:space="preserve"> de façon exceptionnelle à l</w:t>
      </w:r>
      <w:r>
        <w:rPr>
          <w:lang w:val="fr-FR"/>
        </w:rPr>
        <w:t>’</w:t>
      </w:r>
      <w:r w:rsidRPr="00E739DA">
        <w:rPr>
          <w:lang w:val="fr-FR"/>
        </w:rPr>
        <w:t>expression canadienne et reflète les attitudes, les opinions, les idées, les valeurs et la créativité artistique canadiennes;</w:t>
      </w:r>
    </w:p>
    <w:p w:rsidR="00EF4AC6" w:rsidRPr="00E739DA" w:rsidRDefault="00EF4AC6" w:rsidP="00EF4AC6">
      <w:pPr>
        <w:pStyle w:val="Citation-AltC"/>
        <w:ind w:left="1890"/>
        <w:rPr>
          <w:lang w:val="fr-FR"/>
        </w:rPr>
      </w:pPr>
    </w:p>
    <w:p w:rsidR="005F030A" w:rsidRDefault="005F030A" w:rsidP="005F030A">
      <w:pPr>
        <w:pStyle w:val="Citation-AltC"/>
        <w:numPr>
          <w:ilvl w:val="0"/>
          <w:numId w:val="15"/>
        </w:numPr>
        <w:rPr>
          <w:lang w:val="fr-FR"/>
        </w:rPr>
      </w:pPr>
      <w:r w:rsidRPr="00E739DA">
        <w:rPr>
          <w:lang w:val="fr-FR"/>
        </w:rPr>
        <w:t xml:space="preserve">il </w:t>
      </w:r>
      <w:r w:rsidRPr="00E739DA">
        <w:rPr>
          <w:lang w:val="fr-CA"/>
        </w:rPr>
        <w:t>contribue</w:t>
      </w:r>
      <w:r w:rsidRPr="00E739DA">
        <w:rPr>
          <w:lang w:val="fr-FR"/>
        </w:rPr>
        <w:t xml:space="preserve"> de façon exceptionnelle à l</w:t>
      </w:r>
      <w:r>
        <w:rPr>
          <w:lang w:val="fr-FR"/>
        </w:rPr>
        <w:t>’</w:t>
      </w:r>
      <w:r w:rsidRPr="00E739DA">
        <w:rPr>
          <w:lang w:val="fr-FR"/>
        </w:rPr>
        <w:t>atteinte de l</w:t>
      </w:r>
      <w:r>
        <w:rPr>
          <w:lang w:val="fr-FR"/>
        </w:rPr>
        <w:t>’</w:t>
      </w:r>
      <w:r w:rsidRPr="00E739DA">
        <w:rPr>
          <w:lang w:val="fr-FR"/>
        </w:rPr>
        <w:t>ensemble des objectifs du service numérique de base et favorise l</w:t>
      </w:r>
      <w:r>
        <w:rPr>
          <w:lang w:val="fr-FR"/>
        </w:rPr>
        <w:t>’</w:t>
      </w:r>
      <w:r w:rsidRPr="00E739DA">
        <w:rPr>
          <w:lang w:val="fr-FR"/>
        </w:rPr>
        <w:t>atteinte d</w:t>
      </w:r>
      <w:r>
        <w:rPr>
          <w:lang w:val="fr-FR"/>
        </w:rPr>
        <w:t>’</w:t>
      </w:r>
      <w:r w:rsidRPr="00E739DA">
        <w:rPr>
          <w:lang w:val="fr-FR"/>
        </w:rPr>
        <w:t xml:space="preserve">un ou de plusieurs objectifs de la Loi, tels que : </w:t>
      </w:r>
    </w:p>
    <w:p w:rsidR="00EF4AC6" w:rsidRPr="00E739DA" w:rsidRDefault="00EF4AC6" w:rsidP="00EF4AC6">
      <w:pPr>
        <w:pStyle w:val="Citation-AltC"/>
        <w:ind w:left="0"/>
        <w:rPr>
          <w:lang w:val="fr-FR"/>
        </w:rPr>
      </w:pPr>
    </w:p>
    <w:p w:rsidR="005F030A" w:rsidRDefault="005F030A" w:rsidP="005F030A">
      <w:pPr>
        <w:pStyle w:val="Citation-AltC"/>
        <w:tabs>
          <w:tab w:val="left" w:pos="2410"/>
        </w:tabs>
        <w:ind w:left="2410" w:hanging="283"/>
        <w:rPr>
          <w:lang w:val="fr-FR"/>
        </w:rPr>
      </w:pPr>
      <w:r w:rsidRPr="00E739DA">
        <w:rPr>
          <w:lang w:val="fr-CA"/>
        </w:rPr>
        <w:t>º</w:t>
      </w:r>
      <w:r w:rsidRPr="00E739DA">
        <w:rPr>
          <w:lang w:val="fr-FR"/>
        </w:rPr>
        <w:tab/>
      </w:r>
      <w:proofErr w:type="gramStart"/>
      <w:r w:rsidRPr="00E739DA">
        <w:rPr>
          <w:lang w:val="fr-FR"/>
        </w:rPr>
        <w:t>l</w:t>
      </w:r>
      <w:r>
        <w:rPr>
          <w:lang w:val="fr-FR"/>
        </w:rPr>
        <w:t>’</w:t>
      </w:r>
      <w:r w:rsidRPr="00E739DA">
        <w:rPr>
          <w:lang w:val="fr-FR"/>
        </w:rPr>
        <w:t>identité</w:t>
      </w:r>
      <w:proofErr w:type="gramEnd"/>
      <w:r w:rsidRPr="00E739DA">
        <w:rPr>
          <w:lang w:val="fr-FR"/>
        </w:rPr>
        <w:t xml:space="preserve"> du </w:t>
      </w:r>
      <w:r w:rsidRPr="00E739DA">
        <w:rPr>
          <w:lang w:val="fr-CA"/>
        </w:rPr>
        <w:t>Canada</w:t>
      </w:r>
      <w:r w:rsidRPr="00E739DA">
        <w:rPr>
          <w:lang w:val="fr-FR"/>
        </w:rPr>
        <w:t xml:space="preserve"> et sa souveraineté culturelle;</w:t>
      </w:r>
    </w:p>
    <w:p w:rsidR="00EF4AC6" w:rsidRPr="00E739DA" w:rsidRDefault="00EF4AC6" w:rsidP="005F030A">
      <w:pPr>
        <w:pStyle w:val="Citation-AltC"/>
        <w:tabs>
          <w:tab w:val="left" w:pos="2410"/>
        </w:tabs>
        <w:ind w:left="2410" w:hanging="283"/>
        <w:rPr>
          <w:lang w:val="fr-FR"/>
        </w:rPr>
      </w:pPr>
    </w:p>
    <w:p w:rsidR="005F030A" w:rsidRDefault="005F030A" w:rsidP="005F030A">
      <w:pPr>
        <w:pStyle w:val="Citation-AltC"/>
        <w:tabs>
          <w:tab w:val="left" w:pos="2410"/>
        </w:tabs>
        <w:ind w:left="2410" w:hanging="283"/>
        <w:rPr>
          <w:lang w:val="fr-FR"/>
        </w:rPr>
      </w:pPr>
      <w:r w:rsidRPr="00E739DA">
        <w:rPr>
          <w:lang w:val="fr-CA"/>
        </w:rPr>
        <w:t>º</w:t>
      </w:r>
      <w:r w:rsidRPr="00E739DA">
        <w:rPr>
          <w:lang w:val="fr-FR"/>
        </w:rPr>
        <w:tab/>
      </w:r>
      <w:proofErr w:type="gramStart"/>
      <w:r w:rsidRPr="00E739DA">
        <w:rPr>
          <w:lang w:val="fr-FR"/>
        </w:rPr>
        <w:t>la</w:t>
      </w:r>
      <w:proofErr w:type="gramEnd"/>
      <w:r w:rsidRPr="00E739DA">
        <w:rPr>
          <w:lang w:val="fr-FR"/>
        </w:rPr>
        <w:t xml:space="preserve"> diversité </w:t>
      </w:r>
      <w:r w:rsidRPr="00E739DA">
        <w:rPr>
          <w:lang w:val="fr-CA"/>
        </w:rPr>
        <w:t>ethnoculturelle</w:t>
      </w:r>
      <w:r w:rsidRPr="00E739DA">
        <w:rPr>
          <w:lang w:val="fr-FR"/>
        </w:rPr>
        <w:t>, y compris la place particulière des peuples autochtones dans la société canadienne;</w:t>
      </w:r>
    </w:p>
    <w:p w:rsidR="00EF4AC6" w:rsidRPr="00E739DA" w:rsidRDefault="00EF4AC6" w:rsidP="005F030A">
      <w:pPr>
        <w:pStyle w:val="Citation-AltC"/>
        <w:tabs>
          <w:tab w:val="left" w:pos="2410"/>
        </w:tabs>
        <w:ind w:left="2410" w:hanging="283"/>
        <w:rPr>
          <w:lang w:val="fr-FR"/>
        </w:rPr>
      </w:pPr>
    </w:p>
    <w:p w:rsidR="005F030A" w:rsidRDefault="005F030A" w:rsidP="005F030A">
      <w:pPr>
        <w:pStyle w:val="Citation-AltC"/>
        <w:tabs>
          <w:tab w:val="left" w:pos="2410"/>
        </w:tabs>
        <w:ind w:left="2410" w:hanging="283"/>
        <w:rPr>
          <w:lang w:val="fr-FR"/>
        </w:rPr>
      </w:pPr>
      <w:r w:rsidRPr="00E739DA">
        <w:rPr>
          <w:lang w:val="fr-CA"/>
        </w:rPr>
        <w:t>º</w:t>
      </w:r>
      <w:r w:rsidRPr="00E739DA">
        <w:rPr>
          <w:lang w:val="fr-FR"/>
        </w:rPr>
        <w:tab/>
      </w:r>
      <w:proofErr w:type="gramStart"/>
      <w:r w:rsidRPr="00E739DA">
        <w:rPr>
          <w:lang w:val="fr-FR"/>
        </w:rPr>
        <w:t>le</w:t>
      </w:r>
      <w:proofErr w:type="gramEnd"/>
      <w:r w:rsidRPr="00E739DA">
        <w:rPr>
          <w:lang w:val="fr-FR"/>
        </w:rPr>
        <w:t xml:space="preserve"> reflet, la </w:t>
      </w:r>
      <w:r w:rsidRPr="00E739DA">
        <w:rPr>
          <w:lang w:val="fr-CA"/>
        </w:rPr>
        <w:t>représentation</w:t>
      </w:r>
      <w:r w:rsidRPr="00E739DA">
        <w:rPr>
          <w:lang w:val="fr-FR"/>
        </w:rPr>
        <w:t xml:space="preserve"> et le soutien des personnes handicapées;</w:t>
      </w:r>
    </w:p>
    <w:p w:rsidR="00EF4AC6" w:rsidRPr="00E739DA" w:rsidRDefault="00EF4AC6" w:rsidP="005F030A">
      <w:pPr>
        <w:pStyle w:val="Citation-AltC"/>
        <w:tabs>
          <w:tab w:val="left" w:pos="2410"/>
        </w:tabs>
        <w:ind w:left="2410" w:hanging="283"/>
        <w:rPr>
          <w:lang w:val="fr-FR"/>
        </w:rPr>
      </w:pPr>
    </w:p>
    <w:p w:rsidR="005F030A" w:rsidRDefault="005F030A" w:rsidP="005F030A">
      <w:pPr>
        <w:pStyle w:val="Citation-AltC"/>
        <w:tabs>
          <w:tab w:val="left" w:pos="2410"/>
        </w:tabs>
        <w:ind w:left="2410" w:hanging="283"/>
        <w:rPr>
          <w:lang w:val="fr-FR"/>
        </w:rPr>
      </w:pPr>
      <w:r w:rsidRPr="00E739DA">
        <w:rPr>
          <w:lang w:val="fr-CA"/>
        </w:rPr>
        <w:t>º</w:t>
      </w:r>
      <w:r w:rsidRPr="00E739DA">
        <w:rPr>
          <w:lang w:val="fr-FR"/>
        </w:rPr>
        <w:tab/>
      </w:r>
      <w:proofErr w:type="gramStart"/>
      <w:r w:rsidRPr="00E739DA">
        <w:rPr>
          <w:lang w:val="fr-FR"/>
        </w:rPr>
        <w:t>la</w:t>
      </w:r>
      <w:proofErr w:type="gramEnd"/>
      <w:r w:rsidRPr="00E739DA">
        <w:rPr>
          <w:lang w:val="fr-FR"/>
        </w:rPr>
        <w:t xml:space="preserve"> dualité linguistique, y </w:t>
      </w:r>
      <w:r w:rsidRPr="00E739DA">
        <w:rPr>
          <w:lang w:val="fr-CA"/>
        </w:rPr>
        <w:t>compris</w:t>
      </w:r>
      <w:r w:rsidRPr="00E739DA">
        <w:rPr>
          <w:lang w:val="fr-FR"/>
        </w:rPr>
        <w:t xml:space="preserve"> l</w:t>
      </w:r>
      <w:r>
        <w:rPr>
          <w:lang w:val="fr-FR"/>
        </w:rPr>
        <w:t>’</w:t>
      </w:r>
      <w:r w:rsidRPr="00E739DA">
        <w:rPr>
          <w:lang w:val="fr-FR"/>
        </w:rPr>
        <w:t>amélioration du service offert aux communautés de langue officielle en situation minoritaire (CLOSM);</w:t>
      </w:r>
    </w:p>
    <w:p w:rsidR="00EF4AC6" w:rsidRPr="00E739DA" w:rsidRDefault="00EF4AC6" w:rsidP="00EF4AC6">
      <w:pPr>
        <w:pStyle w:val="Citation-AltC"/>
        <w:tabs>
          <w:tab w:val="left" w:pos="2410"/>
        </w:tabs>
        <w:rPr>
          <w:lang w:val="fr-FR"/>
        </w:rPr>
      </w:pPr>
    </w:p>
    <w:p w:rsidR="00EF4AC6" w:rsidRPr="00EF4AC6" w:rsidRDefault="005F030A" w:rsidP="00EF4AC6">
      <w:pPr>
        <w:pStyle w:val="Citation-AltC"/>
        <w:numPr>
          <w:ilvl w:val="0"/>
          <w:numId w:val="15"/>
        </w:numPr>
        <w:spacing w:after="240"/>
        <w:ind w:left="1882" w:hanging="357"/>
        <w:contextualSpacing w:val="0"/>
        <w:rPr>
          <w:lang w:val="fr-CA"/>
        </w:rPr>
      </w:pPr>
      <w:r w:rsidRPr="00E739DA">
        <w:rPr>
          <w:lang w:val="fr-FR"/>
        </w:rPr>
        <w:t xml:space="preserve">il prend des </w:t>
      </w:r>
      <w:r w:rsidRPr="00E739DA">
        <w:rPr>
          <w:lang w:val="fr-CA"/>
        </w:rPr>
        <w:t>engagements</w:t>
      </w:r>
      <w:r w:rsidRPr="00E739DA">
        <w:rPr>
          <w:lang w:val="fr-FR"/>
        </w:rPr>
        <w:t xml:space="preserve"> exceptionnels à l</w:t>
      </w:r>
      <w:r>
        <w:rPr>
          <w:lang w:val="fr-FR"/>
        </w:rPr>
        <w:t>’</w:t>
      </w:r>
      <w:r w:rsidRPr="00E739DA">
        <w:rPr>
          <w:lang w:val="fr-FR"/>
        </w:rPr>
        <w:t>égard de la présentation des émissions et des dépenses de la programmation canadienne originale de première diffusion.</w:t>
      </w:r>
    </w:p>
    <w:p w:rsidR="005F030A" w:rsidRPr="00E739DA" w:rsidRDefault="005F030A" w:rsidP="00F06FAD">
      <w:pPr>
        <w:pStyle w:val="Citation-AltC"/>
        <w:ind w:left="0" w:hanging="90"/>
        <w:rPr>
          <w:lang w:val="fr-CA"/>
        </w:rPr>
      </w:pPr>
      <w:r w:rsidRPr="00E739DA">
        <w:rPr>
          <w:lang w:val="fr-CA"/>
        </w:rPr>
        <w:tab/>
        <w:t>(</w:t>
      </w:r>
      <w:r w:rsidRPr="00E739DA">
        <w:rPr>
          <w:lang w:val="fr-FR"/>
        </w:rPr>
        <w:t xml:space="preserve">Politique </w:t>
      </w:r>
      <w:r w:rsidRPr="00E739DA">
        <w:rPr>
          <w:lang w:val="fr-CA"/>
        </w:rPr>
        <w:t>réglementaire</w:t>
      </w:r>
      <w:r w:rsidRPr="00E739DA">
        <w:rPr>
          <w:lang w:val="fr-FR"/>
        </w:rPr>
        <w:t xml:space="preserve"> de radiodiffusion </w:t>
      </w:r>
      <w:r w:rsidRPr="00E739DA">
        <w:rPr>
          <w:lang w:val="fr-CA"/>
        </w:rPr>
        <w:t>CRTC 2013</w:t>
      </w:r>
      <w:r w:rsidRPr="00E739DA">
        <w:rPr>
          <w:lang w:val="fr-CA"/>
        </w:rPr>
        <w:noBreakHyphen/>
        <w:t>372, 8 août 2013 (en ligne), par. 7)</w:t>
      </w:r>
    </w:p>
    <w:p w:rsidR="005F030A" w:rsidRPr="00E739DA" w:rsidRDefault="005F030A" w:rsidP="005F030A">
      <w:pPr>
        <w:pStyle w:val="ContinueParaSuitedupar-AltP"/>
        <w:spacing w:before="0"/>
        <w:rPr>
          <w:rFonts w:cs="Times New Roman"/>
          <w:lang w:val="fr-CA"/>
        </w:rPr>
      </w:pPr>
      <w:r w:rsidRPr="00E739DA">
        <w:rPr>
          <w:rFonts w:cs="Times New Roman"/>
          <w:lang w:val="fr-CA"/>
        </w:rPr>
        <w:lastRenderedPageBreak/>
        <w:t xml:space="preserve">Par exemple, le CRTC a récemment rendu une ordonnance de distribution obligatoire du service de programmation du réseau </w:t>
      </w:r>
      <w:proofErr w:type="spellStart"/>
      <w:r w:rsidRPr="00E739DA">
        <w:rPr>
          <w:rFonts w:cs="Times New Roman"/>
          <w:lang w:val="fr-CA"/>
        </w:rPr>
        <w:t>Aboriginal</w:t>
      </w:r>
      <w:proofErr w:type="spellEnd"/>
      <w:r w:rsidRPr="00E739DA">
        <w:rPr>
          <w:rFonts w:cs="Times New Roman"/>
          <w:lang w:val="fr-CA"/>
        </w:rPr>
        <w:t xml:space="preserve"> Peoples </w:t>
      </w:r>
      <w:proofErr w:type="spellStart"/>
      <w:r w:rsidRPr="00E739DA">
        <w:rPr>
          <w:rFonts w:cs="Times New Roman"/>
          <w:lang w:val="fr-CA"/>
        </w:rPr>
        <w:t>Television</w:t>
      </w:r>
      <w:proofErr w:type="spellEnd"/>
      <w:r w:rsidRPr="00E739DA">
        <w:rPr>
          <w:rFonts w:cs="Times New Roman"/>
          <w:lang w:val="fr-CA"/>
        </w:rPr>
        <w:t xml:space="preserve"> Network, exigeant que celui</w:t>
      </w:r>
      <w:r w:rsidRPr="00E739DA">
        <w:rPr>
          <w:rFonts w:cs="Times New Roman"/>
          <w:lang w:val="fr-CA"/>
        </w:rPr>
        <w:noBreakHyphen/>
        <w:t>ci soit distribué dans le cadre du service de base des fournisseurs canadiens de services par câble et par satellite au</w:t>
      </w:r>
      <w:r w:rsidRPr="00E739DA">
        <w:rPr>
          <w:rFonts w:cs="Times New Roman"/>
          <w:lang w:val="fr-FR"/>
        </w:rPr>
        <w:t xml:space="preserve"> tarif de gros mensuel par abonné de 0,35 $</w:t>
      </w:r>
      <w:r w:rsidRPr="00E739DA">
        <w:rPr>
          <w:rFonts w:cs="Times New Roman"/>
          <w:lang w:val="fr-CA"/>
        </w:rPr>
        <w:t xml:space="preserve"> (Ordonnance de radiodiffusion CRTC 2018</w:t>
      </w:r>
      <w:r w:rsidRPr="00E739DA">
        <w:rPr>
          <w:rFonts w:cs="Times New Roman"/>
          <w:lang w:val="fr-CA"/>
        </w:rPr>
        <w:noBreakHyphen/>
        <w:t>341, 31 août 2018 (en ligne)). Parmi les autres services de programmation jouissant du statut prévu à l</w:t>
      </w:r>
      <w:r>
        <w:rPr>
          <w:rFonts w:cs="Times New Roman"/>
          <w:lang w:val="fr-CA"/>
        </w:rPr>
        <w:t>’</w:t>
      </w:r>
      <w:r w:rsidRPr="00E739DA">
        <w:rPr>
          <w:rFonts w:cs="Times New Roman"/>
          <w:lang w:val="fr-CA"/>
        </w:rPr>
        <w:t>al. 9(1)h), mentionnons la chaîne d</w:t>
      </w:r>
      <w:r>
        <w:rPr>
          <w:rFonts w:cs="Times New Roman"/>
          <w:lang w:val="fr-CA"/>
        </w:rPr>
        <w:t>’</w:t>
      </w:r>
      <w:r w:rsidRPr="00E739DA">
        <w:rPr>
          <w:rFonts w:cs="Times New Roman"/>
          <w:lang w:val="fr-CA"/>
        </w:rPr>
        <w:t>affaires publiques par câble (CPAC), Nouveau TV</w:t>
      </w:r>
      <w:r w:rsidRPr="00E739DA">
        <w:rPr>
          <w:rFonts w:cs="Times New Roman"/>
          <w:lang w:val="fr-CA"/>
        </w:rPr>
        <w:noBreakHyphen/>
        <w:t>5 et Météo Média.</w:t>
      </w:r>
    </w:p>
    <w:p w:rsidR="005F030A" w:rsidRPr="00E739DA" w:rsidRDefault="005F030A" w:rsidP="005F030A">
      <w:pPr>
        <w:pStyle w:val="ParaNoNdepar-AltN"/>
        <w:spacing w:before="0"/>
        <w:rPr>
          <w:rFonts w:cs="Times New Roman"/>
          <w:lang w:val="fr-CA"/>
        </w:rPr>
      </w:pPr>
      <w:r w:rsidRPr="00E739DA">
        <w:rPr>
          <w:rFonts w:cs="Times New Roman"/>
          <w:lang w:val="fr-CA"/>
        </w:rPr>
        <w:t>Fait plus important encore, il semble que le CRTC n</w:t>
      </w:r>
      <w:r>
        <w:rPr>
          <w:rFonts w:cs="Times New Roman"/>
          <w:lang w:val="fr-CA"/>
        </w:rPr>
        <w:t>’</w:t>
      </w:r>
      <w:r w:rsidRPr="00E739DA">
        <w:rPr>
          <w:rFonts w:cs="Times New Roman"/>
          <w:lang w:val="fr-CA"/>
        </w:rPr>
        <w:t xml:space="preserve">ait </w:t>
      </w:r>
      <w:r w:rsidRPr="00E739DA">
        <w:rPr>
          <w:rFonts w:cs="Times New Roman"/>
          <w:i/>
          <w:lang w:val="fr-CA"/>
        </w:rPr>
        <w:t>jamais</w:t>
      </w:r>
      <w:r w:rsidRPr="00E739DA">
        <w:rPr>
          <w:rFonts w:cs="Times New Roman"/>
          <w:lang w:val="fr-CA"/>
        </w:rPr>
        <w:t xml:space="preserve"> validement exercé le pouvoir qui lui est conféré par l</w:t>
      </w:r>
      <w:r>
        <w:rPr>
          <w:rFonts w:cs="Times New Roman"/>
          <w:lang w:val="fr-CA"/>
        </w:rPr>
        <w:t>’</w:t>
      </w:r>
      <w:r w:rsidRPr="00E739DA">
        <w:rPr>
          <w:rFonts w:cs="Times New Roman"/>
          <w:lang w:val="fr-CA"/>
        </w:rPr>
        <w:t>al. 9(1)h) sauf lorsqu</w:t>
      </w:r>
      <w:r>
        <w:rPr>
          <w:rFonts w:cs="Times New Roman"/>
          <w:lang w:val="fr-CA"/>
        </w:rPr>
        <w:t>’</w:t>
      </w:r>
      <w:r w:rsidRPr="00E739DA">
        <w:rPr>
          <w:rFonts w:cs="Times New Roman"/>
          <w:lang w:val="fr-CA"/>
        </w:rPr>
        <w:t>il a rendu des ordonnances de distribution obligatoire. En effet, comme nous l</w:t>
      </w:r>
      <w:r>
        <w:rPr>
          <w:rFonts w:cs="Times New Roman"/>
          <w:lang w:val="fr-CA"/>
        </w:rPr>
        <w:t>’</w:t>
      </w:r>
      <w:r w:rsidRPr="00E739DA">
        <w:rPr>
          <w:rFonts w:cs="Times New Roman"/>
          <w:lang w:val="fr-CA"/>
        </w:rPr>
        <w:t>avons souligné, lorsqu</w:t>
      </w:r>
      <w:r>
        <w:rPr>
          <w:rFonts w:cs="Times New Roman"/>
          <w:lang w:val="fr-CA"/>
        </w:rPr>
        <w:t>’</w:t>
      </w:r>
      <w:r w:rsidRPr="00E739DA">
        <w:rPr>
          <w:rFonts w:cs="Times New Roman"/>
          <w:lang w:val="fr-CA"/>
        </w:rPr>
        <w:t>il a tenté d</w:t>
      </w:r>
      <w:r>
        <w:rPr>
          <w:rFonts w:cs="Times New Roman"/>
          <w:lang w:val="fr-CA"/>
        </w:rPr>
        <w:t>’</w:t>
      </w:r>
      <w:r w:rsidRPr="00E739DA">
        <w:rPr>
          <w:rFonts w:cs="Times New Roman"/>
          <w:lang w:val="fr-CA"/>
        </w:rPr>
        <w:t>utiliser ce pouvoir pour imposer l</w:t>
      </w:r>
      <w:r>
        <w:rPr>
          <w:rFonts w:cs="Times New Roman"/>
          <w:lang w:val="fr-CA"/>
        </w:rPr>
        <w:t>’</w:t>
      </w:r>
      <w:r w:rsidRPr="00E739DA">
        <w:rPr>
          <w:rFonts w:cs="Times New Roman"/>
          <w:lang w:val="fr-CA"/>
        </w:rPr>
        <w:t>application du Code sur la vente en gros aux fournisseurs de services de télévision (Ordonnance de radiodiffusion CRTC 2015</w:t>
      </w:r>
      <w:r w:rsidRPr="00E739DA">
        <w:rPr>
          <w:rFonts w:cs="Times New Roman"/>
          <w:lang w:val="fr-CA"/>
        </w:rPr>
        <w:noBreakHyphen/>
        <w:t>439, 24 septembre 2015 (en ligne)), cette mesure a été écartée par la Cour d</w:t>
      </w:r>
      <w:r>
        <w:rPr>
          <w:rFonts w:cs="Times New Roman"/>
          <w:lang w:val="fr-CA"/>
        </w:rPr>
        <w:t>’</w:t>
      </w:r>
      <w:r w:rsidRPr="00E739DA">
        <w:rPr>
          <w:rFonts w:cs="Times New Roman"/>
          <w:lang w:val="fr-CA"/>
        </w:rPr>
        <w:t>appel fédérale. De même, dans l</w:t>
      </w:r>
      <w:r>
        <w:rPr>
          <w:rFonts w:cs="Times New Roman"/>
          <w:lang w:val="fr-CA"/>
        </w:rPr>
        <w:t>’</w:t>
      </w:r>
      <w:r w:rsidRPr="00E739DA">
        <w:rPr>
          <w:rFonts w:cs="Times New Roman"/>
          <w:lang w:val="fr-CA"/>
        </w:rPr>
        <w:t xml:space="preserve">arrêt </w:t>
      </w:r>
      <w:proofErr w:type="spellStart"/>
      <w:r w:rsidRPr="00E739DA">
        <w:rPr>
          <w:rFonts w:cs="Times New Roman"/>
          <w:i/>
          <w:lang w:val="fr-CA"/>
        </w:rPr>
        <w:t>Cogeco</w:t>
      </w:r>
      <w:proofErr w:type="spellEnd"/>
      <w:r w:rsidRPr="00E739DA">
        <w:rPr>
          <w:rFonts w:cs="Times New Roman"/>
          <w:lang w:val="fr-CA"/>
        </w:rPr>
        <w:t>, répondant alors à la question qui lui était soumise dans le contexte d</w:t>
      </w:r>
      <w:r>
        <w:rPr>
          <w:rFonts w:cs="Times New Roman"/>
          <w:lang w:val="fr-CA"/>
        </w:rPr>
        <w:t>’</w:t>
      </w:r>
      <w:r w:rsidRPr="00E739DA">
        <w:rPr>
          <w:rFonts w:cs="Times New Roman"/>
          <w:lang w:val="fr-CA"/>
        </w:rPr>
        <w:t>un renvoi, notre Cour a conclu que le CRTC n</w:t>
      </w:r>
      <w:r>
        <w:rPr>
          <w:rFonts w:cs="Times New Roman"/>
          <w:lang w:val="fr-CA"/>
        </w:rPr>
        <w:t>’</w:t>
      </w:r>
      <w:r w:rsidRPr="00E739DA">
        <w:rPr>
          <w:rFonts w:cs="Times New Roman"/>
          <w:lang w:val="fr-CA"/>
        </w:rPr>
        <w:t>avait pas compétence pour mettre en œuvre le « régime de compensation pour la valeur des signaux » qui était proposé. Mises à part les ordonnances en cause dans ces décisions, on ne nous a fait état d</w:t>
      </w:r>
      <w:r>
        <w:rPr>
          <w:rFonts w:cs="Times New Roman"/>
          <w:lang w:val="fr-CA"/>
        </w:rPr>
        <w:t>’</w:t>
      </w:r>
      <w:r w:rsidRPr="00E739DA">
        <w:rPr>
          <w:rFonts w:cs="Times New Roman"/>
          <w:lang w:val="fr-CA"/>
        </w:rPr>
        <w:t>aucune autre sorte d</w:t>
      </w:r>
      <w:r>
        <w:rPr>
          <w:rFonts w:cs="Times New Roman"/>
          <w:lang w:val="fr-CA"/>
        </w:rPr>
        <w:t>’</w:t>
      </w:r>
      <w:r w:rsidRPr="00E739DA">
        <w:rPr>
          <w:rFonts w:cs="Times New Roman"/>
          <w:lang w:val="fr-CA"/>
        </w:rPr>
        <w:t>ordonnances fondées sur l</w:t>
      </w:r>
      <w:r>
        <w:rPr>
          <w:rFonts w:cs="Times New Roman"/>
          <w:lang w:val="fr-CA"/>
        </w:rPr>
        <w:t>’</w:t>
      </w:r>
      <w:r w:rsidRPr="00E739DA">
        <w:rPr>
          <w:rFonts w:cs="Times New Roman"/>
          <w:lang w:val="fr-CA"/>
        </w:rPr>
        <w:t>al. 9(1)h) que les ordonnances rendant obligatoire la distribution de certains services de programmation selon des modalités précises, et nous n</w:t>
      </w:r>
      <w:r>
        <w:rPr>
          <w:rFonts w:cs="Times New Roman"/>
          <w:lang w:val="fr-CA"/>
        </w:rPr>
        <w:t>’</w:t>
      </w:r>
      <w:r w:rsidRPr="00E739DA">
        <w:rPr>
          <w:rFonts w:cs="Times New Roman"/>
          <w:lang w:val="fr-CA"/>
        </w:rPr>
        <w:t>en avons trouvé aucune.</w:t>
      </w:r>
    </w:p>
    <w:p w:rsidR="005F030A" w:rsidRPr="00E739DA" w:rsidRDefault="005F030A" w:rsidP="005F030A">
      <w:pPr>
        <w:pStyle w:val="ParaNoNdepar-AltN"/>
        <w:spacing w:before="0"/>
        <w:rPr>
          <w:rFonts w:cs="Times New Roman"/>
          <w:lang w:val="fr-CA"/>
        </w:rPr>
      </w:pPr>
      <w:r w:rsidRPr="00E739DA">
        <w:rPr>
          <w:rFonts w:cs="Times New Roman"/>
          <w:lang w:val="fr-CA"/>
        </w:rPr>
        <w:t>Cette utilisation de l</w:t>
      </w:r>
      <w:r>
        <w:rPr>
          <w:rFonts w:cs="Times New Roman"/>
          <w:lang w:val="fr-CA"/>
        </w:rPr>
        <w:t>’</w:t>
      </w:r>
      <w:r w:rsidRPr="00E739DA">
        <w:rPr>
          <w:rFonts w:cs="Times New Roman"/>
          <w:lang w:val="fr-CA"/>
        </w:rPr>
        <w:t xml:space="preserve">al. 9(1)h) correspond à la façon dont cette disposition est interprétée dans un certain nombre de publications et rapports rédigés avant </w:t>
      </w:r>
      <w:r w:rsidRPr="00E739DA">
        <w:rPr>
          <w:rFonts w:cs="Times New Roman"/>
          <w:lang w:val="fr-CA"/>
        </w:rPr>
        <w:lastRenderedPageBreak/>
        <w:t>l</w:t>
      </w:r>
      <w:r>
        <w:rPr>
          <w:rFonts w:cs="Times New Roman"/>
          <w:lang w:val="fr-CA"/>
        </w:rPr>
        <w:t>’</w:t>
      </w:r>
      <w:r w:rsidRPr="00E739DA">
        <w:rPr>
          <w:rFonts w:cs="Times New Roman"/>
          <w:lang w:val="fr-CA"/>
        </w:rPr>
        <w:t xml:space="preserve">édiction de la </w:t>
      </w:r>
      <w:r w:rsidRPr="00E739DA">
        <w:rPr>
          <w:rFonts w:cs="Times New Roman"/>
          <w:i/>
          <w:lang w:val="fr-CA"/>
        </w:rPr>
        <w:t>Loi sur la radiodiffusion</w:t>
      </w:r>
      <w:r w:rsidRPr="00E739DA">
        <w:rPr>
          <w:rFonts w:cs="Times New Roman"/>
          <w:lang w:val="fr-CA"/>
        </w:rPr>
        <w:t xml:space="preserve"> en 1991. Dans une analyse article par article </w:t>
      </w:r>
      <w:r>
        <w:rPr>
          <w:rFonts w:cs="Times New Roman"/>
          <w:lang w:val="fr-CA"/>
        </w:rPr>
        <w:t xml:space="preserve">du projet de loi devenu </w:t>
      </w:r>
      <w:r w:rsidRPr="00E739DA">
        <w:rPr>
          <w:rFonts w:cs="Times New Roman"/>
          <w:lang w:val="fr-CA"/>
        </w:rPr>
        <w:t xml:space="preserve">la </w:t>
      </w:r>
      <w:r w:rsidRPr="00E739DA">
        <w:rPr>
          <w:rFonts w:cs="Times New Roman"/>
          <w:i/>
          <w:lang w:val="fr-CA"/>
        </w:rPr>
        <w:t>Loi sur la radiodiffusion</w:t>
      </w:r>
      <w:r w:rsidRPr="00E739DA">
        <w:rPr>
          <w:rFonts w:cs="Times New Roman"/>
          <w:lang w:val="fr-CA"/>
        </w:rPr>
        <w:t>, le ministère des Communications explique que cette disposition apporte une solution au problème des [</w:t>
      </w:r>
      <w:r w:rsidRPr="00E739DA">
        <w:rPr>
          <w:rFonts w:cs="Times New Roman"/>
          <w:smallCaps/>
          <w:lang w:val="fr-CA"/>
        </w:rPr>
        <w:t>traduction</w:t>
      </w:r>
      <w:r w:rsidRPr="00E739DA">
        <w:rPr>
          <w:rFonts w:cs="Times New Roman"/>
          <w:lang w:val="fr-CA"/>
        </w:rPr>
        <w:t>] « </w:t>
      </w:r>
      <w:r w:rsidRPr="00E739DA">
        <w:rPr>
          <w:rFonts w:cs="Times New Roman"/>
          <w:lang w:val="fr-FR"/>
        </w:rPr>
        <w:t>entreprises de câblodistribution en tant que gardes</w:t>
      </w:r>
      <w:r w:rsidRPr="00E739DA">
        <w:rPr>
          <w:rFonts w:cs="Times New Roman"/>
          <w:lang w:val="fr-FR"/>
        </w:rPr>
        <w:noBreakHyphen/>
        <w:t xml:space="preserve">barrières », car elle </w:t>
      </w:r>
      <w:r w:rsidRPr="00E739DA">
        <w:rPr>
          <w:rFonts w:cs="Times New Roman"/>
          <w:lang w:val="fr-CA"/>
        </w:rPr>
        <w:t xml:space="preserve">« fait en sorte </w:t>
      </w:r>
      <w:r w:rsidRPr="00E739DA">
        <w:rPr>
          <w:rFonts w:cs="Times New Roman"/>
          <w:lang w:val="fr-FR"/>
        </w:rPr>
        <w:t>que l</w:t>
      </w:r>
      <w:r>
        <w:rPr>
          <w:rFonts w:cs="Times New Roman"/>
          <w:lang w:val="fr-FR"/>
        </w:rPr>
        <w:t>’</w:t>
      </w:r>
      <w:r w:rsidRPr="00E739DA">
        <w:rPr>
          <w:rFonts w:cs="Times New Roman"/>
          <w:lang w:val="fr-FR"/>
        </w:rPr>
        <w:t xml:space="preserve">industrie du câble ne puisse </w:t>
      </w:r>
      <w:r w:rsidRPr="00E739DA">
        <w:rPr>
          <w:rFonts w:cs="Times New Roman"/>
          <w:lang w:val="fr-CA"/>
        </w:rPr>
        <w:t>contrecarrer l</w:t>
      </w:r>
      <w:r>
        <w:rPr>
          <w:rFonts w:cs="Times New Roman"/>
          <w:lang w:val="fr-CA"/>
        </w:rPr>
        <w:t>’</w:t>
      </w:r>
      <w:r w:rsidRPr="00E739DA">
        <w:rPr>
          <w:rFonts w:cs="Times New Roman"/>
          <w:lang w:val="fr-CA"/>
        </w:rPr>
        <w:t xml:space="preserve">octroi de </w:t>
      </w:r>
      <w:r w:rsidRPr="00E739DA">
        <w:rPr>
          <w:rFonts w:cs="Times New Roman"/>
          <w:lang w:val="fr-FR"/>
        </w:rPr>
        <w:t>licences à de nouveaux services par satellite et par câble tout simplement en refusant de les distribuer</w:t>
      </w:r>
      <w:r w:rsidRPr="00E739DA">
        <w:rPr>
          <w:rFonts w:cs="Times New Roman"/>
          <w:lang w:val="fr-CA"/>
        </w:rPr>
        <w:t> ». Il ajoute ceci :</w:t>
      </w:r>
    </w:p>
    <w:p w:rsidR="005F030A" w:rsidRPr="00E739DA" w:rsidRDefault="005F030A" w:rsidP="005F030A">
      <w:pPr>
        <w:pStyle w:val="Citation-AltC"/>
        <w:spacing w:after="240"/>
        <w:ind w:left="1168" w:hanging="1168"/>
        <w:contextualSpacing w:val="0"/>
        <w:rPr>
          <w:lang w:val="en-US"/>
        </w:rPr>
      </w:pPr>
      <w:r w:rsidRPr="00E739DA">
        <w:rPr>
          <w:lang w:val="fr-CA"/>
        </w:rPr>
        <w:tab/>
        <w:t>[</w:t>
      </w:r>
      <w:r w:rsidRPr="00E739DA">
        <w:rPr>
          <w:smallCaps/>
          <w:lang w:val="fr-CA"/>
        </w:rPr>
        <w:t>traduction</w:t>
      </w:r>
      <w:r w:rsidRPr="00E739DA">
        <w:rPr>
          <w:lang w:val="fr-CA"/>
        </w:rPr>
        <w:t>] Cette disposition établit une assise législative claire à l</w:t>
      </w:r>
      <w:r>
        <w:rPr>
          <w:lang w:val="fr-CA"/>
        </w:rPr>
        <w:t>’</w:t>
      </w:r>
      <w:r w:rsidRPr="00E739DA">
        <w:rPr>
          <w:lang w:val="fr-CA"/>
        </w:rPr>
        <w:t>égard des règles sur la distribution prioritaire [du CRTC] (déjà édictées dans la réglementation sur la télévision par câble). La loi de 1968 était muette au sujet d</w:t>
      </w:r>
      <w:r>
        <w:rPr>
          <w:lang w:val="fr-CA"/>
        </w:rPr>
        <w:t>’</w:t>
      </w:r>
      <w:r w:rsidRPr="00E739DA">
        <w:rPr>
          <w:lang w:val="fr-CA"/>
        </w:rPr>
        <w:t xml:space="preserve">un tel pouvoir. </w:t>
      </w:r>
      <w:r w:rsidRPr="00E739DA">
        <w:rPr>
          <w:u w:val="single"/>
          <w:lang w:val="fr-CA"/>
        </w:rPr>
        <w:t>Cette disposition permettrait également au CRTC d</w:t>
      </w:r>
      <w:r>
        <w:rPr>
          <w:u w:val="single"/>
          <w:lang w:val="fr-CA"/>
        </w:rPr>
        <w:t>’</w:t>
      </w:r>
      <w:r w:rsidRPr="00E739DA">
        <w:rPr>
          <w:u w:val="single"/>
          <w:lang w:val="fr-CA"/>
        </w:rPr>
        <w:t>exiger la distribution d</w:t>
      </w:r>
      <w:r>
        <w:rPr>
          <w:u w:val="single"/>
          <w:lang w:val="fr-CA"/>
        </w:rPr>
        <w:t>’</w:t>
      </w:r>
      <w:r w:rsidRPr="00E739DA">
        <w:rPr>
          <w:u w:val="single"/>
          <w:lang w:val="fr-CA"/>
        </w:rPr>
        <w:t>un service donné, par exemple TV</w:t>
      </w:r>
      <w:r w:rsidRPr="00E739DA">
        <w:rPr>
          <w:u w:val="single"/>
          <w:lang w:val="fr-CA"/>
        </w:rPr>
        <w:noBreakHyphen/>
        <w:t>5, une seconde chaîne CBC ou la programmation complémentaire</w:t>
      </w:r>
      <w:r w:rsidRPr="00F06FAD">
        <w:rPr>
          <w:u w:val="single"/>
          <w:lang w:val="fr-CA"/>
        </w:rPr>
        <w:t>.</w:t>
      </w:r>
      <w:r w:rsidRPr="00E739DA">
        <w:rPr>
          <w:lang w:val="fr-CA"/>
        </w:rPr>
        <w:t xml:space="preserve"> </w:t>
      </w:r>
      <w:r w:rsidRPr="00E739DA">
        <w:rPr>
          <w:lang w:val="en-US"/>
        </w:rPr>
        <w:t xml:space="preserve">[Nous </w:t>
      </w:r>
      <w:proofErr w:type="spellStart"/>
      <w:r w:rsidRPr="00E739DA">
        <w:rPr>
          <w:lang w:val="en-US"/>
        </w:rPr>
        <w:t>soulignons</w:t>
      </w:r>
      <w:proofErr w:type="spellEnd"/>
      <w:r w:rsidRPr="00E739DA">
        <w:rPr>
          <w:lang w:val="en-US"/>
        </w:rPr>
        <w:t>.]</w:t>
      </w:r>
    </w:p>
    <w:p w:rsidR="005F030A" w:rsidRPr="00E739DA" w:rsidRDefault="005F030A" w:rsidP="005C77FF">
      <w:pPr>
        <w:pStyle w:val="Citation-AltC"/>
        <w:ind w:left="0" w:hanging="1166"/>
        <w:contextualSpacing w:val="0"/>
        <w:rPr>
          <w:lang w:val="en-US"/>
        </w:rPr>
      </w:pPr>
      <w:r w:rsidRPr="00E739DA">
        <w:rPr>
          <w:lang w:val="en-US"/>
        </w:rPr>
        <w:tab/>
        <w:t xml:space="preserve">(Canada, </w:t>
      </w:r>
      <w:proofErr w:type="spellStart"/>
      <w:r w:rsidRPr="00E739DA">
        <w:rPr>
          <w:lang w:val="en-US"/>
        </w:rPr>
        <w:t>ministère</w:t>
      </w:r>
      <w:proofErr w:type="spellEnd"/>
      <w:r w:rsidRPr="00E739DA">
        <w:rPr>
          <w:lang w:val="en-US"/>
        </w:rPr>
        <w:t xml:space="preserve"> des Communications, </w:t>
      </w:r>
      <w:r w:rsidRPr="00E739DA">
        <w:rPr>
          <w:i/>
          <w:lang w:val="en-US"/>
        </w:rPr>
        <w:t xml:space="preserve">The Broadcasting Act </w:t>
      </w:r>
      <w:proofErr w:type="gramStart"/>
      <w:r w:rsidRPr="00E739DA">
        <w:rPr>
          <w:i/>
          <w:lang w:val="en-US"/>
        </w:rPr>
        <w:t>1988 :</w:t>
      </w:r>
      <w:proofErr w:type="gramEnd"/>
      <w:r w:rsidRPr="00E739DA">
        <w:rPr>
          <w:i/>
          <w:lang w:val="en-US"/>
        </w:rPr>
        <w:t xml:space="preserve"> A Clause</w:t>
      </w:r>
      <w:r w:rsidRPr="00E739DA">
        <w:rPr>
          <w:i/>
          <w:lang w:val="en-US"/>
        </w:rPr>
        <w:noBreakHyphen/>
        <w:t>by</w:t>
      </w:r>
      <w:r w:rsidRPr="00E739DA">
        <w:rPr>
          <w:i/>
          <w:lang w:val="en-US"/>
        </w:rPr>
        <w:noBreakHyphen/>
        <w:t>Clause Analysis of Bill C</w:t>
      </w:r>
      <w:r w:rsidRPr="00E739DA">
        <w:rPr>
          <w:i/>
          <w:lang w:val="en-US"/>
        </w:rPr>
        <w:noBreakHyphen/>
        <w:t>136</w:t>
      </w:r>
      <w:r w:rsidR="0089748E">
        <w:rPr>
          <w:lang w:val="en-US"/>
        </w:rPr>
        <w:t xml:space="preserve"> (1988), al. 9(1)h)</w:t>
      </w:r>
      <w:r w:rsidRPr="00E739DA">
        <w:rPr>
          <w:lang w:val="en-US"/>
        </w:rPr>
        <w:t>)</w:t>
      </w:r>
    </w:p>
    <w:p w:rsidR="005F030A" w:rsidRPr="00E739DA" w:rsidRDefault="005F030A" w:rsidP="005F030A">
      <w:pPr>
        <w:pStyle w:val="ParaNoNdepar-AltN"/>
        <w:spacing w:before="0"/>
        <w:rPr>
          <w:rFonts w:cs="Times New Roman"/>
          <w:lang w:val="fr-CA"/>
        </w:rPr>
      </w:pPr>
      <w:r w:rsidRPr="00E739DA">
        <w:rPr>
          <w:rFonts w:cs="Times New Roman"/>
          <w:lang w:val="fr-CA"/>
        </w:rPr>
        <w:t xml:space="preserve">À différents endroits dans la </w:t>
      </w:r>
      <w:r w:rsidRPr="00E739DA">
        <w:rPr>
          <w:rFonts w:cs="Times New Roman"/>
          <w:i/>
          <w:lang w:val="fr-CA"/>
        </w:rPr>
        <w:t>Réponse du gouvernement au quinzième rapport du Comité permanent des communications et de la culture : Pour une politique canadienne de la radiodiffusion</w:t>
      </w:r>
      <w:r w:rsidRPr="00E739DA">
        <w:rPr>
          <w:rFonts w:cs="Times New Roman"/>
          <w:lang w:val="fr-CA"/>
        </w:rPr>
        <w:t xml:space="preserve"> (1988), il est également fait état du fait qu</w:t>
      </w:r>
      <w:r>
        <w:rPr>
          <w:rFonts w:cs="Times New Roman"/>
          <w:lang w:val="fr-CA"/>
        </w:rPr>
        <w:t>’</w:t>
      </w:r>
      <w:r w:rsidRPr="00E739DA">
        <w:rPr>
          <w:rFonts w:cs="Times New Roman"/>
          <w:lang w:val="fr-CA"/>
        </w:rPr>
        <w:t>« [e]n vertu de l</w:t>
      </w:r>
      <w:r>
        <w:rPr>
          <w:rFonts w:cs="Times New Roman"/>
          <w:lang w:val="fr-CA"/>
        </w:rPr>
        <w:t>’</w:t>
      </w:r>
      <w:r w:rsidRPr="00E739DA">
        <w:rPr>
          <w:rFonts w:cs="Times New Roman"/>
          <w:lang w:val="fr-CA"/>
        </w:rPr>
        <w:t>alinéa 9(1)h), le CRTC peut exiger la distribution d</w:t>
      </w:r>
      <w:r>
        <w:rPr>
          <w:rFonts w:cs="Times New Roman"/>
          <w:lang w:val="fr-CA"/>
        </w:rPr>
        <w:t>’</w:t>
      </w:r>
      <w:r w:rsidRPr="00E739DA">
        <w:rPr>
          <w:rFonts w:cs="Times New Roman"/>
          <w:lang w:val="fr-CA"/>
        </w:rPr>
        <w:t>un service en particulier » (voir p. 29, 61 et 97) — particulièrement en réponse à la recommandation selon laquelle « [i]l faudrait rédiger la [</w:t>
      </w:r>
      <w:r w:rsidRPr="00E739DA">
        <w:rPr>
          <w:rFonts w:cs="Times New Roman"/>
          <w:i/>
          <w:lang w:val="fr-CA"/>
        </w:rPr>
        <w:t>Loi sur la radiodiffusion</w:t>
      </w:r>
      <w:r w:rsidRPr="00E739DA">
        <w:rPr>
          <w:rFonts w:cs="Times New Roman"/>
          <w:lang w:val="fr-CA"/>
        </w:rPr>
        <w:t>] de façon à ce qu</w:t>
      </w:r>
      <w:r>
        <w:rPr>
          <w:rFonts w:cs="Times New Roman"/>
          <w:lang w:val="fr-CA"/>
        </w:rPr>
        <w:t>’</w:t>
      </w:r>
      <w:r w:rsidRPr="00E739DA">
        <w:rPr>
          <w:rFonts w:cs="Times New Roman"/>
          <w:lang w:val="fr-CA"/>
        </w:rPr>
        <w:t>elle définisse le rôle essentiel des entreprises de distribution, tout comme celui des services de distribution de radio et de télévision canadiennes en français et en anglais, tant publics que privés, en accordant la priorité aux services canadiens du secteur public » (p. 97). Et par suite de l</w:t>
      </w:r>
      <w:r>
        <w:rPr>
          <w:rFonts w:cs="Times New Roman"/>
          <w:lang w:val="fr-CA"/>
        </w:rPr>
        <w:t>’</w:t>
      </w:r>
      <w:r w:rsidRPr="00E739DA">
        <w:rPr>
          <w:rFonts w:cs="Times New Roman"/>
          <w:lang w:val="fr-CA"/>
        </w:rPr>
        <w:t xml:space="preserve">avis formulé par le Comité permanent des communications et de la culture suivant lequel « il faudrait rédiger [la loi] de façon à ce que le [CRTC] soit </w:t>
      </w:r>
      <w:r w:rsidRPr="00E739DA">
        <w:rPr>
          <w:rFonts w:cs="Times New Roman"/>
          <w:lang w:val="fr-CA"/>
        </w:rPr>
        <w:lastRenderedPageBreak/>
        <w:t xml:space="preserve">autorisé à établir toutes les conditions de transmission de services de programmation qui sont nécessaires pour atteindre les objectifs de la loi » (Chambre des Communes, </w:t>
      </w:r>
      <w:r w:rsidRPr="00E739DA">
        <w:rPr>
          <w:rFonts w:cs="Times New Roman"/>
          <w:i/>
          <w:lang w:val="fr-CA"/>
        </w:rPr>
        <w:t>Procès</w:t>
      </w:r>
      <w:r w:rsidRPr="00E739DA">
        <w:rPr>
          <w:rFonts w:cs="Times New Roman"/>
          <w:i/>
          <w:lang w:val="fr-CA"/>
        </w:rPr>
        <w:noBreakHyphen/>
        <w:t>verbaux et témoignages du Comité permanent des communications et de la culture</w:t>
      </w:r>
      <w:r w:rsidRPr="00E739DA">
        <w:rPr>
          <w:rFonts w:cs="Times New Roman"/>
          <w:lang w:val="fr-CA"/>
        </w:rPr>
        <w:t>, n</w:t>
      </w:r>
      <w:r w:rsidRPr="00E739DA">
        <w:rPr>
          <w:rFonts w:cs="Times New Roman"/>
          <w:vertAlign w:val="superscript"/>
          <w:lang w:val="fr-CA"/>
        </w:rPr>
        <w:t>o</w:t>
      </w:r>
      <w:r w:rsidRPr="00E739DA">
        <w:rPr>
          <w:rFonts w:cs="Times New Roman"/>
          <w:lang w:val="fr-CA"/>
        </w:rPr>
        <w:t> 36, 2</w:t>
      </w:r>
      <w:r w:rsidRPr="00E739DA">
        <w:rPr>
          <w:rFonts w:cs="Times New Roman"/>
          <w:vertAlign w:val="superscript"/>
          <w:lang w:val="fr-CA"/>
        </w:rPr>
        <w:t>e</w:t>
      </w:r>
      <w:r w:rsidRPr="00E739DA">
        <w:rPr>
          <w:rFonts w:cs="Times New Roman"/>
          <w:lang w:val="fr-CA"/>
        </w:rPr>
        <w:t xml:space="preserve"> </w:t>
      </w:r>
      <w:proofErr w:type="spellStart"/>
      <w:r w:rsidRPr="00E739DA">
        <w:rPr>
          <w:rFonts w:cs="Times New Roman"/>
          <w:lang w:val="fr-CA"/>
        </w:rPr>
        <w:t>sess</w:t>
      </w:r>
      <w:proofErr w:type="spellEnd"/>
      <w:r w:rsidRPr="00E739DA">
        <w:rPr>
          <w:rFonts w:cs="Times New Roman"/>
          <w:lang w:val="fr-CA"/>
        </w:rPr>
        <w:t>., 33</w:t>
      </w:r>
      <w:r w:rsidRPr="00E739DA">
        <w:rPr>
          <w:rFonts w:cs="Times New Roman"/>
          <w:vertAlign w:val="superscript"/>
          <w:lang w:val="fr-CA"/>
        </w:rPr>
        <w:t>e</w:t>
      </w:r>
      <w:r w:rsidRPr="00E739DA">
        <w:rPr>
          <w:rFonts w:cs="Times New Roman"/>
          <w:lang w:val="fr-CA"/>
        </w:rPr>
        <w:t xml:space="preserve"> </w:t>
      </w:r>
      <w:proofErr w:type="spellStart"/>
      <w:r w:rsidRPr="00E739DA">
        <w:rPr>
          <w:rFonts w:cs="Times New Roman"/>
          <w:lang w:val="fr-CA"/>
        </w:rPr>
        <w:t>lég</w:t>
      </w:r>
      <w:proofErr w:type="spellEnd"/>
      <w:r w:rsidRPr="00E739DA">
        <w:rPr>
          <w:rFonts w:cs="Times New Roman"/>
          <w:lang w:val="fr-CA"/>
        </w:rPr>
        <w:t>., 4 mai 1987, p. 78), le gouvernement se dit convaincu que le libellé étroit de l</w:t>
      </w:r>
      <w:r>
        <w:rPr>
          <w:rFonts w:cs="Times New Roman"/>
          <w:lang w:val="fr-CA"/>
        </w:rPr>
        <w:t>’</w:t>
      </w:r>
      <w:r w:rsidRPr="00E739DA">
        <w:rPr>
          <w:rFonts w:cs="Times New Roman"/>
          <w:lang w:val="fr-CA"/>
        </w:rPr>
        <w:t>al. 9(1)h) constitue une réponse adéquate à cette préoccupation (</w:t>
      </w:r>
      <w:r w:rsidRPr="00E739DA">
        <w:rPr>
          <w:rFonts w:cs="Times New Roman"/>
          <w:i/>
          <w:lang w:val="fr-CA"/>
        </w:rPr>
        <w:t>Réponse du gouvernement</w:t>
      </w:r>
      <w:r w:rsidRPr="00E739DA">
        <w:rPr>
          <w:rFonts w:cs="Times New Roman"/>
          <w:lang w:val="fr-CA"/>
        </w:rPr>
        <w:t>, p. 97).</w:t>
      </w:r>
    </w:p>
    <w:p w:rsidR="005F030A" w:rsidRPr="00E739DA" w:rsidRDefault="005F030A" w:rsidP="005F030A">
      <w:pPr>
        <w:pStyle w:val="ParaNoNdepar-AltN"/>
        <w:spacing w:before="0"/>
        <w:rPr>
          <w:rFonts w:cs="Times New Roman"/>
          <w:lang w:val="fr-CA"/>
        </w:rPr>
      </w:pPr>
      <w:r w:rsidRPr="00E739DA">
        <w:rPr>
          <w:rFonts w:cs="Times New Roman"/>
          <w:lang w:val="fr-CA"/>
        </w:rPr>
        <w:t>Bien que cet historique législatif ne soit certes pas déterminant, il fournit néanmoins des indications additionnelles sur l</w:t>
      </w:r>
      <w:r>
        <w:rPr>
          <w:rFonts w:cs="Times New Roman"/>
          <w:lang w:val="fr-CA"/>
        </w:rPr>
        <w:t>’</w:t>
      </w:r>
      <w:r w:rsidRPr="00E739DA">
        <w:rPr>
          <w:rFonts w:cs="Times New Roman"/>
          <w:lang w:val="fr-CA"/>
        </w:rPr>
        <w:t>interprétation de l</w:t>
      </w:r>
      <w:r>
        <w:rPr>
          <w:rFonts w:cs="Times New Roman"/>
          <w:lang w:val="fr-CA"/>
        </w:rPr>
        <w:t>’</w:t>
      </w:r>
      <w:r w:rsidRPr="00E739DA">
        <w:rPr>
          <w:rFonts w:cs="Times New Roman"/>
          <w:lang w:val="fr-CA"/>
        </w:rPr>
        <w:t>al. 9(1)h), interprétation qui est étayée par le texte et le contexte de cette disposition : à savoir qu</w:t>
      </w:r>
      <w:r>
        <w:rPr>
          <w:rFonts w:cs="Times New Roman"/>
          <w:lang w:val="fr-CA"/>
        </w:rPr>
        <w:t>’</w:t>
      </w:r>
      <w:r w:rsidRPr="00E739DA">
        <w:rPr>
          <w:rFonts w:cs="Times New Roman"/>
          <w:lang w:val="fr-CA"/>
        </w:rPr>
        <w:t>elle confère</w:t>
      </w:r>
      <w:r w:rsidRPr="00E739DA">
        <w:rPr>
          <w:rFonts w:cs="Times New Roman"/>
          <w:i/>
          <w:lang w:val="fr-CA"/>
        </w:rPr>
        <w:t xml:space="preserve"> </w:t>
      </w:r>
      <w:r w:rsidRPr="00E739DA">
        <w:rPr>
          <w:rFonts w:cs="Times New Roman"/>
          <w:lang w:val="fr-CA"/>
        </w:rPr>
        <w:t xml:space="preserve">au CRTC </w:t>
      </w:r>
      <w:r w:rsidRPr="00E739DA">
        <w:rPr>
          <w:rFonts w:cs="Times New Roman"/>
          <w:i/>
          <w:lang w:val="fr-CA"/>
        </w:rPr>
        <w:t>uniquement</w:t>
      </w:r>
      <w:r w:rsidRPr="00E739DA">
        <w:rPr>
          <w:rFonts w:cs="Times New Roman"/>
          <w:lang w:val="fr-CA"/>
        </w:rPr>
        <w:t xml:space="preserve"> le pouvoir de rendre des ordonnances de distribution obligatoire selon des modalités qu</w:t>
      </w:r>
      <w:r>
        <w:rPr>
          <w:rFonts w:cs="Times New Roman"/>
          <w:lang w:val="fr-CA"/>
        </w:rPr>
        <w:t>’</w:t>
      </w:r>
      <w:r w:rsidRPr="00E739DA">
        <w:rPr>
          <w:rFonts w:cs="Times New Roman"/>
          <w:lang w:val="fr-CA"/>
        </w:rPr>
        <w:t>il précise — et ne lui confère pas le « </w:t>
      </w:r>
      <w:r w:rsidRPr="00E739DA">
        <w:rPr>
          <w:rFonts w:cs="Times New Roman"/>
          <w:lang w:val="fr-FR"/>
        </w:rPr>
        <w:t>pouvoir étendu [. . .] de réglementer l</w:t>
      </w:r>
      <w:r>
        <w:rPr>
          <w:rFonts w:cs="Times New Roman"/>
          <w:lang w:val="fr-FR"/>
        </w:rPr>
        <w:t>’</w:t>
      </w:r>
      <w:r w:rsidRPr="00E739DA">
        <w:rPr>
          <w:rFonts w:cs="Times New Roman"/>
          <w:lang w:val="fr-FR"/>
        </w:rPr>
        <w:t>industrie du câble et d</w:t>
      </w:r>
      <w:r>
        <w:rPr>
          <w:rFonts w:cs="Times New Roman"/>
          <w:lang w:val="fr-FR"/>
        </w:rPr>
        <w:t>’</w:t>
      </w:r>
      <w:r w:rsidRPr="00E739DA">
        <w:rPr>
          <w:rFonts w:cs="Times New Roman"/>
          <w:lang w:val="fr-FR"/>
        </w:rPr>
        <w:t xml:space="preserve">imposer </w:t>
      </w:r>
      <w:r w:rsidRPr="00E739DA">
        <w:rPr>
          <w:rFonts w:cs="Times New Roman"/>
          <w:u w:val="single"/>
          <w:lang w:val="fr-FR"/>
        </w:rPr>
        <w:t>toute</w:t>
      </w:r>
      <w:r w:rsidRPr="00E739DA">
        <w:rPr>
          <w:rFonts w:cs="Times New Roman"/>
          <w:lang w:val="fr-FR"/>
        </w:rPr>
        <w:t xml:space="preserve"> condition pour ce faire</w:t>
      </w:r>
      <w:r w:rsidRPr="00E739DA">
        <w:rPr>
          <w:rFonts w:cs="Times New Roman"/>
          <w:lang w:val="fr-CA"/>
        </w:rPr>
        <w:t> » (Décision définitive, par. 21 (nous soulignons)).</w:t>
      </w:r>
    </w:p>
    <w:p w:rsidR="005F030A" w:rsidRPr="00E739DA" w:rsidRDefault="005F030A" w:rsidP="005F030A">
      <w:pPr>
        <w:pStyle w:val="ParaNoNdepar-AltN"/>
        <w:spacing w:before="0"/>
        <w:rPr>
          <w:rFonts w:cs="Times New Roman"/>
          <w:lang w:val="fr-CA"/>
        </w:rPr>
      </w:pPr>
      <w:r w:rsidRPr="00E739DA">
        <w:rPr>
          <w:rFonts w:cs="Times New Roman"/>
          <w:lang w:val="fr-CA"/>
        </w:rPr>
        <w:t>Étant donné que le CRTC ne vise pas, dans l</w:t>
      </w:r>
      <w:r>
        <w:rPr>
          <w:rFonts w:cs="Times New Roman"/>
          <w:lang w:val="fr-CA"/>
        </w:rPr>
        <w:t>’</w:t>
      </w:r>
      <w:r w:rsidRPr="00E739DA">
        <w:rPr>
          <w:rFonts w:cs="Times New Roman"/>
          <w:lang w:val="fr-CA"/>
        </w:rPr>
        <w:t>Ordonnance définitive, à rendre obligatoire la distribution de certains services de programmation, mais plutôt à « </w:t>
      </w:r>
      <w:r w:rsidRPr="00E739DA">
        <w:rPr>
          <w:rFonts w:cs="Times New Roman"/>
          <w:lang w:val="fr-FR"/>
        </w:rPr>
        <w:t xml:space="preserve">ajouter une condition aux [fournisseurs de services de télévision] </w:t>
      </w:r>
      <w:r w:rsidRPr="00E739DA">
        <w:rPr>
          <w:rFonts w:cs="Times New Roman"/>
          <w:u w:val="single"/>
          <w:lang w:val="fr-FR"/>
        </w:rPr>
        <w:t>qui distribuent</w:t>
      </w:r>
      <w:r w:rsidRPr="00E739DA">
        <w:rPr>
          <w:rFonts w:cs="Times New Roman"/>
          <w:lang w:val="fr-FR"/>
        </w:rPr>
        <w:t xml:space="preserve"> une [. . .] station</w:t>
      </w:r>
      <w:r w:rsidRPr="00E739DA">
        <w:rPr>
          <w:rFonts w:cs="Times New Roman"/>
          <w:lang w:val="fr-CA"/>
        </w:rPr>
        <w:t xml:space="preserve"> [canadienne] » qui diffuse le Super </w:t>
      </w:r>
      <w:proofErr w:type="spellStart"/>
      <w:r w:rsidRPr="00E739DA">
        <w:rPr>
          <w:rFonts w:cs="Times New Roman"/>
          <w:lang w:val="fr-CA"/>
        </w:rPr>
        <w:t>Bowl</w:t>
      </w:r>
      <w:proofErr w:type="spellEnd"/>
      <w:r w:rsidRPr="00E739DA">
        <w:rPr>
          <w:rFonts w:cs="Times New Roman"/>
          <w:lang w:val="fr-CA"/>
        </w:rPr>
        <w:t xml:space="preserve"> (Décision définitive, par. 63 (nous soulignons)), cette ordonnance ne pouvait être rendue en vertu du pouvoir délégué au CRTC par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En conséquence, nous sommes d</w:t>
      </w:r>
      <w:r>
        <w:rPr>
          <w:rFonts w:cs="Times New Roman"/>
          <w:lang w:val="fr-CA"/>
        </w:rPr>
        <w:t>’</w:t>
      </w:r>
      <w:r w:rsidRPr="00E739DA">
        <w:rPr>
          <w:rFonts w:cs="Times New Roman"/>
          <w:lang w:val="fr-CA"/>
        </w:rPr>
        <w:t>avis de casser l</w:t>
      </w:r>
      <w:r>
        <w:rPr>
          <w:rFonts w:cs="Times New Roman"/>
          <w:lang w:val="fr-CA"/>
        </w:rPr>
        <w:t>’</w:t>
      </w:r>
      <w:r w:rsidRPr="00E739DA">
        <w:rPr>
          <w:rFonts w:cs="Times New Roman"/>
          <w:lang w:val="fr-CA"/>
        </w:rPr>
        <w:t>Ordonnance définitive, ainsi que la Décision définitive.</w:t>
      </w:r>
    </w:p>
    <w:p w:rsidR="005F030A" w:rsidRPr="00E739DA" w:rsidRDefault="005F030A" w:rsidP="005F030A">
      <w:pPr>
        <w:pStyle w:val="ParaNoNdepar-AltN"/>
        <w:spacing w:before="0"/>
        <w:rPr>
          <w:rFonts w:cs="Times New Roman"/>
          <w:lang w:val="fr-CA"/>
        </w:rPr>
      </w:pPr>
      <w:r w:rsidRPr="00E739DA">
        <w:rPr>
          <w:rFonts w:cs="Times New Roman"/>
          <w:lang w:val="fr-CA"/>
        </w:rPr>
        <w:t>Nous tenons à souligner que les présents pourvois concernent strictement l</w:t>
      </w:r>
      <w:r>
        <w:rPr>
          <w:rFonts w:cs="Times New Roman"/>
          <w:lang w:val="fr-CA"/>
        </w:rPr>
        <w:t>’</w:t>
      </w:r>
      <w:r w:rsidRPr="00E739DA">
        <w:rPr>
          <w:rFonts w:cs="Times New Roman"/>
          <w:lang w:val="fr-CA"/>
        </w:rPr>
        <w:t>étendue du pouvoir conféré au CRTC par l</w:t>
      </w:r>
      <w:r>
        <w:rPr>
          <w:rFonts w:cs="Times New Roman"/>
          <w:lang w:val="fr-CA"/>
        </w:rPr>
        <w:t>’</w:t>
      </w:r>
      <w:r w:rsidRPr="00E739DA">
        <w:rPr>
          <w:rFonts w:cs="Times New Roman"/>
          <w:lang w:val="fr-CA"/>
        </w:rPr>
        <w:t xml:space="preserve">al. 9(1)h) de la </w:t>
      </w:r>
      <w:r w:rsidRPr="00E739DA">
        <w:rPr>
          <w:rFonts w:cs="Times New Roman"/>
          <w:i/>
          <w:lang w:val="fr-CA"/>
        </w:rPr>
        <w:t>Loi sur la radiodiffusion</w:t>
      </w:r>
      <w:r w:rsidRPr="00E739DA">
        <w:rPr>
          <w:rFonts w:cs="Times New Roman"/>
          <w:lang w:val="fr-CA"/>
        </w:rPr>
        <w:t xml:space="preserve">, </w:t>
      </w:r>
      <w:r w:rsidRPr="00E739DA">
        <w:rPr>
          <w:rFonts w:cs="Times New Roman"/>
          <w:lang w:val="fr-CA"/>
        </w:rPr>
        <w:lastRenderedPageBreak/>
        <w:t>et que ni Bell ni la NFL ne contestent la décision de la Cour d</w:t>
      </w:r>
      <w:r>
        <w:rPr>
          <w:rFonts w:cs="Times New Roman"/>
          <w:lang w:val="fr-CA"/>
        </w:rPr>
        <w:t>’</w:t>
      </w:r>
      <w:r w:rsidRPr="00E739DA">
        <w:rPr>
          <w:rFonts w:cs="Times New Roman"/>
          <w:lang w:val="fr-CA"/>
        </w:rPr>
        <w:t>appel fédérale selon laquelle il était raisonnable de la part du CRTC de conclure qu</w:t>
      </w:r>
      <w:r>
        <w:rPr>
          <w:rFonts w:cs="Times New Roman"/>
          <w:lang w:val="fr-CA"/>
        </w:rPr>
        <w:t>’</w:t>
      </w:r>
      <w:r w:rsidRPr="00E739DA">
        <w:rPr>
          <w:rFonts w:cs="Times New Roman"/>
          <w:lang w:val="fr-CA"/>
        </w:rPr>
        <w:t>il était dans l</w:t>
      </w:r>
      <w:r>
        <w:rPr>
          <w:rFonts w:cs="Times New Roman"/>
          <w:lang w:val="fr-CA"/>
        </w:rPr>
        <w:t>’</w:t>
      </w:r>
      <w:r w:rsidRPr="00E739DA">
        <w:rPr>
          <w:rFonts w:cs="Times New Roman"/>
          <w:lang w:val="fr-CA"/>
        </w:rPr>
        <w:t>intérêt du public d</w:t>
      </w:r>
      <w:r>
        <w:rPr>
          <w:rFonts w:cs="Times New Roman"/>
          <w:lang w:val="fr-CA"/>
        </w:rPr>
        <w:t>’</w:t>
      </w:r>
      <w:r w:rsidRPr="00E739DA">
        <w:rPr>
          <w:rFonts w:cs="Times New Roman"/>
          <w:lang w:val="fr-CA"/>
        </w:rPr>
        <w:t>exempter le Super </w:t>
      </w:r>
      <w:proofErr w:type="spellStart"/>
      <w:r w:rsidRPr="00E739DA">
        <w:rPr>
          <w:rFonts w:cs="Times New Roman"/>
          <w:lang w:val="fr-CA"/>
        </w:rPr>
        <w:t>Bowl</w:t>
      </w:r>
      <w:proofErr w:type="spellEnd"/>
      <w:r w:rsidRPr="00E739DA">
        <w:rPr>
          <w:rFonts w:cs="Times New Roman"/>
          <w:lang w:val="fr-CA"/>
        </w:rPr>
        <w:t xml:space="preserve"> du régime de substitution simultanée (par. 23</w:t>
      </w:r>
      <w:r w:rsidRPr="00E739DA">
        <w:rPr>
          <w:rFonts w:cs="Times New Roman"/>
          <w:lang w:val="fr-CA"/>
        </w:rPr>
        <w:noBreakHyphen/>
        <w:t>24). Par conséquent, et bien que nous maintenions que l</w:t>
      </w:r>
      <w:r>
        <w:rPr>
          <w:rFonts w:cs="Times New Roman"/>
          <w:lang w:val="fr-CA"/>
        </w:rPr>
        <w:t>’</w:t>
      </w:r>
      <w:r w:rsidRPr="00E739DA">
        <w:rPr>
          <w:rFonts w:cs="Times New Roman"/>
          <w:lang w:val="fr-CA"/>
        </w:rPr>
        <w:t>al. 9(1)h) n</w:t>
      </w:r>
      <w:r>
        <w:rPr>
          <w:rFonts w:cs="Times New Roman"/>
          <w:lang w:val="fr-CA"/>
        </w:rPr>
        <w:t>’</w:t>
      </w:r>
      <w:r w:rsidRPr="00E739DA">
        <w:rPr>
          <w:rFonts w:cs="Times New Roman"/>
          <w:lang w:val="fr-CA"/>
        </w:rPr>
        <w:t>habilite pas le CRTC à mettre en œuvre cette décision de politique générale, nous ne nous prononçons pas sur la question de savoir si le CRTC peut le faire en vertu d</w:t>
      </w:r>
      <w:r>
        <w:rPr>
          <w:rFonts w:cs="Times New Roman"/>
          <w:lang w:val="fr-CA"/>
        </w:rPr>
        <w:t>’</w:t>
      </w:r>
      <w:r w:rsidRPr="00E739DA">
        <w:rPr>
          <w:rFonts w:cs="Times New Roman"/>
          <w:lang w:val="fr-CA"/>
        </w:rPr>
        <w:t>un autre pouvoir prévu par la loi.</w:t>
      </w:r>
    </w:p>
    <w:p w:rsidR="005F030A" w:rsidRPr="00E739DA" w:rsidRDefault="005F030A" w:rsidP="005F030A">
      <w:pPr>
        <w:pStyle w:val="Title1LevelTitre1Niveau-AltL"/>
        <w:spacing w:before="0"/>
        <w:rPr>
          <w:rFonts w:cs="Times New Roman"/>
          <w:lang w:val="fr-CA"/>
        </w:rPr>
      </w:pPr>
      <w:r w:rsidRPr="00E739DA">
        <w:rPr>
          <w:rFonts w:cs="Times New Roman"/>
          <w:lang w:val="fr-CA"/>
        </w:rPr>
        <w:t>Conclusion</w:t>
      </w:r>
    </w:p>
    <w:p w:rsidR="005F030A" w:rsidRPr="001E3E90" w:rsidRDefault="005F030A" w:rsidP="001E3E90">
      <w:pPr>
        <w:pStyle w:val="ParaNoNdepar-AltN"/>
        <w:rPr>
          <w:rFonts w:eastAsiaTheme="minorHAnsi" w:cs="Times New Roman"/>
          <w:u w:val="single"/>
          <w:lang w:val="fr-CA"/>
        </w:rPr>
      </w:pPr>
      <w:r w:rsidRPr="00E739DA">
        <w:rPr>
          <w:rFonts w:cs="Times New Roman"/>
          <w:lang w:val="fr-CA"/>
        </w:rPr>
        <w:t>Pour les motifs qui précèdent, nous sommes d</w:t>
      </w:r>
      <w:r>
        <w:rPr>
          <w:rFonts w:cs="Times New Roman"/>
          <w:lang w:val="fr-CA"/>
        </w:rPr>
        <w:t>’</w:t>
      </w:r>
      <w:r w:rsidRPr="00E739DA">
        <w:rPr>
          <w:rFonts w:cs="Times New Roman"/>
          <w:lang w:val="fr-CA"/>
        </w:rPr>
        <w:t>avis d</w:t>
      </w:r>
      <w:r>
        <w:rPr>
          <w:rFonts w:cs="Times New Roman"/>
          <w:lang w:val="fr-CA"/>
        </w:rPr>
        <w:t>’</w:t>
      </w:r>
      <w:r w:rsidRPr="00E739DA">
        <w:rPr>
          <w:rFonts w:cs="Times New Roman"/>
          <w:lang w:val="fr-CA"/>
        </w:rPr>
        <w:t>accueillir les pourvois avec dépens dans toutes les cours, d</w:t>
      </w:r>
      <w:r>
        <w:rPr>
          <w:rFonts w:cs="Times New Roman"/>
          <w:lang w:val="fr-CA"/>
        </w:rPr>
        <w:t>’</w:t>
      </w:r>
      <w:r w:rsidRPr="00E739DA">
        <w:rPr>
          <w:rFonts w:cs="Times New Roman"/>
          <w:lang w:val="fr-CA"/>
        </w:rPr>
        <w:t>infirmer l</w:t>
      </w:r>
      <w:r>
        <w:rPr>
          <w:rFonts w:cs="Times New Roman"/>
          <w:lang w:val="fr-CA"/>
        </w:rPr>
        <w:t>’</w:t>
      </w:r>
      <w:r w:rsidRPr="00E739DA">
        <w:rPr>
          <w:rFonts w:cs="Times New Roman"/>
          <w:lang w:val="fr-CA"/>
        </w:rPr>
        <w:t>arrêt de la Cour d</w:t>
      </w:r>
      <w:r>
        <w:rPr>
          <w:rFonts w:cs="Times New Roman"/>
          <w:lang w:val="fr-CA"/>
        </w:rPr>
        <w:t>’</w:t>
      </w:r>
      <w:r w:rsidRPr="00E739DA">
        <w:rPr>
          <w:rFonts w:cs="Times New Roman"/>
          <w:lang w:val="fr-CA"/>
        </w:rPr>
        <w:t>appel fédérale et de casser les décisions du CRTC (CRTC 2016</w:t>
      </w:r>
      <w:r w:rsidRPr="00E739DA">
        <w:rPr>
          <w:rFonts w:cs="Times New Roman"/>
          <w:lang w:val="fr-CA"/>
        </w:rPr>
        <w:noBreakHyphen/>
        <w:t>3</w:t>
      </w:r>
      <w:r>
        <w:rPr>
          <w:rFonts w:cs="Times New Roman"/>
          <w:lang w:val="fr-CA"/>
        </w:rPr>
        <w:t>3</w:t>
      </w:r>
      <w:r w:rsidRPr="00E739DA">
        <w:rPr>
          <w:rFonts w:cs="Times New Roman"/>
          <w:lang w:val="fr-CA"/>
        </w:rPr>
        <w:t>4 et CRTC 2016</w:t>
      </w:r>
      <w:r w:rsidRPr="00E739DA">
        <w:rPr>
          <w:rFonts w:cs="Times New Roman"/>
          <w:lang w:val="fr-CA"/>
        </w:rPr>
        <w:noBreakHyphen/>
        <w:t>3</w:t>
      </w:r>
      <w:r>
        <w:rPr>
          <w:rFonts w:cs="Times New Roman"/>
          <w:lang w:val="fr-CA"/>
        </w:rPr>
        <w:t>3</w:t>
      </w:r>
      <w:r w:rsidRPr="00E739DA">
        <w:rPr>
          <w:rFonts w:cs="Times New Roman"/>
          <w:lang w:val="fr-CA"/>
        </w:rPr>
        <w:t>5).</w:t>
      </w:r>
    </w:p>
    <w:p w:rsidR="005C77FF" w:rsidRDefault="005F030A" w:rsidP="00C73DFC">
      <w:pPr>
        <w:ind w:firstLine="1170"/>
        <w:rPr>
          <w:rFonts w:eastAsia="Calibri"/>
          <w:szCs w:val="24"/>
          <w:lang w:val="fr-CA"/>
        </w:rPr>
      </w:pPr>
      <w:r w:rsidRPr="009D1FA7">
        <w:rPr>
          <w:rFonts w:eastAsia="Calibri"/>
          <w:szCs w:val="24"/>
          <w:lang w:val="fr-CA"/>
        </w:rPr>
        <w:t>Version française des motifs rendus par</w:t>
      </w:r>
    </w:p>
    <w:p w:rsidR="005F030A" w:rsidRPr="005C77FF" w:rsidRDefault="005F030A" w:rsidP="005C77FF">
      <w:pPr>
        <w:rPr>
          <w:rFonts w:eastAsia="Calibri"/>
          <w:szCs w:val="24"/>
          <w:lang w:val="fr-CA"/>
        </w:rPr>
      </w:pPr>
      <w:r>
        <w:rPr>
          <w:lang w:val="fr-CA"/>
        </w:rPr>
        <w:t xml:space="preserve"> </w:t>
      </w:r>
    </w:p>
    <w:p w:rsidR="005F030A" w:rsidRPr="009966E9" w:rsidRDefault="001F3C5C" w:rsidP="005C77FF">
      <w:pPr>
        <w:pStyle w:val="ParaNoNdepar-AltN"/>
        <w:rPr>
          <w:lang w:val="fr-CA"/>
        </w:rPr>
      </w:pPr>
      <w:r w:rsidRPr="00C73DFC">
        <w:rPr>
          <w:rFonts w:cs="Times New Roman"/>
          <w:smallCaps/>
          <w:lang w:val="fr-CA"/>
        </w:rPr>
        <w:t>L</w:t>
      </w:r>
      <w:r w:rsidR="005C77FF" w:rsidRPr="00C73DFC">
        <w:rPr>
          <w:rFonts w:cs="Times New Roman"/>
          <w:smallCaps/>
          <w:lang w:val="fr-CA"/>
        </w:rPr>
        <w:t xml:space="preserve">es juges </w:t>
      </w:r>
      <w:proofErr w:type="spellStart"/>
      <w:r w:rsidR="005C77FF" w:rsidRPr="00C73DFC">
        <w:rPr>
          <w:rFonts w:cs="Times New Roman"/>
          <w:smallCaps/>
          <w:lang w:val="fr-CA"/>
        </w:rPr>
        <w:t>abella</w:t>
      </w:r>
      <w:proofErr w:type="spellEnd"/>
      <w:r w:rsidR="005C77FF" w:rsidRPr="00C73DFC">
        <w:rPr>
          <w:rFonts w:cs="Times New Roman"/>
          <w:smallCaps/>
          <w:lang w:val="fr-CA"/>
        </w:rPr>
        <w:t xml:space="preserve"> et </w:t>
      </w:r>
      <w:proofErr w:type="spellStart"/>
      <w:r w:rsidR="005C77FF" w:rsidRPr="00C73DFC">
        <w:rPr>
          <w:rFonts w:cs="Times New Roman"/>
          <w:smallCaps/>
          <w:lang w:val="fr-CA"/>
        </w:rPr>
        <w:t>karakatsanis</w:t>
      </w:r>
      <w:proofErr w:type="spellEnd"/>
      <w:r w:rsidR="005C77FF" w:rsidRPr="005C77FF">
        <w:rPr>
          <w:rFonts w:cs="Times New Roman"/>
          <w:lang w:val="fr-CA"/>
        </w:rPr>
        <w:t xml:space="preserve"> </w:t>
      </w:r>
      <w:r w:rsidR="005F7DB7">
        <w:rPr>
          <w:rFonts w:cs="Times New Roman"/>
          <w:lang w:val="fr-CA"/>
        </w:rPr>
        <w:t xml:space="preserve">(dissidentes) </w:t>
      </w:r>
      <w:r w:rsidR="005C77FF" w:rsidRPr="005C77FF">
        <w:rPr>
          <w:rFonts w:cs="Times New Roman"/>
          <w:lang w:val="fr-CA"/>
        </w:rPr>
        <w:t>—</w:t>
      </w:r>
      <w:r w:rsidR="005F7DB7">
        <w:rPr>
          <w:rFonts w:cs="Times New Roman"/>
          <w:lang w:val="fr-CA"/>
        </w:rPr>
        <w:t xml:space="preserve"> </w:t>
      </w:r>
      <w:r w:rsidR="005F030A" w:rsidRPr="009966E9">
        <w:rPr>
          <w:lang w:val="fr-CA"/>
        </w:rPr>
        <w:t>Ces différentes affaires portent sur la décision qu</w:t>
      </w:r>
      <w:r w:rsidR="005F030A">
        <w:rPr>
          <w:lang w:val="fr-CA"/>
        </w:rPr>
        <w:t>’</w:t>
      </w:r>
      <w:r w:rsidR="005F030A" w:rsidRPr="009966E9">
        <w:rPr>
          <w:lang w:val="fr-CA"/>
        </w:rPr>
        <w:t xml:space="preserve">a rendue le Conseil de la radiodiffusion et des télécommunications canadiennes en 2016 et qui interdit aux diffuseurs de substituer des messages publicitaires canadiens à des messages publicitaires américains pendant la télédiffusion du Super </w:t>
      </w:r>
      <w:proofErr w:type="spellStart"/>
      <w:r w:rsidR="005F030A" w:rsidRPr="009966E9">
        <w:rPr>
          <w:lang w:val="fr-CA"/>
        </w:rPr>
        <w:t>Bowl</w:t>
      </w:r>
      <w:proofErr w:type="spellEnd"/>
      <w:r w:rsidR="005F030A" w:rsidRPr="009966E9">
        <w:rPr>
          <w:lang w:val="fr-CA"/>
        </w:rPr>
        <w:t>. L</w:t>
      </w:r>
      <w:r w:rsidR="005F030A">
        <w:rPr>
          <w:lang w:val="fr-CA"/>
        </w:rPr>
        <w:t>’</w:t>
      </w:r>
      <w:r w:rsidR="005F030A" w:rsidRPr="009966E9">
        <w:rPr>
          <w:lang w:val="fr-CA"/>
        </w:rPr>
        <w:t>issue des pourvois dépend de la question de savoir si l</w:t>
      </w:r>
      <w:r w:rsidR="005F030A">
        <w:rPr>
          <w:lang w:val="fr-CA"/>
        </w:rPr>
        <w:t>’</w:t>
      </w:r>
      <w:r w:rsidR="005F030A" w:rsidRPr="009966E9">
        <w:rPr>
          <w:lang w:val="fr-CA"/>
        </w:rPr>
        <w:t>interprétation donnée par le CRTC à l</w:t>
      </w:r>
      <w:r w:rsidR="005F030A">
        <w:rPr>
          <w:lang w:val="fr-CA"/>
        </w:rPr>
        <w:t>’</w:t>
      </w:r>
      <w:r w:rsidR="005F030A" w:rsidRPr="009966E9">
        <w:rPr>
          <w:lang w:val="fr-CA"/>
        </w:rPr>
        <w:t>expression « services de programmation » qui figure dans sa loi habilitante est raisonnable. À notre avis, cette interprétation était raisonnable et la décision devrait être confirmée.</w:t>
      </w:r>
    </w:p>
    <w:p w:rsidR="005F030A" w:rsidRPr="009966E9" w:rsidRDefault="005F030A" w:rsidP="005F030A">
      <w:pPr>
        <w:pStyle w:val="ParaNoNdepar-AltN"/>
        <w:spacing w:before="0"/>
        <w:rPr>
          <w:rFonts w:cs="Times New Roman"/>
          <w:lang w:val="fr-CA"/>
        </w:rPr>
      </w:pPr>
      <w:r w:rsidRPr="009966E9">
        <w:rPr>
          <w:rFonts w:cs="Times New Roman"/>
          <w:lang w:val="fr-CA"/>
        </w:rPr>
        <w:lastRenderedPageBreak/>
        <w:t>Comme nous l</w:t>
      </w:r>
      <w:r>
        <w:rPr>
          <w:rFonts w:cs="Times New Roman"/>
          <w:lang w:val="fr-CA"/>
        </w:rPr>
        <w:t>’</w:t>
      </w:r>
      <w:r w:rsidRPr="009966E9">
        <w:rPr>
          <w:rFonts w:cs="Times New Roman"/>
          <w:lang w:val="fr-CA"/>
        </w:rPr>
        <w:t>indiquons dans nos motifs concordants dans l</w:t>
      </w:r>
      <w:r>
        <w:rPr>
          <w:rFonts w:cs="Times New Roman"/>
          <w:lang w:val="fr-CA"/>
        </w:rPr>
        <w:t>’</w:t>
      </w:r>
      <w:r w:rsidRPr="009966E9">
        <w:rPr>
          <w:rFonts w:cs="Times New Roman"/>
          <w:lang w:val="fr-CA"/>
        </w:rPr>
        <w:t xml:space="preserve">arrêt </w:t>
      </w:r>
      <w:r w:rsidRPr="009966E9">
        <w:rPr>
          <w:rFonts w:cs="Times New Roman"/>
          <w:i/>
          <w:lang w:val="fr-CA"/>
        </w:rPr>
        <w:t>Canada (</w:t>
      </w:r>
      <w:r w:rsidR="005F7DB7">
        <w:rPr>
          <w:rFonts w:cs="Times New Roman"/>
          <w:i/>
          <w:lang w:val="fr-CA"/>
        </w:rPr>
        <w:t xml:space="preserve">Ministre de la </w:t>
      </w:r>
      <w:r w:rsidRPr="009966E9">
        <w:rPr>
          <w:rFonts w:cs="Times New Roman"/>
          <w:i/>
          <w:lang w:val="fr-CA"/>
        </w:rPr>
        <w:t xml:space="preserve">Citoyenneté et </w:t>
      </w:r>
      <w:r w:rsidR="005F7DB7">
        <w:rPr>
          <w:rFonts w:cs="Times New Roman"/>
          <w:i/>
          <w:lang w:val="fr-CA"/>
        </w:rPr>
        <w:t>de l’</w:t>
      </w:r>
      <w:r w:rsidRPr="009966E9">
        <w:rPr>
          <w:rFonts w:cs="Times New Roman"/>
          <w:i/>
          <w:lang w:val="fr-CA"/>
        </w:rPr>
        <w:t xml:space="preserve">Immigration) c. </w:t>
      </w:r>
      <w:proofErr w:type="spellStart"/>
      <w:r w:rsidRPr="009966E9">
        <w:rPr>
          <w:rFonts w:cs="Times New Roman"/>
          <w:i/>
          <w:lang w:val="fr-CA"/>
        </w:rPr>
        <w:t>Vavilov</w:t>
      </w:r>
      <w:proofErr w:type="spellEnd"/>
      <w:r w:rsidRPr="009966E9">
        <w:rPr>
          <w:rFonts w:cs="Times New Roman"/>
          <w:lang w:val="fr-CA"/>
        </w:rPr>
        <w:t>, 2019 CSC 65,</w:t>
      </w:r>
      <w:r w:rsidR="001F3C5C">
        <w:rPr>
          <w:rFonts w:cs="Times New Roman"/>
          <w:lang w:val="fr-CA"/>
        </w:rPr>
        <w:t xml:space="preserve"> [2019] </w:t>
      </w:r>
      <w:r w:rsidR="004835D7">
        <w:rPr>
          <w:rFonts w:cs="Times New Roman"/>
          <w:lang w:val="fr-CA"/>
        </w:rPr>
        <w:t>4</w:t>
      </w:r>
      <w:r w:rsidR="001F3C5C">
        <w:rPr>
          <w:rFonts w:cs="Times New Roman"/>
          <w:lang w:val="fr-CA"/>
        </w:rPr>
        <w:t xml:space="preserve"> R.C.S. </w:t>
      </w:r>
      <w:r w:rsidR="005F3232">
        <w:rPr>
          <w:rFonts w:cs="Times New Roman"/>
          <w:lang w:val="fr-CA"/>
        </w:rPr>
        <w:t>653</w:t>
      </w:r>
      <w:r w:rsidR="001F3C5C">
        <w:rPr>
          <w:rFonts w:cs="Times New Roman"/>
          <w:lang w:val="fr-CA"/>
        </w:rPr>
        <w:t>,</w:t>
      </w:r>
      <w:r w:rsidRPr="009966E9">
        <w:rPr>
          <w:rFonts w:cs="Times New Roman"/>
          <w:lang w:val="fr-CA"/>
        </w:rPr>
        <w:t xml:space="preserve"> le contrôle des décisions administratives doit en règle générale se faire selon la norme de la décision raisonnable. Aucune des exceptions justifiant le recours à la norme de la décision correcte ne s</w:t>
      </w:r>
      <w:r>
        <w:rPr>
          <w:rFonts w:cs="Times New Roman"/>
          <w:lang w:val="fr-CA"/>
        </w:rPr>
        <w:t>’</w:t>
      </w:r>
      <w:r w:rsidRPr="009966E9">
        <w:rPr>
          <w:rFonts w:cs="Times New Roman"/>
          <w:lang w:val="fr-CA"/>
        </w:rPr>
        <w:t>applique à la décision du CRTC, et l</w:t>
      </w:r>
      <w:r>
        <w:rPr>
          <w:rFonts w:cs="Times New Roman"/>
          <w:lang w:val="fr-CA"/>
        </w:rPr>
        <w:t>’</w:t>
      </w:r>
      <w:r w:rsidRPr="009966E9">
        <w:rPr>
          <w:rFonts w:cs="Times New Roman"/>
          <w:lang w:val="fr-CA"/>
        </w:rPr>
        <w:t>application de la norme de la décision raisonnable est conforme à la très grande expertise que possède le CRTC en la matière. Lors d</w:t>
      </w:r>
      <w:r>
        <w:rPr>
          <w:rFonts w:cs="Times New Roman"/>
          <w:lang w:val="fr-CA"/>
        </w:rPr>
        <w:t>’</w:t>
      </w:r>
      <w:r w:rsidRPr="009966E9">
        <w:rPr>
          <w:rFonts w:cs="Times New Roman"/>
          <w:lang w:val="fr-CA"/>
        </w:rPr>
        <w:t>un examen fondé sur la norme de la décision raisonnable, la cour de révision se demande si, dans son ensemble, la décision est raisonnable eu égard aux motifs exposés et au contexte décisionnel. Les cours de révision doivent porter une attention particulière au contexte administratif de la décision, à ses conséquences et aux implications et défis sur le plan de la mise en œuvre dont a fait état le décideur. Pour avoir gain de cause, la partie qui conteste la décision doit convaincre la cour de révision que la décision est déraisonnable.</w:t>
      </w:r>
    </w:p>
    <w:p w:rsidR="005F030A" w:rsidRPr="009966E9" w:rsidRDefault="005F030A" w:rsidP="005F030A">
      <w:pPr>
        <w:pStyle w:val="ParaNoNdepar-AltN"/>
        <w:spacing w:before="0"/>
        <w:rPr>
          <w:rFonts w:cs="Times New Roman"/>
          <w:lang w:val="fr-CA"/>
        </w:rPr>
      </w:pPr>
      <w:r w:rsidRPr="009966E9">
        <w:rPr>
          <w:rFonts w:cs="Times New Roman"/>
          <w:lang w:val="fr-CA"/>
        </w:rPr>
        <w:t xml:space="preserve">Le Super </w:t>
      </w:r>
      <w:proofErr w:type="spellStart"/>
      <w:r w:rsidRPr="009966E9">
        <w:rPr>
          <w:rFonts w:cs="Times New Roman"/>
          <w:lang w:val="fr-CA"/>
        </w:rPr>
        <w:t>Bowl</w:t>
      </w:r>
      <w:proofErr w:type="spellEnd"/>
      <w:r w:rsidRPr="009966E9">
        <w:rPr>
          <w:rFonts w:cs="Times New Roman"/>
          <w:lang w:val="fr-CA"/>
        </w:rPr>
        <w:t xml:space="preserve"> est le match de championnat qui marque la fin de chaque saison de football que jouent les 32 équipes de la National Football League (NFL). La télédiffusion du Super </w:t>
      </w:r>
      <w:proofErr w:type="spellStart"/>
      <w:r w:rsidRPr="009966E9">
        <w:rPr>
          <w:rFonts w:cs="Times New Roman"/>
          <w:lang w:val="fr-CA"/>
        </w:rPr>
        <w:t>Bowl</w:t>
      </w:r>
      <w:proofErr w:type="spellEnd"/>
      <w:r w:rsidRPr="009966E9">
        <w:rPr>
          <w:rFonts w:cs="Times New Roman"/>
          <w:lang w:val="fr-CA"/>
        </w:rPr>
        <w:t xml:space="preserve"> compte parmi les événements présentés par la télévision canadienne qui attirent le plus de téléspectateurs.</w:t>
      </w:r>
    </w:p>
    <w:p w:rsidR="005F030A" w:rsidRPr="009966E9" w:rsidRDefault="005F030A" w:rsidP="005F030A">
      <w:pPr>
        <w:pStyle w:val="ParaNoNdepar-AltN"/>
        <w:spacing w:before="0"/>
        <w:rPr>
          <w:rFonts w:cs="Times New Roman"/>
          <w:lang w:val="fr-CA"/>
        </w:rPr>
      </w:pPr>
      <w:r w:rsidRPr="009966E9">
        <w:rPr>
          <w:rFonts w:cs="Times New Roman"/>
          <w:lang w:val="fr-CA"/>
        </w:rPr>
        <w:t>Bell Canada est la société mère de Bell Média</w:t>
      </w:r>
      <w:r>
        <w:rPr>
          <w:rFonts w:cs="Times New Roman"/>
          <w:lang w:val="fr-CA"/>
        </w:rPr>
        <w:t xml:space="preserve"> </w:t>
      </w:r>
      <w:proofErr w:type="spellStart"/>
      <w:r>
        <w:rPr>
          <w:rFonts w:cs="Times New Roman"/>
          <w:lang w:val="fr-CA"/>
        </w:rPr>
        <w:t>i</w:t>
      </w:r>
      <w:r w:rsidRPr="009966E9">
        <w:rPr>
          <w:rFonts w:cs="Times New Roman"/>
          <w:lang w:val="fr-CA"/>
        </w:rPr>
        <w:t>nc.</w:t>
      </w:r>
      <w:proofErr w:type="spellEnd"/>
      <w:r w:rsidRPr="009966E9">
        <w:rPr>
          <w:rFonts w:cs="Times New Roman"/>
          <w:lang w:val="fr-CA"/>
        </w:rPr>
        <w:t xml:space="preserve"> (appelées collectivement Bell). En plus de fournir des services de télévision par câble à la population canadienne, Bell est propriétaire</w:t>
      </w:r>
      <w:r>
        <w:rPr>
          <w:rFonts w:cs="Times New Roman"/>
          <w:lang w:val="fr-CA"/>
        </w:rPr>
        <w:noBreakHyphen/>
      </w:r>
      <w:r w:rsidRPr="009966E9">
        <w:rPr>
          <w:rFonts w:cs="Times New Roman"/>
          <w:lang w:val="fr-CA"/>
        </w:rPr>
        <w:t>exploitante de 30 stations de télévision locales de la chaîne CTV à l</w:t>
      </w:r>
      <w:r>
        <w:rPr>
          <w:rFonts w:cs="Times New Roman"/>
          <w:lang w:val="fr-CA"/>
        </w:rPr>
        <w:t>’</w:t>
      </w:r>
      <w:r w:rsidRPr="009966E9">
        <w:rPr>
          <w:rFonts w:cs="Times New Roman"/>
          <w:lang w:val="fr-CA"/>
        </w:rPr>
        <w:t>échelle du pays. En 2013, Bell a acheté une licence exclusive l</w:t>
      </w:r>
      <w:r>
        <w:rPr>
          <w:rFonts w:cs="Times New Roman"/>
          <w:lang w:val="fr-CA"/>
        </w:rPr>
        <w:t>’</w:t>
      </w:r>
      <w:r w:rsidRPr="009966E9">
        <w:rPr>
          <w:rFonts w:cs="Times New Roman"/>
          <w:lang w:val="fr-CA"/>
        </w:rPr>
        <w:t xml:space="preserve">autorisant à télédiffuser le Super </w:t>
      </w:r>
      <w:proofErr w:type="spellStart"/>
      <w:r w:rsidRPr="009966E9">
        <w:rPr>
          <w:rFonts w:cs="Times New Roman"/>
          <w:lang w:val="fr-CA"/>
        </w:rPr>
        <w:t>Bowl</w:t>
      </w:r>
      <w:proofErr w:type="spellEnd"/>
      <w:r w:rsidRPr="009966E9">
        <w:rPr>
          <w:rFonts w:cs="Times New Roman"/>
          <w:lang w:val="fr-CA"/>
        </w:rPr>
        <w:t xml:space="preserve"> sur la chaîne CTV jusqu</w:t>
      </w:r>
      <w:r>
        <w:rPr>
          <w:rFonts w:cs="Times New Roman"/>
          <w:lang w:val="fr-CA"/>
        </w:rPr>
        <w:t>’</w:t>
      </w:r>
      <w:r w:rsidRPr="009966E9">
        <w:rPr>
          <w:rFonts w:cs="Times New Roman"/>
          <w:lang w:val="fr-CA"/>
        </w:rPr>
        <w:t>à la saison 2018</w:t>
      </w:r>
      <w:r>
        <w:rPr>
          <w:rFonts w:cs="Times New Roman"/>
          <w:lang w:val="fr-CA"/>
        </w:rPr>
        <w:noBreakHyphen/>
      </w:r>
      <w:r w:rsidRPr="009966E9">
        <w:rPr>
          <w:rFonts w:cs="Times New Roman"/>
          <w:lang w:val="fr-CA"/>
        </w:rPr>
        <w:t>2019.</w:t>
      </w:r>
    </w:p>
    <w:p w:rsidR="005F030A" w:rsidRPr="009966E9" w:rsidRDefault="005F030A" w:rsidP="005F030A">
      <w:pPr>
        <w:pStyle w:val="ParaNoNdepar-AltN"/>
        <w:spacing w:before="0"/>
        <w:rPr>
          <w:rFonts w:cs="Times New Roman"/>
          <w:lang w:val="fr-CA"/>
        </w:rPr>
      </w:pPr>
      <w:r w:rsidRPr="009966E9">
        <w:rPr>
          <w:rFonts w:cs="Times New Roman"/>
          <w:lang w:val="fr-CA"/>
        </w:rPr>
        <w:lastRenderedPageBreak/>
        <w:t xml:space="preserve">Le Conseil de la radiodiffusion et des télécommunications canadiennes est un organisme de réglementation qui a été établi en 1976. </w:t>
      </w:r>
      <w:r w:rsidRPr="009966E9">
        <w:rPr>
          <w:rFonts w:cs="Times New Roman"/>
        </w:rPr>
        <w:t xml:space="preserve">Il a </w:t>
      </w:r>
      <w:proofErr w:type="spellStart"/>
      <w:r w:rsidRPr="009966E9">
        <w:rPr>
          <w:rFonts w:cs="Times New Roman"/>
        </w:rPr>
        <w:t>été</w:t>
      </w:r>
      <w:proofErr w:type="spellEnd"/>
      <w:r w:rsidRPr="009966E9">
        <w:rPr>
          <w:rFonts w:cs="Times New Roman"/>
        </w:rPr>
        <w:t xml:space="preserve"> </w:t>
      </w:r>
      <w:proofErr w:type="spellStart"/>
      <w:r w:rsidRPr="009966E9">
        <w:rPr>
          <w:rFonts w:cs="Times New Roman"/>
        </w:rPr>
        <w:t>qualifié</w:t>
      </w:r>
      <w:proofErr w:type="spellEnd"/>
      <w:r w:rsidRPr="009966E9">
        <w:rPr>
          <w:rFonts w:cs="Times New Roman"/>
        </w:rPr>
        <w:t xml:space="preserve"> d</w:t>
      </w:r>
      <w:r>
        <w:rPr>
          <w:rFonts w:cs="Times New Roman"/>
        </w:rPr>
        <w:t>’</w:t>
      </w:r>
      <w:r w:rsidRPr="009966E9">
        <w:rPr>
          <w:rFonts w:cs="Times New Roman"/>
        </w:rPr>
        <w:t>« </w:t>
      </w:r>
      <w:proofErr w:type="spellStart"/>
      <w:r w:rsidRPr="009966E9">
        <w:rPr>
          <w:rFonts w:cs="Times New Roman"/>
        </w:rPr>
        <w:t>archétype</w:t>
      </w:r>
      <w:proofErr w:type="spellEnd"/>
      <w:r w:rsidRPr="009966E9">
        <w:rPr>
          <w:rFonts w:cs="Times New Roman"/>
        </w:rPr>
        <w:t xml:space="preserve"> » du tribunal </w:t>
      </w:r>
      <w:proofErr w:type="spellStart"/>
      <w:r w:rsidRPr="009966E9">
        <w:rPr>
          <w:rFonts w:cs="Times New Roman"/>
        </w:rPr>
        <w:t>administratif</w:t>
      </w:r>
      <w:proofErr w:type="spellEnd"/>
      <w:r w:rsidRPr="009966E9">
        <w:rPr>
          <w:rFonts w:cs="Times New Roman"/>
        </w:rPr>
        <w:t xml:space="preserve"> </w:t>
      </w:r>
      <w:proofErr w:type="spellStart"/>
      <w:r w:rsidRPr="009966E9">
        <w:rPr>
          <w:rFonts w:cs="Times New Roman"/>
        </w:rPr>
        <w:t>spécialisé</w:t>
      </w:r>
      <w:proofErr w:type="spellEnd"/>
      <w:r w:rsidRPr="009966E9">
        <w:rPr>
          <w:rFonts w:cs="Times New Roman"/>
        </w:rPr>
        <w:t xml:space="preserve"> (B. </w:t>
      </w:r>
      <w:proofErr w:type="spellStart"/>
      <w:r w:rsidRPr="009966E9">
        <w:rPr>
          <w:rFonts w:cs="Times New Roman"/>
        </w:rPr>
        <w:t>Kain</w:t>
      </w:r>
      <w:proofErr w:type="spellEnd"/>
      <w:r w:rsidRPr="009966E9">
        <w:rPr>
          <w:rFonts w:cs="Times New Roman"/>
        </w:rPr>
        <w:t xml:space="preserve">, « Developments in Communications </w:t>
      </w:r>
      <w:proofErr w:type="gramStart"/>
      <w:r w:rsidRPr="009966E9">
        <w:rPr>
          <w:rFonts w:cs="Times New Roman"/>
        </w:rPr>
        <w:t>Law</w:t>
      </w:r>
      <w:r w:rsidR="001F3C5C">
        <w:rPr>
          <w:rFonts w:cs="Times New Roman"/>
        </w:rPr>
        <w:t xml:space="preserve"> </w:t>
      </w:r>
      <w:r w:rsidRPr="009966E9">
        <w:rPr>
          <w:rFonts w:cs="Times New Roman"/>
        </w:rPr>
        <w:t>:</w:t>
      </w:r>
      <w:proofErr w:type="gramEnd"/>
      <w:r w:rsidRPr="009966E9">
        <w:rPr>
          <w:rFonts w:cs="Times New Roman"/>
        </w:rPr>
        <w:t xml:space="preserve"> The 2012</w:t>
      </w:r>
      <w:r>
        <w:rPr>
          <w:rFonts w:cs="Times New Roman"/>
        </w:rPr>
        <w:noBreakHyphen/>
        <w:t xml:space="preserve">2013 Term — </w:t>
      </w:r>
      <w:r w:rsidRPr="009966E9">
        <w:rPr>
          <w:rFonts w:cs="Times New Roman"/>
        </w:rPr>
        <w:t xml:space="preserve">The </w:t>
      </w:r>
      <w:r w:rsidRPr="009966E9">
        <w:rPr>
          <w:rFonts w:cs="Times New Roman"/>
          <w:i/>
        </w:rPr>
        <w:t>Broadcasting Reference</w:t>
      </w:r>
      <w:r w:rsidRPr="009966E9">
        <w:rPr>
          <w:rFonts w:cs="Times New Roman"/>
        </w:rPr>
        <w:t xml:space="preserve">, the Supreme Court and the Limits of the CRTC » (2014), 64 </w:t>
      </w:r>
      <w:r w:rsidRPr="009966E9">
        <w:rPr>
          <w:rFonts w:cs="Times New Roman"/>
          <w:i/>
        </w:rPr>
        <w:t>S.C.L.R.</w:t>
      </w:r>
      <w:r w:rsidRPr="009966E9">
        <w:rPr>
          <w:rFonts w:cs="Times New Roman"/>
        </w:rPr>
        <w:t xml:space="preserve"> (2d) 63, </w:t>
      </w:r>
      <w:r>
        <w:rPr>
          <w:rFonts w:cs="Times New Roman"/>
        </w:rPr>
        <w:t>p. </w:t>
      </w:r>
      <w:r w:rsidRPr="009966E9">
        <w:rPr>
          <w:rFonts w:cs="Times New Roman"/>
        </w:rPr>
        <w:t xml:space="preserve">63). </w:t>
      </w:r>
      <w:r w:rsidRPr="009966E9">
        <w:rPr>
          <w:rFonts w:cs="Times New Roman"/>
          <w:lang w:val="fr-CA"/>
        </w:rPr>
        <w:t>Le Parlement a conféré au CRTC un vaste mandat l</w:t>
      </w:r>
      <w:r>
        <w:rPr>
          <w:rFonts w:cs="Times New Roman"/>
          <w:lang w:val="fr-CA"/>
        </w:rPr>
        <w:t>’</w:t>
      </w:r>
      <w:r w:rsidRPr="009966E9">
        <w:rPr>
          <w:rFonts w:cs="Times New Roman"/>
          <w:lang w:val="fr-CA"/>
        </w:rPr>
        <w:t>habilitant à prendre des mesures en vue de favoriser la mise en œuvre de la politique canadienne de radiodiffusion (</w:t>
      </w:r>
      <w:r w:rsidRPr="009966E9">
        <w:rPr>
          <w:rFonts w:cs="Times New Roman"/>
          <w:i/>
          <w:lang w:val="fr-CA"/>
        </w:rPr>
        <w:t>Renvoi relatif à la Politique réglementaire de radiodiffusion CRTC 2010</w:t>
      </w:r>
      <w:r>
        <w:rPr>
          <w:rFonts w:cs="Times New Roman"/>
          <w:i/>
          <w:lang w:val="fr-CA"/>
        </w:rPr>
        <w:noBreakHyphen/>
      </w:r>
      <w:r w:rsidRPr="009966E9">
        <w:rPr>
          <w:rFonts w:cs="Times New Roman"/>
          <w:i/>
          <w:lang w:val="fr-CA"/>
        </w:rPr>
        <w:t>167 et l</w:t>
      </w:r>
      <w:r>
        <w:rPr>
          <w:rFonts w:cs="Times New Roman"/>
          <w:i/>
          <w:lang w:val="fr-CA"/>
        </w:rPr>
        <w:t>’</w:t>
      </w:r>
      <w:r w:rsidRPr="009966E9">
        <w:rPr>
          <w:rFonts w:cs="Times New Roman"/>
          <w:i/>
          <w:lang w:val="fr-CA"/>
        </w:rPr>
        <w:t>ordonnance de radiodiffusion CRTC 2010</w:t>
      </w:r>
      <w:r>
        <w:rPr>
          <w:rFonts w:cs="Times New Roman"/>
          <w:i/>
          <w:lang w:val="fr-CA"/>
        </w:rPr>
        <w:noBreakHyphen/>
      </w:r>
      <w:r w:rsidRPr="009966E9">
        <w:rPr>
          <w:rFonts w:cs="Times New Roman"/>
          <w:i/>
          <w:lang w:val="fr-CA"/>
        </w:rPr>
        <w:t>168</w:t>
      </w:r>
      <w:r w:rsidRPr="009966E9">
        <w:rPr>
          <w:rFonts w:cs="Times New Roman"/>
          <w:lang w:val="fr-CA"/>
        </w:rPr>
        <w:t xml:space="preserve">, [2012] 3 R.C.S. 489, </w:t>
      </w:r>
      <w:r>
        <w:rPr>
          <w:rFonts w:cs="Times New Roman"/>
          <w:lang w:val="fr-CA"/>
        </w:rPr>
        <w:t>par. </w:t>
      </w:r>
      <w:r w:rsidRPr="009966E9">
        <w:rPr>
          <w:rFonts w:cs="Times New Roman"/>
          <w:lang w:val="fr-CA"/>
        </w:rPr>
        <w:t xml:space="preserve">2, le juge </w:t>
      </w:r>
      <w:proofErr w:type="spellStart"/>
      <w:r w:rsidRPr="009966E9">
        <w:rPr>
          <w:rFonts w:cs="Times New Roman"/>
          <w:lang w:val="fr-CA"/>
        </w:rPr>
        <w:t>Rothstein</w:t>
      </w:r>
      <w:proofErr w:type="spellEnd"/>
      <w:r w:rsidRPr="009966E9">
        <w:rPr>
          <w:rFonts w:cs="Times New Roman"/>
          <w:lang w:val="fr-CA"/>
        </w:rPr>
        <w:t>). Au Canada, la politique de radiodiffusion vise à maintenir une culture canadienne distinctive tout en favorisant un environnement concurrentiel pour le développement d</w:t>
      </w:r>
      <w:r>
        <w:rPr>
          <w:rFonts w:cs="Times New Roman"/>
          <w:lang w:val="fr-CA"/>
        </w:rPr>
        <w:t>’</w:t>
      </w:r>
      <w:r w:rsidRPr="009966E9">
        <w:rPr>
          <w:rFonts w:cs="Times New Roman"/>
          <w:lang w:val="fr-CA"/>
        </w:rPr>
        <w:t>une industrie nationale forte dans le secteur des télécommunications (</w:t>
      </w:r>
      <w:r w:rsidRPr="009966E9">
        <w:rPr>
          <w:rFonts w:cs="Times New Roman"/>
          <w:i/>
          <w:lang w:val="fr-CA"/>
        </w:rPr>
        <w:t>Loi sur la radiodiffusion</w:t>
      </w:r>
      <w:r w:rsidRPr="009966E9">
        <w:rPr>
          <w:rFonts w:cs="Times New Roman"/>
          <w:lang w:val="fr-CA"/>
        </w:rPr>
        <w:t xml:space="preserve">, L.C. 1991, c. 11, </w:t>
      </w:r>
      <w:r>
        <w:rPr>
          <w:rFonts w:cs="Times New Roman"/>
          <w:lang w:val="fr-CA"/>
        </w:rPr>
        <w:t>art. </w:t>
      </w:r>
      <w:r w:rsidRPr="009966E9">
        <w:rPr>
          <w:rFonts w:cs="Times New Roman"/>
          <w:lang w:val="fr-CA"/>
        </w:rPr>
        <w:t>3).</w:t>
      </w:r>
    </w:p>
    <w:p w:rsidR="005F030A" w:rsidRPr="009966E9" w:rsidRDefault="005F030A" w:rsidP="005F030A">
      <w:pPr>
        <w:pStyle w:val="ParaNoNdepar-AltN"/>
        <w:spacing w:before="0"/>
        <w:rPr>
          <w:rFonts w:cs="Times New Roman"/>
          <w:lang w:val="fr-CA"/>
        </w:rPr>
      </w:pPr>
      <w:r w:rsidRPr="009966E9">
        <w:rPr>
          <w:rFonts w:cs="Times New Roman"/>
          <w:lang w:val="fr-CA"/>
        </w:rPr>
        <w:t xml:space="preserve">La mission et les pouvoirs du CRTC en matière de radiodiffusion sont énoncés dans la partie II de la </w:t>
      </w:r>
      <w:r w:rsidRPr="009966E9">
        <w:rPr>
          <w:rFonts w:cs="Times New Roman"/>
          <w:i/>
          <w:lang w:val="fr-CA"/>
        </w:rPr>
        <w:t xml:space="preserve">Loi sur la radiodiffusion </w:t>
      </w:r>
      <w:r w:rsidRPr="009966E9">
        <w:rPr>
          <w:rFonts w:cs="Times New Roman"/>
          <w:lang w:val="fr-CA"/>
        </w:rPr>
        <w:t xml:space="preserve">(voir également la </w:t>
      </w:r>
      <w:r w:rsidRPr="009966E9">
        <w:rPr>
          <w:rFonts w:cs="Times New Roman"/>
          <w:i/>
          <w:lang w:val="fr-CA"/>
        </w:rPr>
        <w:t>Loi sur le Conseil de la radiodiffusion et des télécommunications canadiennes</w:t>
      </w:r>
      <w:r w:rsidRPr="009966E9">
        <w:rPr>
          <w:rFonts w:cs="Times New Roman"/>
          <w:lang w:val="fr-CA"/>
        </w:rPr>
        <w:t>, L.R.C. 1985, c. C</w:t>
      </w:r>
      <w:r>
        <w:rPr>
          <w:rFonts w:cs="Times New Roman"/>
          <w:lang w:val="fr-CA"/>
        </w:rPr>
        <w:noBreakHyphen/>
      </w:r>
      <w:r w:rsidRPr="009966E9">
        <w:rPr>
          <w:rFonts w:cs="Times New Roman"/>
          <w:lang w:val="fr-CA"/>
        </w:rPr>
        <w:t xml:space="preserve">22, </w:t>
      </w:r>
      <w:r>
        <w:rPr>
          <w:rFonts w:cs="Times New Roman"/>
          <w:lang w:val="fr-CA"/>
        </w:rPr>
        <w:t>par. </w:t>
      </w:r>
      <w:r w:rsidRPr="009966E9">
        <w:rPr>
          <w:rFonts w:cs="Times New Roman"/>
          <w:lang w:val="fr-CA"/>
        </w:rPr>
        <w:t>12(1)). Le CRTC octroie des licences à l</w:t>
      </w:r>
      <w:r>
        <w:rPr>
          <w:rFonts w:cs="Times New Roman"/>
          <w:lang w:val="fr-CA"/>
        </w:rPr>
        <w:t>’</w:t>
      </w:r>
      <w:r w:rsidRPr="009966E9">
        <w:rPr>
          <w:rFonts w:cs="Times New Roman"/>
          <w:lang w:val="fr-CA"/>
        </w:rPr>
        <w:t>égard des stations de télévision et des fournisseurs de services de câblodistribution, et il peut assujettir ces licences aux modalités qu</w:t>
      </w:r>
      <w:r>
        <w:rPr>
          <w:rFonts w:cs="Times New Roman"/>
          <w:lang w:val="fr-CA"/>
        </w:rPr>
        <w:t>’</w:t>
      </w:r>
      <w:r w:rsidRPr="009966E9">
        <w:rPr>
          <w:rFonts w:cs="Times New Roman"/>
          <w:lang w:val="fr-CA"/>
        </w:rPr>
        <w:t>il précise. Il peut en outre prendre des règlements portant sur les normes relatives aux émissions, à la nature de la publicité et à la proportion du temps d</w:t>
      </w:r>
      <w:r>
        <w:rPr>
          <w:rFonts w:cs="Times New Roman"/>
          <w:lang w:val="fr-CA"/>
        </w:rPr>
        <w:t>’</w:t>
      </w:r>
      <w:r w:rsidRPr="009966E9">
        <w:rPr>
          <w:rFonts w:cs="Times New Roman"/>
          <w:lang w:val="fr-CA"/>
        </w:rPr>
        <w:t>antenne qui peut être attribué au contenu canadien ou étranger.</w:t>
      </w:r>
    </w:p>
    <w:p w:rsidR="005F030A" w:rsidRPr="009966E9" w:rsidRDefault="005F030A" w:rsidP="005F030A">
      <w:pPr>
        <w:pStyle w:val="ParaNoNdepar-AltN"/>
        <w:spacing w:before="0"/>
        <w:rPr>
          <w:rFonts w:cs="Times New Roman"/>
          <w:lang w:val="fr-CA"/>
        </w:rPr>
      </w:pPr>
      <w:r w:rsidRPr="009966E9">
        <w:rPr>
          <w:rFonts w:cs="Times New Roman"/>
          <w:lang w:val="fr-CA"/>
        </w:rPr>
        <w:t xml:space="preserve">Parmi les outils de réglementation dont dispose le CRTC, il existe une technique nommée substitution simultanée. Cette technique, qui a été proposée en 1971 </w:t>
      </w:r>
      <w:r w:rsidRPr="009966E9">
        <w:rPr>
          <w:rFonts w:cs="Times New Roman"/>
          <w:lang w:val="fr-CA"/>
        </w:rPr>
        <w:lastRenderedPageBreak/>
        <w:t>par l</w:t>
      </w:r>
      <w:r>
        <w:rPr>
          <w:rFonts w:cs="Times New Roman"/>
          <w:lang w:val="fr-CA"/>
        </w:rPr>
        <w:t>’</w:t>
      </w:r>
      <w:r w:rsidRPr="009966E9">
        <w:rPr>
          <w:rFonts w:cs="Times New Roman"/>
          <w:lang w:val="fr-CA"/>
        </w:rPr>
        <w:t>organisme qui a précédé le CRTC, est un processus par lequel le signal d</w:t>
      </w:r>
      <w:r>
        <w:rPr>
          <w:rFonts w:cs="Times New Roman"/>
          <w:lang w:val="fr-CA"/>
        </w:rPr>
        <w:t>’</w:t>
      </w:r>
      <w:r w:rsidRPr="009966E9">
        <w:rPr>
          <w:rFonts w:cs="Times New Roman"/>
          <w:lang w:val="fr-CA"/>
        </w:rPr>
        <w:t>une station « éloignée » (habituellement aux États</w:t>
      </w:r>
      <w:r>
        <w:rPr>
          <w:rFonts w:cs="Times New Roman"/>
          <w:lang w:val="fr-CA"/>
        </w:rPr>
        <w:noBreakHyphen/>
      </w:r>
      <w:r w:rsidRPr="009966E9">
        <w:rPr>
          <w:rFonts w:cs="Times New Roman"/>
          <w:lang w:val="fr-CA"/>
        </w:rPr>
        <w:t>Unis) est remplacé par le signal d</w:t>
      </w:r>
      <w:r>
        <w:rPr>
          <w:rFonts w:cs="Times New Roman"/>
          <w:lang w:val="fr-CA"/>
        </w:rPr>
        <w:t>’</w:t>
      </w:r>
      <w:r w:rsidRPr="009966E9">
        <w:rPr>
          <w:rFonts w:cs="Times New Roman"/>
          <w:lang w:val="fr-CA"/>
        </w:rPr>
        <w:t xml:space="preserve">une station « locale » (R. Armstrong, </w:t>
      </w:r>
      <w:proofErr w:type="spellStart"/>
      <w:r w:rsidRPr="009966E9">
        <w:rPr>
          <w:rFonts w:cs="Times New Roman"/>
          <w:i/>
          <w:lang w:val="fr-CA"/>
        </w:rPr>
        <w:t>Broadcasting</w:t>
      </w:r>
      <w:proofErr w:type="spellEnd"/>
      <w:r w:rsidRPr="009966E9">
        <w:rPr>
          <w:rFonts w:cs="Times New Roman"/>
          <w:i/>
          <w:lang w:val="fr-CA"/>
        </w:rPr>
        <w:t xml:space="preserve"> Policy in Canada</w:t>
      </w:r>
      <w:r w:rsidRPr="009966E9">
        <w:rPr>
          <w:rFonts w:cs="Times New Roman"/>
          <w:lang w:val="fr-CA"/>
        </w:rPr>
        <w:t xml:space="preserve"> (2</w:t>
      </w:r>
      <w:r w:rsidRPr="009966E9">
        <w:rPr>
          <w:rFonts w:cs="Times New Roman"/>
          <w:vertAlign w:val="superscript"/>
          <w:lang w:val="fr-CA"/>
        </w:rPr>
        <w:t>e</w:t>
      </w:r>
      <w:r w:rsidRPr="009966E9">
        <w:rPr>
          <w:rFonts w:cs="Times New Roman"/>
          <w:lang w:val="fr-CA"/>
        </w:rPr>
        <w:t xml:space="preserve"> éd. 2016), </w:t>
      </w:r>
      <w:r>
        <w:rPr>
          <w:rFonts w:cs="Times New Roman"/>
          <w:lang w:val="fr-CA"/>
        </w:rPr>
        <w:t>p. </w:t>
      </w:r>
      <w:r w:rsidRPr="009966E9">
        <w:rPr>
          <w:rFonts w:cs="Times New Roman"/>
          <w:lang w:val="fr-CA"/>
        </w:rPr>
        <w:t>45). Lorsqu</w:t>
      </w:r>
      <w:r>
        <w:rPr>
          <w:rFonts w:cs="Times New Roman"/>
          <w:lang w:val="fr-CA"/>
        </w:rPr>
        <w:t>’</w:t>
      </w:r>
      <w:r w:rsidRPr="009966E9">
        <w:rPr>
          <w:rFonts w:cs="Times New Roman"/>
          <w:lang w:val="fr-CA"/>
        </w:rPr>
        <w:t>une station canadienne, ou un radiodiffuseur, diffuse une émission américaine en même temps qu</w:t>
      </w:r>
      <w:r>
        <w:rPr>
          <w:rFonts w:cs="Times New Roman"/>
          <w:lang w:val="fr-CA"/>
        </w:rPr>
        <w:t>’</w:t>
      </w:r>
      <w:r w:rsidRPr="009966E9">
        <w:rPr>
          <w:rFonts w:cs="Times New Roman"/>
          <w:lang w:val="fr-CA"/>
        </w:rPr>
        <w:t>une station américaine, la station canadienne peut demander à une entreprise de distribution canadienne — le fournisseur de services de télévision ou de câblodistribution — de remplacer le signal américain par son signal, lequel comprend généralement des messages publicitaires canadiens (</w:t>
      </w:r>
      <w:r w:rsidRPr="009966E9">
        <w:rPr>
          <w:rFonts w:cs="Times New Roman"/>
          <w:i/>
          <w:lang w:val="fr-CA"/>
        </w:rPr>
        <w:t>Règlement sur le retrait et la substitution simultanée de services de programmation</w:t>
      </w:r>
      <w:r w:rsidRPr="009966E9">
        <w:rPr>
          <w:rFonts w:cs="Times New Roman"/>
          <w:lang w:val="fr-CA"/>
        </w:rPr>
        <w:t>, DORS/2015</w:t>
      </w:r>
      <w:r>
        <w:rPr>
          <w:rFonts w:cs="Times New Roman"/>
          <w:lang w:val="fr-CA"/>
        </w:rPr>
        <w:noBreakHyphen/>
      </w:r>
      <w:r w:rsidRPr="009966E9">
        <w:rPr>
          <w:rFonts w:cs="Times New Roman"/>
          <w:lang w:val="fr-CA"/>
        </w:rPr>
        <w:t xml:space="preserve">240, </w:t>
      </w:r>
      <w:r>
        <w:rPr>
          <w:rFonts w:cs="Times New Roman"/>
          <w:lang w:val="fr-CA"/>
        </w:rPr>
        <w:t>art. </w:t>
      </w:r>
      <w:r w:rsidRPr="009966E9">
        <w:rPr>
          <w:rFonts w:cs="Times New Roman"/>
          <w:lang w:val="fr-CA"/>
        </w:rPr>
        <w:t>3 (</w:t>
      </w:r>
      <w:r w:rsidRPr="009966E9">
        <w:rPr>
          <w:rFonts w:cs="Times New Roman"/>
          <w:i/>
          <w:lang w:val="fr-CA"/>
        </w:rPr>
        <w:t>Règlement sur la substitution simultanée</w:t>
      </w:r>
      <w:r w:rsidRPr="009966E9">
        <w:rPr>
          <w:rFonts w:cs="Times New Roman"/>
          <w:lang w:val="fr-CA"/>
        </w:rPr>
        <w:t>)). Tant qu</w:t>
      </w:r>
      <w:r>
        <w:rPr>
          <w:rFonts w:cs="Times New Roman"/>
          <w:lang w:val="fr-CA"/>
        </w:rPr>
        <w:t>’</w:t>
      </w:r>
      <w:r w:rsidRPr="009966E9">
        <w:rPr>
          <w:rFonts w:cs="Times New Roman"/>
          <w:lang w:val="fr-CA"/>
        </w:rPr>
        <w:t>une demande respecte certaines lignes directrices, l</w:t>
      </w:r>
      <w:r>
        <w:rPr>
          <w:rFonts w:cs="Times New Roman"/>
          <w:lang w:val="fr-CA"/>
        </w:rPr>
        <w:t>’</w:t>
      </w:r>
      <w:r w:rsidRPr="009966E9">
        <w:rPr>
          <w:rFonts w:cs="Times New Roman"/>
          <w:lang w:val="fr-CA"/>
        </w:rPr>
        <w:t>entreprise de distribution qui la reçoit doit s</w:t>
      </w:r>
      <w:r>
        <w:rPr>
          <w:rFonts w:cs="Times New Roman"/>
          <w:lang w:val="fr-CA"/>
        </w:rPr>
        <w:t>’</w:t>
      </w:r>
      <w:r w:rsidRPr="009966E9">
        <w:rPr>
          <w:rFonts w:cs="Times New Roman"/>
          <w:lang w:val="fr-CA"/>
        </w:rPr>
        <w:t>y conformer (</w:t>
      </w:r>
      <w:r>
        <w:rPr>
          <w:rFonts w:cs="Times New Roman"/>
          <w:lang w:val="fr-CA"/>
        </w:rPr>
        <w:t>art. </w:t>
      </w:r>
      <w:r w:rsidRPr="009966E9">
        <w:rPr>
          <w:rFonts w:cs="Times New Roman"/>
          <w:lang w:val="fr-CA"/>
        </w:rPr>
        <w:t>4).</w:t>
      </w:r>
    </w:p>
    <w:p w:rsidR="005F030A" w:rsidRPr="009966E9" w:rsidRDefault="005F030A" w:rsidP="005F030A">
      <w:pPr>
        <w:pStyle w:val="ParaNoNdepar-AltN"/>
        <w:spacing w:before="0"/>
        <w:rPr>
          <w:rFonts w:cs="Times New Roman"/>
          <w:lang w:val="fr-CA"/>
        </w:rPr>
      </w:pPr>
      <w:r w:rsidRPr="009966E9">
        <w:rPr>
          <w:rFonts w:cs="Times New Roman"/>
          <w:lang w:val="fr-CA"/>
        </w:rPr>
        <w:t>Les radiodiffuseurs canadiens présentent fréquemment des demandes de substitution simultanée afin de protéger leurs droits de distribution au Canada</w:t>
      </w:r>
      <w:r>
        <w:rPr>
          <w:rFonts w:cs="Times New Roman"/>
          <w:lang w:val="fr-CA"/>
        </w:rPr>
        <w:t xml:space="preserve"> </w:t>
      </w:r>
      <w:r w:rsidRPr="009966E9">
        <w:rPr>
          <w:rFonts w:cs="Times New Roman"/>
          <w:lang w:val="fr-CA"/>
        </w:rPr>
        <w:t xml:space="preserve">(Armstrong, </w:t>
      </w:r>
      <w:r>
        <w:rPr>
          <w:rFonts w:cs="Times New Roman"/>
          <w:lang w:val="fr-CA"/>
        </w:rPr>
        <w:t>p. </w:t>
      </w:r>
      <w:r w:rsidRPr="009966E9">
        <w:rPr>
          <w:rFonts w:cs="Times New Roman"/>
          <w:lang w:val="fr-CA"/>
        </w:rPr>
        <w:t xml:space="preserve">116). La substitution simultanée permet en outre aux sociétés canadiennes de consolider des auditoires pour une émission donnée, ce qui permet aux radiodiffuseurs de demander des tarifs plus élevés pour la publicité pendant cette plage horaire (Armstrong, </w:t>
      </w:r>
      <w:r>
        <w:rPr>
          <w:rFonts w:cs="Times New Roman"/>
          <w:lang w:val="fr-CA"/>
        </w:rPr>
        <w:t>p. </w:t>
      </w:r>
      <w:r w:rsidRPr="009966E9">
        <w:rPr>
          <w:rFonts w:cs="Times New Roman"/>
          <w:lang w:val="fr-CA"/>
        </w:rPr>
        <w:t>54</w:t>
      </w:r>
      <w:r>
        <w:rPr>
          <w:rFonts w:cs="Times New Roman"/>
          <w:lang w:val="fr-CA"/>
        </w:rPr>
        <w:noBreakHyphen/>
      </w:r>
      <w:r w:rsidRPr="009966E9">
        <w:rPr>
          <w:rFonts w:cs="Times New Roman"/>
          <w:lang w:val="fr-CA"/>
        </w:rPr>
        <w:t>55). Selon les données publiées par le CRTC, la substitution simultanée a généré en 2012</w:t>
      </w:r>
      <w:r>
        <w:rPr>
          <w:rFonts w:cs="Times New Roman"/>
          <w:lang w:val="fr-CA"/>
        </w:rPr>
        <w:noBreakHyphen/>
      </w:r>
      <w:r w:rsidRPr="009966E9">
        <w:rPr>
          <w:rFonts w:cs="Times New Roman"/>
          <w:lang w:val="fr-CA"/>
        </w:rPr>
        <w:t>2013 des revenus d</w:t>
      </w:r>
      <w:r>
        <w:rPr>
          <w:rFonts w:cs="Times New Roman"/>
          <w:lang w:val="fr-CA"/>
        </w:rPr>
        <w:t>’</w:t>
      </w:r>
      <w:r w:rsidRPr="009966E9">
        <w:rPr>
          <w:rFonts w:cs="Times New Roman"/>
          <w:lang w:val="fr-CA"/>
        </w:rPr>
        <w:t>environ 250 millions de dollars (Politique réglementaire de radiodiffusion CRTC 2015</w:t>
      </w:r>
      <w:r>
        <w:rPr>
          <w:rFonts w:cs="Times New Roman"/>
          <w:lang w:val="fr-CA"/>
        </w:rPr>
        <w:noBreakHyphen/>
      </w:r>
      <w:r w:rsidRPr="009966E9">
        <w:rPr>
          <w:rFonts w:cs="Times New Roman"/>
          <w:lang w:val="fr-CA"/>
        </w:rPr>
        <w:t>25, 29</w:t>
      </w:r>
      <w:r>
        <w:rPr>
          <w:rFonts w:cs="Times New Roman"/>
          <w:lang w:val="fr-CA"/>
        </w:rPr>
        <w:t> </w:t>
      </w:r>
      <w:r w:rsidRPr="009966E9">
        <w:rPr>
          <w:rFonts w:cs="Times New Roman"/>
          <w:lang w:val="fr-CA"/>
        </w:rPr>
        <w:t>janvier 2015 (en ligne)).</w:t>
      </w:r>
    </w:p>
    <w:p w:rsidR="005F030A" w:rsidRPr="009966E9" w:rsidRDefault="005F030A" w:rsidP="005F030A">
      <w:pPr>
        <w:pStyle w:val="ParaNoNdepar-AltN"/>
        <w:spacing w:before="0"/>
        <w:rPr>
          <w:rFonts w:cs="Times New Roman"/>
          <w:lang w:val="fr-CA"/>
        </w:rPr>
      </w:pPr>
      <w:r w:rsidRPr="009966E9">
        <w:rPr>
          <w:rFonts w:cs="Times New Roman"/>
          <w:lang w:val="fr-CA"/>
        </w:rPr>
        <w:t>En octobre 2013, le CRTC a lancé une consultation publique en trois étapes intitulée « Parlons télé », dans le cadre de laquelle les Canadiens étaient invités à donner leur avis sur l</w:t>
      </w:r>
      <w:r>
        <w:rPr>
          <w:rFonts w:cs="Times New Roman"/>
          <w:lang w:val="fr-CA"/>
        </w:rPr>
        <w:t>’</w:t>
      </w:r>
      <w:r w:rsidRPr="009966E9">
        <w:rPr>
          <w:rFonts w:cs="Times New Roman"/>
          <w:lang w:val="fr-CA"/>
        </w:rPr>
        <w:t>avenir de la télévision canadienne. Le CRTC a signalé qu</w:t>
      </w:r>
      <w:r>
        <w:rPr>
          <w:rFonts w:cs="Times New Roman"/>
          <w:lang w:val="fr-CA"/>
        </w:rPr>
        <w:t>’</w:t>
      </w:r>
      <w:r w:rsidRPr="009966E9">
        <w:rPr>
          <w:rFonts w:cs="Times New Roman"/>
          <w:lang w:val="fr-CA"/>
        </w:rPr>
        <w:t>il avait reçu de nombreuses plaintes à l</w:t>
      </w:r>
      <w:r>
        <w:rPr>
          <w:rFonts w:cs="Times New Roman"/>
          <w:lang w:val="fr-CA"/>
        </w:rPr>
        <w:t>’</w:t>
      </w:r>
      <w:r w:rsidRPr="009966E9">
        <w:rPr>
          <w:rFonts w:cs="Times New Roman"/>
          <w:lang w:val="fr-CA"/>
        </w:rPr>
        <w:t xml:space="preserve">égard de la substitution simultanée, dont 20 pour cent </w:t>
      </w:r>
      <w:r w:rsidRPr="009966E9">
        <w:rPr>
          <w:rFonts w:cs="Times New Roman"/>
          <w:lang w:val="fr-CA"/>
        </w:rPr>
        <w:lastRenderedPageBreak/>
        <w:t>portaient sur les messages publicitaires présentés durant le</w:t>
      </w:r>
      <w:r>
        <w:rPr>
          <w:rFonts w:cs="Times New Roman"/>
          <w:lang w:val="fr-CA"/>
        </w:rPr>
        <w:t xml:space="preserve"> Super </w:t>
      </w:r>
      <w:proofErr w:type="spellStart"/>
      <w:r>
        <w:rPr>
          <w:rFonts w:cs="Times New Roman"/>
          <w:lang w:val="fr-CA"/>
        </w:rPr>
        <w:t>Bowl</w:t>
      </w:r>
      <w:proofErr w:type="spellEnd"/>
      <w:r>
        <w:rPr>
          <w:rFonts w:cs="Times New Roman"/>
          <w:lang w:val="fr-CA"/>
        </w:rPr>
        <w:t xml:space="preserve"> </w:t>
      </w:r>
      <w:r w:rsidRPr="009966E9">
        <w:rPr>
          <w:rFonts w:cs="Times New Roman"/>
          <w:lang w:val="fr-CA"/>
        </w:rPr>
        <w:t>(Avis de consultation de radiodiffusion CRTC 2014</w:t>
      </w:r>
      <w:r>
        <w:rPr>
          <w:rFonts w:cs="Times New Roman"/>
          <w:lang w:val="fr-CA"/>
        </w:rPr>
        <w:noBreakHyphen/>
      </w:r>
      <w:r w:rsidRPr="009966E9">
        <w:rPr>
          <w:rFonts w:cs="Times New Roman"/>
          <w:lang w:val="fr-CA"/>
        </w:rPr>
        <w:t>190, 24</w:t>
      </w:r>
      <w:r>
        <w:rPr>
          <w:rFonts w:cs="Times New Roman"/>
          <w:lang w:val="fr-CA"/>
        </w:rPr>
        <w:t> </w:t>
      </w:r>
      <w:r w:rsidRPr="009966E9">
        <w:rPr>
          <w:rFonts w:cs="Times New Roman"/>
          <w:lang w:val="fr-CA"/>
        </w:rPr>
        <w:t>avril 2014 (en ligne)). Par la suite, afin de fournir des modèles de réforme portant sur un certain nombre de questions et de stimuler les discussions et les débats entre les parties prenantes, le CRTC a publié un document de travail dans lequel il proposait deux solutions pour traiter les plaintes relatives à la substitution simultanée</w:t>
      </w:r>
      <w:r>
        <w:rPr>
          <w:rFonts w:cs="Times New Roman"/>
          <w:lang w:val="fr-CA"/>
        </w:rPr>
        <w:t> :</w:t>
      </w:r>
      <w:r w:rsidRPr="009966E9">
        <w:rPr>
          <w:rFonts w:cs="Times New Roman"/>
          <w:lang w:val="fr-CA"/>
        </w:rPr>
        <w:t xml:space="preserve"> éliminer complètement la substitution simultanée ou l</w:t>
      </w:r>
      <w:r>
        <w:rPr>
          <w:rFonts w:cs="Times New Roman"/>
          <w:lang w:val="fr-CA"/>
        </w:rPr>
        <w:t>’</w:t>
      </w:r>
      <w:r w:rsidRPr="009966E9">
        <w:rPr>
          <w:rFonts w:cs="Times New Roman"/>
          <w:lang w:val="fr-CA"/>
        </w:rPr>
        <w:t xml:space="preserve">éliminer seulement pendant les événements en direct, y compris les événements sportifs comme le Super </w:t>
      </w:r>
      <w:proofErr w:type="spellStart"/>
      <w:r w:rsidRPr="009966E9">
        <w:rPr>
          <w:rFonts w:cs="Times New Roman"/>
          <w:lang w:val="fr-CA"/>
        </w:rPr>
        <w:t>Bowl</w:t>
      </w:r>
      <w:proofErr w:type="spellEnd"/>
      <w:r w:rsidRPr="009966E9">
        <w:rPr>
          <w:rFonts w:cs="Times New Roman"/>
          <w:lang w:val="fr-CA"/>
        </w:rPr>
        <w:t xml:space="preserve"> (Avis de consultation de radiodiffusion CRTC 2014</w:t>
      </w:r>
      <w:r>
        <w:rPr>
          <w:rFonts w:cs="Times New Roman"/>
          <w:lang w:val="fr-CA"/>
        </w:rPr>
        <w:noBreakHyphen/>
      </w:r>
      <w:r w:rsidRPr="009966E9">
        <w:rPr>
          <w:rFonts w:cs="Times New Roman"/>
          <w:lang w:val="fr-CA"/>
        </w:rPr>
        <w:t>190</w:t>
      </w:r>
      <w:r>
        <w:rPr>
          <w:rFonts w:cs="Times New Roman"/>
          <w:lang w:val="fr-CA"/>
        </w:rPr>
        <w:noBreakHyphen/>
      </w:r>
      <w:r w:rsidRPr="009966E9">
        <w:rPr>
          <w:rFonts w:cs="Times New Roman"/>
          <w:lang w:val="fr-CA"/>
        </w:rPr>
        <w:t>3, 21</w:t>
      </w:r>
      <w:r>
        <w:rPr>
          <w:rFonts w:cs="Times New Roman"/>
          <w:lang w:val="fr-CA"/>
        </w:rPr>
        <w:t> </w:t>
      </w:r>
      <w:r w:rsidRPr="009966E9">
        <w:rPr>
          <w:rFonts w:cs="Times New Roman"/>
          <w:lang w:val="fr-CA"/>
        </w:rPr>
        <w:t>août 2014 (en ligne)). Bell a subséquemment présenté au CRTC des éléments de preuve en vue d</w:t>
      </w:r>
      <w:r>
        <w:rPr>
          <w:rFonts w:cs="Times New Roman"/>
          <w:lang w:val="fr-CA"/>
        </w:rPr>
        <w:t>’</w:t>
      </w:r>
      <w:r w:rsidRPr="009966E9">
        <w:rPr>
          <w:rFonts w:cs="Times New Roman"/>
          <w:lang w:val="fr-CA"/>
        </w:rPr>
        <w:t>établir l</w:t>
      </w:r>
      <w:r>
        <w:rPr>
          <w:rFonts w:cs="Times New Roman"/>
          <w:lang w:val="fr-CA"/>
        </w:rPr>
        <w:t>’</w:t>
      </w:r>
      <w:r w:rsidRPr="009966E9">
        <w:rPr>
          <w:rFonts w:cs="Times New Roman"/>
          <w:lang w:val="fr-CA"/>
        </w:rPr>
        <w:t>importance de la substitution simultanée portant sur des événements diffusés en direct, substitutions qui totalisaient jusqu</w:t>
      </w:r>
      <w:r>
        <w:rPr>
          <w:rFonts w:cs="Times New Roman"/>
          <w:lang w:val="fr-CA"/>
        </w:rPr>
        <w:t>’</w:t>
      </w:r>
      <w:r w:rsidRPr="009966E9">
        <w:rPr>
          <w:rFonts w:cs="Times New Roman"/>
          <w:lang w:val="fr-CA"/>
        </w:rPr>
        <w:t>à 33 pour cent de l</w:t>
      </w:r>
      <w:r>
        <w:rPr>
          <w:rFonts w:cs="Times New Roman"/>
          <w:lang w:val="fr-CA"/>
        </w:rPr>
        <w:t>’</w:t>
      </w:r>
      <w:r w:rsidRPr="009966E9">
        <w:rPr>
          <w:rFonts w:cs="Times New Roman"/>
          <w:lang w:val="fr-CA"/>
        </w:rPr>
        <w:t>ensemble des revenus de substitution simultanée de l</w:t>
      </w:r>
      <w:r>
        <w:rPr>
          <w:rFonts w:cs="Times New Roman"/>
          <w:lang w:val="fr-CA"/>
        </w:rPr>
        <w:t>’</w:t>
      </w:r>
      <w:r w:rsidRPr="009966E9">
        <w:rPr>
          <w:rFonts w:cs="Times New Roman"/>
          <w:lang w:val="fr-CA"/>
        </w:rPr>
        <w:t>un de ses réseaux de télévision (CRTC 2015</w:t>
      </w:r>
      <w:r>
        <w:rPr>
          <w:rFonts w:cs="Times New Roman"/>
          <w:lang w:val="fr-CA"/>
        </w:rPr>
        <w:noBreakHyphen/>
      </w:r>
      <w:r w:rsidRPr="009966E9">
        <w:rPr>
          <w:rFonts w:cs="Times New Roman"/>
          <w:lang w:val="fr-CA"/>
        </w:rPr>
        <w:t>25).</w:t>
      </w:r>
    </w:p>
    <w:p w:rsidR="005F030A" w:rsidRPr="009966E9" w:rsidRDefault="005F030A" w:rsidP="005F030A">
      <w:pPr>
        <w:pStyle w:val="ParaNoNdepar-AltN"/>
        <w:spacing w:before="0"/>
        <w:rPr>
          <w:rFonts w:cs="Times New Roman"/>
          <w:lang w:val="fr-CA"/>
        </w:rPr>
      </w:pPr>
      <w:r w:rsidRPr="009966E9">
        <w:rPr>
          <w:rFonts w:cs="Times New Roman"/>
          <w:lang w:val="fr-CA"/>
        </w:rPr>
        <w:t>En janvier 2015, le CRTC a annoncé son intention d</w:t>
      </w:r>
      <w:r>
        <w:rPr>
          <w:rFonts w:cs="Times New Roman"/>
          <w:lang w:val="fr-CA"/>
        </w:rPr>
        <w:t>’</w:t>
      </w:r>
      <w:r w:rsidRPr="009966E9">
        <w:rPr>
          <w:rFonts w:cs="Times New Roman"/>
          <w:lang w:val="fr-CA"/>
        </w:rPr>
        <w:t>aller de l</w:t>
      </w:r>
      <w:r>
        <w:rPr>
          <w:rFonts w:cs="Times New Roman"/>
          <w:lang w:val="fr-CA"/>
        </w:rPr>
        <w:t>’</w:t>
      </w:r>
      <w:r w:rsidRPr="009966E9">
        <w:rPr>
          <w:rFonts w:cs="Times New Roman"/>
          <w:lang w:val="fr-CA"/>
        </w:rPr>
        <w:t>avant avec la deuxième solution, c</w:t>
      </w:r>
      <w:r>
        <w:rPr>
          <w:rFonts w:cs="Times New Roman"/>
          <w:lang w:val="fr-CA"/>
        </w:rPr>
        <w:t>’</w:t>
      </w:r>
      <w:r w:rsidRPr="009966E9">
        <w:rPr>
          <w:rFonts w:cs="Times New Roman"/>
          <w:lang w:val="fr-CA"/>
        </w:rPr>
        <w:t>est</w:t>
      </w:r>
      <w:r>
        <w:rPr>
          <w:rFonts w:cs="Times New Roman"/>
          <w:lang w:val="fr-CA"/>
        </w:rPr>
        <w:noBreakHyphen/>
      </w:r>
      <w:r w:rsidRPr="009966E9">
        <w:rPr>
          <w:rFonts w:cs="Times New Roman"/>
          <w:lang w:val="fr-CA"/>
        </w:rPr>
        <w:t>à</w:t>
      </w:r>
      <w:r>
        <w:rPr>
          <w:rFonts w:cs="Times New Roman"/>
          <w:lang w:val="fr-CA"/>
        </w:rPr>
        <w:noBreakHyphen/>
      </w:r>
      <w:r w:rsidRPr="009966E9">
        <w:rPr>
          <w:rFonts w:cs="Times New Roman"/>
          <w:lang w:val="fr-CA"/>
        </w:rPr>
        <w:t>dire l</w:t>
      </w:r>
      <w:r>
        <w:rPr>
          <w:rFonts w:cs="Times New Roman"/>
          <w:lang w:val="fr-CA"/>
        </w:rPr>
        <w:t>’</w:t>
      </w:r>
      <w:r w:rsidRPr="009966E9">
        <w:rPr>
          <w:rFonts w:cs="Times New Roman"/>
          <w:lang w:val="fr-CA"/>
        </w:rPr>
        <w:t xml:space="preserve">interdiction de la substitution simultanée dans le cas des services spécialisés en général et du Super </w:t>
      </w:r>
      <w:proofErr w:type="spellStart"/>
      <w:r w:rsidRPr="009966E9">
        <w:rPr>
          <w:rFonts w:cs="Times New Roman"/>
          <w:lang w:val="fr-CA"/>
        </w:rPr>
        <w:t>Bowl</w:t>
      </w:r>
      <w:proofErr w:type="spellEnd"/>
      <w:r w:rsidRPr="009966E9">
        <w:rPr>
          <w:rFonts w:cs="Times New Roman"/>
          <w:lang w:val="fr-CA"/>
        </w:rPr>
        <w:t xml:space="preserve"> en particulier, à compter de la radiodiffusion de cet événement en 2017. Il a conclu que cette interdiction partielle serait moins préjudiciable pour l</w:t>
      </w:r>
      <w:r>
        <w:rPr>
          <w:rFonts w:cs="Times New Roman"/>
          <w:lang w:val="fr-CA"/>
        </w:rPr>
        <w:t>’</w:t>
      </w:r>
      <w:r w:rsidRPr="009966E9">
        <w:rPr>
          <w:rFonts w:cs="Times New Roman"/>
          <w:lang w:val="fr-CA"/>
        </w:rPr>
        <w:t>industrie de la radiodiffusion que l</w:t>
      </w:r>
      <w:r>
        <w:rPr>
          <w:rFonts w:cs="Times New Roman"/>
          <w:lang w:val="fr-CA"/>
        </w:rPr>
        <w:t>’</w:t>
      </w:r>
      <w:r w:rsidRPr="009966E9">
        <w:rPr>
          <w:rFonts w:cs="Times New Roman"/>
          <w:lang w:val="fr-CA"/>
        </w:rPr>
        <w:t>élimination complète de la substitution simultanée (CRTC 2015</w:t>
      </w:r>
      <w:r>
        <w:rPr>
          <w:rFonts w:cs="Times New Roman"/>
          <w:lang w:val="fr-CA"/>
        </w:rPr>
        <w:noBreakHyphen/>
      </w:r>
      <w:r w:rsidRPr="009966E9">
        <w:rPr>
          <w:rFonts w:cs="Times New Roman"/>
          <w:lang w:val="fr-CA"/>
        </w:rPr>
        <w:t>25). À la même occasion, le CRTC a annoncé son intention de traiter l</w:t>
      </w:r>
      <w:r>
        <w:rPr>
          <w:rFonts w:cs="Times New Roman"/>
          <w:lang w:val="fr-CA"/>
        </w:rPr>
        <w:t>’</w:t>
      </w:r>
      <w:r w:rsidRPr="009966E9">
        <w:rPr>
          <w:rFonts w:cs="Times New Roman"/>
          <w:lang w:val="fr-CA"/>
        </w:rPr>
        <w:t>enjeu « des erreurs importantes récurrentes de substitution simultanée » en imposant diverses sanctions pour de telles erreurs (CRTC 2015</w:t>
      </w:r>
      <w:r>
        <w:rPr>
          <w:rFonts w:cs="Times New Roman"/>
          <w:lang w:val="fr-CA"/>
        </w:rPr>
        <w:noBreakHyphen/>
      </w:r>
      <w:r w:rsidRPr="009966E9">
        <w:rPr>
          <w:rFonts w:cs="Times New Roman"/>
          <w:lang w:val="fr-CA"/>
        </w:rPr>
        <w:t xml:space="preserve">25, </w:t>
      </w:r>
      <w:r>
        <w:rPr>
          <w:rFonts w:cs="Times New Roman"/>
          <w:lang w:val="fr-CA"/>
        </w:rPr>
        <w:t>par. </w:t>
      </w:r>
      <w:r w:rsidRPr="009966E9">
        <w:rPr>
          <w:rFonts w:cs="Times New Roman"/>
          <w:lang w:val="fr-CA"/>
        </w:rPr>
        <w:t>20).</w:t>
      </w:r>
    </w:p>
    <w:p w:rsidR="005F030A" w:rsidRPr="009966E9" w:rsidRDefault="005F030A" w:rsidP="005F030A">
      <w:pPr>
        <w:pStyle w:val="ParaNoNdepar-AltN"/>
        <w:spacing w:before="0"/>
        <w:rPr>
          <w:rFonts w:cs="Times New Roman"/>
          <w:lang w:val="fr-CA"/>
        </w:rPr>
      </w:pPr>
      <w:r w:rsidRPr="009966E9">
        <w:rPr>
          <w:rFonts w:cs="Times New Roman"/>
          <w:lang w:val="fr-CA"/>
        </w:rPr>
        <w:lastRenderedPageBreak/>
        <w:t>En juillet 2015, le CRTC a publié un avis indiquant qu</w:t>
      </w:r>
      <w:r>
        <w:rPr>
          <w:rFonts w:cs="Times New Roman"/>
          <w:lang w:val="fr-CA"/>
        </w:rPr>
        <w:t>’</w:t>
      </w:r>
      <w:r w:rsidRPr="009966E9">
        <w:rPr>
          <w:rFonts w:cs="Times New Roman"/>
          <w:lang w:val="fr-CA"/>
        </w:rPr>
        <w:t>il mettrait en œuvre sa décision d</w:t>
      </w:r>
      <w:r>
        <w:rPr>
          <w:rFonts w:cs="Times New Roman"/>
          <w:lang w:val="fr-CA"/>
        </w:rPr>
        <w:t>’</w:t>
      </w:r>
      <w:r w:rsidRPr="009966E9">
        <w:rPr>
          <w:rFonts w:cs="Times New Roman"/>
          <w:lang w:val="fr-CA"/>
        </w:rPr>
        <w:t xml:space="preserve">interdire la substitution simultanée pour le Super </w:t>
      </w:r>
      <w:proofErr w:type="spellStart"/>
      <w:r w:rsidRPr="009966E9">
        <w:rPr>
          <w:rFonts w:cs="Times New Roman"/>
          <w:lang w:val="fr-CA"/>
        </w:rPr>
        <w:t>Bowl</w:t>
      </w:r>
      <w:proofErr w:type="spellEnd"/>
      <w:r w:rsidRPr="009966E9">
        <w:rPr>
          <w:rFonts w:cs="Times New Roman"/>
          <w:lang w:val="fr-CA"/>
        </w:rPr>
        <w:t xml:space="preserve"> de 2017 en rendant une ordonnance en vertu de l</w:t>
      </w:r>
      <w:r>
        <w:rPr>
          <w:rFonts w:cs="Times New Roman"/>
          <w:lang w:val="fr-CA"/>
        </w:rPr>
        <w:t>’al. </w:t>
      </w:r>
      <w:r w:rsidRPr="009966E9">
        <w:rPr>
          <w:rFonts w:cs="Times New Roman"/>
          <w:lang w:val="fr-CA"/>
        </w:rPr>
        <w:t xml:space="preserve">9(1)h) de la </w:t>
      </w:r>
      <w:r w:rsidRPr="009966E9">
        <w:rPr>
          <w:rFonts w:cs="Times New Roman"/>
          <w:i/>
          <w:lang w:val="fr-CA"/>
        </w:rPr>
        <w:t xml:space="preserve">Loi sur la radiodiffusion </w:t>
      </w:r>
      <w:r w:rsidRPr="009966E9">
        <w:rPr>
          <w:rFonts w:cs="Times New Roman"/>
          <w:lang w:val="fr-CA"/>
        </w:rPr>
        <w:t>(Avis de consultation de radiodiffusion CRTC 2015</w:t>
      </w:r>
      <w:r>
        <w:rPr>
          <w:rFonts w:cs="Times New Roman"/>
          <w:lang w:val="fr-CA"/>
        </w:rPr>
        <w:noBreakHyphen/>
      </w:r>
      <w:r w:rsidRPr="009966E9">
        <w:rPr>
          <w:rFonts w:cs="Times New Roman"/>
          <w:lang w:val="fr-CA"/>
        </w:rPr>
        <w:t>330, 23</w:t>
      </w:r>
      <w:r>
        <w:rPr>
          <w:rFonts w:cs="Times New Roman"/>
          <w:lang w:val="fr-CA"/>
        </w:rPr>
        <w:t> </w:t>
      </w:r>
      <w:r w:rsidRPr="009966E9">
        <w:rPr>
          <w:rFonts w:cs="Times New Roman"/>
          <w:lang w:val="fr-CA"/>
        </w:rPr>
        <w:t>juillet 2015 (en ligne)). Cette disposition autorise le CRTC à obliger un titulaire de licence à offrir des services de programmation en particulier selon les modalités que le Conseil précise.</w:t>
      </w:r>
    </w:p>
    <w:p w:rsidR="005F030A" w:rsidRPr="009966E9" w:rsidRDefault="005F030A" w:rsidP="005F030A">
      <w:pPr>
        <w:pStyle w:val="ParaNoNdepar-AltN"/>
        <w:spacing w:before="0"/>
        <w:rPr>
          <w:rFonts w:cs="Times New Roman"/>
          <w:lang w:val="fr-CA"/>
        </w:rPr>
      </w:pPr>
      <w:r w:rsidRPr="009966E9">
        <w:rPr>
          <w:rFonts w:cs="Times New Roman"/>
          <w:lang w:val="fr-CA"/>
        </w:rPr>
        <w:t>Dans l</w:t>
      </w:r>
      <w:r>
        <w:rPr>
          <w:rFonts w:cs="Times New Roman"/>
          <w:lang w:val="fr-CA"/>
        </w:rPr>
        <w:t>’</w:t>
      </w:r>
      <w:r w:rsidRPr="009966E9">
        <w:rPr>
          <w:rFonts w:cs="Times New Roman"/>
          <w:lang w:val="fr-CA"/>
        </w:rPr>
        <w:t>avis, le CRTC a également annoncé son intention d</w:t>
      </w:r>
      <w:r>
        <w:rPr>
          <w:rFonts w:cs="Times New Roman"/>
          <w:lang w:val="fr-CA"/>
        </w:rPr>
        <w:t>’</w:t>
      </w:r>
      <w:r w:rsidRPr="009966E9">
        <w:rPr>
          <w:rFonts w:cs="Times New Roman"/>
          <w:lang w:val="fr-CA"/>
        </w:rPr>
        <w:t xml:space="preserve">établir le </w:t>
      </w:r>
      <w:r w:rsidRPr="009966E9">
        <w:rPr>
          <w:rFonts w:cs="Times New Roman"/>
          <w:i/>
          <w:lang w:val="fr-CA"/>
        </w:rPr>
        <w:t>Règlement sur la substitution simultanée</w:t>
      </w:r>
      <w:r w:rsidRPr="009966E9">
        <w:rPr>
          <w:rFonts w:cs="Times New Roman"/>
          <w:lang w:val="fr-CA"/>
        </w:rPr>
        <w:t xml:space="preserve">, lequel actualiserait et modifierait le </w:t>
      </w:r>
      <w:r w:rsidRPr="009966E9">
        <w:rPr>
          <w:rFonts w:cs="Times New Roman"/>
          <w:i/>
          <w:iCs/>
          <w:lang w:val="fr-CA"/>
        </w:rPr>
        <w:t>Règlement sur la distribution de radiodiffusion</w:t>
      </w:r>
      <w:r w:rsidRPr="009966E9">
        <w:rPr>
          <w:rFonts w:cs="Times New Roman"/>
          <w:lang w:val="fr-CA"/>
        </w:rPr>
        <w:t>, DORS/97</w:t>
      </w:r>
      <w:r>
        <w:rPr>
          <w:rFonts w:cs="Times New Roman"/>
          <w:lang w:val="fr-CA"/>
        </w:rPr>
        <w:noBreakHyphen/>
      </w:r>
      <w:r w:rsidRPr="009966E9">
        <w:rPr>
          <w:rFonts w:cs="Times New Roman"/>
          <w:lang w:val="fr-CA"/>
        </w:rPr>
        <w:t>555, qui gouvernait alors le régime. Les parties intéressées se sont vu accorder un délai de deux mois pour présenter leurs observations sur le projet de règlement (CRTC 2015</w:t>
      </w:r>
      <w:r>
        <w:rPr>
          <w:rFonts w:cs="Times New Roman"/>
          <w:lang w:val="fr-CA"/>
        </w:rPr>
        <w:noBreakHyphen/>
      </w:r>
      <w:r w:rsidRPr="009966E9">
        <w:rPr>
          <w:rFonts w:cs="Times New Roman"/>
          <w:lang w:val="fr-CA"/>
        </w:rPr>
        <w:t>330). Le même jour, le CRTC a publié un bulletin d</w:t>
      </w:r>
      <w:r>
        <w:rPr>
          <w:rFonts w:cs="Times New Roman"/>
          <w:lang w:val="fr-CA"/>
        </w:rPr>
        <w:t>’</w:t>
      </w:r>
      <w:r w:rsidRPr="009966E9">
        <w:rPr>
          <w:rFonts w:cs="Times New Roman"/>
          <w:lang w:val="fr-CA"/>
        </w:rPr>
        <w:t>information dans lequel il expliquait la raison d</w:t>
      </w:r>
      <w:r>
        <w:rPr>
          <w:rFonts w:cs="Times New Roman"/>
          <w:lang w:val="fr-CA"/>
        </w:rPr>
        <w:t>’</w:t>
      </w:r>
      <w:r w:rsidRPr="009966E9">
        <w:rPr>
          <w:rFonts w:cs="Times New Roman"/>
          <w:lang w:val="fr-CA"/>
        </w:rPr>
        <w:t>être des changements et indiquait comment les téléspectateurs pouvaient déposer des plaintes relatives à la substitution simultanée (Bulletin d</w:t>
      </w:r>
      <w:r>
        <w:rPr>
          <w:rFonts w:cs="Times New Roman"/>
          <w:lang w:val="fr-CA"/>
        </w:rPr>
        <w:t>’</w:t>
      </w:r>
      <w:r w:rsidRPr="009966E9">
        <w:rPr>
          <w:rFonts w:cs="Times New Roman"/>
          <w:lang w:val="fr-CA"/>
        </w:rPr>
        <w:t>information de radiodiffusion CRTC 2015</w:t>
      </w:r>
      <w:r>
        <w:rPr>
          <w:rFonts w:cs="Times New Roman"/>
          <w:lang w:val="fr-CA"/>
        </w:rPr>
        <w:noBreakHyphen/>
      </w:r>
      <w:r w:rsidRPr="009966E9">
        <w:rPr>
          <w:rFonts w:cs="Times New Roman"/>
          <w:lang w:val="fr-CA"/>
        </w:rPr>
        <w:t>329, 23 juillet 2015 (en ligne)).</w:t>
      </w:r>
    </w:p>
    <w:p w:rsidR="005F030A" w:rsidRPr="009966E9" w:rsidRDefault="005F030A" w:rsidP="005F030A">
      <w:pPr>
        <w:pStyle w:val="ParaNoNdepar-AltN"/>
        <w:spacing w:before="0"/>
        <w:rPr>
          <w:rFonts w:cs="Times New Roman"/>
          <w:lang w:val="fr-CA"/>
        </w:rPr>
      </w:pPr>
      <w:r w:rsidRPr="009966E9">
        <w:rPr>
          <w:rFonts w:cs="Times New Roman"/>
          <w:lang w:val="fr-CA"/>
        </w:rPr>
        <w:t>Bell et la NFL ont déposé des observations auprès du CRTC, en réponse à l</w:t>
      </w:r>
      <w:r>
        <w:rPr>
          <w:rFonts w:cs="Times New Roman"/>
          <w:lang w:val="fr-CA"/>
        </w:rPr>
        <w:t>’</w:t>
      </w:r>
      <w:r w:rsidRPr="009966E9">
        <w:rPr>
          <w:rFonts w:cs="Times New Roman"/>
          <w:lang w:val="fr-CA"/>
        </w:rPr>
        <w:t>appel lancé par celui</w:t>
      </w:r>
      <w:r>
        <w:rPr>
          <w:rFonts w:cs="Times New Roman"/>
          <w:lang w:val="fr-CA"/>
        </w:rPr>
        <w:noBreakHyphen/>
      </w:r>
      <w:r w:rsidRPr="009966E9">
        <w:rPr>
          <w:rFonts w:cs="Times New Roman"/>
          <w:lang w:val="fr-CA"/>
        </w:rPr>
        <w:t>ci en ce sens. Elles ont fait valoir que le CRTC se livrait à de la [</w:t>
      </w:r>
      <w:r w:rsidRPr="009966E9">
        <w:rPr>
          <w:rFonts w:cs="Times New Roman"/>
          <w:smallCaps/>
          <w:lang w:val="fr-CA"/>
        </w:rPr>
        <w:t>traduction</w:t>
      </w:r>
      <w:r w:rsidRPr="009966E9">
        <w:rPr>
          <w:rFonts w:cs="Times New Roman"/>
          <w:lang w:val="fr-CA"/>
        </w:rPr>
        <w:t>] « discrimination administrative » inadmissible en ciblant une émission en particulier, et qu</w:t>
      </w:r>
      <w:r>
        <w:rPr>
          <w:rFonts w:cs="Times New Roman"/>
          <w:lang w:val="fr-CA"/>
        </w:rPr>
        <w:t>’</w:t>
      </w:r>
      <w:r w:rsidRPr="009966E9">
        <w:rPr>
          <w:rFonts w:cs="Times New Roman"/>
          <w:lang w:val="fr-CA"/>
        </w:rPr>
        <w:t>il n</w:t>
      </w:r>
      <w:r>
        <w:rPr>
          <w:rFonts w:cs="Times New Roman"/>
          <w:lang w:val="fr-CA"/>
        </w:rPr>
        <w:t>’</w:t>
      </w:r>
      <w:r w:rsidRPr="009966E9">
        <w:rPr>
          <w:rFonts w:cs="Times New Roman"/>
          <w:lang w:val="fr-CA"/>
        </w:rPr>
        <w:t xml:space="preserve">avait pas compétence pour rendre une ordonnance qui, selon elles, entrait en conflit avec la </w:t>
      </w:r>
      <w:r w:rsidRPr="009966E9">
        <w:rPr>
          <w:rFonts w:cs="Times New Roman"/>
          <w:i/>
          <w:lang w:val="fr-CA"/>
        </w:rPr>
        <w:t>Loi sur le droit d</w:t>
      </w:r>
      <w:r>
        <w:rPr>
          <w:rFonts w:cs="Times New Roman"/>
          <w:i/>
          <w:lang w:val="fr-CA"/>
        </w:rPr>
        <w:t>’</w:t>
      </w:r>
      <w:r w:rsidRPr="009966E9">
        <w:rPr>
          <w:rFonts w:cs="Times New Roman"/>
          <w:i/>
          <w:lang w:val="fr-CA"/>
        </w:rPr>
        <w:t>auteur</w:t>
      </w:r>
      <w:r w:rsidRPr="009966E9">
        <w:rPr>
          <w:rFonts w:cs="Times New Roman"/>
          <w:lang w:val="fr-CA"/>
        </w:rPr>
        <w:t>, L.R.C. 1985, c. C</w:t>
      </w:r>
      <w:r>
        <w:rPr>
          <w:rFonts w:cs="Times New Roman"/>
          <w:lang w:val="fr-CA"/>
        </w:rPr>
        <w:noBreakHyphen/>
      </w:r>
      <w:r w:rsidRPr="009966E9">
        <w:rPr>
          <w:rFonts w:cs="Times New Roman"/>
          <w:lang w:val="fr-CA"/>
        </w:rPr>
        <w:t>42, et avec les obligations issues de traités du Canada. Après avoir reçu ces observations, ainsi que d</w:t>
      </w:r>
      <w:r>
        <w:rPr>
          <w:rFonts w:cs="Times New Roman"/>
          <w:lang w:val="fr-CA"/>
        </w:rPr>
        <w:t>’</w:t>
      </w:r>
      <w:r w:rsidRPr="009966E9">
        <w:rPr>
          <w:rFonts w:cs="Times New Roman"/>
          <w:lang w:val="fr-CA"/>
        </w:rPr>
        <w:t>autres, le CRTC a annoncé l</w:t>
      </w:r>
      <w:r>
        <w:rPr>
          <w:rFonts w:cs="Times New Roman"/>
          <w:lang w:val="fr-CA"/>
        </w:rPr>
        <w:t>’</w:t>
      </w:r>
      <w:r w:rsidRPr="009966E9">
        <w:rPr>
          <w:rFonts w:cs="Times New Roman"/>
          <w:lang w:val="fr-CA"/>
        </w:rPr>
        <w:t xml:space="preserve">édiction du </w:t>
      </w:r>
      <w:r w:rsidRPr="009966E9">
        <w:rPr>
          <w:rFonts w:cs="Times New Roman"/>
          <w:i/>
          <w:lang w:val="fr-CA"/>
        </w:rPr>
        <w:t>Règlement sur la substitution simultanée</w:t>
      </w:r>
      <w:r w:rsidRPr="009966E9">
        <w:rPr>
          <w:rFonts w:cs="Times New Roman"/>
          <w:lang w:val="fr-CA"/>
        </w:rPr>
        <w:t>, en vertu duquel il avait le pouvoir d</w:t>
      </w:r>
      <w:r>
        <w:rPr>
          <w:rFonts w:cs="Times New Roman"/>
          <w:lang w:val="fr-CA"/>
        </w:rPr>
        <w:t>’</w:t>
      </w:r>
      <w:r w:rsidRPr="009966E9">
        <w:rPr>
          <w:rFonts w:cs="Times New Roman"/>
          <w:lang w:val="fr-CA"/>
        </w:rPr>
        <w:t>interdire la substitution simultanée dans l</w:t>
      </w:r>
      <w:r>
        <w:rPr>
          <w:rFonts w:cs="Times New Roman"/>
          <w:lang w:val="fr-CA"/>
        </w:rPr>
        <w:t>’</w:t>
      </w:r>
      <w:r w:rsidRPr="009966E9">
        <w:rPr>
          <w:rFonts w:cs="Times New Roman"/>
          <w:lang w:val="fr-CA"/>
        </w:rPr>
        <w:t xml:space="preserve">intérêt </w:t>
      </w:r>
      <w:r w:rsidRPr="009966E9">
        <w:rPr>
          <w:rFonts w:cs="Times New Roman"/>
          <w:lang w:val="fr-CA"/>
        </w:rPr>
        <w:lastRenderedPageBreak/>
        <w:t>public (</w:t>
      </w:r>
      <w:r>
        <w:rPr>
          <w:rFonts w:cs="Times New Roman"/>
          <w:lang w:val="fr-CA"/>
        </w:rPr>
        <w:t>par. </w:t>
      </w:r>
      <w:r w:rsidRPr="009966E9">
        <w:rPr>
          <w:rFonts w:cs="Times New Roman"/>
          <w:lang w:val="fr-CA"/>
        </w:rPr>
        <w:t>4(3)). Les nouvelles dispositions relatives à l</w:t>
      </w:r>
      <w:r>
        <w:rPr>
          <w:rFonts w:cs="Times New Roman"/>
          <w:lang w:val="fr-CA"/>
        </w:rPr>
        <w:t>’</w:t>
      </w:r>
      <w:r w:rsidRPr="009966E9">
        <w:rPr>
          <w:rFonts w:cs="Times New Roman"/>
          <w:lang w:val="fr-CA"/>
        </w:rPr>
        <w:t xml:space="preserve">intérêt public avaient une portée plus large que celles du </w:t>
      </w:r>
      <w:r w:rsidRPr="009966E9">
        <w:rPr>
          <w:rFonts w:cs="Times New Roman"/>
          <w:i/>
          <w:iCs/>
          <w:lang w:val="fr-CA"/>
        </w:rPr>
        <w:t xml:space="preserve">Règlement sur la distribution de radiodiffusion </w:t>
      </w:r>
      <w:r w:rsidRPr="009966E9">
        <w:rPr>
          <w:rFonts w:cs="Times New Roman"/>
          <w:lang w:val="fr-CA"/>
        </w:rPr>
        <w:t>qui étaient abrogées (</w:t>
      </w:r>
      <w:r>
        <w:rPr>
          <w:rFonts w:cs="Times New Roman"/>
          <w:lang w:val="fr-CA"/>
        </w:rPr>
        <w:t>par. </w:t>
      </w:r>
      <w:r w:rsidRPr="009966E9">
        <w:rPr>
          <w:rFonts w:cs="Times New Roman"/>
          <w:lang w:val="fr-CA"/>
        </w:rPr>
        <w:t>38(4) et 51(3)). De l</w:t>
      </w:r>
      <w:r>
        <w:rPr>
          <w:rFonts w:cs="Times New Roman"/>
          <w:lang w:val="fr-CA"/>
        </w:rPr>
        <w:t>’</w:t>
      </w:r>
      <w:r w:rsidRPr="009966E9">
        <w:rPr>
          <w:rFonts w:cs="Times New Roman"/>
          <w:lang w:val="fr-CA"/>
        </w:rPr>
        <w:t>avis du CRTC, l</w:t>
      </w:r>
      <w:r>
        <w:rPr>
          <w:rFonts w:cs="Times New Roman"/>
          <w:lang w:val="fr-CA"/>
        </w:rPr>
        <w:t>’al. </w:t>
      </w:r>
      <w:r w:rsidRPr="009966E9">
        <w:rPr>
          <w:rFonts w:cs="Times New Roman"/>
          <w:lang w:val="fr-CA"/>
        </w:rPr>
        <w:t xml:space="preserve">9(1)h) de la </w:t>
      </w:r>
      <w:r w:rsidRPr="009966E9">
        <w:rPr>
          <w:rFonts w:cs="Times New Roman"/>
          <w:i/>
          <w:lang w:val="fr-CA"/>
        </w:rPr>
        <w:t>Loi sur la radiodiffusion</w:t>
      </w:r>
      <w:r w:rsidRPr="009966E9">
        <w:rPr>
          <w:rFonts w:cs="Times New Roman"/>
          <w:lang w:val="fr-CA"/>
        </w:rPr>
        <w:t xml:space="preserve"> — qui l</w:t>
      </w:r>
      <w:r>
        <w:rPr>
          <w:rFonts w:cs="Times New Roman"/>
          <w:lang w:val="fr-CA"/>
        </w:rPr>
        <w:t>’</w:t>
      </w:r>
      <w:r w:rsidRPr="009966E9">
        <w:rPr>
          <w:rFonts w:cs="Times New Roman"/>
          <w:lang w:val="fr-CA"/>
        </w:rPr>
        <w:t>autorise à imposer des modalités à l</w:t>
      </w:r>
      <w:r>
        <w:rPr>
          <w:rFonts w:cs="Times New Roman"/>
          <w:lang w:val="fr-CA"/>
        </w:rPr>
        <w:t>’</w:t>
      </w:r>
      <w:r w:rsidRPr="009966E9">
        <w:rPr>
          <w:rFonts w:cs="Times New Roman"/>
          <w:lang w:val="fr-CA"/>
        </w:rPr>
        <w:t>égard de la distribution de services de programmation — lui permettait de rendre des ordonnances de substitution simultanée ciblées (Politique réglementaire de radiodiffusion CRTC 2015</w:t>
      </w:r>
      <w:r>
        <w:rPr>
          <w:rFonts w:cs="Times New Roman"/>
          <w:lang w:val="fr-CA"/>
        </w:rPr>
        <w:noBreakHyphen/>
      </w:r>
      <w:r w:rsidRPr="009966E9">
        <w:rPr>
          <w:rFonts w:cs="Times New Roman"/>
          <w:lang w:val="fr-CA"/>
        </w:rPr>
        <w:t>513, 19 novembre 2015 (en ligne)).</w:t>
      </w:r>
    </w:p>
    <w:p w:rsidR="005F030A" w:rsidRPr="009966E9" w:rsidRDefault="005F030A" w:rsidP="005F030A">
      <w:pPr>
        <w:pStyle w:val="ParaNoNdepar-AltN"/>
        <w:spacing w:before="0"/>
        <w:rPr>
          <w:rFonts w:cs="Times New Roman"/>
          <w:lang w:val="fr-CA"/>
        </w:rPr>
      </w:pPr>
      <w:r w:rsidRPr="009966E9">
        <w:rPr>
          <w:rFonts w:cs="Times New Roman"/>
          <w:lang w:val="fr-CA"/>
        </w:rPr>
        <w:t>En février 2016, le CRTC a de nouveau lancé un appel sollicitant des observations sur son projet d</w:t>
      </w:r>
      <w:r>
        <w:rPr>
          <w:rFonts w:cs="Times New Roman"/>
          <w:lang w:val="fr-CA"/>
        </w:rPr>
        <w:t>’</w:t>
      </w:r>
      <w:r w:rsidRPr="009966E9">
        <w:rPr>
          <w:rFonts w:cs="Times New Roman"/>
          <w:lang w:val="fr-CA"/>
        </w:rPr>
        <w:t xml:space="preserve">ordonnance visant à interdire la substitution simultanée pendant le Super </w:t>
      </w:r>
      <w:proofErr w:type="spellStart"/>
      <w:r w:rsidRPr="009966E9">
        <w:rPr>
          <w:rFonts w:cs="Times New Roman"/>
          <w:lang w:val="fr-CA"/>
        </w:rPr>
        <w:t>Bowl</w:t>
      </w:r>
      <w:proofErr w:type="spellEnd"/>
      <w:r w:rsidRPr="009966E9">
        <w:rPr>
          <w:rFonts w:cs="Times New Roman"/>
          <w:lang w:val="fr-CA"/>
        </w:rPr>
        <w:t>. La NFL a réitéré son opposition et Bell a présenté de nouvelles observations relatives à l</w:t>
      </w:r>
      <w:r>
        <w:rPr>
          <w:rFonts w:cs="Times New Roman"/>
          <w:lang w:val="fr-CA"/>
        </w:rPr>
        <w:t>’</w:t>
      </w:r>
      <w:r w:rsidRPr="009966E9">
        <w:rPr>
          <w:rFonts w:cs="Times New Roman"/>
          <w:lang w:val="fr-CA"/>
        </w:rPr>
        <w:t>incidence potentielle de cette ordonnance sur les industries canadiennes de la production et du divertissement.</w:t>
      </w:r>
    </w:p>
    <w:p w:rsidR="005F030A" w:rsidRPr="009966E9" w:rsidRDefault="005F030A" w:rsidP="005F030A">
      <w:pPr>
        <w:pStyle w:val="ParaNoNdepar-AltN"/>
        <w:spacing w:before="0"/>
        <w:rPr>
          <w:rFonts w:cs="Times New Roman"/>
          <w:lang w:val="fr-CA"/>
        </w:rPr>
      </w:pPr>
      <w:r w:rsidRPr="009966E9">
        <w:rPr>
          <w:rFonts w:cs="Times New Roman"/>
          <w:lang w:val="fr-CA"/>
        </w:rPr>
        <w:t>Le 19 août 2016, le CRTC a publié la Politique réglementaire de radiodiffusion CRTC 2016</w:t>
      </w:r>
      <w:r>
        <w:rPr>
          <w:rFonts w:cs="Times New Roman"/>
          <w:lang w:val="fr-CA"/>
        </w:rPr>
        <w:noBreakHyphen/>
      </w:r>
      <w:r w:rsidRPr="009966E9">
        <w:rPr>
          <w:rFonts w:cs="Times New Roman"/>
          <w:lang w:val="fr-CA"/>
        </w:rPr>
        <w:t>334, ainsi que l</w:t>
      </w:r>
      <w:r>
        <w:rPr>
          <w:rFonts w:cs="Times New Roman"/>
          <w:lang w:val="fr-CA"/>
        </w:rPr>
        <w:t>’</w:t>
      </w:r>
      <w:r w:rsidRPr="009966E9">
        <w:rPr>
          <w:rFonts w:cs="Times New Roman"/>
          <w:lang w:val="fr-CA"/>
        </w:rPr>
        <w:t>Ordonnance de radiodiffusion CRTC 2016</w:t>
      </w:r>
      <w:r>
        <w:rPr>
          <w:rFonts w:cs="Times New Roman"/>
          <w:lang w:val="fr-CA"/>
        </w:rPr>
        <w:noBreakHyphen/>
      </w:r>
      <w:r w:rsidRPr="009966E9">
        <w:rPr>
          <w:rFonts w:cs="Times New Roman"/>
          <w:lang w:val="fr-CA"/>
        </w:rPr>
        <w:t xml:space="preserve">335, </w:t>
      </w:r>
      <w:r>
        <w:rPr>
          <w:rFonts w:cs="Times New Roman"/>
          <w:lang w:val="fr-CA"/>
        </w:rPr>
        <w:t>19 </w:t>
      </w:r>
      <w:r w:rsidRPr="009966E9">
        <w:rPr>
          <w:rFonts w:cs="Times New Roman"/>
          <w:lang w:val="fr-CA"/>
        </w:rPr>
        <w:t xml:space="preserve">août 2016 (en ligne), son ordonnance définitive interdisant la substitution simultanée pendant le Super </w:t>
      </w:r>
      <w:proofErr w:type="spellStart"/>
      <w:r w:rsidRPr="009966E9">
        <w:rPr>
          <w:rFonts w:cs="Times New Roman"/>
          <w:lang w:val="fr-CA"/>
        </w:rPr>
        <w:t>Bowl</w:t>
      </w:r>
      <w:proofErr w:type="spellEnd"/>
      <w:r w:rsidRPr="009966E9">
        <w:rPr>
          <w:rFonts w:cs="Times New Roman"/>
          <w:lang w:val="fr-CA"/>
        </w:rPr>
        <w:t xml:space="preserve"> à compter de janvier 2017 (Ordonnance relative au Super </w:t>
      </w:r>
      <w:proofErr w:type="spellStart"/>
      <w:r w:rsidRPr="009966E9">
        <w:rPr>
          <w:rFonts w:cs="Times New Roman"/>
          <w:lang w:val="fr-CA"/>
        </w:rPr>
        <w:t>Bowl</w:t>
      </w:r>
      <w:proofErr w:type="spellEnd"/>
      <w:r w:rsidRPr="009966E9">
        <w:rPr>
          <w:rFonts w:cs="Times New Roman"/>
          <w:lang w:val="fr-CA"/>
        </w:rPr>
        <w:t>).</w:t>
      </w:r>
    </w:p>
    <w:p w:rsidR="005F030A" w:rsidRPr="009966E9" w:rsidRDefault="005F030A" w:rsidP="005F030A">
      <w:pPr>
        <w:pStyle w:val="ParaNoNdepar-AltN"/>
        <w:spacing w:before="0"/>
        <w:rPr>
          <w:rFonts w:cs="Times New Roman"/>
          <w:lang w:val="fr-CA"/>
        </w:rPr>
      </w:pPr>
      <w:r w:rsidRPr="009966E9">
        <w:rPr>
          <w:rFonts w:cs="Times New Roman"/>
          <w:lang w:val="fr-CA"/>
        </w:rPr>
        <w:t>Bell et la NFL ont interjeté appel de l</w:t>
      </w:r>
      <w:r>
        <w:rPr>
          <w:rFonts w:cs="Times New Roman"/>
          <w:lang w:val="fr-CA"/>
        </w:rPr>
        <w:t>’</w:t>
      </w:r>
      <w:r w:rsidRPr="009966E9">
        <w:rPr>
          <w:rFonts w:cs="Times New Roman"/>
          <w:lang w:val="fr-CA"/>
        </w:rPr>
        <w:t xml:space="preserve">Ordonnance en application du </w:t>
      </w:r>
      <w:r>
        <w:rPr>
          <w:rFonts w:cs="Times New Roman"/>
          <w:lang w:val="fr-CA"/>
        </w:rPr>
        <w:t>par. </w:t>
      </w:r>
      <w:r w:rsidRPr="009966E9">
        <w:rPr>
          <w:rFonts w:cs="Times New Roman"/>
          <w:lang w:val="fr-CA"/>
        </w:rPr>
        <w:t xml:space="preserve">31(2) de la </w:t>
      </w:r>
      <w:r w:rsidRPr="009966E9">
        <w:rPr>
          <w:rFonts w:cs="Times New Roman"/>
          <w:i/>
          <w:lang w:val="fr-CA"/>
        </w:rPr>
        <w:t>Loi sur la radiodiffusion</w:t>
      </w:r>
      <w:r w:rsidRPr="009966E9">
        <w:rPr>
          <w:rFonts w:cs="Times New Roman"/>
          <w:lang w:val="fr-CA"/>
        </w:rPr>
        <w:t>, plaidant que le Conseil avait outrepassé ses pouvoirs en rendant cette ordonnance sur le fondement de l</w:t>
      </w:r>
      <w:r>
        <w:rPr>
          <w:rFonts w:cs="Times New Roman"/>
          <w:lang w:val="fr-CA"/>
        </w:rPr>
        <w:t>’al. </w:t>
      </w:r>
      <w:r w:rsidRPr="009966E9">
        <w:rPr>
          <w:rFonts w:cs="Times New Roman"/>
          <w:lang w:val="fr-CA"/>
        </w:rPr>
        <w:t xml:space="preserve">9(1)h) de la </w:t>
      </w:r>
      <w:r w:rsidRPr="009966E9">
        <w:rPr>
          <w:rFonts w:cs="Times New Roman"/>
          <w:i/>
          <w:lang w:val="fr-CA"/>
        </w:rPr>
        <w:t>Loi sur la radiodiffusion</w:t>
      </w:r>
      <w:r w:rsidRPr="009966E9">
        <w:rPr>
          <w:rFonts w:cs="Times New Roman"/>
          <w:lang w:val="fr-CA"/>
        </w:rPr>
        <w:t>.</w:t>
      </w:r>
    </w:p>
    <w:p w:rsidR="005F030A" w:rsidRPr="009966E9" w:rsidRDefault="005F030A" w:rsidP="005F030A">
      <w:pPr>
        <w:pStyle w:val="ParaNoNdepar-AltN"/>
        <w:spacing w:before="0"/>
        <w:rPr>
          <w:rFonts w:cs="Times New Roman"/>
          <w:lang w:val="fr-CA"/>
        </w:rPr>
      </w:pPr>
      <w:r w:rsidRPr="009966E9">
        <w:rPr>
          <w:rFonts w:cs="Times New Roman"/>
          <w:lang w:val="fr-CA"/>
        </w:rPr>
        <w:lastRenderedPageBreak/>
        <w:t>S</w:t>
      </w:r>
      <w:r>
        <w:rPr>
          <w:rFonts w:cs="Times New Roman"/>
          <w:lang w:val="fr-CA"/>
        </w:rPr>
        <w:t>’</w:t>
      </w:r>
      <w:r w:rsidRPr="009966E9">
        <w:rPr>
          <w:rFonts w:cs="Times New Roman"/>
          <w:lang w:val="fr-CA"/>
        </w:rPr>
        <w:t>exprimant au nom de la Cour d</w:t>
      </w:r>
      <w:r>
        <w:rPr>
          <w:rFonts w:cs="Times New Roman"/>
          <w:lang w:val="fr-CA"/>
        </w:rPr>
        <w:t>’</w:t>
      </w:r>
      <w:r w:rsidRPr="009966E9">
        <w:rPr>
          <w:rFonts w:cs="Times New Roman"/>
          <w:lang w:val="fr-CA"/>
        </w:rPr>
        <w:t>appel fédérale, le juge Near a rejeté les appels ([2018] 4 R.C.F. 300). Il a conclu que la norme de la décision raisonnable était la norme de contrôle applicable à la question de la compétence. À son avis, les interprétations données antérieurement par le CRTC à l</w:t>
      </w:r>
      <w:r>
        <w:rPr>
          <w:rFonts w:cs="Times New Roman"/>
          <w:lang w:val="fr-CA"/>
        </w:rPr>
        <w:t>’</w:t>
      </w:r>
      <w:r w:rsidRPr="009966E9">
        <w:rPr>
          <w:rFonts w:cs="Times New Roman"/>
          <w:lang w:val="fr-CA"/>
        </w:rPr>
        <w:t>égard de l</w:t>
      </w:r>
      <w:r>
        <w:rPr>
          <w:rFonts w:cs="Times New Roman"/>
          <w:lang w:val="fr-CA"/>
        </w:rPr>
        <w:t>’</w:t>
      </w:r>
      <w:r w:rsidRPr="009966E9">
        <w:rPr>
          <w:rFonts w:cs="Times New Roman"/>
          <w:lang w:val="fr-CA"/>
        </w:rPr>
        <w:t>expression « services de programmation » laissaient largement place à l</w:t>
      </w:r>
      <w:r>
        <w:rPr>
          <w:rFonts w:cs="Times New Roman"/>
          <w:lang w:val="fr-CA"/>
        </w:rPr>
        <w:t>’</w:t>
      </w:r>
      <w:r w:rsidRPr="009966E9">
        <w:rPr>
          <w:rFonts w:cs="Times New Roman"/>
          <w:lang w:val="fr-CA"/>
        </w:rPr>
        <w:t>interprétation appliquée en l</w:t>
      </w:r>
      <w:r>
        <w:rPr>
          <w:rFonts w:cs="Times New Roman"/>
          <w:lang w:val="fr-CA"/>
        </w:rPr>
        <w:t>’</w:t>
      </w:r>
      <w:r w:rsidRPr="009966E9">
        <w:rPr>
          <w:rFonts w:cs="Times New Roman"/>
          <w:lang w:val="fr-CA"/>
        </w:rPr>
        <w:t>espèce. Il a en outre jugé qu</w:t>
      </w:r>
      <w:r>
        <w:rPr>
          <w:rFonts w:cs="Times New Roman"/>
          <w:lang w:val="fr-CA"/>
        </w:rPr>
        <w:t>’</w:t>
      </w:r>
      <w:r w:rsidRPr="009966E9">
        <w:rPr>
          <w:rFonts w:cs="Times New Roman"/>
          <w:lang w:val="fr-CA"/>
        </w:rPr>
        <w:t>il n</w:t>
      </w:r>
      <w:r>
        <w:rPr>
          <w:rFonts w:cs="Times New Roman"/>
          <w:lang w:val="fr-CA"/>
        </w:rPr>
        <w:t>’</w:t>
      </w:r>
      <w:r w:rsidRPr="009966E9">
        <w:rPr>
          <w:rFonts w:cs="Times New Roman"/>
          <w:lang w:val="fr-CA"/>
        </w:rPr>
        <w:t xml:space="preserve">était pas loisible à une cour de révision de se substituer au CRTC pour soupeser les objectifs concurrents énoncés dans la </w:t>
      </w:r>
      <w:r w:rsidRPr="009966E9">
        <w:rPr>
          <w:rFonts w:cs="Times New Roman"/>
          <w:i/>
          <w:lang w:val="fr-CA"/>
        </w:rPr>
        <w:t>Loi sur la radiodiffusion</w:t>
      </w:r>
      <w:r w:rsidRPr="009966E9">
        <w:rPr>
          <w:rFonts w:cs="Times New Roman"/>
          <w:lang w:val="fr-CA"/>
        </w:rPr>
        <w:t xml:space="preserve">. Le juge Near a rejeté les arguments de la NFL selon lesquels la décision entrait en conflit avec la </w:t>
      </w:r>
      <w:r w:rsidRPr="009966E9">
        <w:rPr>
          <w:rFonts w:cs="Times New Roman"/>
          <w:i/>
          <w:lang w:val="fr-CA"/>
        </w:rPr>
        <w:t>Loi sur le droit d</w:t>
      </w:r>
      <w:r>
        <w:rPr>
          <w:rFonts w:cs="Times New Roman"/>
          <w:i/>
          <w:lang w:val="fr-CA"/>
        </w:rPr>
        <w:t>’</w:t>
      </w:r>
      <w:r w:rsidRPr="009966E9">
        <w:rPr>
          <w:rFonts w:cs="Times New Roman"/>
          <w:i/>
          <w:lang w:val="fr-CA"/>
        </w:rPr>
        <w:t>auteur</w:t>
      </w:r>
      <w:r w:rsidRPr="009966E9">
        <w:rPr>
          <w:rFonts w:cs="Times New Roman"/>
          <w:lang w:val="fr-CA"/>
        </w:rPr>
        <w:t xml:space="preserve"> et avec les obligations issues de traités du Canada.</w:t>
      </w:r>
    </w:p>
    <w:p w:rsidR="005F030A" w:rsidRPr="009966E9" w:rsidRDefault="005F030A" w:rsidP="005F030A">
      <w:pPr>
        <w:pStyle w:val="ParaNoNdepar-AltN"/>
        <w:spacing w:before="0"/>
        <w:rPr>
          <w:rFonts w:cs="Times New Roman"/>
          <w:lang w:val="fr-CA"/>
        </w:rPr>
      </w:pPr>
      <w:r w:rsidRPr="009966E9">
        <w:rPr>
          <w:rFonts w:cs="Times New Roman"/>
          <w:lang w:val="fr-CA"/>
        </w:rPr>
        <w:t>Devant notre Cour, Bell s</w:t>
      </w:r>
      <w:r>
        <w:rPr>
          <w:rFonts w:cs="Times New Roman"/>
          <w:lang w:val="fr-CA"/>
        </w:rPr>
        <w:t>’</w:t>
      </w:r>
      <w:r w:rsidRPr="009966E9">
        <w:rPr>
          <w:rFonts w:cs="Times New Roman"/>
          <w:lang w:val="fr-CA"/>
        </w:rPr>
        <w:t xml:space="preserve">attache principalement dans ses observations à la question de la norme de contrôle, plaidant que la norme applicable est celle de la décision correcte. </w:t>
      </w:r>
      <w:proofErr w:type="gramStart"/>
      <w:r w:rsidRPr="009966E9">
        <w:rPr>
          <w:rFonts w:cs="Times New Roman"/>
          <w:lang w:val="fr-CA"/>
        </w:rPr>
        <w:t>Bell prétend</w:t>
      </w:r>
      <w:proofErr w:type="gramEnd"/>
      <w:r w:rsidRPr="009966E9">
        <w:rPr>
          <w:rFonts w:cs="Times New Roman"/>
          <w:lang w:val="fr-CA"/>
        </w:rPr>
        <w:t xml:space="preserve"> d</w:t>
      </w:r>
      <w:r>
        <w:rPr>
          <w:rFonts w:cs="Times New Roman"/>
          <w:lang w:val="fr-CA"/>
        </w:rPr>
        <w:t>’</w:t>
      </w:r>
      <w:r w:rsidRPr="009966E9">
        <w:rPr>
          <w:rFonts w:cs="Times New Roman"/>
          <w:lang w:val="fr-CA"/>
        </w:rPr>
        <w:t>abord que l</w:t>
      </w:r>
      <w:r>
        <w:rPr>
          <w:rFonts w:cs="Times New Roman"/>
          <w:lang w:val="fr-CA"/>
        </w:rPr>
        <w:t>’al. </w:t>
      </w:r>
      <w:r w:rsidRPr="009966E9">
        <w:rPr>
          <w:rFonts w:cs="Times New Roman"/>
          <w:lang w:val="fr-CA"/>
        </w:rPr>
        <w:t>9(1)h) est une disposition attributive de compétence, puis décrit la question en litige comme étant une véritable question de compétence en ce qu</w:t>
      </w:r>
      <w:r>
        <w:rPr>
          <w:rFonts w:cs="Times New Roman"/>
          <w:lang w:val="fr-CA"/>
        </w:rPr>
        <w:t>’</w:t>
      </w:r>
      <w:r w:rsidRPr="009966E9">
        <w:rPr>
          <w:rFonts w:cs="Times New Roman"/>
          <w:lang w:val="fr-CA"/>
        </w:rPr>
        <w:t>elle porte sur la compétence du tribunal administratif, c</w:t>
      </w:r>
      <w:r>
        <w:rPr>
          <w:rFonts w:cs="Times New Roman"/>
          <w:lang w:val="fr-CA"/>
        </w:rPr>
        <w:t>’</w:t>
      </w:r>
      <w:r w:rsidRPr="009966E9">
        <w:rPr>
          <w:rFonts w:cs="Times New Roman"/>
          <w:lang w:val="fr-CA"/>
        </w:rPr>
        <w:t>est</w:t>
      </w:r>
      <w:r>
        <w:rPr>
          <w:rFonts w:cs="Times New Roman"/>
          <w:lang w:val="fr-CA"/>
        </w:rPr>
        <w:noBreakHyphen/>
      </w:r>
      <w:r w:rsidRPr="009966E9">
        <w:rPr>
          <w:rFonts w:cs="Times New Roman"/>
          <w:lang w:val="fr-CA"/>
        </w:rPr>
        <w:t>à</w:t>
      </w:r>
      <w:r>
        <w:rPr>
          <w:rFonts w:cs="Times New Roman"/>
          <w:lang w:val="fr-CA"/>
        </w:rPr>
        <w:noBreakHyphen/>
      </w:r>
      <w:r w:rsidRPr="009966E9">
        <w:rPr>
          <w:rFonts w:cs="Times New Roman"/>
          <w:lang w:val="fr-CA"/>
        </w:rPr>
        <w:t xml:space="preserve">dire la compétence </w:t>
      </w:r>
      <w:r>
        <w:rPr>
          <w:rFonts w:cs="Times New Roman"/>
          <w:lang w:val="fr-CA"/>
        </w:rPr>
        <w:t>[</w:t>
      </w:r>
      <w:r w:rsidRPr="00D75E01">
        <w:rPr>
          <w:rFonts w:cs="Times New Roman"/>
          <w:smallCaps/>
          <w:lang w:val="fr-CA"/>
        </w:rPr>
        <w:t>traduction</w:t>
      </w:r>
      <w:r>
        <w:rPr>
          <w:rFonts w:cs="Times New Roman"/>
          <w:lang w:val="fr-CA"/>
        </w:rPr>
        <w:t xml:space="preserve">] </w:t>
      </w:r>
      <w:r w:rsidRPr="009966E9">
        <w:rPr>
          <w:rFonts w:cs="Times New Roman"/>
          <w:lang w:val="fr-CA"/>
        </w:rPr>
        <w:t>« au sens strict de la faculté [du CRTC] de connaître de la question » (</w:t>
      </w:r>
      <w:proofErr w:type="spellStart"/>
      <w:proofErr w:type="gramStart"/>
      <w:r w:rsidRPr="009966E9">
        <w:rPr>
          <w:rFonts w:cs="Times New Roman"/>
          <w:lang w:val="fr-CA"/>
        </w:rPr>
        <w:t>m.a</w:t>
      </w:r>
      <w:proofErr w:type="spellEnd"/>
      <w:r w:rsidRPr="009966E9">
        <w:rPr>
          <w:rFonts w:cs="Times New Roman"/>
          <w:lang w:val="fr-CA"/>
        </w:rPr>
        <w:t>.,</w:t>
      </w:r>
      <w:proofErr w:type="gramEnd"/>
      <w:r w:rsidRPr="009966E9">
        <w:rPr>
          <w:rFonts w:cs="Times New Roman"/>
          <w:lang w:val="fr-CA"/>
        </w:rPr>
        <w:t xml:space="preserve"> Bell, </w:t>
      </w:r>
      <w:r>
        <w:rPr>
          <w:rFonts w:cs="Times New Roman"/>
          <w:lang w:val="fr-CA"/>
        </w:rPr>
        <w:t>par. </w:t>
      </w:r>
      <w:r w:rsidRPr="009966E9">
        <w:rPr>
          <w:rFonts w:cs="Times New Roman"/>
          <w:lang w:val="fr-CA"/>
        </w:rPr>
        <w:t>52). Bell soutient ensuite que des préoccupations liées à la liberté d</w:t>
      </w:r>
      <w:r>
        <w:rPr>
          <w:rFonts w:cs="Times New Roman"/>
          <w:lang w:val="fr-CA"/>
        </w:rPr>
        <w:t>’</w:t>
      </w:r>
      <w:r w:rsidRPr="009966E9">
        <w:rPr>
          <w:rFonts w:cs="Times New Roman"/>
          <w:lang w:val="fr-CA"/>
        </w:rPr>
        <w:t>expression, ainsi que la présence d</w:t>
      </w:r>
      <w:r>
        <w:rPr>
          <w:rFonts w:cs="Times New Roman"/>
          <w:lang w:val="fr-CA"/>
        </w:rPr>
        <w:t>’</w:t>
      </w:r>
      <w:r w:rsidRPr="009966E9">
        <w:rPr>
          <w:rFonts w:cs="Times New Roman"/>
          <w:lang w:val="fr-CA"/>
        </w:rPr>
        <w:t>un droit d</w:t>
      </w:r>
      <w:r>
        <w:rPr>
          <w:rFonts w:cs="Times New Roman"/>
          <w:lang w:val="fr-CA"/>
        </w:rPr>
        <w:t>’</w:t>
      </w:r>
      <w:r w:rsidRPr="009966E9">
        <w:rPr>
          <w:rFonts w:cs="Times New Roman"/>
          <w:lang w:val="fr-CA"/>
        </w:rPr>
        <w:t>appel prévu par la loi et l</w:t>
      </w:r>
      <w:r>
        <w:rPr>
          <w:rFonts w:cs="Times New Roman"/>
          <w:lang w:val="fr-CA"/>
        </w:rPr>
        <w:t>’</w:t>
      </w:r>
      <w:r w:rsidRPr="009966E9">
        <w:rPr>
          <w:rFonts w:cs="Times New Roman"/>
          <w:lang w:val="fr-CA"/>
        </w:rPr>
        <w:t>absence de considérations de politique générale, militent également en faveur de l</w:t>
      </w:r>
      <w:r>
        <w:rPr>
          <w:rFonts w:cs="Times New Roman"/>
          <w:lang w:val="fr-CA"/>
        </w:rPr>
        <w:t>’</w:t>
      </w:r>
      <w:r w:rsidRPr="009966E9">
        <w:rPr>
          <w:rFonts w:cs="Times New Roman"/>
          <w:lang w:val="fr-CA"/>
        </w:rPr>
        <w:t>application de la norme de la décision correcte. Enfin, Bell affirme que la question de savoir si l</w:t>
      </w:r>
      <w:r>
        <w:rPr>
          <w:rFonts w:cs="Times New Roman"/>
          <w:lang w:val="fr-CA"/>
        </w:rPr>
        <w:t>’</w:t>
      </w:r>
      <w:r w:rsidRPr="009966E9">
        <w:rPr>
          <w:rFonts w:cs="Times New Roman"/>
          <w:lang w:val="fr-CA"/>
        </w:rPr>
        <w:t xml:space="preserve">Ordonnance relative au Super </w:t>
      </w:r>
      <w:proofErr w:type="spellStart"/>
      <w:r w:rsidRPr="009966E9">
        <w:rPr>
          <w:rFonts w:cs="Times New Roman"/>
          <w:lang w:val="fr-CA"/>
        </w:rPr>
        <w:t>Bowl</w:t>
      </w:r>
      <w:proofErr w:type="spellEnd"/>
      <w:r w:rsidRPr="009966E9">
        <w:rPr>
          <w:rFonts w:cs="Times New Roman"/>
          <w:lang w:val="fr-CA"/>
        </w:rPr>
        <w:t xml:space="preserve"> entre en conflit avec la </w:t>
      </w:r>
      <w:r w:rsidRPr="009966E9">
        <w:rPr>
          <w:rFonts w:cs="Times New Roman"/>
          <w:i/>
          <w:lang w:val="fr-CA"/>
        </w:rPr>
        <w:t>Loi sur le droit d</w:t>
      </w:r>
      <w:r>
        <w:rPr>
          <w:rFonts w:cs="Times New Roman"/>
          <w:i/>
          <w:lang w:val="fr-CA"/>
        </w:rPr>
        <w:t>’</w:t>
      </w:r>
      <w:r w:rsidRPr="009966E9">
        <w:rPr>
          <w:rFonts w:cs="Times New Roman"/>
          <w:i/>
          <w:lang w:val="fr-CA"/>
        </w:rPr>
        <w:t>auteur</w:t>
      </w:r>
      <w:r w:rsidRPr="009966E9">
        <w:rPr>
          <w:rFonts w:cs="Times New Roman"/>
          <w:lang w:val="fr-CA"/>
        </w:rPr>
        <w:t xml:space="preserve"> doit être examinée au regard de la norme de la décision correcte, parce que de telles questions débordent le cadre de la loi habilitante du CRTC. Subsidiairement, </w:t>
      </w:r>
      <w:proofErr w:type="gramStart"/>
      <w:r w:rsidRPr="009966E9">
        <w:rPr>
          <w:rFonts w:cs="Times New Roman"/>
          <w:lang w:val="fr-CA"/>
        </w:rPr>
        <w:t xml:space="preserve">Bell </w:t>
      </w:r>
      <w:r w:rsidRPr="009966E9">
        <w:rPr>
          <w:rFonts w:cs="Times New Roman"/>
          <w:lang w:val="fr-CA"/>
        </w:rPr>
        <w:lastRenderedPageBreak/>
        <w:t>plaide</w:t>
      </w:r>
      <w:proofErr w:type="gramEnd"/>
      <w:r w:rsidRPr="009966E9">
        <w:rPr>
          <w:rFonts w:cs="Times New Roman"/>
          <w:lang w:val="fr-CA"/>
        </w:rPr>
        <w:t xml:space="preserve"> que l</w:t>
      </w:r>
      <w:r>
        <w:rPr>
          <w:rFonts w:cs="Times New Roman"/>
          <w:lang w:val="fr-CA"/>
        </w:rPr>
        <w:t>’</w:t>
      </w:r>
      <w:r w:rsidRPr="009966E9">
        <w:rPr>
          <w:rFonts w:cs="Times New Roman"/>
          <w:lang w:val="fr-CA"/>
        </w:rPr>
        <w:t>interprétation que donne le CRTC de l</w:t>
      </w:r>
      <w:r>
        <w:rPr>
          <w:rFonts w:cs="Times New Roman"/>
          <w:lang w:val="fr-CA"/>
        </w:rPr>
        <w:t>’al. </w:t>
      </w:r>
      <w:r w:rsidRPr="009966E9">
        <w:rPr>
          <w:rFonts w:cs="Times New Roman"/>
          <w:lang w:val="fr-CA"/>
        </w:rPr>
        <w:t>9(1)h) est déraisonnable, en ce que la loi n</w:t>
      </w:r>
      <w:r>
        <w:rPr>
          <w:rFonts w:cs="Times New Roman"/>
          <w:lang w:val="fr-CA"/>
        </w:rPr>
        <w:t>’</w:t>
      </w:r>
      <w:r w:rsidRPr="009966E9">
        <w:rPr>
          <w:rFonts w:cs="Times New Roman"/>
          <w:lang w:val="fr-CA"/>
        </w:rPr>
        <w:t>admet qu</w:t>
      </w:r>
      <w:r>
        <w:rPr>
          <w:rFonts w:cs="Times New Roman"/>
          <w:lang w:val="fr-CA"/>
        </w:rPr>
        <w:t>’</w:t>
      </w:r>
      <w:r w:rsidRPr="009966E9">
        <w:rPr>
          <w:rFonts w:cs="Times New Roman"/>
          <w:lang w:val="fr-CA"/>
        </w:rPr>
        <w:t>une seule interprétation raisonnable.</w:t>
      </w:r>
    </w:p>
    <w:p w:rsidR="005F030A" w:rsidRPr="009966E9" w:rsidRDefault="005F030A" w:rsidP="005F030A">
      <w:pPr>
        <w:pStyle w:val="ParaNoNdepar-AltN"/>
        <w:spacing w:before="0"/>
        <w:rPr>
          <w:rFonts w:cs="Times New Roman"/>
          <w:lang w:val="fr-CA"/>
        </w:rPr>
      </w:pPr>
      <w:r w:rsidRPr="009966E9">
        <w:rPr>
          <w:rFonts w:cs="Times New Roman"/>
          <w:lang w:val="fr-CA"/>
        </w:rPr>
        <w:t>La NFL fait siens les arguments de Bell relativement à la norme de contrôle et présente des arguments supplémentaires concernant le bien</w:t>
      </w:r>
      <w:r>
        <w:rPr>
          <w:rFonts w:cs="Times New Roman"/>
          <w:lang w:val="fr-CA"/>
        </w:rPr>
        <w:noBreakHyphen/>
      </w:r>
      <w:r w:rsidRPr="009966E9">
        <w:rPr>
          <w:rFonts w:cs="Times New Roman"/>
          <w:lang w:val="fr-CA"/>
        </w:rPr>
        <w:t>fondé de la décision du CRTC. La NFL considère qu</w:t>
      </w:r>
      <w:r>
        <w:rPr>
          <w:rFonts w:cs="Times New Roman"/>
          <w:lang w:val="fr-CA"/>
        </w:rPr>
        <w:t>’</w:t>
      </w:r>
      <w:r w:rsidRPr="009966E9">
        <w:rPr>
          <w:rFonts w:cs="Times New Roman"/>
          <w:lang w:val="fr-CA"/>
        </w:rPr>
        <w:t>en interprétant l</w:t>
      </w:r>
      <w:r>
        <w:rPr>
          <w:rFonts w:cs="Times New Roman"/>
          <w:lang w:val="fr-CA"/>
        </w:rPr>
        <w:t>’al. </w:t>
      </w:r>
      <w:r w:rsidRPr="009966E9">
        <w:rPr>
          <w:rFonts w:cs="Times New Roman"/>
          <w:lang w:val="fr-CA"/>
        </w:rPr>
        <w:t>9(1)h) comme il le fait, le CRTC s</w:t>
      </w:r>
      <w:r>
        <w:rPr>
          <w:rFonts w:cs="Times New Roman"/>
          <w:lang w:val="fr-CA"/>
        </w:rPr>
        <w:t>’</w:t>
      </w:r>
      <w:r w:rsidRPr="009966E9">
        <w:rPr>
          <w:rFonts w:cs="Times New Roman"/>
          <w:lang w:val="fr-CA"/>
        </w:rPr>
        <w:t>arroge un [</w:t>
      </w:r>
      <w:r w:rsidRPr="009966E9">
        <w:rPr>
          <w:rFonts w:cs="Times New Roman"/>
          <w:smallCaps/>
          <w:lang w:val="fr-CA"/>
        </w:rPr>
        <w:t>traduction</w:t>
      </w:r>
      <w:r w:rsidRPr="009966E9">
        <w:rPr>
          <w:rFonts w:cs="Times New Roman"/>
          <w:lang w:val="fr-CA"/>
        </w:rPr>
        <w:t xml:space="preserve">] « pouvoir </w:t>
      </w:r>
      <w:proofErr w:type="spellStart"/>
      <w:r w:rsidRPr="009966E9">
        <w:rPr>
          <w:rFonts w:cs="Times New Roman"/>
          <w:lang w:val="fr-CA"/>
        </w:rPr>
        <w:t>orwellien</w:t>
      </w:r>
      <w:proofErr w:type="spellEnd"/>
      <w:r w:rsidRPr="009966E9">
        <w:rPr>
          <w:rFonts w:cs="Times New Roman"/>
          <w:lang w:val="fr-CA"/>
        </w:rPr>
        <w:t xml:space="preserve"> lui permettant de se pencher sur les émissions particulières que créent les radiodiffuseurs et de décider lesquelles sont dignes d</w:t>
      </w:r>
      <w:r>
        <w:rPr>
          <w:rFonts w:cs="Times New Roman"/>
          <w:lang w:val="fr-CA"/>
        </w:rPr>
        <w:t>’</w:t>
      </w:r>
      <w:r w:rsidRPr="009966E9">
        <w:rPr>
          <w:rFonts w:cs="Times New Roman"/>
          <w:lang w:val="fr-CA"/>
        </w:rPr>
        <w:t>être distribuées au public » (</w:t>
      </w:r>
      <w:proofErr w:type="spellStart"/>
      <w:proofErr w:type="gramStart"/>
      <w:r w:rsidRPr="009966E9">
        <w:rPr>
          <w:rFonts w:cs="Times New Roman"/>
          <w:lang w:val="fr-CA"/>
        </w:rPr>
        <w:t>m.a</w:t>
      </w:r>
      <w:proofErr w:type="spellEnd"/>
      <w:r w:rsidRPr="009966E9">
        <w:rPr>
          <w:rFonts w:cs="Times New Roman"/>
          <w:lang w:val="fr-CA"/>
        </w:rPr>
        <w:t>.,</w:t>
      </w:r>
      <w:proofErr w:type="gramEnd"/>
      <w:r w:rsidRPr="009966E9">
        <w:rPr>
          <w:rFonts w:cs="Times New Roman"/>
          <w:lang w:val="fr-CA"/>
        </w:rPr>
        <w:t xml:space="preserve"> NFL, </w:t>
      </w:r>
      <w:r>
        <w:rPr>
          <w:rFonts w:cs="Times New Roman"/>
          <w:lang w:val="fr-CA"/>
        </w:rPr>
        <w:t>par. </w:t>
      </w:r>
      <w:r w:rsidRPr="009966E9">
        <w:rPr>
          <w:rFonts w:cs="Times New Roman"/>
          <w:lang w:val="fr-CA"/>
        </w:rPr>
        <w:t>4). S</w:t>
      </w:r>
      <w:r>
        <w:rPr>
          <w:rFonts w:cs="Times New Roman"/>
          <w:lang w:val="fr-CA"/>
        </w:rPr>
        <w:t>’</w:t>
      </w:r>
      <w:r w:rsidRPr="009966E9">
        <w:rPr>
          <w:rFonts w:cs="Times New Roman"/>
          <w:lang w:val="fr-CA"/>
        </w:rPr>
        <w:t>appuyant sur des dictionnaires, sur des décisions antérieures du CRTC et sur d</w:t>
      </w:r>
      <w:r>
        <w:rPr>
          <w:rFonts w:cs="Times New Roman"/>
          <w:lang w:val="fr-CA"/>
        </w:rPr>
        <w:t>’</w:t>
      </w:r>
      <w:r w:rsidRPr="009966E9">
        <w:rPr>
          <w:rFonts w:cs="Times New Roman"/>
          <w:lang w:val="fr-CA"/>
        </w:rPr>
        <w:t xml:space="preserve">autres dispositions de la </w:t>
      </w:r>
      <w:r w:rsidRPr="009966E9">
        <w:rPr>
          <w:rFonts w:cs="Times New Roman"/>
          <w:i/>
          <w:lang w:val="fr-CA"/>
        </w:rPr>
        <w:t>Loi sur la radiodiffusion</w:t>
      </w:r>
      <w:r w:rsidRPr="009966E9">
        <w:rPr>
          <w:rFonts w:cs="Times New Roman"/>
          <w:lang w:val="fr-CA"/>
        </w:rPr>
        <w:t>, la NFL soutient que l</w:t>
      </w:r>
      <w:r>
        <w:rPr>
          <w:rFonts w:cs="Times New Roman"/>
          <w:lang w:val="fr-CA"/>
        </w:rPr>
        <w:t>’</w:t>
      </w:r>
      <w:r w:rsidRPr="009966E9">
        <w:rPr>
          <w:rFonts w:cs="Times New Roman"/>
          <w:lang w:val="fr-CA"/>
        </w:rPr>
        <w:t xml:space="preserve">expression « services de programmation » peut </w:t>
      </w:r>
      <w:r w:rsidRPr="009966E9">
        <w:rPr>
          <w:rFonts w:cs="Times New Roman"/>
          <w:i/>
          <w:lang w:val="fr-CA"/>
        </w:rPr>
        <w:t xml:space="preserve">uniquement </w:t>
      </w:r>
      <w:r w:rsidRPr="009966E9">
        <w:rPr>
          <w:rFonts w:cs="Times New Roman"/>
          <w:lang w:val="fr-CA"/>
        </w:rPr>
        <w:t>s</w:t>
      </w:r>
      <w:r>
        <w:rPr>
          <w:rFonts w:cs="Times New Roman"/>
          <w:lang w:val="fr-CA"/>
        </w:rPr>
        <w:t>’</w:t>
      </w:r>
      <w:r w:rsidRPr="009966E9">
        <w:rPr>
          <w:rFonts w:cs="Times New Roman"/>
          <w:lang w:val="fr-CA"/>
        </w:rPr>
        <w:t>entendre d</w:t>
      </w:r>
      <w:r>
        <w:rPr>
          <w:rFonts w:cs="Times New Roman"/>
          <w:lang w:val="fr-CA"/>
        </w:rPr>
        <w:t>’</w:t>
      </w:r>
      <w:r w:rsidRPr="009966E9">
        <w:rPr>
          <w:rFonts w:cs="Times New Roman"/>
          <w:lang w:val="fr-CA"/>
        </w:rPr>
        <w:t>une chaîne en entier. La NFL s</w:t>
      </w:r>
      <w:r>
        <w:rPr>
          <w:rFonts w:cs="Times New Roman"/>
          <w:lang w:val="fr-CA"/>
        </w:rPr>
        <w:t>’</w:t>
      </w:r>
      <w:r w:rsidRPr="009966E9">
        <w:rPr>
          <w:rFonts w:cs="Times New Roman"/>
          <w:lang w:val="fr-CA"/>
        </w:rPr>
        <w:t>appuie considérablement sur l</w:t>
      </w:r>
      <w:r>
        <w:rPr>
          <w:rFonts w:cs="Times New Roman"/>
          <w:lang w:val="fr-CA"/>
        </w:rPr>
        <w:t>’</w:t>
      </w:r>
      <w:r w:rsidRPr="009966E9">
        <w:rPr>
          <w:rFonts w:cs="Times New Roman"/>
          <w:lang w:val="fr-CA"/>
        </w:rPr>
        <w:t>historique législatif de la disposition pour plaider que l</w:t>
      </w:r>
      <w:r>
        <w:rPr>
          <w:rFonts w:cs="Times New Roman"/>
          <w:lang w:val="fr-CA"/>
        </w:rPr>
        <w:t>’al. </w:t>
      </w:r>
      <w:r w:rsidRPr="009966E9">
        <w:rPr>
          <w:rFonts w:cs="Times New Roman"/>
          <w:lang w:val="fr-CA"/>
        </w:rPr>
        <w:t>9(1)h) n</w:t>
      </w:r>
      <w:r>
        <w:rPr>
          <w:rFonts w:cs="Times New Roman"/>
          <w:lang w:val="fr-CA"/>
        </w:rPr>
        <w:t>’</w:t>
      </w:r>
      <w:r w:rsidRPr="009966E9">
        <w:rPr>
          <w:rFonts w:cs="Times New Roman"/>
          <w:lang w:val="fr-CA"/>
        </w:rPr>
        <w:t xml:space="preserve">est pas censé autoriser des ordonnances visant des émissions particulières. </w:t>
      </w:r>
      <w:r w:rsidRPr="009966E9">
        <w:rPr>
          <w:rFonts w:cs="Times New Roman"/>
          <w:spacing w:val="-2"/>
          <w:lang w:val="fr-CA"/>
        </w:rPr>
        <w:t>La NFL prétend en outre que [</w:t>
      </w:r>
      <w:r w:rsidRPr="009966E9">
        <w:rPr>
          <w:rFonts w:cs="Times New Roman"/>
          <w:smallCaps/>
          <w:spacing w:val="-2"/>
          <w:lang w:val="fr-CA"/>
        </w:rPr>
        <w:t>traduction</w:t>
      </w:r>
      <w:r w:rsidRPr="009966E9">
        <w:rPr>
          <w:rFonts w:cs="Times New Roman"/>
          <w:spacing w:val="-2"/>
          <w:lang w:val="fr-CA"/>
        </w:rPr>
        <w:t>] « l</w:t>
      </w:r>
      <w:r>
        <w:rPr>
          <w:rFonts w:cs="Times New Roman"/>
          <w:spacing w:val="-2"/>
          <w:lang w:val="fr-CA"/>
        </w:rPr>
        <w:t>’</w:t>
      </w:r>
      <w:r w:rsidRPr="009966E9">
        <w:rPr>
          <w:rFonts w:cs="Times New Roman"/>
          <w:spacing w:val="-2"/>
          <w:lang w:val="fr-CA"/>
        </w:rPr>
        <w:t>interprétation artificielle donnée par le CRTC [. . .] visait clairement à justifier la fin ultime qu</w:t>
      </w:r>
      <w:r>
        <w:rPr>
          <w:rFonts w:cs="Times New Roman"/>
          <w:spacing w:val="-2"/>
          <w:lang w:val="fr-CA"/>
        </w:rPr>
        <w:t>’</w:t>
      </w:r>
      <w:r w:rsidRPr="009966E9">
        <w:rPr>
          <w:rFonts w:cs="Times New Roman"/>
          <w:spacing w:val="-2"/>
          <w:lang w:val="fr-CA"/>
        </w:rPr>
        <w:t>il recherchait, c</w:t>
      </w:r>
      <w:r>
        <w:rPr>
          <w:rFonts w:cs="Times New Roman"/>
          <w:spacing w:val="-2"/>
          <w:lang w:val="fr-CA"/>
        </w:rPr>
        <w:t>’</w:t>
      </w:r>
      <w:r w:rsidRPr="009966E9">
        <w:rPr>
          <w:rFonts w:cs="Times New Roman"/>
          <w:spacing w:val="-2"/>
          <w:lang w:val="fr-CA"/>
        </w:rPr>
        <w:t>est</w:t>
      </w:r>
      <w:r>
        <w:rPr>
          <w:rFonts w:cs="Times New Roman"/>
          <w:spacing w:val="-2"/>
          <w:lang w:val="fr-CA"/>
        </w:rPr>
        <w:noBreakHyphen/>
      </w:r>
      <w:r w:rsidRPr="009966E9">
        <w:rPr>
          <w:rFonts w:cs="Times New Roman"/>
          <w:spacing w:val="-2"/>
          <w:lang w:val="fr-CA"/>
        </w:rPr>
        <w:t>à</w:t>
      </w:r>
      <w:r>
        <w:rPr>
          <w:rFonts w:cs="Times New Roman"/>
          <w:spacing w:val="-2"/>
          <w:lang w:val="fr-CA"/>
        </w:rPr>
        <w:noBreakHyphen/>
      </w:r>
      <w:r w:rsidRPr="009966E9">
        <w:rPr>
          <w:rFonts w:cs="Times New Roman"/>
          <w:spacing w:val="-2"/>
          <w:lang w:val="fr-CA"/>
        </w:rPr>
        <w:t>dire bannir la substitution simultanée pour une seule émission » (</w:t>
      </w:r>
      <w:r>
        <w:rPr>
          <w:rFonts w:cs="Times New Roman"/>
          <w:spacing w:val="-2"/>
          <w:lang w:val="fr-CA"/>
        </w:rPr>
        <w:t>par. </w:t>
      </w:r>
      <w:r w:rsidRPr="009966E9">
        <w:rPr>
          <w:rFonts w:cs="Times New Roman"/>
          <w:spacing w:val="-2"/>
          <w:lang w:val="fr-CA"/>
        </w:rPr>
        <w:t>96)</w:t>
      </w:r>
      <w:r w:rsidRPr="009966E9">
        <w:rPr>
          <w:rFonts w:cs="Times New Roman"/>
          <w:lang w:val="fr-CA"/>
        </w:rPr>
        <w:t xml:space="preserve">. </w:t>
      </w:r>
      <w:r w:rsidRPr="009966E9">
        <w:rPr>
          <w:rFonts w:cs="Times New Roman"/>
          <w:spacing w:val="-2"/>
          <w:lang w:val="fr-CA"/>
        </w:rPr>
        <w:t>Enfin, la NFL affirme que l</w:t>
      </w:r>
      <w:r>
        <w:rPr>
          <w:rFonts w:cs="Times New Roman"/>
          <w:spacing w:val="-2"/>
          <w:lang w:val="fr-CA"/>
        </w:rPr>
        <w:t>’</w:t>
      </w:r>
      <w:r w:rsidRPr="009966E9">
        <w:rPr>
          <w:rFonts w:cs="Times New Roman"/>
          <w:spacing w:val="-2"/>
          <w:lang w:val="fr-CA"/>
        </w:rPr>
        <w:t>interprétation que fait le CRTC crée un conflit d</w:t>
      </w:r>
      <w:r>
        <w:rPr>
          <w:rFonts w:cs="Times New Roman"/>
          <w:spacing w:val="-2"/>
          <w:lang w:val="fr-CA"/>
        </w:rPr>
        <w:t>’</w:t>
      </w:r>
      <w:r w:rsidRPr="009966E9">
        <w:rPr>
          <w:rFonts w:cs="Times New Roman"/>
          <w:spacing w:val="-2"/>
          <w:lang w:val="fr-CA"/>
        </w:rPr>
        <w:t xml:space="preserve">application avec la </w:t>
      </w:r>
      <w:r w:rsidRPr="009966E9">
        <w:rPr>
          <w:rFonts w:cs="Times New Roman"/>
          <w:i/>
          <w:spacing w:val="-2"/>
          <w:lang w:val="fr-CA"/>
        </w:rPr>
        <w:t>Loi sur le droit d</w:t>
      </w:r>
      <w:r>
        <w:rPr>
          <w:rFonts w:cs="Times New Roman"/>
          <w:i/>
          <w:spacing w:val="-2"/>
          <w:lang w:val="fr-CA"/>
        </w:rPr>
        <w:t>’</w:t>
      </w:r>
      <w:r w:rsidRPr="009966E9">
        <w:rPr>
          <w:rFonts w:cs="Times New Roman"/>
          <w:i/>
          <w:spacing w:val="-2"/>
          <w:lang w:val="fr-CA"/>
        </w:rPr>
        <w:t>auteur</w:t>
      </w:r>
      <w:r w:rsidRPr="009966E9">
        <w:rPr>
          <w:rFonts w:cs="Times New Roman"/>
          <w:spacing w:val="-2"/>
          <w:lang w:val="fr-CA"/>
        </w:rPr>
        <w:t xml:space="preserve"> et entrave la réalisation des objectifs de cette loi.</w:t>
      </w:r>
    </w:p>
    <w:p w:rsidR="005F030A" w:rsidRPr="009966E9" w:rsidRDefault="005F030A" w:rsidP="005F030A">
      <w:pPr>
        <w:pStyle w:val="ParaNoNdepar-AltN"/>
        <w:spacing w:before="0"/>
        <w:rPr>
          <w:rFonts w:cs="Times New Roman"/>
          <w:lang w:val="fr-CA"/>
        </w:rPr>
      </w:pPr>
      <w:r w:rsidRPr="009966E9">
        <w:rPr>
          <w:rFonts w:cs="Times New Roman"/>
          <w:lang w:val="fr-CA"/>
        </w:rPr>
        <w:t xml:space="preserve">Le procureur général du Canada fait valoir que la norme de contrôle applicable est celle de la décision raisonnable, et que le tribunal de révision doit procéder à une analyse empreinte de déférence et accorder, au départ, une attention respectueuse aux motifs exposés par le CRTC. À son avis, un organisme administratif peut choisir </w:t>
      </w:r>
      <w:r w:rsidRPr="009966E9">
        <w:rPr>
          <w:rFonts w:cs="Times New Roman"/>
          <w:i/>
          <w:lang w:val="fr-CA"/>
        </w:rPr>
        <w:t>toute</w:t>
      </w:r>
      <w:r w:rsidRPr="009966E9">
        <w:rPr>
          <w:rFonts w:cs="Times New Roman"/>
          <w:lang w:val="fr-CA"/>
        </w:rPr>
        <w:t xml:space="preserve"> interprétation raisonnable d</w:t>
      </w:r>
      <w:r>
        <w:rPr>
          <w:rFonts w:cs="Times New Roman"/>
          <w:lang w:val="fr-CA"/>
        </w:rPr>
        <w:t>’</w:t>
      </w:r>
      <w:r w:rsidRPr="009966E9">
        <w:rPr>
          <w:rFonts w:cs="Times New Roman"/>
          <w:lang w:val="fr-CA"/>
        </w:rPr>
        <w:t>une loi</w:t>
      </w:r>
      <w:r>
        <w:rPr>
          <w:rFonts w:cs="Times New Roman"/>
          <w:lang w:val="fr-CA"/>
        </w:rPr>
        <w:t xml:space="preserve"> </w:t>
      </w:r>
      <w:r w:rsidRPr="009966E9">
        <w:rPr>
          <w:rFonts w:cs="Times New Roman"/>
          <w:lang w:val="fr-CA"/>
        </w:rPr>
        <w:t>—</w:t>
      </w:r>
      <w:r>
        <w:rPr>
          <w:rFonts w:cs="Times New Roman"/>
          <w:lang w:val="fr-CA"/>
        </w:rPr>
        <w:t xml:space="preserve"> </w:t>
      </w:r>
      <w:r w:rsidRPr="009966E9">
        <w:rPr>
          <w:rFonts w:cs="Times New Roman"/>
          <w:lang w:val="fr-CA"/>
        </w:rPr>
        <w:t xml:space="preserve">et non seulement </w:t>
      </w:r>
      <w:r w:rsidRPr="009966E9">
        <w:rPr>
          <w:rFonts w:cs="Times New Roman"/>
          <w:lang w:val="fr-CA"/>
        </w:rPr>
        <w:lastRenderedPageBreak/>
        <w:t>l</w:t>
      </w:r>
      <w:r>
        <w:rPr>
          <w:rFonts w:cs="Times New Roman"/>
          <w:lang w:val="fr-CA"/>
        </w:rPr>
        <w:t>’</w:t>
      </w:r>
      <w:r w:rsidRPr="009966E9">
        <w:rPr>
          <w:rFonts w:cs="Times New Roman"/>
          <w:lang w:val="fr-CA"/>
        </w:rPr>
        <w:t xml:space="preserve">interprétation </w:t>
      </w:r>
      <w:r w:rsidRPr="009966E9">
        <w:rPr>
          <w:rFonts w:cs="Times New Roman"/>
          <w:i/>
          <w:lang w:val="fr-CA"/>
        </w:rPr>
        <w:t>la plus</w:t>
      </w:r>
      <w:r w:rsidRPr="009966E9">
        <w:rPr>
          <w:rFonts w:cs="Times New Roman"/>
          <w:lang w:val="fr-CA"/>
        </w:rPr>
        <w:t xml:space="preserve"> raisonnable. En outre, le procureur général du Canada avance que Bell et la NFL n</w:t>
      </w:r>
      <w:r>
        <w:rPr>
          <w:rFonts w:cs="Times New Roman"/>
          <w:lang w:val="fr-CA"/>
        </w:rPr>
        <w:t>’</w:t>
      </w:r>
      <w:r w:rsidRPr="009966E9">
        <w:rPr>
          <w:rFonts w:cs="Times New Roman"/>
          <w:lang w:val="fr-CA"/>
        </w:rPr>
        <w:t>ont pas démontré en quoi l</w:t>
      </w:r>
      <w:r>
        <w:rPr>
          <w:rFonts w:cs="Times New Roman"/>
          <w:lang w:val="fr-CA"/>
        </w:rPr>
        <w:t>’</w:t>
      </w:r>
      <w:r w:rsidRPr="009966E9">
        <w:rPr>
          <w:rFonts w:cs="Times New Roman"/>
          <w:lang w:val="fr-CA"/>
        </w:rPr>
        <w:t>interprétation du CRTC était déraisonnable, particulièrement à la lumière des connaissances techniques spécialisées que possède le CRTC, du contexte dans lequel celui</w:t>
      </w:r>
      <w:r>
        <w:rPr>
          <w:rFonts w:cs="Times New Roman"/>
          <w:lang w:val="fr-CA"/>
        </w:rPr>
        <w:noBreakHyphen/>
      </w:r>
      <w:r w:rsidRPr="009966E9">
        <w:rPr>
          <w:rFonts w:cs="Times New Roman"/>
          <w:lang w:val="fr-CA"/>
        </w:rPr>
        <w:t>ci exerce ses fonctions et de l</w:t>
      </w:r>
      <w:r>
        <w:rPr>
          <w:rFonts w:cs="Times New Roman"/>
          <w:lang w:val="fr-CA"/>
        </w:rPr>
        <w:t>’</w:t>
      </w:r>
      <w:r w:rsidRPr="009966E9">
        <w:rPr>
          <w:rFonts w:cs="Times New Roman"/>
          <w:lang w:val="fr-CA"/>
        </w:rPr>
        <w:t>obligation qui lui incombe de mettre en équilibre la quarantaine d</w:t>
      </w:r>
      <w:r>
        <w:rPr>
          <w:rFonts w:cs="Times New Roman"/>
          <w:lang w:val="fr-CA"/>
        </w:rPr>
        <w:t>’</w:t>
      </w:r>
      <w:r w:rsidRPr="009966E9">
        <w:rPr>
          <w:rFonts w:cs="Times New Roman"/>
          <w:lang w:val="fr-CA"/>
        </w:rPr>
        <w:t xml:space="preserve">objectifs de la </w:t>
      </w:r>
      <w:r w:rsidRPr="009966E9">
        <w:rPr>
          <w:rFonts w:cs="Times New Roman"/>
          <w:i/>
          <w:lang w:val="fr-CA"/>
        </w:rPr>
        <w:t>Loi sur la radiodiffusion</w:t>
      </w:r>
      <w:r w:rsidRPr="009966E9">
        <w:rPr>
          <w:rFonts w:cs="Times New Roman"/>
          <w:lang w:val="fr-CA"/>
        </w:rPr>
        <w:t>. Le CRTC, dit</w:t>
      </w:r>
      <w:r>
        <w:rPr>
          <w:rFonts w:cs="Times New Roman"/>
          <w:lang w:val="fr-CA"/>
        </w:rPr>
        <w:noBreakHyphen/>
      </w:r>
      <w:r w:rsidRPr="009966E9">
        <w:rPr>
          <w:rFonts w:cs="Times New Roman"/>
          <w:lang w:val="fr-CA"/>
        </w:rPr>
        <w:t xml:space="preserve">il, a raisonnablement rejeté les arguments des appelantes concernant la </w:t>
      </w:r>
      <w:r w:rsidRPr="009966E9">
        <w:rPr>
          <w:rFonts w:cs="Times New Roman"/>
          <w:i/>
          <w:lang w:val="fr-CA"/>
        </w:rPr>
        <w:t>Loi sur le droit d</w:t>
      </w:r>
      <w:r>
        <w:rPr>
          <w:rFonts w:cs="Times New Roman"/>
          <w:i/>
          <w:lang w:val="fr-CA"/>
        </w:rPr>
        <w:t>’</w:t>
      </w:r>
      <w:r w:rsidRPr="009966E9">
        <w:rPr>
          <w:rFonts w:cs="Times New Roman"/>
          <w:i/>
          <w:lang w:val="fr-CA"/>
        </w:rPr>
        <w:t>auteur</w:t>
      </w:r>
      <w:r w:rsidRPr="009966E9">
        <w:rPr>
          <w:rFonts w:cs="Times New Roman"/>
          <w:lang w:val="fr-CA"/>
        </w:rPr>
        <w:t xml:space="preserve"> et les traités internationaux.</w:t>
      </w:r>
    </w:p>
    <w:p w:rsidR="005F030A" w:rsidRPr="006504B2" w:rsidRDefault="005F030A" w:rsidP="005F030A">
      <w:pPr>
        <w:pStyle w:val="Title1LevelTitre1Niveau-AltL"/>
        <w:numPr>
          <w:ilvl w:val="0"/>
          <w:numId w:val="33"/>
        </w:numPr>
        <w:spacing w:before="0"/>
        <w:rPr>
          <w:rFonts w:cs="Times New Roman"/>
          <w:lang w:val="fr-CA"/>
        </w:rPr>
      </w:pPr>
      <w:r w:rsidRPr="006504B2">
        <w:rPr>
          <w:rFonts w:cs="Times New Roman"/>
          <w:lang w:val="fr-CA"/>
        </w:rPr>
        <w:t>Analyse</w:t>
      </w:r>
    </w:p>
    <w:p w:rsidR="005F030A" w:rsidRPr="009966E9" w:rsidRDefault="005F030A" w:rsidP="005F030A">
      <w:pPr>
        <w:pStyle w:val="ParaNoNdepar-AltN"/>
        <w:spacing w:before="0"/>
        <w:rPr>
          <w:rFonts w:cs="Times New Roman"/>
          <w:lang w:val="fr-CA"/>
        </w:rPr>
      </w:pPr>
      <w:r w:rsidRPr="009966E9">
        <w:rPr>
          <w:rFonts w:cs="Times New Roman"/>
          <w:lang w:val="fr-CA"/>
        </w:rPr>
        <w:t>Nous sommes d</w:t>
      </w:r>
      <w:r>
        <w:rPr>
          <w:rFonts w:cs="Times New Roman"/>
          <w:lang w:val="fr-CA"/>
        </w:rPr>
        <w:t>’</w:t>
      </w:r>
      <w:r w:rsidRPr="009966E9">
        <w:rPr>
          <w:rFonts w:cs="Times New Roman"/>
          <w:lang w:val="fr-CA"/>
        </w:rPr>
        <w:t>avis que la norme de contrôle applicable est celle de la décision raisonnable, et que la décision du CRTC était raisonnable.</w:t>
      </w:r>
      <w:bookmarkStart w:id="1" w:name="_Toc530671244"/>
      <w:r w:rsidRPr="009966E9">
        <w:rPr>
          <w:rFonts w:cs="Times New Roman"/>
          <w:lang w:val="fr-CA"/>
        </w:rPr>
        <w:t xml:space="preserve"> Comme nous le soulignons dans nos motifs concordants dans l</w:t>
      </w:r>
      <w:r>
        <w:rPr>
          <w:rFonts w:cs="Times New Roman"/>
          <w:lang w:val="fr-CA"/>
        </w:rPr>
        <w:t>’</w:t>
      </w:r>
      <w:r w:rsidRPr="009966E9">
        <w:rPr>
          <w:rFonts w:cs="Times New Roman"/>
          <w:lang w:val="fr-CA"/>
        </w:rPr>
        <w:t xml:space="preserve">arrêt </w:t>
      </w:r>
      <w:proofErr w:type="spellStart"/>
      <w:r w:rsidRPr="009966E9">
        <w:rPr>
          <w:rFonts w:cs="Times New Roman"/>
          <w:i/>
          <w:lang w:val="fr-CA"/>
        </w:rPr>
        <w:t>Vavilov</w:t>
      </w:r>
      <w:proofErr w:type="spellEnd"/>
      <w:r w:rsidRPr="009966E9">
        <w:rPr>
          <w:rFonts w:cs="Times New Roman"/>
          <w:lang w:val="fr-CA"/>
        </w:rPr>
        <w:t>, le cadre d</w:t>
      </w:r>
      <w:r>
        <w:rPr>
          <w:rFonts w:cs="Times New Roman"/>
          <w:lang w:val="fr-CA"/>
        </w:rPr>
        <w:t>’</w:t>
      </w:r>
      <w:r w:rsidRPr="009966E9">
        <w:rPr>
          <w:rFonts w:cs="Times New Roman"/>
          <w:lang w:val="fr-CA"/>
        </w:rPr>
        <w:t>analyse appliqué par les juges majoritaires ne tient pas compte de l</w:t>
      </w:r>
      <w:r>
        <w:rPr>
          <w:rFonts w:cs="Times New Roman"/>
          <w:lang w:val="fr-CA"/>
        </w:rPr>
        <w:t>’</w:t>
      </w:r>
      <w:r w:rsidRPr="009966E9">
        <w:rPr>
          <w:rFonts w:cs="Times New Roman"/>
          <w:lang w:val="fr-CA"/>
        </w:rPr>
        <w:t>importance de l</w:t>
      </w:r>
      <w:r>
        <w:rPr>
          <w:rFonts w:cs="Times New Roman"/>
          <w:lang w:val="fr-CA"/>
        </w:rPr>
        <w:t>’</w:t>
      </w:r>
      <w:r w:rsidRPr="009966E9">
        <w:rPr>
          <w:rFonts w:cs="Times New Roman"/>
          <w:lang w:val="fr-CA"/>
        </w:rPr>
        <w:t>expertise du décideur et se traduit par une large application de la norme de la décision correcte. Il en est ainsi uniquement sur la base de la prémisse voulant que la présence de dispositions créant un droit d</w:t>
      </w:r>
      <w:r>
        <w:rPr>
          <w:rFonts w:cs="Times New Roman"/>
          <w:lang w:val="fr-CA"/>
        </w:rPr>
        <w:t>’</w:t>
      </w:r>
      <w:r w:rsidRPr="009966E9">
        <w:rPr>
          <w:rFonts w:cs="Times New Roman"/>
          <w:lang w:val="fr-CA"/>
        </w:rPr>
        <w:t>appel reflète l</w:t>
      </w:r>
      <w:r>
        <w:rPr>
          <w:rFonts w:cs="Times New Roman"/>
          <w:lang w:val="fr-CA"/>
        </w:rPr>
        <w:t>’</w:t>
      </w:r>
      <w:r w:rsidRPr="009966E9">
        <w:rPr>
          <w:rFonts w:cs="Times New Roman"/>
          <w:lang w:val="fr-CA"/>
        </w:rPr>
        <w:t>intention du législateur que toutes les questions de droit soient contrôlées judiciairement suivant le critère de la décision correcte. Vu l</w:t>
      </w:r>
      <w:r>
        <w:rPr>
          <w:rFonts w:cs="Times New Roman"/>
          <w:lang w:val="fr-CA"/>
        </w:rPr>
        <w:t>’</w:t>
      </w:r>
      <w:r w:rsidRPr="009966E9">
        <w:rPr>
          <w:rFonts w:cs="Times New Roman"/>
          <w:lang w:val="fr-CA"/>
        </w:rPr>
        <w:t>existence d</w:t>
      </w:r>
      <w:r>
        <w:rPr>
          <w:rFonts w:cs="Times New Roman"/>
          <w:lang w:val="fr-CA"/>
        </w:rPr>
        <w:t>’</w:t>
      </w:r>
      <w:r w:rsidRPr="009966E9">
        <w:rPr>
          <w:rFonts w:cs="Times New Roman"/>
          <w:lang w:val="fr-CA"/>
        </w:rPr>
        <w:t>une disposition créant un droit d</w:t>
      </w:r>
      <w:r>
        <w:rPr>
          <w:rFonts w:cs="Times New Roman"/>
          <w:lang w:val="fr-CA"/>
        </w:rPr>
        <w:t>’</w:t>
      </w:r>
      <w:r w:rsidRPr="009966E9">
        <w:rPr>
          <w:rFonts w:cs="Times New Roman"/>
          <w:lang w:val="fr-CA"/>
        </w:rPr>
        <w:t xml:space="preserve">appel dans la </w:t>
      </w:r>
      <w:r w:rsidRPr="009966E9">
        <w:rPr>
          <w:rFonts w:cs="Times New Roman"/>
          <w:i/>
          <w:lang w:val="fr-CA"/>
        </w:rPr>
        <w:t>Loi sur la radiodiffusion</w:t>
      </w:r>
      <w:r w:rsidRPr="009966E9">
        <w:rPr>
          <w:rFonts w:cs="Times New Roman"/>
          <w:lang w:val="fr-CA"/>
        </w:rPr>
        <w:t>, les juges majoritaires affirment que la Cour a le droit de substituer son opinion à celle du CRTC. La présente affaire illustre bien les lacunes fondamentales d</w:t>
      </w:r>
      <w:r>
        <w:rPr>
          <w:rFonts w:cs="Times New Roman"/>
          <w:lang w:val="fr-CA"/>
        </w:rPr>
        <w:t>’</w:t>
      </w:r>
      <w:r w:rsidRPr="009966E9">
        <w:rPr>
          <w:rFonts w:cs="Times New Roman"/>
          <w:lang w:val="fr-CA"/>
        </w:rPr>
        <w:t>une telle approche.</w:t>
      </w:r>
    </w:p>
    <w:p w:rsidR="005F030A" w:rsidRPr="009966E9" w:rsidRDefault="005F030A" w:rsidP="005F030A">
      <w:pPr>
        <w:pStyle w:val="ParaNoNdepar-AltN"/>
        <w:spacing w:before="0"/>
        <w:rPr>
          <w:rFonts w:cs="Times New Roman"/>
          <w:lang w:val="fr-CA"/>
        </w:rPr>
      </w:pPr>
      <w:r w:rsidRPr="009966E9">
        <w:rPr>
          <w:rFonts w:cs="Times New Roman"/>
          <w:lang w:val="fr-CA"/>
        </w:rPr>
        <w:t xml:space="preserve">Selon la norme de la décision raisonnable, </w:t>
      </w:r>
      <w:r w:rsidRPr="009966E9" w:rsidDel="00A13740">
        <w:rPr>
          <w:rFonts w:cs="Times New Roman"/>
          <w:lang w:val="fr-CA"/>
        </w:rPr>
        <w:t xml:space="preserve">Bell </w:t>
      </w:r>
      <w:r w:rsidRPr="009966E9">
        <w:rPr>
          <w:rFonts w:cs="Times New Roman"/>
          <w:lang w:val="fr-CA"/>
        </w:rPr>
        <w:t>et</w:t>
      </w:r>
      <w:r w:rsidRPr="009966E9" w:rsidDel="00A13740">
        <w:rPr>
          <w:rFonts w:cs="Times New Roman"/>
          <w:lang w:val="fr-CA"/>
        </w:rPr>
        <w:t xml:space="preserve"> </w:t>
      </w:r>
      <w:r w:rsidRPr="009966E9">
        <w:rPr>
          <w:rFonts w:cs="Times New Roman"/>
          <w:lang w:val="fr-CA"/>
        </w:rPr>
        <w:t xml:space="preserve">la </w:t>
      </w:r>
      <w:r w:rsidRPr="009966E9" w:rsidDel="00A13740">
        <w:rPr>
          <w:rFonts w:cs="Times New Roman"/>
          <w:lang w:val="fr-CA"/>
        </w:rPr>
        <w:t xml:space="preserve">NFL </w:t>
      </w:r>
      <w:r w:rsidRPr="009966E9">
        <w:rPr>
          <w:rFonts w:cs="Times New Roman"/>
          <w:lang w:val="fr-CA"/>
        </w:rPr>
        <w:t>ont le fardeau de démontrer que, globalement,</w:t>
      </w:r>
      <w:r w:rsidRPr="009966E9" w:rsidDel="00A13740">
        <w:rPr>
          <w:rFonts w:cs="Times New Roman"/>
          <w:lang w:val="fr-CA"/>
        </w:rPr>
        <w:t xml:space="preserve"> </w:t>
      </w:r>
      <w:r w:rsidRPr="009966E9">
        <w:rPr>
          <w:rFonts w:cs="Times New Roman"/>
          <w:lang w:val="fr-CA"/>
        </w:rPr>
        <w:t>la décision du</w:t>
      </w:r>
      <w:r w:rsidRPr="009966E9" w:rsidDel="00A13740">
        <w:rPr>
          <w:rFonts w:cs="Times New Roman"/>
          <w:lang w:val="fr-CA"/>
        </w:rPr>
        <w:t xml:space="preserve"> CRTC</w:t>
      </w:r>
      <w:r w:rsidRPr="009966E9">
        <w:rPr>
          <w:rFonts w:cs="Times New Roman"/>
          <w:lang w:val="fr-CA"/>
        </w:rPr>
        <w:t xml:space="preserve"> est déraisonnable</w:t>
      </w:r>
      <w:r w:rsidRPr="009966E9" w:rsidDel="00A13740">
        <w:rPr>
          <w:rFonts w:cs="Times New Roman"/>
          <w:lang w:val="fr-CA"/>
        </w:rPr>
        <w:t xml:space="preserve">. </w:t>
      </w:r>
      <w:r w:rsidRPr="009966E9">
        <w:rPr>
          <w:rFonts w:cs="Times New Roman"/>
          <w:lang w:val="fr-CA"/>
        </w:rPr>
        <w:t>À notre avis, la Cour d</w:t>
      </w:r>
      <w:r>
        <w:rPr>
          <w:rFonts w:cs="Times New Roman"/>
          <w:lang w:val="fr-CA"/>
        </w:rPr>
        <w:t>’</w:t>
      </w:r>
      <w:r w:rsidRPr="009966E9">
        <w:rPr>
          <w:rFonts w:cs="Times New Roman"/>
          <w:lang w:val="fr-CA"/>
        </w:rPr>
        <w:t xml:space="preserve">appel fédérale a examiné la décision du CRTC en faisant montre de la déférence </w:t>
      </w:r>
      <w:r w:rsidRPr="009966E9">
        <w:rPr>
          <w:rFonts w:cs="Times New Roman"/>
          <w:lang w:val="fr-CA"/>
        </w:rPr>
        <w:lastRenderedPageBreak/>
        <w:t>qui convenait, réfutant concrètement les arguments des appelantes fondés sur la norme de la décision correcte</w:t>
      </w:r>
      <w:r w:rsidRPr="009966E9" w:rsidDel="00A13740">
        <w:rPr>
          <w:rFonts w:cs="Times New Roman"/>
          <w:lang w:val="fr-CA"/>
        </w:rPr>
        <w:t xml:space="preserve">. </w:t>
      </w:r>
      <w:r w:rsidRPr="009966E9">
        <w:rPr>
          <w:rFonts w:cs="Times New Roman"/>
          <w:lang w:val="fr-CA"/>
        </w:rPr>
        <w:t>À l</w:t>
      </w:r>
      <w:r>
        <w:rPr>
          <w:rFonts w:cs="Times New Roman"/>
          <w:lang w:val="fr-CA"/>
        </w:rPr>
        <w:t>’</w:t>
      </w:r>
      <w:r w:rsidRPr="009966E9">
        <w:rPr>
          <w:rFonts w:cs="Times New Roman"/>
          <w:lang w:val="fr-CA"/>
        </w:rPr>
        <w:t>instar de la Cour d</w:t>
      </w:r>
      <w:r>
        <w:rPr>
          <w:rFonts w:cs="Times New Roman"/>
          <w:lang w:val="fr-CA"/>
        </w:rPr>
        <w:t>’</w:t>
      </w:r>
      <w:r w:rsidRPr="009966E9">
        <w:rPr>
          <w:rFonts w:cs="Times New Roman"/>
          <w:lang w:val="fr-CA"/>
        </w:rPr>
        <w:t>appel fédérale, nous estimons que les appelantes ne se sont pas acquittées du fardeau qui leur incombait</w:t>
      </w:r>
      <w:r w:rsidRPr="009966E9" w:rsidDel="00A13740">
        <w:rPr>
          <w:rFonts w:cs="Times New Roman"/>
          <w:lang w:val="fr-CA"/>
        </w:rPr>
        <w:t>.</w:t>
      </w:r>
    </w:p>
    <w:p w:rsidR="005F030A" w:rsidRPr="009966E9" w:rsidRDefault="005F030A" w:rsidP="005F030A">
      <w:pPr>
        <w:pStyle w:val="ParaNoNdepar-AltN"/>
        <w:spacing w:before="0"/>
        <w:rPr>
          <w:rFonts w:cs="Times New Roman"/>
          <w:lang w:val="fr-CA"/>
        </w:rPr>
      </w:pPr>
      <w:r w:rsidRPr="009966E9">
        <w:rPr>
          <w:rFonts w:cs="Times New Roman"/>
          <w:lang w:val="fr-CA"/>
        </w:rPr>
        <w:t>En cas de contrôle judiciaire basé sur la norme de la décision raisonnable, le tribunal de révision s</w:t>
      </w:r>
      <w:r>
        <w:rPr>
          <w:rFonts w:cs="Times New Roman"/>
          <w:lang w:val="fr-CA"/>
        </w:rPr>
        <w:t>’</w:t>
      </w:r>
      <w:r w:rsidRPr="009966E9">
        <w:rPr>
          <w:rFonts w:cs="Times New Roman"/>
          <w:lang w:val="fr-CA"/>
        </w:rPr>
        <w:t>efforce d</w:t>
      </w:r>
      <w:r>
        <w:rPr>
          <w:rFonts w:cs="Times New Roman"/>
          <w:lang w:val="fr-CA"/>
        </w:rPr>
        <w:t>’</w:t>
      </w:r>
      <w:r w:rsidRPr="009966E9">
        <w:rPr>
          <w:rFonts w:cs="Times New Roman"/>
          <w:lang w:val="fr-CA"/>
        </w:rPr>
        <w:t>abord de bien comprendre la décision ainsi que les motifs l</w:t>
      </w:r>
      <w:r>
        <w:rPr>
          <w:rFonts w:cs="Times New Roman"/>
          <w:lang w:val="fr-CA"/>
        </w:rPr>
        <w:t>’</w:t>
      </w:r>
      <w:r w:rsidRPr="009966E9">
        <w:rPr>
          <w:rFonts w:cs="Times New Roman"/>
          <w:lang w:val="fr-CA"/>
        </w:rPr>
        <w:t>appuyant, et ce, à la lumière du contexte administratif dans lequel elle a été rendue et des moyens qui sont invoqués pour la contester</w:t>
      </w:r>
      <w:r w:rsidRPr="009966E9" w:rsidDel="000B5FEB">
        <w:rPr>
          <w:rFonts w:cs="Times New Roman"/>
          <w:lang w:val="fr-CA"/>
        </w:rPr>
        <w:t xml:space="preserve">. </w:t>
      </w:r>
      <w:r w:rsidRPr="009966E9">
        <w:rPr>
          <w:rFonts w:cs="Times New Roman"/>
          <w:lang w:val="fr-CA"/>
        </w:rPr>
        <w:t>En l</w:t>
      </w:r>
      <w:r>
        <w:rPr>
          <w:rFonts w:cs="Times New Roman"/>
          <w:lang w:val="fr-CA"/>
        </w:rPr>
        <w:t>’</w:t>
      </w:r>
      <w:r w:rsidRPr="009966E9">
        <w:rPr>
          <w:rFonts w:cs="Times New Roman"/>
          <w:lang w:val="fr-CA"/>
        </w:rPr>
        <w:t>espèce</w:t>
      </w:r>
      <w:r w:rsidRPr="009966E9" w:rsidDel="000B5FEB">
        <w:rPr>
          <w:rFonts w:cs="Times New Roman"/>
          <w:lang w:val="fr-CA"/>
        </w:rPr>
        <w:t xml:space="preserve">, Bell </w:t>
      </w:r>
      <w:r w:rsidRPr="009966E9">
        <w:rPr>
          <w:rFonts w:cs="Times New Roman"/>
          <w:lang w:val="fr-CA"/>
        </w:rPr>
        <w:t>et la</w:t>
      </w:r>
      <w:r w:rsidRPr="009966E9" w:rsidDel="000B5FEB">
        <w:rPr>
          <w:rFonts w:cs="Times New Roman"/>
          <w:lang w:val="fr-CA"/>
        </w:rPr>
        <w:t xml:space="preserve"> NFL </w:t>
      </w:r>
      <w:r w:rsidRPr="009966E9">
        <w:rPr>
          <w:rFonts w:cs="Times New Roman"/>
          <w:lang w:val="fr-CA"/>
        </w:rPr>
        <w:t>plaident qu</w:t>
      </w:r>
      <w:r>
        <w:rPr>
          <w:rFonts w:cs="Times New Roman"/>
          <w:lang w:val="fr-CA"/>
        </w:rPr>
        <w:t>’</w:t>
      </w:r>
      <w:r w:rsidRPr="009966E9">
        <w:rPr>
          <w:rFonts w:cs="Times New Roman"/>
          <w:lang w:val="fr-CA"/>
        </w:rPr>
        <w:t>il n</w:t>
      </w:r>
      <w:r>
        <w:rPr>
          <w:rFonts w:cs="Times New Roman"/>
          <w:lang w:val="fr-CA"/>
        </w:rPr>
        <w:t>’</w:t>
      </w:r>
      <w:r w:rsidRPr="009966E9">
        <w:rPr>
          <w:rFonts w:cs="Times New Roman"/>
          <w:lang w:val="fr-CA"/>
        </w:rPr>
        <w:t xml:space="preserve">était pas loisible au </w:t>
      </w:r>
      <w:r w:rsidRPr="009966E9" w:rsidDel="000B5FEB">
        <w:rPr>
          <w:rFonts w:cs="Times New Roman"/>
          <w:lang w:val="fr-CA"/>
        </w:rPr>
        <w:t>CRTC</w:t>
      </w:r>
      <w:r w:rsidRPr="009966E9">
        <w:rPr>
          <w:rFonts w:cs="Times New Roman"/>
          <w:lang w:val="fr-CA"/>
        </w:rPr>
        <w:t xml:space="preserve"> d</w:t>
      </w:r>
      <w:r>
        <w:rPr>
          <w:rFonts w:cs="Times New Roman"/>
          <w:lang w:val="fr-CA"/>
        </w:rPr>
        <w:t>’</w:t>
      </w:r>
      <w:r w:rsidRPr="009966E9">
        <w:rPr>
          <w:rFonts w:cs="Times New Roman"/>
          <w:lang w:val="fr-CA"/>
        </w:rPr>
        <w:t>interpréter comme il l</w:t>
      </w:r>
      <w:r>
        <w:rPr>
          <w:rFonts w:cs="Times New Roman"/>
          <w:lang w:val="fr-CA"/>
        </w:rPr>
        <w:t>’</w:t>
      </w:r>
      <w:r w:rsidRPr="009966E9">
        <w:rPr>
          <w:rFonts w:cs="Times New Roman"/>
          <w:lang w:val="fr-CA"/>
        </w:rPr>
        <w:t>a fait l</w:t>
      </w:r>
      <w:r>
        <w:rPr>
          <w:rFonts w:cs="Times New Roman"/>
          <w:lang w:val="fr-CA"/>
        </w:rPr>
        <w:t>’</w:t>
      </w:r>
      <w:r w:rsidRPr="009966E9">
        <w:rPr>
          <w:rFonts w:cs="Times New Roman"/>
          <w:lang w:val="fr-CA"/>
        </w:rPr>
        <w:t>expression « services de programmation », car à leur avis cette expression s</w:t>
      </w:r>
      <w:r>
        <w:rPr>
          <w:rFonts w:cs="Times New Roman"/>
          <w:lang w:val="fr-CA"/>
        </w:rPr>
        <w:t>’</w:t>
      </w:r>
      <w:r w:rsidRPr="009966E9">
        <w:rPr>
          <w:rFonts w:cs="Times New Roman"/>
          <w:lang w:val="fr-CA"/>
        </w:rPr>
        <w:t>entend de l</w:t>
      </w:r>
      <w:r>
        <w:rPr>
          <w:rFonts w:cs="Times New Roman"/>
          <w:lang w:val="fr-CA"/>
        </w:rPr>
        <w:t>’</w:t>
      </w:r>
      <w:r w:rsidRPr="009966E9">
        <w:rPr>
          <w:rFonts w:cs="Times New Roman"/>
          <w:lang w:val="fr-CA"/>
        </w:rPr>
        <w:t>entière programmation d</w:t>
      </w:r>
      <w:r>
        <w:rPr>
          <w:rFonts w:cs="Times New Roman"/>
          <w:lang w:val="fr-CA"/>
        </w:rPr>
        <w:t>’</w:t>
      </w:r>
      <w:r w:rsidRPr="009966E9">
        <w:rPr>
          <w:rFonts w:cs="Times New Roman"/>
          <w:lang w:val="fr-CA"/>
        </w:rPr>
        <w:t>une chaîne, alors que l</w:t>
      </w:r>
      <w:r>
        <w:rPr>
          <w:rFonts w:cs="Times New Roman"/>
          <w:lang w:val="fr-CA"/>
        </w:rPr>
        <w:t>’</w:t>
      </w:r>
      <w:r w:rsidRPr="009966E9">
        <w:rPr>
          <w:rFonts w:cs="Times New Roman"/>
          <w:lang w:val="fr-CA"/>
        </w:rPr>
        <w:t xml:space="preserve">Ordonnance relative au Super </w:t>
      </w:r>
      <w:proofErr w:type="spellStart"/>
      <w:r w:rsidRPr="009966E9">
        <w:rPr>
          <w:rFonts w:cs="Times New Roman"/>
          <w:lang w:val="fr-CA"/>
        </w:rPr>
        <w:t>Bowl</w:t>
      </w:r>
      <w:proofErr w:type="spellEnd"/>
      <w:r w:rsidRPr="009966E9">
        <w:rPr>
          <w:rFonts w:cs="Times New Roman"/>
          <w:lang w:val="fr-CA"/>
        </w:rPr>
        <w:t xml:space="preserve"> cible une émission en particulier</w:t>
      </w:r>
      <w:r w:rsidRPr="009966E9" w:rsidDel="000B5FEB">
        <w:rPr>
          <w:rFonts w:cs="Times New Roman"/>
          <w:lang w:val="fr-CA"/>
        </w:rPr>
        <w:t xml:space="preserve">. </w:t>
      </w:r>
      <w:r w:rsidRPr="009966E9">
        <w:rPr>
          <w:rFonts w:cs="Times New Roman"/>
          <w:lang w:val="fr-CA"/>
        </w:rPr>
        <w:t>En conséquence, plaident ces sociétés, l</w:t>
      </w:r>
      <w:r>
        <w:rPr>
          <w:rFonts w:cs="Times New Roman"/>
          <w:lang w:val="fr-CA"/>
        </w:rPr>
        <w:t>’</w:t>
      </w:r>
      <w:r w:rsidRPr="009966E9">
        <w:rPr>
          <w:rFonts w:cs="Times New Roman"/>
          <w:lang w:val="fr-CA"/>
        </w:rPr>
        <w:t xml:space="preserve">Ordonnance relative au Super </w:t>
      </w:r>
      <w:proofErr w:type="spellStart"/>
      <w:r w:rsidRPr="009966E9">
        <w:rPr>
          <w:rFonts w:cs="Times New Roman"/>
          <w:lang w:val="fr-CA"/>
        </w:rPr>
        <w:t>Bowl</w:t>
      </w:r>
      <w:proofErr w:type="spellEnd"/>
      <w:r w:rsidRPr="009966E9">
        <w:rPr>
          <w:rFonts w:cs="Times New Roman"/>
          <w:lang w:val="fr-CA"/>
        </w:rPr>
        <w:t xml:space="preserve"> était dénuée de fondement juridique</w:t>
      </w:r>
      <w:r w:rsidRPr="009966E9" w:rsidDel="000B5FEB">
        <w:rPr>
          <w:rFonts w:cs="Times New Roman"/>
          <w:lang w:val="fr-CA"/>
        </w:rPr>
        <w:t>.</w:t>
      </w:r>
    </w:p>
    <w:p w:rsidR="005F030A" w:rsidRPr="009966E9" w:rsidDel="000B5FEB" w:rsidRDefault="005F030A" w:rsidP="005F030A">
      <w:pPr>
        <w:pStyle w:val="ParaNoNdepar-AltN"/>
        <w:spacing w:before="0"/>
        <w:rPr>
          <w:rFonts w:cs="Times New Roman"/>
          <w:lang w:val="fr-CA"/>
        </w:rPr>
      </w:pPr>
      <w:r w:rsidRPr="009966E9">
        <w:rPr>
          <w:rFonts w:cs="Times New Roman"/>
          <w:lang w:val="fr-CA"/>
        </w:rPr>
        <w:t>Le CRTC est l</w:t>
      </w:r>
      <w:r>
        <w:rPr>
          <w:rFonts w:cs="Times New Roman"/>
          <w:lang w:val="fr-CA"/>
        </w:rPr>
        <w:t>’</w:t>
      </w:r>
      <w:r w:rsidRPr="009966E9">
        <w:rPr>
          <w:rFonts w:cs="Times New Roman"/>
          <w:lang w:val="fr-CA"/>
        </w:rPr>
        <w:t>archétype de l</w:t>
      </w:r>
      <w:r>
        <w:rPr>
          <w:rFonts w:cs="Times New Roman"/>
          <w:lang w:val="fr-CA"/>
        </w:rPr>
        <w:t>’</w:t>
      </w:r>
      <w:r w:rsidRPr="009966E9">
        <w:rPr>
          <w:rFonts w:cs="Times New Roman"/>
          <w:lang w:val="fr-CA"/>
        </w:rPr>
        <w:t>organisme administratif spécialisé, et son expertise est bien établie. Des pouvoirs étendus ont été conférés par la loi à cet organisme de réglementation, et un mandat exceptionnellement spécialisé l</w:t>
      </w:r>
      <w:r>
        <w:rPr>
          <w:rFonts w:cs="Times New Roman"/>
          <w:lang w:val="fr-CA"/>
        </w:rPr>
        <w:t>’</w:t>
      </w:r>
      <w:r w:rsidRPr="009966E9">
        <w:rPr>
          <w:rFonts w:cs="Times New Roman"/>
          <w:lang w:val="fr-CA"/>
        </w:rPr>
        <w:t>oblige à prendre en compte et à mettre en équilibre des considérations d</w:t>
      </w:r>
      <w:r>
        <w:rPr>
          <w:rFonts w:cs="Times New Roman"/>
          <w:lang w:val="fr-CA"/>
        </w:rPr>
        <w:t>’</w:t>
      </w:r>
      <w:r w:rsidRPr="009966E9">
        <w:rPr>
          <w:rFonts w:cs="Times New Roman"/>
          <w:lang w:val="fr-CA"/>
        </w:rPr>
        <w:t>intérêt public complexes dans le cadre de la réglementation d</w:t>
      </w:r>
      <w:r>
        <w:rPr>
          <w:rFonts w:cs="Times New Roman"/>
          <w:lang w:val="fr-CA"/>
        </w:rPr>
        <w:t>’</w:t>
      </w:r>
      <w:r w:rsidR="005C77FF">
        <w:rPr>
          <w:rFonts w:cs="Times New Roman"/>
          <w:lang w:val="fr-CA"/>
        </w:rPr>
        <w:t>une industrie tout</w:t>
      </w:r>
      <w:r w:rsidRPr="009966E9">
        <w:rPr>
          <w:rFonts w:cs="Times New Roman"/>
          <w:lang w:val="fr-CA"/>
        </w:rPr>
        <w:t xml:space="preserve"> entière. Le besoin de faire appel à un organisme expert pour mettre en équilibre de délicates questions d</w:t>
      </w:r>
      <w:r>
        <w:rPr>
          <w:rFonts w:cs="Times New Roman"/>
          <w:lang w:val="fr-CA"/>
        </w:rPr>
        <w:t>’</w:t>
      </w:r>
      <w:r w:rsidRPr="009966E9">
        <w:rPr>
          <w:rFonts w:cs="Times New Roman"/>
          <w:lang w:val="fr-CA"/>
        </w:rPr>
        <w:t>intérêt public, et ce, dans un contexte hautement technique, est particulièrement évident dans la présente affaire, où le dossier d</w:t>
      </w:r>
      <w:r>
        <w:rPr>
          <w:rFonts w:cs="Times New Roman"/>
          <w:lang w:val="fr-CA"/>
        </w:rPr>
        <w:t>’</w:t>
      </w:r>
      <w:r w:rsidRPr="009966E9">
        <w:rPr>
          <w:rFonts w:cs="Times New Roman"/>
          <w:lang w:val="fr-CA"/>
        </w:rPr>
        <w:t>instance renferme une série de mesures — avis publics, consultations et politiques — qui se sont étalées sur une période de presque trois ans et qui ont abouti à la décision en litige.</w:t>
      </w:r>
    </w:p>
    <w:p w:rsidR="005F030A" w:rsidRPr="009966E9" w:rsidRDefault="005F030A" w:rsidP="005F030A">
      <w:pPr>
        <w:pStyle w:val="ParaNoNdepar-AltN"/>
        <w:spacing w:before="0"/>
        <w:rPr>
          <w:rFonts w:cs="Times New Roman"/>
          <w:lang w:val="fr-CA"/>
        </w:rPr>
      </w:pPr>
      <w:r w:rsidRPr="009966E9">
        <w:rPr>
          <w:rFonts w:cs="Times New Roman"/>
          <w:lang w:val="fr-CA"/>
        </w:rPr>
        <w:lastRenderedPageBreak/>
        <w:t>À notre avis, les motifs fournis par le CRTC dans l</w:t>
      </w:r>
      <w:r>
        <w:rPr>
          <w:rFonts w:cs="Times New Roman"/>
          <w:lang w:val="fr-CA"/>
        </w:rPr>
        <w:t>’</w:t>
      </w:r>
      <w:r w:rsidRPr="009966E9">
        <w:rPr>
          <w:rFonts w:cs="Times New Roman"/>
          <w:lang w:val="fr-CA"/>
        </w:rPr>
        <w:t>Ordonnance et dans la politique réglementaire qui l</w:t>
      </w:r>
      <w:r>
        <w:rPr>
          <w:rFonts w:cs="Times New Roman"/>
          <w:lang w:val="fr-CA"/>
        </w:rPr>
        <w:t>’</w:t>
      </w:r>
      <w:r w:rsidRPr="009966E9">
        <w:rPr>
          <w:rFonts w:cs="Times New Roman"/>
          <w:lang w:val="fr-CA"/>
        </w:rPr>
        <w:t>accompagne exposent un raisonnement logique et convaincant, qui explique clairement les conséquences, ainsi que les implications et les défis sur le plan de la mise en œuvre qui ont motivé sa décision. Les arguments soulevés par Bell et la NFL pour contester cette décision ne nous convainquent pas que le CRTC a conclu de manière déraisonnable que l</w:t>
      </w:r>
      <w:r>
        <w:rPr>
          <w:rFonts w:cs="Times New Roman"/>
          <w:lang w:val="fr-CA"/>
        </w:rPr>
        <w:t>’al. </w:t>
      </w:r>
      <w:r w:rsidRPr="009966E9">
        <w:rPr>
          <w:rFonts w:cs="Times New Roman"/>
          <w:lang w:val="fr-CA"/>
        </w:rPr>
        <w:t>9(1)h) constituait une assise juridique permettant d</w:t>
      </w:r>
      <w:r>
        <w:rPr>
          <w:rFonts w:cs="Times New Roman"/>
          <w:lang w:val="fr-CA"/>
        </w:rPr>
        <w:t>’</w:t>
      </w:r>
      <w:r w:rsidRPr="009966E9">
        <w:rPr>
          <w:rFonts w:cs="Times New Roman"/>
          <w:lang w:val="fr-CA"/>
        </w:rPr>
        <w:t xml:space="preserve">interdire la substitution simultanée pendant le Super </w:t>
      </w:r>
      <w:proofErr w:type="spellStart"/>
      <w:r w:rsidRPr="009966E9">
        <w:rPr>
          <w:rFonts w:cs="Times New Roman"/>
          <w:lang w:val="fr-CA"/>
        </w:rPr>
        <w:t>Bowl</w:t>
      </w:r>
      <w:proofErr w:type="spellEnd"/>
      <w:r w:rsidRPr="009966E9">
        <w:rPr>
          <w:rFonts w:cs="Times New Roman"/>
          <w:lang w:val="fr-CA"/>
        </w:rPr>
        <w:t>.</w:t>
      </w:r>
    </w:p>
    <w:p w:rsidR="005F030A" w:rsidRPr="009966E9" w:rsidRDefault="005F030A" w:rsidP="005F030A">
      <w:pPr>
        <w:pStyle w:val="ParaNoNdepar-AltN"/>
        <w:spacing w:before="0"/>
        <w:rPr>
          <w:rFonts w:cs="Times New Roman"/>
          <w:lang w:val="fr-CA"/>
        </w:rPr>
      </w:pPr>
      <w:r w:rsidRPr="009966E9">
        <w:rPr>
          <w:rFonts w:cs="Times New Roman"/>
          <w:lang w:val="fr-CA"/>
        </w:rPr>
        <w:t>Dans sa décision, le CRTC a souligné que la substitution simultanée n</w:t>
      </w:r>
      <w:r>
        <w:rPr>
          <w:rFonts w:cs="Times New Roman"/>
          <w:lang w:val="fr-CA"/>
        </w:rPr>
        <w:t>’</w:t>
      </w:r>
      <w:r w:rsidRPr="009966E9">
        <w:rPr>
          <w:rFonts w:cs="Times New Roman"/>
          <w:lang w:val="fr-CA"/>
        </w:rPr>
        <w:t>était pas un droit, mais plutôt une exception à l</w:t>
      </w:r>
      <w:r>
        <w:rPr>
          <w:rFonts w:cs="Times New Roman"/>
          <w:lang w:val="fr-CA"/>
        </w:rPr>
        <w:t>’</w:t>
      </w:r>
      <w:r w:rsidRPr="009966E9">
        <w:rPr>
          <w:rFonts w:cs="Times New Roman"/>
          <w:lang w:val="fr-CA"/>
        </w:rPr>
        <w:t>obligation générale qu</w:t>
      </w:r>
      <w:r>
        <w:rPr>
          <w:rFonts w:cs="Times New Roman"/>
          <w:lang w:val="fr-CA"/>
        </w:rPr>
        <w:t>’</w:t>
      </w:r>
      <w:r w:rsidRPr="009966E9">
        <w:rPr>
          <w:rFonts w:cs="Times New Roman"/>
          <w:lang w:val="fr-CA"/>
        </w:rPr>
        <w:t>ont les entreprises de distribution de ne pas modifier les émissions qu</w:t>
      </w:r>
      <w:r>
        <w:rPr>
          <w:rFonts w:cs="Times New Roman"/>
          <w:lang w:val="fr-CA"/>
        </w:rPr>
        <w:t>’</w:t>
      </w:r>
      <w:r w:rsidRPr="009966E9">
        <w:rPr>
          <w:rFonts w:cs="Times New Roman"/>
          <w:lang w:val="fr-CA"/>
        </w:rPr>
        <w:t>elles transmettent. Le CRTC a précisé que la décision faisait partie « de décisions de politique ayant une portée beaucoup plus large » compte tenu du devoir qui lui incombe de réglementer et de surveiller l</w:t>
      </w:r>
      <w:r>
        <w:rPr>
          <w:rFonts w:cs="Times New Roman"/>
          <w:lang w:val="fr-CA"/>
        </w:rPr>
        <w:t>’</w:t>
      </w:r>
      <w:r w:rsidRPr="009966E9">
        <w:rPr>
          <w:rFonts w:cs="Times New Roman"/>
          <w:lang w:val="fr-CA"/>
        </w:rPr>
        <w:t xml:space="preserve">ensemble du système de radiodiffusion. Vu la dimension culturelle du Super </w:t>
      </w:r>
      <w:proofErr w:type="spellStart"/>
      <w:r w:rsidRPr="009966E9">
        <w:rPr>
          <w:rFonts w:cs="Times New Roman"/>
          <w:lang w:val="fr-CA"/>
        </w:rPr>
        <w:t>Bowl</w:t>
      </w:r>
      <w:proofErr w:type="spellEnd"/>
      <w:r w:rsidRPr="009966E9">
        <w:rPr>
          <w:rFonts w:cs="Times New Roman"/>
          <w:lang w:val="fr-CA"/>
        </w:rPr>
        <w:t>, la décision se veut une tentative en vue d</w:t>
      </w:r>
      <w:r>
        <w:rPr>
          <w:rFonts w:cs="Times New Roman"/>
          <w:lang w:val="fr-CA"/>
        </w:rPr>
        <w:t>’</w:t>
      </w:r>
      <w:r w:rsidRPr="009966E9">
        <w:rPr>
          <w:rFonts w:cs="Times New Roman"/>
          <w:lang w:val="fr-CA"/>
        </w:rPr>
        <w:t>assurer l</w:t>
      </w:r>
      <w:r>
        <w:rPr>
          <w:rFonts w:cs="Times New Roman"/>
          <w:lang w:val="fr-CA"/>
        </w:rPr>
        <w:t>’</w:t>
      </w:r>
      <w:r w:rsidRPr="009966E9">
        <w:rPr>
          <w:rFonts w:cs="Times New Roman"/>
          <w:lang w:val="fr-CA"/>
        </w:rPr>
        <w:t>équilibre entre, d</w:t>
      </w:r>
      <w:r>
        <w:rPr>
          <w:rFonts w:cs="Times New Roman"/>
          <w:lang w:val="fr-CA"/>
        </w:rPr>
        <w:t>’</w:t>
      </w:r>
      <w:r w:rsidRPr="009966E9">
        <w:rPr>
          <w:rFonts w:cs="Times New Roman"/>
          <w:lang w:val="fr-CA"/>
        </w:rPr>
        <w:t>une part, le soutien à la programmation canadienne et, d</w:t>
      </w:r>
      <w:r>
        <w:rPr>
          <w:rFonts w:cs="Times New Roman"/>
          <w:lang w:val="fr-CA"/>
        </w:rPr>
        <w:t>’</w:t>
      </w:r>
      <w:r w:rsidRPr="009966E9">
        <w:rPr>
          <w:rFonts w:cs="Times New Roman"/>
          <w:lang w:val="fr-CA"/>
        </w:rPr>
        <w:t>autre part, la prise en compte des frustrations exprimées par les téléspectateurs et la réalisation d</w:t>
      </w:r>
      <w:r>
        <w:rPr>
          <w:rFonts w:cs="Times New Roman"/>
          <w:lang w:val="fr-CA"/>
        </w:rPr>
        <w:t>’</w:t>
      </w:r>
      <w:r w:rsidRPr="009966E9">
        <w:rPr>
          <w:rFonts w:cs="Times New Roman"/>
          <w:lang w:val="fr-CA"/>
        </w:rPr>
        <w:t xml:space="preserve">autres objectifs de la </w:t>
      </w:r>
      <w:r w:rsidRPr="009966E9">
        <w:rPr>
          <w:rFonts w:cs="Times New Roman"/>
          <w:i/>
          <w:lang w:val="fr-CA"/>
        </w:rPr>
        <w:t>Loi sur la radiodiffusion</w:t>
      </w:r>
      <w:r w:rsidRPr="009966E9">
        <w:rPr>
          <w:rFonts w:cs="Times New Roman"/>
          <w:lang w:val="fr-CA"/>
        </w:rPr>
        <w:t>, par exemple le fait de permettre aux abonnés de voir l</w:t>
      </w:r>
      <w:r>
        <w:rPr>
          <w:rFonts w:cs="Times New Roman"/>
          <w:lang w:val="fr-CA"/>
        </w:rPr>
        <w:t>’</w:t>
      </w:r>
      <w:r w:rsidRPr="009966E9">
        <w:rPr>
          <w:rFonts w:cs="Times New Roman"/>
          <w:lang w:val="fr-CA"/>
        </w:rPr>
        <w:t xml:space="preserve">émission complète. Le CRTC a fait observer que le </w:t>
      </w:r>
      <w:r>
        <w:rPr>
          <w:rFonts w:cs="Times New Roman"/>
          <w:lang w:val="fr-CA"/>
        </w:rPr>
        <w:t>par. </w:t>
      </w:r>
      <w:r w:rsidRPr="009966E9">
        <w:rPr>
          <w:rFonts w:cs="Times New Roman"/>
          <w:lang w:val="fr-CA"/>
        </w:rPr>
        <w:t xml:space="preserve">4(3) du </w:t>
      </w:r>
      <w:r w:rsidRPr="009966E9">
        <w:rPr>
          <w:rFonts w:cs="Times New Roman"/>
          <w:i/>
          <w:lang w:val="fr-CA"/>
        </w:rPr>
        <w:t xml:space="preserve">Règlement sur la substitution simultanée </w:t>
      </w:r>
      <w:r w:rsidRPr="009966E9">
        <w:rPr>
          <w:rFonts w:cs="Times New Roman"/>
          <w:lang w:val="fr-CA"/>
        </w:rPr>
        <w:t>interdit la substitution simultanée lorsque le CRTC décide que la pratique n</w:t>
      </w:r>
      <w:r>
        <w:rPr>
          <w:rFonts w:cs="Times New Roman"/>
          <w:lang w:val="fr-CA"/>
        </w:rPr>
        <w:t>’</w:t>
      </w:r>
      <w:r w:rsidRPr="009966E9">
        <w:rPr>
          <w:rFonts w:cs="Times New Roman"/>
          <w:lang w:val="fr-CA"/>
        </w:rPr>
        <w:t>est pas dans l</w:t>
      </w:r>
      <w:r>
        <w:rPr>
          <w:rFonts w:cs="Times New Roman"/>
          <w:lang w:val="fr-CA"/>
        </w:rPr>
        <w:t>’</w:t>
      </w:r>
      <w:r w:rsidRPr="009966E9">
        <w:rPr>
          <w:rFonts w:cs="Times New Roman"/>
          <w:lang w:val="fr-CA"/>
        </w:rPr>
        <w:t>intérêt public.</w:t>
      </w:r>
    </w:p>
    <w:p w:rsidR="005F030A" w:rsidRPr="009966E9" w:rsidRDefault="005F030A" w:rsidP="005F030A">
      <w:pPr>
        <w:pStyle w:val="ParaNoNdepar-AltN"/>
        <w:spacing w:before="0"/>
        <w:rPr>
          <w:rFonts w:cs="Times New Roman"/>
          <w:lang w:val="fr-CA"/>
        </w:rPr>
      </w:pPr>
      <w:r w:rsidRPr="009966E9">
        <w:rPr>
          <w:rFonts w:cs="Times New Roman"/>
          <w:lang w:val="fr-CA"/>
        </w:rPr>
        <w:t>À la lumière de sa décision portant qu</w:t>
      </w:r>
      <w:r>
        <w:rPr>
          <w:rFonts w:cs="Times New Roman"/>
          <w:lang w:val="fr-CA"/>
        </w:rPr>
        <w:t>’</w:t>
      </w:r>
      <w:r w:rsidRPr="009966E9">
        <w:rPr>
          <w:rFonts w:cs="Times New Roman"/>
          <w:lang w:val="fr-CA"/>
        </w:rPr>
        <w:t>il n</w:t>
      </w:r>
      <w:r>
        <w:rPr>
          <w:rFonts w:cs="Times New Roman"/>
          <w:lang w:val="fr-CA"/>
        </w:rPr>
        <w:t>’</w:t>
      </w:r>
      <w:r w:rsidRPr="009966E9">
        <w:rPr>
          <w:rFonts w:cs="Times New Roman"/>
          <w:lang w:val="fr-CA"/>
        </w:rPr>
        <w:t>était pas dans l</w:t>
      </w:r>
      <w:r>
        <w:rPr>
          <w:rFonts w:cs="Times New Roman"/>
          <w:lang w:val="fr-CA"/>
        </w:rPr>
        <w:t>’</w:t>
      </w:r>
      <w:r w:rsidRPr="009966E9">
        <w:rPr>
          <w:rFonts w:cs="Times New Roman"/>
          <w:lang w:val="fr-CA"/>
        </w:rPr>
        <w:t>intérêt public d</w:t>
      </w:r>
      <w:r>
        <w:rPr>
          <w:rFonts w:cs="Times New Roman"/>
          <w:lang w:val="fr-CA"/>
        </w:rPr>
        <w:t>’</w:t>
      </w:r>
      <w:r w:rsidRPr="009966E9">
        <w:rPr>
          <w:rFonts w:cs="Times New Roman"/>
          <w:lang w:val="fr-CA"/>
        </w:rPr>
        <w:t xml:space="preserve">autoriser la substitution simultanée pendant le Super </w:t>
      </w:r>
      <w:proofErr w:type="spellStart"/>
      <w:r w:rsidRPr="009966E9">
        <w:rPr>
          <w:rFonts w:cs="Times New Roman"/>
          <w:lang w:val="fr-CA"/>
        </w:rPr>
        <w:t>Bowl</w:t>
      </w:r>
      <w:proofErr w:type="spellEnd"/>
      <w:r w:rsidRPr="009966E9">
        <w:rPr>
          <w:rFonts w:cs="Times New Roman"/>
          <w:lang w:val="fr-CA"/>
        </w:rPr>
        <w:t>, le CRTC a conclu qu</w:t>
      </w:r>
      <w:r>
        <w:rPr>
          <w:rFonts w:cs="Times New Roman"/>
          <w:lang w:val="fr-CA"/>
        </w:rPr>
        <w:t>’</w:t>
      </w:r>
      <w:r w:rsidRPr="009966E9">
        <w:rPr>
          <w:rFonts w:cs="Times New Roman"/>
          <w:lang w:val="fr-CA"/>
        </w:rPr>
        <w:t xml:space="preserve">il </w:t>
      </w:r>
      <w:r w:rsidRPr="009966E9">
        <w:rPr>
          <w:rFonts w:cs="Times New Roman"/>
          <w:lang w:val="fr-CA"/>
        </w:rPr>
        <w:lastRenderedPageBreak/>
        <w:t>pouvait exercer le pouvoir que lui confère l</w:t>
      </w:r>
      <w:r>
        <w:rPr>
          <w:rFonts w:cs="Times New Roman"/>
          <w:lang w:val="fr-CA"/>
        </w:rPr>
        <w:t>’al. </w:t>
      </w:r>
      <w:r w:rsidRPr="009966E9">
        <w:rPr>
          <w:rFonts w:cs="Times New Roman"/>
          <w:lang w:val="fr-CA"/>
        </w:rPr>
        <w:t xml:space="preserve">9(1)h) de la </w:t>
      </w:r>
      <w:r w:rsidRPr="009966E9">
        <w:rPr>
          <w:rFonts w:cs="Times New Roman"/>
          <w:i/>
          <w:lang w:val="fr-CA"/>
        </w:rPr>
        <w:t>Loi sur la radiodiffusion</w:t>
      </w:r>
      <w:r w:rsidRPr="009966E9">
        <w:rPr>
          <w:rFonts w:cs="Times New Roman"/>
          <w:lang w:val="fr-CA"/>
        </w:rPr>
        <w:t xml:space="preserve"> pour mettre en œuvre cette décision.</w:t>
      </w:r>
    </w:p>
    <w:p w:rsidR="005F030A" w:rsidRPr="009966E9" w:rsidRDefault="005F030A" w:rsidP="005F030A">
      <w:pPr>
        <w:pStyle w:val="ParaNoNdepar-AltN"/>
        <w:spacing w:before="0"/>
        <w:rPr>
          <w:rFonts w:cs="Times New Roman"/>
          <w:lang w:val="fr-CA"/>
        </w:rPr>
      </w:pPr>
      <w:r w:rsidRPr="009966E9">
        <w:rPr>
          <w:rFonts w:cs="Times New Roman"/>
          <w:lang w:val="fr-CA"/>
        </w:rPr>
        <w:t>Voici le texte de l</w:t>
      </w:r>
      <w:r>
        <w:rPr>
          <w:rFonts w:cs="Times New Roman"/>
          <w:lang w:val="fr-CA"/>
        </w:rPr>
        <w:t>’al. </w:t>
      </w:r>
      <w:r w:rsidRPr="009966E9">
        <w:rPr>
          <w:rFonts w:cs="Times New Roman"/>
          <w:lang w:val="fr-CA"/>
        </w:rPr>
        <w:t xml:space="preserve">9(1)h) de la </w:t>
      </w:r>
      <w:r w:rsidRPr="009966E9">
        <w:rPr>
          <w:rFonts w:cs="Times New Roman"/>
          <w:i/>
          <w:lang w:val="fr-CA"/>
        </w:rPr>
        <w:t>Loi sur la radiodiffusion</w:t>
      </w:r>
      <w:r>
        <w:rPr>
          <w:rFonts w:cs="Times New Roman"/>
          <w:lang w:val="fr-CA"/>
        </w:rPr>
        <w:t> :</w:t>
      </w:r>
    </w:p>
    <w:p w:rsidR="005F030A" w:rsidRPr="009966E9" w:rsidRDefault="005F030A" w:rsidP="001F3C5C">
      <w:pPr>
        <w:pStyle w:val="Citation-AltC"/>
        <w:spacing w:after="240"/>
        <w:ind w:left="1260" w:hanging="1260"/>
        <w:contextualSpacing w:val="0"/>
        <w:rPr>
          <w:b/>
          <w:lang w:val="fr-CA"/>
        </w:rPr>
      </w:pPr>
      <w:r w:rsidRPr="009966E9">
        <w:rPr>
          <w:b/>
          <w:sz w:val="20"/>
          <w:szCs w:val="20"/>
          <w:lang w:val="fr-CA"/>
        </w:rPr>
        <w:tab/>
      </w:r>
      <w:r w:rsidRPr="009966E9">
        <w:rPr>
          <w:b/>
          <w:lang w:val="fr-CA"/>
        </w:rPr>
        <w:t>Catégories de licences</w:t>
      </w:r>
    </w:p>
    <w:p w:rsidR="005F030A" w:rsidRPr="009966E9" w:rsidRDefault="005F030A" w:rsidP="001F3C5C">
      <w:pPr>
        <w:pStyle w:val="Citation-AltC"/>
        <w:spacing w:after="240"/>
        <w:ind w:left="1260" w:hanging="709"/>
        <w:contextualSpacing w:val="0"/>
        <w:rPr>
          <w:lang w:val="fr-CA"/>
        </w:rPr>
      </w:pPr>
      <w:r w:rsidRPr="009966E9">
        <w:rPr>
          <w:b/>
          <w:lang w:val="fr-CA"/>
        </w:rPr>
        <w:tab/>
        <w:t>9 (1)</w:t>
      </w:r>
      <w:r w:rsidRPr="009966E9">
        <w:rPr>
          <w:lang w:val="fr-CA"/>
        </w:rPr>
        <w:t> Sous réserve des autres dispositions de la présente partie, le Conseil peut, dans l’exécution de sa mission :</w:t>
      </w:r>
    </w:p>
    <w:p w:rsidR="005F030A" w:rsidRPr="009966E9" w:rsidRDefault="005F030A" w:rsidP="005F030A">
      <w:pPr>
        <w:pStyle w:val="Citation-AltC"/>
        <w:spacing w:after="240"/>
        <w:ind w:left="0"/>
        <w:contextualSpacing w:val="0"/>
        <w:jc w:val="center"/>
        <w:rPr>
          <w:lang w:val="fr-CA"/>
        </w:rPr>
      </w:pPr>
      <w:r w:rsidRPr="009966E9">
        <w:rPr>
          <w:lang w:val="fr-CA"/>
        </w:rPr>
        <w:tab/>
        <w:t>. . .</w:t>
      </w:r>
    </w:p>
    <w:p w:rsidR="005F030A" w:rsidRPr="009966E9" w:rsidRDefault="005F030A" w:rsidP="001F3C5C">
      <w:pPr>
        <w:pStyle w:val="Citation-AltC"/>
        <w:ind w:left="1530" w:hanging="709"/>
        <w:contextualSpacing w:val="0"/>
        <w:rPr>
          <w:lang w:val="fr-CA"/>
        </w:rPr>
      </w:pPr>
      <w:r w:rsidRPr="009966E9">
        <w:rPr>
          <w:b/>
          <w:lang w:val="fr-CA"/>
        </w:rPr>
        <w:tab/>
        <w:t>h)</w:t>
      </w:r>
      <w:r w:rsidRPr="009966E9">
        <w:rPr>
          <w:lang w:val="fr-CA"/>
        </w:rPr>
        <w:t> obliger ces titulaires à offrir certains services de programmation selon les modalités qu’il précise.</w:t>
      </w:r>
    </w:p>
    <w:p w:rsidR="005F030A" w:rsidRPr="009966E9" w:rsidRDefault="005F030A" w:rsidP="005F030A">
      <w:pPr>
        <w:pStyle w:val="ParaNoNdepar-AltN"/>
        <w:rPr>
          <w:rFonts w:cs="Times New Roman"/>
          <w:lang w:val="fr-CA"/>
        </w:rPr>
      </w:pPr>
      <w:r w:rsidRPr="009966E9">
        <w:rPr>
          <w:rFonts w:cs="Times New Roman"/>
          <w:lang w:val="fr-CA"/>
        </w:rPr>
        <w:t>De l</w:t>
      </w:r>
      <w:r>
        <w:rPr>
          <w:rFonts w:cs="Times New Roman"/>
          <w:lang w:val="fr-CA"/>
        </w:rPr>
        <w:t>’</w:t>
      </w:r>
      <w:r w:rsidRPr="009966E9">
        <w:rPr>
          <w:rFonts w:cs="Times New Roman"/>
          <w:lang w:val="fr-CA"/>
        </w:rPr>
        <w:t>avis du CRTC, l</w:t>
      </w:r>
      <w:r>
        <w:rPr>
          <w:rFonts w:cs="Times New Roman"/>
          <w:lang w:val="fr-CA"/>
        </w:rPr>
        <w:t>’al. </w:t>
      </w:r>
      <w:r w:rsidRPr="009966E9">
        <w:rPr>
          <w:rFonts w:cs="Times New Roman"/>
          <w:lang w:val="fr-CA"/>
        </w:rPr>
        <w:t xml:space="preserve">9(1)h) de la </w:t>
      </w:r>
      <w:r w:rsidRPr="009966E9">
        <w:rPr>
          <w:rFonts w:cs="Times New Roman"/>
          <w:i/>
          <w:lang w:val="fr-CA"/>
        </w:rPr>
        <w:t>Loi sur la radiodiffusion</w:t>
      </w:r>
      <w:r w:rsidRPr="009966E9">
        <w:rPr>
          <w:rFonts w:cs="Times New Roman"/>
          <w:lang w:val="fr-CA"/>
        </w:rPr>
        <w:t xml:space="preserve"> a été édicté « afin de clarifier le pouvoir étendu du Conseil de réglementer l</w:t>
      </w:r>
      <w:r>
        <w:rPr>
          <w:rFonts w:cs="Times New Roman"/>
          <w:lang w:val="fr-CA"/>
        </w:rPr>
        <w:t>’</w:t>
      </w:r>
      <w:r w:rsidRPr="009966E9">
        <w:rPr>
          <w:rFonts w:cs="Times New Roman"/>
          <w:lang w:val="fr-CA"/>
        </w:rPr>
        <w:t>industrie du câble et d</w:t>
      </w:r>
      <w:r>
        <w:rPr>
          <w:rFonts w:cs="Times New Roman"/>
          <w:lang w:val="fr-CA"/>
        </w:rPr>
        <w:t>’</w:t>
      </w:r>
      <w:r w:rsidRPr="009966E9">
        <w:rPr>
          <w:rFonts w:cs="Times New Roman"/>
          <w:lang w:val="fr-CA"/>
        </w:rPr>
        <w:t xml:space="preserve">imposer toute condition pour ce faire ». La phrase liminaire du </w:t>
      </w:r>
      <w:r>
        <w:rPr>
          <w:rFonts w:cs="Times New Roman"/>
          <w:lang w:val="fr-CA"/>
        </w:rPr>
        <w:t>par. </w:t>
      </w:r>
      <w:r w:rsidRPr="009966E9">
        <w:rPr>
          <w:rFonts w:cs="Times New Roman"/>
          <w:lang w:val="fr-CA"/>
        </w:rPr>
        <w:t>9(1) énonce que le CRTC dispose du pouvoir de rendre des ordonnances « dans l</w:t>
      </w:r>
      <w:r>
        <w:rPr>
          <w:rFonts w:cs="Times New Roman"/>
          <w:lang w:val="fr-CA"/>
        </w:rPr>
        <w:t>’</w:t>
      </w:r>
      <w:r w:rsidRPr="009966E9">
        <w:rPr>
          <w:rFonts w:cs="Times New Roman"/>
          <w:lang w:val="fr-CA"/>
        </w:rPr>
        <w:t>exécution de sa mission », et donc en vue de la réalisation des objectifs de la Loi. Au soutien de cette interprétation, le CRTC a cité un avis antérieur dans lequel il a conclu que le libellé général de l</w:t>
      </w:r>
      <w:r>
        <w:rPr>
          <w:rFonts w:cs="Times New Roman"/>
          <w:lang w:val="fr-CA"/>
        </w:rPr>
        <w:t>’al. </w:t>
      </w:r>
      <w:r w:rsidRPr="009966E9">
        <w:rPr>
          <w:rFonts w:cs="Times New Roman"/>
          <w:lang w:val="fr-CA"/>
        </w:rPr>
        <w:t>9(1)h) est une caractéristique du mandat souple qui lui a été confié et qui lui permet de recourir à une combinaison de règlements, de conditions et d</w:t>
      </w:r>
      <w:r>
        <w:rPr>
          <w:rFonts w:cs="Times New Roman"/>
          <w:lang w:val="fr-CA"/>
        </w:rPr>
        <w:t>’</w:t>
      </w:r>
      <w:r w:rsidRPr="009966E9">
        <w:rPr>
          <w:rFonts w:cs="Times New Roman"/>
          <w:lang w:val="fr-CA"/>
        </w:rPr>
        <w:t xml:space="preserve">ordonnances pour réaliser les objectifs de la </w:t>
      </w:r>
      <w:r w:rsidRPr="009966E9">
        <w:rPr>
          <w:rFonts w:cs="Times New Roman"/>
          <w:i/>
          <w:lang w:val="fr-CA"/>
        </w:rPr>
        <w:t>Loi sur la radiodiffusion</w:t>
      </w:r>
      <w:r w:rsidRPr="009966E9">
        <w:rPr>
          <w:rFonts w:cs="Times New Roman"/>
          <w:lang w:val="fr-CA"/>
        </w:rPr>
        <w:t>. Le CRTC a par conséquent conclu que l</w:t>
      </w:r>
      <w:r>
        <w:rPr>
          <w:rFonts w:cs="Times New Roman"/>
          <w:lang w:val="fr-CA"/>
        </w:rPr>
        <w:t>’</w:t>
      </w:r>
      <w:r w:rsidRPr="009966E9">
        <w:rPr>
          <w:rFonts w:cs="Times New Roman"/>
          <w:lang w:val="fr-CA"/>
        </w:rPr>
        <w:t>Ordonnance relevait de sa compétence.</w:t>
      </w:r>
    </w:p>
    <w:p w:rsidR="005F030A" w:rsidRPr="009966E9" w:rsidRDefault="005F030A" w:rsidP="005F030A">
      <w:pPr>
        <w:pStyle w:val="ParaNoNdepar-AltN"/>
        <w:spacing w:before="0"/>
        <w:rPr>
          <w:rFonts w:cs="Times New Roman"/>
          <w:lang w:val="fr-CA"/>
        </w:rPr>
      </w:pPr>
      <w:r w:rsidRPr="009966E9">
        <w:rPr>
          <w:rFonts w:cs="Times New Roman"/>
          <w:lang w:val="fr-CA"/>
        </w:rPr>
        <w:t>Le CRTC a en outre répondu à l</w:t>
      </w:r>
      <w:r>
        <w:rPr>
          <w:rFonts w:cs="Times New Roman"/>
          <w:lang w:val="fr-CA"/>
        </w:rPr>
        <w:t>’</w:t>
      </w:r>
      <w:r w:rsidRPr="009966E9">
        <w:rPr>
          <w:rFonts w:cs="Times New Roman"/>
          <w:lang w:val="fr-CA"/>
        </w:rPr>
        <w:t>argument de la NFL selon lequel l</w:t>
      </w:r>
      <w:r>
        <w:rPr>
          <w:rFonts w:cs="Times New Roman"/>
          <w:lang w:val="fr-CA"/>
        </w:rPr>
        <w:t>’al. </w:t>
      </w:r>
      <w:r w:rsidRPr="009966E9">
        <w:rPr>
          <w:rFonts w:cs="Times New Roman"/>
          <w:lang w:val="fr-CA"/>
        </w:rPr>
        <w:t>9(1)h) ne pouvait être utilisé que pour rendre des ordonnances visant l</w:t>
      </w:r>
      <w:r>
        <w:rPr>
          <w:rFonts w:cs="Times New Roman"/>
          <w:lang w:val="fr-CA"/>
        </w:rPr>
        <w:t>’</w:t>
      </w:r>
      <w:r w:rsidRPr="009966E9">
        <w:rPr>
          <w:rFonts w:cs="Times New Roman"/>
          <w:lang w:val="fr-CA"/>
        </w:rPr>
        <w:t>intégralité d</w:t>
      </w:r>
      <w:r>
        <w:rPr>
          <w:rFonts w:cs="Times New Roman"/>
          <w:lang w:val="fr-CA"/>
        </w:rPr>
        <w:t>’</w:t>
      </w:r>
      <w:r w:rsidRPr="009966E9">
        <w:rPr>
          <w:rFonts w:cs="Times New Roman"/>
          <w:lang w:val="fr-CA"/>
        </w:rPr>
        <w:t>un service de programmation, et non une émission en particulier. Suivant le CRTC, le libellé de l</w:t>
      </w:r>
      <w:r>
        <w:rPr>
          <w:rFonts w:cs="Times New Roman"/>
          <w:lang w:val="fr-CA"/>
        </w:rPr>
        <w:t>’</w:t>
      </w:r>
      <w:r w:rsidRPr="009966E9">
        <w:rPr>
          <w:rFonts w:cs="Times New Roman"/>
          <w:lang w:val="fr-CA"/>
        </w:rPr>
        <w:t>Ordonnance — laquelle visait un service de programmation</w:t>
      </w:r>
      <w:r>
        <w:rPr>
          <w:rFonts w:cs="Times New Roman"/>
          <w:lang w:val="fr-CA"/>
        </w:rPr>
        <w:t xml:space="preserve"> </w:t>
      </w:r>
      <w:r w:rsidRPr="009966E9">
        <w:rPr>
          <w:rFonts w:cs="Times New Roman"/>
          <w:lang w:val="fr-CA"/>
        </w:rPr>
        <w:t xml:space="preserve">— suffisait </w:t>
      </w:r>
      <w:r w:rsidRPr="009966E9">
        <w:rPr>
          <w:rFonts w:cs="Times New Roman"/>
          <w:lang w:val="fr-CA"/>
        </w:rPr>
        <w:lastRenderedPageBreak/>
        <w:t>à indiquer que c</w:t>
      </w:r>
      <w:r>
        <w:rPr>
          <w:rFonts w:cs="Times New Roman"/>
          <w:lang w:val="fr-CA"/>
        </w:rPr>
        <w:t>’</w:t>
      </w:r>
      <w:r w:rsidRPr="009966E9">
        <w:rPr>
          <w:rFonts w:cs="Times New Roman"/>
          <w:lang w:val="fr-CA"/>
        </w:rPr>
        <w:t xml:space="preserve">est effectivement ce que faisait son ordonnance. Le CRTC a expliqué que, sur le plan technique, </w:t>
      </w:r>
      <w:r w:rsidRPr="009966E9">
        <w:rPr>
          <w:rFonts w:cs="Times New Roman"/>
          <w:i/>
          <w:lang w:val="fr-CA"/>
        </w:rPr>
        <w:t>toute</w:t>
      </w:r>
      <w:r w:rsidRPr="009966E9">
        <w:rPr>
          <w:rFonts w:cs="Times New Roman"/>
          <w:lang w:val="fr-CA"/>
        </w:rPr>
        <w:t xml:space="preserve"> ordonnance de substitution simultanée implique le remplacement du signal intégral d</w:t>
      </w:r>
      <w:r>
        <w:rPr>
          <w:rFonts w:cs="Times New Roman"/>
          <w:lang w:val="fr-CA"/>
        </w:rPr>
        <w:t>’</w:t>
      </w:r>
      <w:r w:rsidRPr="009966E9">
        <w:rPr>
          <w:rFonts w:cs="Times New Roman"/>
          <w:lang w:val="fr-CA"/>
        </w:rPr>
        <w:t>un service de programmation.</w:t>
      </w:r>
      <w:r w:rsidRPr="009966E9" w:rsidDel="001E0A8B">
        <w:rPr>
          <w:rFonts w:cs="Times New Roman"/>
          <w:lang w:val="fr-CA"/>
        </w:rPr>
        <w:t xml:space="preserve"> </w:t>
      </w:r>
      <w:r w:rsidRPr="009966E9">
        <w:rPr>
          <w:rFonts w:cs="Times New Roman"/>
          <w:lang w:val="fr-CA"/>
        </w:rPr>
        <w:t>Comme l</w:t>
      </w:r>
      <w:r>
        <w:rPr>
          <w:rFonts w:cs="Times New Roman"/>
          <w:lang w:val="fr-CA"/>
        </w:rPr>
        <w:t>’</w:t>
      </w:r>
      <w:r w:rsidRPr="009966E9">
        <w:rPr>
          <w:rFonts w:cs="Times New Roman"/>
          <w:lang w:val="fr-CA"/>
        </w:rPr>
        <w:t>a écrit le CRTC dans sa décision</w:t>
      </w:r>
      <w:r>
        <w:rPr>
          <w:rFonts w:cs="Times New Roman"/>
          <w:lang w:val="fr-CA"/>
        </w:rPr>
        <w:t> :</w:t>
      </w:r>
    </w:p>
    <w:p w:rsidR="005F030A" w:rsidRPr="009966E9" w:rsidRDefault="005F030A" w:rsidP="005F030A">
      <w:pPr>
        <w:pStyle w:val="Citation-AltC"/>
        <w:spacing w:after="240"/>
        <w:ind w:left="1168" w:hanging="1168"/>
        <w:contextualSpacing w:val="0"/>
        <w:rPr>
          <w:lang w:val="fr-CA"/>
        </w:rPr>
      </w:pPr>
      <w:r w:rsidRPr="009966E9">
        <w:rPr>
          <w:lang w:val="fr-CA"/>
        </w:rPr>
        <w:tab/>
        <w:t>En outre, l</w:t>
      </w:r>
      <w:r>
        <w:rPr>
          <w:lang w:val="fr-CA"/>
        </w:rPr>
        <w:t>’</w:t>
      </w:r>
      <w:r w:rsidRPr="009966E9">
        <w:rPr>
          <w:lang w:val="fr-CA"/>
        </w:rPr>
        <w:t>ordonnance de distribution reflète la façon dont la substitution simultanée est effectuée. Pour une émission précise, le signal intégral d</w:t>
      </w:r>
      <w:r>
        <w:rPr>
          <w:lang w:val="fr-CA"/>
        </w:rPr>
        <w:t>’</w:t>
      </w:r>
      <w:r w:rsidRPr="009966E9">
        <w:rPr>
          <w:lang w:val="fr-CA"/>
        </w:rPr>
        <w:t>un service de programmation est supprimé et le signal intégral d</w:t>
      </w:r>
      <w:r>
        <w:rPr>
          <w:lang w:val="fr-CA"/>
        </w:rPr>
        <w:t>’</w:t>
      </w:r>
      <w:r w:rsidRPr="009966E9">
        <w:rPr>
          <w:lang w:val="fr-CA"/>
        </w:rPr>
        <w:t>un autre service de programmation lui est substitué jusqu</w:t>
      </w:r>
      <w:r>
        <w:rPr>
          <w:lang w:val="fr-CA"/>
        </w:rPr>
        <w:t>’</w:t>
      </w:r>
      <w:r w:rsidRPr="009966E9">
        <w:rPr>
          <w:lang w:val="fr-CA"/>
        </w:rPr>
        <w:t>à la fin de l</w:t>
      </w:r>
      <w:r>
        <w:rPr>
          <w:lang w:val="fr-CA"/>
        </w:rPr>
        <w:t>’</w:t>
      </w:r>
      <w:r w:rsidRPr="009966E9">
        <w:rPr>
          <w:lang w:val="fr-CA"/>
        </w:rPr>
        <w:t>émission. L</w:t>
      </w:r>
      <w:r>
        <w:rPr>
          <w:lang w:val="fr-CA"/>
        </w:rPr>
        <w:t>’</w:t>
      </w:r>
      <w:r w:rsidRPr="009966E9">
        <w:rPr>
          <w:lang w:val="fr-CA"/>
        </w:rPr>
        <w:t>ordonnance de distribution reflète le fait que le signal intégral du service de programmation d</w:t>
      </w:r>
      <w:r>
        <w:rPr>
          <w:lang w:val="fr-CA"/>
        </w:rPr>
        <w:t>’</w:t>
      </w:r>
      <w:r w:rsidRPr="009966E9">
        <w:rPr>
          <w:lang w:val="fr-CA"/>
        </w:rPr>
        <w:t>une station de télévision ne sera ni supprimé ni substitué au cours d</w:t>
      </w:r>
      <w:r>
        <w:rPr>
          <w:lang w:val="fr-CA"/>
        </w:rPr>
        <w:t>’</w:t>
      </w:r>
      <w:r w:rsidRPr="009966E9">
        <w:rPr>
          <w:lang w:val="fr-CA"/>
        </w:rPr>
        <w:t xml:space="preserve">une émission particulière, le Super </w:t>
      </w:r>
      <w:proofErr w:type="spellStart"/>
      <w:r w:rsidRPr="009966E9">
        <w:rPr>
          <w:lang w:val="fr-CA"/>
        </w:rPr>
        <w:t>Bowl</w:t>
      </w:r>
      <w:proofErr w:type="spellEnd"/>
      <w:r w:rsidRPr="009966E9">
        <w:rPr>
          <w:lang w:val="fr-CA"/>
        </w:rPr>
        <w:t>.</w:t>
      </w:r>
    </w:p>
    <w:p w:rsidR="005F030A" w:rsidRPr="009966E9" w:rsidRDefault="005F030A" w:rsidP="0059349F">
      <w:pPr>
        <w:pStyle w:val="Citation-AltC"/>
        <w:ind w:left="0" w:hanging="1166"/>
        <w:contextualSpacing w:val="0"/>
        <w:rPr>
          <w:lang w:val="fr-CA"/>
        </w:rPr>
      </w:pPr>
      <w:r w:rsidRPr="009966E9">
        <w:rPr>
          <w:lang w:val="fr-CA"/>
        </w:rPr>
        <w:tab/>
        <w:t xml:space="preserve">(Ordonnance relative au Super </w:t>
      </w:r>
      <w:proofErr w:type="spellStart"/>
      <w:r w:rsidRPr="009966E9">
        <w:rPr>
          <w:lang w:val="fr-CA"/>
        </w:rPr>
        <w:t>Bowl</w:t>
      </w:r>
      <w:proofErr w:type="spellEnd"/>
      <w:r w:rsidRPr="009966E9">
        <w:rPr>
          <w:lang w:val="fr-CA"/>
        </w:rPr>
        <w:t xml:space="preserve">, </w:t>
      </w:r>
      <w:r>
        <w:rPr>
          <w:lang w:val="fr-CA"/>
        </w:rPr>
        <w:t>par. </w:t>
      </w:r>
      <w:r w:rsidRPr="009966E9">
        <w:rPr>
          <w:lang w:val="fr-CA"/>
        </w:rPr>
        <w:t>55)</w:t>
      </w:r>
    </w:p>
    <w:p w:rsidR="005F030A" w:rsidRPr="009966E9" w:rsidRDefault="005F030A" w:rsidP="005F030A">
      <w:pPr>
        <w:pStyle w:val="ParaNoNdepar-AltN"/>
        <w:spacing w:before="0"/>
        <w:rPr>
          <w:rFonts w:cs="Times New Roman"/>
          <w:lang w:val="fr-CA"/>
        </w:rPr>
      </w:pPr>
      <w:r w:rsidRPr="009966E9">
        <w:rPr>
          <w:rFonts w:cs="Times New Roman"/>
          <w:lang w:val="fr-CA"/>
        </w:rPr>
        <w:t>Enfin, le CRTC a écrit que les décisions de politique générale en matière de substitution simultanée n</w:t>
      </w:r>
      <w:r>
        <w:rPr>
          <w:rFonts w:cs="Times New Roman"/>
          <w:lang w:val="fr-CA"/>
        </w:rPr>
        <w:t>’</w:t>
      </w:r>
      <w:r w:rsidRPr="009966E9">
        <w:rPr>
          <w:rFonts w:cs="Times New Roman"/>
          <w:lang w:val="fr-CA"/>
        </w:rPr>
        <w:t>avaient pas d</w:t>
      </w:r>
      <w:r>
        <w:rPr>
          <w:rFonts w:cs="Times New Roman"/>
          <w:lang w:val="fr-CA"/>
        </w:rPr>
        <w:t>’</w:t>
      </w:r>
      <w:r w:rsidRPr="009966E9">
        <w:rPr>
          <w:rFonts w:cs="Times New Roman"/>
          <w:lang w:val="fr-CA"/>
        </w:rPr>
        <w:t>incidence sur les droits d</w:t>
      </w:r>
      <w:r>
        <w:rPr>
          <w:rFonts w:cs="Times New Roman"/>
          <w:lang w:val="fr-CA"/>
        </w:rPr>
        <w:t>’</w:t>
      </w:r>
      <w:r w:rsidRPr="009966E9">
        <w:rPr>
          <w:rFonts w:cs="Times New Roman"/>
          <w:lang w:val="fr-CA"/>
        </w:rPr>
        <w:t>auteur de la NFL, et qu</w:t>
      </w:r>
      <w:r>
        <w:rPr>
          <w:rFonts w:cs="Times New Roman"/>
          <w:lang w:val="fr-CA"/>
        </w:rPr>
        <w:t>’</w:t>
      </w:r>
      <w:r w:rsidRPr="009966E9">
        <w:rPr>
          <w:rFonts w:cs="Times New Roman"/>
          <w:lang w:val="fr-CA"/>
        </w:rPr>
        <w:t>elles n</w:t>
      </w:r>
      <w:r>
        <w:rPr>
          <w:rFonts w:cs="Times New Roman"/>
          <w:lang w:val="fr-CA"/>
        </w:rPr>
        <w:t>’</w:t>
      </w:r>
      <w:r w:rsidRPr="009966E9">
        <w:rPr>
          <w:rFonts w:cs="Times New Roman"/>
          <w:lang w:val="fr-CA"/>
        </w:rPr>
        <w:t>auraient tout au plus qu</w:t>
      </w:r>
      <w:r>
        <w:rPr>
          <w:rFonts w:cs="Times New Roman"/>
          <w:lang w:val="fr-CA"/>
        </w:rPr>
        <w:t>’</w:t>
      </w:r>
      <w:r w:rsidRPr="009966E9">
        <w:rPr>
          <w:rFonts w:cs="Times New Roman"/>
          <w:lang w:val="fr-CA"/>
        </w:rPr>
        <w:t>une incidence secondaire sur les revenus que pourrait générer la radiodiffusion de l</w:t>
      </w:r>
      <w:r>
        <w:rPr>
          <w:rFonts w:cs="Times New Roman"/>
          <w:lang w:val="fr-CA"/>
        </w:rPr>
        <w:t>’</w:t>
      </w:r>
      <w:r w:rsidRPr="009966E9">
        <w:rPr>
          <w:rFonts w:cs="Times New Roman"/>
          <w:lang w:val="fr-CA"/>
        </w:rPr>
        <w:t xml:space="preserve">émission. En outre, non seulement les accords commerciaux </w:t>
      </w:r>
      <w:r>
        <w:rPr>
          <w:rFonts w:cs="Times New Roman"/>
          <w:lang w:val="fr-CA"/>
        </w:rPr>
        <w:t xml:space="preserve">internationaux </w:t>
      </w:r>
      <w:r w:rsidRPr="009966E9">
        <w:rPr>
          <w:rFonts w:cs="Times New Roman"/>
          <w:lang w:val="fr-CA"/>
        </w:rPr>
        <w:t>invoqués par la NFL ne s</w:t>
      </w:r>
      <w:r>
        <w:rPr>
          <w:rFonts w:cs="Times New Roman"/>
          <w:lang w:val="fr-CA"/>
        </w:rPr>
        <w:t>’</w:t>
      </w:r>
      <w:r w:rsidRPr="009966E9">
        <w:rPr>
          <w:rFonts w:cs="Times New Roman"/>
          <w:lang w:val="fr-CA"/>
        </w:rPr>
        <w:t>appliquaient pas directement au CRTC, mais ils donnaient simplement au Canada la capacité de créer un mécanisme de substitution simultanée, sans limiter la capacité du Conseil de modifier ce mécanisme, voire de l</w:t>
      </w:r>
      <w:r>
        <w:rPr>
          <w:rFonts w:cs="Times New Roman"/>
          <w:lang w:val="fr-CA"/>
        </w:rPr>
        <w:t>’</w:t>
      </w:r>
      <w:r w:rsidRPr="009966E9">
        <w:rPr>
          <w:rFonts w:cs="Times New Roman"/>
          <w:lang w:val="fr-CA"/>
        </w:rPr>
        <w:t>éliminer.</w:t>
      </w:r>
    </w:p>
    <w:p w:rsidR="005F030A" w:rsidRPr="009966E9" w:rsidRDefault="005F030A" w:rsidP="005F030A">
      <w:pPr>
        <w:pStyle w:val="ParaNoNdepar-AltN"/>
        <w:spacing w:before="0"/>
        <w:rPr>
          <w:rFonts w:cs="Times New Roman"/>
          <w:lang w:val="fr-CA"/>
        </w:rPr>
      </w:pPr>
      <w:r w:rsidRPr="009966E9">
        <w:rPr>
          <w:rFonts w:cs="Times New Roman"/>
          <w:lang w:val="fr-CA"/>
        </w:rPr>
        <w:t>Parce que le fait pour la cour de révision de substituer son interprétation à celle du décideur administratif serait incompatible avec la réalisation d</w:t>
      </w:r>
      <w:r>
        <w:rPr>
          <w:rFonts w:cs="Times New Roman"/>
          <w:lang w:val="fr-CA"/>
        </w:rPr>
        <w:t>’</w:t>
      </w:r>
      <w:r w:rsidRPr="009966E9">
        <w:rPr>
          <w:rFonts w:cs="Times New Roman"/>
          <w:lang w:val="fr-CA"/>
        </w:rPr>
        <w:t>un contrôle judiciaire selon la norme de la décision raisonnable, nous n</w:t>
      </w:r>
      <w:r>
        <w:rPr>
          <w:rFonts w:cs="Times New Roman"/>
          <w:lang w:val="fr-CA"/>
        </w:rPr>
        <w:t>’</w:t>
      </w:r>
      <w:r w:rsidRPr="009966E9">
        <w:rPr>
          <w:rFonts w:cs="Times New Roman"/>
          <w:lang w:val="fr-CA"/>
        </w:rPr>
        <w:t>allons pas amorcer notre analyse en nous demandant comment nous aurions tranché la question dont nous sommes saisis. C</w:t>
      </w:r>
      <w:r>
        <w:rPr>
          <w:rFonts w:cs="Times New Roman"/>
          <w:lang w:val="fr-CA"/>
        </w:rPr>
        <w:t>’</w:t>
      </w:r>
      <w:r w:rsidRPr="009966E9">
        <w:rPr>
          <w:rFonts w:cs="Times New Roman"/>
          <w:lang w:val="fr-CA"/>
        </w:rPr>
        <w:t xml:space="preserve">est donc plutôt à la lumière des raisons susmentionnées, ainsi que du contexte administratif plus large et du dossier, que nous devons nous demander si Bell </w:t>
      </w:r>
      <w:r w:rsidRPr="009966E9">
        <w:rPr>
          <w:rFonts w:cs="Times New Roman"/>
          <w:lang w:val="fr-CA"/>
        </w:rPr>
        <w:lastRenderedPageBreak/>
        <w:t>et la NFL ont soulevé des arguments qui, s</w:t>
      </w:r>
      <w:r>
        <w:rPr>
          <w:rFonts w:cs="Times New Roman"/>
          <w:lang w:val="fr-CA"/>
        </w:rPr>
        <w:t>’</w:t>
      </w:r>
      <w:r w:rsidRPr="009966E9">
        <w:rPr>
          <w:rFonts w:cs="Times New Roman"/>
          <w:lang w:val="fr-CA"/>
        </w:rPr>
        <w:t>ils étaient retenus, rendraient la décision du CRTC déraisonnable. En l</w:t>
      </w:r>
      <w:r>
        <w:rPr>
          <w:rFonts w:cs="Times New Roman"/>
          <w:lang w:val="fr-CA"/>
        </w:rPr>
        <w:t>’</w:t>
      </w:r>
      <w:r w:rsidRPr="009966E9">
        <w:rPr>
          <w:rFonts w:cs="Times New Roman"/>
          <w:lang w:val="fr-CA"/>
        </w:rPr>
        <w:t>espèce, le CRTC jouit « [d</w:t>
      </w:r>
      <w:r>
        <w:rPr>
          <w:rFonts w:cs="Times New Roman"/>
          <w:lang w:val="fr-CA"/>
        </w:rPr>
        <w:t>’</w:t>
      </w:r>
      <w:r w:rsidRPr="009966E9">
        <w:rPr>
          <w:rFonts w:cs="Times New Roman"/>
          <w:lang w:val="fr-CA"/>
        </w:rPr>
        <w:t>un] privilège [. . .] en matière d</w:t>
      </w:r>
      <w:r>
        <w:rPr>
          <w:rFonts w:cs="Times New Roman"/>
          <w:lang w:val="fr-CA"/>
        </w:rPr>
        <w:t>’</w:t>
      </w:r>
      <w:r w:rsidRPr="009966E9">
        <w:rPr>
          <w:rFonts w:cs="Times New Roman"/>
          <w:lang w:val="fr-CA"/>
        </w:rPr>
        <w:t>interprétation</w:t>
      </w:r>
      <w:r>
        <w:rPr>
          <w:rFonts w:cs="Times New Roman"/>
          <w:lang w:val="fr-CA"/>
        </w:rPr>
        <w:t> :</w:t>
      </w:r>
      <w:r w:rsidRPr="009966E9">
        <w:rPr>
          <w:rFonts w:cs="Times New Roman"/>
          <w:lang w:val="fr-CA"/>
        </w:rPr>
        <w:t xml:space="preserve"> suivant la norme de la </w:t>
      </w:r>
      <w:proofErr w:type="spellStart"/>
      <w:r w:rsidRPr="009966E9">
        <w:rPr>
          <w:rFonts w:cs="Times New Roman"/>
          <w:lang w:val="fr-CA"/>
        </w:rPr>
        <w:t>raisonnabilité</w:t>
      </w:r>
      <w:proofErr w:type="spellEnd"/>
      <w:r w:rsidRPr="009966E9">
        <w:rPr>
          <w:rFonts w:cs="Times New Roman"/>
          <w:lang w:val="fr-CA"/>
        </w:rPr>
        <w:t>, nous devons déférer à </w:t>
      </w:r>
      <w:r w:rsidRPr="009966E9">
        <w:rPr>
          <w:rFonts w:cs="Times New Roman"/>
          <w:i/>
          <w:iCs/>
          <w:lang w:val="fr-CA"/>
        </w:rPr>
        <w:t>toute</w:t>
      </w:r>
      <w:r w:rsidRPr="009966E9">
        <w:rPr>
          <w:rFonts w:cs="Times New Roman"/>
          <w:lang w:val="fr-CA"/>
        </w:rPr>
        <w:t> interprétation raisonnable du décideur administratif, </w:t>
      </w:r>
      <w:r w:rsidRPr="009966E9">
        <w:rPr>
          <w:rFonts w:cs="Times New Roman"/>
          <w:i/>
          <w:iCs/>
          <w:lang w:val="fr-CA"/>
        </w:rPr>
        <w:t>même lorsque</w:t>
      </w:r>
      <w:r w:rsidRPr="009966E9">
        <w:rPr>
          <w:rFonts w:cs="Times New Roman"/>
          <w:lang w:val="fr-CA"/>
        </w:rPr>
        <w:t> d</w:t>
      </w:r>
      <w:r>
        <w:rPr>
          <w:rFonts w:cs="Times New Roman"/>
          <w:lang w:val="fr-CA"/>
        </w:rPr>
        <w:t>’</w:t>
      </w:r>
      <w:r w:rsidRPr="009966E9">
        <w:rPr>
          <w:rFonts w:cs="Times New Roman"/>
          <w:lang w:val="fr-CA"/>
        </w:rPr>
        <w:t>autres interprétations raisonnables sont possibles » (</w:t>
      </w:r>
      <w:proofErr w:type="spellStart"/>
      <w:r w:rsidRPr="009966E9">
        <w:rPr>
          <w:rFonts w:cs="Times New Roman"/>
          <w:i/>
          <w:lang w:val="fr-CA"/>
        </w:rPr>
        <w:t>McLean</w:t>
      </w:r>
      <w:proofErr w:type="spellEnd"/>
      <w:r w:rsidRPr="009966E9">
        <w:rPr>
          <w:rFonts w:cs="Times New Roman"/>
          <w:i/>
          <w:lang w:val="fr-CA"/>
        </w:rPr>
        <w:t xml:space="preserve"> c. Colombie</w:t>
      </w:r>
      <w:r>
        <w:rPr>
          <w:rFonts w:cs="Times New Roman"/>
          <w:i/>
          <w:lang w:val="fr-CA"/>
        </w:rPr>
        <w:noBreakHyphen/>
      </w:r>
      <w:r w:rsidRPr="009966E9">
        <w:rPr>
          <w:rFonts w:cs="Times New Roman"/>
          <w:i/>
          <w:lang w:val="fr-CA"/>
        </w:rPr>
        <w:t>Britannique (Securities Commission)</w:t>
      </w:r>
      <w:r w:rsidRPr="009966E9">
        <w:rPr>
          <w:rFonts w:cs="Times New Roman"/>
          <w:lang w:val="fr-CA"/>
        </w:rPr>
        <w:t xml:space="preserve">, [2013] 3 R.C.S. 895, </w:t>
      </w:r>
      <w:r>
        <w:rPr>
          <w:rFonts w:cs="Times New Roman"/>
          <w:lang w:val="fr-CA"/>
        </w:rPr>
        <w:t>par. </w:t>
      </w:r>
      <w:r w:rsidRPr="009966E9">
        <w:rPr>
          <w:rFonts w:cs="Times New Roman"/>
          <w:lang w:val="fr-CA"/>
        </w:rPr>
        <w:t>40 (en italique dans l</w:t>
      </w:r>
      <w:r>
        <w:rPr>
          <w:rFonts w:cs="Times New Roman"/>
          <w:lang w:val="fr-CA"/>
        </w:rPr>
        <w:t>’</w:t>
      </w:r>
      <w:r w:rsidRPr="009966E9">
        <w:rPr>
          <w:rFonts w:cs="Times New Roman"/>
          <w:lang w:val="fr-CA"/>
        </w:rPr>
        <w:t>original)).</w:t>
      </w:r>
    </w:p>
    <w:p w:rsidR="005F030A" w:rsidRPr="009966E9" w:rsidRDefault="005F030A" w:rsidP="005F030A">
      <w:pPr>
        <w:pStyle w:val="ParaNoNdepar-AltN"/>
        <w:spacing w:before="0"/>
        <w:rPr>
          <w:rFonts w:cs="Times New Roman"/>
          <w:lang w:val="fr-CA"/>
        </w:rPr>
      </w:pPr>
      <w:r w:rsidRPr="009966E9">
        <w:rPr>
          <w:rFonts w:cs="Times New Roman"/>
          <w:lang w:val="fr-CA"/>
        </w:rPr>
        <w:t>Bell et la NFL ont principalement axé leur analyse textuelle de l</w:t>
      </w:r>
      <w:r>
        <w:rPr>
          <w:rFonts w:cs="Times New Roman"/>
          <w:lang w:val="fr-CA"/>
        </w:rPr>
        <w:t>’al. </w:t>
      </w:r>
      <w:r w:rsidRPr="009966E9">
        <w:rPr>
          <w:rFonts w:cs="Times New Roman"/>
          <w:lang w:val="fr-CA"/>
        </w:rPr>
        <w:t>9(1)h) sur l</w:t>
      </w:r>
      <w:r>
        <w:rPr>
          <w:rFonts w:cs="Times New Roman"/>
          <w:lang w:val="fr-CA"/>
        </w:rPr>
        <w:t>’</w:t>
      </w:r>
      <w:r w:rsidRPr="009966E9">
        <w:rPr>
          <w:rFonts w:cs="Times New Roman"/>
          <w:lang w:val="fr-CA"/>
        </w:rPr>
        <w:t>expression « services de programmation ». Elles soutiennent que cette expression ne saurait appuyer la délivrance d</w:t>
      </w:r>
      <w:r>
        <w:rPr>
          <w:rFonts w:cs="Times New Roman"/>
          <w:lang w:val="fr-CA"/>
        </w:rPr>
        <w:t>’</w:t>
      </w:r>
      <w:r w:rsidRPr="009966E9">
        <w:rPr>
          <w:rFonts w:cs="Times New Roman"/>
          <w:lang w:val="fr-CA"/>
        </w:rPr>
        <w:t>une ordonnance comportant des modalités qui ne visent qu</w:t>
      </w:r>
      <w:r>
        <w:rPr>
          <w:rFonts w:cs="Times New Roman"/>
          <w:lang w:val="fr-CA"/>
        </w:rPr>
        <w:t>’</w:t>
      </w:r>
      <w:r w:rsidRPr="009966E9">
        <w:rPr>
          <w:rFonts w:cs="Times New Roman"/>
          <w:lang w:val="fr-CA"/>
        </w:rPr>
        <w:t>une seule émission. La NFL a en outre plaidé qu</w:t>
      </w:r>
      <w:r>
        <w:rPr>
          <w:rFonts w:cs="Times New Roman"/>
          <w:lang w:val="fr-CA"/>
        </w:rPr>
        <w:t>’</w:t>
      </w:r>
      <w:r w:rsidRPr="009966E9">
        <w:rPr>
          <w:rFonts w:cs="Times New Roman"/>
          <w:lang w:val="fr-CA"/>
        </w:rPr>
        <w:t>il ressortait de l</w:t>
      </w:r>
      <w:r>
        <w:rPr>
          <w:rFonts w:cs="Times New Roman"/>
          <w:lang w:val="fr-CA"/>
        </w:rPr>
        <w:t>’</w:t>
      </w:r>
      <w:r w:rsidRPr="009966E9">
        <w:rPr>
          <w:rFonts w:cs="Times New Roman"/>
          <w:lang w:val="fr-CA"/>
        </w:rPr>
        <w:t xml:space="preserve">utilisation des termes « services de programmation » et « émissions » ailleurs dans la </w:t>
      </w:r>
      <w:r w:rsidRPr="009966E9">
        <w:rPr>
          <w:rFonts w:cs="Times New Roman"/>
          <w:i/>
          <w:lang w:val="fr-CA"/>
        </w:rPr>
        <w:t>Loi sur la radiodiffusion</w:t>
      </w:r>
      <w:r w:rsidRPr="009966E9">
        <w:rPr>
          <w:rFonts w:cs="Times New Roman"/>
          <w:lang w:val="fr-CA"/>
        </w:rPr>
        <w:t xml:space="preserve"> que ces deux termes servent des objectifs différents dans la Loi.</w:t>
      </w:r>
    </w:p>
    <w:p w:rsidR="005F030A" w:rsidRPr="009966E9" w:rsidRDefault="005F030A" w:rsidP="005F030A">
      <w:pPr>
        <w:pStyle w:val="ParaNoNdepar-AltN"/>
        <w:spacing w:before="0"/>
        <w:rPr>
          <w:rFonts w:cs="Times New Roman"/>
          <w:lang w:val="fr-CA"/>
        </w:rPr>
      </w:pPr>
      <w:r w:rsidRPr="009966E9">
        <w:rPr>
          <w:rFonts w:cs="Times New Roman"/>
          <w:lang w:val="fr-CA"/>
        </w:rPr>
        <w:t>À l</w:t>
      </w:r>
      <w:r>
        <w:rPr>
          <w:rFonts w:cs="Times New Roman"/>
          <w:lang w:val="fr-CA"/>
        </w:rPr>
        <w:t>’</w:t>
      </w:r>
      <w:r w:rsidRPr="009966E9">
        <w:rPr>
          <w:rFonts w:cs="Times New Roman"/>
          <w:lang w:val="fr-CA"/>
        </w:rPr>
        <w:t>instar du juge Near de la Cour d</w:t>
      </w:r>
      <w:r>
        <w:rPr>
          <w:rFonts w:cs="Times New Roman"/>
          <w:lang w:val="fr-CA"/>
        </w:rPr>
        <w:t>’</w:t>
      </w:r>
      <w:r w:rsidRPr="009966E9">
        <w:rPr>
          <w:rFonts w:cs="Times New Roman"/>
          <w:lang w:val="fr-CA"/>
        </w:rPr>
        <w:t>appel fédérale, nous estimons que ni les observations de Bell et de la NFL ni l</w:t>
      </w:r>
      <w:r>
        <w:rPr>
          <w:rFonts w:cs="Times New Roman"/>
          <w:lang w:val="fr-CA"/>
        </w:rPr>
        <w:t>’</w:t>
      </w:r>
      <w:r w:rsidRPr="009966E9">
        <w:rPr>
          <w:rFonts w:cs="Times New Roman"/>
          <w:lang w:val="fr-CA"/>
        </w:rPr>
        <w:t>historique législatif de l</w:t>
      </w:r>
      <w:r>
        <w:rPr>
          <w:rFonts w:cs="Times New Roman"/>
          <w:lang w:val="fr-CA"/>
        </w:rPr>
        <w:t>’al. </w:t>
      </w:r>
      <w:r w:rsidRPr="009966E9">
        <w:rPr>
          <w:rFonts w:cs="Times New Roman"/>
          <w:lang w:val="fr-CA"/>
        </w:rPr>
        <w:t>9(1)h) n</w:t>
      </w:r>
      <w:r>
        <w:rPr>
          <w:rFonts w:cs="Times New Roman"/>
          <w:lang w:val="fr-CA"/>
        </w:rPr>
        <w:t>’</w:t>
      </w:r>
      <w:r w:rsidRPr="009966E9">
        <w:rPr>
          <w:rFonts w:cs="Times New Roman"/>
          <w:lang w:val="fr-CA"/>
        </w:rPr>
        <w:t>excluent la possibilité que l</w:t>
      </w:r>
      <w:r>
        <w:rPr>
          <w:rFonts w:cs="Times New Roman"/>
          <w:lang w:val="fr-CA"/>
        </w:rPr>
        <w:t>’</w:t>
      </w:r>
      <w:r w:rsidRPr="009966E9">
        <w:rPr>
          <w:rFonts w:cs="Times New Roman"/>
          <w:lang w:val="fr-CA"/>
        </w:rPr>
        <w:t>expression « services de programmation » puisse s</w:t>
      </w:r>
      <w:r>
        <w:rPr>
          <w:rFonts w:cs="Times New Roman"/>
          <w:lang w:val="fr-CA"/>
        </w:rPr>
        <w:t>’</w:t>
      </w:r>
      <w:r w:rsidRPr="009966E9">
        <w:rPr>
          <w:rFonts w:cs="Times New Roman"/>
          <w:lang w:val="fr-CA"/>
        </w:rPr>
        <w:t>entendre d</w:t>
      </w:r>
      <w:r>
        <w:rPr>
          <w:rFonts w:cs="Times New Roman"/>
          <w:lang w:val="fr-CA"/>
        </w:rPr>
        <w:t>’</w:t>
      </w:r>
      <w:r w:rsidRPr="009966E9">
        <w:rPr>
          <w:rFonts w:cs="Times New Roman"/>
          <w:lang w:val="fr-CA"/>
        </w:rPr>
        <w:t>une seule émission dans le présent contexte. Manifestant la déférence et l</w:t>
      </w:r>
      <w:r>
        <w:rPr>
          <w:rFonts w:cs="Times New Roman"/>
          <w:lang w:val="fr-CA"/>
        </w:rPr>
        <w:t>’</w:t>
      </w:r>
      <w:r w:rsidRPr="009966E9">
        <w:rPr>
          <w:rFonts w:cs="Times New Roman"/>
          <w:lang w:val="fr-CA"/>
        </w:rPr>
        <w:t>attention au contexte administratif qui s</w:t>
      </w:r>
      <w:r>
        <w:rPr>
          <w:rFonts w:cs="Times New Roman"/>
          <w:lang w:val="fr-CA"/>
        </w:rPr>
        <w:t>’</w:t>
      </w:r>
      <w:r w:rsidRPr="009966E9">
        <w:rPr>
          <w:rFonts w:cs="Times New Roman"/>
          <w:lang w:val="fr-CA"/>
        </w:rPr>
        <w:t>imposent, le juge Near a examiné une décision antérieure du CRTC pour guider son interprétation de cette expression, examen qui a confirmé que le CRTC s</w:t>
      </w:r>
      <w:r>
        <w:rPr>
          <w:rFonts w:cs="Times New Roman"/>
          <w:lang w:val="fr-CA"/>
        </w:rPr>
        <w:t>’</w:t>
      </w:r>
      <w:r w:rsidRPr="009966E9">
        <w:rPr>
          <w:rFonts w:cs="Times New Roman"/>
          <w:lang w:val="fr-CA"/>
        </w:rPr>
        <w:t xml:space="preserve">était auparavant appuyé sur le </w:t>
      </w:r>
      <w:r>
        <w:rPr>
          <w:rFonts w:cs="Times New Roman"/>
          <w:lang w:val="fr-CA"/>
        </w:rPr>
        <w:t>par. </w:t>
      </w:r>
      <w:r w:rsidRPr="009966E9">
        <w:rPr>
          <w:rFonts w:cs="Times New Roman"/>
          <w:lang w:val="fr-CA"/>
        </w:rPr>
        <w:t xml:space="preserve">33(2) de la </w:t>
      </w:r>
      <w:r w:rsidRPr="009966E9">
        <w:rPr>
          <w:rFonts w:cs="Times New Roman"/>
          <w:i/>
          <w:lang w:val="fr-CA"/>
        </w:rPr>
        <w:t>Loi d</w:t>
      </w:r>
      <w:r>
        <w:rPr>
          <w:rFonts w:cs="Times New Roman"/>
          <w:i/>
          <w:lang w:val="fr-CA"/>
        </w:rPr>
        <w:t>’</w:t>
      </w:r>
      <w:r w:rsidRPr="009966E9">
        <w:rPr>
          <w:rFonts w:cs="Times New Roman"/>
          <w:i/>
          <w:lang w:val="fr-CA"/>
        </w:rPr>
        <w:t>interprétation</w:t>
      </w:r>
      <w:r w:rsidRPr="009966E9">
        <w:rPr>
          <w:rFonts w:cs="Times New Roman"/>
          <w:lang w:val="fr-CA"/>
        </w:rPr>
        <w:t>, L.R.C. 1985, c. I</w:t>
      </w:r>
      <w:r>
        <w:rPr>
          <w:rFonts w:cs="Times New Roman"/>
          <w:lang w:val="fr-CA"/>
        </w:rPr>
        <w:noBreakHyphen/>
      </w:r>
      <w:r w:rsidRPr="009966E9">
        <w:rPr>
          <w:rFonts w:cs="Times New Roman"/>
          <w:lang w:val="fr-CA"/>
        </w:rPr>
        <w:t>21, pour justifier sa conclusion que l</w:t>
      </w:r>
      <w:r>
        <w:rPr>
          <w:rFonts w:cs="Times New Roman"/>
          <w:lang w:val="fr-CA"/>
        </w:rPr>
        <w:t>’</w:t>
      </w:r>
      <w:r w:rsidRPr="009966E9">
        <w:rPr>
          <w:rFonts w:cs="Times New Roman"/>
          <w:lang w:val="fr-CA"/>
        </w:rPr>
        <w:t>expression « services de programmation » peut désigner l</w:t>
      </w:r>
      <w:r>
        <w:rPr>
          <w:rFonts w:cs="Times New Roman"/>
          <w:lang w:val="fr-CA"/>
        </w:rPr>
        <w:t>’</w:t>
      </w:r>
      <w:r w:rsidRPr="009966E9">
        <w:rPr>
          <w:rFonts w:cs="Times New Roman"/>
          <w:lang w:val="fr-CA"/>
        </w:rPr>
        <w:t xml:space="preserve">unité ou la pluralité, </w:t>
      </w:r>
      <w:r w:rsidRPr="009966E9">
        <w:rPr>
          <w:rFonts w:cs="Times New Roman"/>
          <w:i/>
          <w:lang w:val="fr-CA"/>
        </w:rPr>
        <w:t xml:space="preserve">selon le contexte dans lequel elle est utilisée </w:t>
      </w:r>
      <w:r w:rsidRPr="009966E9">
        <w:rPr>
          <w:rFonts w:cs="Times New Roman"/>
          <w:lang w:val="fr-CA"/>
        </w:rPr>
        <w:t xml:space="preserve">(Décision de radiodiffusion </w:t>
      </w:r>
      <w:r w:rsidRPr="00CF01BF">
        <w:rPr>
          <w:lang w:val="fr-CA"/>
        </w:rPr>
        <w:t>CRTC 2005</w:t>
      </w:r>
      <w:r w:rsidRPr="00CF01BF">
        <w:rPr>
          <w:lang w:val="fr-CA"/>
        </w:rPr>
        <w:noBreakHyphen/>
        <w:t>195</w:t>
      </w:r>
      <w:r w:rsidRPr="009966E9">
        <w:rPr>
          <w:rFonts w:cs="Times New Roman"/>
          <w:lang w:val="fr-CA"/>
        </w:rPr>
        <w:t xml:space="preserve">, </w:t>
      </w:r>
      <w:r>
        <w:rPr>
          <w:rFonts w:cs="Times New Roman"/>
          <w:lang w:val="fr-CA"/>
        </w:rPr>
        <w:t>12 </w:t>
      </w:r>
      <w:r w:rsidRPr="009966E9">
        <w:rPr>
          <w:rFonts w:cs="Times New Roman"/>
          <w:lang w:val="fr-CA"/>
        </w:rPr>
        <w:t xml:space="preserve">mai 2005 (en ligne) </w:t>
      </w:r>
      <w:r>
        <w:rPr>
          <w:rFonts w:cs="Times New Roman"/>
          <w:lang w:val="fr-CA"/>
        </w:rPr>
        <w:t>par. </w:t>
      </w:r>
      <w:r w:rsidRPr="009966E9">
        <w:rPr>
          <w:rFonts w:cs="Times New Roman"/>
          <w:lang w:val="fr-CA"/>
        </w:rPr>
        <w:t>27</w:t>
      </w:r>
      <w:r>
        <w:rPr>
          <w:rFonts w:cs="Times New Roman"/>
          <w:lang w:val="fr-CA"/>
        </w:rPr>
        <w:noBreakHyphen/>
      </w:r>
      <w:r w:rsidRPr="009966E9">
        <w:rPr>
          <w:rFonts w:cs="Times New Roman"/>
          <w:lang w:val="fr-CA"/>
        </w:rPr>
        <w:t>28). Comme l</w:t>
      </w:r>
      <w:r>
        <w:rPr>
          <w:rFonts w:cs="Times New Roman"/>
          <w:lang w:val="fr-CA"/>
        </w:rPr>
        <w:t>’</w:t>
      </w:r>
      <w:r w:rsidRPr="009966E9">
        <w:rPr>
          <w:rFonts w:cs="Times New Roman"/>
          <w:lang w:val="fr-CA"/>
        </w:rPr>
        <w:t xml:space="preserve">a souligné la partie intervenante </w:t>
      </w:r>
      <w:r>
        <w:rPr>
          <w:rFonts w:cs="Times New Roman"/>
          <w:lang w:val="fr-CA"/>
        </w:rPr>
        <w:t>« </w:t>
      </w:r>
      <w:proofErr w:type="spellStart"/>
      <w:r w:rsidRPr="009966E9">
        <w:rPr>
          <w:rFonts w:cs="Times New Roman"/>
          <w:lang w:val="fr-CA"/>
        </w:rPr>
        <w:t>Wholesale</w:t>
      </w:r>
      <w:proofErr w:type="spellEnd"/>
      <w:r w:rsidRPr="009966E9">
        <w:rPr>
          <w:rFonts w:cs="Times New Roman"/>
          <w:lang w:val="fr-CA"/>
        </w:rPr>
        <w:t xml:space="preserve"> Code </w:t>
      </w:r>
      <w:proofErr w:type="spellStart"/>
      <w:r w:rsidRPr="009966E9">
        <w:rPr>
          <w:rFonts w:cs="Times New Roman"/>
          <w:lang w:val="fr-CA"/>
        </w:rPr>
        <w:t>Applicants</w:t>
      </w:r>
      <w:proofErr w:type="spellEnd"/>
      <w:r>
        <w:rPr>
          <w:rFonts w:cs="Times New Roman"/>
          <w:lang w:val="fr-CA"/>
        </w:rPr>
        <w:t> »</w:t>
      </w:r>
      <w:r w:rsidRPr="009966E9">
        <w:rPr>
          <w:rFonts w:cs="Times New Roman"/>
          <w:lang w:val="fr-CA"/>
        </w:rPr>
        <w:t xml:space="preserve">, </w:t>
      </w:r>
      <w:r w:rsidRPr="009966E9">
        <w:rPr>
          <w:rFonts w:cs="Times New Roman"/>
          <w:lang w:val="fr-CA"/>
        </w:rPr>
        <w:lastRenderedPageBreak/>
        <w:t>Bell a elle</w:t>
      </w:r>
      <w:r>
        <w:rPr>
          <w:rFonts w:cs="Times New Roman"/>
          <w:lang w:val="fr-CA"/>
        </w:rPr>
        <w:noBreakHyphen/>
      </w:r>
      <w:r w:rsidRPr="009966E9">
        <w:rPr>
          <w:rFonts w:cs="Times New Roman"/>
          <w:lang w:val="fr-CA"/>
        </w:rPr>
        <w:t>même fait valoir des interprétations contradictoires de l</w:t>
      </w:r>
      <w:r>
        <w:rPr>
          <w:rFonts w:cs="Times New Roman"/>
          <w:lang w:val="fr-CA"/>
        </w:rPr>
        <w:t>’al. </w:t>
      </w:r>
      <w:r w:rsidRPr="009966E9">
        <w:rPr>
          <w:rFonts w:cs="Times New Roman"/>
          <w:lang w:val="fr-CA"/>
        </w:rPr>
        <w:t>9(1)h) dans des instances différentes (</w:t>
      </w:r>
      <w:proofErr w:type="spellStart"/>
      <w:proofErr w:type="gramStart"/>
      <w:r w:rsidRPr="009966E9">
        <w:rPr>
          <w:rFonts w:cs="Times New Roman"/>
          <w:lang w:val="fr-CA"/>
        </w:rPr>
        <w:t>m.i</w:t>
      </w:r>
      <w:proofErr w:type="spellEnd"/>
      <w:r w:rsidRPr="009966E9">
        <w:rPr>
          <w:rFonts w:cs="Times New Roman"/>
          <w:lang w:val="fr-CA"/>
        </w:rPr>
        <w:t>.,</w:t>
      </w:r>
      <w:proofErr w:type="gramEnd"/>
      <w:r w:rsidRPr="009966E9">
        <w:rPr>
          <w:rFonts w:cs="Times New Roman"/>
          <w:lang w:val="fr-CA"/>
        </w:rPr>
        <w:t xml:space="preserve"> </w:t>
      </w:r>
      <w:proofErr w:type="spellStart"/>
      <w:r w:rsidRPr="009966E9">
        <w:rPr>
          <w:rFonts w:cs="Times New Roman"/>
          <w:lang w:val="fr-CA"/>
        </w:rPr>
        <w:t>Wholesale</w:t>
      </w:r>
      <w:proofErr w:type="spellEnd"/>
      <w:r w:rsidRPr="009966E9">
        <w:rPr>
          <w:rFonts w:cs="Times New Roman"/>
          <w:lang w:val="fr-CA"/>
        </w:rPr>
        <w:t xml:space="preserve"> Code </w:t>
      </w:r>
      <w:proofErr w:type="spellStart"/>
      <w:r w:rsidRPr="009966E9">
        <w:rPr>
          <w:rFonts w:cs="Times New Roman"/>
          <w:lang w:val="fr-CA"/>
        </w:rPr>
        <w:t>Applicants</w:t>
      </w:r>
      <w:proofErr w:type="spellEnd"/>
      <w:r w:rsidRPr="009966E9">
        <w:rPr>
          <w:rFonts w:cs="Times New Roman"/>
          <w:lang w:val="fr-CA"/>
        </w:rPr>
        <w:t xml:space="preserve">, </w:t>
      </w:r>
      <w:r>
        <w:rPr>
          <w:rFonts w:cs="Times New Roman"/>
          <w:lang w:val="fr-CA"/>
        </w:rPr>
        <w:t>par. </w:t>
      </w:r>
      <w:r w:rsidRPr="009966E9">
        <w:rPr>
          <w:rFonts w:cs="Times New Roman"/>
          <w:lang w:val="fr-CA"/>
        </w:rPr>
        <w:t>11</w:t>
      </w:r>
      <w:r>
        <w:rPr>
          <w:rFonts w:cs="Times New Roman"/>
          <w:lang w:val="fr-CA"/>
        </w:rPr>
        <w:noBreakHyphen/>
      </w:r>
      <w:r w:rsidRPr="009966E9">
        <w:rPr>
          <w:rFonts w:cs="Times New Roman"/>
          <w:lang w:val="fr-CA"/>
        </w:rPr>
        <w:t>13). En outre, le fait que le législateur a accordé au gouverneur en conseil le droit d</w:t>
      </w:r>
      <w:r>
        <w:rPr>
          <w:rFonts w:cs="Times New Roman"/>
          <w:lang w:val="fr-CA"/>
        </w:rPr>
        <w:t>’</w:t>
      </w:r>
      <w:r w:rsidRPr="009966E9">
        <w:rPr>
          <w:rFonts w:cs="Times New Roman"/>
          <w:lang w:val="fr-CA"/>
        </w:rPr>
        <w:t>ordonner, par décret, la radiodiffusion urgente d</w:t>
      </w:r>
      <w:r>
        <w:rPr>
          <w:rFonts w:cs="Times New Roman"/>
          <w:lang w:val="fr-CA"/>
        </w:rPr>
        <w:t>’</w:t>
      </w:r>
      <w:r w:rsidRPr="009966E9">
        <w:rPr>
          <w:rFonts w:cs="Times New Roman"/>
          <w:lang w:val="fr-CA"/>
        </w:rPr>
        <w:t xml:space="preserve">une « émission » en particulier en application du </w:t>
      </w:r>
      <w:r>
        <w:rPr>
          <w:rFonts w:cs="Times New Roman"/>
          <w:lang w:val="fr-CA"/>
        </w:rPr>
        <w:t>par. </w:t>
      </w:r>
      <w:r w:rsidRPr="009966E9">
        <w:rPr>
          <w:rFonts w:cs="Times New Roman"/>
          <w:lang w:val="fr-CA"/>
        </w:rPr>
        <w:t xml:space="preserve">26(2) de la </w:t>
      </w:r>
      <w:r w:rsidRPr="009966E9">
        <w:rPr>
          <w:rFonts w:cs="Times New Roman"/>
          <w:i/>
          <w:lang w:val="fr-CA"/>
        </w:rPr>
        <w:t xml:space="preserve">Loi sur la radiodiffusion </w:t>
      </w:r>
      <w:r w:rsidRPr="009966E9">
        <w:rPr>
          <w:rFonts w:cs="Times New Roman"/>
          <w:lang w:val="fr-CA"/>
        </w:rPr>
        <w:t>éclaire peu l</w:t>
      </w:r>
      <w:r>
        <w:rPr>
          <w:rFonts w:cs="Times New Roman"/>
          <w:lang w:val="fr-CA"/>
        </w:rPr>
        <w:t>’</w:t>
      </w:r>
      <w:r w:rsidRPr="009966E9">
        <w:rPr>
          <w:rFonts w:cs="Times New Roman"/>
          <w:lang w:val="fr-CA"/>
        </w:rPr>
        <w:t>interprétation de l</w:t>
      </w:r>
      <w:r>
        <w:rPr>
          <w:rFonts w:cs="Times New Roman"/>
          <w:lang w:val="fr-CA"/>
        </w:rPr>
        <w:t>’</w:t>
      </w:r>
      <w:r w:rsidRPr="009966E9">
        <w:rPr>
          <w:rFonts w:cs="Times New Roman"/>
          <w:lang w:val="fr-CA"/>
        </w:rPr>
        <w:t>expression « services de programmation » à l</w:t>
      </w:r>
      <w:r>
        <w:rPr>
          <w:rFonts w:cs="Times New Roman"/>
          <w:lang w:val="fr-CA"/>
        </w:rPr>
        <w:t>’al. </w:t>
      </w:r>
      <w:r w:rsidRPr="009966E9">
        <w:rPr>
          <w:rFonts w:cs="Times New Roman"/>
          <w:lang w:val="fr-CA"/>
        </w:rPr>
        <w:t>9(1)h), qui s</w:t>
      </w:r>
      <w:r>
        <w:rPr>
          <w:rFonts w:cs="Times New Roman"/>
          <w:lang w:val="fr-CA"/>
        </w:rPr>
        <w:t>’</w:t>
      </w:r>
      <w:r w:rsidRPr="009966E9">
        <w:rPr>
          <w:rFonts w:cs="Times New Roman"/>
          <w:lang w:val="fr-CA"/>
        </w:rPr>
        <w:t>applique dans un contexte complètement différent et permet au CRTC d</w:t>
      </w:r>
      <w:r>
        <w:rPr>
          <w:rFonts w:cs="Times New Roman"/>
          <w:lang w:val="fr-CA"/>
        </w:rPr>
        <w:t>’</w:t>
      </w:r>
      <w:r w:rsidRPr="009966E9">
        <w:rPr>
          <w:rFonts w:cs="Times New Roman"/>
          <w:lang w:val="fr-CA"/>
        </w:rPr>
        <w:t>imposer des modalités à l</w:t>
      </w:r>
      <w:r>
        <w:rPr>
          <w:rFonts w:cs="Times New Roman"/>
          <w:lang w:val="fr-CA"/>
        </w:rPr>
        <w:t>’</w:t>
      </w:r>
      <w:r w:rsidRPr="009966E9">
        <w:rPr>
          <w:rFonts w:cs="Times New Roman"/>
          <w:lang w:val="fr-CA"/>
        </w:rPr>
        <w:t>égard de la distribution de services de programmation.</w:t>
      </w:r>
    </w:p>
    <w:p w:rsidR="005F030A" w:rsidRPr="009966E9" w:rsidDel="00920FC3" w:rsidRDefault="005F030A" w:rsidP="005F030A">
      <w:pPr>
        <w:pStyle w:val="ParaNoNdepar-AltN"/>
        <w:spacing w:before="0"/>
        <w:rPr>
          <w:rFonts w:cs="Times New Roman"/>
          <w:lang w:val="fr-CA"/>
        </w:rPr>
      </w:pPr>
      <w:r w:rsidRPr="009966E9">
        <w:rPr>
          <w:rFonts w:cs="Times New Roman"/>
          <w:lang w:val="fr-CA"/>
        </w:rPr>
        <w:t>Quoi qu</w:t>
      </w:r>
      <w:r>
        <w:rPr>
          <w:rFonts w:cs="Times New Roman"/>
          <w:lang w:val="fr-CA"/>
        </w:rPr>
        <w:t>’</w:t>
      </w:r>
      <w:r w:rsidRPr="009966E9">
        <w:rPr>
          <w:rFonts w:cs="Times New Roman"/>
          <w:lang w:val="fr-CA"/>
        </w:rPr>
        <w:t>il en soit, l</w:t>
      </w:r>
      <w:r>
        <w:rPr>
          <w:rFonts w:cs="Times New Roman"/>
          <w:lang w:val="fr-CA"/>
        </w:rPr>
        <w:t>’</w:t>
      </w:r>
      <w:r w:rsidRPr="009966E9">
        <w:rPr>
          <w:rFonts w:cs="Times New Roman"/>
          <w:lang w:val="fr-CA"/>
        </w:rPr>
        <w:t xml:space="preserve">Ordonnance relative au Super </w:t>
      </w:r>
      <w:proofErr w:type="spellStart"/>
      <w:r w:rsidRPr="009966E9">
        <w:rPr>
          <w:rFonts w:cs="Times New Roman"/>
          <w:lang w:val="fr-CA"/>
        </w:rPr>
        <w:t>Bowl</w:t>
      </w:r>
      <w:proofErr w:type="spellEnd"/>
      <w:r w:rsidRPr="009966E9">
        <w:rPr>
          <w:rFonts w:cs="Times New Roman"/>
          <w:lang w:val="fr-CA"/>
        </w:rPr>
        <w:t xml:space="preserve"> imposait aux stations de télévision canadiennes une condition de distribution et, suivant les termes mêmes dans lesquels elle était formulée, cette ordonnance était structurée de façon à s</w:t>
      </w:r>
      <w:r>
        <w:rPr>
          <w:rFonts w:cs="Times New Roman"/>
          <w:lang w:val="fr-CA"/>
        </w:rPr>
        <w:t>’</w:t>
      </w:r>
      <w:r w:rsidRPr="009966E9">
        <w:rPr>
          <w:rFonts w:cs="Times New Roman"/>
          <w:lang w:val="fr-CA"/>
        </w:rPr>
        <w:t>appliquer aux services de programmation</w:t>
      </w:r>
      <w:r>
        <w:rPr>
          <w:rFonts w:cs="Times New Roman"/>
          <w:lang w:val="fr-CA"/>
        </w:rPr>
        <w:t xml:space="preserve"> — </w:t>
      </w:r>
      <w:r w:rsidRPr="009966E9">
        <w:rPr>
          <w:rFonts w:cs="Times New Roman"/>
          <w:lang w:val="fr-CA"/>
        </w:rPr>
        <w:t>reflétant ainsi la manière dont la substitution simultanée est réalisée en pratique. Comme l</w:t>
      </w:r>
      <w:r>
        <w:rPr>
          <w:rFonts w:cs="Times New Roman"/>
          <w:lang w:val="fr-CA"/>
        </w:rPr>
        <w:t>’</w:t>
      </w:r>
      <w:r w:rsidRPr="009966E9">
        <w:rPr>
          <w:rFonts w:cs="Times New Roman"/>
          <w:lang w:val="fr-CA"/>
        </w:rPr>
        <w:t>a fait observer le CRTC, lorsque la substitution simultanée est effectuée, ce ne sont pas simplement les messages publicitaires qui sont remplacés, mais le signal intégral de l</w:t>
      </w:r>
      <w:r>
        <w:rPr>
          <w:rFonts w:cs="Times New Roman"/>
          <w:lang w:val="fr-CA"/>
        </w:rPr>
        <w:t>’</w:t>
      </w:r>
      <w:r w:rsidRPr="009966E9">
        <w:rPr>
          <w:rFonts w:cs="Times New Roman"/>
          <w:lang w:val="fr-CA"/>
        </w:rPr>
        <w:t xml:space="preserve">émission. Si une station faisait une demande de substitution simultanée pour le Super </w:t>
      </w:r>
      <w:proofErr w:type="spellStart"/>
      <w:r w:rsidRPr="009966E9">
        <w:rPr>
          <w:rFonts w:cs="Times New Roman"/>
          <w:lang w:val="fr-CA"/>
        </w:rPr>
        <w:t>Bowl</w:t>
      </w:r>
      <w:proofErr w:type="spellEnd"/>
      <w:r w:rsidRPr="009966E9">
        <w:rPr>
          <w:rFonts w:cs="Times New Roman"/>
          <w:lang w:val="fr-CA"/>
        </w:rPr>
        <w:t xml:space="preserve">, par exemple, ce sont à la fois le match </w:t>
      </w:r>
      <w:r w:rsidRPr="009966E9">
        <w:rPr>
          <w:rFonts w:cs="Times New Roman"/>
          <w:i/>
          <w:lang w:val="fr-CA"/>
        </w:rPr>
        <w:t>et</w:t>
      </w:r>
      <w:r w:rsidRPr="009966E9">
        <w:rPr>
          <w:rFonts w:cs="Times New Roman"/>
          <w:lang w:val="fr-CA"/>
        </w:rPr>
        <w:t xml:space="preserve"> les messages publicitaires qui seraient rediffusés par les entreprises de distribution donnant suite à la demande</w:t>
      </w:r>
      <w:r w:rsidRPr="009966E9" w:rsidDel="00920FC3">
        <w:rPr>
          <w:rFonts w:cs="Times New Roman"/>
          <w:lang w:val="fr-CA"/>
        </w:rPr>
        <w:t xml:space="preserve">. </w:t>
      </w:r>
      <w:r w:rsidRPr="009966E9">
        <w:rPr>
          <w:rFonts w:cs="Times New Roman"/>
          <w:lang w:val="fr-CA"/>
        </w:rPr>
        <w:t xml:space="preserve">Autrement dit, la radiodiffusion en résultant ne serait pas un signal américain diffusant le match du </w:t>
      </w:r>
      <w:r w:rsidRPr="009966E9" w:rsidDel="00920FC3">
        <w:rPr>
          <w:rFonts w:cs="Times New Roman"/>
          <w:lang w:val="fr-CA"/>
        </w:rPr>
        <w:t xml:space="preserve">Super </w:t>
      </w:r>
      <w:proofErr w:type="spellStart"/>
      <w:r w:rsidRPr="009966E9" w:rsidDel="00920FC3">
        <w:rPr>
          <w:rFonts w:cs="Times New Roman"/>
          <w:lang w:val="fr-CA"/>
        </w:rPr>
        <w:t>Bowl</w:t>
      </w:r>
      <w:proofErr w:type="spellEnd"/>
      <w:r w:rsidRPr="009966E9">
        <w:rPr>
          <w:rFonts w:cs="Times New Roman"/>
          <w:lang w:val="fr-CA"/>
        </w:rPr>
        <w:t>, un signal qui serait interrompu de façon intermittente par un signal</w:t>
      </w:r>
      <w:r w:rsidRPr="009966E9" w:rsidDel="00920FC3">
        <w:rPr>
          <w:rFonts w:cs="Times New Roman"/>
          <w:lang w:val="fr-CA"/>
        </w:rPr>
        <w:t xml:space="preserve"> </w:t>
      </w:r>
      <w:r w:rsidRPr="009966E9">
        <w:rPr>
          <w:rFonts w:cs="Times New Roman"/>
          <w:lang w:val="fr-CA"/>
        </w:rPr>
        <w:t>diffusant des messages publicitaires canadiens</w:t>
      </w:r>
      <w:r w:rsidRPr="009966E9" w:rsidDel="00920FC3">
        <w:rPr>
          <w:rFonts w:cs="Times New Roman"/>
          <w:lang w:val="fr-CA"/>
        </w:rPr>
        <w:t xml:space="preserve">. </w:t>
      </w:r>
      <w:r w:rsidRPr="009966E9">
        <w:rPr>
          <w:rFonts w:cs="Times New Roman"/>
          <w:lang w:val="fr-CA"/>
        </w:rPr>
        <w:t xml:space="preserve">Ce serait une retransmission canadienne continue de tout le Super </w:t>
      </w:r>
      <w:proofErr w:type="spellStart"/>
      <w:r w:rsidRPr="009966E9">
        <w:rPr>
          <w:rFonts w:cs="Times New Roman"/>
          <w:lang w:val="fr-CA"/>
        </w:rPr>
        <w:t>Bowl</w:t>
      </w:r>
      <w:proofErr w:type="spellEnd"/>
      <w:r w:rsidRPr="009966E9">
        <w:rPr>
          <w:rFonts w:cs="Times New Roman"/>
          <w:lang w:val="fr-CA"/>
        </w:rPr>
        <w:t>, incluant des messages publicitaires canadiens</w:t>
      </w:r>
      <w:r w:rsidRPr="009966E9" w:rsidDel="00920FC3">
        <w:rPr>
          <w:rFonts w:cs="Times New Roman"/>
          <w:lang w:val="fr-CA"/>
        </w:rPr>
        <w:t>.</w:t>
      </w:r>
      <w:r w:rsidRPr="009966E9">
        <w:rPr>
          <w:rFonts w:cs="Times New Roman"/>
          <w:lang w:val="fr-CA"/>
        </w:rPr>
        <w:t xml:space="preserve"> Nous faisons nôtre l</w:t>
      </w:r>
      <w:r>
        <w:rPr>
          <w:rFonts w:cs="Times New Roman"/>
          <w:lang w:val="fr-CA"/>
        </w:rPr>
        <w:t>’</w:t>
      </w:r>
      <w:r w:rsidRPr="009966E9">
        <w:rPr>
          <w:rFonts w:cs="Times New Roman"/>
          <w:lang w:val="fr-CA"/>
        </w:rPr>
        <w:t xml:space="preserve">observation du procureur général du Canada selon laquelle le raisonnement du CRTC </w:t>
      </w:r>
      <w:r w:rsidRPr="009966E9">
        <w:rPr>
          <w:rFonts w:cs="Times New Roman"/>
          <w:lang w:val="fr-CA"/>
        </w:rPr>
        <w:lastRenderedPageBreak/>
        <w:t>en l</w:t>
      </w:r>
      <w:r>
        <w:rPr>
          <w:rFonts w:cs="Times New Roman"/>
          <w:lang w:val="fr-CA"/>
        </w:rPr>
        <w:t>’</w:t>
      </w:r>
      <w:r w:rsidRPr="009966E9">
        <w:rPr>
          <w:rFonts w:cs="Times New Roman"/>
          <w:lang w:val="fr-CA"/>
        </w:rPr>
        <w:t>espèce reposait sur ses connaissances spécialisées et techniques, et il a abouti à une interprétation qui était raisonnable eu égard au contexte d</w:t>
      </w:r>
      <w:r>
        <w:rPr>
          <w:rFonts w:cs="Times New Roman"/>
          <w:lang w:val="fr-CA"/>
        </w:rPr>
        <w:t>’</w:t>
      </w:r>
      <w:r w:rsidRPr="009966E9">
        <w:rPr>
          <w:rFonts w:cs="Times New Roman"/>
          <w:lang w:val="fr-CA"/>
        </w:rPr>
        <w:t>application particulier.</w:t>
      </w:r>
    </w:p>
    <w:p w:rsidR="005F030A" w:rsidRPr="009966E9" w:rsidRDefault="005F030A" w:rsidP="005F030A">
      <w:pPr>
        <w:pStyle w:val="ParaNoNdepar-AltN"/>
        <w:spacing w:before="0"/>
        <w:rPr>
          <w:rFonts w:cs="Times New Roman"/>
          <w:lang w:val="fr-CA"/>
        </w:rPr>
      </w:pPr>
      <w:r w:rsidRPr="009966E9">
        <w:rPr>
          <w:rFonts w:cs="Times New Roman"/>
          <w:lang w:val="fr-CA"/>
        </w:rPr>
        <w:t>De plus, le CRTC a de toute évidence examiné l</w:t>
      </w:r>
      <w:r>
        <w:rPr>
          <w:rFonts w:cs="Times New Roman"/>
          <w:lang w:val="fr-CA"/>
        </w:rPr>
        <w:t>’al. </w:t>
      </w:r>
      <w:r w:rsidRPr="009966E9">
        <w:rPr>
          <w:rFonts w:cs="Times New Roman"/>
          <w:lang w:val="fr-CA"/>
        </w:rPr>
        <w:t>9(1)h) en tenant compte du contexte dans lequel il s</w:t>
      </w:r>
      <w:r>
        <w:rPr>
          <w:rFonts w:cs="Times New Roman"/>
          <w:lang w:val="fr-CA"/>
        </w:rPr>
        <w:t>’</w:t>
      </w:r>
      <w:r w:rsidRPr="009966E9">
        <w:rPr>
          <w:rFonts w:cs="Times New Roman"/>
          <w:lang w:val="fr-CA"/>
        </w:rPr>
        <w:t xml:space="preserve">appliquait, y compris non seulement des objectifs de la </w:t>
      </w:r>
      <w:r w:rsidRPr="009966E9">
        <w:rPr>
          <w:rFonts w:cs="Times New Roman"/>
          <w:i/>
          <w:lang w:val="fr-CA"/>
        </w:rPr>
        <w:t>Loi sur la radiodiffusion</w:t>
      </w:r>
      <w:r w:rsidRPr="009966E9">
        <w:rPr>
          <w:rFonts w:cs="Times New Roman"/>
          <w:lang w:val="fr-CA"/>
        </w:rPr>
        <w:t>, mais également du cadre législatif plus large. En réponse aux arguments avancés par Bell et la NFL sur la question de la compétence, le CRTC s</w:t>
      </w:r>
      <w:r>
        <w:rPr>
          <w:rFonts w:cs="Times New Roman"/>
          <w:lang w:val="fr-CA"/>
        </w:rPr>
        <w:t>’</w:t>
      </w:r>
      <w:r w:rsidRPr="009966E9">
        <w:rPr>
          <w:rFonts w:cs="Times New Roman"/>
          <w:lang w:val="fr-CA"/>
        </w:rPr>
        <w:t xml:space="preserve">est appuyé sur les </w:t>
      </w:r>
      <w:r>
        <w:rPr>
          <w:rFonts w:cs="Times New Roman"/>
          <w:lang w:val="fr-CA"/>
        </w:rPr>
        <w:t>par. </w:t>
      </w:r>
      <w:r w:rsidRPr="009966E9">
        <w:rPr>
          <w:rFonts w:cs="Times New Roman"/>
          <w:lang w:val="fr-CA"/>
        </w:rPr>
        <w:t xml:space="preserve">4(1) et (3) du </w:t>
      </w:r>
      <w:r w:rsidRPr="009966E9">
        <w:rPr>
          <w:rFonts w:cs="Times New Roman"/>
          <w:i/>
          <w:lang w:val="fr-CA"/>
        </w:rPr>
        <w:t>Règlement sur la substitution simultanée</w:t>
      </w:r>
      <w:r w:rsidRPr="009966E9">
        <w:rPr>
          <w:rFonts w:cs="Times New Roman"/>
          <w:lang w:val="fr-CA"/>
        </w:rPr>
        <w:t>,</w:t>
      </w:r>
      <w:r w:rsidRPr="009966E9">
        <w:rPr>
          <w:rFonts w:cs="Times New Roman"/>
          <w:i/>
          <w:lang w:val="fr-CA"/>
        </w:rPr>
        <w:t xml:space="preserve"> </w:t>
      </w:r>
      <w:r w:rsidRPr="009966E9">
        <w:rPr>
          <w:rFonts w:cs="Times New Roman"/>
          <w:lang w:val="fr-CA"/>
        </w:rPr>
        <w:t>qui ont pour effet d</w:t>
      </w:r>
      <w:r>
        <w:rPr>
          <w:rFonts w:cs="Times New Roman"/>
          <w:lang w:val="fr-CA"/>
        </w:rPr>
        <w:t>’</w:t>
      </w:r>
      <w:r w:rsidRPr="009966E9">
        <w:rPr>
          <w:rFonts w:cs="Times New Roman"/>
          <w:lang w:val="fr-CA"/>
        </w:rPr>
        <w:t>interdire aux titulaires de licence de procéder à la substitution simultanée lorsque le CRTC conclut que la pratique « n</w:t>
      </w:r>
      <w:r>
        <w:rPr>
          <w:rFonts w:cs="Times New Roman"/>
          <w:lang w:val="fr-CA"/>
        </w:rPr>
        <w:t>’</w:t>
      </w:r>
      <w:r w:rsidRPr="009966E9">
        <w:rPr>
          <w:rFonts w:cs="Times New Roman"/>
          <w:lang w:val="fr-CA"/>
        </w:rPr>
        <w:t>est pas dans l</w:t>
      </w:r>
      <w:r>
        <w:rPr>
          <w:rFonts w:cs="Times New Roman"/>
          <w:lang w:val="fr-CA"/>
        </w:rPr>
        <w:t>’</w:t>
      </w:r>
      <w:r w:rsidRPr="009966E9">
        <w:rPr>
          <w:rFonts w:cs="Times New Roman"/>
          <w:lang w:val="fr-CA"/>
        </w:rPr>
        <w:t>intérêt public ». Nous souscrivons à l</w:t>
      </w:r>
      <w:r>
        <w:rPr>
          <w:rFonts w:cs="Times New Roman"/>
          <w:lang w:val="fr-CA"/>
        </w:rPr>
        <w:t>’</w:t>
      </w:r>
      <w:r w:rsidRPr="009966E9">
        <w:rPr>
          <w:rFonts w:cs="Times New Roman"/>
          <w:lang w:val="fr-CA"/>
        </w:rPr>
        <w:t>observation de la Cour d</w:t>
      </w:r>
      <w:r>
        <w:rPr>
          <w:rFonts w:cs="Times New Roman"/>
          <w:lang w:val="fr-CA"/>
        </w:rPr>
        <w:t>’</w:t>
      </w:r>
      <w:r w:rsidRPr="009966E9">
        <w:rPr>
          <w:rFonts w:cs="Times New Roman"/>
          <w:lang w:val="fr-CA"/>
        </w:rPr>
        <w:t>appel fédérale selon laquelle « [l]a Cour [d</w:t>
      </w:r>
      <w:r>
        <w:rPr>
          <w:rFonts w:cs="Times New Roman"/>
          <w:lang w:val="fr-CA"/>
        </w:rPr>
        <w:t>’</w:t>
      </w:r>
      <w:r w:rsidRPr="009966E9">
        <w:rPr>
          <w:rFonts w:cs="Times New Roman"/>
          <w:lang w:val="fr-CA"/>
        </w:rPr>
        <w:t>appel fédérale] n</w:t>
      </w:r>
      <w:r>
        <w:rPr>
          <w:rFonts w:cs="Times New Roman"/>
          <w:lang w:val="fr-CA"/>
        </w:rPr>
        <w:t>’</w:t>
      </w:r>
      <w:r w:rsidRPr="009966E9">
        <w:rPr>
          <w:rFonts w:cs="Times New Roman"/>
          <w:lang w:val="fr-CA"/>
        </w:rPr>
        <w:t>a pas pour rôle d</w:t>
      </w:r>
      <w:r>
        <w:rPr>
          <w:rFonts w:cs="Times New Roman"/>
          <w:lang w:val="fr-CA"/>
        </w:rPr>
        <w:t>’</w:t>
      </w:r>
      <w:r w:rsidRPr="009966E9">
        <w:rPr>
          <w:rFonts w:cs="Times New Roman"/>
          <w:lang w:val="fr-CA"/>
        </w:rPr>
        <w:t>entreprendre une pondération de ces objectifs stratégiques concurrents et de substituer ses propres conclusions quant aux objectifs à atteindre » dans l</w:t>
      </w:r>
      <w:r>
        <w:rPr>
          <w:rFonts w:cs="Times New Roman"/>
          <w:lang w:val="fr-CA"/>
        </w:rPr>
        <w:t>’</w:t>
      </w:r>
      <w:r w:rsidRPr="009966E9">
        <w:rPr>
          <w:rFonts w:cs="Times New Roman"/>
          <w:lang w:val="fr-CA"/>
        </w:rPr>
        <w:t>intérêt public (</w:t>
      </w:r>
      <w:r>
        <w:rPr>
          <w:rFonts w:cs="Times New Roman"/>
          <w:lang w:val="fr-CA"/>
        </w:rPr>
        <w:t>par. </w:t>
      </w:r>
      <w:r w:rsidRPr="009966E9">
        <w:rPr>
          <w:rFonts w:cs="Times New Roman"/>
          <w:lang w:val="fr-CA"/>
        </w:rPr>
        <w:t>24). L</w:t>
      </w:r>
      <w:r>
        <w:rPr>
          <w:rFonts w:cs="Times New Roman"/>
          <w:lang w:val="fr-CA"/>
        </w:rPr>
        <w:t>’</w:t>
      </w:r>
      <w:r w:rsidRPr="009966E9">
        <w:rPr>
          <w:rFonts w:cs="Times New Roman"/>
          <w:lang w:val="fr-CA"/>
        </w:rPr>
        <w:t xml:space="preserve">Ordonnance relative au Super </w:t>
      </w:r>
      <w:proofErr w:type="spellStart"/>
      <w:r w:rsidRPr="009966E9">
        <w:rPr>
          <w:rFonts w:cs="Times New Roman"/>
          <w:lang w:val="fr-CA"/>
        </w:rPr>
        <w:t>Bowl</w:t>
      </w:r>
      <w:proofErr w:type="spellEnd"/>
      <w:r w:rsidRPr="009966E9">
        <w:rPr>
          <w:rFonts w:cs="Times New Roman"/>
          <w:lang w:val="fr-CA"/>
        </w:rPr>
        <w:t xml:space="preserve"> était une pièce parmi d</w:t>
      </w:r>
      <w:r>
        <w:rPr>
          <w:rFonts w:cs="Times New Roman"/>
          <w:lang w:val="fr-CA"/>
        </w:rPr>
        <w:t>’</w:t>
      </w:r>
      <w:r w:rsidRPr="009966E9">
        <w:rPr>
          <w:rFonts w:cs="Times New Roman"/>
          <w:lang w:val="fr-CA"/>
        </w:rPr>
        <w:t xml:space="preserve">autres dans une mosaïque de décisions découlant de tout près de trois années de consultations, et elle a été raisonnablement jugée comme ayant pour effet de favoriser la réalisation des objectifs de politique générale de la </w:t>
      </w:r>
      <w:r w:rsidRPr="009966E9">
        <w:rPr>
          <w:rFonts w:cs="Times New Roman"/>
          <w:i/>
          <w:lang w:val="fr-CA"/>
        </w:rPr>
        <w:t>Loi sur la radiodiffusion</w:t>
      </w:r>
      <w:r w:rsidRPr="009966E9">
        <w:rPr>
          <w:rFonts w:cs="Times New Roman"/>
          <w:lang w:val="fr-CA"/>
        </w:rPr>
        <w:t>. L</w:t>
      </w:r>
      <w:r>
        <w:rPr>
          <w:rFonts w:cs="Times New Roman"/>
          <w:lang w:val="fr-CA"/>
        </w:rPr>
        <w:t>’</w:t>
      </w:r>
      <w:r w:rsidRPr="009966E9">
        <w:rPr>
          <w:rFonts w:cs="Times New Roman"/>
          <w:lang w:val="fr-CA"/>
        </w:rPr>
        <w:t>alinéa 9(1)h) n</w:t>
      </w:r>
      <w:r>
        <w:rPr>
          <w:rFonts w:cs="Times New Roman"/>
          <w:lang w:val="fr-CA"/>
        </w:rPr>
        <w:t>’</w:t>
      </w:r>
      <w:r w:rsidRPr="009966E9">
        <w:rPr>
          <w:rFonts w:cs="Times New Roman"/>
          <w:lang w:val="fr-CA"/>
        </w:rPr>
        <w:t>impose aucune restriction quant aux types de modalités que le CRTC peut fixer à l</w:t>
      </w:r>
      <w:r>
        <w:rPr>
          <w:rFonts w:cs="Times New Roman"/>
          <w:lang w:val="fr-CA"/>
        </w:rPr>
        <w:t>’</w:t>
      </w:r>
      <w:r w:rsidRPr="009966E9">
        <w:rPr>
          <w:rFonts w:cs="Times New Roman"/>
          <w:lang w:val="fr-CA"/>
        </w:rPr>
        <w:t>égard des services de programmation, et cette disposition doit être considérée à la lumière du large pouvoir discrétionnaire que le Parlement a conféré au CRTC. Tout au long du processus, le CRTC a clairement indiqué qu</w:t>
      </w:r>
      <w:r>
        <w:rPr>
          <w:rFonts w:cs="Times New Roman"/>
          <w:lang w:val="fr-CA"/>
        </w:rPr>
        <w:t>’</w:t>
      </w:r>
      <w:r w:rsidRPr="009966E9">
        <w:rPr>
          <w:rFonts w:cs="Times New Roman"/>
          <w:lang w:val="fr-CA"/>
        </w:rPr>
        <w:t>il prenait sa décision à la lumière de « décisions de politique ayant une portée beaucoup plus large » et de l</w:t>
      </w:r>
      <w:r>
        <w:rPr>
          <w:rFonts w:cs="Times New Roman"/>
          <w:lang w:val="fr-CA"/>
        </w:rPr>
        <w:t>’</w:t>
      </w:r>
      <w:r w:rsidRPr="009966E9">
        <w:rPr>
          <w:rFonts w:cs="Times New Roman"/>
          <w:lang w:val="fr-CA"/>
        </w:rPr>
        <w:t>obligation qui lui incombe de réglementer l</w:t>
      </w:r>
      <w:r>
        <w:rPr>
          <w:rFonts w:cs="Times New Roman"/>
          <w:lang w:val="fr-CA"/>
        </w:rPr>
        <w:t>’</w:t>
      </w:r>
      <w:r w:rsidRPr="009966E9">
        <w:rPr>
          <w:rFonts w:cs="Times New Roman"/>
          <w:lang w:val="fr-CA"/>
        </w:rPr>
        <w:t> « ensemble du système » — et c</w:t>
      </w:r>
      <w:r>
        <w:rPr>
          <w:rFonts w:cs="Times New Roman"/>
          <w:lang w:val="fr-CA"/>
        </w:rPr>
        <w:t>’</w:t>
      </w:r>
      <w:r w:rsidRPr="009966E9">
        <w:rPr>
          <w:rFonts w:cs="Times New Roman"/>
          <w:lang w:val="fr-CA"/>
        </w:rPr>
        <w:t>est ainsi qu</w:t>
      </w:r>
      <w:r>
        <w:rPr>
          <w:rFonts w:cs="Times New Roman"/>
          <w:lang w:val="fr-CA"/>
        </w:rPr>
        <w:t>’</w:t>
      </w:r>
      <w:r w:rsidRPr="009966E9">
        <w:rPr>
          <w:rFonts w:cs="Times New Roman"/>
          <w:lang w:val="fr-CA"/>
        </w:rPr>
        <w:t>il l</w:t>
      </w:r>
      <w:r>
        <w:rPr>
          <w:rFonts w:cs="Times New Roman"/>
          <w:lang w:val="fr-CA"/>
        </w:rPr>
        <w:t>’</w:t>
      </w:r>
      <w:r w:rsidRPr="009966E9">
        <w:rPr>
          <w:rFonts w:cs="Times New Roman"/>
          <w:lang w:val="fr-CA"/>
        </w:rPr>
        <w:t>a justifiée en définitive.</w:t>
      </w:r>
    </w:p>
    <w:p w:rsidR="005F030A" w:rsidRPr="009966E9" w:rsidRDefault="005F030A" w:rsidP="005F030A">
      <w:pPr>
        <w:pStyle w:val="ParaNoNdepar-AltN"/>
        <w:rPr>
          <w:rFonts w:cs="Times New Roman"/>
          <w:lang w:val="fr-CA"/>
        </w:rPr>
      </w:pPr>
      <w:r w:rsidRPr="009966E9">
        <w:rPr>
          <w:rFonts w:cs="Times New Roman"/>
          <w:lang w:val="fr-CA"/>
        </w:rPr>
        <w:lastRenderedPageBreak/>
        <w:t xml:space="preserve">Enfin, Bell et la </w:t>
      </w:r>
      <w:proofErr w:type="gramStart"/>
      <w:r w:rsidRPr="009966E9">
        <w:rPr>
          <w:rFonts w:cs="Times New Roman"/>
          <w:lang w:val="fr-CA"/>
        </w:rPr>
        <w:t>NFL plaident</w:t>
      </w:r>
      <w:proofErr w:type="gramEnd"/>
      <w:r w:rsidRPr="009966E9">
        <w:rPr>
          <w:rFonts w:cs="Times New Roman"/>
          <w:lang w:val="fr-CA"/>
        </w:rPr>
        <w:t xml:space="preserve"> que l</w:t>
      </w:r>
      <w:r>
        <w:rPr>
          <w:rFonts w:cs="Times New Roman"/>
          <w:lang w:val="fr-CA"/>
        </w:rPr>
        <w:t>’</w:t>
      </w:r>
      <w:r w:rsidRPr="009966E9">
        <w:rPr>
          <w:rFonts w:cs="Times New Roman"/>
          <w:lang w:val="fr-CA"/>
        </w:rPr>
        <w:t>interprétation que donne le CRTC de l</w:t>
      </w:r>
      <w:r>
        <w:rPr>
          <w:rFonts w:cs="Times New Roman"/>
          <w:lang w:val="fr-CA"/>
        </w:rPr>
        <w:t>’al. </w:t>
      </w:r>
      <w:proofErr w:type="gramStart"/>
      <w:r w:rsidRPr="009966E9">
        <w:rPr>
          <w:rFonts w:cs="Times New Roman"/>
          <w:lang w:val="fr-CA"/>
        </w:rPr>
        <w:t>9)(</w:t>
      </w:r>
      <w:proofErr w:type="gramEnd"/>
      <w:r w:rsidRPr="009966E9">
        <w:rPr>
          <w:rFonts w:cs="Times New Roman"/>
          <w:lang w:val="fr-CA"/>
        </w:rPr>
        <w:t>1)h) entre en conflit avec l</w:t>
      </w:r>
      <w:r>
        <w:rPr>
          <w:rFonts w:cs="Times New Roman"/>
          <w:lang w:val="fr-CA"/>
        </w:rPr>
        <w:t>’</w:t>
      </w:r>
      <w:r w:rsidRPr="009966E9">
        <w:rPr>
          <w:rFonts w:cs="Times New Roman"/>
          <w:lang w:val="fr-CA"/>
        </w:rPr>
        <w:t xml:space="preserve">objet de la </w:t>
      </w:r>
      <w:r w:rsidRPr="009966E9">
        <w:rPr>
          <w:rFonts w:cs="Times New Roman"/>
          <w:i/>
          <w:lang w:val="fr-CA"/>
        </w:rPr>
        <w:t>Loi sur le droit d</w:t>
      </w:r>
      <w:r>
        <w:rPr>
          <w:rFonts w:cs="Times New Roman"/>
          <w:i/>
          <w:lang w:val="fr-CA"/>
        </w:rPr>
        <w:t>’</w:t>
      </w:r>
      <w:r w:rsidRPr="009966E9">
        <w:rPr>
          <w:rFonts w:cs="Times New Roman"/>
          <w:i/>
          <w:lang w:val="fr-CA"/>
        </w:rPr>
        <w:t xml:space="preserve">auteur </w:t>
      </w:r>
      <w:r w:rsidRPr="009966E9">
        <w:rPr>
          <w:rFonts w:cs="Times New Roman"/>
          <w:lang w:val="fr-CA"/>
        </w:rPr>
        <w:t>et l</w:t>
      </w:r>
      <w:r>
        <w:rPr>
          <w:rFonts w:cs="Times New Roman"/>
          <w:lang w:val="fr-CA"/>
        </w:rPr>
        <w:t>’</w:t>
      </w:r>
      <w:r w:rsidRPr="009966E9">
        <w:rPr>
          <w:rFonts w:cs="Times New Roman"/>
          <w:lang w:val="fr-CA"/>
        </w:rPr>
        <w:t>application de celle</w:t>
      </w:r>
      <w:r>
        <w:rPr>
          <w:rFonts w:cs="Times New Roman"/>
          <w:lang w:val="fr-CA"/>
        </w:rPr>
        <w:noBreakHyphen/>
      </w:r>
      <w:r w:rsidRPr="009966E9">
        <w:rPr>
          <w:rFonts w:cs="Times New Roman"/>
          <w:lang w:val="fr-CA"/>
        </w:rPr>
        <w:t xml:space="preserve">ci. Il est bien établi que la </w:t>
      </w:r>
      <w:r w:rsidRPr="009966E9">
        <w:rPr>
          <w:rFonts w:cs="Times New Roman"/>
          <w:i/>
          <w:lang w:val="fr-CA"/>
        </w:rPr>
        <w:t>Loi sur le droit d</w:t>
      </w:r>
      <w:r>
        <w:rPr>
          <w:rFonts w:cs="Times New Roman"/>
          <w:i/>
          <w:lang w:val="fr-CA"/>
        </w:rPr>
        <w:t>’</w:t>
      </w:r>
      <w:r w:rsidRPr="009966E9">
        <w:rPr>
          <w:rFonts w:cs="Times New Roman"/>
          <w:i/>
          <w:lang w:val="fr-CA"/>
        </w:rPr>
        <w:t>auteur</w:t>
      </w:r>
      <w:r w:rsidRPr="009966E9">
        <w:rPr>
          <w:rFonts w:cs="Times New Roman"/>
          <w:lang w:val="fr-CA"/>
        </w:rPr>
        <w:t xml:space="preserve"> a pour objet de mettre en équilibre les droits des créateurs et ceux des utilisateurs, et que le CRTC ne peut choisir de poursuivre ses objectifs par des moyens qui sont incompatibles avec l</w:t>
      </w:r>
      <w:r>
        <w:rPr>
          <w:rFonts w:cs="Times New Roman"/>
          <w:lang w:val="fr-CA"/>
        </w:rPr>
        <w:t>’</w:t>
      </w:r>
      <w:r w:rsidRPr="009966E9">
        <w:rPr>
          <w:rFonts w:cs="Times New Roman"/>
          <w:lang w:val="fr-CA"/>
        </w:rPr>
        <w:t xml:space="preserve">objet de la </w:t>
      </w:r>
      <w:r w:rsidRPr="009966E9">
        <w:rPr>
          <w:rFonts w:cs="Times New Roman"/>
          <w:i/>
          <w:lang w:val="fr-CA"/>
        </w:rPr>
        <w:t>Loi sur le droit d</w:t>
      </w:r>
      <w:r>
        <w:rPr>
          <w:rFonts w:cs="Times New Roman"/>
          <w:i/>
          <w:lang w:val="fr-CA"/>
        </w:rPr>
        <w:t>’</w:t>
      </w:r>
      <w:r w:rsidRPr="009966E9">
        <w:rPr>
          <w:rFonts w:cs="Times New Roman"/>
          <w:i/>
          <w:lang w:val="fr-CA"/>
        </w:rPr>
        <w:t>auteur</w:t>
      </w:r>
      <w:r w:rsidRPr="009966E9">
        <w:rPr>
          <w:rFonts w:cs="Times New Roman"/>
          <w:lang w:val="fr-CA"/>
        </w:rPr>
        <w:t xml:space="preserve"> ou qui entraînent un conflit d</w:t>
      </w:r>
      <w:r>
        <w:rPr>
          <w:rFonts w:cs="Times New Roman"/>
          <w:lang w:val="fr-CA"/>
        </w:rPr>
        <w:t>’</w:t>
      </w:r>
      <w:r w:rsidRPr="009966E9">
        <w:rPr>
          <w:rFonts w:cs="Times New Roman"/>
          <w:lang w:val="fr-CA"/>
        </w:rPr>
        <w:t>application avec des dispositions précises de cette loi (</w:t>
      </w:r>
      <w:r w:rsidRPr="009966E9">
        <w:rPr>
          <w:rFonts w:cs="Times New Roman"/>
          <w:i/>
          <w:lang w:val="fr-CA"/>
        </w:rPr>
        <w:t>Renvoi relatif à la Politique réglementaire de radiodiffusion CRTC 2010</w:t>
      </w:r>
      <w:r>
        <w:rPr>
          <w:rFonts w:cs="Times New Roman"/>
          <w:i/>
          <w:lang w:val="fr-CA"/>
        </w:rPr>
        <w:noBreakHyphen/>
      </w:r>
      <w:r w:rsidRPr="009966E9">
        <w:rPr>
          <w:rFonts w:cs="Times New Roman"/>
          <w:i/>
          <w:lang w:val="fr-CA"/>
        </w:rPr>
        <w:t>167 et l</w:t>
      </w:r>
      <w:r>
        <w:rPr>
          <w:rFonts w:cs="Times New Roman"/>
          <w:i/>
          <w:lang w:val="fr-CA"/>
        </w:rPr>
        <w:t>’</w:t>
      </w:r>
      <w:r w:rsidRPr="009966E9">
        <w:rPr>
          <w:rFonts w:cs="Times New Roman"/>
          <w:i/>
          <w:lang w:val="fr-CA"/>
        </w:rPr>
        <w:t>ordonnance de radiodiffusion CRTC 2010</w:t>
      </w:r>
      <w:r>
        <w:rPr>
          <w:rFonts w:cs="Times New Roman"/>
          <w:i/>
          <w:lang w:val="fr-CA"/>
        </w:rPr>
        <w:noBreakHyphen/>
      </w:r>
      <w:r w:rsidRPr="009966E9">
        <w:rPr>
          <w:rFonts w:cs="Times New Roman"/>
          <w:i/>
          <w:lang w:val="fr-CA"/>
        </w:rPr>
        <w:t>168</w:t>
      </w:r>
      <w:r w:rsidRPr="009966E9">
        <w:rPr>
          <w:rFonts w:cs="Times New Roman"/>
          <w:lang w:val="fr-CA"/>
        </w:rPr>
        <w:t xml:space="preserve">, </w:t>
      </w:r>
      <w:r>
        <w:rPr>
          <w:rFonts w:cs="Times New Roman"/>
          <w:lang w:val="fr-CA"/>
        </w:rPr>
        <w:t>par. </w:t>
      </w:r>
      <w:r w:rsidRPr="009966E9">
        <w:rPr>
          <w:rFonts w:cs="Times New Roman"/>
          <w:lang w:val="fr-CA"/>
        </w:rPr>
        <w:t>45). Cependant, compte tenu de l</w:t>
      </w:r>
      <w:r>
        <w:rPr>
          <w:rFonts w:cs="Times New Roman"/>
          <w:lang w:val="fr-CA"/>
        </w:rPr>
        <w:t>’</w:t>
      </w:r>
      <w:r w:rsidRPr="009966E9">
        <w:rPr>
          <w:rFonts w:cs="Times New Roman"/>
          <w:lang w:val="fr-CA"/>
        </w:rPr>
        <w:t>argument qu</w:t>
      </w:r>
      <w:r>
        <w:rPr>
          <w:rFonts w:cs="Times New Roman"/>
          <w:lang w:val="fr-CA"/>
        </w:rPr>
        <w:t>’</w:t>
      </w:r>
      <w:r w:rsidRPr="009966E9">
        <w:rPr>
          <w:rFonts w:cs="Times New Roman"/>
          <w:lang w:val="fr-CA"/>
        </w:rPr>
        <w:t>a répété la NFL et selon lequel [</w:t>
      </w:r>
      <w:r w:rsidRPr="009966E9">
        <w:rPr>
          <w:rFonts w:cs="Times New Roman"/>
          <w:smallCaps/>
          <w:lang w:val="fr-CA"/>
        </w:rPr>
        <w:t>traduction</w:t>
      </w:r>
      <w:r w:rsidRPr="009966E9">
        <w:rPr>
          <w:rFonts w:cs="Times New Roman"/>
          <w:lang w:val="fr-CA"/>
        </w:rPr>
        <w:t xml:space="preserve">] « les messages publicitaires [américains] ne sont même pas un aspect du match du Super </w:t>
      </w:r>
      <w:proofErr w:type="spellStart"/>
      <w:r w:rsidRPr="009966E9">
        <w:rPr>
          <w:rFonts w:cs="Times New Roman"/>
          <w:lang w:val="fr-CA"/>
        </w:rPr>
        <w:t>Bowl</w:t>
      </w:r>
      <w:proofErr w:type="spellEnd"/>
      <w:r w:rsidRPr="009966E9">
        <w:rPr>
          <w:rFonts w:cs="Times New Roman"/>
          <w:lang w:val="fr-CA"/>
        </w:rPr>
        <w:t xml:space="preserve"> </w:t>
      </w:r>
      <w:r w:rsidRPr="009966E9">
        <w:rPr>
          <w:rFonts w:cs="Times New Roman"/>
          <w:u w:val="single"/>
          <w:lang w:val="fr-CA"/>
        </w:rPr>
        <w:t>ou même visés par les droits d</w:t>
      </w:r>
      <w:r>
        <w:rPr>
          <w:rFonts w:cs="Times New Roman"/>
          <w:u w:val="single"/>
          <w:lang w:val="fr-CA"/>
        </w:rPr>
        <w:t>’</w:t>
      </w:r>
      <w:r w:rsidRPr="009966E9">
        <w:rPr>
          <w:rFonts w:cs="Times New Roman"/>
          <w:u w:val="single"/>
          <w:lang w:val="fr-CA"/>
        </w:rPr>
        <w:t>auteur de la NFL</w:t>
      </w:r>
      <w:r w:rsidRPr="009966E9">
        <w:rPr>
          <w:rFonts w:cs="Times New Roman"/>
          <w:lang w:val="fr-CA"/>
        </w:rPr>
        <w:t xml:space="preserve">, et constituent encore moins une partie intégrante du Super </w:t>
      </w:r>
      <w:proofErr w:type="spellStart"/>
      <w:r w:rsidRPr="009966E9">
        <w:rPr>
          <w:rFonts w:cs="Times New Roman"/>
          <w:lang w:val="fr-CA"/>
        </w:rPr>
        <w:t>Bowl</w:t>
      </w:r>
      <w:proofErr w:type="spellEnd"/>
      <w:r w:rsidRPr="009966E9">
        <w:rPr>
          <w:rFonts w:cs="Times New Roman"/>
          <w:lang w:val="fr-CA"/>
        </w:rPr>
        <w:t> », il n</w:t>
      </w:r>
      <w:r>
        <w:rPr>
          <w:rFonts w:cs="Times New Roman"/>
          <w:lang w:val="fr-CA"/>
        </w:rPr>
        <w:t>’</w:t>
      </w:r>
      <w:r w:rsidRPr="009966E9">
        <w:rPr>
          <w:rFonts w:cs="Times New Roman"/>
          <w:lang w:val="fr-CA"/>
        </w:rPr>
        <w:t>est guère surprenant que le CRTC ait adopté la même position (</w:t>
      </w:r>
      <w:proofErr w:type="spellStart"/>
      <w:proofErr w:type="gramStart"/>
      <w:r w:rsidRPr="009966E9">
        <w:rPr>
          <w:rFonts w:cs="Times New Roman"/>
          <w:lang w:val="fr-CA"/>
        </w:rPr>
        <w:t>d.a</w:t>
      </w:r>
      <w:proofErr w:type="spellEnd"/>
      <w:r w:rsidRPr="009966E9">
        <w:rPr>
          <w:rFonts w:cs="Times New Roman"/>
          <w:lang w:val="fr-CA"/>
        </w:rPr>
        <w:t>.,</w:t>
      </w:r>
      <w:proofErr w:type="gramEnd"/>
      <w:r w:rsidRPr="009966E9">
        <w:rPr>
          <w:rFonts w:cs="Times New Roman"/>
          <w:lang w:val="fr-CA"/>
        </w:rPr>
        <w:t xml:space="preserve"> vol II, </w:t>
      </w:r>
      <w:r>
        <w:rPr>
          <w:rFonts w:cs="Times New Roman"/>
          <w:lang w:val="fr-CA"/>
        </w:rPr>
        <w:t>p. </w:t>
      </w:r>
      <w:r w:rsidRPr="009966E9">
        <w:rPr>
          <w:rFonts w:cs="Times New Roman"/>
          <w:lang w:val="fr-CA"/>
        </w:rPr>
        <w:t>115 (nous soulignons)). Nous souscrivons à la conclusion du juge d</w:t>
      </w:r>
      <w:r>
        <w:rPr>
          <w:rFonts w:cs="Times New Roman"/>
          <w:lang w:val="fr-CA"/>
        </w:rPr>
        <w:t>’</w:t>
      </w:r>
      <w:r w:rsidRPr="009966E9">
        <w:rPr>
          <w:rFonts w:cs="Times New Roman"/>
          <w:lang w:val="fr-CA"/>
        </w:rPr>
        <w:t>appel Near portant qu</w:t>
      </w:r>
      <w:r>
        <w:rPr>
          <w:rFonts w:cs="Times New Roman"/>
          <w:lang w:val="fr-CA"/>
        </w:rPr>
        <w:t>’</w:t>
      </w:r>
      <w:r w:rsidRPr="009966E9">
        <w:rPr>
          <w:rFonts w:cs="Times New Roman"/>
          <w:lang w:val="fr-CA"/>
        </w:rPr>
        <w:t>il n</w:t>
      </w:r>
      <w:r>
        <w:rPr>
          <w:rFonts w:cs="Times New Roman"/>
          <w:lang w:val="fr-CA"/>
        </w:rPr>
        <w:t>’</w:t>
      </w:r>
      <w:r w:rsidRPr="009966E9">
        <w:rPr>
          <w:rFonts w:cs="Times New Roman"/>
          <w:lang w:val="fr-CA"/>
        </w:rPr>
        <w:t>existe pas de conflit d</w:t>
      </w:r>
      <w:r>
        <w:rPr>
          <w:rFonts w:cs="Times New Roman"/>
          <w:lang w:val="fr-CA"/>
        </w:rPr>
        <w:t>’</w:t>
      </w:r>
      <w:r w:rsidRPr="009966E9">
        <w:rPr>
          <w:rFonts w:cs="Times New Roman"/>
          <w:lang w:val="fr-CA"/>
        </w:rPr>
        <w:t>application avec la</w:t>
      </w:r>
      <w:r w:rsidRPr="009966E9">
        <w:rPr>
          <w:rFonts w:cs="Times New Roman"/>
          <w:i/>
          <w:lang w:val="fr-CA"/>
        </w:rPr>
        <w:t xml:space="preserve"> Loi sur le droit d</w:t>
      </w:r>
      <w:r>
        <w:rPr>
          <w:rFonts w:cs="Times New Roman"/>
          <w:i/>
          <w:lang w:val="fr-CA"/>
        </w:rPr>
        <w:t>’</w:t>
      </w:r>
      <w:r w:rsidRPr="009966E9">
        <w:rPr>
          <w:rFonts w:cs="Times New Roman"/>
          <w:i/>
          <w:lang w:val="fr-CA"/>
        </w:rPr>
        <w:t>auteur</w:t>
      </w:r>
      <w:r w:rsidRPr="009966E9">
        <w:rPr>
          <w:rFonts w:cs="Times New Roman"/>
          <w:lang w:val="fr-CA"/>
        </w:rPr>
        <w:t>. La NFL prétend que l</w:t>
      </w:r>
      <w:r>
        <w:rPr>
          <w:rFonts w:cs="Times New Roman"/>
          <w:lang w:val="fr-CA"/>
        </w:rPr>
        <w:t>’</w:t>
      </w:r>
      <w:r w:rsidRPr="009966E9">
        <w:rPr>
          <w:rFonts w:cs="Times New Roman"/>
          <w:lang w:val="fr-CA"/>
        </w:rPr>
        <w:t xml:space="preserve">Ordonnance relative au Super </w:t>
      </w:r>
      <w:proofErr w:type="spellStart"/>
      <w:r w:rsidRPr="009966E9">
        <w:rPr>
          <w:rFonts w:cs="Times New Roman"/>
          <w:lang w:val="fr-CA"/>
        </w:rPr>
        <w:t>Bowl</w:t>
      </w:r>
      <w:proofErr w:type="spellEnd"/>
      <w:r w:rsidRPr="009966E9">
        <w:rPr>
          <w:rFonts w:cs="Times New Roman"/>
          <w:lang w:val="fr-CA"/>
        </w:rPr>
        <w:t xml:space="preserve"> entre en conflit avec l</w:t>
      </w:r>
      <w:r>
        <w:rPr>
          <w:rFonts w:cs="Times New Roman"/>
          <w:lang w:val="fr-CA"/>
        </w:rPr>
        <w:t>’al. </w:t>
      </w:r>
      <w:r w:rsidRPr="009966E9">
        <w:rPr>
          <w:rFonts w:cs="Times New Roman"/>
          <w:lang w:val="fr-CA"/>
        </w:rPr>
        <w:t xml:space="preserve">31(2)c) de la </w:t>
      </w:r>
      <w:r w:rsidRPr="009966E9">
        <w:rPr>
          <w:rFonts w:cs="Times New Roman"/>
          <w:i/>
          <w:lang w:val="fr-CA"/>
        </w:rPr>
        <w:t>Loi sur le droit d</w:t>
      </w:r>
      <w:r>
        <w:rPr>
          <w:rFonts w:cs="Times New Roman"/>
          <w:i/>
          <w:lang w:val="fr-CA"/>
        </w:rPr>
        <w:t>’</w:t>
      </w:r>
      <w:r w:rsidRPr="009966E9">
        <w:rPr>
          <w:rFonts w:cs="Times New Roman"/>
          <w:i/>
          <w:lang w:val="fr-CA"/>
        </w:rPr>
        <w:t>auteur</w:t>
      </w:r>
      <w:r w:rsidRPr="009966E9">
        <w:rPr>
          <w:rFonts w:cs="Times New Roman"/>
          <w:lang w:val="fr-CA"/>
        </w:rPr>
        <w:t>, car elle ne découle d</w:t>
      </w:r>
      <w:r>
        <w:rPr>
          <w:rFonts w:cs="Times New Roman"/>
          <w:lang w:val="fr-CA"/>
        </w:rPr>
        <w:t>’</w:t>
      </w:r>
      <w:r w:rsidRPr="009966E9">
        <w:rPr>
          <w:rFonts w:cs="Times New Roman"/>
          <w:lang w:val="fr-CA"/>
        </w:rPr>
        <w:t>aucune « obligation ou permission légale ou réglementaire ». Comme l</w:t>
      </w:r>
      <w:r>
        <w:rPr>
          <w:rFonts w:cs="Times New Roman"/>
          <w:lang w:val="fr-CA"/>
        </w:rPr>
        <w:t>’</w:t>
      </w:r>
      <w:r w:rsidRPr="009966E9">
        <w:rPr>
          <w:rFonts w:cs="Times New Roman"/>
          <w:lang w:val="fr-CA"/>
        </w:rPr>
        <w:t>a toutefois souligné la Cour d</w:t>
      </w:r>
      <w:r>
        <w:rPr>
          <w:rFonts w:cs="Times New Roman"/>
          <w:lang w:val="fr-CA"/>
        </w:rPr>
        <w:t>’</w:t>
      </w:r>
      <w:r w:rsidRPr="009966E9">
        <w:rPr>
          <w:rFonts w:cs="Times New Roman"/>
          <w:lang w:val="fr-CA"/>
        </w:rPr>
        <w:t>appel, cette prétention fait abstraction du fait que l</w:t>
      </w:r>
      <w:r>
        <w:rPr>
          <w:rFonts w:cs="Times New Roman"/>
          <w:lang w:val="fr-CA"/>
        </w:rPr>
        <w:t>’</w:t>
      </w:r>
      <w:r w:rsidRPr="009966E9">
        <w:rPr>
          <w:rFonts w:cs="Times New Roman"/>
          <w:lang w:val="fr-CA"/>
        </w:rPr>
        <w:t>Ordonnance a été validement rendue en vertu de l</w:t>
      </w:r>
      <w:r>
        <w:rPr>
          <w:rFonts w:cs="Times New Roman"/>
          <w:lang w:val="fr-CA"/>
        </w:rPr>
        <w:t>’al. </w:t>
      </w:r>
      <w:r w:rsidRPr="009966E9">
        <w:rPr>
          <w:rFonts w:cs="Times New Roman"/>
          <w:lang w:val="fr-CA"/>
        </w:rPr>
        <w:t xml:space="preserve">9(1)h) de la </w:t>
      </w:r>
      <w:r w:rsidRPr="009966E9">
        <w:rPr>
          <w:rFonts w:cs="Times New Roman"/>
          <w:i/>
          <w:lang w:val="fr-CA"/>
        </w:rPr>
        <w:t>Loi sur la radiodiffusion</w:t>
      </w:r>
      <w:r w:rsidRPr="009966E9">
        <w:rPr>
          <w:rFonts w:cs="Times New Roman"/>
          <w:lang w:val="fr-CA"/>
        </w:rPr>
        <w:t xml:space="preserve"> et par application du </w:t>
      </w:r>
      <w:r>
        <w:rPr>
          <w:rFonts w:cs="Times New Roman"/>
          <w:lang w:val="fr-CA"/>
        </w:rPr>
        <w:t>par. </w:t>
      </w:r>
      <w:r w:rsidRPr="009966E9">
        <w:rPr>
          <w:rFonts w:cs="Times New Roman"/>
          <w:lang w:val="fr-CA"/>
        </w:rPr>
        <w:t xml:space="preserve">4(3) du </w:t>
      </w:r>
      <w:r w:rsidRPr="009966E9">
        <w:rPr>
          <w:rFonts w:cs="Times New Roman"/>
          <w:i/>
          <w:lang w:val="fr-CA"/>
        </w:rPr>
        <w:t>Règlement sur la substitution simultanée</w:t>
      </w:r>
      <w:r w:rsidRPr="009966E9">
        <w:rPr>
          <w:rFonts w:cs="Times New Roman"/>
          <w:lang w:val="fr-CA"/>
        </w:rPr>
        <w:t>. Enfin, nous ne relevons aucune erreur dans la conclusion du CRTC selon laquelle les traités internationaux invoqués par les parties ont un caractère permissif et n</w:t>
      </w:r>
      <w:r>
        <w:rPr>
          <w:rFonts w:cs="Times New Roman"/>
          <w:lang w:val="fr-CA"/>
        </w:rPr>
        <w:t>’</w:t>
      </w:r>
      <w:r w:rsidRPr="009966E9">
        <w:rPr>
          <w:rFonts w:cs="Times New Roman"/>
          <w:lang w:val="fr-CA"/>
        </w:rPr>
        <w:t>ont pas pour effet d</w:t>
      </w:r>
      <w:r>
        <w:rPr>
          <w:rFonts w:cs="Times New Roman"/>
          <w:lang w:val="fr-CA"/>
        </w:rPr>
        <w:t>’</w:t>
      </w:r>
      <w:r w:rsidRPr="009966E9">
        <w:rPr>
          <w:rFonts w:cs="Times New Roman"/>
          <w:i/>
          <w:lang w:val="fr-CA"/>
        </w:rPr>
        <w:t>exiger</w:t>
      </w:r>
      <w:r w:rsidRPr="009966E9">
        <w:rPr>
          <w:rFonts w:cs="Times New Roman"/>
          <w:lang w:val="fr-CA"/>
        </w:rPr>
        <w:t xml:space="preserve"> la substitution simultanée.</w:t>
      </w:r>
      <w:bookmarkEnd w:id="1"/>
      <w:r w:rsidRPr="009966E9">
        <w:rPr>
          <w:rFonts w:cs="Times New Roman"/>
          <w:lang w:val="fr-CA"/>
        </w:rPr>
        <w:t xml:space="preserve"> Il n</w:t>
      </w:r>
      <w:r>
        <w:rPr>
          <w:rFonts w:cs="Times New Roman"/>
          <w:lang w:val="fr-CA"/>
        </w:rPr>
        <w:t>’</w:t>
      </w:r>
      <w:r w:rsidRPr="009966E9">
        <w:rPr>
          <w:rFonts w:cs="Times New Roman"/>
          <w:lang w:val="fr-CA"/>
        </w:rPr>
        <w:t>y a par conséquent pas de conflit d</w:t>
      </w:r>
      <w:r>
        <w:rPr>
          <w:rFonts w:cs="Times New Roman"/>
          <w:lang w:val="fr-CA"/>
        </w:rPr>
        <w:t>’</w:t>
      </w:r>
      <w:r w:rsidRPr="009966E9">
        <w:rPr>
          <w:rFonts w:cs="Times New Roman"/>
          <w:lang w:val="fr-CA"/>
        </w:rPr>
        <w:t>objets.</w:t>
      </w:r>
    </w:p>
    <w:p w:rsidR="005F030A" w:rsidRPr="009966E9" w:rsidRDefault="005F030A" w:rsidP="005F030A">
      <w:pPr>
        <w:pStyle w:val="ParaNoNdepar-AltN"/>
        <w:spacing w:before="0"/>
        <w:rPr>
          <w:rFonts w:cs="Times New Roman"/>
          <w:lang w:val="fr-CA"/>
        </w:rPr>
      </w:pPr>
      <w:r w:rsidRPr="009966E9">
        <w:rPr>
          <w:rFonts w:cs="Times New Roman"/>
          <w:lang w:val="fr-CA"/>
        </w:rPr>
        <w:lastRenderedPageBreak/>
        <w:t>Il incombait à Bell et à la NFL de prouver non seulement que l</w:t>
      </w:r>
      <w:r>
        <w:rPr>
          <w:rFonts w:cs="Times New Roman"/>
          <w:lang w:val="fr-CA"/>
        </w:rPr>
        <w:t>’</w:t>
      </w:r>
      <w:r w:rsidRPr="009966E9">
        <w:rPr>
          <w:rFonts w:cs="Times New Roman"/>
          <w:lang w:val="fr-CA"/>
        </w:rPr>
        <w:t xml:space="preserve">interprétation opposée </w:t>
      </w:r>
      <w:r>
        <w:rPr>
          <w:rFonts w:cs="Times New Roman"/>
          <w:lang w:val="fr-CA"/>
        </w:rPr>
        <w:t xml:space="preserve">de l’al. 9(1)h) </w:t>
      </w:r>
      <w:r w:rsidRPr="009966E9">
        <w:rPr>
          <w:rFonts w:cs="Times New Roman"/>
          <w:lang w:val="fr-CA"/>
        </w:rPr>
        <w:t>qu</w:t>
      </w:r>
      <w:r>
        <w:rPr>
          <w:rFonts w:cs="Times New Roman"/>
          <w:lang w:val="fr-CA"/>
        </w:rPr>
        <w:t>’</w:t>
      </w:r>
      <w:r w:rsidRPr="009966E9">
        <w:rPr>
          <w:rFonts w:cs="Times New Roman"/>
          <w:lang w:val="fr-CA"/>
        </w:rPr>
        <w:t xml:space="preserve">elles préconisent était raisonnable, mais également que celle proposée par le CRTC était </w:t>
      </w:r>
      <w:r w:rsidRPr="009966E9">
        <w:rPr>
          <w:rFonts w:cs="Times New Roman"/>
          <w:iCs/>
          <w:lang w:val="fr-CA"/>
        </w:rPr>
        <w:t>déraisonnable</w:t>
      </w:r>
      <w:r w:rsidRPr="009966E9">
        <w:rPr>
          <w:rFonts w:cs="Times New Roman"/>
          <w:lang w:val="fr-CA"/>
        </w:rPr>
        <w:t xml:space="preserve"> (</w:t>
      </w:r>
      <w:proofErr w:type="spellStart"/>
      <w:r w:rsidRPr="009966E9">
        <w:rPr>
          <w:rFonts w:cs="Times New Roman"/>
          <w:i/>
          <w:lang w:val="fr-CA"/>
        </w:rPr>
        <w:t>McLean</w:t>
      </w:r>
      <w:proofErr w:type="spellEnd"/>
      <w:r w:rsidRPr="009966E9">
        <w:rPr>
          <w:rFonts w:cs="Times New Roman"/>
          <w:lang w:val="fr-CA"/>
        </w:rPr>
        <w:t xml:space="preserve">, </w:t>
      </w:r>
      <w:r>
        <w:rPr>
          <w:rFonts w:cs="Times New Roman"/>
          <w:lang w:val="fr-CA"/>
        </w:rPr>
        <w:t>par. </w:t>
      </w:r>
      <w:r w:rsidRPr="009966E9">
        <w:rPr>
          <w:rFonts w:cs="Times New Roman"/>
          <w:lang w:val="fr-CA"/>
        </w:rPr>
        <w:t>41). Elles ne se sont pas acquittées de ce fardeau. Un examen empreint de déférence de la décision et du contexte administratif dans lequel elle a été prise nous convainquent que le CRTC a raisonnablement interprété l</w:t>
      </w:r>
      <w:r>
        <w:rPr>
          <w:rFonts w:cs="Times New Roman"/>
          <w:lang w:val="fr-CA"/>
        </w:rPr>
        <w:t>’al. </w:t>
      </w:r>
      <w:r w:rsidRPr="009966E9">
        <w:rPr>
          <w:rFonts w:cs="Times New Roman"/>
          <w:lang w:val="fr-CA"/>
        </w:rPr>
        <w:t xml:space="preserve">9(1)h) de la </w:t>
      </w:r>
      <w:r w:rsidRPr="009966E9">
        <w:rPr>
          <w:rFonts w:cs="Times New Roman"/>
          <w:i/>
          <w:lang w:val="fr-CA"/>
        </w:rPr>
        <w:t>Loi sur la radiodiffusion</w:t>
      </w:r>
      <w:r w:rsidRPr="009966E9">
        <w:rPr>
          <w:rFonts w:cs="Times New Roman"/>
          <w:lang w:val="fr-CA"/>
        </w:rPr>
        <w:t xml:space="preserve">, et que son Ordonnance relative au Super </w:t>
      </w:r>
      <w:proofErr w:type="spellStart"/>
      <w:r w:rsidRPr="009966E9">
        <w:rPr>
          <w:rFonts w:cs="Times New Roman"/>
          <w:lang w:val="fr-CA"/>
        </w:rPr>
        <w:t>Bowl</w:t>
      </w:r>
      <w:proofErr w:type="spellEnd"/>
      <w:r w:rsidRPr="009966E9">
        <w:rPr>
          <w:rFonts w:cs="Times New Roman"/>
          <w:lang w:val="fr-CA"/>
        </w:rPr>
        <w:t xml:space="preserve"> était raisonnable et défendable au regard des faits et du droit. Nous rejetterions les pourvois.</w:t>
      </w:r>
    </w:p>
    <w:p w:rsidR="005F030A" w:rsidRPr="00081F37" w:rsidRDefault="005F030A" w:rsidP="005F030A">
      <w:pPr>
        <w:pStyle w:val="ParaNoNdepar-AltN"/>
        <w:numPr>
          <w:ilvl w:val="0"/>
          <w:numId w:val="0"/>
        </w:numPr>
        <w:jc w:val="center"/>
        <w:rPr>
          <w:b/>
        </w:rPr>
      </w:pPr>
      <w:r w:rsidRPr="00081F37">
        <w:rPr>
          <w:b/>
        </w:rPr>
        <w:t>ANNEXE A</w:t>
      </w:r>
    </w:p>
    <w:tbl>
      <w:tblPr>
        <w:tblStyle w:val="TableGrid"/>
        <w:tblW w:w="800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081F37" w:rsidRPr="005F3232" w:rsidTr="001C5D01">
        <w:tc>
          <w:tcPr>
            <w:tcW w:w="8005" w:type="dxa"/>
          </w:tcPr>
          <w:p w:rsidR="00081F37" w:rsidRPr="00964F39" w:rsidRDefault="00081F37" w:rsidP="000C1EB9">
            <w:pPr>
              <w:pStyle w:val="ParaNoNdepar-AltN"/>
              <w:numPr>
                <w:ilvl w:val="0"/>
                <w:numId w:val="0"/>
              </w:numPr>
              <w:spacing w:before="0" w:after="240" w:line="240" w:lineRule="auto"/>
              <w:rPr>
                <w:b/>
                <w:lang w:val="fr-CA"/>
              </w:rPr>
            </w:pPr>
            <w:r w:rsidRPr="00964F39">
              <w:rPr>
                <w:b/>
                <w:i/>
                <w:lang w:val="fr-CA"/>
              </w:rPr>
              <w:t>Loi sur la radiodiffusion</w:t>
            </w:r>
            <w:r w:rsidRPr="00964F39">
              <w:rPr>
                <w:b/>
                <w:lang w:val="fr-CA"/>
              </w:rPr>
              <w:t>, L.C. 1991, c. 11</w:t>
            </w:r>
          </w:p>
          <w:p w:rsidR="00081F37" w:rsidRPr="00964F39" w:rsidRDefault="00081F37" w:rsidP="0011734B">
            <w:pPr>
              <w:pStyle w:val="ParaNoNdepar-AltN"/>
              <w:numPr>
                <w:ilvl w:val="0"/>
                <w:numId w:val="0"/>
              </w:numPr>
              <w:spacing w:before="0" w:after="0" w:line="240" w:lineRule="auto"/>
              <w:rPr>
                <w:lang w:val="fr-CA"/>
              </w:rPr>
            </w:pPr>
          </w:p>
        </w:tc>
      </w:tr>
      <w:tr w:rsidR="00081F37" w:rsidRPr="005F3232" w:rsidTr="001C5D01">
        <w:tc>
          <w:tcPr>
            <w:tcW w:w="8005" w:type="dxa"/>
          </w:tcPr>
          <w:p w:rsidR="00081F37" w:rsidRPr="00964F39" w:rsidRDefault="00081F37" w:rsidP="0011734B">
            <w:pPr>
              <w:pStyle w:val="ParaNoNdepar-AltN"/>
              <w:numPr>
                <w:ilvl w:val="0"/>
                <w:numId w:val="0"/>
              </w:numPr>
              <w:spacing w:before="0" w:after="0" w:line="240" w:lineRule="auto"/>
              <w:rPr>
                <w:lang w:val="fr-FR"/>
              </w:rPr>
            </w:pPr>
            <w:r w:rsidRPr="00964F39">
              <w:rPr>
                <w:b/>
                <w:lang w:val="fr-CA"/>
              </w:rPr>
              <w:t xml:space="preserve">2 (1) </w:t>
            </w:r>
            <w:r w:rsidRPr="00964F39">
              <w:rPr>
                <w:lang w:val="fr-FR"/>
              </w:rPr>
              <w:t>Les définitions qui suivent s’appliquent à la présente loi.</w:t>
            </w:r>
          </w:p>
          <w:p w:rsidR="00081F37" w:rsidRPr="00964F39" w:rsidRDefault="00081F37" w:rsidP="0011734B">
            <w:pPr>
              <w:pStyle w:val="ParaNoNdepar-AltN"/>
              <w:numPr>
                <w:ilvl w:val="0"/>
                <w:numId w:val="0"/>
              </w:numPr>
              <w:spacing w:before="0" w:after="0" w:line="240" w:lineRule="auto"/>
              <w:rPr>
                <w:lang w:val="fr-CA"/>
              </w:rPr>
            </w:pPr>
          </w:p>
        </w:tc>
      </w:tr>
      <w:tr w:rsidR="00081F37" w:rsidRPr="00964F39" w:rsidTr="001C5D01">
        <w:tc>
          <w:tcPr>
            <w:tcW w:w="8005" w:type="dxa"/>
          </w:tcPr>
          <w:p w:rsidR="00081F37" w:rsidRPr="00964F39" w:rsidRDefault="00081F37" w:rsidP="0011734B">
            <w:pPr>
              <w:keepNext/>
              <w:keepLines/>
              <w:jc w:val="center"/>
              <w:rPr>
                <w:lang w:val="fr-CA"/>
              </w:rPr>
            </w:pPr>
            <w:r w:rsidRPr="00964F39">
              <w:rPr>
                <w:lang w:val="fr-CA"/>
              </w:rPr>
              <w:t>. . .</w:t>
            </w:r>
          </w:p>
        </w:tc>
      </w:tr>
      <w:tr w:rsidR="00081F37" w:rsidRPr="00081F37" w:rsidTr="001C5D01">
        <w:tc>
          <w:tcPr>
            <w:tcW w:w="8005" w:type="dxa"/>
          </w:tcPr>
          <w:p w:rsidR="00081F37" w:rsidRDefault="00081F37" w:rsidP="0011734B">
            <w:pPr>
              <w:pStyle w:val="ParaNoNdepar-AltN"/>
              <w:numPr>
                <w:ilvl w:val="0"/>
                <w:numId w:val="0"/>
              </w:numPr>
              <w:spacing w:before="0" w:after="0" w:line="240" w:lineRule="auto"/>
              <w:rPr>
                <w:lang w:val="fr-FR"/>
              </w:rPr>
            </w:pPr>
            <w:r w:rsidRPr="00964F39">
              <w:rPr>
                <w:b/>
                <w:bCs/>
                <w:i/>
                <w:iCs/>
                <w:lang w:val="fr-FR"/>
              </w:rPr>
              <w:t>émission</w:t>
            </w:r>
            <w:r w:rsidRPr="00964F39">
              <w:rPr>
                <w:lang w:val="fr-FR"/>
              </w:rPr>
              <w:t xml:space="preserve"> Les sons ou les images — ou leur combinaison — destinés à informer ou divertir, à l’exception des images, muettes ou non, consistant essentiellement en des lettres ou des chiffres. (</w:t>
            </w:r>
            <w:r w:rsidRPr="00964F39">
              <w:rPr>
                <w:i/>
                <w:iCs/>
                <w:lang w:val="fr-CA"/>
              </w:rPr>
              <w:t>program</w:t>
            </w:r>
            <w:r w:rsidRPr="00964F39">
              <w:rPr>
                <w:lang w:val="fr-FR"/>
              </w:rPr>
              <w:t>)</w:t>
            </w:r>
          </w:p>
          <w:p w:rsidR="001C5D01" w:rsidRPr="00081F37" w:rsidRDefault="001C5D01" w:rsidP="0011734B">
            <w:pPr>
              <w:pStyle w:val="ParaNoNdepar-AltN"/>
              <w:numPr>
                <w:ilvl w:val="0"/>
                <w:numId w:val="0"/>
              </w:numPr>
              <w:spacing w:before="0" w:after="0" w:line="240" w:lineRule="auto"/>
              <w:rPr>
                <w:lang w:val="fr-CA"/>
              </w:rPr>
            </w:pPr>
          </w:p>
        </w:tc>
      </w:tr>
      <w:tr w:rsidR="00081F37" w:rsidRPr="00964F39" w:rsidTr="001C5D01">
        <w:tc>
          <w:tcPr>
            <w:tcW w:w="8005" w:type="dxa"/>
          </w:tcPr>
          <w:p w:rsidR="00081F37" w:rsidRDefault="00081F37" w:rsidP="001C5D01">
            <w:pPr>
              <w:keepNext/>
              <w:keepLines/>
              <w:spacing w:after="240"/>
              <w:jc w:val="center"/>
            </w:pPr>
            <w:r w:rsidRPr="00964F39">
              <w:t>. . .</w:t>
            </w:r>
          </w:p>
          <w:p w:rsidR="001C5D01" w:rsidRPr="00964F39" w:rsidRDefault="001C5D01" w:rsidP="000C1EB9">
            <w:pPr>
              <w:keepNext/>
              <w:keepLines/>
              <w:spacing w:after="240"/>
              <w:jc w:val="center"/>
            </w:pPr>
          </w:p>
        </w:tc>
      </w:tr>
      <w:tr w:rsidR="00081F37" w:rsidRPr="005F3232" w:rsidTr="001C5D01">
        <w:tc>
          <w:tcPr>
            <w:tcW w:w="8005" w:type="dxa"/>
          </w:tcPr>
          <w:p w:rsidR="00081F37" w:rsidRPr="00964F39" w:rsidRDefault="00081F37" w:rsidP="0011734B">
            <w:pPr>
              <w:keepNext/>
              <w:keepLines/>
              <w:jc w:val="both"/>
              <w:rPr>
                <w:lang w:val="fr-FR"/>
              </w:rPr>
            </w:pPr>
            <w:r w:rsidRPr="00964F39">
              <w:rPr>
                <w:b/>
                <w:lang w:val="fr-CA"/>
              </w:rPr>
              <w:t>9 (1)</w:t>
            </w:r>
            <w:r w:rsidRPr="00964F39">
              <w:rPr>
                <w:lang w:val="fr-CA"/>
              </w:rPr>
              <w:t xml:space="preserve"> Sous réserve des autres dispositions de </w:t>
            </w:r>
            <w:r w:rsidRPr="00964F39">
              <w:rPr>
                <w:lang w:val="fr-FR"/>
              </w:rPr>
              <w:t>la présente partie, le Conseil peut, dans l’exécution de sa mission :</w:t>
            </w:r>
          </w:p>
          <w:p w:rsidR="00081F37" w:rsidRPr="00964F39" w:rsidRDefault="00081F37" w:rsidP="0011734B">
            <w:pPr>
              <w:pStyle w:val="ParaNoNdepar-AltN"/>
              <w:numPr>
                <w:ilvl w:val="0"/>
                <w:numId w:val="0"/>
              </w:numPr>
              <w:spacing w:before="0" w:after="0" w:line="240" w:lineRule="auto"/>
              <w:rPr>
                <w:lang w:val="fr-FR"/>
              </w:rPr>
            </w:pPr>
          </w:p>
        </w:tc>
      </w:tr>
      <w:tr w:rsidR="00081F37" w:rsidRPr="00964F39" w:rsidTr="001C5D01">
        <w:tc>
          <w:tcPr>
            <w:tcW w:w="8005" w:type="dxa"/>
          </w:tcPr>
          <w:p w:rsidR="00081F37" w:rsidRDefault="00081F37" w:rsidP="0011734B">
            <w:pPr>
              <w:pStyle w:val="ParaNoNdepar-AltN"/>
              <w:numPr>
                <w:ilvl w:val="0"/>
                <w:numId w:val="0"/>
              </w:numPr>
              <w:spacing w:before="0" w:after="0" w:line="240" w:lineRule="auto"/>
              <w:jc w:val="center"/>
            </w:pPr>
            <w:r w:rsidRPr="00964F39">
              <w:t>. . .</w:t>
            </w:r>
          </w:p>
          <w:p w:rsidR="001C5D01" w:rsidRPr="00964F39" w:rsidRDefault="001C5D01" w:rsidP="0011734B">
            <w:pPr>
              <w:pStyle w:val="ParaNoNdepar-AltN"/>
              <w:numPr>
                <w:ilvl w:val="0"/>
                <w:numId w:val="0"/>
              </w:numPr>
              <w:spacing w:before="0" w:after="0" w:line="240" w:lineRule="auto"/>
              <w:jc w:val="center"/>
            </w:pPr>
          </w:p>
        </w:tc>
      </w:tr>
      <w:tr w:rsidR="00081F37" w:rsidRPr="005F3232" w:rsidTr="001C5D01">
        <w:tc>
          <w:tcPr>
            <w:tcW w:w="8005" w:type="dxa"/>
          </w:tcPr>
          <w:p w:rsidR="00081F37" w:rsidRPr="00964F39" w:rsidRDefault="00081F37" w:rsidP="00081F37">
            <w:pPr>
              <w:keepNext/>
              <w:keepLines/>
              <w:ind w:left="257"/>
              <w:jc w:val="both"/>
              <w:rPr>
                <w:lang w:val="fr-FR"/>
              </w:rPr>
            </w:pPr>
            <w:r w:rsidRPr="00964F39">
              <w:rPr>
                <w:b/>
                <w:lang w:val="fr-FR"/>
              </w:rPr>
              <w:t>h)</w:t>
            </w:r>
            <w:r w:rsidRPr="00964F39">
              <w:rPr>
                <w:lang w:val="fr-FR"/>
              </w:rPr>
              <w:t xml:space="preserve"> obliger ces titulaires à offrir certains services de programmation selon les modalités qu’il précise.</w:t>
            </w:r>
          </w:p>
          <w:p w:rsidR="00081F37" w:rsidRPr="00964F39" w:rsidRDefault="00081F37" w:rsidP="0011734B">
            <w:pPr>
              <w:pStyle w:val="ParaNoNdepar-AltN"/>
              <w:numPr>
                <w:ilvl w:val="0"/>
                <w:numId w:val="0"/>
              </w:numPr>
              <w:spacing w:before="0" w:after="0" w:line="240" w:lineRule="auto"/>
              <w:rPr>
                <w:lang w:val="fr-FR"/>
              </w:rPr>
            </w:pPr>
          </w:p>
        </w:tc>
      </w:tr>
      <w:tr w:rsidR="00081F37" w:rsidRPr="00964F39" w:rsidTr="001C5D01">
        <w:tc>
          <w:tcPr>
            <w:tcW w:w="8005" w:type="dxa"/>
          </w:tcPr>
          <w:p w:rsidR="00081F37" w:rsidRPr="00964F39" w:rsidRDefault="00081F37" w:rsidP="0011734B">
            <w:pPr>
              <w:keepNext/>
              <w:keepLines/>
              <w:jc w:val="center"/>
            </w:pPr>
            <w:r w:rsidRPr="00964F39">
              <w:t>. . .</w:t>
            </w:r>
          </w:p>
          <w:p w:rsidR="00081F37" w:rsidRPr="00964F39" w:rsidRDefault="00081F37" w:rsidP="0011734B">
            <w:pPr>
              <w:pStyle w:val="ParaNoNdepar-AltN"/>
              <w:numPr>
                <w:ilvl w:val="0"/>
                <w:numId w:val="0"/>
              </w:numPr>
              <w:spacing w:before="0" w:after="0" w:line="240" w:lineRule="auto"/>
            </w:pPr>
          </w:p>
        </w:tc>
      </w:tr>
      <w:tr w:rsidR="00081F37" w:rsidRPr="005F3232" w:rsidTr="001C5D01">
        <w:tc>
          <w:tcPr>
            <w:tcW w:w="8005" w:type="dxa"/>
          </w:tcPr>
          <w:p w:rsidR="00081F37" w:rsidRPr="00964F39" w:rsidRDefault="00081F37" w:rsidP="000C1EB9">
            <w:pPr>
              <w:pStyle w:val="ParaNoNdepar-AltN"/>
              <w:numPr>
                <w:ilvl w:val="0"/>
                <w:numId w:val="0"/>
              </w:numPr>
              <w:spacing w:before="0" w:after="240" w:line="240" w:lineRule="auto"/>
              <w:rPr>
                <w:b/>
                <w:lang w:val="fr-CA"/>
              </w:rPr>
            </w:pPr>
            <w:proofErr w:type="gramStart"/>
            <w:r w:rsidRPr="00964F39">
              <w:rPr>
                <w:b/>
                <w:lang w:val="fr-CA"/>
              </w:rPr>
              <w:t>18 </w:t>
            </w:r>
            <w:r w:rsidRPr="00964F39">
              <w:rPr>
                <w:lang w:val="fr-CA"/>
              </w:rPr>
              <w:t>.</w:t>
            </w:r>
            <w:proofErr w:type="gramEnd"/>
            <w:r w:rsidRPr="00964F39">
              <w:rPr>
                <w:lang w:val="fr-CA"/>
              </w:rPr>
              <w:t> . .</w:t>
            </w:r>
          </w:p>
          <w:p w:rsidR="00081F37" w:rsidRDefault="00081F37" w:rsidP="000C1EB9">
            <w:pPr>
              <w:pStyle w:val="ParaNoNdepar-AltN"/>
              <w:numPr>
                <w:ilvl w:val="0"/>
                <w:numId w:val="0"/>
              </w:numPr>
              <w:spacing w:before="0" w:after="240" w:line="240" w:lineRule="auto"/>
              <w:rPr>
                <w:lang w:val="fr-CA"/>
              </w:rPr>
            </w:pPr>
            <w:r w:rsidRPr="00964F39">
              <w:rPr>
                <w:b/>
                <w:lang w:val="fr-CA"/>
              </w:rPr>
              <w:t>(3)</w:t>
            </w:r>
            <w:r w:rsidRPr="00964F39">
              <w:rPr>
                <w:lang w:val="fr-CA"/>
              </w:rPr>
              <w:t xml:space="preserve"> Les plaintes et les observations présentées au Conseil, de même que toute autre question relevant de sa compétence au titre de la présente loi, font l’objet de telles </w:t>
            </w:r>
            <w:r w:rsidRPr="00964F39">
              <w:rPr>
                <w:lang w:val="fr-CA"/>
              </w:rPr>
              <w:lastRenderedPageBreak/>
              <w:t>audiences, d’un rapport et d’une décision — notamment une approbation — si le Conseil l’estime dans l’intérêt public.</w:t>
            </w:r>
          </w:p>
          <w:p w:rsidR="001C5D01" w:rsidRPr="00964F39" w:rsidRDefault="001C5D01" w:rsidP="000C1EB9">
            <w:pPr>
              <w:pStyle w:val="ParaNoNdepar-AltN"/>
              <w:numPr>
                <w:ilvl w:val="0"/>
                <w:numId w:val="0"/>
              </w:numPr>
              <w:spacing w:before="0" w:after="240" w:line="240" w:lineRule="auto"/>
              <w:rPr>
                <w:lang w:val="fr-CA"/>
              </w:rPr>
            </w:pPr>
          </w:p>
        </w:tc>
      </w:tr>
      <w:tr w:rsidR="00081F37" w:rsidRPr="00964F39" w:rsidTr="001C5D01">
        <w:tc>
          <w:tcPr>
            <w:tcW w:w="8005" w:type="dxa"/>
          </w:tcPr>
          <w:p w:rsidR="00081F37" w:rsidRDefault="00081F37" w:rsidP="000C1EB9">
            <w:pPr>
              <w:pStyle w:val="ParaNoNdepar-AltN"/>
              <w:numPr>
                <w:ilvl w:val="0"/>
                <w:numId w:val="0"/>
              </w:numPr>
              <w:spacing w:before="0" w:after="240" w:line="240" w:lineRule="auto"/>
              <w:jc w:val="center"/>
            </w:pPr>
            <w:r w:rsidRPr="00964F39">
              <w:lastRenderedPageBreak/>
              <w:t>. . .</w:t>
            </w:r>
          </w:p>
          <w:p w:rsidR="001C5D01" w:rsidRPr="00964F39" w:rsidRDefault="001C5D01" w:rsidP="000C1EB9">
            <w:pPr>
              <w:pStyle w:val="ParaNoNdepar-AltN"/>
              <w:numPr>
                <w:ilvl w:val="0"/>
                <w:numId w:val="0"/>
              </w:numPr>
              <w:spacing w:before="0" w:after="240" w:line="240" w:lineRule="auto"/>
              <w:jc w:val="center"/>
            </w:pPr>
          </w:p>
        </w:tc>
      </w:tr>
      <w:tr w:rsidR="00081F37" w:rsidRPr="005F3232" w:rsidTr="001C5D01">
        <w:tc>
          <w:tcPr>
            <w:tcW w:w="8005" w:type="dxa"/>
          </w:tcPr>
          <w:p w:rsidR="00081F37" w:rsidRPr="00964F39" w:rsidRDefault="00081F37" w:rsidP="000C1EB9">
            <w:pPr>
              <w:pStyle w:val="ParaNoNdepar-AltN"/>
              <w:numPr>
                <w:ilvl w:val="0"/>
                <w:numId w:val="0"/>
              </w:numPr>
              <w:spacing w:before="0" w:after="240" w:line="240" w:lineRule="auto"/>
              <w:rPr>
                <w:lang w:val="fr-FR"/>
              </w:rPr>
            </w:pPr>
            <w:r w:rsidRPr="00964F39">
              <w:rPr>
                <w:b/>
                <w:lang w:val="fr-CA"/>
              </w:rPr>
              <w:t>31</w:t>
            </w:r>
            <w:r w:rsidRPr="00964F39">
              <w:rPr>
                <w:lang w:val="fr-CA"/>
              </w:rPr>
              <w:t> </w:t>
            </w:r>
            <w:r w:rsidRPr="00964F39">
              <w:rPr>
                <w:b/>
                <w:lang w:val="fr-CA"/>
              </w:rPr>
              <w:t>(1)</w:t>
            </w:r>
            <w:r w:rsidRPr="00964F39">
              <w:rPr>
                <w:lang w:val="fr-CA"/>
              </w:rPr>
              <w:t xml:space="preserve"> Sauf </w:t>
            </w:r>
            <w:proofErr w:type="spellStart"/>
            <w:r w:rsidRPr="00964F39">
              <w:rPr>
                <w:lang w:val="fr-CA"/>
              </w:rPr>
              <w:t>exce</w:t>
            </w:r>
            <w:r w:rsidRPr="00964F39">
              <w:rPr>
                <w:lang w:val="fr-FR"/>
              </w:rPr>
              <w:t>ptions</w:t>
            </w:r>
            <w:proofErr w:type="spellEnd"/>
            <w:r w:rsidRPr="00964F39">
              <w:rPr>
                <w:lang w:val="fr-FR"/>
              </w:rPr>
              <w:t xml:space="preserve"> prévues par la présente partie, les décisions et ordonnances du Conseil sont définitives et sans appel.</w:t>
            </w:r>
          </w:p>
          <w:p w:rsidR="00081F37" w:rsidRPr="00964F39" w:rsidRDefault="00081F37" w:rsidP="000C1EB9">
            <w:pPr>
              <w:pStyle w:val="ParaNoNdepar-AltN"/>
              <w:numPr>
                <w:ilvl w:val="0"/>
                <w:numId w:val="0"/>
              </w:numPr>
              <w:spacing w:before="0" w:after="240" w:line="240" w:lineRule="auto"/>
              <w:rPr>
                <w:lang w:val="fr-CA"/>
              </w:rPr>
            </w:pPr>
          </w:p>
        </w:tc>
      </w:tr>
      <w:tr w:rsidR="00081F37" w:rsidRPr="005F3232" w:rsidTr="001C5D01">
        <w:tc>
          <w:tcPr>
            <w:tcW w:w="8005" w:type="dxa"/>
          </w:tcPr>
          <w:p w:rsidR="00081F37" w:rsidRPr="00964F39" w:rsidRDefault="00081F37" w:rsidP="000C1EB9">
            <w:pPr>
              <w:keepNext/>
              <w:keepLines/>
              <w:spacing w:after="240"/>
              <w:ind w:left="347"/>
              <w:jc w:val="both"/>
              <w:rPr>
                <w:lang w:val="fr-FR"/>
              </w:rPr>
            </w:pPr>
            <w:r w:rsidRPr="00964F39">
              <w:rPr>
                <w:b/>
                <w:lang w:val="fr-FR"/>
              </w:rPr>
              <w:t>(2)</w:t>
            </w:r>
            <w:r w:rsidRPr="00964F39">
              <w:rPr>
                <w:lang w:val="fr-FR"/>
              </w:rPr>
              <w:t xml:space="preserve"> Les décisions et ordonnances du Conseil sont susceptibles d’appel, sur une question de droit ou de compétence, devant la Cour d’appel fédérale. L’exercice de cet appel est toutefois subordonné à l’autorisation de la cour, la demande en ce sens devant être présentée dans le mois qui suit la prise de la décision ou ordonnance attaquée ou dans le délai supplémentaire accordé par la cour dans des circonstances particulières.</w:t>
            </w:r>
          </w:p>
        </w:tc>
      </w:tr>
    </w:tbl>
    <w:p w:rsidR="005F030A" w:rsidRPr="00964F39" w:rsidRDefault="005F030A" w:rsidP="001C5D01">
      <w:pPr>
        <w:pStyle w:val="ParaNoNdepar-AltN"/>
        <w:numPr>
          <w:ilvl w:val="0"/>
          <w:numId w:val="0"/>
        </w:numPr>
        <w:spacing w:after="0" w:line="240" w:lineRule="auto"/>
        <w:rPr>
          <w:lang w:val="fr-CA"/>
        </w:rPr>
      </w:pPr>
    </w:p>
    <w:tbl>
      <w:tblPr>
        <w:tblStyle w:val="TableGrid"/>
        <w:tblW w:w="783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B8777F" w:rsidRPr="005F3232" w:rsidTr="00B8777F">
        <w:tc>
          <w:tcPr>
            <w:tcW w:w="7830" w:type="dxa"/>
          </w:tcPr>
          <w:p w:rsidR="00B8777F" w:rsidRDefault="00B8777F" w:rsidP="000C1EB9">
            <w:pPr>
              <w:keepNext/>
              <w:keepLines/>
              <w:ind w:left="-13" w:firstLine="13"/>
              <w:jc w:val="both"/>
              <w:rPr>
                <w:b/>
                <w:lang w:val="fr-CA"/>
              </w:rPr>
            </w:pPr>
            <w:r w:rsidRPr="00964F39">
              <w:rPr>
                <w:b/>
                <w:i/>
                <w:lang w:val="fr-CA"/>
              </w:rPr>
              <w:t xml:space="preserve">Règlement sur le retrait et la substitution simultanée de services de </w:t>
            </w:r>
            <w:r>
              <w:rPr>
                <w:b/>
                <w:i/>
                <w:lang w:val="fr-CA"/>
              </w:rPr>
              <w:t xml:space="preserve">  </w:t>
            </w:r>
            <w:r w:rsidRPr="00964F39">
              <w:rPr>
                <w:b/>
                <w:i/>
                <w:lang w:val="fr-CA"/>
              </w:rPr>
              <w:t>programmation</w:t>
            </w:r>
            <w:r w:rsidRPr="00964F39">
              <w:rPr>
                <w:b/>
                <w:lang w:val="fr-CA"/>
              </w:rPr>
              <w:t>, DORS/2015-240</w:t>
            </w:r>
          </w:p>
          <w:p w:rsidR="00B8777F" w:rsidRPr="00964F39" w:rsidRDefault="00B8777F" w:rsidP="00B8777F">
            <w:pPr>
              <w:keepNext/>
              <w:keepLines/>
              <w:ind w:left="-113" w:firstLine="113"/>
              <w:jc w:val="both"/>
              <w:rPr>
                <w:lang w:val="fr-CA"/>
              </w:rPr>
            </w:pPr>
          </w:p>
        </w:tc>
      </w:tr>
      <w:tr w:rsidR="00B8777F" w:rsidRPr="00964F39" w:rsidTr="00B8777F">
        <w:tc>
          <w:tcPr>
            <w:tcW w:w="7830" w:type="dxa"/>
          </w:tcPr>
          <w:p w:rsidR="00B8777F" w:rsidRPr="00964F39" w:rsidRDefault="00B8777F" w:rsidP="0011734B">
            <w:pPr>
              <w:keepNext/>
              <w:keepLines/>
              <w:jc w:val="both"/>
              <w:rPr>
                <w:rStyle w:val="lawlabel"/>
                <w:lang w:val="fr-CA"/>
              </w:rPr>
            </w:pPr>
            <w:proofErr w:type="gramStart"/>
            <w:r w:rsidRPr="00964F39">
              <w:rPr>
                <w:rStyle w:val="lawlabel"/>
                <w:b/>
                <w:lang w:val="fr-CA"/>
              </w:rPr>
              <w:t>1</w:t>
            </w:r>
            <w:r w:rsidRPr="00964F39">
              <w:rPr>
                <w:rStyle w:val="lawlabel"/>
                <w:lang w:val="fr-CA"/>
              </w:rPr>
              <w:t> .</w:t>
            </w:r>
            <w:proofErr w:type="gramEnd"/>
            <w:r w:rsidRPr="00964F39">
              <w:rPr>
                <w:rStyle w:val="lawlabel"/>
                <w:lang w:val="fr-CA"/>
              </w:rPr>
              <w:t> . .</w:t>
            </w:r>
          </w:p>
          <w:p w:rsidR="00B8777F" w:rsidRPr="00964F39" w:rsidRDefault="00B8777F" w:rsidP="0011734B">
            <w:pPr>
              <w:keepNext/>
              <w:keepLines/>
              <w:jc w:val="both"/>
              <w:rPr>
                <w:b/>
                <w:i/>
                <w:lang w:val="fr-CA"/>
              </w:rPr>
            </w:pPr>
          </w:p>
        </w:tc>
      </w:tr>
      <w:tr w:rsidR="00B8777F" w:rsidRPr="005F3232" w:rsidTr="00B8777F">
        <w:tc>
          <w:tcPr>
            <w:tcW w:w="7830" w:type="dxa"/>
          </w:tcPr>
          <w:p w:rsidR="00B8777F" w:rsidRPr="00964F39" w:rsidRDefault="00B8777F" w:rsidP="0011734B">
            <w:pPr>
              <w:keepNext/>
              <w:keepLines/>
              <w:jc w:val="both"/>
              <w:rPr>
                <w:lang w:val="fr-CA"/>
              </w:rPr>
            </w:pPr>
            <w:r w:rsidRPr="00964F39">
              <w:rPr>
                <w:rStyle w:val="lawlabel"/>
                <w:b/>
                <w:lang w:val="fr-CA"/>
              </w:rPr>
              <w:t>(2)</w:t>
            </w:r>
            <w:r w:rsidRPr="00964F39">
              <w:rPr>
                <w:lang w:val="fr-CA"/>
              </w:rPr>
              <w:t xml:space="preserve"> Dans le présent règlement, </w:t>
            </w:r>
            <w:r w:rsidRPr="00964F39">
              <w:rPr>
                <w:rStyle w:val="HTMLDefinition"/>
                <w:lang w:val="fr-CA"/>
              </w:rPr>
              <w:t>abonné</w:t>
            </w:r>
            <w:r w:rsidRPr="00964F39">
              <w:rPr>
                <w:lang w:val="fr-CA"/>
              </w:rPr>
              <w:t xml:space="preserve">, </w:t>
            </w:r>
            <w:r w:rsidRPr="00964F39">
              <w:rPr>
                <w:rStyle w:val="HTMLDefinition"/>
                <w:lang w:val="fr-CA"/>
              </w:rPr>
              <w:t>autorisé</w:t>
            </w:r>
            <w:r w:rsidRPr="00964F39">
              <w:rPr>
                <w:lang w:val="fr-CA"/>
              </w:rPr>
              <w:t xml:space="preserve">, </w:t>
            </w:r>
            <w:r w:rsidRPr="00964F39">
              <w:rPr>
                <w:rStyle w:val="HTMLDefinition"/>
                <w:lang w:val="fr-CA"/>
              </w:rPr>
              <w:t>autorité éducative</w:t>
            </w:r>
            <w:r w:rsidRPr="00964F39">
              <w:rPr>
                <w:lang w:val="fr-CA"/>
              </w:rPr>
              <w:t xml:space="preserve">, </w:t>
            </w:r>
            <w:r w:rsidRPr="00964F39">
              <w:rPr>
                <w:rStyle w:val="HTMLDefinition"/>
                <w:lang w:val="fr-CA"/>
              </w:rPr>
              <w:t>client</w:t>
            </w:r>
            <w:r w:rsidRPr="00964F39">
              <w:rPr>
                <w:lang w:val="fr-CA"/>
              </w:rPr>
              <w:t xml:space="preserve">, </w:t>
            </w:r>
            <w:r w:rsidRPr="00964F39">
              <w:rPr>
                <w:rStyle w:val="HTMLDefinition"/>
                <w:lang w:val="fr-CA"/>
              </w:rPr>
              <w:t>comparable</w:t>
            </w:r>
            <w:r w:rsidRPr="00964F39">
              <w:rPr>
                <w:lang w:val="fr-CA"/>
              </w:rPr>
              <w:t xml:space="preserve">, </w:t>
            </w:r>
            <w:r w:rsidRPr="00964F39">
              <w:rPr>
                <w:rStyle w:val="HTMLDefinition"/>
                <w:lang w:val="fr-CA"/>
              </w:rPr>
              <w:t>entreprise de distribution par relais</w:t>
            </w:r>
            <w:r w:rsidRPr="00964F39">
              <w:rPr>
                <w:lang w:val="fr-CA"/>
              </w:rPr>
              <w:t xml:space="preserve">, </w:t>
            </w:r>
            <w:r w:rsidRPr="00964F39">
              <w:rPr>
                <w:rStyle w:val="HTMLDefinition"/>
                <w:lang w:val="fr-CA"/>
              </w:rPr>
              <w:t>entreprise de distribution par SRD</w:t>
            </w:r>
            <w:r w:rsidRPr="00964F39">
              <w:rPr>
                <w:lang w:val="fr-CA"/>
              </w:rPr>
              <w:t xml:space="preserve">, </w:t>
            </w:r>
            <w:r w:rsidRPr="00964F39">
              <w:rPr>
                <w:rStyle w:val="HTMLDefinition"/>
                <w:lang w:val="fr-CA"/>
              </w:rPr>
              <w:t>entreprise de distribution terrestre</w:t>
            </w:r>
            <w:r w:rsidRPr="00964F39">
              <w:rPr>
                <w:lang w:val="fr-CA"/>
              </w:rPr>
              <w:t xml:space="preserve">, </w:t>
            </w:r>
            <w:r w:rsidRPr="00964F39">
              <w:rPr>
                <w:rStyle w:val="HTMLDefinition"/>
                <w:lang w:val="fr-CA"/>
              </w:rPr>
              <w:t>exploitant</w:t>
            </w:r>
            <w:r w:rsidRPr="00964F39">
              <w:rPr>
                <w:lang w:val="fr-CA"/>
              </w:rPr>
              <w:t xml:space="preserve">, </w:t>
            </w:r>
            <w:r w:rsidRPr="00964F39">
              <w:rPr>
                <w:rStyle w:val="HTMLDefinition"/>
                <w:lang w:val="fr-CA"/>
              </w:rPr>
              <w:t>format</w:t>
            </w:r>
            <w:r w:rsidRPr="00964F39">
              <w:rPr>
                <w:lang w:val="fr-CA"/>
              </w:rPr>
              <w:t xml:space="preserve">, </w:t>
            </w:r>
            <w:r w:rsidRPr="00964F39">
              <w:rPr>
                <w:rStyle w:val="HTMLDefinition"/>
                <w:lang w:val="fr-CA"/>
              </w:rPr>
              <w:t>licence</w:t>
            </w:r>
            <w:r w:rsidRPr="00964F39">
              <w:rPr>
                <w:lang w:val="fr-CA"/>
              </w:rPr>
              <w:t xml:space="preserve">, </w:t>
            </w:r>
            <w:r w:rsidRPr="00964F39">
              <w:rPr>
                <w:rStyle w:val="HTMLDefinition"/>
                <w:lang w:val="fr-CA"/>
              </w:rPr>
              <w:t>périmètre de rayonnement officiel</w:t>
            </w:r>
            <w:r w:rsidRPr="00964F39">
              <w:rPr>
                <w:lang w:val="fr-CA"/>
              </w:rPr>
              <w:t xml:space="preserve">, </w:t>
            </w:r>
            <w:r w:rsidRPr="00964F39">
              <w:rPr>
                <w:rStyle w:val="HTMLDefinition"/>
                <w:lang w:val="fr-CA"/>
              </w:rPr>
              <w:t>service de programmation</w:t>
            </w:r>
            <w:r w:rsidRPr="00964F39">
              <w:rPr>
                <w:lang w:val="fr-CA"/>
              </w:rPr>
              <w:t xml:space="preserve">, </w:t>
            </w:r>
            <w:r w:rsidRPr="00964F39">
              <w:rPr>
                <w:rStyle w:val="HTMLDefinition"/>
                <w:lang w:val="fr-CA"/>
              </w:rPr>
              <w:t>service de programmation canadien</w:t>
            </w:r>
            <w:r w:rsidRPr="00964F39">
              <w:rPr>
                <w:lang w:val="fr-CA"/>
              </w:rPr>
              <w:t xml:space="preserve">, </w:t>
            </w:r>
            <w:r w:rsidRPr="00964F39">
              <w:rPr>
                <w:rStyle w:val="HTMLDefinition"/>
                <w:lang w:val="fr-CA"/>
              </w:rPr>
              <w:t>service de programmation de télévision éducative</w:t>
            </w:r>
            <w:r w:rsidRPr="00964F39">
              <w:rPr>
                <w:lang w:val="fr-CA"/>
              </w:rPr>
              <w:t xml:space="preserve">, </w:t>
            </w:r>
            <w:r w:rsidRPr="00964F39">
              <w:rPr>
                <w:rStyle w:val="HTMLDefinition"/>
                <w:lang w:val="fr-CA"/>
              </w:rPr>
              <w:t>station de télévision non canadienne</w:t>
            </w:r>
            <w:r w:rsidRPr="00964F39">
              <w:rPr>
                <w:lang w:val="fr-CA"/>
              </w:rPr>
              <w:t xml:space="preserve">, </w:t>
            </w:r>
            <w:r w:rsidRPr="00964F39">
              <w:rPr>
                <w:rStyle w:val="HTMLDefinition"/>
                <w:lang w:val="fr-CA"/>
              </w:rPr>
              <w:t>station de télévision régionale</w:t>
            </w:r>
            <w:r w:rsidRPr="00964F39">
              <w:rPr>
                <w:lang w:val="fr-CA"/>
              </w:rPr>
              <w:t xml:space="preserve">, </w:t>
            </w:r>
            <w:r w:rsidRPr="00964F39">
              <w:rPr>
                <w:rStyle w:val="HTMLDefinition"/>
                <w:lang w:val="fr-CA"/>
              </w:rPr>
              <w:t>système de télévision par abonnement</w:t>
            </w:r>
            <w:r w:rsidRPr="00964F39">
              <w:rPr>
                <w:lang w:val="fr-CA"/>
              </w:rPr>
              <w:t xml:space="preserve">, </w:t>
            </w:r>
            <w:r w:rsidRPr="00964F39">
              <w:rPr>
                <w:rStyle w:val="HTMLDefinition"/>
                <w:lang w:val="fr-CA"/>
              </w:rPr>
              <w:t>titulaire</w:t>
            </w:r>
            <w:r w:rsidRPr="00964F39">
              <w:rPr>
                <w:lang w:val="fr-CA"/>
              </w:rPr>
              <w:t xml:space="preserve"> et </w:t>
            </w:r>
            <w:r w:rsidRPr="00964F39">
              <w:rPr>
                <w:rStyle w:val="HTMLDefinition"/>
                <w:lang w:val="fr-CA"/>
              </w:rPr>
              <w:t>zone de desserte autorisée</w:t>
            </w:r>
            <w:r w:rsidRPr="00964F39">
              <w:rPr>
                <w:lang w:val="fr-CA"/>
              </w:rPr>
              <w:t xml:space="preserve"> s’entendent au sens de l’article 1 du </w:t>
            </w:r>
            <w:r w:rsidRPr="00964F39">
              <w:rPr>
                <w:rStyle w:val="HTMLCite"/>
                <w:rFonts w:eastAsiaTheme="majorEastAsia"/>
                <w:lang w:val="fr-CA"/>
              </w:rPr>
              <w:t>Règlement sur la distribution de radiodiffusion</w:t>
            </w:r>
            <w:r w:rsidRPr="00964F39">
              <w:rPr>
                <w:lang w:val="fr-CA"/>
              </w:rPr>
              <w:t>.</w:t>
            </w:r>
          </w:p>
          <w:p w:rsidR="00B8777F" w:rsidRPr="00964F39" w:rsidRDefault="00B8777F" w:rsidP="0011734B">
            <w:pPr>
              <w:keepNext/>
              <w:keepLines/>
              <w:jc w:val="both"/>
              <w:rPr>
                <w:lang w:val="fr-CA"/>
              </w:rPr>
            </w:pPr>
          </w:p>
        </w:tc>
      </w:tr>
      <w:tr w:rsidR="00B8777F" w:rsidRPr="00964F39" w:rsidTr="00B8777F">
        <w:tc>
          <w:tcPr>
            <w:tcW w:w="7830" w:type="dxa"/>
          </w:tcPr>
          <w:p w:rsidR="00B8777F" w:rsidRDefault="00B8777F" w:rsidP="0011734B">
            <w:pPr>
              <w:keepNext/>
              <w:keepLines/>
              <w:jc w:val="center"/>
            </w:pPr>
            <w:r w:rsidRPr="00964F39">
              <w:t>. . .</w:t>
            </w:r>
          </w:p>
          <w:p w:rsidR="001C5D01" w:rsidRPr="00964F39" w:rsidRDefault="001C5D01" w:rsidP="0011734B">
            <w:pPr>
              <w:keepNext/>
              <w:keepLines/>
              <w:jc w:val="center"/>
            </w:pPr>
          </w:p>
        </w:tc>
      </w:tr>
      <w:tr w:rsidR="00B8777F" w:rsidRPr="005F3232" w:rsidTr="00B8777F">
        <w:tc>
          <w:tcPr>
            <w:tcW w:w="7830" w:type="dxa"/>
          </w:tcPr>
          <w:p w:rsidR="00B8777F" w:rsidRPr="00964F39" w:rsidRDefault="00B8777F" w:rsidP="0011734B">
            <w:pPr>
              <w:pStyle w:val="ParaNoNdepar-AltN"/>
              <w:numPr>
                <w:ilvl w:val="0"/>
                <w:numId w:val="0"/>
              </w:numPr>
              <w:spacing w:before="0" w:after="0" w:line="240" w:lineRule="auto"/>
              <w:rPr>
                <w:lang w:val="fr-CA"/>
              </w:rPr>
            </w:pPr>
            <w:r w:rsidRPr="00964F39">
              <w:rPr>
                <w:rStyle w:val="sectionlabel"/>
                <w:b/>
                <w:bCs/>
                <w:lang w:val="fr-CA"/>
              </w:rPr>
              <w:t>3</w:t>
            </w:r>
            <w:r w:rsidRPr="00964F39">
              <w:rPr>
                <w:lang w:val="fr-CA"/>
              </w:rPr>
              <w:t> </w:t>
            </w:r>
            <w:r w:rsidRPr="00964F39">
              <w:rPr>
                <w:rStyle w:val="lawlabel"/>
                <w:b/>
                <w:lang w:val="fr-CA"/>
              </w:rPr>
              <w:t>(1)</w:t>
            </w:r>
            <w:r w:rsidRPr="00964F39">
              <w:rPr>
                <w:rStyle w:val="lawlabel"/>
                <w:lang w:val="fr-CA"/>
              </w:rPr>
              <w:t xml:space="preserve"> </w:t>
            </w:r>
            <w:r w:rsidRPr="00964F39">
              <w:rPr>
                <w:lang w:val="fr-CA"/>
              </w:rPr>
              <w:t>L’exploitant d’une station de télévision canadienne peut demander au titulaire qui exploite une entreprise de distribution terrestre de retirer le service de programmation d’une station de télévision canadienne ou d’une station de télévision non canadienne et d’y substituer le service de programmation d’une station de télévision locale ou d’une station de télévision régionale.</w:t>
            </w:r>
          </w:p>
        </w:tc>
      </w:tr>
      <w:tr w:rsidR="00B8777F" w:rsidRPr="00964F39" w:rsidTr="00B8777F">
        <w:tc>
          <w:tcPr>
            <w:tcW w:w="7830" w:type="dxa"/>
          </w:tcPr>
          <w:p w:rsidR="00B8777F" w:rsidRDefault="00B8777F" w:rsidP="0011734B">
            <w:pPr>
              <w:keepNext/>
              <w:keepLines/>
              <w:jc w:val="center"/>
            </w:pPr>
            <w:r w:rsidRPr="00964F39">
              <w:lastRenderedPageBreak/>
              <w:t>. . .</w:t>
            </w:r>
          </w:p>
          <w:p w:rsidR="001C5D01" w:rsidRPr="00964F39" w:rsidRDefault="001C5D01" w:rsidP="0011734B">
            <w:pPr>
              <w:keepNext/>
              <w:keepLines/>
              <w:jc w:val="center"/>
            </w:pPr>
          </w:p>
        </w:tc>
      </w:tr>
      <w:tr w:rsidR="00B8777F" w:rsidRPr="005F3232" w:rsidTr="00B8777F">
        <w:tc>
          <w:tcPr>
            <w:tcW w:w="7830" w:type="dxa"/>
          </w:tcPr>
          <w:p w:rsidR="00B8777F" w:rsidRPr="00964F39" w:rsidRDefault="00B8777F" w:rsidP="0011734B">
            <w:pPr>
              <w:keepNext/>
              <w:keepLines/>
              <w:jc w:val="both"/>
              <w:rPr>
                <w:lang w:val="fr-FR"/>
              </w:rPr>
            </w:pPr>
            <w:r w:rsidRPr="00964F39">
              <w:rPr>
                <w:b/>
                <w:lang w:val="fr-CA"/>
              </w:rPr>
              <w:t>4</w:t>
            </w:r>
            <w:r w:rsidRPr="00964F39">
              <w:rPr>
                <w:lang w:val="fr-CA"/>
              </w:rPr>
              <w:t> </w:t>
            </w:r>
            <w:r w:rsidRPr="00964F39">
              <w:rPr>
                <w:b/>
                <w:lang w:val="fr-CA"/>
              </w:rPr>
              <w:t>(1)</w:t>
            </w:r>
            <w:r w:rsidRPr="00964F39">
              <w:rPr>
                <w:lang w:val="fr-CA"/>
              </w:rPr>
              <w:t xml:space="preserve"> </w:t>
            </w:r>
            <w:r w:rsidRPr="00964F39">
              <w:rPr>
                <w:lang w:val="fr-FR"/>
              </w:rPr>
              <w:t>Sous réserve du présent règlement ou des conditions de sa licence, le titulaire qui reçoit la demande visée à l’article 3 doit retirer le service de programmation en cause et effectuer la substitution demandée si les conditions suivantes sont réunies :</w:t>
            </w:r>
          </w:p>
          <w:p w:rsidR="00B8777F" w:rsidRPr="00964F39" w:rsidRDefault="00B8777F" w:rsidP="0011734B">
            <w:pPr>
              <w:keepNext/>
              <w:keepLines/>
              <w:jc w:val="both"/>
              <w:rPr>
                <w:lang w:val="fr-FR"/>
              </w:rPr>
            </w:pPr>
          </w:p>
          <w:p w:rsidR="00B8777F" w:rsidRPr="00964F39" w:rsidRDefault="00B8777F" w:rsidP="0011734B">
            <w:pPr>
              <w:keepNext/>
              <w:keepLines/>
              <w:ind w:left="720"/>
              <w:jc w:val="both"/>
              <w:rPr>
                <w:lang w:val="fr-FR"/>
              </w:rPr>
            </w:pPr>
            <w:r w:rsidRPr="00964F39">
              <w:rPr>
                <w:b/>
                <w:bCs/>
                <w:lang w:val="fr-FR"/>
              </w:rPr>
              <w:t>a)</w:t>
            </w:r>
            <w:r w:rsidRPr="00964F39">
              <w:rPr>
                <w:lang w:val="fr-FR"/>
              </w:rPr>
              <w:t> la demande est présentée par écrit et doit être reçue par le titulaire au moins quatre jours avant la date prévue pour la diffusion du service de programmation à substituer;</w:t>
            </w:r>
          </w:p>
          <w:p w:rsidR="00B8777F" w:rsidRPr="00964F39" w:rsidRDefault="00B8777F" w:rsidP="0011734B">
            <w:pPr>
              <w:keepNext/>
              <w:keepLines/>
              <w:ind w:left="720"/>
              <w:jc w:val="both"/>
              <w:rPr>
                <w:lang w:val="fr-FR"/>
              </w:rPr>
            </w:pPr>
          </w:p>
          <w:p w:rsidR="00B8777F" w:rsidRPr="00964F39" w:rsidRDefault="00B8777F" w:rsidP="0011734B">
            <w:pPr>
              <w:keepNext/>
              <w:keepLines/>
              <w:ind w:left="720"/>
              <w:jc w:val="both"/>
              <w:rPr>
                <w:lang w:val="fr-FR"/>
              </w:rPr>
            </w:pPr>
            <w:r w:rsidRPr="00964F39">
              <w:rPr>
                <w:b/>
                <w:bCs/>
                <w:lang w:val="fr-FR"/>
              </w:rPr>
              <w:t>b)</w:t>
            </w:r>
            <w:r w:rsidRPr="00964F39">
              <w:rPr>
                <w:lang w:val="fr-FR"/>
              </w:rPr>
              <w:t> le service de programmation à retirer et le service de programmation à substituer sont comparables et doivent être diffusés simultanément;</w:t>
            </w:r>
          </w:p>
          <w:p w:rsidR="00B8777F" w:rsidRPr="00964F39" w:rsidRDefault="00B8777F" w:rsidP="0011734B">
            <w:pPr>
              <w:keepNext/>
              <w:keepLines/>
              <w:ind w:left="720"/>
              <w:jc w:val="both"/>
              <w:rPr>
                <w:lang w:val="fr-FR"/>
              </w:rPr>
            </w:pPr>
          </w:p>
          <w:p w:rsidR="00B8777F" w:rsidRDefault="00B8777F" w:rsidP="00B8777F">
            <w:pPr>
              <w:keepNext/>
              <w:keepLines/>
              <w:ind w:left="720"/>
              <w:jc w:val="both"/>
              <w:rPr>
                <w:lang w:val="fr-FR"/>
              </w:rPr>
            </w:pPr>
            <w:r w:rsidRPr="00964F39">
              <w:rPr>
                <w:b/>
                <w:bCs/>
                <w:lang w:val="fr-FR"/>
              </w:rPr>
              <w:t>c)</w:t>
            </w:r>
            <w:r w:rsidRPr="00964F39">
              <w:rPr>
                <w:lang w:val="fr-FR"/>
              </w:rPr>
              <w:t> le service de programmation à substituer est d’un format égal ou supérieur au serv</w:t>
            </w:r>
            <w:r>
              <w:rPr>
                <w:lang w:val="fr-FR"/>
              </w:rPr>
              <w:t>ice de programmation à retirer;</w:t>
            </w:r>
          </w:p>
          <w:p w:rsidR="00B8777F" w:rsidRPr="00964F39" w:rsidRDefault="00B8777F" w:rsidP="00B8777F">
            <w:pPr>
              <w:keepNext/>
              <w:keepLines/>
              <w:ind w:left="720"/>
              <w:jc w:val="both"/>
              <w:rPr>
                <w:lang w:val="fr-FR"/>
              </w:rPr>
            </w:pPr>
          </w:p>
          <w:p w:rsidR="001C5D01" w:rsidRDefault="00B8777F" w:rsidP="0011734B">
            <w:pPr>
              <w:keepNext/>
              <w:keepLines/>
              <w:ind w:left="720"/>
              <w:jc w:val="both"/>
              <w:rPr>
                <w:lang w:val="fr-FR"/>
              </w:rPr>
            </w:pPr>
            <w:r w:rsidRPr="00964F39">
              <w:rPr>
                <w:b/>
                <w:bCs/>
                <w:lang w:val="fr-FR"/>
              </w:rPr>
              <w:t>d)</w:t>
            </w:r>
            <w:r w:rsidRPr="00964F39">
              <w:rPr>
                <w:lang w:val="fr-FR"/>
              </w:rPr>
              <w:t xml:space="preserve"> dans le cas où le titulaire exploite une entreprise de distribution terrestre, le service de programmation à substituer a priorité, en vertu de l’article 17 du </w:t>
            </w:r>
            <w:r w:rsidRPr="00964F39">
              <w:rPr>
                <w:i/>
                <w:lang w:val="fr-FR"/>
              </w:rPr>
              <w:t>Règlement sur la distribution de radiodiffusion</w:t>
            </w:r>
            <w:r w:rsidRPr="00964F39">
              <w:rPr>
                <w:lang w:val="fr-FR"/>
              </w:rPr>
              <w:t>, sur le service de programmation à retirer.</w:t>
            </w:r>
          </w:p>
          <w:p w:rsidR="00B8777F" w:rsidRPr="00964F39" w:rsidRDefault="00B8777F" w:rsidP="0011734B">
            <w:pPr>
              <w:keepNext/>
              <w:keepLines/>
              <w:ind w:left="720"/>
              <w:jc w:val="both"/>
              <w:rPr>
                <w:lang w:val="fr-FR"/>
              </w:rPr>
            </w:pPr>
            <w:r w:rsidRPr="00964F39">
              <w:rPr>
                <w:lang w:val="fr-FR"/>
              </w:rPr>
              <w:t xml:space="preserve"> </w:t>
            </w:r>
          </w:p>
        </w:tc>
      </w:tr>
      <w:tr w:rsidR="00B8777F" w:rsidRPr="00964F39" w:rsidTr="00B8777F">
        <w:tc>
          <w:tcPr>
            <w:tcW w:w="7830" w:type="dxa"/>
          </w:tcPr>
          <w:p w:rsidR="00B8777F" w:rsidRDefault="00B8777F" w:rsidP="0011734B">
            <w:pPr>
              <w:keepNext/>
              <w:keepLines/>
              <w:jc w:val="center"/>
              <w:rPr>
                <w:bCs/>
              </w:rPr>
            </w:pPr>
            <w:r w:rsidRPr="00964F39">
              <w:rPr>
                <w:bCs/>
              </w:rPr>
              <w:t>. . .</w:t>
            </w:r>
          </w:p>
          <w:p w:rsidR="001C5D01" w:rsidRPr="00964F39" w:rsidRDefault="001C5D01" w:rsidP="0011734B">
            <w:pPr>
              <w:keepNext/>
              <w:keepLines/>
              <w:jc w:val="center"/>
            </w:pPr>
          </w:p>
        </w:tc>
      </w:tr>
      <w:tr w:rsidR="00B8777F" w:rsidRPr="005F3232" w:rsidTr="00B8777F">
        <w:tc>
          <w:tcPr>
            <w:tcW w:w="7830" w:type="dxa"/>
          </w:tcPr>
          <w:p w:rsidR="00B8777F" w:rsidRDefault="00B8777F" w:rsidP="0011734B">
            <w:pPr>
              <w:keepNext/>
              <w:keepLines/>
              <w:jc w:val="both"/>
              <w:rPr>
                <w:lang w:val="fr-FR"/>
              </w:rPr>
            </w:pPr>
            <w:r w:rsidRPr="00964F39">
              <w:rPr>
                <w:b/>
                <w:bCs/>
                <w:lang w:val="fr-FR"/>
              </w:rPr>
              <w:t>(3)</w:t>
            </w:r>
            <w:r w:rsidRPr="00964F39">
              <w:rPr>
                <w:bCs/>
                <w:lang w:val="fr-FR"/>
              </w:rPr>
              <w:t xml:space="preserve"> </w:t>
            </w:r>
            <w:r w:rsidRPr="00964F39">
              <w:rPr>
                <w:lang w:val="fr-FR"/>
              </w:rPr>
              <w:t xml:space="preserve">Le titulaire ne peut retirer un service de programmation et y substituer un autre service de programmation si le Conseil rend une décision, en vertu du paragraphe 18(3) de la </w:t>
            </w:r>
            <w:r w:rsidRPr="00964F39">
              <w:rPr>
                <w:i/>
                <w:lang w:val="fr-FR"/>
              </w:rPr>
              <w:t>Loi sur la radiodiffusion</w:t>
            </w:r>
            <w:r w:rsidRPr="00964F39">
              <w:rPr>
                <w:lang w:val="fr-FR"/>
              </w:rPr>
              <w:t>, portant que le retrait et la substitution ne sont pas dans l’intérêt public.</w:t>
            </w:r>
          </w:p>
          <w:p w:rsidR="00CE1E59" w:rsidRDefault="00CE1E59" w:rsidP="0011734B">
            <w:pPr>
              <w:keepNext/>
              <w:keepLines/>
              <w:jc w:val="both"/>
              <w:rPr>
                <w:lang w:val="fr-FR"/>
              </w:rPr>
            </w:pPr>
          </w:p>
          <w:p w:rsidR="00CE1E59" w:rsidRPr="00964F39" w:rsidRDefault="00CE1E59" w:rsidP="0011734B">
            <w:pPr>
              <w:keepNext/>
              <w:keepLines/>
              <w:jc w:val="both"/>
              <w:rPr>
                <w:lang w:val="fr-FR"/>
              </w:rPr>
            </w:pPr>
          </w:p>
        </w:tc>
      </w:tr>
      <w:tr w:rsidR="00B8777F" w:rsidRPr="005F3232" w:rsidTr="00B8777F">
        <w:tc>
          <w:tcPr>
            <w:tcW w:w="7830" w:type="dxa"/>
          </w:tcPr>
          <w:p w:rsidR="00B8777F" w:rsidRDefault="00B8777F" w:rsidP="0011734B">
            <w:pPr>
              <w:keepNext/>
              <w:keepLines/>
              <w:jc w:val="both"/>
              <w:rPr>
                <w:b/>
                <w:lang w:val="fr-CA"/>
              </w:rPr>
            </w:pPr>
            <w:r w:rsidRPr="00964F39">
              <w:rPr>
                <w:b/>
                <w:i/>
                <w:lang w:val="fr-CA"/>
              </w:rPr>
              <w:t>Règlement sur la distribution de radiodiffusion</w:t>
            </w:r>
            <w:r w:rsidRPr="00964F39">
              <w:rPr>
                <w:b/>
                <w:lang w:val="fr-CA"/>
              </w:rPr>
              <w:t>, DORS/97-555</w:t>
            </w:r>
          </w:p>
          <w:p w:rsidR="00CE1E59" w:rsidRPr="00964F39" w:rsidRDefault="00CE1E59" w:rsidP="0011734B">
            <w:pPr>
              <w:keepNext/>
              <w:keepLines/>
              <w:jc w:val="both"/>
              <w:rPr>
                <w:lang w:val="fr-CA"/>
              </w:rPr>
            </w:pPr>
          </w:p>
        </w:tc>
      </w:tr>
      <w:tr w:rsidR="00B8777F" w:rsidRPr="005F3232" w:rsidTr="00B8777F">
        <w:tc>
          <w:tcPr>
            <w:tcW w:w="7830" w:type="dxa"/>
          </w:tcPr>
          <w:p w:rsidR="00B8777F" w:rsidRDefault="00B8777F" w:rsidP="0011734B">
            <w:pPr>
              <w:pStyle w:val="ParaNoNdepar-AltN"/>
              <w:numPr>
                <w:ilvl w:val="0"/>
                <w:numId w:val="0"/>
              </w:numPr>
              <w:spacing w:before="0" w:after="0" w:line="240" w:lineRule="auto"/>
              <w:rPr>
                <w:lang w:val="fr-FR"/>
              </w:rPr>
            </w:pPr>
            <w:r w:rsidRPr="00964F39">
              <w:rPr>
                <w:b/>
                <w:lang w:val="fr-CA"/>
              </w:rPr>
              <w:t>1</w:t>
            </w:r>
            <w:r w:rsidRPr="00964F39">
              <w:rPr>
                <w:lang w:val="fr-CA"/>
              </w:rPr>
              <w:t xml:space="preserve"> </w:t>
            </w:r>
            <w:r w:rsidRPr="00964F39">
              <w:rPr>
                <w:lang w:val="fr-FR"/>
              </w:rPr>
              <w:t>Les définitions qui suivent s’appliquent au présent règlement.</w:t>
            </w:r>
          </w:p>
          <w:p w:rsidR="001C5D01" w:rsidRPr="00964F39" w:rsidRDefault="001C5D01" w:rsidP="0011734B">
            <w:pPr>
              <w:pStyle w:val="ParaNoNdepar-AltN"/>
              <w:numPr>
                <w:ilvl w:val="0"/>
                <w:numId w:val="0"/>
              </w:numPr>
              <w:spacing w:before="0" w:after="0" w:line="240" w:lineRule="auto"/>
              <w:rPr>
                <w:lang w:val="fr-CA"/>
              </w:rPr>
            </w:pPr>
          </w:p>
        </w:tc>
      </w:tr>
      <w:tr w:rsidR="00B8777F" w:rsidRPr="00964F39" w:rsidTr="00B8777F">
        <w:tc>
          <w:tcPr>
            <w:tcW w:w="7830" w:type="dxa"/>
          </w:tcPr>
          <w:p w:rsidR="00B8777F" w:rsidRDefault="00B8777F" w:rsidP="0011734B">
            <w:pPr>
              <w:keepNext/>
              <w:keepLines/>
              <w:jc w:val="center"/>
            </w:pPr>
            <w:r w:rsidRPr="00964F39">
              <w:t>. . .</w:t>
            </w:r>
          </w:p>
          <w:p w:rsidR="001C5D01" w:rsidRPr="00964F39" w:rsidRDefault="001C5D01" w:rsidP="0011734B">
            <w:pPr>
              <w:keepNext/>
              <w:keepLines/>
              <w:jc w:val="center"/>
            </w:pPr>
          </w:p>
        </w:tc>
      </w:tr>
      <w:tr w:rsidR="00B8777F" w:rsidRPr="00964F39" w:rsidTr="00B8777F">
        <w:tc>
          <w:tcPr>
            <w:tcW w:w="7830" w:type="dxa"/>
          </w:tcPr>
          <w:p w:rsidR="00B8777F" w:rsidRDefault="00B8777F" w:rsidP="0011734B">
            <w:pPr>
              <w:keepNext/>
              <w:keepLines/>
              <w:jc w:val="both"/>
              <w:rPr>
                <w:lang w:val="fr-FR"/>
              </w:rPr>
            </w:pPr>
            <w:r w:rsidRPr="00964F39">
              <w:rPr>
                <w:b/>
                <w:bCs/>
                <w:i/>
                <w:iCs/>
                <w:lang w:val="fr-CA"/>
              </w:rPr>
              <w:t xml:space="preserve">service de </w:t>
            </w:r>
            <w:proofErr w:type="spellStart"/>
            <w:r w:rsidRPr="00964F39">
              <w:rPr>
                <w:b/>
                <w:bCs/>
                <w:i/>
                <w:iCs/>
                <w:lang w:val="fr-CA"/>
              </w:rPr>
              <w:t>prog</w:t>
            </w:r>
            <w:r w:rsidRPr="00964F39">
              <w:rPr>
                <w:b/>
                <w:bCs/>
                <w:i/>
                <w:iCs/>
                <w:lang w:val="fr-FR"/>
              </w:rPr>
              <w:t>rammation</w:t>
            </w:r>
            <w:proofErr w:type="spellEnd"/>
            <w:r w:rsidRPr="00964F39">
              <w:rPr>
                <w:lang w:val="fr-FR"/>
              </w:rPr>
              <w:t xml:space="preserve"> Émission fournie par une entreprise de programmation.</w:t>
            </w:r>
            <w:r w:rsidRPr="00964F39">
              <w:rPr>
                <w:lang w:val="fr-FR"/>
              </w:rPr>
              <w:t> </w:t>
            </w:r>
            <w:r w:rsidRPr="00964F39">
              <w:rPr>
                <w:lang w:val="fr-FR"/>
              </w:rPr>
              <w:t>(</w:t>
            </w:r>
            <w:proofErr w:type="spellStart"/>
            <w:r w:rsidRPr="00964F39">
              <w:rPr>
                <w:i/>
                <w:iCs/>
                <w:lang w:val="fr-CA"/>
              </w:rPr>
              <w:t>programming</w:t>
            </w:r>
            <w:proofErr w:type="spellEnd"/>
            <w:r w:rsidRPr="00964F39">
              <w:rPr>
                <w:i/>
                <w:iCs/>
                <w:lang w:val="fr-CA"/>
              </w:rPr>
              <w:t xml:space="preserve"> service</w:t>
            </w:r>
            <w:r w:rsidRPr="00964F39">
              <w:rPr>
                <w:lang w:val="fr-FR"/>
              </w:rPr>
              <w:t>)</w:t>
            </w:r>
          </w:p>
          <w:p w:rsidR="001C5D01" w:rsidRPr="00964F39" w:rsidRDefault="001C5D01" w:rsidP="0011734B">
            <w:pPr>
              <w:keepNext/>
              <w:keepLines/>
              <w:jc w:val="both"/>
            </w:pPr>
          </w:p>
        </w:tc>
      </w:tr>
      <w:tr w:rsidR="00B8777F" w:rsidRPr="00964F39" w:rsidTr="00B8777F">
        <w:tc>
          <w:tcPr>
            <w:tcW w:w="7830" w:type="dxa"/>
          </w:tcPr>
          <w:p w:rsidR="00B8777F" w:rsidRDefault="00B8777F" w:rsidP="0011734B">
            <w:pPr>
              <w:pStyle w:val="ParaNoNdepar-AltN"/>
              <w:numPr>
                <w:ilvl w:val="0"/>
                <w:numId w:val="0"/>
              </w:numPr>
              <w:spacing w:before="0" w:after="0" w:line="240" w:lineRule="auto"/>
              <w:jc w:val="center"/>
            </w:pPr>
            <w:r w:rsidRPr="00964F39">
              <w:t>. . .</w:t>
            </w:r>
          </w:p>
          <w:p w:rsidR="001C5D01" w:rsidRPr="00964F39" w:rsidRDefault="001C5D01" w:rsidP="0011734B">
            <w:pPr>
              <w:pStyle w:val="ParaNoNdepar-AltN"/>
              <w:numPr>
                <w:ilvl w:val="0"/>
                <w:numId w:val="0"/>
              </w:numPr>
              <w:spacing w:before="0" w:after="0" w:line="240" w:lineRule="auto"/>
              <w:jc w:val="center"/>
            </w:pPr>
          </w:p>
        </w:tc>
      </w:tr>
      <w:tr w:rsidR="00B8777F" w:rsidRPr="005F3232" w:rsidTr="00B8777F">
        <w:tc>
          <w:tcPr>
            <w:tcW w:w="7830" w:type="dxa"/>
          </w:tcPr>
          <w:p w:rsidR="00B8777F" w:rsidRPr="00964F39" w:rsidRDefault="00B8777F" w:rsidP="0011734B">
            <w:pPr>
              <w:keepNext/>
              <w:keepLines/>
              <w:jc w:val="both"/>
              <w:rPr>
                <w:lang w:val="fr-FR"/>
              </w:rPr>
            </w:pPr>
            <w:r w:rsidRPr="00964F39">
              <w:rPr>
                <w:b/>
                <w:lang w:val="fr-FR"/>
              </w:rPr>
              <w:t>7</w:t>
            </w:r>
            <w:r w:rsidRPr="00964F39">
              <w:rPr>
                <w:lang w:val="fr-FR"/>
              </w:rPr>
              <w:t xml:space="preserve"> Sous réserve de l’article 7.2, le titulaire ne peut modifier le contenu ou le format d’un service de programmation ou retirer un tel service au cours de sa distribution dans une zone de desserte autorisée, sauf si, selon le cas :</w:t>
            </w:r>
          </w:p>
          <w:p w:rsidR="00B8777F" w:rsidRPr="00964F39" w:rsidRDefault="00B8777F" w:rsidP="0011734B">
            <w:pPr>
              <w:keepNext/>
              <w:keepLines/>
              <w:jc w:val="both"/>
              <w:rPr>
                <w:lang w:val="fr-FR"/>
              </w:rPr>
            </w:pPr>
          </w:p>
          <w:p w:rsidR="00B8777F" w:rsidRPr="00964F39" w:rsidRDefault="00B8777F" w:rsidP="00CE1E59">
            <w:pPr>
              <w:keepNext/>
              <w:keepLines/>
              <w:ind w:left="347"/>
              <w:jc w:val="both"/>
              <w:rPr>
                <w:lang w:val="fr-FR"/>
              </w:rPr>
            </w:pPr>
            <w:r w:rsidRPr="00964F39">
              <w:rPr>
                <w:b/>
                <w:bCs/>
                <w:lang w:val="fr-FR"/>
              </w:rPr>
              <w:t>a)</w:t>
            </w:r>
            <w:r w:rsidRPr="00964F39">
              <w:rPr>
                <w:lang w:val="fr-FR"/>
              </w:rPr>
              <w:t xml:space="preserve"> la modification ou le retrait est fait en conformité avec les conditions de sa licence ou le </w:t>
            </w:r>
            <w:r w:rsidRPr="00964F39">
              <w:rPr>
                <w:i/>
                <w:lang w:val="fr-FR"/>
              </w:rPr>
              <w:t>R</w:t>
            </w:r>
            <w:r w:rsidRPr="00964F39">
              <w:rPr>
                <w:i/>
                <w:iCs/>
                <w:lang w:val="fr-FR"/>
              </w:rPr>
              <w:t>è</w:t>
            </w:r>
            <w:r w:rsidRPr="00964F39">
              <w:rPr>
                <w:i/>
                <w:lang w:val="fr-FR"/>
              </w:rPr>
              <w:t>glement sur le retrait et la substitution simultanés de services de programmation</w:t>
            </w:r>
            <w:r w:rsidRPr="00964F39">
              <w:rPr>
                <w:lang w:val="fr-FR"/>
              </w:rPr>
              <w:t>;</w:t>
            </w:r>
          </w:p>
        </w:tc>
      </w:tr>
    </w:tbl>
    <w:p w:rsidR="005F030A" w:rsidRPr="00BE688E" w:rsidRDefault="005F030A" w:rsidP="005F030A">
      <w:pPr>
        <w:pStyle w:val="SCCNormalDoubleSpacing"/>
        <w:spacing w:after="480"/>
        <w:rPr>
          <w:lang w:val="fr-CA"/>
        </w:rPr>
      </w:pPr>
    </w:p>
    <w:p w:rsidR="005F030A" w:rsidRPr="00BE688E" w:rsidRDefault="005F030A" w:rsidP="005F030A">
      <w:pPr>
        <w:pStyle w:val="SCCNormalDoubleSpacing"/>
        <w:spacing w:after="480"/>
        <w:rPr>
          <w:lang w:val="fr-CA"/>
        </w:rPr>
      </w:pPr>
      <w:r w:rsidRPr="00BE688E">
        <w:rPr>
          <w:lang w:val="fr-CA"/>
        </w:rPr>
        <w:lastRenderedPageBreak/>
        <w:tab/>
      </w:r>
      <w:r w:rsidRPr="00BE688E">
        <w:rPr>
          <w:i/>
          <w:lang w:val="fr-CA"/>
        </w:rPr>
        <w:t xml:space="preserve">Les pourvois sont accueillis avec dépens dans toutes les cours, les juges </w:t>
      </w:r>
      <w:r w:rsidRPr="00BE688E">
        <w:rPr>
          <w:smallCaps/>
          <w:lang w:val="fr-CA"/>
        </w:rPr>
        <w:t>Abella</w:t>
      </w:r>
      <w:r w:rsidRPr="00BE688E">
        <w:rPr>
          <w:i/>
          <w:lang w:val="fr-CA"/>
        </w:rPr>
        <w:t xml:space="preserve"> et </w:t>
      </w:r>
      <w:proofErr w:type="spellStart"/>
      <w:r w:rsidRPr="00BE688E">
        <w:rPr>
          <w:smallCaps/>
          <w:lang w:val="fr-CA"/>
        </w:rPr>
        <w:t>Karakatsanis</w:t>
      </w:r>
      <w:proofErr w:type="spellEnd"/>
      <w:r w:rsidRPr="00BE688E">
        <w:rPr>
          <w:smallCaps/>
          <w:lang w:val="fr-CA"/>
        </w:rPr>
        <w:t xml:space="preserve"> </w:t>
      </w:r>
      <w:r w:rsidRPr="00BE688E">
        <w:rPr>
          <w:i/>
          <w:lang w:val="fr-CA"/>
        </w:rPr>
        <w:t>sont dissidentes.</w:t>
      </w:r>
    </w:p>
    <w:p w:rsidR="005F030A" w:rsidRPr="00BE688E" w:rsidRDefault="005F030A" w:rsidP="005F030A">
      <w:pPr>
        <w:pStyle w:val="SCCLawFirm"/>
        <w:spacing w:after="480"/>
        <w:rPr>
          <w:lang w:val="fr-CA"/>
        </w:rPr>
      </w:pPr>
      <w:r w:rsidRPr="00BE688E">
        <w:rPr>
          <w:lang w:val="fr-CA"/>
        </w:rPr>
        <w:tab/>
        <w:t>Procureurs des appelantes</w:t>
      </w:r>
      <w:r>
        <w:rPr>
          <w:lang w:val="fr-CA"/>
        </w:rPr>
        <w:t> :</w:t>
      </w:r>
      <w:r w:rsidRPr="00BE688E">
        <w:rPr>
          <w:lang w:val="fr-CA"/>
        </w:rPr>
        <w:t xml:space="preserve"> McCarthy </w:t>
      </w:r>
      <w:proofErr w:type="spellStart"/>
      <w:r w:rsidRPr="00BE688E">
        <w:rPr>
          <w:lang w:val="fr-CA"/>
        </w:rPr>
        <w:t>Tétrault</w:t>
      </w:r>
      <w:proofErr w:type="spellEnd"/>
      <w:r w:rsidRPr="00BE688E">
        <w:rPr>
          <w:lang w:val="fr-CA"/>
        </w:rPr>
        <w:t>, Toronto.</w:t>
      </w:r>
    </w:p>
    <w:p w:rsidR="005F030A" w:rsidRPr="00BE688E" w:rsidRDefault="005F030A" w:rsidP="005F030A">
      <w:pPr>
        <w:pStyle w:val="SCCLawFirm"/>
        <w:spacing w:after="480"/>
        <w:rPr>
          <w:lang w:val="fr-CA"/>
        </w:rPr>
      </w:pPr>
      <w:r w:rsidRPr="00BE688E">
        <w:rPr>
          <w:lang w:val="fr-CA"/>
        </w:rPr>
        <w:tab/>
        <w:t>Procureur de l’intimé</w:t>
      </w:r>
      <w:r>
        <w:rPr>
          <w:lang w:val="fr-CA"/>
        </w:rPr>
        <w:t> :</w:t>
      </w:r>
      <w:r w:rsidRPr="00BE688E">
        <w:rPr>
          <w:lang w:val="fr-CA"/>
        </w:rPr>
        <w:t> Procureur général du Canada, Toronto.</w:t>
      </w:r>
    </w:p>
    <w:p w:rsidR="005F030A" w:rsidRPr="00BE688E" w:rsidRDefault="005F030A" w:rsidP="005F030A">
      <w:pPr>
        <w:pStyle w:val="SCCLawFirm"/>
        <w:spacing w:after="480"/>
        <w:rPr>
          <w:lang w:val="fr-CA"/>
        </w:rPr>
      </w:pPr>
      <w:r w:rsidRPr="00BE688E">
        <w:rPr>
          <w:lang w:val="fr-CA"/>
        </w:rPr>
        <w:tab/>
        <w:t>Procureur de l’intervenant le procureur général de l’Ontario</w:t>
      </w:r>
      <w:r>
        <w:rPr>
          <w:lang w:val="fr-CA"/>
        </w:rPr>
        <w:t> :</w:t>
      </w:r>
      <w:r w:rsidRPr="00BE688E">
        <w:rPr>
          <w:lang w:val="fr-CA"/>
        </w:rPr>
        <w:t> Procureur général de l’Ontario, Toronto.</w:t>
      </w:r>
    </w:p>
    <w:p w:rsidR="005F030A" w:rsidRPr="00BE688E" w:rsidRDefault="005F030A" w:rsidP="005F030A">
      <w:pPr>
        <w:pStyle w:val="SCCLawFirm"/>
        <w:spacing w:after="480"/>
        <w:rPr>
          <w:lang w:val="fr-CA"/>
        </w:rPr>
      </w:pPr>
      <w:r w:rsidRPr="00BE688E">
        <w:rPr>
          <w:lang w:val="fr-CA"/>
        </w:rPr>
        <w:tab/>
        <w:t>Procureur de l’intervenante la procureure générale du Québec</w:t>
      </w:r>
      <w:r>
        <w:rPr>
          <w:lang w:val="fr-CA"/>
        </w:rPr>
        <w:t> :</w:t>
      </w:r>
      <w:r w:rsidRPr="00BE688E">
        <w:rPr>
          <w:lang w:val="fr-CA"/>
        </w:rPr>
        <w:t> Procureure générale du Québec, Québec.</w:t>
      </w:r>
    </w:p>
    <w:p w:rsidR="005F030A" w:rsidRPr="00BE688E" w:rsidRDefault="005F030A" w:rsidP="005F030A">
      <w:pPr>
        <w:pStyle w:val="SCCLawFirm"/>
        <w:spacing w:after="480"/>
        <w:rPr>
          <w:lang w:val="fr-CA"/>
        </w:rPr>
      </w:pPr>
      <w:r w:rsidRPr="00BE688E">
        <w:rPr>
          <w:lang w:val="fr-CA"/>
        </w:rPr>
        <w:tab/>
        <w:t>Procureur de l’intervenant le procureur général de la Colombie</w:t>
      </w:r>
      <w:r>
        <w:rPr>
          <w:lang w:val="fr-CA"/>
        </w:rPr>
        <w:noBreakHyphen/>
      </w:r>
      <w:r w:rsidRPr="00BE688E">
        <w:rPr>
          <w:lang w:val="fr-CA"/>
        </w:rPr>
        <w:t>Britannique</w:t>
      </w:r>
      <w:r>
        <w:rPr>
          <w:lang w:val="fr-CA"/>
        </w:rPr>
        <w:t> :</w:t>
      </w:r>
      <w:r w:rsidRPr="00BE688E">
        <w:rPr>
          <w:lang w:val="fr-CA"/>
        </w:rPr>
        <w:t> Procureur général de la Colombie</w:t>
      </w:r>
      <w:r>
        <w:rPr>
          <w:lang w:val="fr-CA"/>
        </w:rPr>
        <w:noBreakHyphen/>
      </w:r>
      <w:r w:rsidRPr="00BE688E">
        <w:rPr>
          <w:lang w:val="fr-CA"/>
        </w:rPr>
        <w:t>Britannique, Victoria.</w:t>
      </w:r>
    </w:p>
    <w:p w:rsidR="005F030A" w:rsidRPr="00BE688E" w:rsidRDefault="005F030A" w:rsidP="005F030A">
      <w:pPr>
        <w:pStyle w:val="SCCLawFirm"/>
        <w:spacing w:after="480"/>
        <w:rPr>
          <w:lang w:val="fr-CA"/>
        </w:rPr>
      </w:pPr>
      <w:r w:rsidRPr="00BE688E">
        <w:rPr>
          <w:lang w:val="fr-CA"/>
        </w:rPr>
        <w:tab/>
        <w:t>Procureur de l’intervenant le procureur général de la Saskatchewan</w:t>
      </w:r>
      <w:r>
        <w:rPr>
          <w:lang w:val="fr-CA"/>
        </w:rPr>
        <w:t> :</w:t>
      </w:r>
      <w:r w:rsidRPr="00BE688E">
        <w:rPr>
          <w:lang w:val="fr-CA"/>
        </w:rPr>
        <w:t> Procureur général de la Saskatchewan, Regina.</w:t>
      </w:r>
    </w:p>
    <w:p w:rsidR="005F030A" w:rsidRPr="00BE688E" w:rsidRDefault="005F030A" w:rsidP="005F030A">
      <w:pPr>
        <w:pStyle w:val="SCCNormalDoubleSpacing"/>
        <w:spacing w:after="480"/>
        <w:rPr>
          <w:lang w:val="fr-CA"/>
        </w:rPr>
      </w:pPr>
      <w:r w:rsidRPr="00BE688E">
        <w:rPr>
          <w:i/>
          <w:lang w:val="fr-CA"/>
        </w:rPr>
        <w:tab/>
        <w:t xml:space="preserve">Procureurs de l’intervenante </w:t>
      </w:r>
      <w:proofErr w:type="spellStart"/>
      <w:r w:rsidRPr="00BE688E">
        <w:rPr>
          <w:i/>
          <w:lang w:val="fr-CA"/>
        </w:rPr>
        <w:t>Telus</w:t>
      </w:r>
      <w:proofErr w:type="spellEnd"/>
      <w:r w:rsidRPr="00BE688E">
        <w:rPr>
          <w:i/>
          <w:lang w:val="fr-CA"/>
        </w:rPr>
        <w:t xml:space="preserve"> Communications Inc.</w:t>
      </w:r>
      <w:r>
        <w:rPr>
          <w:i/>
          <w:lang w:val="fr-CA"/>
        </w:rPr>
        <w:t> :</w:t>
      </w:r>
      <w:r w:rsidRPr="00BE688E">
        <w:rPr>
          <w:i/>
          <w:lang w:val="fr-CA"/>
        </w:rPr>
        <w:t> Nelligan O’Brien Payne, Ottawa.</w:t>
      </w:r>
    </w:p>
    <w:p w:rsidR="005F030A" w:rsidRPr="00BE688E" w:rsidRDefault="005F030A" w:rsidP="005F030A">
      <w:pPr>
        <w:pStyle w:val="SCCLawFirm"/>
        <w:spacing w:after="480"/>
        <w:rPr>
          <w:lang w:val="fr-CA"/>
        </w:rPr>
      </w:pPr>
      <w:r w:rsidRPr="00BE688E">
        <w:rPr>
          <w:lang w:val="fr-CA"/>
        </w:rPr>
        <w:tab/>
        <w:t xml:space="preserve">Procureur de l’intervenant le Centre ontarien de défense des droits des locataires </w:t>
      </w:r>
      <w:r>
        <w:rPr>
          <w:lang w:val="fr-CA"/>
        </w:rPr>
        <w:t>-</w:t>
      </w:r>
      <w:r w:rsidRPr="00BE688E">
        <w:rPr>
          <w:lang w:val="fr-CA"/>
        </w:rPr>
        <w:t xml:space="preserve"> Programme d’avocats de service en droit du logement</w:t>
      </w:r>
      <w:r>
        <w:rPr>
          <w:lang w:val="fr-CA"/>
        </w:rPr>
        <w:t> :</w:t>
      </w:r>
      <w:r w:rsidRPr="00BE688E">
        <w:rPr>
          <w:lang w:val="fr-CA"/>
        </w:rPr>
        <w:t> Centre ontarien de défense des droits des locataires, Toronto.</w:t>
      </w:r>
    </w:p>
    <w:p w:rsidR="005F030A" w:rsidRPr="00BE688E" w:rsidRDefault="005F030A" w:rsidP="005F030A">
      <w:pPr>
        <w:pStyle w:val="SCCLawFirm"/>
        <w:spacing w:after="480"/>
        <w:rPr>
          <w:lang w:val="fr-CA"/>
        </w:rPr>
      </w:pPr>
      <w:r w:rsidRPr="00BE688E">
        <w:rPr>
          <w:lang w:val="fr-CA"/>
        </w:rPr>
        <w:lastRenderedPageBreak/>
        <w:tab/>
        <w:t>Procureur des intervenantes la Commission des valeurs mobilières de l’Ontario, British Columbia Securities Commission et Alberta Securities Commission</w:t>
      </w:r>
      <w:r>
        <w:rPr>
          <w:lang w:val="fr-CA"/>
        </w:rPr>
        <w:t> :</w:t>
      </w:r>
      <w:r w:rsidRPr="00BE688E">
        <w:rPr>
          <w:lang w:val="fr-CA"/>
        </w:rPr>
        <w:t> Ontario Securities Commission, Toronto.</w:t>
      </w:r>
    </w:p>
    <w:p w:rsidR="005F030A" w:rsidRPr="00BE688E" w:rsidRDefault="005F030A" w:rsidP="005F030A">
      <w:pPr>
        <w:pStyle w:val="SCCLawFirm"/>
        <w:spacing w:after="480"/>
        <w:rPr>
          <w:lang w:val="fr-CA"/>
        </w:rPr>
      </w:pPr>
      <w:r w:rsidRPr="00BE688E">
        <w:rPr>
          <w:lang w:val="fr-CA"/>
        </w:rPr>
        <w:tab/>
        <w:t xml:space="preserve">Procureur de l’intervenante </w:t>
      </w:r>
      <w:proofErr w:type="spellStart"/>
      <w:r w:rsidRPr="00BE688E">
        <w:rPr>
          <w:lang w:val="fr-CA"/>
        </w:rPr>
        <w:t>Ecojustice</w:t>
      </w:r>
      <w:proofErr w:type="spellEnd"/>
      <w:r w:rsidRPr="00BE688E">
        <w:rPr>
          <w:lang w:val="fr-CA"/>
        </w:rPr>
        <w:t xml:space="preserve"> Canada Society</w:t>
      </w:r>
      <w:r>
        <w:rPr>
          <w:lang w:val="fr-CA"/>
        </w:rPr>
        <w:t> :</w:t>
      </w:r>
      <w:r w:rsidRPr="00BE688E">
        <w:rPr>
          <w:lang w:val="fr-CA"/>
        </w:rPr>
        <w:t> </w:t>
      </w:r>
      <w:proofErr w:type="spellStart"/>
      <w:r w:rsidRPr="00BE688E">
        <w:rPr>
          <w:lang w:val="fr-CA"/>
        </w:rPr>
        <w:t>Ecojustice</w:t>
      </w:r>
      <w:proofErr w:type="spellEnd"/>
      <w:r w:rsidRPr="00BE688E">
        <w:rPr>
          <w:lang w:val="fr-CA"/>
        </w:rPr>
        <w:t xml:space="preserve"> Canada Society, Toronto.</w:t>
      </w:r>
    </w:p>
    <w:p w:rsidR="005F030A" w:rsidRPr="00BE688E" w:rsidRDefault="005F030A" w:rsidP="005F030A">
      <w:pPr>
        <w:pStyle w:val="SCCLawFirm"/>
        <w:spacing w:after="480"/>
        <w:rPr>
          <w:lang w:val="fr-CA"/>
        </w:rPr>
      </w:pPr>
      <w:r w:rsidRPr="00BE688E">
        <w:rPr>
          <w:lang w:val="fr-CA"/>
        </w:rPr>
        <w:tab/>
        <w:t xml:space="preserve">Procureur des intervenants le Tribunal d’appel de la sécurité professionnelle et de l’assurance contre les accidents du travail (Ontario), </w:t>
      </w:r>
      <w:proofErr w:type="spellStart"/>
      <w:r w:rsidRPr="00BE688E">
        <w:rPr>
          <w:lang w:val="fr-CA"/>
        </w:rPr>
        <w:t>Workers</w:t>
      </w:r>
      <w:proofErr w:type="spellEnd"/>
      <w:r w:rsidRPr="00BE688E">
        <w:rPr>
          <w:lang w:val="fr-CA"/>
        </w:rPr>
        <w:t xml:space="preserve">’ Compensation </w:t>
      </w:r>
      <w:proofErr w:type="spellStart"/>
      <w:r w:rsidRPr="00BE688E">
        <w:rPr>
          <w:lang w:val="fr-CA"/>
        </w:rPr>
        <w:t>Appeals</w:t>
      </w:r>
      <w:proofErr w:type="spellEnd"/>
      <w:r w:rsidRPr="00BE688E">
        <w:rPr>
          <w:lang w:val="fr-CA"/>
        </w:rPr>
        <w:t xml:space="preserve"> Tribunal (Territoires du Nord</w:t>
      </w:r>
      <w:r>
        <w:rPr>
          <w:lang w:val="fr-CA"/>
        </w:rPr>
        <w:noBreakHyphen/>
      </w:r>
      <w:r w:rsidRPr="00BE688E">
        <w:rPr>
          <w:lang w:val="fr-CA"/>
        </w:rPr>
        <w:t>Ouest et Nunavut), le Tribunal d’appel des décisions de la Commission des accidents du travail de la Nouvelle</w:t>
      </w:r>
      <w:r>
        <w:rPr>
          <w:lang w:val="fr-CA"/>
        </w:rPr>
        <w:noBreakHyphen/>
      </w:r>
      <w:r w:rsidRPr="00BE688E">
        <w:rPr>
          <w:lang w:val="fr-CA"/>
        </w:rPr>
        <w:t xml:space="preserve">Écosse, </w:t>
      </w:r>
      <w:proofErr w:type="spellStart"/>
      <w:r w:rsidRPr="00BE688E">
        <w:rPr>
          <w:lang w:val="fr-CA"/>
        </w:rPr>
        <w:t>Appeals</w:t>
      </w:r>
      <w:proofErr w:type="spellEnd"/>
      <w:r w:rsidRPr="00BE688E">
        <w:rPr>
          <w:lang w:val="fr-CA"/>
        </w:rPr>
        <w:t xml:space="preserve"> Commission for Alberta </w:t>
      </w:r>
      <w:proofErr w:type="spellStart"/>
      <w:r w:rsidRPr="00BE688E">
        <w:rPr>
          <w:lang w:val="fr-CA"/>
        </w:rPr>
        <w:t>Workers</w:t>
      </w:r>
      <w:proofErr w:type="spellEnd"/>
      <w:r w:rsidRPr="00BE688E">
        <w:rPr>
          <w:lang w:val="fr-CA"/>
        </w:rPr>
        <w:t>’ Compensation et le Tribunal d’appel des accidents au travail (Nouveau</w:t>
      </w:r>
      <w:r>
        <w:rPr>
          <w:lang w:val="fr-CA"/>
        </w:rPr>
        <w:noBreakHyphen/>
      </w:r>
      <w:r w:rsidRPr="00BE688E">
        <w:rPr>
          <w:lang w:val="fr-CA"/>
        </w:rPr>
        <w:t>Brunswick)</w:t>
      </w:r>
      <w:r>
        <w:rPr>
          <w:lang w:val="fr-CA"/>
        </w:rPr>
        <w:t> :</w:t>
      </w:r>
      <w:r w:rsidRPr="00BE688E">
        <w:rPr>
          <w:lang w:val="fr-CA"/>
        </w:rPr>
        <w:t> </w:t>
      </w:r>
      <w:proofErr w:type="spellStart"/>
      <w:r w:rsidRPr="00BE688E">
        <w:rPr>
          <w:lang w:val="fr-CA"/>
        </w:rPr>
        <w:t>Workplace</w:t>
      </w:r>
      <w:proofErr w:type="spellEnd"/>
      <w:r w:rsidRPr="00BE688E">
        <w:rPr>
          <w:lang w:val="fr-CA"/>
        </w:rPr>
        <w:t xml:space="preserve"> </w:t>
      </w:r>
      <w:proofErr w:type="spellStart"/>
      <w:r w:rsidRPr="00BE688E">
        <w:rPr>
          <w:lang w:val="fr-CA"/>
        </w:rPr>
        <w:t>Safety</w:t>
      </w:r>
      <w:proofErr w:type="spellEnd"/>
      <w:r w:rsidRPr="00BE688E">
        <w:rPr>
          <w:lang w:val="fr-CA"/>
        </w:rPr>
        <w:t xml:space="preserve"> and </w:t>
      </w:r>
      <w:proofErr w:type="spellStart"/>
      <w:r w:rsidRPr="00BE688E">
        <w:rPr>
          <w:lang w:val="fr-CA"/>
        </w:rPr>
        <w:t>Insurance</w:t>
      </w:r>
      <w:proofErr w:type="spellEnd"/>
      <w:r w:rsidRPr="00BE688E">
        <w:rPr>
          <w:lang w:val="fr-CA"/>
        </w:rPr>
        <w:t xml:space="preserve"> </w:t>
      </w:r>
      <w:proofErr w:type="spellStart"/>
      <w:r w:rsidRPr="00BE688E">
        <w:rPr>
          <w:lang w:val="fr-CA"/>
        </w:rPr>
        <w:t>Appeals</w:t>
      </w:r>
      <w:proofErr w:type="spellEnd"/>
      <w:r w:rsidRPr="00BE688E">
        <w:rPr>
          <w:lang w:val="fr-CA"/>
        </w:rPr>
        <w:t xml:space="preserve"> Tribunal, Toronto.</w:t>
      </w:r>
    </w:p>
    <w:p w:rsidR="005F030A" w:rsidRPr="00BE688E" w:rsidRDefault="005F030A" w:rsidP="005F030A">
      <w:pPr>
        <w:pStyle w:val="SCCNormalDoubleSpacing"/>
        <w:spacing w:after="480"/>
        <w:rPr>
          <w:i/>
          <w:lang w:val="fr-CA"/>
        </w:rPr>
      </w:pPr>
      <w:r w:rsidRPr="00BE688E">
        <w:rPr>
          <w:rStyle w:val="SCCCounselPartyRoleChar"/>
          <w:i/>
          <w:lang w:val="fr-CA"/>
        </w:rPr>
        <w:tab/>
        <w:t xml:space="preserve">Procureurs de l’intervenante British Columbia International Commercial Arbitration Centre </w:t>
      </w:r>
      <w:proofErr w:type="spellStart"/>
      <w:r w:rsidRPr="00BE688E">
        <w:rPr>
          <w:rStyle w:val="SCCCounselPartyRoleChar"/>
          <w:i/>
          <w:lang w:val="fr-CA"/>
        </w:rPr>
        <w:t>Foundation</w:t>
      </w:r>
      <w:proofErr w:type="spellEnd"/>
      <w:r>
        <w:rPr>
          <w:rStyle w:val="SCCCounselPartyRoleChar"/>
          <w:i/>
          <w:lang w:val="fr-CA"/>
        </w:rPr>
        <w:t> :</w:t>
      </w:r>
      <w:r w:rsidRPr="00BE688E">
        <w:rPr>
          <w:rStyle w:val="SCCCounselPartyRoleChar"/>
          <w:i/>
          <w:lang w:val="fr-CA"/>
        </w:rPr>
        <w:t> </w:t>
      </w:r>
      <w:proofErr w:type="spellStart"/>
      <w:r w:rsidRPr="00BE688E">
        <w:rPr>
          <w:rStyle w:val="SCCCounselPartyRoleChar"/>
          <w:i/>
          <w:lang w:val="fr-CA"/>
        </w:rPr>
        <w:t>Fasken</w:t>
      </w:r>
      <w:proofErr w:type="spellEnd"/>
      <w:r w:rsidRPr="00BE688E">
        <w:rPr>
          <w:rStyle w:val="SCCCounselPartyRoleChar"/>
          <w:i/>
          <w:lang w:val="fr-CA"/>
        </w:rPr>
        <w:t xml:space="preserve"> Martineau </w:t>
      </w:r>
      <w:proofErr w:type="spellStart"/>
      <w:r w:rsidRPr="00BE688E">
        <w:rPr>
          <w:rStyle w:val="SCCCounselPartyRoleChar"/>
          <w:i/>
          <w:lang w:val="fr-CA"/>
        </w:rPr>
        <w:t>DuMoulin</w:t>
      </w:r>
      <w:proofErr w:type="spellEnd"/>
      <w:r w:rsidRPr="00BE688E">
        <w:rPr>
          <w:rStyle w:val="SCCCounselPartyRoleChar"/>
          <w:i/>
          <w:lang w:val="fr-CA"/>
        </w:rPr>
        <w:t>, Vancouver.</w:t>
      </w:r>
    </w:p>
    <w:p w:rsidR="005F030A" w:rsidRPr="00BE688E" w:rsidRDefault="005F030A" w:rsidP="005F030A">
      <w:pPr>
        <w:pStyle w:val="SCCLawFirm"/>
        <w:spacing w:after="480"/>
        <w:rPr>
          <w:lang w:val="fr-CA"/>
        </w:rPr>
      </w:pPr>
      <w:r w:rsidRPr="00BE688E">
        <w:rPr>
          <w:lang w:val="fr-CA"/>
        </w:rPr>
        <w:tab/>
        <w:t>Procureurs de l’intervenant le Conseil des tribunaux administratifs canadiens</w:t>
      </w:r>
      <w:r>
        <w:rPr>
          <w:lang w:val="fr-CA"/>
        </w:rPr>
        <w:t> :</w:t>
      </w:r>
      <w:r w:rsidRPr="00BE688E">
        <w:rPr>
          <w:lang w:val="fr-CA"/>
        </w:rPr>
        <w:t> </w:t>
      </w:r>
      <w:proofErr w:type="spellStart"/>
      <w:r w:rsidRPr="00BE688E">
        <w:rPr>
          <w:lang w:val="fr-CA"/>
        </w:rPr>
        <w:t>Lax</w:t>
      </w:r>
      <w:proofErr w:type="spellEnd"/>
      <w:r w:rsidRPr="00BE688E">
        <w:rPr>
          <w:lang w:val="fr-CA"/>
        </w:rPr>
        <w:t xml:space="preserve"> </w:t>
      </w:r>
      <w:proofErr w:type="spellStart"/>
      <w:r w:rsidRPr="00BE688E">
        <w:rPr>
          <w:lang w:val="fr-CA"/>
        </w:rPr>
        <w:t>O’Sullivan</w:t>
      </w:r>
      <w:proofErr w:type="spellEnd"/>
      <w:r w:rsidRPr="00BE688E">
        <w:rPr>
          <w:lang w:val="fr-CA"/>
        </w:rPr>
        <w:t xml:space="preserve"> </w:t>
      </w:r>
      <w:proofErr w:type="spellStart"/>
      <w:r w:rsidRPr="00BE688E">
        <w:rPr>
          <w:lang w:val="fr-CA"/>
        </w:rPr>
        <w:t>Lisus</w:t>
      </w:r>
      <w:proofErr w:type="spellEnd"/>
      <w:r w:rsidRPr="00BE688E">
        <w:rPr>
          <w:lang w:val="fr-CA"/>
        </w:rPr>
        <w:t xml:space="preserve"> Gottlieb, Toronto.</w:t>
      </w:r>
    </w:p>
    <w:p w:rsidR="005F030A" w:rsidRPr="00BE688E" w:rsidRDefault="005F030A" w:rsidP="005F030A">
      <w:pPr>
        <w:pStyle w:val="SCCNormalDoubleSpacing"/>
        <w:spacing w:after="480"/>
        <w:rPr>
          <w:i/>
          <w:lang w:val="fr-CA"/>
        </w:rPr>
      </w:pPr>
      <w:r w:rsidRPr="00BE688E">
        <w:rPr>
          <w:rStyle w:val="SCCCounselPartyRoleChar"/>
          <w:lang w:val="fr-CA"/>
        </w:rPr>
        <w:tab/>
      </w:r>
      <w:r w:rsidRPr="00BE688E">
        <w:rPr>
          <w:rStyle w:val="SCCCounselPartyRoleChar"/>
          <w:i/>
          <w:lang w:val="fr-CA"/>
        </w:rPr>
        <w:t xml:space="preserve">Procureurs des intervenantes National </w:t>
      </w:r>
      <w:proofErr w:type="spellStart"/>
      <w:r w:rsidRPr="00BE688E">
        <w:rPr>
          <w:rStyle w:val="SCCCounselPartyRoleChar"/>
          <w:i/>
          <w:lang w:val="fr-CA"/>
        </w:rPr>
        <w:t>Academy</w:t>
      </w:r>
      <w:proofErr w:type="spellEnd"/>
      <w:r w:rsidRPr="00BE688E">
        <w:rPr>
          <w:rStyle w:val="SCCCounselPartyRoleChar"/>
          <w:i/>
          <w:lang w:val="fr-CA"/>
        </w:rPr>
        <w:t xml:space="preserve"> of </w:t>
      </w:r>
      <w:proofErr w:type="spellStart"/>
      <w:r w:rsidRPr="00BE688E">
        <w:rPr>
          <w:rStyle w:val="SCCCounselPartyRoleChar"/>
          <w:i/>
          <w:lang w:val="fr-CA"/>
        </w:rPr>
        <w:t>Arbitrators</w:t>
      </w:r>
      <w:proofErr w:type="spellEnd"/>
      <w:r w:rsidRPr="00BE688E">
        <w:rPr>
          <w:rStyle w:val="SCCCounselPartyRoleChar"/>
          <w:i/>
          <w:lang w:val="fr-CA"/>
        </w:rPr>
        <w:t>, Ontario Labour</w:t>
      </w:r>
      <w:r>
        <w:rPr>
          <w:rStyle w:val="SCCCounselPartyRoleChar"/>
          <w:i/>
          <w:lang w:val="fr-CA"/>
        </w:rPr>
        <w:noBreakHyphen/>
      </w:r>
      <w:r w:rsidRPr="00BE688E">
        <w:rPr>
          <w:rStyle w:val="SCCCounselPartyRoleChar"/>
          <w:i/>
          <w:lang w:val="fr-CA"/>
        </w:rPr>
        <w:t xml:space="preserve">Management </w:t>
      </w:r>
      <w:proofErr w:type="spellStart"/>
      <w:r w:rsidRPr="00BE688E">
        <w:rPr>
          <w:rStyle w:val="SCCCounselPartyRoleChar"/>
          <w:i/>
          <w:lang w:val="fr-CA"/>
        </w:rPr>
        <w:t>Arbitrators</w:t>
      </w:r>
      <w:proofErr w:type="spellEnd"/>
      <w:r w:rsidRPr="00BE688E">
        <w:rPr>
          <w:rStyle w:val="SCCCounselPartyRoleChar"/>
          <w:i/>
          <w:lang w:val="fr-CA"/>
        </w:rPr>
        <w:t>’ Association et la Conférence des arbitres du Québec</w:t>
      </w:r>
      <w:r>
        <w:rPr>
          <w:rStyle w:val="SCCCounselPartyRoleChar"/>
          <w:i/>
          <w:lang w:val="fr-CA"/>
        </w:rPr>
        <w:t> :</w:t>
      </w:r>
      <w:r w:rsidRPr="00BE688E">
        <w:rPr>
          <w:rStyle w:val="SCCCounselPartyRoleChar"/>
          <w:i/>
          <w:lang w:val="fr-CA"/>
        </w:rPr>
        <w:t xml:space="preserve"> Susan L. Stewart, Toronto; </w:t>
      </w:r>
      <w:proofErr w:type="spellStart"/>
      <w:r w:rsidRPr="00BE688E">
        <w:rPr>
          <w:rStyle w:val="SCCCounselPartyRoleChar"/>
          <w:i/>
          <w:lang w:val="fr-CA"/>
        </w:rPr>
        <w:t>Paliare</w:t>
      </w:r>
      <w:proofErr w:type="spellEnd"/>
      <w:r w:rsidRPr="00BE688E">
        <w:rPr>
          <w:rStyle w:val="SCCCounselPartyRoleChar"/>
          <w:i/>
          <w:lang w:val="fr-CA"/>
        </w:rPr>
        <w:t xml:space="preserve"> Roland Rosenberg </w:t>
      </w:r>
      <w:proofErr w:type="spellStart"/>
      <w:r w:rsidRPr="00BE688E">
        <w:rPr>
          <w:rStyle w:val="SCCCounselPartyRoleChar"/>
          <w:i/>
          <w:lang w:val="fr-CA"/>
        </w:rPr>
        <w:t>Rothstein</w:t>
      </w:r>
      <w:proofErr w:type="spellEnd"/>
      <w:r w:rsidRPr="00BE688E">
        <w:rPr>
          <w:rStyle w:val="SCCCounselPartyRoleChar"/>
          <w:i/>
          <w:lang w:val="fr-CA"/>
        </w:rPr>
        <w:t xml:space="preserve">, Toronto; Rae Christen </w:t>
      </w:r>
      <w:proofErr w:type="spellStart"/>
      <w:r w:rsidRPr="00BE688E">
        <w:rPr>
          <w:rStyle w:val="SCCCounselPartyRoleChar"/>
          <w:i/>
          <w:lang w:val="fr-CA"/>
        </w:rPr>
        <w:t>Jeffries</w:t>
      </w:r>
      <w:proofErr w:type="spellEnd"/>
      <w:r w:rsidRPr="00BE688E">
        <w:rPr>
          <w:rStyle w:val="SCCCounselPartyRoleChar"/>
          <w:i/>
          <w:lang w:val="fr-CA"/>
        </w:rPr>
        <w:t>, Toronto.</w:t>
      </w:r>
    </w:p>
    <w:p w:rsidR="005F030A" w:rsidRPr="00BE688E" w:rsidRDefault="005F030A" w:rsidP="005F030A">
      <w:pPr>
        <w:pStyle w:val="SCCLawFirm"/>
        <w:spacing w:after="480"/>
        <w:rPr>
          <w:lang w:val="fr-CA"/>
        </w:rPr>
      </w:pPr>
      <w:r w:rsidRPr="00BE688E">
        <w:rPr>
          <w:lang w:val="fr-CA"/>
        </w:rPr>
        <w:lastRenderedPageBreak/>
        <w:tab/>
        <w:t>Procureurs de l’intervenant le Congrès du travail du Canada</w:t>
      </w:r>
      <w:r>
        <w:rPr>
          <w:lang w:val="fr-CA"/>
        </w:rPr>
        <w:t> :</w:t>
      </w:r>
      <w:r w:rsidRPr="00BE688E">
        <w:rPr>
          <w:lang w:val="fr-CA"/>
        </w:rPr>
        <w:t> </w:t>
      </w:r>
      <w:proofErr w:type="spellStart"/>
      <w:r w:rsidRPr="00BE688E">
        <w:rPr>
          <w:lang w:val="fr-CA"/>
        </w:rPr>
        <w:t>Goldblatt</w:t>
      </w:r>
      <w:proofErr w:type="spellEnd"/>
      <w:r w:rsidRPr="00BE688E">
        <w:rPr>
          <w:lang w:val="fr-CA"/>
        </w:rPr>
        <w:t xml:space="preserve"> </w:t>
      </w:r>
      <w:proofErr w:type="spellStart"/>
      <w:r w:rsidRPr="00BE688E">
        <w:rPr>
          <w:lang w:val="fr-CA"/>
        </w:rPr>
        <w:t>Partners</w:t>
      </w:r>
      <w:proofErr w:type="spellEnd"/>
      <w:r w:rsidRPr="00BE688E">
        <w:rPr>
          <w:lang w:val="fr-CA"/>
        </w:rPr>
        <w:t>, Toronto.</w:t>
      </w:r>
    </w:p>
    <w:p w:rsidR="005F030A" w:rsidRPr="00BE688E" w:rsidRDefault="005F030A" w:rsidP="005F030A">
      <w:pPr>
        <w:pStyle w:val="SCCNormalDoubleSpacing"/>
        <w:spacing w:after="480"/>
        <w:rPr>
          <w:i/>
          <w:lang w:val="fr-CA"/>
        </w:rPr>
      </w:pPr>
      <w:r w:rsidRPr="00BE688E">
        <w:rPr>
          <w:rStyle w:val="SCCCounselPartyRoleChar"/>
          <w:lang w:val="fr-CA"/>
        </w:rPr>
        <w:tab/>
      </w:r>
      <w:r w:rsidRPr="00BE688E">
        <w:rPr>
          <w:rStyle w:val="SCCCounselPartyRoleChar"/>
          <w:i/>
          <w:lang w:val="fr-CA"/>
        </w:rPr>
        <w:t>Procureurs de l’intervenante l’Association nationale des organismes de réglementation de la pharmacie</w:t>
      </w:r>
      <w:r>
        <w:rPr>
          <w:rStyle w:val="SCCCounselPartyRoleChar"/>
          <w:i/>
          <w:lang w:val="fr-CA"/>
        </w:rPr>
        <w:t> :</w:t>
      </w:r>
      <w:r w:rsidRPr="00BE688E">
        <w:rPr>
          <w:rStyle w:val="SCCCounselPartyRoleChar"/>
          <w:i/>
          <w:lang w:val="fr-CA"/>
        </w:rPr>
        <w:t> </w:t>
      </w:r>
      <w:proofErr w:type="spellStart"/>
      <w:r w:rsidRPr="00BE688E">
        <w:rPr>
          <w:rStyle w:val="SCCCounselPartyRoleChar"/>
          <w:i/>
          <w:lang w:val="fr-CA"/>
        </w:rPr>
        <w:t>Shores</w:t>
      </w:r>
      <w:proofErr w:type="spellEnd"/>
      <w:r w:rsidRPr="00BE688E">
        <w:rPr>
          <w:rStyle w:val="SCCCounselPartyRoleChar"/>
          <w:i/>
          <w:lang w:val="fr-CA"/>
        </w:rPr>
        <w:t xml:space="preserve"> Jardine, Edmonton.</w:t>
      </w:r>
    </w:p>
    <w:p w:rsidR="005F030A" w:rsidRPr="00BE688E" w:rsidRDefault="005F030A" w:rsidP="005F030A">
      <w:pPr>
        <w:pStyle w:val="SCCLawFirm"/>
        <w:spacing w:after="480"/>
        <w:rPr>
          <w:lang w:val="fr-CA"/>
        </w:rPr>
      </w:pPr>
      <w:r w:rsidRPr="00BE688E">
        <w:rPr>
          <w:lang w:val="fr-CA"/>
        </w:rPr>
        <w:tab/>
        <w:t xml:space="preserve">Procureurs de l’intervenante </w:t>
      </w:r>
      <w:proofErr w:type="spellStart"/>
      <w:r w:rsidRPr="00BE688E">
        <w:rPr>
          <w:lang w:val="fr-CA"/>
        </w:rPr>
        <w:t>Queen’s</w:t>
      </w:r>
      <w:proofErr w:type="spellEnd"/>
      <w:r w:rsidRPr="00BE688E">
        <w:rPr>
          <w:lang w:val="fr-CA"/>
        </w:rPr>
        <w:t xml:space="preserve"> Prison Law </w:t>
      </w:r>
      <w:proofErr w:type="spellStart"/>
      <w:r w:rsidRPr="00BE688E">
        <w:rPr>
          <w:lang w:val="fr-CA"/>
        </w:rPr>
        <w:t>Clinic</w:t>
      </w:r>
      <w:proofErr w:type="spellEnd"/>
      <w:r>
        <w:rPr>
          <w:lang w:val="fr-CA"/>
        </w:rPr>
        <w:t> :</w:t>
      </w:r>
      <w:r w:rsidRPr="00BE688E">
        <w:rPr>
          <w:lang w:val="fr-CA"/>
        </w:rPr>
        <w:t> </w:t>
      </w:r>
      <w:proofErr w:type="spellStart"/>
      <w:r w:rsidRPr="00BE688E">
        <w:rPr>
          <w:lang w:val="fr-CA"/>
        </w:rPr>
        <w:t>Stockwoods</w:t>
      </w:r>
      <w:proofErr w:type="spellEnd"/>
      <w:r w:rsidRPr="00BE688E">
        <w:rPr>
          <w:lang w:val="fr-CA"/>
        </w:rPr>
        <w:t>, Toronto.</w:t>
      </w:r>
    </w:p>
    <w:p w:rsidR="005F030A" w:rsidRPr="00BE688E" w:rsidRDefault="005F030A" w:rsidP="005F030A">
      <w:pPr>
        <w:pStyle w:val="SCCLawFirm"/>
        <w:spacing w:after="480"/>
        <w:rPr>
          <w:lang w:val="fr-CA"/>
        </w:rPr>
      </w:pPr>
      <w:r w:rsidRPr="00BE688E">
        <w:rPr>
          <w:lang w:val="fr-CA"/>
        </w:rPr>
        <w:tab/>
        <w:t xml:space="preserve">Procureurs de l’intervenant </w:t>
      </w:r>
      <w:proofErr w:type="spellStart"/>
      <w:r w:rsidRPr="00BE688E">
        <w:rPr>
          <w:lang w:val="fr-CA"/>
        </w:rPr>
        <w:t>Advocates</w:t>
      </w:r>
      <w:proofErr w:type="spellEnd"/>
      <w:r w:rsidRPr="00BE688E">
        <w:rPr>
          <w:lang w:val="fr-CA"/>
        </w:rPr>
        <w:t xml:space="preserve"> for the </w:t>
      </w:r>
      <w:proofErr w:type="spellStart"/>
      <w:r w:rsidRPr="00BE688E">
        <w:rPr>
          <w:lang w:val="fr-CA"/>
        </w:rPr>
        <w:t>Rule</w:t>
      </w:r>
      <w:proofErr w:type="spellEnd"/>
      <w:r w:rsidRPr="00BE688E">
        <w:rPr>
          <w:lang w:val="fr-CA"/>
        </w:rPr>
        <w:t xml:space="preserve"> of Law</w:t>
      </w:r>
      <w:r>
        <w:rPr>
          <w:lang w:val="fr-CA"/>
        </w:rPr>
        <w:t> :</w:t>
      </w:r>
      <w:r w:rsidRPr="00BE688E">
        <w:rPr>
          <w:lang w:val="fr-CA"/>
        </w:rPr>
        <w:t xml:space="preserve"> McCarthy </w:t>
      </w:r>
      <w:proofErr w:type="spellStart"/>
      <w:r w:rsidRPr="00BE688E">
        <w:rPr>
          <w:lang w:val="fr-CA"/>
        </w:rPr>
        <w:t>Tétrault</w:t>
      </w:r>
      <w:proofErr w:type="spellEnd"/>
      <w:r w:rsidRPr="00BE688E">
        <w:rPr>
          <w:lang w:val="fr-CA"/>
        </w:rPr>
        <w:t>, Vancouver.</w:t>
      </w:r>
    </w:p>
    <w:p w:rsidR="005F030A" w:rsidRPr="00BE688E" w:rsidRDefault="005F030A" w:rsidP="005F030A">
      <w:pPr>
        <w:pStyle w:val="SCCLawFirm"/>
        <w:spacing w:after="480"/>
      </w:pPr>
      <w:r w:rsidRPr="00BE688E">
        <w:rPr>
          <w:lang w:val="fr-CA"/>
        </w:rPr>
        <w:tab/>
      </w:r>
      <w:proofErr w:type="spellStart"/>
      <w:r w:rsidRPr="00BE688E">
        <w:t>Procureurs</w:t>
      </w:r>
      <w:proofErr w:type="spellEnd"/>
      <w:r w:rsidRPr="00BE688E">
        <w:t xml:space="preserve"> de </w:t>
      </w:r>
      <w:proofErr w:type="spellStart"/>
      <w:r w:rsidRPr="00BE688E">
        <w:t>l’intervenant</w:t>
      </w:r>
      <w:proofErr w:type="spellEnd"/>
      <w:r w:rsidRPr="00BE688E">
        <w:t xml:space="preserve"> Cambridge Comparative Administrative Law </w:t>
      </w:r>
      <w:proofErr w:type="gramStart"/>
      <w:r w:rsidRPr="00BE688E">
        <w:t>Forum</w:t>
      </w:r>
      <w:r>
        <w:t> :</w:t>
      </w:r>
      <w:proofErr w:type="gramEnd"/>
      <w:r w:rsidRPr="00BE688E">
        <w:t> Cambridge University — The Faculty of Law, Cambridge (R.</w:t>
      </w:r>
      <w:r>
        <w:noBreakHyphen/>
      </w:r>
      <w:r w:rsidRPr="00BE688E">
        <w:t xml:space="preserve">U.); White &amp; Case, </w:t>
      </w:r>
      <w:r w:rsidRPr="00BE688E">
        <w:rPr>
          <w:sz w:val="23"/>
          <w:szCs w:val="23"/>
          <w:lang w:val="en"/>
        </w:rPr>
        <w:t>Washington, D.C</w:t>
      </w:r>
      <w:r w:rsidRPr="00BE688E">
        <w:t>.</w:t>
      </w:r>
    </w:p>
    <w:p w:rsidR="005F030A" w:rsidRDefault="005F030A" w:rsidP="005F030A">
      <w:pPr>
        <w:pStyle w:val="SCCNormalDoubleSpacing"/>
        <w:spacing w:after="480"/>
        <w:rPr>
          <w:rStyle w:val="SCCCounselPartyRoleChar"/>
          <w:i/>
        </w:rPr>
      </w:pPr>
      <w:r w:rsidRPr="00BE688E">
        <w:rPr>
          <w:rStyle w:val="SCCCounselPartyRoleChar"/>
        </w:rPr>
        <w:tab/>
      </w:r>
      <w:proofErr w:type="spellStart"/>
      <w:r w:rsidRPr="00BE688E">
        <w:rPr>
          <w:rStyle w:val="SCCCounselPartyRoleChar"/>
          <w:i/>
        </w:rPr>
        <w:t>Procureurs</w:t>
      </w:r>
      <w:proofErr w:type="spellEnd"/>
      <w:r w:rsidRPr="00BE688E">
        <w:rPr>
          <w:rStyle w:val="SCCCounselPartyRoleChar"/>
          <w:i/>
        </w:rPr>
        <w:t xml:space="preserve"> des </w:t>
      </w:r>
      <w:proofErr w:type="spellStart"/>
      <w:r w:rsidRPr="00BE688E">
        <w:rPr>
          <w:rStyle w:val="SCCCounselPartyRoleChar"/>
          <w:i/>
        </w:rPr>
        <w:t>intervenantes</w:t>
      </w:r>
      <w:proofErr w:type="spellEnd"/>
      <w:r w:rsidRPr="00BE688E">
        <w:rPr>
          <w:rStyle w:val="SCCCounselPartyRoleChar"/>
          <w:i/>
        </w:rPr>
        <w:t xml:space="preserve"> </w:t>
      </w:r>
      <w:proofErr w:type="spellStart"/>
      <w:r w:rsidRPr="00BE688E">
        <w:rPr>
          <w:rStyle w:val="SCCCounselPartyRoleChar"/>
          <w:i/>
        </w:rPr>
        <w:t>l’Association</w:t>
      </w:r>
      <w:proofErr w:type="spellEnd"/>
      <w:r w:rsidRPr="00BE688E">
        <w:rPr>
          <w:rStyle w:val="SCCCounselPartyRoleChar"/>
          <w:i/>
        </w:rPr>
        <w:t xml:space="preserve"> </w:t>
      </w:r>
      <w:proofErr w:type="spellStart"/>
      <w:r w:rsidRPr="00BE688E">
        <w:rPr>
          <w:rStyle w:val="SCCCounselPartyRoleChar"/>
          <w:i/>
        </w:rPr>
        <w:t>canadienne</w:t>
      </w:r>
      <w:proofErr w:type="spellEnd"/>
      <w:r w:rsidRPr="00BE688E">
        <w:rPr>
          <w:rStyle w:val="SCCCounselPartyRoleChar"/>
          <w:i/>
        </w:rPr>
        <w:t xml:space="preserve"> des </w:t>
      </w:r>
      <w:proofErr w:type="spellStart"/>
      <w:r w:rsidRPr="00BE688E">
        <w:rPr>
          <w:rStyle w:val="SCCCounselPartyRoleChar"/>
          <w:i/>
        </w:rPr>
        <w:t>annonceurs</w:t>
      </w:r>
      <w:proofErr w:type="spellEnd"/>
      <w:r w:rsidRPr="00BE688E">
        <w:rPr>
          <w:rStyle w:val="SCCCounselPartyRoleChar"/>
          <w:i/>
        </w:rPr>
        <w:t xml:space="preserve"> et Alliance of Canadian Cinema, Television and Radio </w:t>
      </w:r>
      <w:proofErr w:type="gramStart"/>
      <w:r w:rsidRPr="00BE688E">
        <w:rPr>
          <w:rStyle w:val="SCCCounselPartyRoleChar"/>
          <w:i/>
        </w:rPr>
        <w:t>Artists</w:t>
      </w:r>
      <w:r>
        <w:rPr>
          <w:rStyle w:val="SCCCounselPartyRoleChar"/>
          <w:i/>
        </w:rPr>
        <w:t> :</w:t>
      </w:r>
      <w:proofErr w:type="gramEnd"/>
      <w:r w:rsidRPr="00BE688E">
        <w:rPr>
          <w:rStyle w:val="SCCCounselPartyRoleChar"/>
          <w:i/>
        </w:rPr>
        <w:t> </w:t>
      </w:r>
      <w:proofErr w:type="spellStart"/>
      <w:r w:rsidRPr="00BE688E">
        <w:rPr>
          <w:rStyle w:val="SCCCounselPartyRoleChar"/>
          <w:i/>
        </w:rPr>
        <w:t>Lenczner</w:t>
      </w:r>
      <w:proofErr w:type="spellEnd"/>
      <w:r w:rsidRPr="00BE688E">
        <w:rPr>
          <w:rStyle w:val="SCCCounselPartyRoleChar"/>
          <w:i/>
        </w:rPr>
        <w:t xml:space="preserve"> </w:t>
      </w:r>
      <w:proofErr w:type="spellStart"/>
      <w:r w:rsidRPr="00BE688E">
        <w:rPr>
          <w:rStyle w:val="SCCCounselPartyRoleChar"/>
          <w:i/>
        </w:rPr>
        <w:t>Slaght</w:t>
      </w:r>
      <w:proofErr w:type="spellEnd"/>
      <w:r w:rsidRPr="00BE688E">
        <w:rPr>
          <w:rStyle w:val="SCCCounselPartyRoleChar"/>
          <w:i/>
        </w:rPr>
        <w:t xml:space="preserve"> Royce Smith Griffin, Toronto.</w:t>
      </w:r>
    </w:p>
    <w:p w:rsidR="005F030A" w:rsidRPr="00BE688E" w:rsidRDefault="005F030A" w:rsidP="005F030A">
      <w:pPr>
        <w:pStyle w:val="SCCLawFirm"/>
        <w:spacing w:after="480"/>
        <w:rPr>
          <w:lang w:val="fr-CA"/>
        </w:rPr>
      </w:pPr>
      <w:r w:rsidRPr="00080745">
        <w:tab/>
      </w:r>
      <w:r w:rsidRPr="00BE688E">
        <w:rPr>
          <w:lang w:val="fr-CA"/>
        </w:rPr>
        <w:t>Procureurs de l’intervenante la Clinique d’intérêt public et de politique d’internet du Canada Samuelson</w:t>
      </w:r>
      <w:r>
        <w:rPr>
          <w:lang w:val="fr-CA"/>
        </w:rPr>
        <w:noBreakHyphen/>
      </w:r>
      <w:proofErr w:type="spellStart"/>
      <w:r w:rsidRPr="00BE688E">
        <w:rPr>
          <w:lang w:val="fr-CA"/>
        </w:rPr>
        <w:t>Glushko</w:t>
      </w:r>
      <w:proofErr w:type="spellEnd"/>
      <w:r>
        <w:rPr>
          <w:lang w:val="fr-CA"/>
        </w:rPr>
        <w:t> :</w:t>
      </w:r>
      <w:r w:rsidRPr="00BE688E">
        <w:rPr>
          <w:lang w:val="fr-CA"/>
        </w:rPr>
        <w:t xml:space="preserve"> Caza </w:t>
      </w:r>
      <w:proofErr w:type="spellStart"/>
      <w:r w:rsidRPr="00BE688E">
        <w:rPr>
          <w:lang w:val="fr-CA"/>
        </w:rPr>
        <w:t>Saikaley</w:t>
      </w:r>
      <w:proofErr w:type="spellEnd"/>
      <w:r w:rsidRPr="00BE688E">
        <w:rPr>
          <w:lang w:val="fr-CA"/>
        </w:rPr>
        <w:t>, Ottawa.</w:t>
      </w:r>
    </w:p>
    <w:p w:rsidR="005F030A" w:rsidRPr="00683E79" w:rsidRDefault="005F030A" w:rsidP="005F030A">
      <w:pPr>
        <w:pStyle w:val="SCCLawFirm"/>
        <w:spacing w:after="480"/>
        <w:rPr>
          <w:rStyle w:val="SCCCounselPartyRoleChar"/>
          <w:lang w:val="fr-CA"/>
        </w:rPr>
      </w:pPr>
      <w:r w:rsidRPr="00BE688E">
        <w:rPr>
          <w:lang w:val="fr-CA"/>
        </w:rPr>
        <w:tab/>
        <w:t>Procureurs de l’intervenante l’Association du Barreau canadien</w:t>
      </w:r>
      <w:r>
        <w:rPr>
          <w:lang w:val="fr-CA"/>
        </w:rPr>
        <w:t> :</w:t>
      </w:r>
      <w:r w:rsidRPr="00BE688E">
        <w:rPr>
          <w:lang w:val="fr-CA"/>
        </w:rPr>
        <w:t> </w:t>
      </w:r>
      <w:proofErr w:type="spellStart"/>
      <w:r w:rsidRPr="00BE688E">
        <w:rPr>
          <w:lang w:val="fr-CA"/>
        </w:rPr>
        <w:t>Gowling</w:t>
      </w:r>
      <w:proofErr w:type="spellEnd"/>
      <w:r w:rsidRPr="00BE688E">
        <w:rPr>
          <w:lang w:val="fr-CA"/>
        </w:rPr>
        <w:t xml:space="preserve"> WLG (Canada), Ottawa.</w:t>
      </w:r>
    </w:p>
    <w:p w:rsidR="005F030A" w:rsidRPr="00683E79" w:rsidRDefault="005F030A" w:rsidP="005F030A">
      <w:pPr>
        <w:pStyle w:val="SCCNormalDoubleSpacing"/>
        <w:spacing w:after="480"/>
        <w:rPr>
          <w:i/>
          <w:lang w:val="fr-CA"/>
        </w:rPr>
      </w:pPr>
      <w:r w:rsidRPr="00683E79">
        <w:rPr>
          <w:rStyle w:val="SCCCounselPartyRoleChar"/>
          <w:lang w:val="fr-CA"/>
        </w:rPr>
        <w:lastRenderedPageBreak/>
        <w:tab/>
      </w:r>
      <w:r w:rsidRPr="00BE688E">
        <w:rPr>
          <w:rStyle w:val="SCCCounselPartyRoleChar"/>
          <w:i/>
          <w:lang w:val="fr-CA"/>
        </w:rPr>
        <w:t xml:space="preserve">Procureurs des intervenants Blue </w:t>
      </w:r>
      <w:proofErr w:type="spellStart"/>
      <w:r w:rsidRPr="00BE688E">
        <w:rPr>
          <w:rStyle w:val="SCCCounselPartyRoleChar"/>
          <w:i/>
          <w:lang w:val="fr-CA"/>
        </w:rPr>
        <w:t>Ant</w:t>
      </w:r>
      <w:proofErr w:type="spellEnd"/>
      <w:r w:rsidRPr="00BE688E">
        <w:rPr>
          <w:rStyle w:val="SCCCounselPartyRoleChar"/>
          <w:i/>
          <w:lang w:val="fr-CA"/>
        </w:rPr>
        <w:t xml:space="preserve"> Media Inc., la Société Radio</w:t>
      </w:r>
      <w:r>
        <w:rPr>
          <w:rStyle w:val="SCCCounselPartyRoleChar"/>
          <w:i/>
          <w:lang w:val="fr-CA"/>
        </w:rPr>
        <w:noBreakHyphen/>
      </w:r>
      <w:r w:rsidRPr="00BE688E">
        <w:rPr>
          <w:rStyle w:val="SCCCounselPartyRoleChar"/>
          <w:i/>
          <w:lang w:val="fr-CA"/>
        </w:rPr>
        <w:t xml:space="preserve">Canada, DHX Media Ltd., le Groupe V Média </w:t>
      </w:r>
      <w:proofErr w:type="spellStart"/>
      <w:r w:rsidRPr="00BE688E">
        <w:rPr>
          <w:rStyle w:val="SCCCounselPartyRoleChar"/>
          <w:i/>
          <w:lang w:val="fr-CA"/>
        </w:rPr>
        <w:t>inc.</w:t>
      </w:r>
      <w:proofErr w:type="spellEnd"/>
      <w:r w:rsidRPr="00BE688E">
        <w:rPr>
          <w:rStyle w:val="SCCCounselPartyRoleChar"/>
          <w:i/>
          <w:lang w:val="fr-CA"/>
        </w:rPr>
        <w:t xml:space="preserve">, le Groupe de diffuseurs indépendants, </w:t>
      </w:r>
      <w:proofErr w:type="spellStart"/>
      <w:r w:rsidRPr="00BE688E">
        <w:rPr>
          <w:rStyle w:val="SCCCounselPartyRoleChar"/>
          <w:i/>
          <w:lang w:val="fr-CA"/>
        </w:rPr>
        <w:t>Aboriginal</w:t>
      </w:r>
      <w:proofErr w:type="spellEnd"/>
      <w:r w:rsidRPr="00BE688E">
        <w:rPr>
          <w:rStyle w:val="SCCCounselPartyRoleChar"/>
          <w:i/>
          <w:lang w:val="fr-CA"/>
        </w:rPr>
        <w:t xml:space="preserve"> Peoples </w:t>
      </w:r>
      <w:proofErr w:type="spellStart"/>
      <w:r w:rsidRPr="00BE688E">
        <w:rPr>
          <w:rStyle w:val="SCCCounselPartyRoleChar"/>
          <w:i/>
          <w:lang w:val="fr-CA"/>
        </w:rPr>
        <w:t>Television</w:t>
      </w:r>
      <w:proofErr w:type="spellEnd"/>
      <w:r w:rsidRPr="00BE688E">
        <w:rPr>
          <w:rStyle w:val="SCCCounselPartyRoleChar"/>
          <w:i/>
          <w:lang w:val="fr-CA"/>
        </w:rPr>
        <w:t xml:space="preserve"> Network, </w:t>
      </w:r>
      <w:proofErr w:type="spellStart"/>
      <w:r w:rsidRPr="00BE688E">
        <w:rPr>
          <w:rStyle w:val="SCCCounselPartyRoleChar"/>
          <w:i/>
          <w:lang w:val="fr-CA"/>
        </w:rPr>
        <w:t>Allarco</w:t>
      </w:r>
      <w:proofErr w:type="spellEnd"/>
      <w:r w:rsidRPr="00BE688E">
        <w:rPr>
          <w:rStyle w:val="SCCCounselPartyRoleChar"/>
          <w:i/>
          <w:lang w:val="fr-CA"/>
        </w:rPr>
        <w:t xml:space="preserve"> Entertainment Inc., BBC Kids, Channel </w:t>
      </w:r>
      <w:proofErr w:type="spellStart"/>
      <w:r w:rsidRPr="00BE688E">
        <w:rPr>
          <w:rStyle w:val="SCCCounselPartyRoleChar"/>
          <w:i/>
          <w:lang w:val="fr-CA"/>
        </w:rPr>
        <w:t>Zero</w:t>
      </w:r>
      <w:proofErr w:type="spellEnd"/>
      <w:r w:rsidRPr="00BE688E">
        <w:rPr>
          <w:rStyle w:val="SCCCounselPartyRoleChar"/>
          <w:i/>
          <w:lang w:val="fr-CA"/>
        </w:rPr>
        <w:t xml:space="preserve">, </w:t>
      </w:r>
      <w:proofErr w:type="spellStart"/>
      <w:r w:rsidRPr="00BE688E">
        <w:rPr>
          <w:rStyle w:val="SCCCounselPartyRoleChar"/>
          <w:i/>
          <w:lang w:val="fr-CA"/>
        </w:rPr>
        <w:t>Ethnic</w:t>
      </w:r>
      <w:proofErr w:type="spellEnd"/>
      <w:r w:rsidRPr="00BE688E">
        <w:rPr>
          <w:rStyle w:val="SCCCounselPartyRoleChar"/>
          <w:i/>
          <w:lang w:val="fr-CA"/>
        </w:rPr>
        <w:t xml:space="preserve"> </w:t>
      </w:r>
      <w:proofErr w:type="spellStart"/>
      <w:r w:rsidRPr="00BE688E">
        <w:rPr>
          <w:rStyle w:val="SCCCounselPartyRoleChar"/>
          <w:i/>
          <w:lang w:val="fr-CA"/>
        </w:rPr>
        <w:t>Channels</w:t>
      </w:r>
      <w:proofErr w:type="spellEnd"/>
      <w:r w:rsidRPr="00BE688E">
        <w:rPr>
          <w:rStyle w:val="SCCCounselPartyRoleChar"/>
          <w:i/>
          <w:lang w:val="fr-CA"/>
        </w:rPr>
        <w:t xml:space="preserve"> Group Ltd., Hollywood Suite, </w:t>
      </w:r>
      <w:proofErr w:type="spellStart"/>
      <w:r w:rsidRPr="00BE688E">
        <w:rPr>
          <w:rStyle w:val="SCCCounselPartyRoleChar"/>
          <w:i/>
          <w:lang w:val="fr-CA"/>
        </w:rPr>
        <w:t>OUTtv</w:t>
      </w:r>
      <w:proofErr w:type="spellEnd"/>
      <w:r w:rsidRPr="00BE688E">
        <w:rPr>
          <w:rStyle w:val="SCCCounselPartyRoleChar"/>
          <w:i/>
          <w:lang w:val="fr-CA"/>
        </w:rPr>
        <w:t xml:space="preserve"> Network Inc., le Groupe </w:t>
      </w:r>
      <w:proofErr w:type="spellStart"/>
      <w:r w:rsidRPr="00BE688E">
        <w:rPr>
          <w:rStyle w:val="SCCCounselPartyRoleChar"/>
          <w:i/>
          <w:lang w:val="fr-CA"/>
        </w:rPr>
        <w:t>Stingray</w:t>
      </w:r>
      <w:proofErr w:type="spellEnd"/>
      <w:r w:rsidRPr="00BE688E">
        <w:rPr>
          <w:rStyle w:val="SCCCounselPartyRoleChar"/>
          <w:i/>
          <w:lang w:val="fr-CA"/>
        </w:rPr>
        <w:t xml:space="preserve"> Digital </w:t>
      </w:r>
      <w:proofErr w:type="spellStart"/>
      <w:r w:rsidRPr="00BE688E">
        <w:rPr>
          <w:rStyle w:val="SCCCounselPartyRoleChar"/>
          <w:i/>
          <w:lang w:val="fr-CA"/>
        </w:rPr>
        <w:t>inc.</w:t>
      </w:r>
      <w:proofErr w:type="spellEnd"/>
      <w:r w:rsidRPr="00BE688E">
        <w:rPr>
          <w:rStyle w:val="SCCCounselPartyRoleChar"/>
          <w:i/>
          <w:lang w:val="fr-CA"/>
        </w:rPr>
        <w:t xml:space="preserve">, TV5 Québec Canada, </w:t>
      </w:r>
      <w:proofErr w:type="spellStart"/>
      <w:r w:rsidRPr="00BE688E">
        <w:rPr>
          <w:rStyle w:val="SCCCounselPartyRoleChar"/>
          <w:i/>
          <w:lang w:val="fr-CA"/>
        </w:rPr>
        <w:t>ZoomerMedia</w:t>
      </w:r>
      <w:proofErr w:type="spellEnd"/>
      <w:r w:rsidRPr="00BE688E">
        <w:rPr>
          <w:rStyle w:val="SCCCounselPartyRoleChar"/>
          <w:i/>
          <w:lang w:val="fr-CA"/>
        </w:rPr>
        <w:t xml:space="preserve"> Ltd. et le Réseau de stations météorologiques </w:t>
      </w:r>
      <w:proofErr w:type="spellStart"/>
      <w:r w:rsidRPr="00BE688E">
        <w:rPr>
          <w:rStyle w:val="SCCCounselPartyRoleChar"/>
          <w:i/>
          <w:lang w:val="fr-CA"/>
        </w:rPr>
        <w:t>Pelmorex</w:t>
      </w:r>
      <w:proofErr w:type="spellEnd"/>
      <w:r w:rsidRPr="00BE688E">
        <w:rPr>
          <w:rStyle w:val="SCCCounselPartyRoleChar"/>
          <w:i/>
          <w:lang w:val="fr-CA"/>
        </w:rPr>
        <w:t xml:space="preserve"> (Télévision) </w:t>
      </w:r>
      <w:proofErr w:type="spellStart"/>
      <w:r w:rsidRPr="00BE688E">
        <w:rPr>
          <w:rStyle w:val="SCCCounselPartyRoleChar"/>
          <w:i/>
          <w:lang w:val="fr-CA"/>
        </w:rPr>
        <w:t>inc.</w:t>
      </w:r>
      <w:proofErr w:type="spellEnd"/>
      <w:r w:rsidRPr="00BE688E">
        <w:rPr>
          <w:rStyle w:val="SCCCounselPartyRoleChar"/>
          <w:i/>
          <w:lang w:val="fr-CA"/>
        </w:rPr>
        <w:t xml:space="preserve"> (37896)</w:t>
      </w:r>
      <w:r>
        <w:rPr>
          <w:rStyle w:val="SCCCounselPartyRoleChar"/>
          <w:i/>
          <w:lang w:val="fr-CA"/>
        </w:rPr>
        <w:t> :</w:t>
      </w:r>
      <w:r w:rsidRPr="00BE688E">
        <w:rPr>
          <w:rStyle w:val="SCCCounselPartyRoleChar"/>
          <w:i/>
          <w:lang w:val="fr-CA"/>
        </w:rPr>
        <w:t> </w:t>
      </w:r>
      <w:proofErr w:type="spellStart"/>
      <w:r w:rsidRPr="00BE688E">
        <w:rPr>
          <w:rStyle w:val="SCCCounselPartyRoleChar"/>
          <w:i/>
          <w:lang w:val="fr-CA"/>
        </w:rPr>
        <w:t>Fasken</w:t>
      </w:r>
      <w:proofErr w:type="spellEnd"/>
      <w:r w:rsidRPr="00BE688E">
        <w:rPr>
          <w:rStyle w:val="SCCCounselPartyRoleChar"/>
          <w:i/>
          <w:lang w:val="fr-CA"/>
        </w:rPr>
        <w:t xml:space="preserve"> Martineau </w:t>
      </w:r>
      <w:proofErr w:type="spellStart"/>
      <w:r w:rsidRPr="00BE688E">
        <w:rPr>
          <w:rStyle w:val="SCCCounselPartyRoleChar"/>
          <w:i/>
          <w:lang w:val="fr-CA"/>
        </w:rPr>
        <w:t>DuMoulin</w:t>
      </w:r>
      <w:proofErr w:type="spellEnd"/>
      <w:r w:rsidRPr="00BE688E">
        <w:rPr>
          <w:rStyle w:val="SCCCounselPartyRoleChar"/>
          <w:i/>
          <w:lang w:val="fr-CA"/>
        </w:rPr>
        <w:t>, Montréal.</w:t>
      </w:r>
    </w:p>
    <w:p w:rsidR="005F030A" w:rsidRPr="00BE688E" w:rsidRDefault="005F030A" w:rsidP="005F030A">
      <w:pPr>
        <w:pStyle w:val="SCCLawFirm"/>
        <w:spacing w:after="480"/>
        <w:rPr>
          <w:lang w:val="fr-CA"/>
        </w:rPr>
      </w:pPr>
      <w:r w:rsidRPr="00BE688E">
        <w:rPr>
          <w:lang w:val="fr-CA"/>
        </w:rPr>
        <w:tab/>
        <w:t>Procureurs de l’intervenante la Société de soutien à l’enfance et à la famille des Premières Nations du Canada</w:t>
      </w:r>
      <w:r>
        <w:rPr>
          <w:lang w:val="fr-CA"/>
        </w:rPr>
        <w:t> :</w:t>
      </w:r>
      <w:r w:rsidRPr="00BE688E">
        <w:rPr>
          <w:lang w:val="fr-CA"/>
        </w:rPr>
        <w:t> </w:t>
      </w:r>
      <w:proofErr w:type="spellStart"/>
      <w:r w:rsidRPr="00BE688E">
        <w:rPr>
          <w:lang w:val="fr-CA"/>
        </w:rPr>
        <w:t>Stikeman</w:t>
      </w:r>
      <w:proofErr w:type="spellEnd"/>
      <w:r w:rsidRPr="00BE688E">
        <w:rPr>
          <w:lang w:val="fr-CA"/>
        </w:rPr>
        <w:t xml:space="preserve"> Elliott, Ottawa.</w:t>
      </w:r>
    </w:p>
    <w:p w:rsidR="00803999" w:rsidRPr="005F030A" w:rsidRDefault="00803999">
      <w:pPr>
        <w:rPr>
          <w:lang w:val="fr-CA"/>
        </w:rPr>
      </w:pPr>
    </w:p>
    <w:sectPr w:rsidR="00803999" w:rsidRPr="005F030A" w:rsidSect="0011734B">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B9" w:rsidRDefault="00BA7BB9" w:rsidP="005F030A">
      <w:r>
        <w:separator/>
      </w:r>
    </w:p>
  </w:endnote>
  <w:endnote w:type="continuationSeparator" w:id="0">
    <w:p w:rsidR="00BA7BB9" w:rsidRDefault="00BA7BB9" w:rsidP="005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B9" w:rsidRDefault="00BA7BB9" w:rsidP="005F030A">
      <w:r>
        <w:separator/>
      </w:r>
    </w:p>
  </w:footnote>
  <w:footnote w:type="continuationSeparator" w:id="0">
    <w:p w:rsidR="00BA7BB9" w:rsidRDefault="00BA7BB9" w:rsidP="005F030A">
      <w:r>
        <w:continuationSeparator/>
      </w:r>
    </w:p>
  </w:footnote>
  <w:footnote w:id="1">
    <w:p w:rsidR="005F3232" w:rsidRPr="00FB2217" w:rsidRDefault="005F3232" w:rsidP="005F7DB7">
      <w:pPr>
        <w:autoSpaceDE w:val="0"/>
        <w:autoSpaceDN w:val="0"/>
        <w:ind w:left="90" w:hanging="90"/>
        <w:jc w:val="both"/>
        <w:rPr>
          <w:sz w:val="20"/>
          <w:lang w:val="fr-CA"/>
        </w:rPr>
      </w:pPr>
      <w:r w:rsidRPr="00BE3B0F">
        <w:rPr>
          <w:rStyle w:val="FootnoteReference"/>
          <w:sz w:val="20"/>
        </w:rPr>
        <w:footnoteRef/>
      </w:r>
      <w:r>
        <w:rPr>
          <w:sz w:val="20"/>
          <w:lang w:val="fr-CA"/>
        </w:rPr>
        <w:t> </w:t>
      </w:r>
      <w:r w:rsidRPr="001502CA">
        <w:rPr>
          <w:sz w:val="20"/>
          <w:lang w:val="fr-CA"/>
        </w:rPr>
        <w:t>[</w:t>
      </w:r>
      <w:r w:rsidRPr="001502CA">
        <w:rPr>
          <w:smallCaps/>
          <w:sz w:val="20"/>
          <w:lang w:val="fr-CA"/>
        </w:rPr>
        <w:t>traduction</w:t>
      </w:r>
      <w:r w:rsidRPr="001502CA">
        <w:rPr>
          <w:sz w:val="20"/>
          <w:lang w:val="fr-CA"/>
        </w:rPr>
        <w:t>]</w:t>
      </w:r>
      <w:r>
        <w:rPr>
          <w:sz w:val="20"/>
          <w:lang w:val="fr-CA"/>
        </w:rPr>
        <w:t xml:space="preserve"> « </w:t>
      </w:r>
      <w:r w:rsidRPr="008A4E8A">
        <w:rPr>
          <w:b/>
          <w:sz w:val="20"/>
          <w:lang w:val="fr-CA"/>
        </w:rPr>
        <w:t>M. Morris :</w:t>
      </w:r>
      <w:r w:rsidRPr="001502CA">
        <w:rPr>
          <w:sz w:val="20"/>
          <w:lang w:val="fr-CA"/>
        </w:rPr>
        <w:t xml:space="preserve"> Je ne conteste </w:t>
      </w:r>
      <w:r>
        <w:rPr>
          <w:sz w:val="20"/>
          <w:lang w:val="fr-CA"/>
        </w:rPr>
        <w:t xml:space="preserve">pas </w:t>
      </w:r>
      <w:r w:rsidRPr="001502CA">
        <w:rPr>
          <w:sz w:val="20"/>
          <w:lang w:val="fr-CA"/>
        </w:rPr>
        <w:t>qu</w:t>
      </w:r>
      <w:r>
        <w:rPr>
          <w:sz w:val="20"/>
          <w:lang w:val="fr-CA"/>
        </w:rPr>
        <w:t>’</w:t>
      </w:r>
      <w:r w:rsidRPr="001502CA">
        <w:rPr>
          <w:sz w:val="20"/>
          <w:lang w:val="fr-CA"/>
        </w:rPr>
        <w:t>en l</w:t>
      </w:r>
      <w:r>
        <w:rPr>
          <w:sz w:val="20"/>
          <w:lang w:val="fr-CA"/>
        </w:rPr>
        <w:t>’</w:t>
      </w:r>
      <w:r w:rsidRPr="001502CA">
        <w:rPr>
          <w:sz w:val="20"/>
          <w:lang w:val="fr-CA"/>
        </w:rPr>
        <w:t>espèce</w:t>
      </w:r>
      <w:r>
        <w:rPr>
          <w:sz w:val="20"/>
          <w:lang w:val="fr-CA"/>
        </w:rPr>
        <w:t xml:space="preserve"> vous êtes en présence d’une </w:t>
      </w:r>
      <w:r w:rsidRPr="001502CA">
        <w:rPr>
          <w:sz w:val="20"/>
          <w:lang w:val="fr-CA"/>
        </w:rPr>
        <w:t xml:space="preserve">question </w:t>
      </w:r>
      <w:r>
        <w:rPr>
          <w:sz w:val="20"/>
          <w:lang w:val="fr-CA"/>
        </w:rPr>
        <w:t>de compétence</w:t>
      </w:r>
      <w:r w:rsidRPr="001502CA">
        <w:rPr>
          <w:sz w:val="20"/>
          <w:lang w:val="fr-CA"/>
        </w:rPr>
        <w:t xml:space="preserve"> </w:t>
      </w:r>
      <w:r>
        <w:rPr>
          <w:sz w:val="20"/>
          <w:lang w:val="fr-CA"/>
        </w:rPr>
        <w:t xml:space="preserve">au sens de cette disposition </w:t>
      </w:r>
      <w:r w:rsidRPr="001502CA">
        <w:rPr>
          <w:sz w:val="20"/>
          <w:lang w:val="fr-CA"/>
        </w:rPr>
        <w:t>[</w:t>
      </w:r>
      <w:r>
        <w:rPr>
          <w:sz w:val="20"/>
          <w:lang w:val="fr-CA"/>
        </w:rPr>
        <w:t>c.</w:t>
      </w:r>
      <w:r>
        <w:rPr>
          <w:sz w:val="20"/>
          <w:lang w:val="fr-CA"/>
        </w:rPr>
        <w:noBreakHyphen/>
        <w:t>à</w:t>
      </w:r>
      <w:r>
        <w:rPr>
          <w:sz w:val="20"/>
          <w:lang w:val="fr-CA"/>
        </w:rPr>
        <w:noBreakHyphen/>
        <w:t>d</w:t>
      </w:r>
      <w:r w:rsidRPr="001502CA">
        <w:rPr>
          <w:sz w:val="20"/>
          <w:lang w:val="fr-CA"/>
        </w:rPr>
        <w:t xml:space="preserve">. </w:t>
      </w:r>
      <w:proofErr w:type="gramStart"/>
      <w:r>
        <w:rPr>
          <w:sz w:val="20"/>
          <w:lang w:val="fr-CA"/>
        </w:rPr>
        <w:t>le</w:t>
      </w:r>
      <w:proofErr w:type="gramEnd"/>
      <w:r>
        <w:rPr>
          <w:sz w:val="20"/>
          <w:lang w:val="fr-CA"/>
        </w:rPr>
        <w:t xml:space="preserve"> par</w:t>
      </w:r>
      <w:r w:rsidRPr="001502CA">
        <w:rPr>
          <w:sz w:val="20"/>
          <w:lang w:val="fr-CA"/>
        </w:rPr>
        <w:t>.</w:t>
      </w:r>
      <w:r>
        <w:rPr>
          <w:sz w:val="20"/>
          <w:lang w:val="fr-CA"/>
        </w:rPr>
        <w:t> </w:t>
      </w:r>
      <w:r w:rsidRPr="001502CA">
        <w:rPr>
          <w:sz w:val="20"/>
          <w:lang w:val="fr-CA"/>
        </w:rPr>
        <w:t xml:space="preserve">31(2) </w:t>
      </w:r>
      <w:proofErr w:type="gramStart"/>
      <w:r>
        <w:rPr>
          <w:sz w:val="20"/>
          <w:lang w:val="fr-CA"/>
        </w:rPr>
        <w:t>de</w:t>
      </w:r>
      <w:proofErr w:type="gramEnd"/>
      <w:r>
        <w:rPr>
          <w:sz w:val="20"/>
          <w:lang w:val="fr-CA"/>
        </w:rPr>
        <w:t xml:space="preserve"> la</w:t>
      </w:r>
      <w:r w:rsidRPr="001502CA">
        <w:rPr>
          <w:sz w:val="20"/>
          <w:lang w:val="fr-CA"/>
        </w:rPr>
        <w:t xml:space="preserve"> </w:t>
      </w:r>
      <w:r w:rsidRPr="001502CA">
        <w:rPr>
          <w:i/>
          <w:sz w:val="20"/>
          <w:lang w:val="fr-CA"/>
        </w:rPr>
        <w:t>Loi sur la</w:t>
      </w:r>
      <w:r>
        <w:rPr>
          <w:i/>
          <w:sz w:val="20"/>
          <w:lang w:val="fr-CA"/>
        </w:rPr>
        <w:t xml:space="preserve"> </w:t>
      </w:r>
      <w:r w:rsidRPr="001502CA">
        <w:rPr>
          <w:i/>
          <w:sz w:val="20"/>
          <w:lang w:val="fr-CA"/>
        </w:rPr>
        <w:t>radiodiffusion</w:t>
      </w:r>
      <w:r w:rsidRPr="001502CA">
        <w:rPr>
          <w:sz w:val="20"/>
          <w:lang w:val="fr-CA"/>
        </w:rPr>
        <w:t xml:space="preserve">], </w:t>
      </w:r>
      <w:r>
        <w:rPr>
          <w:sz w:val="20"/>
          <w:lang w:val="fr-CA"/>
        </w:rPr>
        <w:t>cela ne fait aucun doute</w:t>
      </w:r>
      <w:r w:rsidRPr="001502CA">
        <w:rPr>
          <w:sz w:val="20"/>
          <w:lang w:val="fr-CA"/>
        </w:rPr>
        <w:t xml:space="preserve">, </w:t>
      </w:r>
      <w:r>
        <w:rPr>
          <w:sz w:val="20"/>
          <w:lang w:val="fr-CA"/>
        </w:rPr>
        <w:t xml:space="preserve">mais il ne s’agit absolument pas d’une véritable </w:t>
      </w:r>
      <w:r w:rsidRPr="001502CA">
        <w:rPr>
          <w:sz w:val="20"/>
          <w:lang w:val="fr-CA"/>
        </w:rPr>
        <w:t xml:space="preserve">question </w:t>
      </w:r>
      <w:r>
        <w:rPr>
          <w:sz w:val="20"/>
          <w:lang w:val="fr-CA"/>
        </w:rPr>
        <w:t>de compétence.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A79"/>
    <w:multiLevelType w:val="hybridMultilevel"/>
    <w:tmpl w:val="3BB6376A"/>
    <w:lvl w:ilvl="0" w:tplc="2C1218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A77FB"/>
    <w:multiLevelType w:val="hybridMultilevel"/>
    <w:tmpl w:val="789C593A"/>
    <w:lvl w:ilvl="0" w:tplc="04090001">
      <w:start w:val="1"/>
      <w:numFmt w:val="bullet"/>
      <w:lvlText w:val=""/>
      <w:lvlJc w:val="left"/>
      <w:pPr>
        <w:ind w:left="1890" w:hanging="360"/>
      </w:pPr>
      <w:rPr>
        <w:rFonts w:ascii="Symbol" w:hAnsi="Symbol" w:hint="default"/>
      </w:rPr>
    </w:lvl>
    <w:lvl w:ilvl="1" w:tplc="0C0C0003" w:tentative="1">
      <w:start w:val="1"/>
      <w:numFmt w:val="bullet"/>
      <w:lvlText w:val="o"/>
      <w:lvlJc w:val="left"/>
      <w:pPr>
        <w:ind w:left="2610" w:hanging="360"/>
      </w:pPr>
      <w:rPr>
        <w:rFonts w:ascii="Courier New" w:hAnsi="Courier New" w:cs="Courier New" w:hint="default"/>
      </w:rPr>
    </w:lvl>
    <w:lvl w:ilvl="2" w:tplc="0C0C0005" w:tentative="1">
      <w:start w:val="1"/>
      <w:numFmt w:val="bullet"/>
      <w:lvlText w:val=""/>
      <w:lvlJc w:val="left"/>
      <w:pPr>
        <w:ind w:left="3330" w:hanging="360"/>
      </w:pPr>
      <w:rPr>
        <w:rFonts w:ascii="Wingdings" w:hAnsi="Wingdings" w:hint="default"/>
      </w:rPr>
    </w:lvl>
    <w:lvl w:ilvl="3" w:tplc="0C0C0001" w:tentative="1">
      <w:start w:val="1"/>
      <w:numFmt w:val="bullet"/>
      <w:lvlText w:val=""/>
      <w:lvlJc w:val="left"/>
      <w:pPr>
        <w:ind w:left="4050" w:hanging="360"/>
      </w:pPr>
      <w:rPr>
        <w:rFonts w:ascii="Symbol" w:hAnsi="Symbol" w:hint="default"/>
      </w:rPr>
    </w:lvl>
    <w:lvl w:ilvl="4" w:tplc="0C0C0003" w:tentative="1">
      <w:start w:val="1"/>
      <w:numFmt w:val="bullet"/>
      <w:lvlText w:val="o"/>
      <w:lvlJc w:val="left"/>
      <w:pPr>
        <w:ind w:left="4770" w:hanging="360"/>
      </w:pPr>
      <w:rPr>
        <w:rFonts w:ascii="Courier New" w:hAnsi="Courier New" w:cs="Courier New" w:hint="default"/>
      </w:rPr>
    </w:lvl>
    <w:lvl w:ilvl="5" w:tplc="0C0C0005" w:tentative="1">
      <w:start w:val="1"/>
      <w:numFmt w:val="bullet"/>
      <w:lvlText w:val=""/>
      <w:lvlJc w:val="left"/>
      <w:pPr>
        <w:ind w:left="5490" w:hanging="360"/>
      </w:pPr>
      <w:rPr>
        <w:rFonts w:ascii="Wingdings" w:hAnsi="Wingdings" w:hint="default"/>
      </w:rPr>
    </w:lvl>
    <w:lvl w:ilvl="6" w:tplc="0C0C0001" w:tentative="1">
      <w:start w:val="1"/>
      <w:numFmt w:val="bullet"/>
      <w:lvlText w:val=""/>
      <w:lvlJc w:val="left"/>
      <w:pPr>
        <w:ind w:left="6210" w:hanging="360"/>
      </w:pPr>
      <w:rPr>
        <w:rFonts w:ascii="Symbol" w:hAnsi="Symbol" w:hint="default"/>
      </w:rPr>
    </w:lvl>
    <w:lvl w:ilvl="7" w:tplc="0C0C0003" w:tentative="1">
      <w:start w:val="1"/>
      <w:numFmt w:val="bullet"/>
      <w:lvlText w:val="o"/>
      <w:lvlJc w:val="left"/>
      <w:pPr>
        <w:ind w:left="6930" w:hanging="360"/>
      </w:pPr>
      <w:rPr>
        <w:rFonts w:ascii="Courier New" w:hAnsi="Courier New" w:cs="Courier New" w:hint="default"/>
      </w:rPr>
    </w:lvl>
    <w:lvl w:ilvl="8" w:tplc="0C0C0005" w:tentative="1">
      <w:start w:val="1"/>
      <w:numFmt w:val="bullet"/>
      <w:lvlText w:val=""/>
      <w:lvlJc w:val="left"/>
      <w:pPr>
        <w:ind w:left="7650" w:hanging="360"/>
      </w:pPr>
      <w:rPr>
        <w:rFonts w:ascii="Wingdings" w:hAnsi="Wingdings" w:hint="default"/>
      </w:rPr>
    </w:lvl>
  </w:abstractNum>
  <w:abstractNum w:abstractNumId="3" w15:restartNumberingAfterBreak="0">
    <w:nsid w:val="1E253BDF"/>
    <w:multiLevelType w:val="hybridMultilevel"/>
    <w:tmpl w:val="452E8CA4"/>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456BEC"/>
    <w:multiLevelType w:val="hybridMultilevel"/>
    <w:tmpl w:val="D73E1E1A"/>
    <w:lvl w:ilvl="0" w:tplc="250EDA5E">
      <w:start w:val="1"/>
      <w:numFmt w:val="decimal"/>
      <w:lvlText w:val="%1."/>
      <w:lvlJc w:val="left"/>
      <w:pPr>
        <w:ind w:left="1080" w:firstLine="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BE35FF"/>
    <w:multiLevelType w:val="multilevel"/>
    <w:tmpl w:val="71C62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361BF"/>
    <w:multiLevelType w:val="hybridMultilevel"/>
    <w:tmpl w:val="196A4AF2"/>
    <w:lvl w:ilvl="0" w:tplc="7FEC1BEC">
      <w:start w:val="1"/>
      <w:numFmt w:val="upperLetter"/>
      <w:lvlText w:val="%1."/>
      <w:lvlJc w:val="left"/>
      <w:pPr>
        <w:ind w:left="72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6E02D1"/>
    <w:multiLevelType w:val="multilevel"/>
    <w:tmpl w:val="F15011E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4B228BB"/>
    <w:multiLevelType w:val="multilevel"/>
    <w:tmpl w:val="AA2E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3130A"/>
    <w:multiLevelType w:val="multilevel"/>
    <w:tmpl w:val="279A93D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78F6F22"/>
    <w:multiLevelType w:val="hybridMultilevel"/>
    <w:tmpl w:val="DABE29C2"/>
    <w:lvl w:ilvl="0" w:tplc="4D80BCA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A117AC"/>
    <w:multiLevelType w:val="hybridMultilevel"/>
    <w:tmpl w:val="B25CF4B2"/>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83839"/>
    <w:multiLevelType w:val="hybridMultilevel"/>
    <w:tmpl w:val="200CD182"/>
    <w:lvl w:ilvl="0" w:tplc="094E30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341BB"/>
    <w:multiLevelType w:val="hybridMultilevel"/>
    <w:tmpl w:val="542EE288"/>
    <w:lvl w:ilvl="0" w:tplc="49E2C912">
      <w:start w:val="1"/>
      <w:numFmt w:val="lowerLetter"/>
      <w:lvlText w:val="%1."/>
      <w:lvlJc w:val="left"/>
      <w:pPr>
        <w:ind w:left="1440" w:hanging="576"/>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772608"/>
    <w:multiLevelType w:val="hybridMultilevel"/>
    <w:tmpl w:val="9126FD38"/>
    <w:lvl w:ilvl="0" w:tplc="04090003">
      <w:start w:val="1"/>
      <w:numFmt w:val="bullet"/>
      <w:lvlText w:val="o"/>
      <w:lvlJc w:val="left"/>
      <w:pPr>
        <w:ind w:left="1886" w:hanging="360"/>
      </w:pPr>
      <w:rPr>
        <w:rFonts w:ascii="Courier New" w:hAnsi="Courier New" w:cs="Courier New"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D206C5E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9A1BDD"/>
    <w:multiLevelType w:val="hybridMultilevel"/>
    <w:tmpl w:val="AF4095AA"/>
    <w:lvl w:ilvl="0" w:tplc="E4B238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EB25C7"/>
    <w:multiLevelType w:val="multilevel"/>
    <w:tmpl w:val="D9A4F770"/>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044B01"/>
    <w:multiLevelType w:val="hybridMultilevel"/>
    <w:tmpl w:val="917819B8"/>
    <w:lvl w:ilvl="0" w:tplc="09E02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2C6B8A"/>
    <w:multiLevelType w:val="hybridMultilevel"/>
    <w:tmpl w:val="9B1612DC"/>
    <w:lvl w:ilvl="0" w:tplc="C4D6D3C2">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
  </w:num>
  <w:num w:numId="4">
    <w:abstractNumId w:val="15"/>
  </w:num>
  <w:num w:numId="5">
    <w:abstractNumId w:val="17"/>
  </w:num>
  <w:num w:numId="6">
    <w:abstractNumId w:val="18"/>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22"/>
  </w:num>
  <w:num w:numId="11">
    <w:abstractNumId w:val="12"/>
  </w:num>
  <w:num w:numId="12">
    <w:abstractNumId w:val="13"/>
  </w:num>
  <w:num w:numId="13">
    <w:abstractNumId w:val="11"/>
  </w:num>
  <w:num w:numId="14">
    <w:abstractNumId w:val="6"/>
  </w:num>
  <w:num w:numId="15">
    <w:abstractNumId w:val="2"/>
  </w:num>
  <w:num w:numId="16">
    <w:abstractNumId w:val="16"/>
  </w:num>
  <w:num w:numId="17">
    <w:abstractNumId w:val="19"/>
  </w:num>
  <w:num w:numId="18">
    <w:abstractNumId w:val="5"/>
    <w:lvlOverride w:ilvl="0">
      <w:startOverride w:val="1"/>
    </w:lvlOverride>
  </w:num>
  <w:num w:numId="19">
    <w:abstractNumId w:val="7"/>
    <w:lvlOverride w:ilvl="0">
      <w:startOverride w:val="1"/>
    </w:lvlOverride>
  </w:num>
  <w:num w:numId="20">
    <w:abstractNumId w:val="23"/>
  </w:num>
  <w:num w:numId="21">
    <w:abstractNumId w:val="5"/>
    <w:lvlOverride w:ilvl="0">
      <w:startOverride w:val="1"/>
    </w:lvlOverride>
  </w:num>
  <w:num w:numId="22">
    <w:abstractNumId w:val="21"/>
  </w:num>
  <w:num w:numId="23">
    <w:abstractNumId w:val="5"/>
    <w:lvlOverride w:ilvl="0">
      <w:startOverride w:val="1"/>
    </w:lvlOverride>
  </w:num>
  <w:num w:numId="24">
    <w:abstractNumId w:val="5"/>
    <w:lvlOverride w:ilvl="0">
      <w:startOverride w:val="1"/>
    </w:lvlOverride>
  </w:num>
  <w:num w:numId="25">
    <w:abstractNumId w:val="14"/>
  </w:num>
  <w:num w:numId="26">
    <w:abstractNumId w:val="8"/>
  </w:num>
  <w:num w:numId="27">
    <w:abstractNumId w:val="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519F3"/>
    <w:rsid w:val="00081F37"/>
    <w:rsid w:val="000C143E"/>
    <w:rsid w:val="000C1EB9"/>
    <w:rsid w:val="0011734B"/>
    <w:rsid w:val="0015160C"/>
    <w:rsid w:val="001808C8"/>
    <w:rsid w:val="00184CEC"/>
    <w:rsid w:val="001B36D3"/>
    <w:rsid w:val="001C5D01"/>
    <w:rsid w:val="001E3E90"/>
    <w:rsid w:val="001F3C5C"/>
    <w:rsid w:val="00205E10"/>
    <w:rsid w:val="00231C74"/>
    <w:rsid w:val="00273815"/>
    <w:rsid w:val="002759FA"/>
    <w:rsid w:val="00320A51"/>
    <w:rsid w:val="00385C6A"/>
    <w:rsid w:val="003C66AE"/>
    <w:rsid w:val="0041495B"/>
    <w:rsid w:val="00471846"/>
    <w:rsid w:val="004835D7"/>
    <w:rsid w:val="004C09C0"/>
    <w:rsid w:val="005441D7"/>
    <w:rsid w:val="0059349F"/>
    <w:rsid w:val="005949A6"/>
    <w:rsid w:val="005C77FF"/>
    <w:rsid w:val="005F030A"/>
    <w:rsid w:val="005F3232"/>
    <w:rsid w:val="005F7DB7"/>
    <w:rsid w:val="006757BC"/>
    <w:rsid w:val="006818C0"/>
    <w:rsid w:val="00711AC1"/>
    <w:rsid w:val="00770921"/>
    <w:rsid w:val="00772176"/>
    <w:rsid w:val="007E609E"/>
    <w:rsid w:val="00803999"/>
    <w:rsid w:val="0089748E"/>
    <w:rsid w:val="008A34E8"/>
    <w:rsid w:val="008A4DEA"/>
    <w:rsid w:val="008D1159"/>
    <w:rsid w:val="008E3975"/>
    <w:rsid w:val="008E39D9"/>
    <w:rsid w:val="008F755D"/>
    <w:rsid w:val="009E460B"/>
    <w:rsid w:val="00B8777F"/>
    <w:rsid w:val="00BA4AE4"/>
    <w:rsid w:val="00BA7BB9"/>
    <w:rsid w:val="00BF65E0"/>
    <w:rsid w:val="00BF76C5"/>
    <w:rsid w:val="00C73DFC"/>
    <w:rsid w:val="00C90C76"/>
    <w:rsid w:val="00CE1E59"/>
    <w:rsid w:val="00CF01BF"/>
    <w:rsid w:val="00D11240"/>
    <w:rsid w:val="00D827A1"/>
    <w:rsid w:val="00DD7818"/>
    <w:rsid w:val="00E705C3"/>
    <w:rsid w:val="00ED159F"/>
    <w:rsid w:val="00EF4AC6"/>
    <w:rsid w:val="00F06FAD"/>
    <w:rsid w:val="00F1064C"/>
    <w:rsid w:val="00F45C08"/>
    <w:rsid w:val="00FA0929"/>
    <w:rsid w:val="00FB2217"/>
    <w:rsid w:val="00FF2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0A"/>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5F030A"/>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F030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F030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F030A"/>
    <w:pPr>
      <w:keepNext/>
      <w:keepLines/>
      <w:spacing w:before="120" w:after="120"/>
      <w:ind w:left="2160"/>
      <w:jc w:val="both"/>
      <w:outlineLvl w:val="3"/>
    </w:pPr>
    <w:rPr>
      <w:rFonts w:eastAsiaTheme="majorEastAsia"/>
      <w:b/>
      <w:i/>
      <w:iCs/>
      <w:color w:val="2E74B5" w:themeColor="accent1" w:themeShade="BF"/>
      <w:szCs w:val="24"/>
    </w:rPr>
  </w:style>
  <w:style w:type="paragraph" w:styleId="Heading5">
    <w:name w:val="heading 5"/>
    <w:basedOn w:val="Normal"/>
    <w:next w:val="Normal"/>
    <w:link w:val="Heading5Char"/>
    <w:uiPriority w:val="9"/>
    <w:unhideWhenUsed/>
    <w:qFormat/>
    <w:rsid w:val="005F030A"/>
    <w:pPr>
      <w:keepNext/>
      <w:keepLines/>
      <w:spacing w:before="120" w:after="120"/>
      <w:ind w:left="2880"/>
      <w:jc w:val="both"/>
      <w:outlineLvl w:val="4"/>
    </w:pPr>
    <w:rPr>
      <w:rFonts w:eastAsiaTheme="majorEastAsia"/>
      <w:b/>
      <w:i/>
      <w:color w:val="7030A0"/>
      <w:szCs w:val="24"/>
    </w:rPr>
  </w:style>
  <w:style w:type="paragraph" w:styleId="Heading6">
    <w:name w:val="heading 6"/>
    <w:basedOn w:val="Normal"/>
    <w:next w:val="Normal"/>
    <w:link w:val="Heading6Char"/>
    <w:uiPriority w:val="9"/>
    <w:semiHidden/>
    <w:unhideWhenUsed/>
    <w:qFormat/>
    <w:rsid w:val="005F030A"/>
    <w:pPr>
      <w:keepNext/>
      <w:keepLines/>
      <w:spacing w:before="40"/>
      <w:ind w:left="3600"/>
      <w:jc w:val="both"/>
      <w:outlineLvl w:val="5"/>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uiPriority w:val="9"/>
    <w:semiHidden/>
    <w:unhideWhenUsed/>
    <w:qFormat/>
    <w:rsid w:val="005F030A"/>
    <w:pPr>
      <w:keepNext/>
      <w:keepLines/>
      <w:spacing w:before="40"/>
      <w:ind w:left="4320"/>
      <w:jc w:val="both"/>
      <w:outlineLvl w:val="6"/>
    </w:pPr>
    <w:rPr>
      <w:rFonts w:asciiTheme="majorHAnsi" w:eastAsiaTheme="majorEastAsia" w:hAnsiTheme="majorHAnsi" w:cstheme="majorBidi"/>
      <w:i/>
      <w:iCs/>
      <w:color w:val="1F4D78" w:themeColor="accent1" w:themeShade="7F"/>
      <w:szCs w:val="24"/>
    </w:rPr>
  </w:style>
  <w:style w:type="paragraph" w:styleId="Heading8">
    <w:name w:val="heading 8"/>
    <w:basedOn w:val="Normal"/>
    <w:next w:val="Normal"/>
    <w:link w:val="Heading8Char"/>
    <w:uiPriority w:val="9"/>
    <w:semiHidden/>
    <w:unhideWhenUsed/>
    <w:qFormat/>
    <w:rsid w:val="005F030A"/>
    <w:pPr>
      <w:keepNext/>
      <w:keepLines/>
      <w:spacing w:before="40"/>
      <w:ind w:left="50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030A"/>
    <w:pPr>
      <w:keepNext/>
      <w:keepLines/>
      <w:spacing w:before="40"/>
      <w:ind w:left="576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30A"/>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rsid w:val="005F030A"/>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rsid w:val="005F030A"/>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rsid w:val="005F030A"/>
    <w:rPr>
      <w:rFonts w:ascii="Times New Roman" w:eastAsiaTheme="majorEastAsia" w:hAnsi="Times New Roman" w:cs="Times New Roman"/>
      <w:b/>
      <w:i/>
      <w:iCs/>
      <w:color w:val="2E74B5" w:themeColor="accent1" w:themeShade="BF"/>
      <w:sz w:val="24"/>
      <w:szCs w:val="24"/>
      <w:lang w:eastAsia="en-CA"/>
    </w:rPr>
  </w:style>
  <w:style w:type="character" w:customStyle="1" w:styleId="Heading5Char">
    <w:name w:val="Heading 5 Char"/>
    <w:basedOn w:val="DefaultParagraphFont"/>
    <w:link w:val="Heading5"/>
    <w:uiPriority w:val="9"/>
    <w:rsid w:val="005F030A"/>
    <w:rPr>
      <w:rFonts w:ascii="Times New Roman" w:eastAsiaTheme="majorEastAsia" w:hAnsi="Times New Roman" w:cs="Times New Roman"/>
      <w:b/>
      <w:i/>
      <w:color w:val="7030A0"/>
      <w:sz w:val="24"/>
      <w:szCs w:val="24"/>
      <w:lang w:eastAsia="en-CA"/>
    </w:rPr>
  </w:style>
  <w:style w:type="character" w:customStyle="1" w:styleId="Heading6Char">
    <w:name w:val="Heading 6 Char"/>
    <w:basedOn w:val="DefaultParagraphFont"/>
    <w:link w:val="Heading6"/>
    <w:uiPriority w:val="9"/>
    <w:semiHidden/>
    <w:rsid w:val="005F030A"/>
    <w:rPr>
      <w:rFonts w:asciiTheme="majorHAnsi" w:eastAsiaTheme="majorEastAsia" w:hAnsiTheme="majorHAnsi" w:cstheme="majorBidi"/>
      <w:color w:val="1F4D78" w:themeColor="accent1" w:themeShade="7F"/>
      <w:sz w:val="24"/>
      <w:szCs w:val="24"/>
      <w:lang w:eastAsia="en-CA"/>
    </w:rPr>
  </w:style>
  <w:style w:type="character" w:customStyle="1" w:styleId="Heading7Char">
    <w:name w:val="Heading 7 Char"/>
    <w:basedOn w:val="DefaultParagraphFont"/>
    <w:link w:val="Heading7"/>
    <w:uiPriority w:val="9"/>
    <w:semiHidden/>
    <w:rsid w:val="005F030A"/>
    <w:rPr>
      <w:rFonts w:asciiTheme="majorHAnsi" w:eastAsiaTheme="majorEastAsia" w:hAnsiTheme="majorHAnsi" w:cstheme="majorBidi"/>
      <w:i/>
      <w:iCs/>
      <w:color w:val="1F4D78" w:themeColor="accent1" w:themeShade="7F"/>
      <w:sz w:val="24"/>
      <w:szCs w:val="24"/>
      <w:lang w:eastAsia="en-CA"/>
    </w:rPr>
  </w:style>
  <w:style w:type="character" w:customStyle="1" w:styleId="Heading8Char">
    <w:name w:val="Heading 8 Char"/>
    <w:basedOn w:val="DefaultParagraphFont"/>
    <w:link w:val="Heading8"/>
    <w:uiPriority w:val="9"/>
    <w:semiHidden/>
    <w:rsid w:val="005F030A"/>
    <w:rPr>
      <w:rFonts w:asciiTheme="majorHAnsi" w:eastAsiaTheme="majorEastAsia" w:hAnsiTheme="majorHAnsi" w:cstheme="majorBidi"/>
      <w:color w:val="272727" w:themeColor="text1" w:themeTint="D8"/>
      <w:sz w:val="21"/>
      <w:szCs w:val="21"/>
      <w:lang w:eastAsia="en-CA"/>
    </w:rPr>
  </w:style>
  <w:style w:type="character" w:customStyle="1" w:styleId="Heading9Char">
    <w:name w:val="Heading 9 Char"/>
    <w:basedOn w:val="DefaultParagraphFont"/>
    <w:link w:val="Heading9"/>
    <w:uiPriority w:val="9"/>
    <w:semiHidden/>
    <w:rsid w:val="005F030A"/>
    <w:rPr>
      <w:rFonts w:asciiTheme="majorHAnsi" w:eastAsiaTheme="majorEastAsia" w:hAnsiTheme="majorHAnsi" w:cstheme="majorBidi"/>
      <w:i/>
      <w:iCs/>
      <w:color w:val="272727" w:themeColor="text1" w:themeTint="D8"/>
      <w:sz w:val="21"/>
      <w:szCs w:val="21"/>
      <w:lang w:eastAsia="en-CA"/>
    </w:rPr>
  </w:style>
  <w:style w:type="paragraph" w:customStyle="1" w:styleId="1">
    <w:name w:val="1"/>
    <w:aliases w:val=" 2, 3, A"/>
    <w:basedOn w:val="Normal"/>
    <w:uiPriority w:val="1"/>
    <w:rsid w:val="005F030A"/>
    <w:pPr>
      <w:widowControl w:val="0"/>
    </w:pPr>
  </w:style>
  <w:style w:type="paragraph" w:customStyle="1" w:styleId="SCCNormalDoubleSpacing">
    <w:name w:val="SCC.Normal.DoubleSpacing"/>
    <w:basedOn w:val="Normal"/>
    <w:link w:val="SCCNormalDoubleSpacingChar"/>
    <w:rsid w:val="005F030A"/>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F030A"/>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5F030A"/>
    <w:rPr>
      <w:b/>
      <w:bCs/>
    </w:rPr>
  </w:style>
  <w:style w:type="paragraph" w:styleId="Quote">
    <w:name w:val="Quote"/>
    <w:basedOn w:val="Normal"/>
    <w:next w:val="Normal"/>
    <w:link w:val="QuoteChar"/>
    <w:uiPriority w:val="29"/>
    <w:qFormat/>
    <w:rsid w:val="005F030A"/>
    <w:rPr>
      <w:i/>
      <w:iCs/>
      <w:color w:val="000000" w:themeColor="text1"/>
    </w:rPr>
  </w:style>
  <w:style w:type="character" w:customStyle="1" w:styleId="QuoteChar">
    <w:name w:val="Quote Char"/>
    <w:basedOn w:val="DefaultParagraphFont"/>
    <w:link w:val="Quote"/>
    <w:uiPriority w:val="29"/>
    <w:rsid w:val="005F030A"/>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5F030A"/>
    <w:rPr>
      <w:color w:val="808080"/>
    </w:rPr>
  </w:style>
  <w:style w:type="paragraph" w:styleId="BalloonText">
    <w:name w:val="Balloon Text"/>
    <w:basedOn w:val="Normal"/>
    <w:link w:val="BalloonTextChar"/>
    <w:uiPriority w:val="99"/>
    <w:semiHidden/>
    <w:unhideWhenUsed/>
    <w:rsid w:val="005F030A"/>
    <w:rPr>
      <w:rFonts w:ascii="Tahoma" w:hAnsi="Tahoma" w:cs="Tahoma"/>
      <w:sz w:val="16"/>
      <w:szCs w:val="16"/>
    </w:rPr>
  </w:style>
  <w:style w:type="character" w:customStyle="1" w:styleId="BalloonTextChar">
    <w:name w:val="Balloon Text Char"/>
    <w:basedOn w:val="DefaultParagraphFont"/>
    <w:link w:val="BalloonText"/>
    <w:uiPriority w:val="99"/>
    <w:semiHidden/>
    <w:rsid w:val="005F030A"/>
    <w:rPr>
      <w:rFonts w:ascii="Tahoma" w:eastAsia="Times New Roman" w:hAnsi="Tahoma" w:cs="Tahoma"/>
      <w:sz w:val="16"/>
      <w:szCs w:val="16"/>
      <w:lang w:eastAsia="en-CA"/>
    </w:rPr>
  </w:style>
  <w:style w:type="paragraph" w:styleId="Header">
    <w:name w:val="header"/>
    <w:basedOn w:val="Normal"/>
    <w:link w:val="HeaderChar"/>
    <w:uiPriority w:val="99"/>
    <w:unhideWhenUsed/>
    <w:rsid w:val="005F030A"/>
    <w:pPr>
      <w:tabs>
        <w:tab w:val="center" w:pos="4680"/>
        <w:tab w:val="right" w:pos="9360"/>
      </w:tabs>
    </w:pPr>
  </w:style>
  <w:style w:type="character" w:customStyle="1" w:styleId="HeaderChar">
    <w:name w:val="Header Char"/>
    <w:basedOn w:val="DefaultParagraphFont"/>
    <w:link w:val="Header"/>
    <w:uiPriority w:val="99"/>
    <w:rsid w:val="005F030A"/>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5F030A"/>
    <w:pPr>
      <w:tabs>
        <w:tab w:val="center" w:pos="4680"/>
        <w:tab w:val="right" w:pos="9360"/>
      </w:tabs>
    </w:pPr>
  </w:style>
  <w:style w:type="character" w:customStyle="1" w:styleId="FooterChar">
    <w:name w:val="Footer Char"/>
    <w:basedOn w:val="DefaultParagraphFont"/>
    <w:link w:val="Footer"/>
    <w:uiPriority w:val="99"/>
    <w:rsid w:val="005F030A"/>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5F030A"/>
    <w:pPr>
      <w:tabs>
        <w:tab w:val="right" w:pos="8222"/>
      </w:tabs>
      <w:jc w:val="both"/>
    </w:pPr>
    <w:rPr>
      <w:b/>
    </w:rPr>
  </w:style>
  <w:style w:type="character" w:customStyle="1" w:styleId="SCCLsocPartyChar">
    <w:name w:val="SCC.Lsoc.Party Char"/>
    <w:basedOn w:val="DefaultParagraphFont"/>
    <w:link w:val="SCCLsocParty"/>
    <w:rsid w:val="005F030A"/>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5F030A"/>
    <w:pPr>
      <w:spacing w:after="720"/>
    </w:pPr>
    <w:rPr>
      <w:i/>
    </w:rPr>
  </w:style>
  <w:style w:type="character" w:customStyle="1" w:styleId="SCCLsocVersusChar">
    <w:name w:val="SCC.Lsoc.Versus Char"/>
    <w:basedOn w:val="DefaultParagraphFont"/>
    <w:link w:val="SCCLsocVersus"/>
    <w:rsid w:val="005F030A"/>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5F030A"/>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5F030A"/>
    <w:pPr>
      <w:spacing w:after="720"/>
    </w:pPr>
  </w:style>
  <w:style w:type="character" w:customStyle="1" w:styleId="SCCLsocSubfileSeparatorChar">
    <w:name w:val="SCC.Lsoc.SubfileSeparator Char"/>
    <w:basedOn w:val="DefaultParagraphFont"/>
    <w:link w:val="SCCLsocSubfileSeparator"/>
    <w:rsid w:val="005F030A"/>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5F030A"/>
    <w:pPr>
      <w:spacing w:after="720"/>
    </w:pPr>
  </w:style>
  <w:style w:type="character" w:customStyle="1" w:styleId="SCCLsocOtherPartySeparatorChar">
    <w:name w:val="SCC.Lsoc.OtherPartySeparator Char"/>
    <w:basedOn w:val="DefaultParagraphFont"/>
    <w:link w:val="SCCLsocOtherPartySeparator"/>
    <w:rsid w:val="005F030A"/>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5F030A"/>
    <w:pPr>
      <w:jc w:val="right"/>
    </w:pPr>
    <w:rPr>
      <w:b/>
    </w:rPr>
  </w:style>
  <w:style w:type="paragraph" w:customStyle="1" w:styleId="SCCAppellantForRunningHead">
    <w:name w:val="SCC.AppellantForRunningHead"/>
    <w:basedOn w:val="Normal"/>
    <w:next w:val="Normal"/>
    <w:link w:val="SCCAppellantForRunningHeadChar"/>
    <w:rsid w:val="005F030A"/>
    <w:rPr>
      <w:smallCaps/>
    </w:rPr>
  </w:style>
  <w:style w:type="character" w:customStyle="1" w:styleId="SCCAppellantForRunningHeadChar">
    <w:name w:val="SCC.AppellantForRunningHead Char"/>
    <w:basedOn w:val="DefaultParagraphFont"/>
    <w:link w:val="SCCAppellantForRunningHead"/>
    <w:rsid w:val="005F030A"/>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5F030A"/>
    <w:rPr>
      <w:smallCaps/>
    </w:rPr>
  </w:style>
  <w:style w:type="character" w:customStyle="1" w:styleId="SCCRespondentForRunningHeadChar">
    <w:name w:val="SCC.RespondentForRunningHead Char"/>
    <w:basedOn w:val="DefaultParagraphFont"/>
    <w:link w:val="SCCRespondentForRunningHead"/>
    <w:rsid w:val="005F030A"/>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5F030A"/>
    <w:rPr>
      <w:b/>
    </w:rPr>
  </w:style>
  <w:style w:type="character" w:customStyle="1" w:styleId="SCCAppellantForIndexChar">
    <w:name w:val="SCC.AppellantForIndex Char"/>
    <w:basedOn w:val="DefaultParagraphFont"/>
    <w:link w:val="SCCAppellantForIndex"/>
    <w:rsid w:val="005F030A"/>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5F030A"/>
    <w:rPr>
      <w:b/>
    </w:rPr>
  </w:style>
  <w:style w:type="character" w:customStyle="1" w:styleId="SCCRespondentForIndexChar">
    <w:name w:val="SCC.RespondentForIndex Char"/>
    <w:basedOn w:val="DefaultParagraphFont"/>
    <w:link w:val="SCCRespondentForIndex"/>
    <w:rsid w:val="005F030A"/>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5F030A"/>
    <w:rPr>
      <w:b/>
    </w:rPr>
  </w:style>
  <w:style w:type="character" w:customStyle="1" w:styleId="SCCSystemYearChar">
    <w:name w:val="SCC.SystemYear Char"/>
    <w:basedOn w:val="DefaultParagraphFont"/>
    <w:link w:val="SCCSystemYear"/>
    <w:rsid w:val="005F030A"/>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5F030A"/>
    <w:rPr>
      <w:smallCaps/>
    </w:rPr>
  </w:style>
  <w:style w:type="paragraph" w:customStyle="1" w:styleId="SCCCounselName">
    <w:name w:val="SCC.CounselName"/>
    <w:basedOn w:val="SCCNormalDoubleSpacing"/>
    <w:next w:val="SCCNormalDoubleSpacing"/>
    <w:link w:val="SCCCounselNameChar"/>
    <w:rsid w:val="005F030A"/>
    <w:rPr>
      <w:i/>
    </w:rPr>
  </w:style>
  <w:style w:type="character" w:customStyle="1" w:styleId="SCCCounselNameChar">
    <w:name w:val="SCC.CounselName Char"/>
    <w:basedOn w:val="SCCNormalDoubleSpacingChar"/>
    <w:link w:val="SCCCounselName"/>
    <w:rsid w:val="005F030A"/>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5F030A"/>
    <w:rPr>
      <w:i/>
    </w:rPr>
  </w:style>
  <w:style w:type="paragraph" w:customStyle="1" w:styleId="SCCAppellantForCitation">
    <w:name w:val="SCC.AppellantForCitation"/>
    <w:basedOn w:val="Normal"/>
    <w:next w:val="Normal"/>
    <w:link w:val="SCCAppellantForCitationChar"/>
    <w:rsid w:val="005F030A"/>
    <w:rPr>
      <w:i/>
    </w:rPr>
  </w:style>
  <w:style w:type="character" w:customStyle="1" w:styleId="SCCAppellantForCitationChar">
    <w:name w:val="SCC.AppellantForCitation Char"/>
    <w:basedOn w:val="DefaultParagraphFont"/>
    <w:link w:val="SCCAppellantForCitation"/>
    <w:rsid w:val="005F030A"/>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5F030A"/>
    <w:rPr>
      <w:i/>
    </w:rPr>
  </w:style>
  <w:style w:type="character" w:customStyle="1" w:styleId="SCCRespondentForCitationChar">
    <w:name w:val="SCC.RespondentForCitation Char"/>
    <w:basedOn w:val="DefaultParagraphFont"/>
    <w:link w:val="SCCRespondentForCitation"/>
    <w:rsid w:val="005F030A"/>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5F030A"/>
  </w:style>
  <w:style w:type="character" w:customStyle="1" w:styleId="SCCCounselSeparatorChar">
    <w:name w:val="SCC.CounselSeparator Char"/>
    <w:basedOn w:val="SCCNormalDoubleSpacingChar"/>
    <w:link w:val="SCCCounselSeparator"/>
    <w:rsid w:val="005F030A"/>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5F030A"/>
  </w:style>
  <w:style w:type="character" w:customStyle="1" w:styleId="SCCPartyRoleChar">
    <w:name w:val="SCC.PartyRole Char"/>
    <w:basedOn w:val="SCCNormalDoubleSpacingChar"/>
    <w:link w:val="SCCPartyRole"/>
    <w:rsid w:val="005F030A"/>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5F030A"/>
    <w:rPr>
      <w:i/>
    </w:rPr>
  </w:style>
  <w:style w:type="character" w:customStyle="1" w:styleId="SCCLawFirmChar">
    <w:name w:val="SCC.LawFirm Char"/>
    <w:basedOn w:val="SCCNormalDoubleSpacingChar"/>
    <w:link w:val="SCCLawFirm"/>
    <w:rsid w:val="005F030A"/>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5F030A"/>
  </w:style>
  <w:style w:type="character" w:customStyle="1" w:styleId="SCCCounselPartyRoleChar">
    <w:name w:val="SCC.CounselPartyRole Char"/>
    <w:basedOn w:val="SCCNormalDoubleSpacingChar"/>
    <w:link w:val="SCCCounselPartyRole"/>
    <w:rsid w:val="005F030A"/>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5F030A"/>
    <w:pPr>
      <w:tabs>
        <w:tab w:val="right" w:pos="8222"/>
      </w:tabs>
      <w:spacing w:after="720"/>
    </w:pPr>
    <w:rPr>
      <w:b/>
    </w:rPr>
  </w:style>
  <w:style w:type="character" w:customStyle="1" w:styleId="SCCLsocLastPartyInRoleChar">
    <w:name w:val="SCC.Lsoc.LastPartyInRole Char"/>
    <w:basedOn w:val="SCCLsocPartyChar"/>
    <w:link w:val="SCCLsocLastPartyInRole"/>
    <w:rsid w:val="005F030A"/>
    <w:rPr>
      <w:rFonts w:ascii="Times New Roman" w:eastAsia="Times New Roman" w:hAnsi="Times New Roman" w:cs="Times New Roman"/>
      <w:b/>
      <w:sz w:val="24"/>
      <w:szCs w:val="20"/>
      <w:lang w:eastAsia="en-CA"/>
    </w:rPr>
  </w:style>
  <w:style w:type="paragraph" w:styleId="ListParagraph">
    <w:name w:val="List Paragraph"/>
    <w:basedOn w:val="Normal"/>
    <w:uiPriority w:val="34"/>
    <w:qFormat/>
    <w:rsid w:val="005F030A"/>
    <w:pPr>
      <w:ind w:left="720"/>
      <w:contextualSpacing/>
    </w:pPr>
  </w:style>
  <w:style w:type="character" w:customStyle="1" w:styleId="nowrap">
    <w:name w:val="nowrap"/>
    <w:basedOn w:val="DefaultParagraphFont"/>
    <w:rsid w:val="005F030A"/>
  </w:style>
  <w:style w:type="character" w:styleId="Emphasis">
    <w:name w:val="Emphasis"/>
    <w:basedOn w:val="DefaultParagraphFont"/>
    <w:uiPriority w:val="20"/>
    <w:qFormat/>
    <w:rsid w:val="005F030A"/>
    <w:rPr>
      <w:i/>
      <w:iCs/>
    </w:rPr>
  </w:style>
  <w:style w:type="character" w:customStyle="1" w:styleId="reflex3-block">
    <w:name w:val="reflex3-block"/>
    <w:basedOn w:val="DefaultParagraphFont"/>
    <w:rsid w:val="005F030A"/>
  </w:style>
  <w:style w:type="character" w:customStyle="1" w:styleId="reflex3-alt">
    <w:name w:val="reflex3-alt"/>
    <w:basedOn w:val="DefaultParagraphFont"/>
    <w:rsid w:val="005F030A"/>
  </w:style>
  <w:style w:type="character" w:styleId="Hyperlink">
    <w:name w:val="Hyperlink"/>
    <w:basedOn w:val="DefaultParagraphFont"/>
    <w:uiPriority w:val="99"/>
    <w:unhideWhenUsed/>
    <w:rsid w:val="005F030A"/>
    <w:rPr>
      <w:color w:val="0563C1" w:themeColor="hyperlink"/>
      <w:u w:val="single"/>
    </w:rPr>
  </w:style>
  <w:style w:type="character" w:customStyle="1" w:styleId="wrap-none">
    <w:name w:val="wrap-none"/>
    <w:basedOn w:val="DefaultParagraphFont"/>
    <w:rsid w:val="005F030A"/>
  </w:style>
  <w:style w:type="paragraph" w:customStyle="1" w:styleId="SCCLsocOtherPartyRoleSeparator">
    <w:name w:val="SCC.Lsoc.OtherPartyRoleSeparator"/>
    <w:basedOn w:val="Normal"/>
    <w:next w:val="Normal"/>
    <w:link w:val="SCCLsocOtherPartyRoleSeparatorChar"/>
    <w:rsid w:val="005F030A"/>
    <w:pPr>
      <w:spacing w:after="480"/>
    </w:pPr>
    <w:rPr>
      <w:rFonts w:eastAsiaTheme="minorHAnsi" w:cstheme="minorBidi"/>
      <w:szCs w:val="22"/>
      <w:lang w:eastAsia="en-US"/>
    </w:rPr>
  </w:style>
  <w:style w:type="paragraph" w:customStyle="1" w:styleId="SCCCoram">
    <w:name w:val="SCC.Coram"/>
    <w:basedOn w:val="Normal"/>
    <w:next w:val="Normal"/>
    <w:link w:val="SCCCoramChar"/>
    <w:rsid w:val="005F030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F030A"/>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5F030A"/>
    <w:rPr>
      <w:rFonts w:ascii="Times New Roman" w:hAnsi="Times New Roman"/>
      <w:sz w:val="24"/>
    </w:rPr>
  </w:style>
  <w:style w:type="character" w:customStyle="1" w:styleId="SCCBanSummaryChar">
    <w:name w:val="SCC.BanSummary Char"/>
    <w:basedOn w:val="DefaultParagraphFont"/>
    <w:link w:val="SCCBanSummary"/>
    <w:rsid w:val="005F030A"/>
    <w:rPr>
      <w:rFonts w:ascii="Times New Roman" w:eastAsia="Times New Roman" w:hAnsi="Times New Roman" w:cs="Times New Roman"/>
      <w:b/>
      <w:sz w:val="24"/>
      <w:szCs w:val="20"/>
      <w:lang w:eastAsia="en-CA"/>
    </w:rPr>
  </w:style>
  <w:style w:type="table" w:styleId="TableGrid">
    <w:name w:val="Table Grid"/>
    <w:basedOn w:val="TableNormal"/>
    <w:uiPriority w:val="39"/>
    <w:rsid w:val="005F030A"/>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F030A"/>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5F030A"/>
    <w:pPr>
      <w:spacing w:before="480" w:after="480" w:line="480" w:lineRule="auto"/>
      <w:jc w:val="both"/>
    </w:pPr>
    <w:rPr>
      <w:rFonts w:ascii="Times New Roman" w:hAnsi="Times New Roman"/>
      <w:sz w:val="24"/>
    </w:rPr>
  </w:style>
  <w:style w:type="paragraph" w:customStyle="1" w:styleId="JudgeJuge">
    <w:name w:val="Judge / Juge"/>
    <w:uiPriority w:val="3"/>
    <w:rsid w:val="005F030A"/>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ParaNoNdepar-AltN">
    <w:name w:val="Para. No. / Nº de par. - Alt N"/>
    <w:qFormat/>
    <w:rsid w:val="005F030A"/>
    <w:pPr>
      <w:numPr>
        <w:numId w:val="6"/>
      </w:numPr>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5F030A"/>
    <w:pPr>
      <w:numPr>
        <w:numId w:val="7"/>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5F030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F030A"/>
    <w:pPr>
      <w:numPr>
        <w:ilvl w:val="2"/>
      </w:numPr>
      <w:jc w:val="left"/>
      <w:outlineLvl w:val="2"/>
    </w:pPr>
  </w:style>
  <w:style w:type="paragraph" w:customStyle="1" w:styleId="Title4LevelTitre4Niveau">
    <w:name w:val="Title 4 Level / Titre 4 Niveau"/>
    <w:basedOn w:val="Title3LevelTitre3Niveau"/>
    <w:next w:val="ParaNoNdepar-AltN"/>
    <w:uiPriority w:val="4"/>
    <w:qFormat/>
    <w:rsid w:val="005F030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F030A"/>
    <w:pPr>
      <w:numPr>
        <w:ilvl w:val="4"/>
      </w:numPr>
      <w:outlineLvl w:val="4"/>
    </w:pPr>
  </w:style>
  <w:style w:type="paragraph" w:styleId="TOC1">
    <w:name w:val="toc 1"/>
    <w:basedOn w:val="Normal"/>
    <w:next w:val="Normal"/>
    <w:autoRedefine/>
    <w:uiPriority w:val="39"/>
    <w:unhideWhenUsed/>
    <w:rsid w:val="005F030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F030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F030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F030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F030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F030A"/>
    <w:pPr>
      <w:tabs>
        <w:tab w:val="left" w:pos="2160"/>
        <w:tab w:val="right" w:leader="dot" w:pos="8270"/>
      </w:tabs>
      <w:spacing w:after="100"/>
      <w:ind w:left="1800"/>
    </w:pPr>
    <w:rPr>
      <w:noProof/>
    </w:rPr>
  </w:style>
  <w:style w:type="table" w:customStyle="1" w:styleId="TableGrid1">
    <w:name w:val="Table Grid1"/>
    <w:basedOn w:val="TableNormal"/>
    <w:uiPriority w:val="59"/>
    <w:rsid w:val="005F030A"/>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F030A"/>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5F030A"/>
    <w:pPr>
      <w:numPr>
        <w:ilvl w:val="5"/>
      </w:numPr>
      <w:outlineLvl w:val="5"/>
    </w:pPr>
    <w:rPr>
      <w:i/>
      <w:u w:val="none"/>
    </w:rPr>
  </w:style>
  <w:style w:type="paragraph" w:styleId="FootnoteText">
    <w:name w:val="footnote text"/>
    <w:basedOn w:val="Normal"/>
    <w:link w:val="FootnoteTextChar"/>
    <w:uiPriority w:val="99"/>
    <w:unhideWhenUsed/>
    <w:rsid w:val="005F030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F030A"/>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5F030A"/>
    <w:rPr>
      <w:vertAlign w:val="superscript"/>
    </w:rPr>
  </w:style>
  <w:style w:type="paragraph" w:styleId="NoSpacing">
    <w:name w:val="No Spacing"/>
    <w:uiPriority w:val="1"/>
    <w:rsid w:val="005F030A"/>
    <w:pPr>
      <w:spacing w:after="240" w:line="240" w:lineRule="auto"/>
      <w:ind w:left="720"/>
      <w:jc w:val="both"/>
    </w:pPr>
    <w:rPr>
      <w:rFonts w:ascii="Times New Roman" w:hAnsi="Times New Roman" w:cs="Times New Roman"/>
      <w:color w:val="FF0000"/>
      <w:sz w:val="24"/>
      <w:lang w:val="en-US"/>
    </w:rPr>
  </w:style>
  <w:style w:type="character" w:customStyle="1" w:styleId="lawlabel">
    <w:name w:val="lawlabel"/>
    <w:basedOn w:val="DefaultParagraphFont"/>
    <w:rsid w:val="005F030A"/>
  </w:style>
  <w:style w:type="character" w:customStyle="1" w:styleId="sectionlabel">
    <w:name w:val="sectionlabel"/>
    <w:basedOn w:val="DefaultParagraphFont"/>
    <w:rsid w:val="005F030A"/>
  </w:style>
  <w:style w:type="paragraph" w:customStyle="1" w:styleId="paragnum">
    <w:name w:val="paragnum"/>
    <w:basedOn w:val="Normal"/>
    <w:rsid w:val="005F030A"/>
    <w:pPr>
      <w:spacing w:before="100" w:beforeAutospacing="1" w:after="100" w:afterAutospacing="1"/>
    </w:pPr>
    <w:rPr>
      <w:szCs w:val="24"/>
      <w:lang w:val="en-US" w:eastAsia="en-US"/>
    </w:rPr>
  </w:style>
  <w:style w:type="character" w:customStyle="1" w:styleId="citationcar">
    <w:name w:val="citationcar"/>
    <w:basedOn w:val="DefaultParagraphFont"/>
    <w:rsid w:val="005F030A"/>
  </w:style>
  <w:style w:type="character" w:styleId="HTMLDefinition">
    <w:name w:val="HTML Definition"/>
    <w:basedOn w:val="DefaultParagraphFont"/>
    <w:uiPriority w:val="99"/>
    <w:semiHidden/>
    <w:unhideWhenUsed/>
    <w:rsid w:val="005F030A"/>
    <w:rPr>
      <w:i/>
      <w:iCs/>
    </w:rPr>
  </w:style>
  <w:style w:type="character" w:styleId="HTMLCite">
    <w:name w:val="HTML Cite"/>
    <w:basedOn w:val="DefaultParagraphFont"/>
    <w:uiPriority w:val="99"/>
    <w:semiHidden/>
    <w:unhideWhenUsed/>
    <w:rsid w:val="005F030A"/>
    <w:rPr>
      <w:i/>
      <w:iCs/>
    </w:rPr>
  </w:style>
  <w:style w:type="paragraph" w:customStyle="1" w:styleId="Leg">
    <w:name w:val="Leg"/>
    <w:basedOn w:val="Normal"/>
    <w:uiPriority w:val="2"/>
    <w:qFormat/>
    <w:rsid w:val="005F030A"/>
    <w:pPr>
      <w:keepNext/>
      <w:keepLines/>
      <w:spacing w:before="60" w:after="60"/>
    </w:pPr>
    <w:rPr>
      <w:sz w:val="22"/>
      <w:szCs w:val="22"/>
      <w:lang w:val="fr-CA"/>
    </w:rPr>
  </w:style>
  <w:style w:type="paragraph" w:customStyle="1" w:styleId="Leg-Sub1">
    <w:name w:val="Leg - Sub 1"/>
    <w:basedOn w:val="Leg"/>
    <w:uiPriority w:val="2"/>
    <w:qFormat/>
    <w:rsid w:val="005F030A"/>
    <w:pPr>
      <w:ind w:left="706" w:hanging="346"/>
    </w:pPr>
  </w:style>
  <w:style w:type="character" w:styleId="CommentReference">
    <w:name w:val="annotation reference"/>
    <w:basedOn w:val="DefaultParagraphFont"/>
    <w:uiPriority w:val="99"/>
    <w:semiHidden/>
    <w:unhideWhenUsed/>
    <w:rsid w:val="005F030A"/>
    <w:rPr>
      <w:sz w:val="16"/>
      <w:szCs w:val="16"/>
    </w:rPr>
  </w:style>
  <w:style w:type="paragraph" w:styleId="CommentText">
    <w:name w:val="annotation text"/>
    <w:basedOn w:val="Normal"/>
    <w:link w:val="CommentTextChar"/>
    <w:uiPriority w:val="99"/>
    <w:unhideWhenUsed/>
    <w:rsid w:val="005F030A"/>
    <w:rPr>
      <w:sz w:val="22"/>
    </w:rPr>
  </w:style>
  <w:style w:type="character" w:customStyle="1" w:styleId="CommentTextChar">
    <w:name w:val="Comment Text Char"/>
    <w:basedOn w:val="DefaultParagraphFont"/>
    <w:link w:val="CommentText"/>
    <w:uiPriority w:val="99"/>
    <w:rsid w:val="005F030A"/>
    <w:rPr>
      <w:rFonts w:ascii="Times New Roman" w:eastAsia="Times New Roman" w:hAnsi="Times New Roman" w:cs="Times New Roman"/>
      <w:szCs w:val="20"/>
      <w:lang w:eastAsia="en-CA"/>
    </w:rPr>
  </w:style>
  <w:style w:type="paragraph" w:styleId="CommentSubject">
    <w:name w:val="annotation subject"/>
    <w:basedOn w:val="CommentText"/>
    <w:next w:val="CommentText"/>
    <w:link w:val="CommentSubjectChar"/>
    <w:uiPriority w:val="99"/>
    <w:semiHidden/>
    <w:unhideWhenUsed/>
    <w:rsid w:val="005F030A"/>
    <w:rPr>
      <w:b/>
      <w:bCs/>
    </w:rPr>
  </w:style>
  <w:style w:type="character" w:customStyle="1" w:styleId="CommentSubjectChar">
    <w:name w:val="Comment Subject Char"/>
    <w:basedOn w:val="CommentTextChar"/>
    <w:link w:val="CommentSubject"/>
    <w:uiPriority w:val="99"/>
    <w:semiHidden/>
    <w:rsid w:val="005F030A"/>
    <w:rPr>
      <w:rFonts w:ascii="Times New Roman" w:eastAsia="Times New Roman" w:hAnsi="Times New Roman" w:cs="Times New Roman"/>
      <w:b/>
      <w:bCs/>
      <w:szCs w:val="20"/>
      <w:lang w:eastAsia="en-CA"/>
    </w:rPr>
  </w:style>
  <w:style w:type="paragraph" w:customStyle="1" w:styleId="paragraph">
    <w:name w:val="paragraph"/>
    <w:basedOn w:val="Normal"/>
    <w:rsid w:val="005F030A"/>
    <w:pPr>
      <w:spacing w:before="100" w:beforeAutospacing="1" w:after="100" w:afterAutospacing="1"/>
    </w:pPr>
    <w:rPr>
      <w:szCs w:val="24"/>
    </w:rPr>
  </w:style>
  <w:style w:type="paragraph" w:customStyle="1" w:styleId="subparagraph">
    <w:name w:val="subparagraph"/>
    <w:basedOn w:val="Normal"/>
    <w:rsid w:val="005F030A"/>
    <w:pPr>
      <w:spacing w:before="100" w:beforeAutospacing="1" w:after="100" w:afterAutospacing="1"/>
    </w:pPr>
    <w:rPr>
      <w:szCs w:val="24"/>
    </w:rPr>
  </w:style>
  <w:style w:type="paragraph" w:styleId="Revision">
    <w:name w:val="Revision"/>
    <w:hidden/>
    <w:uiPriority w:val="99"/>
    <w:semiHidden/>
    <w:rsid w:val="005F030A"/>
    <w:pPr>
      <w:spacing w:after="0" w:line="240" w:lineRule="auto"/>
    </w:pPr>
    <w:rPr>
      <w:rFonts w:ascii="Times New Roman" w:eastAsia="Times New Roman" w:hAnsi="Times New Roman" w:cs="Times New Roman"/>
      <w:sz w:val="24"/>
      <w:szCs w:val="24"/>
      <w:lang w:eastAsia="en-CA"/>
    </w:rPr>
  </w:style>
  <w:style w:type="table" w:customStyle="1" w:styleId="TableGrid2">
    <w:name w:val="Table Grid2"/>
    <w:basedOn w:val="TableNormal"/>
    <w:next w:val="TableGrid"/>
    <w:uiPriority w:val="59"/>
    <w:rsid w:val="005F030A"/>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70921"/>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c-csc.ca/cso-dce/2019SCC-CSC66_11_fra.pdf" TargetMode="External"/><Relationship Id="rId18" Type="http://schemas.openxmlformats.org/officeDocument/2006/relationships/hyperlink" Target="https://www.scc-csc.ca/cso-dce/2019SCC-CSC66_2_fra.pdf" TargetMode="External"/><Relationship Id="rId3" Type="http://schemas.openxmlformats.org/officeDocument/2006/relationships/styles" Target="styles.xml"/><Relationship Id="rId21" Type="http://schemas.openxmlformats.org/officeDocument/2006/relationships/hyperlink" Target="https://www.scc-csc.ca/cso-dce/2019SCC-CSC66_10_fra.pdf" TargetMode="External"/><Relationship Id="rId7" Type="http://schemas.openxmlformats.org/officeDocument/2006/relationships/endnotes" Target="endnotes.xml"/><Relationship Id="rId12" Type="http://schemas.openxmlformats.org/officeDocument/2006/relationships/hyperlink" Target="https://www.scc-csc.ca/cso-dce/2019SCC-CSC66_8_fra.pdf" TargetMode="External"/><Relationship Id="rId17" Type="http://schemas.openxmlformats.org/officeDocument/2006/relationships/hyperlink" Target="https://www.scc-csc.ca/cso-dce/2019SCC-CSC66_13_fra.pdf" TargetMode="External"/><Relationship Id="rId2" Type="http://schemas.openxmlformats.org/officeDocument/2006/relationships/numbering" Target="numbering.xml"/><Relationship Id="rId16" Type="http://schemas.openxmlformats.org/officeDocument/2006/relationships/hyperlink" Target="https://www.scc-csc.ca/cso-dce/2019SCC-CSC66_9_fra.pdf" TargetMode="External"/><Relationship Id="rId20" Type="http://schemas.openxmlformats.org/officeDocument/2006/relationships/hyperlink" Target="https://www.scc-csc.ca/cso-dce/2019SCC-CSC66_6_f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66_4_fr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so-dce/2019SCC-CSC66_1_fra.pdf" TargetMode="External"/><Relationship Id="rId23" Type="http://schemas.openxmlformats.org/officeDocument/2006/relationships/fontTable" Target="fontTable.xml"/><Relationship Id="rId10" Type="http://schemas.openxmlformats.org/officeDocument/2006/relationships/hyperlink" Target="https://www.scc-csc.ca/cso-dce/2019SCC-CSC66_3_fra.pdf" TargetMode="External"/><Relationship Id="rId19" Type="http://schemas.openxmlformats.org/officeDocument/2006/relationships/hyperlink" Target="https://www.scc-csc.ca/cso-dce/2019SCC-CSC66_5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cc-csc.ca/cso-dce/2019SCC-CSC66_7_fra.pdf" TargetMode="External"/><Relationship Id="rId22" Type="http://schemas.openxmlformats.org/officeDocument/2006/relationships/hyperlink" Target="https://www.scc-csc.ca/cso-dce/2019SCC-CSC66_12_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A1026-1A1A-472F-BB7D-D2AA210D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71</Pages>
  <Words>18073</Words>
  <Characters>103022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O'Doherty Peter</cp:lastModifiedBy>
  <cp:revision>51</cp:revision>
  <cp:lastPrinted>2020-02-04T18:59:00Z</cp:lastPrinted>
  <dcterms:created xsi:type="dcterms:W3CDTF">2013-09-17T14:14:00Z</dcterms:created>
  <dcterms:modified xsi:type="dcterms:W3CDTF">2022-03-27T18:20:00Z</dcterms:modified>
</cp:coreProperties>
</file>