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50C6" w14:textId="77777777" w:rsidR="00540A77" w:rsidRPr="002C65EF" w:rsidRDefault="00540A77" w:rsidP="00540A77">
      <w:pPr>
        <w:tabs>
          <w:tab w:val="center" w:pos="4680"/>
          <w:tab w:val="right" w:pos="9360"/>
        </w:tabs>
        <w:jc w:val="center"/>
        <w:rPr>
          <w:rFonts w:eastAsiaTheme="minorHAnsi" w:cstheme="minorBidi"/>
          <w:szCs w:val="24"/>
          <w:lang w:val="fr-CA" w:eastAsia="en-US"/>
        </w:rPr>
      </w:pPr>
      <w:r w:rsidRPr="002C65EF">
        <w:rPr>
          <w:rFonts w:eastAsiaTheme="minorHAnsi" w:cstheme="minorBidi"/>
          <w:szCs w:val="24"/>
          <w:lang w:val="fr-CA" w:eastAsia="en-US"/>
        </w:rPr>
        <w:ptab w:relativeTo="margin" w:alignment="center" w:leader="none"/>
      </w:r>
      <w:r w:rsidRPr="002C65EF">
        <w:rPr>
          <w:rFonts w:eastAsiaTheme="minorHAnsi" w:cstheme="minorBidi"/>
          <w:szCs w:val="24"/>
          <w:lang w:val="fr-CA" w:eastAsia="en-US"/>
        </w:rPr>
        <w:t xml:space="preserve"> </w:t>
      </w:r>
      <w:r w:rsidRPr="002C65EF">
        <w:rPr>
          <w:rFonts w:eastAsiaTheme="minorHAnsi" w:cstheme="minorBidi"/>
          <w:szCs w:val="24"/>
          <w:lang w:val="fr-CA" w:eastAsia="en-US"/>
        </w:rPr>
        <w:object w:dxaOrig="1365" w:dyaOrig="1440" w14:anchorId="032FC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3.45pt" o:ole="">
            <v:imagedata r:id="rId8" o:title=""/>
          </v:shape>
          <o:OLEObject Type="Embed" ProgID="Presentations.Drawing.13" ShapeID="_x0000_i1025" DrawAspect="Content" ObjectID="_1740306400" r:id="rId9"/>
        </w:object>
      </w:r>
      <w:r w:rsidRPr="002C65EF">
        <w:rPr>
          <w:rFonts w:eastAsiaTheme="minorHAnsi" w:cstheme="minorBidi"/>
          <w:szCs w:val="24"/>
          <w:lang w:val="fr-CA" w:eastAsia="en-US"/>
        </w:rPr>
        <w:t xml:space="preserve"> </w:t>
      </w:r>
      <w:r w:rsidRPr="002C65EF">
        <w:rPr>
          <w:rFonts w:eastAsiaTheme="minorHAnsi" w:cstheme="minorBidi"/>
          <w:szCs w:val="24"/>
          <w:lang w:val="fr-CA" w:eastAsia="en-US"/>
        </w:rPr>
        <w:ptab w:relativeTo="margin" w:alignment="right" w:leader="none"/>
      </w:r>
    </w:p>
    <w:p w14:paraId="01C7ACA1" w14:textId="77777777" w:rsidR="00540A77" w:rsidRPr="002C65EF" w:rsidRDefault="00540A77" w:rsidP="00540A77">
      <w:pPr>
        <w:tabs>
          <w:tab w:val="center" w:pos="4680"/>
          <w:tab w:val="right" w:pos="9360"/>
        </w:tabs>
        <w:rPr>
          <w:rFonts w:eastAsiaTheme="minorHAnsi" w:cstheme="minorBidi"/>
          <w:szCs w:val="24"/>
          <w:lang w:val="fr-CA" w:eastAsia="en-US"/>
        </w:rPr>
      </w:pPr>
    </w:p>
    <w:p w14:paraId="643647CC" w14:textId="77777777" w:rsidR="00540A77" w:rsidRPr="002C65EF" w:rsidRDefault="00540A77" w:rsidP="00540A77">
      <w:pPr>
        <w:jc w:val="center"/>
        <w:rPr>
          <w:rFonts w:eastAsiaTheme="minorHAnsi" w:cstheme="minorBidi"/>
          <w:b/>
          <w:szCs w:val="24"/>
          <w:lang w:val="fr-CA" w:eastAsia="en-US"/>
        </w:rPr>
      </w:pPr>
      <w:r w:rsidRPr="002C65EF">
        <w:rPr>
          <w:rFonts w:eastAsiaTheme="minorHAnsi" w:cstheme="minorBidi"/>
          <w:b/>
          <w:szCs w:val="24"/>
          <w:lang w:val="fr-CA" w:eastAsia="en-US"/>
        </w:rPr>
        <w:t>COUR SUPRÊME DU CANADA</w:t>
      </w:r>
    </w:p>
    <w:p w14:paraId="116D3681" w14:textId="77777777" w:rsidR="00540A77" w:rsidRPr="002C65EF" w:rsidRDefault="00540A77" w:rsidP="00540A77">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540A77" w:rsidRPr="002C65EF" w14:paraId="0078FCD1" w14:textId="77777777" w:rsidTr="00CA22EA">
        <w:trPr>
          <w:cantSplit/>
        </w:trPr>
        <w:tc>
          <w:tcPr>
            <w:tcW w:w="5940" w:type="dxa"/>
          </w:tcPr>
          <w:p w14:paraId="25D0B1BB" w14:textId="685DE321" w:rsidR="00540A77" w:rsidRPr="002C65EF" w:rsidRDefault="00540A77" w:rsidP="00CA22EA">
            <w:pPr>
              <w:rPr>
                <w:lang w:val="fr-CA"/>
              </w:rPr>
            </w:pPr>
            <w:r w:rsidRPr="002C65EF">
              <w:rPr>
                <w:b/>
                <w:smallCaps/>
                <w:lang w:val="fr-CA"/>
              </w:rPr>
              <w:t>Référence :</w:t>
            </w:r>
            <w:r w:rsidRPr="002C65EF">
              <w:rPr>
                <w:lang w:val="fr-CA"/>
              </w:rPr>
              <w:t xml:space="preserve"> </w:t>
            </w:r>
            <w:r w:rsidRPr="00C425DB">
              <w:rPr>
                <w:lang w:val="fr-CA"/>
              </w:rPr>
              <w:t>Colombie-Britannique (</w:t>
            </w:r>
            <w:r w:rsidRPr="00C425DB">
              <w:t>Procureur général)</w:t>
            </w:r>
            <w:r w:rsidRPr="00C425DB">
              <w:rPr>
                <w:lang w:val="fr-CA"/>
              </w:rPr>
              <w:t xml:space="preserve"> </w:t>
            </w:r>
            <w:r w:rsidRPr="00C425DB">
              <w:rPr>
                <w:i/>
                <w:lang w:val="fr-CA"/>
              </w:rPr>
              <w:t>c.</w:t>
            </w:r>
            <w:r w:rsidRPr="00C425DB">
              <w:rPr>
                <w:lang w:val="fr-CA"/>
              </w:rPr>
              <w:t xml:space="preserve"> </w:t>
            </w:r>
            <w:r w:rsidRPr="00C425DB">
              <w:t>Provincial Court Judges’ Association of British Columbia, 2020 CSC 20</w:t>
            </w:r>
            <w:r>
              <w:t xml:space="preserve">, [2020] </w:t>
            </w:r>
            <w:r w:rsidR="00D1571C">
              <w:t xml:space="preserve">2 </w:t>
            </w:r>
            <w:r w:rsidR="004F4E57">
              <w:t>R.C.S. 506</w:t>
            </w:r>
          </w:p>
        </w:tc>
        <w:tc>
          <w:tcPr>
            <w:tcW w:w="3636" w:type="dxa"/>
          </w:tcPr>
          <w:p w14:paraId="523F159E" w14:textId="77777777" w:rsidR="00540A77" w:rsidRPr="002C65EF" w:rsidRDefault="00540A77" w:rsidP="00CA22EA">
            <w:pPr>
              <w:rPr>
                <w:lang w:val="fr-CA"/>
              </w:rPr>
            </w:pPr>
            <w:r w:rsidRPr="002C65EF">
              <w:rPr>
                <w:b/>
                <w:smallCaps/>
                <w:lang w:val="fr-CA"/>
              </w:rPr>
              <w:t>Appel entendu :</w:t>
            </w:r>
            <w:r w:rsidRPr="002C65EF">
              <w:rPr>
                <w:lang w:val="fr-CA"/>
              </w:rPr>
              <w:t xml:space="preserve"> 9 décembre 2019</w:t>
            </w:r>
          </w:p>
          <w:p w14:paraId="592D4190" w14:textId="77777777" w:rsidR="00540A77" w:rsidRPr="002C65EF" w:rsidRDefault="00540A77" w:rsidP="00CA22EA">
            <w:pPr>
              <w:rPr>
                <w:b/>
                <w:smallCaps/>
                <w:lang w:val="fr-CA"/>
              </w:rPr>
            </w:pPr>
            <w:r w:rsidRPr="002C65EF">
              <w:rPr>
                <w:b/>
                <w:smallCaps/>
                <w:lang w:val="fr-CA"/>
              </w:rPr>
              <w:t xml:space="preserve">Jugement rendu : </w:t>
            </w:r>
            <w:r w:rsidRPr="002C65EF">
              <w:rPr>
                <w:lang w:val="fr-CA"/>
              </w:rPr>
              <w:t>31 juillet 2020</w:t>
            </w:r>
          </w:p>
          <w:p w14:paraId="3839121F" w14:textId="77777777" w:rsidR="00540A77" w:rsidRPr="002C65EF" w:rsidRDefault="00540A77" w:rsidP="00CA22EA">
            <w:pPr>
              <w:rPr>
                <w:lang w:val="fr-CA"/>
              </w:rPr>
            </w:pPr>
            <w:r w:rsidRPr="002C65EF">
              <w:rPr>
                <w:b/>
                <w:smallCaps/>
                <w:lang w:val="fr-CA"/>
              </w:rPr>
              <w:t>Dossier :</w:t>
            </w:r>
            <w:r w:rsidRPr="002C65EF">
              <w:rPr>
                <w:lang w:val="fr-CA"/>
              </w:rPr>
              <w:t xml:space="preserve"> 38381</w:t>
            </w:r>
          </w:p>
        </w:tc>
      </w:tr>
    </w:tbl>
    <w:p w14:paraId="3C879154" w14:textId="77777777" w:rsidR="00540A77" w:rsidRPr="002C65EF" w:rsidRDefault="00540A77" w:rsidP="00540A77">
      <w:pPr>
        <w:rPr>
          <w:rFonts w:eastAsiaTheme="minorHAnsi" w:cstheme="minorBidi"/>
          <w:szCs w:val="24"/>
          <w:lang w:val="fr-CA" w:eastAsia="en-US"/>
        </w:rPr>
      </w:pPr>
    </w:p>
    <w:p w14:paraId="37DF0E39" w14:textId="77777777" w:rsidR="00540A77" w:rsidRPr="002C65EF" w:rsidRDefault="00540A77" w:rsidP="00540A77">
      <w:pPr>
        <w:rPr>
          <w:rFonts w:eastAsiaTheme="minorHAnsi" w:cstheme="minorBidi"/>
          <w:b/>
          <w:smallCaps/>
          <w:szCs w:val="24"/>
          <w:lang w:val="fr-CA" w:eastAsia="en-US"/>
        </w:rPr>
      </w:pPr>
      <w:r w:rsidRPr="002C65EF">
        <w:rPr>
          <w:rFonts w:eastAsiaTheme="minorHAnsi" w:cstheme="minorBidi"/>
          <w:b/>
          <w:smallCaps/>
          <w:szCs w:val="24"/>
          <w:lang w:val="fr-CA" w:eastAsia="en-US"/>
        </w:rPr>
        <w:t>Entre :</w:t>
      </w:r>
    </w:p>
    <w:p w14:paraId="03316353" w14:textId="77777777" w:rsidR="00540A77" w:rsidRPr="002C65EF" w:rsidRDefault="00540A77" w:rsidP="00540A77">
      <w:pPr>
        <w:jc w:val="center"/>
        <w:rPr>
          <w:rFonts w:eastAsiaTheme="minorHAnsi" w:cstheme="minorBidi"/>
          <w:b/>
          <w:szCs w:val="24"/>
          <w:lang w:val="fr-CA" w:eastAsia="en-US"/>
        </w:rPr>
      </w:pPr>
      <w:r w:rsidRPr="002C65EF">
        <w:rPr>
          <w:rFonts w:eastAsiaTheme="minorHAnsi" w:cstheme="minorBidi"/>
          <w:b/>
          <w:szCs w:val="24"/>
          <w:lang w:val="fr-CA" w:eastAsia="en-US"/>
        </w:rPr>
        <w:t>Procureur général de la Colombie-Britannique</w:t>
      </w:r>
    </w:p>
    <w:p w14:paraId="18BC06A0" w14:textId="77777777" w:rsidR="00540A77" w:rsidRPr="002C65EF" w:rsidRDefault="00540A77" w:rsidP="00540A77">
      <w:pPr>
        <w:jc w:val="center"/>
        <w:rPr>
          <w:rFonts w:eastAsiaTheme="minorHAnsi" w:cstheme="minorBidi"/>
          <w:szCs w:val="24"/>
          <w:lang w:val="en-US" w:eastAsia="en-US"/>
        </w:rPr>
      </w:pPr>
      <w:r w:rsidRPr="002C65EF">
        <w:rPr>
          <w:rFonts w:eastAsiaTheme="minorHAnsi" w:cstheme="minorBidi"/>
          <w:szCs w:val="24"/>
          <w:lang w:val="en-US" w:eastAsia="en-US"/>
        </w:rPr>
        <w:t>Appelant</w:t>
      </w:r>
    </w:p>
    <w:p w14:paraId="0056E6B2" w14:textId="77777777" w:rsidR="00540A77" w:rsidRPr="002C65EF" w:rsidRDefault="00540A77" w:rsidP="00540A77">
      <w:pPr>
        <w:jc w:val="center"/>
        <w:rPr>
          <w:rFonts w:eastAsiaTheme="minorHAnsi" w:cstheme="minorBidi"/>
          <w:szCs w:val="24"/>
          <w:lang w:val="en-US" w:eastAsia="en-US"/>
        </w:rPr>
      </w:pPr>
    </w:p>
    <w:p w14:paraId="20DCF87B" w14:textId="77777777" w:rsidR="00540A77" w:rsidRPr="002C65EF" w:rsidRDefault="00540A77" w:rsidP="00540A77">
      <w:pPr>
        <w:jc w:val="center"/>
        <w:rPr>
          <w:rFonts w:eastAsiaTheme="minorHAnsi" w:cstheme="minorBidi"/>
          <w:szCs w:val="24"/>
          <w:lang w:val="en-US" w:eastAsia="en-US"/>
        </w:rPr>
      </w:pPr>
      <w:r w:rsidRPr="002C65EF">
        <w:rPr>
          <w:rFonts w:eastAsiaTheme="minorHAnsi" w:cstheme="minorBidi"/>
          <w:szCs w:val="24"/>
          <w:lang w:val="en-US" w:eastAsia="en-US"/>
        </w:rPr>
        <w:t>et</w:t>
      </w:r>
    </w:p>
    <w:p w14:paraId="58355AE7" w14:textId="77777777" w:rsidR="00540A77" w:rsidRPr="002C65EF" w:rsidRDefault="00540A77" w:rsidP="00540A77">
      <w:pPr>
        <w:jc w:val="center"/>
        <w:rPr>
          <w:rFonts w:eastAsiaTheme="minorHAnsi" w:cstheme="minorBidi"/>
          <w:b/>
          <w:szCs w:val="24"/>
          <w:lang w:val="en-US" w:eastAsia="en-US"/>
        </w:rPr>
      </w:pPr>
    </w:p>
    <w:p w14:paraId="11ED3E71" w14:textId="77777777" w:rsidR="00540A77" w:rsidRPr="002C65EF" w:rsidRDefault="00540A77" w:rsidP="00540A77">
      <w:pPr>
        <w:jc w:val="center"/>
        <w:rPr>
          <w:rFonts w:eastAsiaTheme="minorHAnsi" w:cstheme="minorBidi"/>
          <w:b/>
          <w:szCs w:val="24"/>
          <w:lang w:val="en-US" w:eastAsia="en-US"/>
        </w:rPr>
      </w:pPr>
      <w:r w:rsidRPr="002C65EF">
        <w:rPr>
          <w:rFonts w:eastAsiaTheme="minorHAnsi" w:cstheme="minorBidi"/>
          <w:b/>
          <w:szCs w:val="24"/>
          <w:lang w:val="en-US" w:eastAsia="en-US"/>
        </w:rPr>
        <w:t>Provincial Court Judges’ Association of British Columbia</w:t>
      </w:r>
    </w:p>
    <w:p w14:paraId="55812574" w14:textId="77777777" w:rsidR="00540A77" w:rsidRPr="002C65EF" w:rsidRDefault="00540A77" w:rsidP="00540A77">
      <w:pPr>
        <w:jc w:val="center"/>
        <w:rPr>
          <w:rFonts w:eastAsiaTheme="minorHAnsi" w:cstheme="minorBidi"/>
          <w:szCs w:val="24"/>
          <w:lang w:val="fr-CA" w:eastAsia="en-US"/>
        </w:rPr>
      </w:pPr>
      <w:r w:rsidRPr="002C65EF">
        <w:rPr>
          <w:rFonts w:eastAsiaTheme="minorHAnsi" w:cstheme="minorBidi"/>
          <w:szCs w:val="24"/>
          <w:lang w:val="fr-CA" w:eastAsia="en-US"/>
        </w:rPr>
        <w:t>Intimée</w:t>
      </w:r>
    </w:p>
    <w:p w14:paraId="5686BA04" w14:textId="77777777" w:rsidR="00540A77" w:rsidRPr="002C65EF" w:rsidRDefault="00540A77" w:rsidP="00540A77">
      <w:pPr>
        <w:rPr>
          <w:rFonts w:eastAsiaTheme="minorHAnsi" w:cstheme="minorBidi"/>
          <w:szCs w:val="24"/>
          <w:lang w:val="fr-CA" w:eastAsia="en-US"/>
        </w:rPr>
      </w:pPr>
    </w:p>
    <w:p w14:paraId="099B145B" w14:textId="77777777" w:rsidR="00540A77" w:rsidRPr="002C65EF" w:rsidRDefault="00540A77" w:rsidP="00540A77">
      <w:pPr>
        <w:jc w:val="center"/>
        <w:rPr>
          <w:rFonts w:eastAsiaTheme="minorHAnsi" w:cstheme="minorBidi"/>
          <w:szCs w:val="24"/>
          <w:lang w:val="fr-CA" w:eastAsia="en-US"/>
        </w:rPr>
      </w:pPr>
      <w:r w:rsidRPr="002C65EF">
        <w:rPr>
          <w:rFonts w:eastAsiaTheme="minorHAnsi" w:cstheme="minorBidi"/>
          <w:szCs w:val="24"/>
          <w:lang w:val="fr-CA" w:eastAsia="en-US"/>
        </w:rPr>
        <w:t>- et -</w:t>
      </w:r>
    </w:p>
    <w:p w14:paraId="1D68A5ED" w14:textId="77777777" w:rsidR="00540A77" w:rsidRPr="002C65EF" w:rsidRDefault="00540A77" w:rsidP="00540A77">
      <w:pPr>
        <w:jc w:val="center"/>
        <w:rPr>
          <w:rFonts w:eastAsiaTheme="minorHAnsi" w:cstheme="minorBidi"/>
          <w:b/>
          <w:szCs w:val="24"/>
          <w:lang w:val="fr-CA" w:eastAsia="en-US"/>
        </w:rPr>
      </w:pPr>
    </w:p>
    <w:p w14:paraId="52B237C8" w14:textId="77777777" w:rsidR="00540A77" w:rsidRPr="002C65EF" w:rsidRDefault="00540A77" w:rsidP="00540A77">
      <w:pPr>
        <w:jc w:val="center"/>
        <w:rPr>
          <w:rFonts w:eastAsiaTheme="minorHAnsi" w:cstheme="minorBidi"/>
          <w:b/>
          <w:szCs w:val="24"/>
          <w:lang w:val="fr-CA" w:eastAsia="en-US"/>
        </w:rPr>
      </w:pPr>
      <w:r w:rsidRPr="002C65EF">
        <w:rPr>
          <w:rFonts w:eastAsiaTheme="minorHAnsi" w:cstheme="minorBidi"/>
          <w:b/>
          <w:szCs w:val="24"/>
          <w:lang w:val="fr-CA" w:eastAsia="en-US"/>
        </w:rPr>
        <w:t>Procureur général du Canada, procureur général de l’Ontario, procureure générale du Québec, procureur général de la Saskatchewan, procureur général de l’Alberta, Association canadienne des juges des cours supérieures, Association du Barreau canadien, Association canadienne des juges des cours provinciales, Fédération canadienne des contribuables et Association canadienne des libertés civiles</w:t>
      </w:r>
    </w:p>
    <w:p w14:paraId="1A12E6D3" w14:textId="77777777" w:rsidR="00540A77" w:rsidRPr="002C65EF" w:rsidRDefault="00540A77" w:rsidP="00540A77">
      <w:pPr>
        <w:jc w:val="center"/>
        <w:rPr>
          <w:rFonts w:eastAsiaTheme="minorHAnsi" w:cstheme="minorBidi"/>
          <w:szCs w:val="24"/>
          <w:lang w:val="fr-CA" w:eastAsia="en-US"/>
        </w:rPr>
      </w:pPr>
      <w:r w:rsidRPr="002C65EF">
        <w:rPr>
          <w:rFonts w:eastAsiaTheme="minorHAnsi" w:cstheme="minorBidi"/>
          <w:szCs w:val="24"/>
          <w:lang w:val="fr-CA" w:eastAsia="en-US"/>
        </w:rPr>
        <w:t>Intervenants</w:t>
      </w:r>
    </w:p>
    <w:p w14:paraId="622DE718" w14:textId="77777777" w:rsidR="00540A77" w:rsidRPr="002C65EF" w:rsidRDefault="00540A77" w:rsidP="00540A77">
      <w:pPr>
        <w:rPr>
          <w:rFonts w:eastAsiaTheme="minorHAnsi" w:cstheme="minorBidi"/>
          <w:szCs w:val="24"/>
          <w:lang w:val="fr-CA" w:eastAsia="en-US"/>
        </w:rPr>
      </w:pPr>
    </w:p>
    <w:p w14:paraId="160777A3" w14:textId="77777777" w:rsidR="00540A77" w:rsidRPr="002C65EF" w:rsidRDefault="00540A77" w:rsidP="00540A77">
      <w:pPr>
        <w:rPr>
          <w:rFonts w:eastAsiaTheme="minorHAnsi" w:cstheme="minorBidi"/>
          <w:szCs w:val="24"/>
          <w:lang w:val="fr-CA" w:eastAsia="en-US"/>
        </w:rPr>
      </w:pPr>
    </w:p>
    <w:p w14:paraId="37855B9E" w14:textId="77777777" w:rsidR="00540A77" w:rsidRPr="002C65EF" w:rsidRDefault="00540A77" w:rsidP="00540A77">
      <w:pPr>
        <w:jc w:val="center"/>
        <w:rPr>
          <w:rFonts w:eastAsiaTheme="minorHAnsi" w:cstheme="minorBidi"/>
          <w:b/>
          <w:smallCaps/>
          <w:szCs w:val="24"/>
          <w:lang w:val="fr-CA" w:eastAsia="en-US"/>
        </w:rPr>
      </w:pPr>
      <w:r w:rsidRPr="002C65EF">
        <w:rPr>
          <w:rFonts w:eastAsiaTheme="minorHAnsi" w:cstheme="minorBidi"/>
          <w:b/>
          <w:smallCaps/>
          <w:szCs w:val="24"/>
          <w:lang w:val="fr-CA" w:eastAsia="en-US"/>
        </w:rPr>
        <w:t>Traduction française officielle</w:t>
      </w:r>
    </w:p>
    <w:p w14:paraId="1218871B" w14:textId="77777777" w:rsidR="00540A77" w:rsidRPr="002C65EF" w:rsidRDefault="00540A77" w:rsidP="00540A77">
      <w:pPr>
        <w:rPr>
          <w:rFonts w:eastAsiaTheme="minorHAnsi" w:cstheme="minorBidi"/>
          <w:szCs w:val="24"/>
          <w:lang w:val="fr-CA" w:eastAsia="en-US"/>
        </w:rPr>
      </w:pPr>
    </w:p>
    <w:p w14:paraId="5203CDF4" w14:textId="77777777" w:rsidR="00540A77" w:rsidRPr="002C65EF" w:rsidRDefault="00540A77" w:rsidP="00540A77">
      <w:pPr>
        <w:rPr>
          <w:rFonts w:eastAsiaTheme="minorHAnsi" w:cstheme="minorBidi"/>
          <w:szCs w:val="24"/>
          <w:lang w:val="fr-CA" w:eastAsia="en-US"/>
        </w:rPr>
      </w:pPr>
      <w:r w:rsidRPr="002C65EF">
        <w:rPr>
          <w:rFonts w:eastAsiaTheme="minorHAnsi" w:cstheme="minorBidi"/>
          <w:b/>
          <w:smallCaps/>
          <w:szCs w:val="24"/>
          <w:lang w:val="fr-CA" w:eastAsia="en-US"/>
        </w:rPr>
        <w:t>Coram :</w:t>
      </w:r>
      <w:r w:rsidRPr="002C65EF">
        <w:rPr>
          <w:rFonts w:eastAsiaTheme="minorHAnsi" w:cstheme="minorBidi"/>
          <w:szCs w:val="24"/>
          <w:lang w:val="fr-CA" w:eastAsia="en-US"/>
        </w:rPr>
        <w:t xml:space="preserve"> Le juge en chef Wagner et les juges Abella, Moldaver, Karakatsanis, Côté, Brown, Rowe, Martin et Kasirer</w:t>
      </w:r>
    </w:p>
    <w:p w14:paraId="7700FDDA" w14:textId="77777777" w:rsidR="00540A77" w:rsidRPr="002C65EF" w:rsidRDefault="00540A77" w:rsidP="00540A77">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40A77" w:rsidRPr="004F4E57" w14:paraId="522C58A7" w14:textId="77777777" w:rsidTr="00CA22EA">
        <w:trPr>
          <w:cantSplit/>
        </w:trPr>
        <w:tc>
          <w:tcPr>
            <w:tcW w:w="3618" w:type="dxa"/>
          </w:tcPr>
          <w:p w14:paraId="7C1789D4" w14:textId="77777777" w:rsidR="00540A77" w:rsidRPr="002C65EF" w:rsidRDefault="00540A77" w:rsidP="00CA22EA">
            <w:pPr>
              <w:rPr>
                <w:b/>
                <w:smallCaps/>
                <w:lang w:val="fr-CA"/>
              </w:rPr>
            </w:pPr>
            <w:r w:rsidRPr="002C65EF">
              <w:rPr>
                <w:b/>
                <w:smallCaps/>
                <w:lang w:val="fr-CA"/>
              </w:rPr>
              <w:t>Motifs de jugement :</w:t>
            </w:r>
          </w:p>
          <w:p w14:paraId="2E0F911D" w14:textId="77777777" w:rsidR="00540A77" w:rsidRPr="002C65EF" w:rsidRDefault="00540A77" w:rsidP="00CA22EA">
            <w:pPr>
              <w:rPr>
                <w:lang w:val="fr-CA"/>
              </w:rPr>
            </w:pPr>
            <w:r w:rsidRPr="002C65EF">
              <w:rPr>
                <w:lang w:val="fr-CA"/>
              </w:rPr>
              <w:t>(par. 1 à 121)</w:t>
            </w:r>
          </w:p>
        </w:tc>
        <w:tc>
          <w:tcPr>
            <w:tcW w:w="5958" w:type="dxa"/>
          </w:tcPr>
          <w:p w14:paraId="263ECC32" w14:textId="77777777" w:rsidR="00540A77" w:rsidRPr="002C65EF" w:rsidRDefault="00540A77" w:rsidP="00CA22EA">
            <w:pPr>
              <w:rPr>
                <w:lang w:val="fr-CA"/>
              </w:rPr>
            </w:pPr>
            <w:r w:rsidRPr="002C65EF">
              <w:rPr>
                <w:lang w:val="fr-CA"/>
              </w:rPr>
              <w:t>La juge Karakatsanis (avec l’accord du juge en chef Wagner et des juges Abella, Moldaver, Côté, Brown, Rowe, Martin et Kasirer)</w:t>
            </w:r>
          </w:p>
        </w:tc>
      </w:tr>
    </w:tbl>
    <w:p w14:paraId="0A51EB3E" w14:textId="77777777" w:rsidR="00540A77" w:rsidRPr="002C65EF" w:rsidRDefault="00540A77" w:rsidP="00540A77">
      <w:pPr>
        <w:rPr>
          <w:rFonts w:eastAsiaTheme="minorHAnsi" w:cstheme="minorBidi"/>
          <w:szCs w:val="24"/>
          <w:lang w:val="fr-CA" w:eastAsia="en-US"/>
        </w:rPr>
      </w:pPr>
    </w:p>
    <w:p w14:paraId="20B0ED9D" w14:textId="77777777" w:rsidR="00540A77" w:rsidRPr="002C65EF" w:rsidRDefault="00540A77" w:rsidP="00540A77">
      <w:pPr>
        <w:rPr>
          <w:rFonts w:eastAsiaTheme="minorHAnsi" w:cstheme="minorBidi"/>
          <w:szCs w:val="24"/>
          <w:lang w:val="fr-CA" w:eastAsia="en-US"/>
        </w:rPr>
      </w:pPr>
    </w:p>
    <w:p w14:paraId="3E9858D5" w14:textId="77777777" w:rsidR="00540A77" w:rsidRPr="002C65EF" w:rsidRDefault="00540A77" w:rsidP="00540A77">
      <w:pPr>
        <w:rPr>
          <w:rFonts w:eastAsiaTheme="minorHAnsi" w:cstheme="minorBidi"/>
          <w:szCs w:val="24"/>
          <w:lang w:val="fr-CA" w:eastAsia="en-US"/>
        </w:rPr>
      </w:pPr>
      <w:r w:rsidRPr="002C65EF">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45A33F7" wp14:editId="7388738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C1CF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7594B114" w14:textId="77777777" w:rsidR="00540A77" w:rsidRPr="002C65EF" w:rsidRDefault="00540A77" w:rsidP="00540A77">
      <w:pPr>
        <w:rPr>
          <w:rStyle w:val="SCCAppellantForRunningHeadChar"/>
          <w:lang w:val="fr-CA"/>
        </w:rPr>
      </w:pPr>
      <w:r w:rsidRPr="002C65EF">
        <w:rPr>
          <w:rStyle w:val="SCCAppellantForRunningHeadChar"/>
          <w:lang w:val="fr-CA"/>
        </w:rPr>
        <w:br w:type="page"/>
      </w:r>
    </w:p>
    <w:p w14:paraId="5D395108" w14:textId="5700521A" w:rsidR="00D638A8" w:rsidRPr="003C250D" w:rsidRDefault="00CB5112" w:rsidP="003C250D">
      <w:pPr>
        <w:pStyle w:val="SCCLsocLastPartyInRole"/>
        <w:rPr>
          <w:lang w:val="fr-CA"/>
        </w:rPr>
      </w:pPr>
      <w:bookmarkStart w:id="0" w:name="_GoBack"/>
      <w:bookmarkEnd w:id="0"/>
      <w:r w:rsidRPr="003C250D">
        <w:rPr>
          <w:lang w:val="fr-CA"/>
        </w:rPr>
        <w:lastRenderedPageBreak/>
        <w:t>Procureur général de la Colombie</w:t>
      </w:r>
      <w:r w:rsidR="00413D29">
        <w:rPr>
          <w:lang w:val="fr-CA"/>
        </w:rPr>
        <w:noBreakHyphen/>
      </w:r>
      <w:r w:rsidRPr="003C250D">
        <w:rPr>
          <w:lang w:val="fr-CA"/>
        </w:rPr>
        <w:t>Britannique</w:t>
      </w:r>
      <w:r w:rsidR="00286683" w:rsidRPr="003C250D">
        <w:rPr>
          <w:rStyle w:val="SCCLsocPartyRole"/>
          <w:lang w:val="fr-CA"/>
        </w:rPr>
        <w:tab/>
        <w:t>Appelant</w:t>
      </w:r>
    </w:p>
    <w:p w14:paraId="7AE68522" w14:textId="77777777" w:rsidR="00D638A8" w:rsidRPr="003C250D" w:rsidRDefault="00CB5112" w:rsidP="003C250D">
      <w:pPr>
        <w:pStyle w:val="SCCLsocVersus"/>
        <w:rPr>
          <w:lang w:val="en-US"/>
        </w:rPr>
      </w:pPr>
      <w:r w:rsidRPr="003C250D">
        <w:rPr>
          <w:lang w:val="en-US"/>
        </w:rPr>
        <w:t>c.</w:t>
      </w:r>
    </w:p>
    <w:p w14:paraId="788E5266" w14:textId="77777777" w:rsidR="00D638A8" w:rsidRPr="003C250D" w:rsidRDefault="00CB5112" w:rsidP="003C250D">
      <w:pPr>
        <w:pStyle w:val="SCCLsocLastPartyInRole"/>
      </w:pPr>
      <w:r w:rsidRPr="003C250D">
        <w:rPr>
          <w:lang w:val="en-US"/>
        </w:rPr>
        <w:t>Provincial Court Judges</w:t>
      </w:r>
      <w:r w:rsidR="00286683" w:rsidRPr="003C250D">
        <w:rPr>
          <w:lang w:val="en-US"/>
        </w:rPr>
        <w:t>’</w:t>
      </w:r>
      <w:r w:rsidRPr="003C250D">
        <w:rPr>
          <w:lang w:val="en-US"/>
        </w:rPr>
        <w:t xml:space="preserve"> Associ</w:t>
      </w:r>
      <w:r w:rsidRPr="003C250D">
        <w:t>ation of British Columbia</w:t>
      </w:r>
      <w:r w:rsidR="00286683" w:rsidRPr="003C250D">
        <w:rPr>
          <w:rStyle w:val="SCCLsocPartyRole"/>
        </w:rPr>
        <w:tab/>
        <w:t>Intimée</w:t>
      </w:r>
    </w:p>
    <w:p w14:paraId="06FC0660" w14:textId="77777777" w:rsidR="00D638A8" w:rsidRPr="003C250D" w:rsidRDefault="00CB5112" w:rsidP="003C250D">
      <w:pPr>
        <w:pStyle w:val="SCCLsocOtherPartySeparator"/>
        <w:rPr>
          <w:lang w:val="fr-CA"/>
        </w:rPr>
      </w:pPr>
      <w:r w:rsidRPr="003C250D">
        <w:rPr>
          <w:lang w:val="fr-CA"/>
        </w:rPr>
        <w:t>et</w:t>
      </w:r>
    </w:p>
    <w:p w14:paraId="0D8D32F9" w14:textId="77777777" w:rsidR="00D638A8" w:rsidRPr="003C250D" w:rsidRDefault="00CB5112">
      <w:pPr>
        <w:pStyle w:val="SCCLsocParty"/>
        <w:rPr>
          <w:lang w:val="fr-CA"/>
        </w:rPr>
      </w:pPr>
      <w:r w:rsidRPr="003C250D">
        <w:rPr>
          <w:lang w:val="fr-CA"/>
        </w:rPr>
        <w:t>Procureur général du Canada,</w:t>
      </w:r>
    </w:p>
    <w:p w14:paraId="7CE9205E" w14:textId="77777777" w:rsidR="00D638A8" w:rsidRPr="003C250D" w:rsidRDefault="00286683">
      <w:pPr>
        <w:pStyle w:val="SCCLsocParty"/>
        <w:rPr>
          <w:lang w:val="fr-CA"/>
        </w:rPr>
      </w:pPr>
      <w:r w:rsidRPr="003C250D">
        <w:rPr>
          <w:lang w:val="fr-CA"/>
        </w:rPr>
        <w:t>p</w:t>
      </w:r>
      <w:r w:rsidR="00CB5112" w:rsidRPr="003C250D">
        <w:rPr>
          <w:lang w:val="fr-CA"/>
        </w:rPr>
        <w:t>rocureur général de l</w:t>
      </w:r>
      <w:r w:rsidRPr="003C250D">
        <w:rPr>
          <w:lang w:val="fr-CA"/>
        </w:rPr>
        <w:t>’</w:t>
      </w:r>
      <w:r w:rsidR="00CB5112" w:rsidRPr="003C250D">
        <w:rPr>
          <w:lang w:val="fr-CA"/>
        </w:rPr>
        <w:t>Ontario,</w:t>
      </w:r>
    </w:p>
    <w:p w14:paraId="168BB2E8" w14:textId="77777777" w:rsidR="00D638A8" w:rsidRPr="003C250D" w:rsidRDefault="00286683">
      <w:pPr>
        <w:pStyle w:val="SCCLsocParty"/>
        <w:rPr>
          <w:lang w:val="fr-CA"/>
        </w:rPr>
      </w:pPr>
      <w:r w:rsidRPr="003C250D">
        <w:rPr>
          <w:lang w:val="fr-CA"/>
        </w:rPr>
        <w:t>p</w:t>
      </w:r>
      <w:r w:rsidR="00CB5112" w:rsidRPr="003C250D">
        <w:rPr>
          <w:lang w:val="fr-CA"/>
        </w:rPr>
        <w:t>rocureure générale du Québec,</w:t>
      </w:r>
    </w:p>
    <w:p w14:paraId="085B3265" w14:textId="77777777" w:rsidR="00D638A8" w:rsidRPr="003C250D" w:rsidRDefault="00286683">
      <w:pPr>
        <w:pStyle w:val="SCCLsocParty"/>
        <w:rPr>
          <w:lang w:val="fr-CA"/>
        </w:rPr>
      </w:pPr>
      <w:r w:rsidRPr="003C250D">
        <w:rPr>
          <w:lang w:val="fr-CA"/>
        </w:rPr>
        <w:t>p</w:t>
      </w:r>
      <w:r w:rsidR="00CB5112" w:rsidRPr="003C250D">
        <w:rPr>
          <w:lang w:val="fr-CA"/>
        </w:rPr>
        <w:t>rocureur général de la Saskatchewan,</w:t>
      </w:r>
    </w:p>
    <w:p w14:paraId="2DA90471" w14:textId="77777777" w:rsidR="00D638A8" w:rsidRPr="003C250D" w:rsidRDefault="00286683">
      <w:pPr>
        <w:pStyle w:val="SCCLsocParty"/>
        <w:rPr>
          <w:lang w:val="fr-CA"/>
        </w:rPr>
      </w:pPr>
      <w:r w:rsidRPr="003C250D">
        <w:rPr>
          <w:lang w:val="fr-CA"/>
        </w:rPr>
        <w:t>p</w:t>
      </w:r>
      <w:r w:rsidR="00CB5112" w:rsidRPr="003C250D">
        <w:rPr>
          <w:lang w:val="fr-CA"/>
        </w:rPr>
        <w:t>rocureur général de l</w:t>
      </w:r>
      <w:r w:rsidRPr="003C250D">
        <w:rPr>
          <w:lang w:val="fr-CA"/>
        </w:rPr>
        <w:t>’</w:t>
      </w:r>
      <w:r w:rsidR="00CB5112" w:rsidRPr="003C250D">
        <w:rPr>
          <w:lang w:val="fr-CA"/>
        </w:rPr>
        <w:t>Alberta,</w:t>
      </w:r>
    </w:p>
    <w:p w14:paraId="481C1BEC" w14:textId="77777777" w:rsidR="00D638A8" w:rsidRPr="003C250D" w:rsidRDefault="00CB5112">
      <w:pPr>
        <w:pStyle w:val="SCCLsocParty"/>
        <w:rPr>
          <w:lang w:val="fr-CA"/>
        </w:rPr>
      </w:pPr>
      <w:r w:rsidRPr="003C250D">
        <w:rPr>
          <w:lang w:val="fr-CA"/>
        </w:rPr>
        <w:t>Association canadienne des juges des cours supérieures,</w:t>
      </w:r>
    </w:p>
    <w:p w14:paraId="79680166" w14:textId="77777777" w:rsidR="00D638A8" w:rsidRPr="003C250D" w:rsidRDefault="00CB5112">
      <w:pPr>
        <w:pStyle w:val="SCCLsocParty"/>
        <w:rPr>
          <w:lang w:val="fr-CA"/>
        </w:rPr>
      </w:pPr>
      <w:r w:rsidRPr="003C250D">
        <w:rPr>
          <w:lang w:val="fr-CA"/>
        </w:rPr>
        <w:t>Association du Barreau canadien,</w:t>
      </w:r>
    </w:p>
    <w:p w14:paraId="260AB000" w14:textId="77777777" w:rsidR="00D638A8" w:rsidRPr="003C250D" w:rsidRDefault="00CB5112">
      <w:pPr>
        <w:pStyle w:val="SCCLsocParty"/>
        <w:rPr>
          <w:lang w:val="fr-CA"/>
        </w:rPr>
      </w:pPr>
      <w:r w:rsidRPr="003C250D">
        <w:rPr>
          <w:lang w:val="fr-CA"/>
        </w:rPr>
        <w:t>Association canadienne des juges des cours provinciales,</w:t>
      </w:r>
    </w:p>
    <w:p w14:paraId="030EB2EA" w14:textId="77777777" w:rsidR="00D638A8" w:rsidRPr="003C250D" w:rsidRDefault="00CB5112">
      <w:pPr>
        <w:pStyle w:val="SCCLsocParty"/>
        <w:rPr>
          <w:lang w:val="fr-CA"/>
        </w:rPr>
      </w:pPr>
      <w:r w:rsidRPr="003C250D">
        <w:rPr>
          <w:lang w:val="fr-CA"/>
        </w:rPr>
        <w:t>Fédérati</w:t>
      </w:r>
      <w:r w:rsidR="00286683" w:rsidRPr="003C250D">
        <w:rPr>
          <w:lang w:val="fr-CA"/>
        </w:rPr>
        <w:t>on canadienne des contribuables et</w:t>
      </w:r>
    </w:p>
    <w:p w14:paraId="65F27659" w14:textId="77777777" w:rsidR="00D638A8" w:rsidRPr="003C250D" w:rsidRDefault="005D7AC4" w:rsidP="003C250D">
      <w:pPr>
        <w:pStyle w:val="SCCLsocLastPartyInRole"/>
        <w:rPr>
          <w:lang w:val="fr-CA"/>
        </w:rPr>
      </w:pPr>
      <w:r w:rsidRPr="003C250D">
        <w:rPr>
          <w:lang w:val="fr-CA"/>
        </w:rPr>
        <w:t>Association canadienne des libertés c</w:t>
      </w:r>
      <w:r w:rsidR="00CB5112" w:rsidRPr="003C250D">
        <w:rPr>
          <w:lang w:val="fr-CA"/>
        </w:rPr>
        <w:t>iviles</w:t>
      </w:r>
      <w:r w:rsidR="00286683" w:rsidRPr="003C250D">
        <w:rPr>
          <w:rStyle w:val="SCCLsocPartyRole"/>
          <w:lang w:val="fr-CA"/>
        </w:rPr>
        <w:tab/>
        <w:t>Intervenant</w:t>
      </w:r>
      <w:r w:rsidR="00CB5112" w:rsidRPr="003C250D">
        <w:rPr>
          <w:rStyle w:val="SCCLsocPartyRole"/>
          <w:lang w:val="fr-CA"/>
        </w:rPr>
        <w:t>s</w:t>
      </w:r>
    </w:p>
    <w:p w14:paraId="099DB81D" w14:textId="133EF497" w:rsidR="00286683" w:rsidRPr="003C250D" w:rsidRDefault="004D7D95" w:rsidP="003C250D">
      <w:pPr>
        <w:spacing w:after="720"/>
        <w:jc w:val="both"/>
        <w:rPr>
          <w:b/>
          <w:lang w:val="fr-CA"/>
        </w:rPr>
      </w:pPr>
      <w:r w:rsidRPr="003C250D">
        <w:rPr>
          <w:b/>
          <w:lang w:val="fr-CA"/>
        </w:rPr>
        <w:t>Répertorié</w:t>
      </w:r>
      <w:r w:rsidR="00413D29">
        <w:rPr>
          <w:b/>
          <w:lang w:val="fr-CA"/>
        </w:rPr>
        <w:t> :</w:t>
      </w:r>
      <w:r w:rsidRPr="003C250D">
        <w:rPr>
          <w:b/>
          <w:lang w:val="fr-CA"/>
        </w:rPr>
        <w:t> </w:t>
      </w:r>
      <w:r w:rsidR="00286683" w:rsidRPr="003C250D">
        <w:rPr>
          <w:b/>
          <w:lang w:val="fr-CA"/>
        </w:rPr>
        <w:t>Colombie</w:t>
      </w:r>
      <w:r w:rsidR="00413D29">
        <w:rPr>
          <w:b/>
          <w:lang w:val="fr-CA"/>
        </w:rPr>
        <w:noBreakHyphen/>
      </w:r>
      <w:r w:rsidR="00286683" w:rsidRPr="003C250D">
        <w:rPr>
          <w:b/>
          <w:lang w:val="fr-CA"/>
        </w:rPr>
        <w:t>Britannique (</w:t>
      </w:r>
      <w:r w:rsidR="00286683" w:rsidRPr="003C250D">
        <w:rPr>
          <w:rStyle w:val="SCCAppellantForIndexChar"/>
          <w:lang w:val="fr-CA"/>
        </w:rPr>
        <w:t>Procureur général)</w:t>
      </w:r>
      <w:r w:rsidR="00286683" w:rsidRPr="003C250D">
        <w:rPr>
          <w:b/>
          <w:lang w:val="fr-CA"/>
        </w:rPr>
        <w:t xml:space="preserve"> </w:t>
      </w:r>
      <w:r w:rsidR="00286683" w:rsidRPr="003C250D">
        <w:rPr>
          <w:b/>
          <w:i/>
          <w:lang w:val="fr-CA"/>
        </w:rPr>
        <w:t>c.</w:t>
      </w:r>
      <w:r w:rsidR="00286683" w:rsidRPr="003C250D">
        <w:rPr>
          <w:b/>
          <w:lang w:val="fr-CA"/>
        </w:rPr>
        <w:t xml:space="preserve"> </w:t>
      </w:r>
      <w:r w:rsidR="00286683" w:rsidRPr="003C250D">
        <w:rPr>
          <w:rStyle w:val="SCCRespondentForIndexChar"/>
          <w:lang w:val="fr-CA"/>
        </w:rPr>
        <w:t>Provincial Court Judges’ Association of British Columbia</w:t>
      </w:r>
    </w:p>
    <w:p w14:paraId="211FF7CF" w14:textId="77777777" w:rsidR="004D7D95" w:rsidRPr="003C250D" w:rsidRDefault="00D17B0E" w:rsidP="003C250D">
      <w:pPr>
        <w:pStyle w:val="SCCSystemYear"/>
        <w:spacing w:after="720"/>
        <w:jc w:val="both"/>
        <w:rPr>
          <w:lang w:val="fr-CA"/>
        </w:rPr>
      </w:pPr>
      <w:r w:rsidRPr="003C250D">
        <w:rPr>
          <w:lang w:val="fr-CA"/>
        </w:rPr>
        <w:t>2020</w:t>
      </w:r>
      <w:r w:rsidR="004D7D95" w:rsidRPr="003C250D">
        <w:rPr>
          <w:lang w:val="fr-CA"/>
        </w:rPr>
        <w:t xml:space="preserve"> CSC </w:t>
      </w:r>
      <w:r w:rsidR="00466060" w:rsidRPr="003C250D">
        <w:rPr>
          <w:lang w:val="fr-CA"/>
        </w:rPr>
        <w:t>20</w:t>
      </w:r>
    </w:p>
    <w:p w14:paraId="3775D766" w14:textId="595A36A4" w:rsidR="004D7D95" w:rsidRPr="003C250D" w:rsidRDefault="004D7D95" w:rsidP="003C250D">
      <w:pPr>
        <w:spacing w:after="720"/>
        <w:jc w:val="both"/>
        <w:rPr>
          <w:lang w:val="fr-CA"/>
        </w:rPr>
      </w:pPr>
      <w:r w:rsidRPr="003C250D">
        <w:rPr>
          <w:lang w:val="fr-CA"/>
        </w:rPr>
        <w:t>N</w:t>
      </w:r>
      <w:r w:rsidRPr="003C250D">
        <w:rPr>
          <w:vertAlign w:val="superscript"/>
          <w:lang w:val="fr-CA"/>
        </w:rPr>
        <w:t>o</w:t>
      </w:r>
      <w:r w:rsidRPr="003C250D">
        <w:rPr>
          <w:lang w:val="fr-CA"/>
        </w:rPr>
        <w:t xml:space="preserve"> du greffe</w:t>
      </w:r>
      <w:r w:rsidR="00413D29">
        <w:rPr>
          <w:lang w:val="fr-CA"/>
        </w:rPr>
        <w:t> :</w:t>
      </w:r>
      <w:r w:rsidRPr="003C250D">
        <w:rPr>
          <w:lang w:val="fr-CA"/>
        </w:rPr>
        <w:t> 38381.</w:t>
      </w:r>
    </w:p>
    <w:p w14:paraId="57F3C80F" w14:textId="2540F959" w:rsidR="004D7D95" w:rsidRPr="003C250D" w:rsidRDefault="00D17B0E" w:rsidP="003C250D">
      <w:pPr>
        <w:spacing w:after="720"/>
        <w:jc w:val="both"/>
        <w:rPr>
          <w:lang w:val="fr-CA"/>
        </w:rPr>
      </w:pPr>
      <w:r w:rsidRPr="003C250D">
        <w:rPr>
          <w:lang w:val="fr-CA"/>
        </w:rPr>
        <w:t>2019</w:t>
      </w:r>
      <w:r w:rsidR="00413D29">
        <w:rPr>
          <w:lang w:val="fr-CA"/>
        </w:rPr>
        <w:t> : 9 </w:t>
      </w:r>
      <w:r w:rsidRPr="003C250D">
        <w:rPr>
          <w:lang w:val="fr-CA"/>
        </w:rPr>
        <w:t>décembre</w:t>
      </w:r>
      <w:r w:rsidR="004D7D95" w:rsidRPr="003C250D">
        <w:rPr>
          <w:lang w:val="fr-CA"/>
        </w:rPr>
        <w:t xml:space="preserve">; </w:t>
      </w:r>
      <w:r w:rsidR="00902FD4" w:rsidRPr="003C250D">
        <w:rPr>
          <w:lang w:val="fr-CA"/>
        </w:rPr>
        <w:t>2020</w:t>
      </w:r>
      <w:r w:rsidR="00413D29">
        <w:rPr>
          <w:lang w:val="fr-CA"/>
        </w:rPr>
        <w:t> : 31 </w:t>
      </w:r>
      <w:r w:rsidR="00902FD4" w:rsidRPr="003C250D">
        <w:rPr>
          <w:lang w:val="fr-CA"/>
        </w:rPr>
        <w:t>juillet</w:t>
      </w:r>
      <w:r w:rsidR="004D7D95" w:rsidRPr="003C250D">
        <w:rPr>
          <w:lang w:val="fr-CA"/>
        </w:rPr>
        <w:t>.</w:t>
      </w:r>
    </w:p>
    <w:p w14:paraId="77B98B93" w14:textId="27C21FE7" w:rsidR="004D7D95" w:rsidRPr="003C250D" w:rsidRDefault="004D7D95" w:rsidP="003C250D">
      <w:pPr>
        <w:spacing w:after="720"/>
        <w:jc w:val="both"/>
        <w:rPr>
          <w:lang w:val="fr-CA"/>
        </w:rPr>
      </w:pPr>
      <w:r w:rsidRPr="003C250D">
        <w:rPr>
          <w:lang w:val="fr-CA"/>
        </w:rPr>
        <w:t>Présents</w:t>
      </w:r>
      <w:r w:rsidR="00413D29">
        <w:rPr>
          <w:lang w:val="fr-CA"/>
        </w:rPr>
        <w:t> :</w:t>
      </w:r>
      <w:r w:rsidRPr="003C250D">
        <w:rPr>
          <w:lang w:val="fr-CA"/>
        </w:rPr>
        <w:t> Le juge en chef Wagner et les juges Abella, Moldaver, Karakatsanis, Côté, Brown, Rowe, Martin et Kasirer.</w:t>
      </w:r>
    </w:p>
    <w:p w14:paraId="516BCF44" w14:textId="08145B5B" w:rsidR="004D7D95" w:rsidRPr="003C250D" w:rsidRDefault="00286683" w:rsidP="003C250D">
      <w:pPr>
        <w:pStyle w:val="SCCNormalDoubleSpacing"/>
        <w:spacing w:after="720" w:line="240" w:lineRule="auto"/>
        <w:rPr>
          <w:smallCaps/>
          <w:lang w:val="fr-CA"/>
        </w:rPr>
      </w:pPr>
      <w:r w:rsidRPr="003C250D">
        <w:rPr>
          <w:smallCaps/>
          <w:lang w:val="fr-CA"/>
        </w:rPr>
        <w:lastRenderedPageBreak/>
        <w:t>en appel de la cour d’appel de la colombie</w:t>
      </w:r>
      <w:r w:rsidR="00413D29">
        <w:rPr>
          <w:smallCaps/>
          <w:lang w:val="fr-CA"/>
        </w:rPr>
        <w:noBreakHyphen/>
      </w:r>
      <w:r w:rsidRPr="003C250D">
        <w:rPr>
          <w:smallCaps/>
          <w:lang w:val="fr-CA"/>
        </w:rPr>
        <w:t>britannique</w:t>
      </w:r>
    </w:p>
    <w:p w14:paraId="11A97457" w14:textId="6DD83ECA" w:rsidR="006F5403" w:rsidRPr="00144D17" w:rsidRDefault="004D7D95" w:rsidP="006F5403">
      <w:pPr>
        <w:pStyle w:val="SCCNormalDoubleSpacing"/>
        <w:spacing w:after="480"/>
        <w:rPr>
          <w:i/>
          <w:lang w:val="fr-CA"/>
        </w:rPr>
      </w:pPr>
      <w:r w:rsidRPr="003C250D">
        <w:rPr>
          <w:lang w:val="fr-CA"/>
        </w:rPr>
        <w:tab/>
      </w:r>
      <w:r w:rsidR="00144D17" w:rsidRPr="00144D17">
        <w:rPr>
          <w:i/>
          <w:lang w:val="fr-CA"/>
        </w:rPr>
        <w:t>Droit constitutionnel</w:t>
      </w:r>
      <w:r w:rsidR="006F5403" w:rsidRPr="00144D17">
        <w:rPr>
          <w:i/>
          <w:lang w:val="fr-CA"/>
        </w:rPr>
        <w:t xml:space="preserve"> — </w:t>
      </w:r>
      <w:r w:rsidR="00144D17" w:rsidRPr="00144D17">
        <w:rPr>
          <w:i/>
          <w:lang w:val="fr-CA"/>
        </w:rPr>
        <w:t>Indépendance judiciaire</w:t>
      </w:r>
      <w:r w:rsidR="006F5403" w:rsidRPr="00144D17">
        <w:rPr>
          <w:i/>
          <w:lang w:val="fr-CA"/>
        </w:rPr>
        <w:t xml:space="preserve"> — </w:t>
      </w:r>
      <w:r w:rsidR="00144D17" w:rsidRPr="00144D17">
        <w:rPr>
          <w:i/>
          <w:lang w:val="fr-CA"/>
        </w:rPr>
        <w:t>Rémunération des juges</w:t>
      </w:r>
      <w:r w:rsidR="006F5403" w:rsidRPr="00144D17">
        <w:rPr>
          <w:i/>
          <w:lang w:val="fr-CA"/>
        </w:rPr>
        <w:t xml:space="preserve"> — </w:t>
      </w:r>
      <w:r w:rsidR="00144D17" w:rsidRPr="00144D17">
        <w:rPr>
          <w:i/>
          <w:lang w:val="fr-CA"/>
        </w:rPr>
        <w:t>Recommandations d’une commission d’examen de la rémunération des juges au procureur général d’une province concernant la r</w:t>
      </w:r>
      <w:r w:rsidR="00144D17">
        <w:rPr>
          <w:i/>
          <w:lang w:val="fr-CA"/>
        </w:rPr>
        <w:t>é</w:t>
      </w:r>
      <w:r w:rsidR="00144D17" w:rsidRPr="00144D17">
        <w:rPr>
          <w:i/>
          <w:lang w:val="fr-CA"/>
        </w:rPr>
        <w:t>mun</w:t>
      </w:r>
      <w:r w:rsidR="00144D17">
        <w:rPr>
          <w:i/>
          <w:lang w:val="fr-CA"/>
        </w:rPr>
        <w:t>é</w:t>
      </w:r>
      <w:r w:rsidR="00144D17" w:rsidRPr="00144D17">
        <w:rPr>
          <w:i/>
          <w:lang w:val="fr-CA"/>
        </w:rPr>
        <w:t xml:space="preserve">ration, les indemnités et les avantages consentis aux juges </w:t>
      </w:r>
      <w:r w:rsidR="00144D17">
        <w:rPr>
          <w:i/>
          <w:lang w:val="fr-CA"/>
        </w:rPr>
        <w:t>provincia</w:t>
      </w:r>
      <w:r w:rsidR="00865E4B">
        <w:rPr>
          <w:i/>
          <w:lang w:val="fr-CA"/>
        </w:rPr>
        <w:t>ux</w:t>
      </w:r>
      <w:r w:rsidR="00144D17">
        <w:rPr>
          <w:i/>
          <w:lang w:val="fr-CA"/>
        </w:rPr>
        <w:t xml:space="preserve"> </w:t>
      </w:r>
      <w:r w:rsidR="006F5403" w:rsidRPr="00144D17">
        <w:rPr>
          <w:i/>
          <w:lang w:val="fr-CA"/>
        </w:rPr>
        <w:t xml:space="preserve">— </w:t>
      </w:r>
      <w:r w:rsidR="00144D17">
        <w:rPr>
          <w:i/>
          <w:lang w:val="fr-CA"/>
        </w:rPr>
        <w:t xml:space="preserve">Mémoire au Cabinet relatif aux recommandations de la commission et à la réponse du gouvernement déposé par le procureur général </w:t>
      </w:r>
      <w:r w:rsidR="006F5403" w:rsidRPr="00144D17">
        <w:rPr>
          <w:i/>
          <w:lang w:val="fr-CA"/>
        </w:rPr>
        <w:t xml:space="preserve">— </w:t>
      </w:r>
      <w:r w:rsidR="00144D17">
        <w:rPr>
          <w:i/>
          <w:lang w:val="fr-CA"/>
        </w:rPr>
        <w:t>Résolution adoptée par l’Assemblée législative rejetant l’augmentation salariale recommandée par la commission</w:t>
      </w:r>
      <w:r w:rsidR="00F061D2">
        <w:rPr>
          <w:i/>
          <w:lang w:val="fr-CA"/>
        </w:rPr>
        <w:t xml:space="preserve"> </w:t>
      </w:r>
      <w:r w:rsidR="006F5403" w:rsidRPr="00144D17">
        <w:rPr>
          <w:i/>
          <w:lang w:val="fr-CA"/>
        </w:rPr>
        <w:t xml:space="preserve">— </w:t>
      </w:r>
      <w:r w:rsidR="00144D17">
        <w:rPr>
          <w:i/>
          <w:lang w:val="fr-CA"/>
        </w:rPr>
        <w:t xml:space="preserve">Demande de contrôle judiciaire de la résolution de l’Assemblée législative présentée par les juges </w:t>
      </w:r>
      <w:r w:rsidR="006F5403" w:rsidRPr="00144D17">
        <w:rPr>
          <w:i/>
          <w:lang w:val="fr-CA"/>
        </w:rPr>
        <w:t xml:space="preserve">— </w:t>
      </w:r>
      <w:r w:rsidR="00144D17">
        <w:rPr>
          <w:i/>
          <w:lang w:val="fr-CA"/>
        </w:rPr>
        <w:t>Le mémoire au Cabinet devrait-il faire partie du dossier de contr</w:t>
      </w:r>
      <w:r w:rsidR="00307405">
        <w:rPr>
          <w:i/>
          <w:lang w:val="fr-CA"/>
        </w:rPr>
        <w:t>ôle judiciaire</w:t>
      </w:r>
      <w:r w:rsidR="00480A52">
        <w:rPr>
          <w:i/>
          <w:lang w:val="fr-CA"/>
        </w:rPr>
        <w:t>?</w:t>
      </w:r>
    </w:p>
    <w:p w14:paraId="30BE6E50" w14:textId="20D2F86F" w:rsidR="009446D9" w:rsidRPr="009446D9" w:rsidRDefault="009446D9" w:rsidP="006F5403">
      <w:pPr>
        <w:pStyle w:val="SCCNormalDoubleSpacing"/>
        <w:spacing w:after="480"/>
        <w:rPr>
          <w:lang w:val="fr-CA"/>
        </w:rPr>
      </w:pPr>
      <w:r>
        <w:rPr>
          <w:lang w:val="fr-CA"/>
        </w:rPr>
        <w:tab/>
        <w:t xml:space="preserve">En octobre 2016, la commission sur la rémunération des juges de la Colombie-Britannique </w:t>
      </w:r>
      <w:r w:rsidR="004C2E9B">
        <w:rPr>
          <w:lang w:val="fr-CA"/>
        </w:rPr>
        <w:t xml:space="preserve">a </w:t>
      </w:r>
      <w:r w:rsidRPr="008D4B77">
        <w:rPr>
          <w:lang w:val="fr-CA"/>
        </w:rPr>
        <w:t>recommand</w:t>
      </w:r>
      <w:r w:rsidR="004C2E9B">
        <w:rPr>
          <w:lang w:val="fr-CA"/>
        </w:rPr>
        <w:t>é</w:t>
      </w:r>
      <w:r w:rsidRPr="008D4B77">
        <w:rPr>
          <w:lang w:val="fr-CA"/>
        </w:rPr>
        <w:t xml:space="preserve"> d’augmenter le salaire des juges provinciaux de 8,2 </w:t>
      </w:r>
      <w:r>
        <w:rPr>
          <w:lang w:val="fr-CA"/>
        </w:rPr>
        <w:t xml:space="preserve">pour </w:t>
      </w:r>
      <w:r w:rsidR="008B587B">
        <w:rPr>
          <w:lang w:val="fr-CA"/>
        </w:rPr>
        <w:t>100</w:t>
      </w:r>
      <w:r w:rsidRPr="008D4B77">
        <w:rPr>
          <w:lang w:val="fr-CA"/>
        </w:rPr>
        <w:t xml:space="preserve"> pour l’année</w:t>
      </w:r>
      <w:r w:rsidR="00F061D2">
        <w:rPr>
          <w:lang w:val="fr-CA"/>
        </w:rPr>
        <w:t> </w:t>
      </w:r>
      <w:r>
        <w:rPr>
          <w:lang w:val="fr-CA"/>
        </w:rPr>
        <w:t>2017</w:t>
      </w:r>
      <w:r>
        <w:rPr>
          <w:lang w:val="fr-CA"/>
        </w:rPr>
        <w:noBreakHyphen/>
      </w:r>
      <w:r w:rsidRPr="008D4B77">
        <w:rPr>
          <w:lang w:val="fr-CA"/>
        </w:rPr>
        <w:t>2018</w:t>
      </w:r>
      <w:r>
        <w:rPr>
          <w:lang w:val="fr-CA"/>
        </w:rPr>
        <w:t>. Le</w:t>
      </w:r>
      <w:r w:rsidRPr="008D4B77">
        <w:rPr>
          <w:lang w:val="fr-CA"/>
        </w:rPr>
        <w:t xml:space="preserve"> procureur général a soumis </w:t>
      </w:r>
      <w:r>
        <w:rPr>
          <w:lang w:val="fr-CA"/>
        </w:rPr>
        <w:t>un mémoire au Cabinet</w:t>
      </w:r>
      <w:r w:rsidRPr="008D4B77">
        <w:rPr>
          <w:lang w:val="fr-CA"/>
        </w:rPr>
        <w:t xml:space="preserve"> </w:t>
      </w:r>
      <w:r>
        <w:rPr>
          <w:lang w:val="fr-CA"/>
        </w:rPr>
        <w:t>relatif aux</w:t>
      </w:r>
      <w:r w:rsidRPr="008D4B77">
        <w:rPr>
          <w:lang w:val="fr-CA"/>
        </w:rPr>
        <w:t xml:space="preserve"> recommandations de la </w:t>
      </w:r>
      <w:r w:rsidR="004C2E9B">
        <w:rPr>
          <w:lang w:val="fr-CA"/>
        </w:rPr>
        <w:t>c</w:t>
      </w:r>
      <w:r>
        <w:rPr>
          <w:lang w:val="fr-CA"/>
        </w:rPr>
        <w:t>ommission. Il a ensuite</w:t>
      </w:r>
      <w:r w:rsidRPr="008D4B77">
        <w:rPr>
          <w:lang w:val="fr-CA"/>
        </w:rPr>
        <w:t xml:space="preserve"> déposé la proposition de réponse du gouvernement </w:t>
      </w:r>
      <w:r w:rsidR="004C2E9B">
        <w:rPr>
          <w:lang w:val="fr-CA"/>
        </w:rPr>
        <w:t>au</w:t>
      </w:r>
      <w:r>
        <w:rPr>
          <w:lang w:val="fr-CA"/>
        </w:rPr>
        <w:t xml:space="preserve"> rapport </w:t>
      </w:r>
      <w:r w:rsidR="004C2E9B">
        <w:rPr>
          <w:lang w:val="fr-CA"/>
        </w:rPr>
        <w:t xml:space="preserve">de la commission </w:t>
      </w:r>
      <w:r>
        <w:rPr>
          <w:lang w:val="fr-CA"/>
        </w:rPr>
        <w:t xml:space="preserve">et </w:t>
      </w:r>
      <w:r w:rsidRPr="008D4B77">
        <w:rPr>
          <w:lang w:val="fr-CA"/>
        </w:rPr>
        <w:t xml:space="preserve">proposé l’adoption d’une résolution visant le rejet de l’augmentation salariale </w:t>
      </w:r>
      <w:r w:rsidR="004C2E9B">
        <w:rPr>
          <w:lang w:val="fr-CA"/>
        </w:rPr>
        <w:t>recommandée par la c</w:t>
      </w:r>
      <w:r w:rsidRPr="008D4B77">
        <w:rPr>
          <w:lang w:val="fr-CA"/>
        </w:rPr>
        <w:t xml:space="preserve">ommission ainsi que l’approbation d’une hausse de </w:t>
      </w:r>
      <w:r w:rsidR="00480A52">
        <w:rPr>
          <w:lang w:val="fr-CA"/>
        </w:rPr>
        <w:t xml:space="preserve">plutôt </w:t>
      </w:r>
      <w:r w:rsidR="00865E4B">
        <w:rPr>
          <w:lang w:val="fr-CA"/>
        </w:rPr>
        <w:t xml:space="preserve">3,8 </w:t>
      </w:r>
      <w:r>
        <w:rPr>
          <w:lang w:val="fr-CA"/>
        </w:rPr>
        <w:t xml:space="preserve">pour </w:t>
      </w:r>
      <w:r w:rsidR="008B587B">
        <w:rPr>
          <w:lang w:val="fr-CA"/>
        </w:rPr>
        <w:t>100</w:t>
      </w:r>
      <w:r>
        <w:rPr>
          <w:lang w:val="fr-CA"/>
        </w:rPr>
        <w:t xml:space="preserve">. </w:t>
      </w:r>
      <w:r w:rsidRPr="00100AED">
        <w:rPr>
          <w:lang w:val="fr-CA"/>
        </w:rPr>
        <w:t>L’Assemblée législative a adopté la résolution.</w:t>
      </w:r>
      <w:r w:rsidR="00865E4B">
        <w:rPr>
          <w:lang w:val="fr-CA"/>
        </w:rPr>
        <w:t xml:space="preserve"> </w:t>
      </w:r>
      <w:r>
        <w:rPr>
          <w:lang w:val="fr-CA"/>
        </w:rPr>
        <w:t>La Provincial Court Judges’ Association a demandé</w:t>
      </w:r>
      <w:r w:rsidRPr="008D4B77">
        <w:rPr>
          <w:lang w:val="fr-CA"/>
        </w:rPr>
        <w:t xml:space="preserve"> que cette résolution fasse l’objet d’un contrôle judiciaire</w:t>
      </w:r>
      <w:r>
        <w:rPr>
          <w:lang w:val="fr-CA"/>
        </w:rPr>
        <w:t xml:space="preserve"> et a sollicité une ordonnance intimant au procureur général de produire le mémoire au Cabinet</w:t>
      </w:r>
      <w:r w:rsidRPr="008D4B77">
        <w:rPr>
          <w:lang w:val="fr-CA"/>
        </w:rPr>
        <w:t xml:space="preserve"> pris en compte par le gouvernement </w:t>
      </w:r>
      <w:r>
        <w:rPr>
          <w:lang w:val="fr-CA"/>
        </w:rPr>
        <w:t>au moment de préparer</w:t>
      </w:r>
      <w:r w:rsidRPr="008D4B77">
        <w:rPr>
          <w:lang w:val="fr-CA"/>
        </w:rPr>
        <w:t xml:space="preserve"> sa réponse.</w:t>
      </w:r>
      <w:r>
        <w:rPr>
          <w:lang w:val="fr-CA"/>
        </w:rPr>
        <w:t xml:space="preserve"> </w:t>
      </w:r>
      <w:r w:rsidRPr="008D4B77">
        <w:rPr>
          <w:lang w:val="fr-CA"/>
        </w:rPr>
        <w:t xml:space="preserve">La </w:t>
      </w:r>
      <w:r w:rsidRPr="008D4B77">
        <w:rPr>
          <w:lang w:val="fr-CA"/>
        </w:rPr>
        <w:lastRenderedPageBreak/>
        <w:t xml:space="preserve">protonotaire </w:t>
      </w:r>
      <w:r>
        <w:rPr>
          <w:lang w:val="fr-CA"/>
        </w:rPr>
        <w:t>saisi</w:t>
      </w:r>
      <w:r w:rsidR="00F061D2">
        <w:rPr>
          <w:lang w:val="fr-CA"/>
        </w:rPr>
        <w:t>e</w:t>
      </w:r>
      <w:r>
        <w:rPr>
          <w:lang w:val="fr-CA"/>
        </w:rPr>
        <w:t xml:space="preserve"> de la requête </w:t>
      </w:r>
      <w:r w:rsidRPr="008D4B77">
        <w:rPr>
          <w:lang w:val="fr-CA"/>
        </w:rPr>
        <w:t xml:space="preserve">a ordonné au procureur général de produire </w:t>
      </w:r>
      <w:r>
        <w:rPr>
          <w:lang w:val="fr-CA"/>
        </w:rPr>
        <w:t>le mémoire au Cabinet. Les appels interjetés par le procureur général de la décision de la protonotaire devant la Cour suprême de la Colombie-Britannique puis devant la Cour d’appel ont été rejetés.</w:t>
      </w:r>
    </w:p>
    <w:p w14:paraId="4C5B1AF4" w14:textId="06FBD1E6" w:rsidR="006F5403" w:rsidRPr="009446D9" w:rsidRDefault="006F5403" w:rsidP="0039601F">
      <w:pPr>
        <w:pStyle w:val="SCCNormalDoubleSpacing"/>
        <w:spacing w:after="480"/>
        <w:rPr>
          <w:lang w:val="fr-CA"/>
        </w:rPr>
      </w:pPr>
      <w:r w:rsidRPr="00100AED">
        <w:rPr>
          <w:lang w:val="fr-CA"/>
        </w:rPr>
        <w:tab/>
      </w:r>
      <w:r w:rsidR="009446D9" w:rsidRPr="009446D9">
        <w:rPr>
          <w:i/>
          <w:lang w:val="fr-CA"/>
        </w:rPr>
        <w:t>Arrêt </w:t>
      </w:r>
      <w:r w:rsidR="009446D9" w:rsidRPr="00865E4B">
        <w:rPr>
          <w:lang w:val="fr-CA"/>
        </w:rPr>
        <w:t>:</w:t>
      </w:r>
      <w:r w:rsidRPr="00865E4B">
        <w:rPr>
          <w:lang w:val="fr-CA"/>
        </w:rPr>
        <w:t xml:space="preserve"> </w:t>
      </w:r>
      <w:r w:rsidR="009446D9" w:rsidRPr="009446D9">
        <w:rPr>
          <w:lang w:val="fr-CA"/>
        </w:rPr>
        <w:t>L’appel est accueilli et l’ordonnance de production du mémoire au Cabinet rendue par la protonotaire est annulé</w:t>
      </w:r>
      <w:r w:rsidR="00480A52">
        <w:rPr>
          <w:lang w:val="fr-CA"/>
        </w:rPr>
        <w:t>e</w:t>
      </w:r>
      <w:r w:rsidR="009446D9" w:rsidRPr="009446D9">
        <w:rPr>
          <w:lang w:val="fr-CA"/>
        </w:rPr>
        <w:t>.</w:t>
      </w:r>
    </w:p>
    <w:p w14:paraId="5A573C91" w14:textId="13C2D735" w:rsidR="005F153B" w:rsidRDefault="005F153B" w:rsidP="006F5403">
      <w:pPr>
        <w:pStyle w:val="SCCNormalDoubleSpacing"/>
        <w:spacing w:after="480"/>
        <w:rPr>
          <w:lang w:val="fr-CA"/>
        </w:rPr>
      </w:pPr>
      <w:r>
        <w:rPr>
          <w:lang w:val="fr-CA"/>
        </w:rPr>
        <w:tab/>
        <w:t>Un</w:t>
      </w:r>
      <w:r w:rsidRPr="008D4B77">
        <w:rPr>
          <w:lang w:val="fr-CA"/>
        </w:rPr>
        <w:t xml:space="preserve"> gouvernement doit </w:t>
      </w:r>
      <w:r>
        <w:rPr>
          <w:lang w:val="fr-CA"/>
        </w:rPr>
        <w:t>donner d</w:t>
      </w:r>
      <w:r w:rsidRPr="008D4B77">
        <w:rPr>
          <w:lang w:val="fr-CA"/>
        </w:rPr>
        <w:t xml:space="preserve">es motifs précis justifiant sa décision de s’écarter </w:t>
      </w:r>
      <w:r>
        <w:rPr>
          <w:lang w:val="fr-CA"/>
        </w:rPr>
        <w:t>de quelque façon que ce soit des</w:t>
      </w:r>
      <w:r w:rsidRPr="008D4B77">
        <w:rPr>
          <w:lang w:val="fr-CA"/>
        </w:rPr>
        <w:t xml:space="preserve"> recommandation</w:t>
      </w:r>
      <w:r>
        <w:rPr>
          <w:lang w:val="fr-CA"/>
        </w:rPr>
        <w:t xml:space="preserve">s d’une commission d’examen de la rémunération des juges. </w:t>
      </w:r>
      <w:r w:rsidR="00B14C5E">
        <w:rPr>
          <w:lang w:val="fr-CA"/>
        </w:rPr>
        <w:t>La réponse d’un gouvernement aux recommandations</w:t>
      </w:r>
      <w:r w:rsidR="0039601F">
        <w:rPr>
          <w:lang w:val="fr-CA"/>
        </w:rPr>
        <w:t xml:space="preserve"> </w:t>
      </w:r>
      <w:r w:rsidR="00B14C5E">
        <w:rPr>
          <w:lang w:val="fr-CA"/>
        </w:rPr>
        <w:t xml:space="preserve">d’une commission est sujette à la forme limitée de contrôle judiciaire décrite dans l’arrêt </w:t>
      </w:r>
      <w:r w:rsidR="00B14C5E" w:rsidRPr="00B14C5E">
        <w:rPr>
          <w:i/>
          <w:lang w:val="fr-CA"/>
        </w:rPr>
        <w:t>Bodner c. Alberta</w:t>
      </w:r>
      <w:r w:rsidR="00B14C5E">
        <w:rPr>
          <w:lang w:val="fr-CA"/>
        </w:rPr>
        <w:t>, 2005 CSC</w:t>
      </w:r>
      <w:r w:rsidR="00F061D2">
        <w:rPr>
          <w:lang w:val="fr-CA"/>
        </w:rPr>
        <w:t> </w:t>
      </w:r>
      <w:r w:rsidR="00B14C5E">
        <w:rPr>
          <w:lang w:val="fr-CA"/>
        </w:rPr>
        <w:t>44, [2005] 2 R.C.S.</w:t>
      </w:r>
      <w:r w:rsidR="00F061D2">
        <w:rPr>
          <w:lang w:val="fr-CA"/>
        </w:rPr>
        <w:t> </w:t>
      </w:r>
      <w:r w:rsidR="00B14C5E">
        <w:rPr>
          <w:lang w:val="fr-CA"/>
        </w:rPr>
        <w:t xml:space="preserve">286. Le contrôle de </w:t>
      </w:r>
      <w:r w:rsidR="00480A52">
        <w:rPr>
          <w:lang w:val="fr-CA"/>
        </w:rPr>
        <w:t xml:space="preserve">ce </w:t>
      </w:r>
      <w:r w:rsidR="00B14C5E">
        <w:rPr>
          <w:lang w:val="fr-CA"/>
        </w:rPr>
        <w:t xml:space="preserve">type est le </w:t>
      </w:r>
      <w:r w:rsidR="004C2E9B">
        <w:rPr>
          <w:lang w:val="fr-CA"/>
        </w:rPr>
        <w:t>moyen</w:t>
      </w:r>
      <w:r w:rsidR="00865E4B">
        <w:rPr>
          <w:lang w:val="fr-CA"/>
        </w:rPr>
        <w:t xml:space="preserve"> qui vise à garantir que le gouvernement</w:t>
      </w:r>
      <w:r w:rsidR="00B14C5E">
        <w:rPr>
          <w:lang w:val="fr-CA"/>
        </w:rPr>
        <w:t xml:space="preserve"> respecte le mécanisme d’examen par une commission et qui préserve la confiance du public dans l’administration de la justice que ce mécanisme vise à protéger. L</w:t>
      </w:r>
      <w:r w:rsidR="00B14C5E" w:rsidRPr="00100423">
        <w:rPr>
          <w:lang w:val="fr-CA"/>
        </w:rPr>
        <w:t>a réponse du gouvernement doit respecter la norme de justification dite de la rationalité</w:t>
      </w:r>
      <w:r w:rsidR="00B14C5E">
        <w:rPr>
          <w:lang w:val="fr-CA"/>
        </w:rPr>
        <w:t xml:space="preserve">. L’arrêt </w:t>
      </w:r>
      <w:r w:rsidR="00B14C5E" w:rsidRPr="008D4B77">
        <w:rPr>
          <w:i/>
          <w:lang w:val="fr-CA"/>
        </w:rPr>
        <w:t>Bodner</w:t>
      </w:r>
      <w:r w:rsidR="00B14C5E" w:rsidRPr="008D4B77">
        <w:rPr>
          <w:lang w:val="fr-CA"/>
        </w:rPr>
        <w:t xml:space="preserve"> a défini </w:t>
      </w:r>
      <w:r w:rsidR="00B14C5E">
        <w:rPr>
          <w:lang w:val="fr-CA"/>
        </w:rPr>
        <w:t>une analyse</w:t>
      </w:r>
      <w:r w:rsidR="00B14C5E" w:rsidRPr="008D4B77">
        <w:rPr>
          <w:lang w:val="fr-CA"/>
        </w:rPr>
        <w:t xml:space="preserve"> en trois étapes permettant de </w:t>
      </w:r>
      <w:r w:rsidR="00B14C5E">
        <w:rPr>
          <w:lang w:val="fr-CA"/>
        </w:rPr>
        <w:t>déterminer si la décision d’un</w:t>
      </w:r>
      <w:r w:rsidR="00B14C5E" w:rsidRPr="008D4B77">
        <w:rPr>
          <w:lang w:val="fr-CA"/>
        </w:rPr>
        <w:t xml:space="preserve"> gouvernement de s’écarter </w:t>
      </w:r>
      <w:r w:rsidR="00B14C5E">
        <w:rPr>
          <w:lang w:val="fr-CA"/>
        </w:rPr>
        <w:t xml:space="preserve">des </w:t>
      </w:r>
      <w:r w:rsidR="00B14C5E" w:rsidRPr="008D4B77">
        <w:rPr>
          <w:lang w:val="fr-CA"/>
        </w:rPr>
        <w:t>recommandation</w:t>
      </w:r>
      <w:r w:rsidR="00B14C5E">
        <w:rPr>
          <w:lang w:val="fr-CA"/>
        </w:rPr>
        <w:t>s</w:t>
      </w:r>
      <w:r w:rsidR="00B14C5E" w:rsidRPr="008D4B77">
        <w:rPr>
          <w:lang w:val="fr-CA"/>
        </w:rPr>
        <w:t xml:space="preserve"> </w:t>
      </w:r>
      <w:r w:rsidR="00B14C5E">
        <w:rPr>
          <w:lang w:val="fr-CA"/>
        </w:rPr>
        <w:t>d’une</w:t>
      </w:r>
      <w:r w:rsidR="00B14C5E" w:rsidRPr="008D4B77">
        <w:rPr>
          <w:lang w:val="fr-CA"/>
        </w:rPr>
        <w:t xml:space="preserve"> commission </w:t>
      </w:r>
      <w:r w:rsidR="00B14C5E">
        <w:rPr>
          <w:lang w:val="fr-CA"/>
        </w:rPr>
        <w:t>satisfait</w:t>
      </w:r>
      <w:r w:rsidR="00B14C5E" w:rsidRPr="008D4B77">
        <w:rPr>
          <w:lang w:val="fr-CA"/>
        </w:rPr>
        <w:t xml:space="preserve"> à </w:t>
      </w:r>
      <w:r w:rsidR="00B14C5E">
        <w:rPr>
          <w:lang w:val="fr-CA"/>
        </w:rPr>
        <w:t xml:space="preserve">cette </w:t>
      </w:r>
      <w:r w:rsidR="00B14C5E" w:rsidRPr="008D4B77">
        <w:rPr>
          <w:lang w:val="fr-CA"/>
        </w:rPr>
        <w:t>norme</w:t>
      </w:r>
      <w:r w:rsidR="004C2E9B">
        <w:rPr>
          <w:lang w:val="fr-CA"/>
        </w:rPr>
        <w:t>. Ce cadre d’analyse</w:t>
      </w:r>
      <w:r w:rsidR="00B14C5E">
        <w:rPr>
          <w:lang w:val="fr-CA"/>
        </w:rPr>
        <w:t xml:space="preserve"> exige d</w:t>
      </w:r>
      <w:r w:rsidR="0039601F">
        <w:rPr>
          <w:lang w:val="fr-CA"/>
        </w:rPr>
        <w:t>u tribunal qu’il se demande (1) </w:t>
      </w:r>
      <w:r w:rsidR="00B14C5E">
        <w:rPr>
          <w:lang w:val="fr-CA"/>
        </w:rPr>
        <w:t>si le gouvernement a</w:t>
      </w:r>
      <w:r w:rsidR="00B14C5E" w:rsidRPr="008D4B77">
        <w:rPr>
          <w:lang w:val="fr-CA"/>
        </w:rPr>
        <w:t xml:space="preserve"> justifié par un motif légitime sa décision de s’écarter des recommandations de la commission</w:t>
      </w:r>
      <w:r w:rsidR="0039601F">
        <w:rPr>
          <w:lang w:val="fr-CA"/>
        </w:rPr>
        <w:t>, (2) </w:t>
      </w:r>
      <w:r w:rsidR="00B14C5E">
        <w:rPr>
          <w:lang w:val="fr-CA"/>
        </w:rPr>
        <w:t>si l</w:t>
      </w:r>
      <w:r w:rsidR="00B14C5E" w:rsidRPr="008D4B77">
        <w:rPr>
          <w:lang w:val="fr-CA"/>
        </w:rPr>
        <w:t>es motifs i</w:t>
      </w:r>
      <w:r w:rsidR="00B14C5E">
        <w:rPr>
          <w:lang w:val="fr-CA"/>
        </w:rPr>
        <w:t>nvoqués par le gouvernement ont</w:t>
      </w:r>
      <w:r w:rsidR="00B14C5E" w:rsidRPr="008D4B77">
        <w:rPr>
          <w:lang w:val="fr-CA"/>
        </w:rPr>
        <w:t xml:space="preserve"> un fondement factuel raisonnable</w:t>
      </w:r>
      <w:r w:rsidR="0039601F">
        <w:rPr>
          <w:lang w:val="fr-CA"/>
        </w:rPr>
        <w:t>, et (3) </w:t>
      </w:r>
      <w:r w:rsidR="00B14C5E">
        <w:rPr>
          <w:lang w:val="fr-CA"/>
        </w:rPr>
        <w:t xml:space="preserve">si </w:t>
      </w:r>
      <w:r w:rsidR="00B14C5E" w:rsidRPr="008D4B77">
        <w:rPr>
          <w:lang w:val="fr-CA"/>
        </w:rPr>
        <w:t>le mécanisme d’</w:t>
      </w:r>
      <w:r w:rsidR="00B14C5E">
        <w:rPr>
          <w:lang w:val="fr-CA"/>
        </w:rPr>
        <w:t>examen par une commission a</w:t>
      </w:r>
      <w:r w:rsidR="00B14C5E" w:rsidRPr="008D4B77">
        <w:rPr>
          <w:lang w:val="fr-CA"/>
        </w:rPr>
        <w:t xml:space="preserve"> été respecté et les </w:t>
      </w:r>
      <w:r w:rsidR="00B14C5E" w:rsidRPr="008D4B77">
        <w:rPr>
          <w:lang w:val="fr-CA"/>
        </w:rPr>
        <w:lastRenderedPageBreak/>
        <w:t xml:space="preserve">objectifs du recours </w:t>
      </w:r>
      <w:r w:rsidR="00B14C5E">
        <w:rPr>
          <w:lang w:val="fr-CA"/>
        </w:rPr>
        <w:t>à une commission —</w:t>
      </w:r>
      <w:r w:rsidR="00B14C5E" w:rsidRPr="008D4B77">
        <w:rPr>
          <w:lang w:val="fr-CA"/>
        </w:rPr>
        <w:t xml:space="preserve"> à savoir préserver l’indépendance de la magistrature et dépolitiser la fixation de la rémunération de</w:t>
      </w:r>
      <w:r w:rsidR="00B14C5E">
        <w:rPr>
          <w:lang w:val="fr-CA"/>
        </w:rPr>
        <w:t>s juges — ont</w:t>
      </w:r>
      <w:r w:rsidR="00B14C5E" w:rsidRPr="008D4B77">
        <w:rPr>
          <w:lang w:val="fr-CA"/>
        </w:rPr>
        <w:t xml:space="preserve"> été atteints</w:t>
      </w:r>
      <w:r w:rsidR="00B14C5E">
        <w:rPr>
          <w:lang w:val="fr-CA"/>
        </w:rPr>
        <w:t>.</w:t>
      </w:r>
      <w:r w:rsidR="0039601F">
        <w:rPr>
          <w:lang w:val="fr-CA"/>
        </w:rPr>
        <w:t xml:space="preserve"> </w:t>
      </w:r>
    </w:p>
    <w:p w14:paraId="6D2670C0" w14:textId="28B2A365" w:rsidR="006F5403" w:rsidRPr="00B14C5E" w:rsidRDefault="00B14C5E" w:rsidP="006F5403">
      <w:pPr>
        <w:pStyle w:val="SCCNormalDoubleSpacing"/>
        <w:spacing w:after="480"/>
        <w:rPr>
          <w:lang w:val="fr-CA"/>
        </w:rPr>
      </w:pPr>
      <w:r w:rsidRPr="004C2E9B">
        <w:rPr>
          <w:lang w:val="fr-CA"/>
        </w:rPr>
        <w:tab/>
      </w:r>
      <w:r>
        <w:rPr>
          <w:lang w:val="fr-CA"/>
        </w:rPr>
        <w:t>L</w:t>
      </w:r>
      <w:r w:rsidRPr="00100423">
        <w:rPr>
          <w:lang w:val="fr-CA"/>
        </w:rPr>
        <w:t xml:space="preserve">a nature limitée du contrôle judiciaire </w:t>
      </w:r>
      <w:r w:rsidR="004C2E9B">
        <w:rPr>
          <w:lang w:val="fr-CA"/>
        </w:rPr>
        <w:t>de type</w:t>
      </w:r>
      <w:r w:rsidRPr="00100423">
        <w:rPr>
          <w:lang w:val="fr-CA"/>
        </w:rPr>
        <w:t xml:space="preserve"> </w:t>
      </w:r>
      <w:r w:rsidRPr="00100423">
        <w:rPr>
          <w:i/>
          <w:lang w:val="fr-CA"/>
        </w:rPr>
        <w:t>Bodner</w:t>
      </w:r>
      <w:r w:rsidRPr="00100423">
        <w:rPr>
          <w:lang w:val="fr-CA"/>
        </w:rPr>
        <w:t>, le rôle du tribunal</w:t>
      </w:r>
      <w:r w:rsidRPr="008D4B77">
        <w:rPr>
          <w:lang w:val="fr-CA"/>
        </w:rPr>
        <w:t xml:space="preserve"> </w:t>
      </w:r>
      <w:r>
        <w:rPr>
          <w:lang w:val="fr-CA"/>
        </w:rPr>
        <w:t xml:space="preserve">de révision </w:t>
      </w:r>
      <w:r w:rsidRPr="008D4B77">
        <w:rPr>
          <w:lang w:val="fr-CA"/>
        </w:rPr>
        <w:t>et l’objet du mécanisme ont une incidence sur les éléments de preuve qui seront examinés par le tribunal de révision</w:t>
      </w:r>
      <w:r>
        <w:rPr>
          <w:lang w:val="fr-CA"/>
        </w:rPr>
        <w:t xml:space="preserve">. </w:t>
      </w:r>
      <w:r w:rsidR="004C2E9B">
        <w:rPr>
          <w:lang w:val="fr-CA"/>
        </w:rPr>
        <w:t>Il faut</w:t>
      </w:r>
      <w:r w:rsidRPr="008D4B77">
        <w:rPr>
          <w:lang w:val="fr-CA"/>
        </w:rPr>
        <w:t xml:space="preserve"> appliquer les règles en matière de preuve et de production de manière à tenir compte des caractéristiques uniques du contrôle </w:t>
      </w:r>
      <w:r w:rsidR="004C2E9B">
        <w:rPr>
          <w:lang w:val="fr-CA"/>
        </w:rPr>
        <w:t>de type</w:t>
      </w:r>
      <w:r w:rsidRPr="008D4B77">
        <w:rPr>
          <w:lang w:val="fr-CA"/>
        </w:rPr>
        <w:t xml:space="preserve"> </w:t>
      </w:r>
      <w:r w:rsidRPr="008D4B77">
        <w:rPr>
          <w:i/>
          <w:lang w:val="fr-CA"/>
        </w:rPr>
        <w:t>Bodner</w:t>
      </w:r>
      <w:r w:rsidRPr="008D4B77">
        <w:rPr>
          <w:lang w:val="fr-CA"/>
        </w:rPr>
        <w:t xml:space="preserve"> et à respecter aussi bien le principe de l’indépendance judiciaire que celui de la confidentialité du processus décisionnel du Cabinet.</w:t>
      </w:r>
      <w:r>
        <w:rPr>
          <w:lang w:val="fr-CA"/>
        </w:rPr>
        <w:t xml:space="preserve"> </w:t>
      </w:r>
      <w:r w:rsidRPr="008D4B77">
        <w:rPr>
          <w:lang w:val="fr-CA"/>
        </w:rPr>
        <w:t xml:space="preserve">Le dossier relatif à un </w:t>
      </w:r>
      <w:r>
        <w:rPr>
          <w:lang w:val="fr-CA"/>
        </w:rPr>
        <w:t>contrôle de type</w:t>
      </w:r>
      <w:r w:rsidRPr="008D4B77">
        <w:rPr>
          <w:lang w:val="fr-CA"/>
        </w:rPr>
        <w:t xml:space="preserve"> </w:t>
      </w:r>
      <w:r w:rsidRPr="008D4B77">
        <w:rPr>
          <w:i/>
          <w:lang w:val="fr-CA"/>
        </w:rPr>
        <w:t>Bodner</w:t>
      </w:r>
      <w:r w:rsidRPr="008D4B77">
        <w:rPr>
          <w:lang w:val="fr-CA"/>
        </w:rPr>
        <w:t xml:space="preserve"> renferme nécessairement</w:t>
      </w:r>
      <w:r>
        <w:rPr>
          <w:lang w:val="fr-CA"/>
        </w:rPr>
        <w:t xml:space="preserve"> </w:t>
      </w:r>
      <w:r w:rsidRPr="008D4B77">
        <w:rPr>
          <w:lang w:val="fr-CA"/>
        </w:rPr>
        <w:t xml:space="preserve">toute position ayant été exposée devant la commission par le gouvernement, les juges et </w:t>
      </w:r>
      <w:r>
        <w:rPr>
          <w:lang w:val="fr-CA"/>
        </w:rPr>
        <w:t xml:space="preserve">les </w:t>
      </w:r>
      <w:r w:rsidRPr="008D4B77">
        <w:rPr>
          <w:lang w:val="fr-CA"/>
        </w:rPr>
        <w:t>autres intervenants; le rapport de la commission, y compris ses recommandations; et la réponse du gouvernement à ces recommandations</w:t>
      </w:r>
      <w:r>
        <w:rPr>
          <w:lang w:val="fr-CA"/>
        </w:rPr>
        <w:t xml:space="preserve">. Certains types d’éléments de preuve additionnels sont admissibles s’ils sont pertinents pour déterminer s’il a été satisfait à l’une ou l’autre des étapes de l’analyse établie par l’arrêt </w:t>
      </w:r>
      <w:r w:rsidRPr="009471B4">
        <w:rPr>
          <w:i/>
          <w:lang w:val="fr-CA"/>
        </w:rPr>
        <w:t>Bodner</w:t>
      </w:r>
      <w:r>
        <w:rPr>
          <w:lang w:val="fr-CA"/>
        </w:rPr>
        <w:t xml:space="preserve">, y compris des éléments de preuve </w:t>
      </w:r>
      <w:r w:rsidRPr="008D4B77">
        <w:rPr>
          <w:lang w:val="fr-CA"/>
        </w:rPr>
        <w:t xml:space="preserve">qui visent à mettre en question le caractère raisonnable du fondement factuel sur lequel s’est appuyé le gouvernement, le manque de participation concrète ou de respect dont </w:t>
      </w:r>
      <w:r>
        <w:rPr>
          <w:lang w:val="fr-CA"/>
        </w:rPr>
        <w:t xml:space="preserve">ce dernier </w:t>
      </w:r>
      <w:r w:rsidRPr="008D4B77">
        <w:rPr>
          <w:lang w:val="fr-CA"/>
        </w:rPr>
        <w:t>a fait preuve envers le mécanisme d’examen par</w:t>
      </w:r>
      <w:r>
        <w:rPr>
          <w:lang w:val="fr-CA"/>
        </w:rPr>
        <w:t xml:space="preserve"> une</w:t>
      </w:r>
      <w:r w:rsidRPr="008D4B77">
        <w:rPr>
          <w:lang w:val="fr-CA"/>
        </w:rPr>
        <w:t xml:space="preserve"> commission</w:t>
      </w:r>
      <w:r>
        <w:rPr>
          <w:lang w:val="fr-CA"/>
        </w:rPr>
        <w:t>, ou encore le fait que la réponse du gouvernement était fondée sur un objectif illégitime ou déguisé</w:t>
      </w:r>
      <w:r w:rsidRPr="008D4B77">
        <w:rPr>
          <w:lang w:val="fr-CA"/>
        </w:rPr>
        <w:t>.</w:t>
      </w:r>
      <w:r w:rsidRPr="00B14C5E">
        <w:rPr>
          <w:lang w:val="fr-CA"/>
        </w:rPr>
        <w:t xml:space="preserve"> </w:t>
      </w:r>
      <w:r w:rsidRPr="008D4B77">
        <w:rPr>
          <w:lang w:val="fr-CA"/>
        </w:rPr>
        <w:t xml:space="preserve">À cette fin, </w:t>
      </w:r>
      <w:r>
        <w:rPr>
          <w:lang w:val="fr-CA"/>
        </w:rPr>
        <w:t>la partie qui sollicite le contrôle</w:t>
      </w:r>
      <w:r w:rsidRPr="008D4B77">
        <w:rPr>
          <w:lang w:val="fr-CA"/>
        </w:rPr>
        <w:t xml:space="preserve"> p</w:t>
      </w:r>
      <w:r>
        <w:rPr>
          <w:lang w:val="fr-CA"/>
        </w:rPr>
        <w:t xml:space="preserve">eut </w:t>
      </w:r>
      <w:r w:rsidRPr="008D4B77">
        <w:rPr>
          <w:lang w:val="fr-CA"/>
        </w:rPr>
        <w:t>demander à c</w:t>
      </w:r>
      <w:r>
        <w:rPr>
          <w:lang w:val="fr-CA"/>
        </w:rPr>
        <w:t>e que le gouvernement produise d</w:t>
      </w:r>
      <w:r w:rsidRPr="008D4B77">
        <w:rPr>
          <w:lang w:val="fr-CA"/>
        </w:rPr>
        <w:t>es éléments de preuve en sa possession.</w:t>
      </w:r>
      <w:r>
        <w:rPr>
          <w:lang w:val="fr-CA"/>
        </w:rPr>
        <w:t xml:space="preserve"> </w:t>
      </w:r>
      <w:r w:rsidRPr="008D4B77">
        <w:rPr>
          <w:lang w:val="fr-CA"/>
        </w:rPr>
        <w:t xml:space="preserve">Dans la mesure où un </w:t>
      </w:r>
      <w:r>
        <w:rPr>
          <w:lang w:val="fr-CA"/>
        </w:rPr>
        <w:t>contrôle de type</w:t>
      </w:r>
      <w:r w:rsidRPr="008D4B77">
        <w:rPr>
          <w:lang w:val="fr-CA"/>
        </w:rPr>
        <w:t xml:space="preserve"> </w:t>
      </w:r>
      <w:r w:rsidRPr="008D4B77">
        <w:rPr>
          <w:i/>
          <w:lang w:val="fr-CA"/>
        </w:rPr>
        <w:t>Bodner</w:t>
      </w:r>
      <w:r w:rsidRPr="008D4B77">
        <w:rPr>
          <w:lang w:val="fr-CA"/>
        </w:rPr>
        <w:t xml:space="preserve"> vise souvent des décisions dans </w:t>
      </w:r>
      <w:r w:rsidRPr="008D4B77">
        <w:rPr>
          <w:lang w:val="fr-CA"/>
        </w:rPr>
        <w:lastRenderedPageBreak/>
        <w:t xml:space="preserve">lesquelles le Cabinet </w:t>
      </w:r>
      <w:r>
        <w:rPr>
          <w:lang w:val="fr-CA"/>
        </w:rPr>
        <w:t xml:space="preserve">a </w:t>
      </w:r>
      <w:r w:rsidRPr="008D4B77">
        <w:rPr>
          <w:lang w:val="fr-CA"/>
        </w:rPr>
        <w:t>jou</w:t>
      </w:r>
      <w:r>
        <w:rPr>
          <w:lang w:val="fr-CA"/>
        </w:rPr>
        <w:t>é</w:t>
      </w:r>
      <w:r w:rsidRPr="008D4B77">
        <w:rPr>
          <w:lang w:val="fr-CA"/>
        </w:rPr>
        <w:t xml:space="preserve"> un rôle, la partie qui entend exercer ce </w:t>
      </w:r>
      <w:r>
        <w:rPr>
          <w:lang w:val="fr-CA"/>
        </w:rPr>
        <w:t xml:space="preserve">type de </w:t>
      </w:r>
      <w:r w:rsidRPr="008D4B77">
        <w:rPr>
          <w:lang w:val="fr-CA"/>
        </w:rPr>
        <w:t xml:space="preserve">recours pourrait </w:t>
      </w:r>
      <w:r>
        <w:rPr>
          <w:lang w:val="fr-CA"/>
        </w:rPr>
        <w:t>demander</w:t>
      </w:r>
      <w:r w:rsidRPr="008D4B77">
        <w:rPr>
          <w:lang w:val="fr-CA"/>
        </w:rPr>
        <w:t xml:space="preserve"> la production d’un document confidentiel du Cabinet</w:t>
      </w:r>
      <w:r>
        <w:rPr>
          <w:lang w:val="fr-CA"/>
        </w:rPr>
        <w:t>.</w:t>
      </w:r>
    </w:p>
    <w:p w14:paraId="76C0682A" w14:textId="0A157848" w:rsidR="006F5403" w:rsidRPr="00B14C5E" w:rsidRDefault="006F5403" w:rsidP="006F5403">
      <w:pPr>
        <w:pStyle w:val="SCCNormalDoubleSpacing"/>
        <w:spacing w:after="480"/>
        <w:rPr>
          <w:lang w:val="fr-CA"/>
        </w:rPr>
      </w:pPr>
      <w:r w:rsidRPr="00B14C5E">
        <w:rPr>
          <w:lang w:val="fr-CA"/>
        </w:rPr>
        <w:tab/>
      </w:r>
      <w:r w:rsidR="00B14C5E" w:rsidRPr="008D4B77">
        <w:rPr>
          <w:lang w:val="fr-CA"/>
        </w:rPr>
        <w:t xml:space="preserve">En général, dans un </w:t>
      </w:r>
      <w:r w:rsidR="00B14C5E">
        <w:rPr>
          <w:lang w:val="fr-CA"/>
        </w:rPr>
        <w:t>contrôle de type</w:t>
      </w:r>
      <w:r w:rsidR="00B14C5E" w:rsidRPr="008D4B77">
        <w:rPr>
          <w:i/>
          <w:lang w:val="fr-CA"/>
        </w:rPr>
        <w:t xml:space="preserve"> Bodner</w:t>
      </w:r>
      <w:r w:rsidR="00B14C5E" w:rsidRPr="008D4B77">
        <w:rPr>
          <w:lang w:val="fr-CA"/>
        </w:rPr>
        <w:t>, la question qui se pose</w:t>
      </w:r>
      <w:r w:rsidR="00B14C5E">
        <w:rPr>
          <w:lang w:val="fr-CA"/>
        </w:rPr>
        <w:t xml:space="preserve"> est</w:t>
      </w:r>
      <w:r w:rsidR="00B14C5E" w:rsidRPr="008D4B77">
        <w:rPr>
          <w:lang w:val="fr-CA"/>
        </w:rPr>
        <w:t xml:space="preserve"> celle de savoir si, dans sa r</w:t>
      </w:r>
      <w:r w:rsidR="00B14C5E">
        <w:rPr>
          <w:lang w:val="fr-CA"/>
        </w:rPr>
        <w:t>éponse aux recommandations d’une</w:t>
      </w:r>
      <w:r w:rsidR="00B14C5E" w:rsidRPr="008D4B77">
        <w:rPr>
          <w:lang w:val="fr-CA"/>
        </w:rPr>
        <w:t xml:space="preserve"> commission,</w:t>
      </w:r>
      <w:r w:rsidR="00B14C5E">
        <w:rPr>
          <w:lang w:val="fr-CA"/>
        </w:rPr>
        <w:t xml:space="preserve"> un</w:t>
      </w:r>
      <w:r w:rsidR="00B14C5E" w:rsidRPr="008D4B77">
        <w:rPr>
          <w:lang w:val="fr-CA"/>
        </w:rPr>
        <w:t xml:space="preserve"> gouvernement a manqué à ses obligations constitutionnelles qui découlent du principe de l’indépendance judiciaire.</w:t>
      </w:r>
      <w:r w:rsidR="00B14C5E">
        <w:rPr>
          <w:lang w:val="fr-CA"/>
        </w:rPr>
        <w:t xml:space="preserve"> La pertinence de tout</w:t>
      </w:r>
      <w:r w:rsidR="00B14C5E" w:rsidRPr="008D4B77">
        <w:rPr>
          <w:lang w:val="fr-CA"/>
        </w:rPr>
        <w:t xml:space="preserve"> élément de preuve additionnel proposé doit donc être analysée au regard </w:t>
      </w:r>
      <w:r w:rsidR="00B14C5E">
        <w:rPr>
          <w:lang w:val="fr-CA"/>
        </w:rPr>
        <w:t>des</w:t>
      </w:r>
      <w:r w:rsidR="00B14C5E" w:rsidRPr="008D4B77">
        <w:rPr>
          <w:lang w:val="fr-CA"/>
        </w:rPr>
        <w:t xml:space="preserve"> question</w:t>
      </w:r>
      <w:r w:rsidR="00B14C5E">
        <w:rPr>
          <w:lang w:val="fr-CA"/>
        </w:rPr>
        <w:t>s</w:t>
      </w:r>
      <w:r w:rsidR="00B14C5E" w:rsidRPr="008D4B77">
        <w:rPr>
          <w:lang w:val="fr-CA"/>
        </w:rPr>
        <w:t xml:space="preserve"> que devra trancher le tribunal </w:t>
      </w:r>
      <w:r w:rsidR="00B14C5E" w:rsidRPr="009C10EE">
        <w:rPr>
          <w:lang w:val="fr-CA"/>
        </w:rPr>
        <w:t xml:space="preserve">saisi </w:t>
      </w:r>
      <w:r w:rsidR="00B14C5E">
        <w:rPr>
          <w:lang w:val="fr-CA"/>
        </w:rPr>
        <w:t xml:space="preserve">d’un tel contrôle. </w:t>
      </w:r>
      <w:r w:rsidR="00B14C5E" w:rsidRPr="008D4B77">
        <w:rPr>
          <w:lang w:val="fr-CA"/>
        </w:rPr>
        <w:t>Pour être pertinents, l</w:t>
      </w:r>
      <w:r w:rsidR="004C2E9B">
        <w:rPr>
          <w:lang w:val="fr-CA"/>
        </w:rPr>
        <w:t xml:space="preserve">es </w:t>
      </w:r>
      <w:r w:rsidR="00B14C5E" w:rsidRPr="008D4B77">
        <w:rPr>
          <w:lang w:val="fr-CA"/>
        </w:rPr>
        <w:t>élément</w:t>
      </w:r>
      <w:r w:rsidR="004C2E9B">
        <w:rPr>
          <w:lang w:val="fr-CA"/>
        </w:rPr>
        <w:t>s</w:t>
      </w:r>
      <w:r w:rsidR="00B14C5E" w:rsidRPr="008D4B77">
        <w:rPr>
          <w:lang w:val="fr-CA"/>
        </w:rPr>
        <w:t xml:space="preserve"> de preuve proposé</w:t>
      </w:r>
      <w:r w:rsidR="004C2E9B">
        <w:rPr>
          <w:lang w:val="fr-CA"/>
        </w:rPr>
        <w:t>s</w:t>
      </w:r>
      <w:r w:rsidR="00B14C5E" w:rsidRPr="008D4B77">
        <w:rPr>
          <w:lang w:val="fr-CA"/>
        </w:rPr>
        <w:t xml:space="preserve"> doi</w:t>
      </w:r>
      <w:r w:rsidR="004C2E9B">
        <w:rPr>
          <w:lang w:val="fr-CA"/>
        </w:rPr>
        <w:t>ven</w:t>
      </w:r>
      <w:r w:rsidR="00B14C5E" w:rsidRPr="008D4B77">
        <w:rPr>
          <w:lang w:val="fr-CA"/>
        </w:rPr>
        <w:t xml:space="preserve">t contenir des renseignements qui tendent à </w:t>
      </w:r>
      <w:r w:rsidR="00B14C5E">
        <w:rPr>
          <w:lang w:val="fr-CA"/>
        </w:rPr>
        <w:t>concerner</w:t>
      </w:r>
      <w:r w:rsidR="00B14C5E" w:rsidRPr="008D4B77">
        <w:rPr>
          <w:lang w:val="fr-CA"/>
        </w:rPr>
        <w:t xml:space="preserve"> un fait en lien avec une des étapes </w:t>
      </w:r>
      <w:r w:rsidR="00B14C5E">
        <w:rPr>
          <w:lang w:val="fr-CA"/>
        </w:rPr>
        <w:t>de l’analyse établie par</w:t>
      </w:r>
      <w:r w:rsidR="00B14C5E" w:rsidRPr="008D4B77">
        <w:rPr>
          <w:lang w:val="fr-CA"/>
        </w:rPr>
        <w:t xml:space="preserve"> l’arrêt </w:t>
      </w:r>
      <w:r w:rsidR="00B14C5E" w:rsidRPr="008D4B77">
        <w:rPr>
          <w:i/>
          <w:lang w:val="fr-CA"/>
        </w:rPr>
        <w:t>Bodner</w:t>
      </w:r>
      <w:r w:rsidR="00B14C5E" w:rsidRPr="008D4B77">
        <w:rPr>
          <w:lang w:val="fr-CA"/>
        </w:rPr>
        <w:t>.</w:t>
      </w:r>
    </w:p>
    <w:p w14:paraId="4E68FB2F" w14:textId="32DB95CE" w:rsidR="006F5403" w:rsidRPr="00B14C5E" w:rsidRDefault="006F5403" w:rsidP="006F5403">
      <w:pPr>
        <w:pStyle w:val="SCCNormalDoubleSpacing"/>
        <w:spacing w:after="480"/>
        <w:rPr>
          <w:lang w:val="fr-CA"/>
        </w:rPr>
      </w:pPr>
      <w:r w:rsidRPr="00B14C5E">
        <w:rPr>
          <w:lang w:val="fr-CA"/>
        </w:rPr>
        <w:tab/>
      </w:r>
      <w:r w:rsidR="00B14C5E" w:rsidRPr="00B14C5E">
        <w:rPr>
          <w:lang w:val="fr-CA"/>
        </w:rPr>
        <w:t xml:space="preserve">Cependant, </w:t>
      </w:r>
      <w:r w:rsidR="00B14C5E">
        <w:rPr>
          <w:lang w:val="fr-CA"/>
        </w:rPr>
        <w:t>il faut quelque chose de plus que la pertinence</w:t>
      </w:r>
      <w:r w:rsidR="00B14C5E" w:rsidRPr="008D4B77">
        <w:rPr>
          <w:lang w:val="fr-CA"/>
        </w:rPr>
        <w:t xml:space="preserve"> pour établir le juste équilibre entre le respect de la confidentialité </w:t>
      </w:r>
      <w:r w:rsidR="00B14C5E">
        <w:rPr>
          <w:lang w:val="fr-CA"/>
        </w:rPr>
        <w:t xml:space="preserve">des délibérations </w:t>
      </w:r>
      <w:r w:rsidR="00B14C5E" w:rsidRPr="008D4B77">
        <w:rPr>
          <w:lang w:val="fr-CA"/>
        </w:rPr>
        <w:t xml:space="preserve">du Cabinet et le maintien de l’intégrité </w:t>
      </w:r>
      <w:r w:rsidR="00B14C5E">
        <w:rPr>
          <w:lang w:val="fr-CA"/>
        </w:rPr>
        <w:t xml:space="preserve">dans son ensemble </w:t>
      </w:r>
      <w:r w:rsidR="00B14C5E" w:rsidRPr="008D4B77">
        <w:rPr>
          <w:lang w:val="fr-CA"/>
        </w:rPr>
        <w:t xml:space="preserve">du </w:t>
      </w:r>
      <w:r w:rsidR="00B14C5E">
        <w:rPr>
          <w:lang w:val="fr-CA"/>
        </w:rPr>
        <w:t>contrôle de type</w:t>
      </w:r>
      <w:r w:rsidR="00B14C5E" w:rsidRPr="008D4B77">
        <w:rPr>
          <w:lang w:val="fr-CA"/>
        </w:rPr>
        <w:t xml:space="preserve"> </w:t>
      </w:r>
      <w:r w:rsidR="00B14C5E" w:rsidRPr="008D4B77">
        <w:rPr>
          <w:i/>
          <w:lang w:val="fr-CA"/>
        </w:rPr>
        <w:t>Bodner</w:t>
      </w:r>
      <w:r w:rsidR="00B14C5E">
        <w:rPr>
          <w:lang w:val="fr-CA"/>
        </w:rPr>
        <w:t>. Même si toute consultation d’</w:t>
      </w:r>
      <w:r w:rsidR="00B14C5E" w:rsidRPr="008D4B77">
        <w:rPr>
          <w:lang w:val="fr-CA"/>
        </w:rPr>
        <w:t xml:space="preserve">un document confidentiel du Cabinet mine la confidentialité </w:t>
      </w:r>
      <w:r w:rsidR="00B14C5E">
        <w:rPr>
          <w:lang w:val="fr-CA"/>
        </w:rPr>
        <w:t>des délibérations du Cabinet dans une certaine mesure, celle menée par un juge d’un document qui porte sur les délibérations du Cabinet relativement à la magistrature la minerait encore plus. D</w:t>
      </w:r>
      <w:r w:rsidR="00B14C5E" w:rsidRPr="008D4B77">
        <w:rPr>
          <w:lang w:val="fr-CA"/>
        </w:rPr>
        <w:t>es considérations parti</w:t>
      </w:r>
      <w:r w:rsidR="00B14C5E">
        <w:rPr>
          <w:lang w:val="fr-CA"/>
        </w:rPr>
        <w:t xml:space="preserve">culières entrent donc en jeu lorsque la partie qui demande le contrôle de type </w:t>
      </w:r>
      <w:r w:rsidR="00B14C5E" w:rsidRPr="00B14C5E">
        <w:rPr>
          <w:i/>
          <w:lang w:val="fr-CA"/>
        </w:rPr>
        <w:t xml:space="preserve">Bodner </w:t>
      </w:r>
      <w:r w:rsidR="00B14C5E">
        <w:rPr>
          <w:lang w:val="fr-CA"/>
        </w:rPr>
        <w:t xml:space="preserve">sollicite la production </w:t>
      </w:r>
      <w:r w:rsidR="004C2E9B">
        <w:rPr>
          <w:lang w:val="fr-CA"/>
        </w:rPr>
        <w:t xml:space="preserve">par le gouvernement </w:t>
      </w:r>
      <w:r w:rsidR="00B14C5E">
        <w:rPr>
          <w:lang w:val="fr-CA"/>
        </w:rPr>
        <w:t>d’un</w:t>
      </w:r>
      <w:r w:rsidR="00B14C5E" w:rsidRPr="008D4B77">
        <w:rPr>
          <w:lang w:val="fr-CA"/>
        </w:rPr>
        <w:t xml:space="preserve"> document se rapportant au processus décisionnel du Cabinet</w:t>
      </w:r>
      <w:r w:rsidR="00B14C5E">
        <w:rPr>
          <w:lang w:val="fr-CA"/>
        </w:rPr>
        <w:t>. L</w:t>
      </w:r>
      <w:r w:rsidR="00B14C5E" w:rsidRPr="008D4B77">
        <w:rPr>
          <w:lang w:val="fr-CA"/>
        </w:rPr>
        <w:t xml:space="preserve">a partie </w:t>
      </w:r>
      <w:r w:rsidR="004C2E9B">
        <w:rPr>
          <w:lang w:val="fr-CA"/>
        </w:rPr>
        <w:t xml:space="preserve">qui </w:t>
      </w:r>
      <w:r w:rsidR="00B14C5E" w:rsidRPr="008D4B77">
        <w:rPr>
          <w:lang w:val="fr-CA"/>
        </w:rPr>
        <w:t>demand</w:t>
      </w:r>
      <w:r w:rsidR="004C2E9B">
        <w:rPr>
          <w:lang w:val="fr-CA"/>
        </w:rPr>
        <w:t>e</w:t>
      </w:r>
      <w:r w:rsidR="00B14C5E" w:rsidRPr="008D4B77">
        <w:rPr>
          <w:lang w:val="fr-CA"/>
        </w:rPr>
        <w:t xml:space="preserve"> le contrôle </w:t>
      </w:r>
      <w:r w:rsidR="00B14C5E">
        <w:rPr>
          <w:lang w:val="fr-CA"/>
        </w:rPr>
        <w:t>doit</w:t>
      </w:r>
      <w:r w:rsidR="00B14C5E" w:rsidRPr="008D4B77">
        <w:rPr>
          <w:lang w:val="fr-CA"/>
        </w:rPr>
        <w:t xml:space="preserve"> faire ressortir du dossier </w:t>
      </w:r>
      <w:r w:rsidR="00B14C5E">
        <w:rPr>
          <w:lang w:val="fr-CA"/>
        </w:rPr>
        <w:t xml:space="preserve">quelque chose </w:t>
      </w:r>
      <w:r w:rsidR="00B14C5E" w:rsidRPr="008D4B77">
        <w:rPr>
          <w:lang w:val="fr-CA"/>
        </w:rPr>
        <w:t>— y compris des éléments de preuve autrement admissibles</w:t>
      </w:r>
      <w:r w:rsidR="00B14C5E">
        <w:rPr>
          <w:lang w:val="fr-CA"/>
        </w:rPr>
        <w:t xml:space="preserve"> </w:t>
      </w:r>
      <w:r w:rsidR="00B14C5E" w:rsidRPr="008D4B77">
        <w:rPr>
          <w:lang w:val="fr-CA"/>
        </w:rPr>
        <w:t xml:space="preserve">— qui étaye sa prétention selon laquelle </w:t>
      </w:r>
      <w:r w:rsidR="00B14C5E" w:rsidRPr="008D4B77">
        <w:rPr>
          <w:lang w:val="fr-CA"/>
        </w:rPr>
        <w:lastRenderedPageBreak/>
        <w:t>le document peut tendre à démontrer que la réponse du gouvernement n’a pas satisfait à un</w:t>
      </w:r>
      <w:r w:rsidR="00B14C5E">
        <w:rPr>
          <w:lang w:val="fr-CA"/>
        </w:rPr>
        <w:t>e</w:t>
      </w:r>
      <w:r w:rsidR="00B14C5E" w:rsidRPr="008D4B77">
        <w:rPr>
          <w:lang w:val="fr-CA"/>
        </w:rPr>
        <w:t xml:space="preserve"> ou </w:t>
      </w:r>
      <w:r w:rsidR="00B14C5E">
        <w:rPr>
          <w:lang w:val="fr-CA"/>
        </w:rPr>
        <w:t xml:space="preserve">à </w:t>
      </w:r>
      <w:r w:rsidR="00B14C5E" w:rsidRPr="008D4B77">
        <w:rPr>
          <w:lang w:val="fr-CA"/>
        </w:rPr>
        <w:t xml:space="preserve">plusieurs </w:t>
      </w:r>
      <w:r w:rsidR="00B14C5E">
        <w:rPr>
          <w:lang w:val="fr-CA"/>
        </w:rPr>
        <w:t>des étapes de l’analyse établie par l’arrêt</w:t>
      </w:r>
      <w:r w:rsidR="00B14C5E" w:rsidRPr="008D4B77">
        <w:rPr>
          <w:lang w:val="fr-CA"/>
        </w:rPr>
        <w:t xml:space="preserve"> </w:t>
      </w:r>
      <w:r w:rsidR="00B14C5E" w:rsidRPr="008D4B77">
        <w:rPr>
          <w:i/>
          <w:lang w:val="fr-CA"/>
        </w:rPr>
        <w:t>Bodner</w:t>
      </w:r>
      <w:r w:rsidR="00B14C5E">
        <w:rPr>
          <w:lang w:val="fr-CA"/>
        </w:rPr>
        <w:t>. I</w:t>
      </w:r>
      <w:r w:rsidR="00B14C5E" w:rsidRPr="008D4B77">
        <w:rPr>
          <w:lang w:val="fr-CA"/>
        </w:rPr>
        <w:t xml:space="preserve">l ne suffit pas d’affirmer que </w:t>
      </w:r>
      <w:r w:rsidR="00B14C5E">
        <w:rPr>
          <w:lang w:val="fr-CA"/>
        </w:rPr>
        <w:t>le décideur disposait du document</w:t>
      </w:r>
      <w:r w:rsidR="00B14C5E" w:rsidRPr="008D4B77">
        <w:rPr>
          <w:lang w:val="fr-CA"/>
        </w:rPr>
        <w:t xml:space="preserve"> </w:t>
      </w:r>
      <w:r w:rsidR="00B14C5E">
        <w:rPr>
          <w:lang w:val="fr-CA"/>
        </w:rPr>
        <w:t>ou que celui</w:t>
      </w:r>
      <w:r w:rsidR="00B14C5E">
        <w:rPr>
          <w:lang w:val="fr-CA"/>
        </w:rPr>
        <w:noBreakHyphen/>
      </w:r>
      <w:r w:rsidR="00B14C5E" w:rsidRPr="008D4B77">
        <w:rPr>
          <w:lang w:val="fr-CA"/>
        </w:rPr>
        <w:t xml:space="preserve">ci apporterait au tribunal de révision des renseignements contextuels </w:t>
      </w:r>
      <w:r w:rsidR="00B14C5E">
        <w:rPr>
          <w:lang w:val="fr-CA"/>
        </w:rPr>
        <w:t>additionnel</w:t>
      </w:r>
      <w:r w:rsidR="00B14C5E" w:rsidRPr="008D4B77">
        <w:rPr>
          <w:lang w:val="fr-CA"/>
        </w:rPr>
        <w:t>s</w:t>
      </w:r>
      <w:r w:rsidR="00F061D2">
        <w:rPr>
          <w:lang w:val="fr-CA"/>
        </w:rPr>
        <w:t>.</w:t>
      </w:r>
    </w:p>
    <w:p w14:paraId="2C791184" w14:textId="488DB7B3" w:rsidR="006F5403" w:rsidRPr="00B14C5E" w:rsidRDefault="006F5403" w:rsidP="006F5403">
      <w:pPr>
        <w:pStyle w:val="SCCNormalDoubleSpacing"/>
        <w:spacing w:after="480"/>
        <w:rPr>
          <w:lang w:val="fr-CA"/>
        </w:rPr>
      </w:pPr>
      <w:r w:rsidRPr="00B14C5E">
        <w:rPr>
          <w:lang w:val="fr-CA"/>
        </w:rPr>
        <w:tab/>
      </w:r>
      <w:r w:rsidR="00B14C5E" w:rsidRPr="008D4B77">
        <w:rPr>
          <w:lang w:val="fr-CA"/>
        </w:rPr>
        <w:t xml:space="preserve">Si la partie qui demande le contrôle effectue la démonstration requise </w:t>
      </w:r>
      <w:r w:rsidR="00B14C5E">
        <w:rPr>
          <w:lang w:val="fr-CA"/>
        </w:rPr>
        <w:t>—</w:t>
      </w:r>
      <w:r w:rsidR="00B14C5E" w:rsidRPr="008D4B77">
        <w:rPr>
          <w:lang w:val="fr-CA"/>
        </w:rPr>
        <w:t xml:space="preserve"> à savoir qu’il existe des </w:t>
      </w:r>
      <w:r w:rsidR="00B14C5E">
        <w:rPr>
          <w:lang w:val="fr-CA"/>
        </w:rPr>
        <w:t>raisons</w:t>
      </w:r>
      <w:r w:rsidR="00B14C5E" w:rsidRPr="008D4B77">
        <w:rPr>
          <w:lang w:val="fr-CA"/>
        </w:rPr>
        <w:t xml:space="preserve"> de croire que le document peut contenir des éléments de preuve tendant à démontrer que le gouvernement n’a pas satisfait </w:t>
      </w:r>
      <w:r w:rsidR="00B14C5E">
        <w:rPr>
          <w:lang w:val="fr-CA"/>
        </w:rPr>
        <w:t xml:space="preserve">à </w:t>
      </w:r>
      <w:r w:rsidR="00B14C5E" w:rsidRPr="008D4B77">
        <w:rPr>
          <w:lang w:val="fr-CA"/>
        </w:rPr>
        <w:t xml:space="preserve">une des exigences décrites dans l’arrêt </w:t>
      </w:r>
      <w:r w:rsidR="00B14C5E" w:rsidRPr="008D4B77">
        <w:rPr>
          <w:i/>
          <w:lang w:val="fr-CA"/>
        </w:rPr>
        <w:t>Bodner</w:t>
      </w:r>
      <w:r w:rsidR="00B14C5E">
        <w:rPr>
          <w:lang w:val="fr-CA"/>
        </w:rPr>
        <w:t xml:space="preserve"> —</w:t>
      </w:r>
      <w:r w:rsidR="00B14C5E" w:rsidRPr="008D4B77">
        <w:rPr>
          <w:lang w:val="fr-CA"/>
        </w:rPr>
        <w:t>,</w:t>
      </w:r>
      <w:r w:rsidR="00B14C5E">
        <w:rPr>
          <w:lang w:val="fr-CA"/>
        </w:rPr>
        <w:t xml:space="preserve"> le gouvernement devra </w:t>
      </w:r>
      <w:r w:rsidR="00B14C5E" w:rsidRPr="008D4B77">
        <w:rPr>
          <w:lang w:val="fr-CA"/>
        </w:rPr>
        <w:t xml:space="preserve">produire </w:t>
      </w:r>
      <w:r w:rsidR="00B14C5E">
        <w:rPr>
          <w:lang w:val="fr-CA"/>
        </w:rPr>
        <w:t xml:space="preserve">le document en question </w:t>
      </w:r>
      <w:r w:rsidR="00B14C5E" w:rsidRPr="008D4B77">
        <w:rPr>
          <w:lang w:val="fr-CA"/>
        </w:rPr>
        <w:t xml:space="preserve">aux fins d’un </w:t>
      </w:r>
      <w:r w:rsidR="00B14C5E" w:rsidRPr="004F3655">
        <w:rPr>
          <w:lang w:val="fr-CA"/>
        </w:rPr>
        <w:t>examen par le tribunal</w:t>
      </w:r>
      <w:r w:rsidRPr="00B14C5E">
        <w:rPr>
          <w:lang w:val="fr-CA"/>
        </w:rPr>
        <w:t xml:space="preserve">. </w:t>
      </w:r>
      <w:r w:rsidR="00B14C5E">
        <w:rPr>
          <w:lang w:val="fr-CA"/>
        </w:rPr>
        <w:t xml:space="preserve">Celui-ci </w:t>
      </w:r>
      <w:r w:rsidR="00B14C5E" w:rsidRPr="00BE6708">
        <w:rPr>
          <w:lang w:val="fr-CA"/>
        </w:rPr>
        <w:t>d</w:t>
      </w:r>
      <w:r w:rsidR="004C2E9B">
        <w:rPr>
          <w:lang w:val="fr-CA"/>
        </w:rPr>
        <w:t>evra alors</w:t>
      </w:r>
      <w:r w:rsidR="00B14C5E" w:rsidRPr="00BE6708">
        <w:rPr>
          <w:lang w:val="fr-CA"/>
        </w:rPr>
        <w:t xml:space="preserve"> </w:t>
      </w:r>
      <w:r w:rsidR="00B14C5E">
        <w:rPr>
          <w:lang w:val="fr-CA"/>
        </w:rPr>
        <w:t>examin</w:t>
      </w:r>
      <w:r w:rsidR="00B14C5E" w:rsidRPr="00BE6708">
        <w:rPr>
          <w:lang w:val="fr-CA"/>
        </w:rPr>
        <w:t>er le document</w:t>
      </w:r>
      <w:r w:rsidR="00B14C5E">
        <w:rPr>
          <w:lang w:val="fr-CA"/>
        </w:rPr>
        <w:t xml:space="preserve"> </w:t>
      </w:r>
      <w:r w:rsidR="00B14C5E" w:rsidRPr="009C10EE">
        <w:rPr>
          <w:lang w:val="fr-CA"/>
        </w:rPr>
        <w:t>en privé</w:t>
      </w:r>
      <w:r w:rsidR="00B14C5E" w:rsidRPr="008D4B77">
        <w:rPr>
          <w:lang w:val="fr-CA"/>
        </w:rPr>
        <w:t xml:space="preserve"> pour déterminer si, de fait, </w:t>
      </w:r>
      <w:r w:rsidR="00B14C5E">
        <w:rPr>
          <w:lang w:val="fr-CA"/>
        </w:rPr>
        <w:t>il</w:t>
      </w:r>
      <w:r w:rsidR="00B14C5E" w:rsidRPr="008D4B77">
        <w:rPr>
          <w:lang w:val="fr-CA"/>
        </w:rPr>
        <w:t xml:space="preserve"> fournit des éléments de preuve qui tendent à démontrer que le gouvernement n’a pas satisfait à l’un</w:t>
      </w:r>
      <w:r w:rsidR="00B14C5E">
        <w:rPr>
          <w:lang w:val="fr-CA"/>
        </w:rPr>
        <w:t>e</w:t>
      </w:r>
      <w:r w:rsidR="00B14C5E" w:rsidRPr="008D4B77">
        <w:rPr>
          <w:lang w:val="fr-CA"/>
        </w:rPr>
        <w:t xml:space="preserve"> ou l’autre des </w:t>
      </w:r>
      <w:r w:rsidR="00B14C5E">
        <w:rPr>
          <w:lang w:val="fr-CA"/>
        </w:rPr>
        <w:t>étapes de l’analyse établie par l’arrêt</w:t>
      </w:r>
      <w:r w:rsidR="00B14C5E" w:rsidRPr="008D4B77">
        <w:rPr>
          <w:lang w:val="fr-CA"/>
        </w:rPr>
        <w:t xml:space="preserve"> </w:t>
      </w:r>
      <w:r w:rsidR="00B14C5E" w:rsidRPr="008D4B77">
        <w:rPr>
          <w:i/>
          <w:lang w:val="fr-CA"/>
        </w:rPr>
        <w:t>Bodner</w:t>
      </w:r>
      <w:r w:rsidR="00B14C5E" w:rsidRPr="008D4B77">
        <w:rPr>
          <w:lang w:val="fr-CA"/>
        </w:rPr>
        <w:t>.</w:t>
      </w:r>
      <w:r w:rsidR="00B14C5E">
        <w:rPr>
          <w:lang w:val="fr-CA"/>
        </w:rPr>
        <w:t xml:space="preserve"> L</w:t>
      </w:r>
      <w:r w:rsidR="00B14C5E" w:rsidRPr="008D4B77">
        <w:rPr>
          <w:lang w:val="fr-CA"/>
        </w:rPr>
        <w:t>e document doit</w:t>
      </w:r>
      <w:r w:rsidR="00B14C5E">
        <w:rPr>
          <w:lang w:val="fr-CA"/>
        </w:rPr>
        <w:t xml:space="preserve"> </w:t>
      </w:r>
      <w:r w:rsidR="00B14C5E" w:rsidRPr="008D4B77">
        <w:rPr>
          <w:lang w:val="fr-CA"/>
        </w:rPr>
        <w:t xml:space="preserve">se révéler utile pour attaquer la légitimité des motifs </w:t>
      </w:r>
      <w:r w:rsidR="00B14C5E">
        <w:rPr>
          <w:lang w:val="fr-CA"/>
        </w:rPr>
        <w:t>invoqu</w:t>
      </w:r>
      <w:r w:rsidR="00B14C5E" w:rsidRPr="008D4B77">
        <w:rPr>
          <w:lang w:val="fr-CA"/>
        </w:rPr>
        <w:t xml:space="preserve">és par le gouvernement, </w:t>
      </w:r>
      <w:r w:rsidR="00B14C5E">
        <w:rPr>
          <w:lang w:val="fr-CA"/>
        </w:rPr>
        <w:t xml:space="preserve">ou encore pour mettre en doute </w:t>
      </w:r>
      <w:r w:rsidR="00B14C5E" w:rsidRPr="008D4B77">
        <w:rPr>
          <w:lang w:val="fr-CA"/>
        </w:rPr>
        <w:t xml:space="preserve">le caractère raisonnable du fondement factuel sur lequel il s’est appuyé, le respect dont </w:t>
      </w:r>
      <w:r w:rsidR="00B14C5E">
        <w:rPr>
          <w:lang w:val="fr-CA"/>
        </w:rPr>
        <w:t>il</w:t>
      </w:r>
      <w:r w:rsidR="00B14C5E" w:rsidRPr="008D4B77">
        <w:rPr>
          <w:lang w:val="fr-CA"/>
        </w:rPr>
        <w:t xml:space="preserve"> a fait preuve envers le </w:t>
      </w:r>
      <w:r w:rsidR="00B14C5E">
        <w:rPr>
          <w:lang w:val="fr-CA"/>
        </w:rPr>
        <w:t>mécanisme d’examen par une commission</w:t>
      </w:r>
      <w:r w:rsidR="00B14C5E" w:rsidRPr="008D4B77">
        <w:rPr>
          <w:lang w:val="fr-CA"/>
        </w:rPr>
        <w:t xml:space="preserve"> ou l’atteinte des objectifs du recours à ce mécanisme.</w:t>
      </w:r>
    </w:p>
    <w:p w14:paraId="3BA1CDD2" w14:textId="00A1627A" w:rsidR="006F5403" w:rsidRPr="000A3C21" w:rsidRDefault="006F5403" w:rsidP="006F5403">
      <w:pPr>
        <w:pStyle w:val="SCCNormalDoubleSpacing"/>
        <w:spacing w:after="480"/>
        <w:rPr>
          <w:lang w:val="fr-CA"/>
        </w:rPr>
      </w:pPr>
      <w:r w:rsidRPr="00B14C5E">
        <w:rPr>
          <w:lang w:val="fr-CA"/>
        </w:rPr>
        <w:tab/>
      </w:r>
      <w:r w:rsidR="00B14C5E" w:rsidRPr="008D4B77">
        <w:rPr>
          <w:lang w:val="fr-CA"/>
        </w:rPr>
        <w:t xml:space="preserve">Même si le document satisfait à ce critère, sa production demeure assujettie à toute autre règle de preuve empêchant sa divulgation, notamment </w:t>
      </w:r>
      <w:r w:rsidR="00B14C5E">
        <w:rPr>
          <w:lang w:val="fr-CA"/>
        </w:rPr>
        <w:t>celle relative à</w:t>
      </w:r>
      <w:r w:rsidR="00B14C5E" w:rsidRPr="009C10EE">
        <w:rPr>
          <w:lang w:val="fr-CA"/>
        </w:rPr>
        <w:t xml:space="preserve"> l’</w:t>
      </w:r>
      <w:r w:rsidR="00B14C5E">
        <w:rPr>
          <w:lang w:val="fr-CA"/>
        </w:rPr>
        <w:t>immunité d’intérêt public</w:t>
      </w:r>
      <w:r w:rsidRPr="00B14C5E">
        <w:rPr>
          <w:lang w:val="fr-CA"/>
        </w:rPr>
        <w:t xml:space="preserve">. </w:t>
      </w:r>
      <w:r w:rsidR="000A3C21">
        <w:rPr>
          <w:lang w:val="fr-CA"/>
        </w:rPr>
        <w:t xml:space="preserve">Cette doctrine </w:t>
      </w:r>
      <w:r w:rsidR="000A3C21" w:rsidRPr="008D4B77">
        <w:rPr>
          <w:lang w:val="fr-CA"/>
        </w:rPr>
        <w:t xml:space="preserve">empêche la divulgation d’un document </w:t>
      </w:r>
      <w:r w:rsidR="000A3C21">
        <w:rPr>
          <w:lang w:val="fr-CA"/>
        </w:rPr>
        <w:t>lorsque</w:t>
      </w:r>
      <w:r w:rsidR="000A3C21" w:rsidRPr="008D4B77">
        <w:rPr>
          <w:lang w:val="fr-CA"/>
        </w:rPr>
        <w:t xml:space="preserve"> le tribunal est convaincu que l’intérêt </w:t>
      </w:r>
      <w:r w:rsidR="000A3C21">
        <w:rPr>
          <w:lang w:val="fr-CA"/>
        </w:rPr>
        <w:t xml:space="preserve">du </w:t>
      </w:r>
      <w:r w:rsidR="000A3C21" w:rsidRPr="008D4B77">
        <w:rPr>
          <w:lang w:val="fr-CA"/>
        </w:rPr>
        <w:t xml:space="preserve">public à ce qu’un document demeure confidentiel l’emporte </w:t>
      </w:r>
      <w:r w:rsidR="000A3C21">
        <w:rPr>
          <w:lang w:val="fr-CA"/>
        </w:rPr>
        <w:t xml:space="preserve">sur </w:t>
      </w:r>
      <w:r w:rsidR="00480A52">
        <w:rPr>
          <w:lang w:val="fr-CA"/>
        </w:rPr>
        <w:t>celui</w:t>
      </w:r>
      <w:r w:rsidR="000A3C21" w:rsidRPr="008D4B77">
        <w:rPr>
          <w:lang w:val="fr-CA"/>
        </w:rPr>
        <w:t xml:space="preserve"> </w:t>
      </w:r>
      <w:r w:rsidR="000A3C21">
        <w:rPr>
          <w:lang w:val="fr-CA"/>
        </w:rPr>
        <w:t xml:space="preserve">à ce qu’il soit divulgué. L’immunité d’intérêt public </w:t>
      </w:r>
      <w:r w:rsidR="000A3C21">
        <w:rPr>
          <w:lang w:val="fr-CA"/>
        </w:rPr>
        <w:lastRenderedPageBreak/>
        <w:t xml:space="preserve">exige </w:t>
      </w:r>
      <w:r w:rsidR="000A3C21" w:rsidRPr="00100423">
        <w:rPr>
          <w:lang w:val="fr-CA"/>
        </w:rPr>
        <w:t xml:space="preserve">de </w:t>
      </w:r>
      <w:r w:rsidR="000A3C21">
        <w:rPr>
          <w:lang w:val="fr-CA"/>
        </w:rPr>
        <w:t>mettre</w:t>
      </w:r>
      <w:r w:rsidR="000A3C21" w:rsidRPr="00100423">
        <w:rPr>
          <w:lang w:val="fr-CA"/>
        </w:rPr>
        <w:t xml:space="preserve"> soigneusement </w:t>
      </w:r>
      <w:r w:rsidR="000A3C21">
        <w:rPr>
          <w:lang w:val="fr-CA"/>
        </w:rPr>
        <w:t>en balance c</w:t>
      </w:r>
      <w:r w:rsidR="000A3C21" w:rsidRPr="00100423">
        <w:rPr>
          <w:lang w:val="fr-CA"/>
        </w:rPr>
        <w:t xml:space="preserve">es intérêts </w:t>
      </w:r>
      <w:r w:rsidR="000A3C21">
        <w:rPr>
          <w:lang w:val="fr-CA"/>
        </w:rPr>
        <w:t xml:space="preserve">opposés du </w:t>
      </w:r>
      <w:r w:rsidR="000A3C21" w:rsidRPr="00100423">
        <w:rPr>
          <w:lang w:val="fr-CA"/>
        </w:rPr>
        <w:t>public</w:t>
      </w:r>
      <w:r w:rsidR="000A3C21">
        <w:rPr>
          <w:lang w:val="fr-CA"/>
        </w:rPr>
        <w:t xml:space="preserve"> qui </w:t>
      </w:r>
      <w:r w:rsidR="000A3C21" w:rsidRPr="00100423">
        <w:rPr>
          <w:lang w:val="fr-CA"/>
        </w:rPr>
        <w:t>doivent être évalués en fonction d’un document précis, dans le cadre</w:t>
      </w:r>
      <w:r w:rsidR="000A3C21" w:rsidRPr="008D4B77">
        <w:rPr>
          <w:lang w:val="fr-CA"/>
        </w:rPr>
        <w:t xml:space="preserve"> d’une instance donnée</w:t>
      </w:r>
      <w:r w:rsidR="000A3C21">
        <w:rPr>
          <w:lang w:val="fr-CA"/>
        </w:rPr>
        <w:t>. C</w:t>
      </w:r>
      <w:r w:rsidR="000A3C21" w:rsidRPr="008D4B77">
        <w:rPr>
          <w:lang w:val="fr-CA"/>
        </w:rPr>
        <w:t xml:space="preserve">’est au gouvernement qu’il incombe d’établir qu’un document est visé par cette </w:t>
      </w:r>
      <w:r w:rsidR="000A3C21">
        <w:rPr>
          <w:lang w:val="fr-CA"/>
        </w:rPr>
        <w:t>immunité</w:t>
      </w:r>
      <w:r w:rsidR="000A3C21" w:rsidRPr="008D4B77">
        <w:rPr>
          <w:lang w:val="fr-CA"/>
        </w:rPr>
        <w:t xml:space="preserve"> et qu’il ne devrait donc pas être divulgué</w:t>
      </w:r>
      <w:r w:rsidR="000A3C21" w:rsidRPr="00930D3C">
        <w:rPr>
          <w:lang w:val="fr-CA"/>
        </w:rPr>
        <w:t>. En ce qui a trait aux</w:t>
      </w:r>
      <w:r w:rsidR="000A3C21">
        <w:rPr>
          <w:lang w:val="fr-CA"/>
        </w:rPr>
        <w:t xml:space="preserve"> documents confidentiels du Cabinet, l’</w:t>
      </w:r>
      <w:r w:rsidR="000A3C21" w:rsidRPr="008D4B77">
        <w:rPr>
          <w:lang w:val="fr-CA"/>
        </w:rPr>
        <w:t xml:space="preserve">intérêt </w:t>
      </w:r>
      <w:r w:rsidR="000A3C21">
        <w:rPr>
          <w:lang w:val="fr-CA"/>
        </w:rPr>
        <w:t xml:space="preserve">du </w:t>
      </w:r>
      <w:r w:rsidR="000A3C21" w:rsidRPr="008D4B77">
        <w:rPr>
          <w:lang w:val="fr-CA"/>
        </w:rPr>
        <w:t xml:space="preserve">public </w:t>
      </w:r>
      <w:r w:rsidR="000A3C21">
        <w:rPr>
          <w:lang w:val="fr-CA"/>
        </w:rPr>
        <w:t>à ce qu’</w:t>
      </w:r>
      <w:r w:rsidR="000A3C21" w:rsidRPr="008D4B77">
        <w:rPr>
          <w:lang w:val="fr-CA"/>
        </w:rPr>
        <w:t xml:space="preserve">un document </w:t>
      </w:r>
      <w:r w:rsidR="000A3C21">
        <w:rPr>
          <w:lang w:val="fr-CA"/>
        </w:rPr>
        <w:t>relatif aux</w:t>
      </w:r>
      <w:r w:rsidR="000A3C21" w:rsidRPr="008D4B77">
        <w:rPr>
          <w:lang w:val="fr-CA"/>
        </w:rPr>
        <w:t xml:space="preserve"> délibérations du Cabinet</w:t>
      </w:r>
      <w:r w:rsidR="000A3C21">
        <w:rPr>
          <w:lang w:val="fr-CA"/>
        </w:rPr>
        <w:t xml:space="preserve"> demeure confidentiel étant important, il doit être</w:t>
      </w:r>
      <w:r w:rsidR="000A3C21" w:rsidRPr="008D4B77">
        <w:rPr>
          <w:lang w:val="fr-CA"/>
        </w:rPr>
        <w:t xml:space="preserve"> supplanté </w:t>
      </w:r>
      <w:r w:rsidR="000A3C21">
        <w:rPr>
          <w:lang w:val="fr-CA"/>
        </w:rPr>
        <w:t xml:space="preserve">par un </w:t>
      </w:r>
      <w:r w:rsidR="000A3C21" w:rsidRPr="008D4B77">
        <w:rPr>
          <w:lang w:val="fr-CA"/>
        </w:rPr>
        <w:t xml:space="preserve">intérêt </w:t>
      </w:r>
      <w:r w:rsidR="000A3C21">
        <w:rPr>
          <w:lang w:val="fr-CA"/>
        </w:rPr>
        <w:t xml:space="preserve">du </w:t>
      </w:r>
      <w:r w:rsidR="000A3C21" w:rsidRPr="008D4B77">
        <w:rPr>
          <w:lang w:val="fr-CA"/>
        </w:rPr>
        <w:t xml:space="preserve">public encore plus </w:t>
      </w:r>
      <w:r w:rsidR="000A3C21">
        <w:rPr>
          <w:lang w:val="fr-CA"/>
        </w:rPr>
        <w:t>important à ce qu’il soit divulgué</w:t>
      </w:r>
      <w:r w:rsidR="000A3C21" w:rsidRPr="008D4B77">
        <w:rPr>
          <w:lang w:val="fr-CA"/>
        </w:rPr>
        <w:t>.</w:t>
      </w:r>
      <w:r w:rsidR="000A3C21">
        <w:rPr>
          <w:lang w:val="fr-CA"/>
        </w:rPr>
        <w:t xml:space="preserve"> Les</w:t>
      </w:r>
      <w:r w:rsidR="000A3C21" w:rsidRPr="008D4B77">
        <w:rPr>
          <w:lang w:val="fr-CA"/>
        </w:rPr>
        <w:t xml:space="preserve"> principaux facteurs </w:t>
      </w:r>
      <w:r w:rsidR="000A3C21">
        <w:rPr>
          <w:lang w:val="fr-CA"/>
        </w:rPr>
        <w:t>pertinents pour</w:t>
      </w:r>
      <w:r w:rsidR="000A3C21" w:rsidRPr="008D4B77">
        <w:rPr>
          <w:lang w:val="fr-CA"/>
        </w:rPr>
        <w:t xml:space="preserve"> l’exercice </w:t>
      </w:r>
      <w:r w:rsidR="000A3C21" w:rsidRPr="00100423">
        <w:rPr>
          <w:lang w:val="fr-CA"/>
        </w:rPr>
        <w:t xml:space="preserve">de </w:t>
      </w:r>
      <w:r w:rsidR="000A3C21">
        <w:rPr>
          <w:lang w:val="fr-CA"/>
        </w:rPr>
        <w:t xml:space="preserve">mise en balance des </w:t>
      </w:r>
      <w:r w:rsidR="000A3C21" w:rsidRPr="00100423">
        <w:rPr>
          <w:lang w:val="fr-CA"/>
        </w:rPr>
        <w:t>intérêts</w:t>
      </w:r>
      <w:r w:rsidR="000A3C21" w:rsidRPr="008D4B77">
        <w:rPr>
          <w:lang w:val="fr-CA"/>
        </w:rPr>
        <w:t xml:space="preserve"> opposés </w:t>
      </w:r>
      <w:r w:rsidR="000A3C21">
        <w:rPr>
          <w:lang w:val="fr-CA"/>
        </w:rPr>
        <w:t xml:space="preserve">du public </w:t>
      </w:r>
      <w:r w:rsidR="000A3C21" w:rsidRPr="008D4B77">
        <w:rPr>
          <w:lang w:val="fr-CA"/>
        </w:rPr>
        <w:t xml:space="preserve">quant à la </w:t>
      </w:r>
      <w:r w:rsidR="000A3C21">
        <w:rPr>
          <w:lang w:val="fr-CA"/>
        </w:rPr>
        <w:t>confidentialité</w:t>
      </w:r>
      <w:r w:rsidR="000A3C21" w:rsidRPr="008D4B77">
        <w:rPr>
          <w:lang w:val="fr-CA"/>
        </w:rPr>
        <w:t xml:space="preserve"> </w:t>
      </w:r>
      <w:r w:rsidR="004C2E9B">
        <w:rPr>
          <w:lang w:val="fr-CA"/>
        </w:rPr>
        <w:t>et</w:t>
      </w:r>
      <w:r w:rsidR="000A3C21" w:rsidRPr="008D4B77">
        <w:rPr>
          <w:lang w:val="fr-CA"/>
        </w:rPr>
        <w:t xml:space="preserve"> à la </w:t>
      </w:r>
      <w:r w:rsidR="000A3C21">
        <w:rPr>
          <w:lang w:val="fr-CA"/>
        </w:rPr>
        <w:t xml:space="preserve">divulgation ont été </w:t>
      </w:r>
      <w:r w:rsidR="000A3C21" w:rsidRPr="00100423">
        <w:rPr>
          <w:lang w:val="fr-CA"/>
        </w:rPr>
        <w:t xml:space="preserve">énoncés dans l’arrêt </w:t>
      </w:r>
      <w:r w:rsidR="000A3C21" w:rsidRPr="00100423">
        <w:rPr>
          <w:i/>
          <w:lang w:val="fr-CA"/>
        </w:rPr>
        <w:t>Carey c. Ontario</w:t>
      </w:r>
      <w:r w:rsidR="000A3C21" w:rsidRPr="00100423">
        <w:rPr>
          <w:lang w:val="fr-CA"/>
        </w:rPr>
        <w:t>, [1986] 2 R.C.S.</w:t>
      </w:r>
      <w:r w:rsidR="0039601F">
        <w:rPr>
          <w:lang w:val="fr-CA"/>
        </w:rPr>
        <w:t xml:space="preserve"> </w:t>
      </w:r>
      <w:r w:rsidR="000A3C21" w:rsidRPr="00100423">
        <w:rPr>
          <w:lang w:val="fr-CA"/>
        </w:rPr>
        <w:t>637</w:t>
      </w:r>
      <w:r w:rsidR="0039601F">
        <w:rPr>
          <w:lang w:val="fr-CA"/>
        </w:rPr>
        <w:t xml:space="preserve">. Il s’agit </w:t>
      </w:r>
      <w:r w:rsidR="000A3C21">
        <w:rPr>
          <w:lang w:val="fr-CA"/>
        </w:rPr>
        <w:t xml:space="preserve">du </w:t>
      </w:r>
      <w:r w:rsidR="000A3C21" w:rsidRPr="008D4B77">
        <w:rPr>
          <w:lang w:val="fr-CA"/>
        </w:rPr>
        <w:t xml:space="preserve">palier du </w:t>
      </w:r>
      <w:r w:rsidR="000A3C21">
        <w:rPr>
          <w:lang w:val="fr-CA"/>
        </w:rPr>
        <w:t xml:space="preserve">processus décisionnel, de </w:t>
      </w:r>
      <w:r w:rsidR="000A3C21" w:rsidRPr="005F3FEF">
        <w:rPr>
          <w:lang w:val="fr-CA"/>
        </w:rPr>
        <w:t>la nature de la politique en question</w:t>
      </w:r>
      <w:r w:rsidR="000A3C21">
        <w:rPr>
          <w:lang w:val="fr-CA"/>
        </w:rPr>
        <w:t xml:space="preserve">, de </w:t>
      </w:r>
      <w:r w:rsidR="000A3C21" w:rsidRPr="005F3FEF">
        <w:rPr>
          <w:lang w:val="fr-CA"/>
        </w:rPr>
        <w:t>la teneur précise des documents</w:t>
      </w:r>
      <w:r w:rsidR="000A3C21">
        <w:rPr>
          <w:lang w:val="fr-CA"/>
        </w:rPr>
        <w:t xml:space="preserve">, du </w:t>
      </w:r>
      <w:r w:rsidR="000A3C21" w:rsidRPr="005F3FEF">
        <w:rPr>
          <w:lang w:val="fr-CA"/>
        </w:rPr>
        <w:t>moment où sera divulgué le document</w:t>
      </w:r>
      <w:r w:rsidR="000A3C21">
        <w:rPr>
          <w:lang w:val="fr-CA"/>
        </w:rPr>
        <w:t xml:space="preserve">, </w:t>
      </w:r>
      <w:r w:rsidR="004C2E9B">
        <w:rPr>
          <w:lang w:val="fr-CA"/>
        </w:rPr>
        <w:t>de</w:t>
      </w:r>
      <w:r w:rsidR="000A3C21" w:rsidRPr="005F3FEF">
        <w:rPr>
          <w:lang w:val="fr-CA"/>
        </w:rPr>
        <w:t xml:space="preserve"> l’intérêt de l’administration de la justice</w:t>
      </w:r>
      <w:r w:rsidR="000A3C21">
        <w:rPr>
          <w:lang w:val="fr-CA"/>
        </w:rPr>
        <w:t xml:space="preserve"> et de </w:t>
      </w:r>
      <w:r w:rsidR="000A3C21" w:rsidRPr="005F3FEF">
        <w:rPr>
          <w:lang w:val="fr-CA"/>
        </w:rPr>
        <w:t>la question de savoir si la partie qui cherche à obtenir la production des documents allègue une conduite peu scrupul</w:t>
      </w:r>
      <w:r w:rsidR="000A3C21">
        <w:rPr>
          <w:lang w:val="fr-CA"/>
        </w:rPr>
        <w:t>euse de la part du gouvernement.</w:t>
      </w:r>
      <w:r w:rsidR="0039601F">
        <w:rPr>
          <w:lang w:val="fr-CA"/>
        </w:rPr>
        <w:t xml:space="preserve"> </w:t>
      </w:r>
      <w:r w:rsidR="000A3C21" w:rsidRPr="005F3FEF">
        <w:rPr>
          <w:lang w:val="fr-CA"/>
        </w:rPr>
        <w:t> </w:t>
      </w:r>
    </w:p>
    <w:p w14:paraId="4961B519" w14:textId="50C164A7" w:rsidR="006F5403" w:rsidRPr="000E7024" w:rsidRDefault="006F5403" w:rsidP="006F5403">
      <w:pPr>
        <w:pStyle w:val="SCCNormalDoubleSpacing"/>
        <w:spacing w:after="480"/>
        <w:rPr>
          <w:lang w:val="fr-CA"/>
        </w:rPr>
      </w:pPr>
      <w:r w:rsidRPr="00B14C5E">
        <w:rPr>
          <w:lang w:val="fr-CA"/>
        </w:rPr>
        <w:tab/>
      </w:r>
      <w:r w:rsidR="000E7024">
        <w:rPr>
          <w:lang w:val="fr-CA"/>
        </w:rPr>
        <w:t xml:space="preserve">Dans le contexte d’un contrôle de type </w:t>
      </w:r>
      <w:r w:rsidR="000E7024" w:rsidRPr="00930D3C">
        <w:rPr>
          <w:i/>
          <w:lang w:val="fr-CA"/>
        </w:rPr>
        <w:t>Bodner</w:t>
      </w:r>
      <w:r w:rsidR="000E7024">
        <w:rPr>
          <w:lang w:val="fr-CA"/>
        </w:rPr>
        <w:t xml:space="preserve">, divers facteurs </w:t>
      </w:r>
      <w:r w:rsidR="000E7024" w:rsidRPr="008D4B77">
        <w:rPr>
          <w:lang w:val="fr-CA"/>
        </w:rPr>
        <w:t>jouent bien souvent en faveur du m</w:t>
      </w:r>
      <w:r w:rsidR="000E7024">
        <w:rPr>
          <w:lang w:val="fr-CA"/>
        </w:rPr>
        <w:t>aintien de la confidentialité d’un</w:t>
      </w:r>
      <w:r w:rsidR="000E7024" w:rsidRPr="008D4B77">
        <w:rPr>
          <w:lang w:val="fr-CA"/>
        </w:rPr>
        <w:t xml:space="preserve"> document</w:t>
      </w:r>
      <w:r w:rsidRPr="000E7024">
        <w:rPr>
          <w:lang w:val="fr-CA"/>
        </w:rPr>
        <w:t xml:space="preserve">. </w:t>
      </w:r>
      <w:r w:rsidR="000E7024">
        <w:rPr>
          <w:lang w:val="fr-CA"/>
        </w:rPr>
        <w:t>L</w:t>
      </w:r>
      <w:r w:rsidR="000E7024" w:rsidRPr="008D4B77">
        <w:rPr>
          <w:lang w:val="fr-CA"/>
        </w:rPr>
        <w:t>e processus décisionnel du Cabinet se situe au plus haut échelon décisionnel du pouvoir exécutif</w:t>
      </w:r>
      <w:r w:rsidR="000E7024">
        <w:rPr>
          <w:lang w:val="fr-CA"/>
        </w:rPr>
        <w:t>.</w:t>
      </w:r>
      <w:r w:rsidR="0039601F">
        <w:rPr>
          <w:lang w:val="fr-CA"/>
        </w:rPr>
        <w:t xml:space="preserve"> </w:t>
      </w:r>
      <w:r w:rsidR="000E7024">
        <w:rPr>
          <w:lang w:val="fr-CA"/>
        </w:rPr>
        <w:t>L</w:t>
      </w:r>
      <w:r w:rsidR="000E7024" w:rsidRPr="008D4B77">
        <w:rPr>
          <w:lang w:val="fr-CA"/>
        </w:rPr>
        <w:t>a rémunération de</w:t>
      </w:r>
      <w:r w:rsidR="000E7024">
        <w:rPr>
          <w:lang w:val="fr-CA"/>
        </w:rPr>
        <w:t xml:space="preserve">s juges </w:t>
      </w:r>
      <w:r w:rsidR="000E7024" w:rsidRPr="008D4B77">
        <w:rPr>
          <w:lang w:val="fr-CA"/>
        </w:rPr>
        <w:t>est un domaine de politique publique important et sensible</w:t>
      </w:r>
      <w:r w:rsidR="000E7024">
        <w:rPr>
          <w:lang w:val="fr-CA"/>
        </w:rPr>
        <w:t>. Les</w:t>
      </w:r>
      <w:r w:rsidR="000E7024" w:rsidRPr="008D4B77">
        <w:rPr>
          <w:lang w:val="fr-CA"/>
        </w:rPr>
        <w:t xml:space="preserve"> document</w:t>
      </w:r>
      <w:r w:rsidR="000E7024">
        <w:rPr>
          <w:lang w:val="fr-CA"/>
        </w:rPr>
        <w:t>s</w:t>
      </w:r>
      <w:r w:rsidR="000E7024" w:rsidRPr="008D4B77">
        <w:rPr>
          <w:lang w:val="fr-CA"/>
        </w:rPr>
        <w:t xml:space="preserve"> concernant les délibérations du Cabinet </w:t>
      </w:r>
      <w:r w:rsidR="000E7024">
        <w:rPr>
          <w:lang w:val="fr-CA"/>
        </w:rPr>
        <w:t>peuvent fort</w:t>
      </w:r>
      <w:r w:rsidR="000E7024" w:rsidRPr="008D4B77">
        <w:rPr>
          <w:lang w:val="fr-CA"/>
        </w:rPr>
        <w:t xml:space="preserve"> bien rendre compte des opinions de</w:t>
      </w:r>
      <w:r w:rsidR="000E7024">
        <w:rPr>
          <w:lang w:val="fr-CA"/>
        </w:rPr>
        <w:t xml:space="preserve"> certain</w:t>
      </w:r>
      <w:r w:rsidR="000E7024" w:rsidRPr="008D4B77">
        <w:rPr>
          <w:lang w:val="fr-CA"/>
        </w:rPr>
        <w:t>s ministres et révéler des désaccords entre eux</w:t>
      </w:r>
      <w:r w:rsidR="000E7024">
        <w:rPr>
          <w:lang w:val="fr-CA"/>
        </w:rPr>
        <w:t xml:space="preserve">; en conséquence, leur contenu est </w:t>
      </w:r>
      <w:r w:rsidR="000E7024" w:rsidRPr="000C224C">
        <w:rPr>
          <w:lang w:val="fr-CA"/>
        </w:rPr>
        <w:t>souvent très sensible</w:t>
      </w:r>
      <w:r w:rsidR="000E7024">
        <w:rPr>
          <w:lang w:val="fr-CA"/>
        </w:rPr>
        <w:t>.</w:t>
      </w:r>
      <w:r w:rsidR="000E7024" w:rsidRPr="000C224C">
        <w:rPr>
          <w:lang w:val="fr-CA"/>
        </w:rPr>
        <w:t> </w:t>
      </w:r>
      <w:r w:rsidR="000E7024" w:rsidRPr="009A6C08">
        <w:rPr>
          <w:lang w:val="fr-CA"/>
        </w:rPr>
        <w:t>Selon la teneur</w:t>
      </w:r>
      <w:r w:rsidR="000E7024">
        <w:rPr>
          <w:lang w:val="fr-CA"/>
        </w:rPr>
        <w:t xml:space="preserve"> du document</w:t>
      </w:r>
      <w:r w:rsidR="000E7024" w:rsidRPr="008D4B77">
        <w:rPr>
          <w:lang w:val="fr-CA"/>
        </w:rPr>
        <w:t xml:space="preserve">, le moment où </w:t>
      </w:r>
      <w:r w:rsidR="000E7024">
        <w:rPr>
          <w:lang w:val="fr-CA"/>
        </w:rPr>
        <w:t>ce dernier</w:t>
      </w:r>
      <w:r w:rsidR="000E7024" w:rsidRPr="008D4B77">
        <w:rPr>
          <w:lang w:val="fr-CA"/>
        </w:rPr>
        <w:t xml:space="preserve"> sera</w:t>
      </w:r>
      <w:r w:rsidR="000E7024">
        <w:rPr>
          <w:lang w:val="fr-CA"/>
        </w:rPr>
        <w:t>it</w:t>
      </w:r>
      <w:r w:rsidR="000E7024" w:rsidRPr="008D4B77">
        <w:rPr>
          <w:lang w:val="fr-CA"/>
        </w:rPr>
        <w:t xml:space="preserve"> divulgué peut également jouer en faveur du maintien de sa confidentialité.</w:t>
      </w:r>
    </w:p>
    <w:p w14:paraId="446D68AF" w14:textId="62D6A500" w:rsidR="006F5403" w:rsidRPr="000E7024" w:rsidRDefault="006F5403" w:rsidP="006F5403">
      <w:pPr>
        <w:pStyle w:val="SCCNormalDoubleSpacing"/>
        <w:spacing w:after="480"/>
        <w:rPr>
          <w:lang w:val="fr-CA"/>
        </w:rPr>
      </w:pPr>
      <w:r w:rsidRPr="000E7024">
        <w:rPr>
          <w:lang w:val="fr-CA"/>
        </w:rPr>
        <w:lastRenderedPageBreak/>
        <w:tab/>
      </w:r>
      <w:r w:rsidR="000E7024">
        <w:rPr>
          <w:lang w:val="fr-CA"/>
        </w:rPr>
        <w:t>L’</w:t>
      </w:r>
      <w:r w:rsidR="000E7024" w:rsidRPr="00100423">
        <w:rPr>
          <w:lang w:val="fr-CA"/>
        </w:rPr>
        <w:t>intérêt de l’administration de la justice embrasse un vaste éventail de considérations</w:t>
      </w:r>
      <w:r w:rsidR="00AF1C12">
        <w:rPr>
          <w:lang w:val="fr-CA"/>
        </w:rPr>
        <w:t xml:space="preserve">, y compris </w:t>
      </w:r>
      <w:r w:rsidR="00AF1C12" w:rsidRPr="00100423">
        <w:rPr>
          <w:lang w:val="fr-CA"/>
        </w:rPr>
        <w:t>l’importance de la cause et la nécessité ou l’oppor</w:t>
      </w:r>
      <w:r w:rsidR="00AF1C12">
        <w:rPr>
          <w:lang w:val="fr-CA"/>
        </w:rPr>
        <w:t>tunité de produire le document.</w:t>
      </w:r>
      <w:r w:rsidR="0039601F">
        <w:rPr>
          <w:lang w:val="fr-CA"/>
        </w:rPr>
        <w:t xml:space="preserve"> </w:t>
      </w:r>
      <w:r w:rsidR="00AF1C12">
        <w:rPr>
          <w:lang w:val="fr-CA"/>
        </w:rPr>
        <w:t xml:space="preserve">Dans le contexte d’un contrôle de type </w:t>
      </w:r>
      <w:r w:rsidR="00AF1C12" w:rsidRPr="00AF1C12">
        <w:rPr>
          <w:i/>
          <w:lang w:val="fr-CA"/>
        </w:rPr>
        <w:t>Bodner</w:t>
      </w:r>
      <w:r w:rsidR="00AF1C12">
        <w:rPr>
          <w:lang w:val="fr-CA"/>
        </w:rPr>
        <w:t>, c</w:t>
      </w:r>
      <w:r w:rsidR="00AF1C12" w:rsidRPr="008D4B77">
        <w:rPr>
          <w:lang w:val="fr-CA"/>
        </w:rPr>
        <w:t xml:space="preserve">es considérations </w:t>
      </w:r>
      <w:r w:rsidR="00AF1C12">
        <w:rPr>
          <w:lang w:val="fr-CA"/>
        </w:rPr>
        <w:t>jouent</w:t>
      </w:r>
      <w:r w:rsidR="00AF1C12" w:rsidRPr="008D4B77">
        <w:rPr>
          <w:lang w:val="fr-CA"/>
        </w:rPr>
        <w:t xml:space="preserve"> dans les deux sens</w:t>
      </w:r>
      <w:r w:rsidR="00AF1C12">
        <w:rPr>
          <w:lang w:val="fr-CA"/>
        </w:rPr>
        <w:t xml:space="preserve">. Même si les contrôles de ce type </w:t>
      </w:r>
      <w:r w:rsidR="00AF1C12" w:rsidRPr="008D4B77">
        <w:rPr>
          <w:lang w:val="fr-CA"/>
        </w:rPr>
        <w:t xml:space="preserve">sont d’une grande importance, le fait qu’une des parties réclame la production d’un document confidentiel du Cabinet pertinent dans </w:t>
      </w:r>
      <w:r w:rsidR="00AF1C12">
        <w:rPr>
          <w:lang w:val="fr-CA"/>
        </w:rPr>
        <w:t xml:space="preserve">ce contexte </w:t>
      </w:r>
      <w:r w:rsidR="00AF1C12" w:rsidRPr="008D4B77">
        <w:rPr>
          <w:lang w:val="fr-CA"/>
        </w:rPr>
        <w:t>ne saurait, en soi, servir de fondement général à la divulgation.</w:t>
      </w:r>
      <w:r w:rsidR="00AF1C12">
        <w:rPr>
          <w:lang w:val="fr-CA"/>
        </w:rPr>
        <w:t xml:space="preserve"> </w:t>
      </w:r>
      <w:r w:rsidR="00AF1C12" w:rsidRPr="008D4B77">
        <w:rPr>
          <w:lang w:val="fr-CA"/>
        </w:rPr>
        <w:t xml:space="preserve">Au moment d’examiner la question de l’intérêt de l’administration de la justice, le tribunal doit </w:t>
      </w:r>
      <w:r w:rsidR="00AF1C12">
        <w:rPr>
          <w:lang w:val="fr-CA"/>
        </w:rPr>
        <w:t xml:space="preserve">donc </w:t>
      </w:r>
      <w:r w:rsidR="00AF1C12" w:rsidRPr="008D4B77">
        <w:rPr>
          <w:lang w:val="fr-CA"/>
        </w:rPr>
        <w:t xml:space="preserve">se concentrer sur la mesure dans laquelle le document a un rapport avec les </w:t>
      </w:r>
      <w:r w:rsidR="00AF1C12">
        <w:rPr>
          <w:lang w:val="fr-CA"/>
        </w:rPr>
        <w:t>questions e</w:t>
      </w:r>
      <w:r w:rsidR="00AF1C12" w:rsidRPr="008D4B77">
        <w:rPr>
          <w:lang w:val="fr-CA"/>
        </w:rPr>
        <w:t>n litige.</w:t>
      </w:r>
      <w:r w:rsidR="00AF1C12">
        <w:rPr>
          <w:lang w:val="fr-CA"/>
        </w:rPr>
        <w:t xml:space="preserve"> Si l</w:t>
      </w:r>
      <w:r w:rsidR="00AF1C12" w:rsidRPr="00FA00F2">
        <w:rPr>
          <w:lang w:val="fr-CA"/>
        </w:rPr>
        <w:t>e document</w:t>
      </w:r>
      <w:r w:rsidR="00AF1C12" w:rsidRPr="008D4B77">
        <w:rPr>
          <w:lang w:val="fr-CA"/>
        </w:rPr>
        <w:t xml:space="preserve"> tend à établir que le gouvernement a décidé de fournir publiquement des motifs trompeurs pour justifier sa réponse aux recommandations de la commission</w:t>
      </w:r>
      <w:r w:rsidR="00AF1C12">
        <w:rPr>
          <w:lang w:val="fr-CA"/>
        </w:rPr>
        <w:t>,</w:t>
      </w:r>
      <w:r w:rsidR="00AF1C12" w:rsidRPr="008D4B77">
        <w:rPr>
          <w:lang w:val="fr-CA"/>
        </w:rPr>
        <w:t xml:space="preserve"> qu’il s’est appuyé sur un fondement factuel comportant des lacunes fondamentales</w:t>
      </w:r>
      <w:r w:rsidR="00AF1C12">
        <w:rPr>
          <w:lang w:val="fr-CA"/>
        </w:rPr>
        <w:t>,</w:t>
      </w:r>
      <w:r w:rsidR="00AF1C12" w:rsidRPr="008D4B77">
        <w:rPr>
          <w:lang w:val="fr-CA"/>
        </w:rPr>
        <w:t xml:space="preserve"> </w:t>
      </w:r>
      <w:r w:rsidR="00AF1C12">
        <w:rPr>
          <w:lang w:val="fr-CA"/>
        </w:rPr>
        <w:t xml:space="preserve">qu’il a agi pour atteindre un objectif illégitime ou déguisé, ou </w:t>
      </w:r>
      <w:r w:rsidR="00AF1C12" w:rsidRPr="008D4B77">
        <w:rPr>
          <w:lang w:val="fr-CA"/>
        </w:rPr>
        <w:t xml:space="preserve">qu’il </w:t>
      </w:r>
      <w:r w:rsidR="00AF1C12">
        <w:rPr>
          <w:lang w:val="fr-CA"/>
        </w:rPr>
        <w:t>s’est montré indifférent ou irrespectueux</w:t>
      </w:r>
      <w:r w:rsidR="00AF1C12" w:rsidRPr="008D4B77">
        <w:rPr>
          <w:lang w:val="fr-CA"/>
        </w:rPr>
        <w:t xml:space="preserve"> envers le recours au </w:t>
      </w:r>
      <w:r w:rsidR="00AF1C12">
        <w:rPr>
          <w:lang w:val="fr-CA"/>
        </w:rPr>
        <w:t xml:space="preserve">mécanisme d’examen par une commission, cela portera si directement </w:t>
      </w:r>
      <w:r w:rsidR="00AF1C12" w:rsidRPr="008D4B77">
        <w:rPr>
          <w:lang w:val="fr-CA"/>
        </w:rPr>
        <w:t xml:space="preserve">— et </w:t>
      </w:r>
      <w:r w:rsidR="00AF1C12">
        <w:rPr>
          <w:lang w:val="fr-CA"/>
        </w:rPr>
        <w:t xml:space="preserve">de manière </w:t>
      </w:r>
      <w:r w:rsidR="00AF1C12" w:rsidRPr="00E21432">
        <w:rPr>
          <w:lang w:val="fr-CA"/>
        </w:rPr>
        <w:t>si déterminante</w:t>
      </w:r>
      <w:r w:rsidR="00AF1C12">
        <w:rPr>
          <w:lang w:val="fr-CA"/>
        </w:rPr>
        <w:t xml:space="preserve"> </w:t>
      </w:r>
      <w:r w:rsidR="00AF1C12" w:rsidRPr="00E21432">
        <w:rPr>
          <w:lang w:val="fr-CA"/>
        </w:rPr>
        <w:t xml:space="preserve">— sur </w:t>
      </w:r>
      <w:r w:rsidR="004C2E9B">
        <w:rPr>
          <w:lang w:val="fr-CA"/>
        </w:rPr>
        <w:t>l’issue du</w:t>
      </w:r>
      <w:r w:rsidR="00AF1C12" w:rsidRPr="008D4B77">
        <w:rPr>
          <w:lang w:val="fr-CA"/>
        </w:rPr>
        <w:t xml:space="preserve"> </w:t>
      </w:r>
      <w:r w:rsidR="00AF1C12">
        <w:rPr>
          <w:lang w:val="fr-CA"/>
        </w:rPr>
        <w:t>contrôle de type</w:t>
      </w:r>
      <w:r w:rsidR="00AF1C12" w:rsidRPr="008D4B77">
        <w:rPr>
          <w:lang w:val="fr-CA"/>
        </w:rPr>
        <w:t xml:space="preserve"> </w:t>
      </w:r>
      <w:r w:rsidR="00AF1C12" w:rsidRPr="008D4B77">
        <w:rPr>
          <w:i/>
          <w:lang w:val="fr-CA"/>
        </w:rPr>
        <w:t>Bodner</w:t>
      </w:r>
      <w:r w:rsidR="00AF1C12" w:rsidRPr="008D4B77">
        <w:rPr>
          <w:lang w:val="fr-CA"/>
        </w:rPr>
        <w:t xml:space="preserve"> que </w:t>
      </w:r>
      <w:r w:rsidR="00AF1C12">
        <w:rPr>
          <w:lang w:val="fr-CA"/>
        </w:rPr>
        <w:t>l’</w:t>
      </w:r>
      <w:r w:rsidR="00AF1C12" w:rsidRPr="008D4B77">
        <w:rPr>
          <w:lang w:val="fr-CA"/>
        </w:rPr>
        <w:t xml:space="preserve">exclusion </w:t>
      </w:r>
      <w:r w:rsidR="00AF1C12">
        <w:rPr>
          <w:lang w:val="fr-CA"/>
        </w:rPr>
        <w:t xml:space="preserve">du document en question </w:t>
      </w:r>
      <w:r w:rsidR="00AF1C12" w:rsidRPr="008D4B77">
        <w:rPr>
          <w:lang w:val="fr-CA"/>
        </w:rPr>
        <w:t>serait contraire à l’intérêt de l’administration de la justice</w:t>
      </w:r>
      <w:r w:rsidR="00AF1C12">
        <w:rPr>
          <w:lang w:val="fr-CA"/>
        </w:rPr>
        <w:t xml:space="preserve">. En revanche, si l’incidence d’un document du Cabinet </w:t>
      </w:r>
      <w:r w:rsidR="004C2E9B">
        <w:rPr>
          <w:lang w:val="fr-CA"/>
        </w:rPr>
        <w:t xml:space="preserve">sur le contrôle de type </w:t>
      </w:r>
      <w:r w:rsidR="004C2E9B" w:rsidRPr="004C2E9B">
        <w:rPr>
          <w:i/>
          <w:lang w:val="fr-CA"/>
        </w:rPr>
        <w:t>Bodner</w:t>
      </w:r>
      <w:r w:rsidR="004C2E9B">
        <w:rPr>
          <w:lang w:val="fr-CA"/>
        </w:rPr>
        <w:t xml:space="preserve"> </w:t>
      </w:r>
      <w:r w:rsidR="00AF1C12">
        <w:rPr>
          <w:lang w:val="fr-CA"/>
        </w:rPr>
        <w:t xml:space="preserve">est limitée et si son exclusion du dossier </w:t>
      </w:r>
      <w:r w:rsidR="00AF1C12" w:rsidRPr="008D4B77">
        <w:rPr>
          <w:lang w:val="fr-CA"/>
        </w:rPr>
        <w:t>p</w:t>
      </w:r>
      <w:r w:rsidR="00AF1C12">
        <w:rPr>
          <w:lang w:val="fr-CA"/>
        </w:rPr>
        <w:t>eut</w:t>
      </w:r>
      <w:r w:rsidR="00AF1C12" w:rsidRPr="008D4B77">
        <w:rPr>
          <w:lang w:val="fr-CA"/>
        </w:rPr>
        <w:t xml:space="preserve"> difficilement empêcher le tribunal </w:t>
      </w:r>
      <w:r w:rsidR="00AF1C12">
        <w:rPr>
          <w:lang w:val="fr-CA"/>
        </w:rPr>
        <w:t xml:space="preserve">de révision </w:t>
      </w:r>
      <w:r w:rsidR="00AF1C12" w:rsidRPr="008D4B77">
        <w:rPr>
          <w:lang w:val="fr-CA"/>
        </w:rPr>
        <w:t>de trancher au fond les questions en litige</w:t>
      </w:r>
      <w:r w:rsidR="00AF1C12">
        <w:rPr>
          <w:lang w:val="fr-CA"/>
        </w:rPr>
        <w:t>, i</w:t>
      </w:r>
      <w:r w:rsidR="00AF1C12" w:rsidRPr="008D4B77">
        <w:rPr>
          <w:lang w:val="fr-CA"/>
        </w:rPr>
        <w:t xml:space="preserve">l se pourrait que la valeur probante de cette preuve </w:t>
      </w:r>
      <w:r w:rsidR="00AF1C12">
        <w:rPr>
          <w:lang w:val="fr-CA"/>
        </w:rPr>
        <w:t>soit trop faible</w:t>
      </w:r>
      <w:r w:rsidR="00AF1C12" w:rsidRPr="008D4B77">
        <w:rPr>
          <w:lang w:val="fr-CA"/>
        </w:rPr>
        <w:t xml:space="preserve"> pour justifier une divulgation</w:t>
      </w:r>
      <w:r w:rsidR="00AF1C12">
        <w:rPr>
          <w:lang w:val="fr-CA"/>
        </w:rPr>
        <w:t xml:space="preserve">. </w:t>
      </w:r>
    </w:p>
    <w:p w14:paraId="3455CAEE" w14:textId="40788620" w:rsidR="006F5403" w:rsidRPr="00C06E3F" w:rsidRDefault="00AF1C12" w:rsidP="006F5403">
      <w:pPr>
        <w:pStyle w:val="SCCNormalDoubleSpacing"/>
        <w:spacing w:after="480"/>
        <w:rPr>
          <w:lang w:val="fr-CA"/>
        </w:rPr>
      </w:pPr>
      <w:r w:rsidRPr="004C2E9B">
        <w:rPr>
          <w:lang w:val="fr-CA"/>
        </w:rPr>
        <w:tab/>
      </w:r>
      <w:r w:rsidR="008A601B" w:rsidRPr="008A601B">
        <w:rPr>
          <w:lang w:val="fr-CA"/>
        </w:rPr>
        <w:t xml:space="preserve">En l’espèce, </w:t>
      </w:r>
      <w:r w:rsidR="008A601B">
        <w:rPr>
          <w:lang w:val="fr-CA"/>
        </w:rPr>
        <w:t xml:space="preserve">l’Association n’a pas fait la démonstration </w:t>
      </w:r>
      <w:r w:rsidR="008A601B" w:rsidRPr="008D4B77">
        <w:rPr>
          <w:lang w:val="fr-CA"/>
        </w:rPr>
        <w:t xml:space="preserve">préliminaire </w:t>
      </w:r>
      <w:r w:rsidR="008A601B">
        <w:rPr>
          <w:lang w:val="fr-CA"/>
        </w:rPr>
        <w:t>requise pour qu’un juge ordonne la production du</w:t>
      </w:r>
      <w:r w:rsidR="008A601B" w:rsidRPr="008D4B77">
        <w:rPr>
          <w:lang w:val="fr-CA"/>
        </w:rPr>
        <w:t xml:space="preserve"> document du Cabinet </w:t>
      </w:r>
      <w:r w:rsidR="008A601B">
        <w:rPr>
          <w:lang w:val="fr-CA"/>
        </w:rPr>
        <w:t xml:space="preserve">afin de le </w:t>
      </w:r>
      <w:r w:rsidR="008A601B">
        <w:rPr>
          <w:lang w:val="fr-CA"/>
        </w:rPr>
        <w:lastRenderedPageBreak/>
        <w:t>consulter.</w:t>
      </w:r>
      <w:r w:rsidR="006F5403" w:rsidRPr="008A601B">
        <w:rPr>
          <w:lang w:val="fr-CA"/>
        </w:rPr>
        <w:t xml:space="preserve"> </w:t>
      </w:r>
      <w:r w:rsidR="008A601B">
        <w:rPr>
          <w:lang w:val="fr-CA"/>
        </w:rPr>
        <w:t xml:space="preserve">L’Association </w:t>
      </w:r>
      <w:r w:rsidR="008A601B" w:rsidRPr="008D4B77">
        <w:rPr>
          <w:lang w:val="fr-CA"/>
        </w:rPr>
        <w:t xml:space="preserve">n’a fourni aucun élément de preuve ni signalé </w:t>
      </w:r>
      <w:r w:rsidR="008A601B">
        <w:rPr>
          <w:lang w:val="fr-CA"/>
        </w:rPr>
        <w:t>aucune</w:t>
      </w:r>
      <w:r w:rsidR="008A601B" w:rsidRPr="008D4B77">
        <w:rPr>
          <w:lang w:val="fr-CA"/>
        </w:rPr>
        <w:t xml:space="preserve"> circonstance </w:t>
      </w:r>
      <w:r w:rsidR="008A601B">
        <w:rPr>
          <w:lang w:val="fr-CA"/>
        </w:rPr>
        <w:t>donnant des raisons de</w:t>
      </w:r>
      <w:r w:rsidR="008A601B" w:rsidRPr="008D4B77">
        <w:rPr>
          <w:lang w:val="fr-CA"/>
        </w:rPr>
        <w:t xml:space="preserve"> croire que </w:t>
      </w:r>
      <w:r w:rsidR="008A601B">
        <w:rPr>
          <w:lang w:val="fr-CA"/>
        </w:rPr>
        <w:t>le mémoire au Cabinet</w:t>
      </w:r>
      <w:r w:rsidR="008A601B" w:rsidRPr="008D4B77">
        <w:rPr>
          <w:lang w:val="fr-CA"/>
        </w:rPr>
        <w:t xml:space="preserve"> </w:t>
      </w:r>
      <w:r w:rsidR="008A601B">
        <w:rPr>
          <w:lang w:val="fr-CA"/>
        </w:rPr>
        <w:t>tendrait à démontrer</w:t>
      </w:r>
      <w:r w:rsidR="008A601B" w:rsidRPr="008D4B77">
        <w:rPr>
          <w:lang w:val="fr-CA"/>
        </w:rPr>
        <w:t xml:space="preserve"> que </w:t>
      </w:r>
      <w:r w:rsidR="008A601B">
        <w:rPr>
          <w:lang w:val="fr-CA"/>
        </w:rPr>
        <w:t xml:space="preserve">le </w:t>
      </w:r>
      <w:r w:rsidR="008A601B" w:rsidRPr="008D4B77">
        <w:rPr>
          <w:lang w:val="fr-CA"/>
        </w:rPr>
        <w:t xml:space="preserve">gouvernement n’a pas satisfait </w:t>
      </w:r>
      <w:r w:rsidR="008A601B">
        <w:rPr>
          <w:lang w:val="fr-CA"/>
        </w:rPr>
        <w:t xml:space="preserve">à </w:t>
      </w:r>
      <w:r w:rsidR="008A601B" w:rsidRPr="00BE6708">
        <w:rPr>
          <w:lang w:val="fr-CA"/>
        </w:rPr>
        <w:t>la norme fixée</w:t>
      </w:r>
      <w:r w:rsidR="008A601B">
        <w:rPr>
          <w:lang w:val="fr-CA"/>
        </w:rPr>
        <w:t xml:space="preserve"> par l’arrêt</w:t>
      </w:r>
      <w:r w:rsidR="008A601B" w:rsidRPr="008D4B77">
        <w:rPr>
          <w:lang w:val="fr-CA"/>
        </w:rPr>
        <w:t xml:space="preserve"> </w:t>
      </w:r>
      <w:r w:rsidR="008A601B" w:rsidRPr="008D4B77">
        <w:rPr>
          <w:i/>
          <w:lang w:val="fr-CA"/>
        </w:rPr>
        <w:t>Bodner</w:t>
      </w:r>
      <w:r w:rsidR="008A601B" w:rsidRPr="008D4B77">
        <w:rPr>
          <w:lang w:val="fr-CA"/>
        </w:rPr>
        <w:t>.</w:t>
      </w:r>
      <w:r w:rsidR="00C06E3F">
        <w:rPr>
          <w:lang w:val="fr-CA"/>
        </w:rPr>
        <w:t xml:space="preserve"> Rien à la face même du dossier n’indique que le mémoire au Cabinet pourrait contenir des éléments de preuve qui tendraient à démontrer que le gouvernement n’a pas satisfait à une exigence constitutionnelle. En outre, il ne suffit pas d’</w:t>
      </w:r>
      <w:r w:rsidR="00C06E3F" w:rsidRPr="008D4B77">
        <w:rPr>
          <w:lang w:val="fr-CA"/>
        </w:rPr>
        <w:t>invoque</w:t>
      </w:r>
      <w:r w:rsidR="00C06E3F">
        <w:rPr>
          <w:lang w:val="fr-CA"/>
        </w:rPr>
        <w:t>r</w:t>
      </w:r>
      <w:r w:rsidR="00C06E3F" w:rsidRPr="008D4B77">
        <w:rPr>
          <w:lang w:val="fr-CA"/>
        </w:rPr>
        <w:t xml:space="preserve"> un précédent</w:t>
      </w:r>
      <w:r w:rsidR="00C06E3F">
        <w:rPr>
          <w:lang w:val="fr-CA"/>
        </w:rPr>
        <w:t xml:space="preserve"> dans lequel </w:t>
      </w:r>
      <w:r w:rsidR="00C06E3F" w:rsidRPr="008D4B77">
        <w:rPr>
          <w:lang w:val="fr-CA"/>
        </w:rPr>
        <w:t xml:space="preserve">le gouvernement avait fondé sa décision sur une considération </w:t>
      </w:r>
      <w:r w:rsidR="00C06E3F">
        <w:rPr>
          <w:lang w:val="fr-CA"/>
        </w:rPr>
        <w:t>illégitime —</w:t>
      </w:r>
      <w:r w:rsidR="00F061D2">
        <w:rPr>
          <w:lang w:val="fr-CA"/>
        </w:rPr>
        <w:t xml:space="preserve"> </w:t>
      </w:r>
      <w:r w:rsidR="00C06E3F">
        <w:rPr>
          <w:lang w:val="fr-CA"/>
        </w:rPr>
        <w:t xml:space="preserve">comme le révèle un </w:t>
      </w:r>
      <w:r w:rsidR="00C06E3F" w:rsidRPr="00930D3C">
        <w:rPr>
          <w:lang w:val="fr-CA"/>
        </w:rPr>
        <w:t>mémoire soumis antérieurement au Cabinet</w:t>
      </w:r>
      <w:r w:rsidR="00C06E3F">
        <w:rPr>
          <w:lang w:val="fr-CA"/>
        </w:rPr>
        <w:t xml:space="preserve"> produit en tant que partie au dossier — pour que le mémoire au Cabinet en cause en l’espèce soit pertinent. </w:t>
      </w:r>
      <w:r w:rsidR="00C06E3F" w:rsidRPr="008D4B77">
        <w:rPr>
          <w:lang w:val="fr-CA"/>
        </w:rPr>
        <w:t xml:space="preserve">Il faut davantage pour </w:t>
      </w:r>
      <w:r w:rsidR="00C06E3F">
        <w:rPr>
          <w:lang w:val="fr-CA"/>
        </w:rPr>
        <w:t xml:space="preserve">conclure à l’existence de raisons </w:t>
      </w:r>
      <w:r w:rsidR="00C06E3F" w:rsidRPr="008D4B77">
        <w:rPr>
          <w:lang w:val="fr-CA"/>
        </w:rPr>
        <w:t xml:space="preserve">de croire que </w:t>
      </w:r>
      <w:r w:rsidR="00C06E3F">
        <w:rPr>
          <w:lang w:val="fr-CA"/>
        </w:rPr>
        <w:t>le mémoire</w:t>
      </w:r>
      <w:r w:rsidR="00C06E3F" w:rsidRPr="008D4B77">
        <w:rPr>
          <w:lang w:val="fr-CA"/>
        </w:rPr>
        <w:t xml:space="preserve"> est susceptible de contenir des éléments de preuve qui tendraient à démontrer que le gouvernement n’a pas satisfait à une exigence décrite dans</w:t>
      </w:r>
      <w:r w:rsidR="00C06E3F">
        <w:rPr>
          <w:lang w:val="fr-CA"/>
        </w:rPr>
        <w:t xml:space="preserve"> l’arrêt</w:t>
      </w:r>
      <w:r w:rsidR="00C06E3F" w:rsidRPr="008D4B77">
        <w:rPr>
          <w:lang w:val="fr-CA"/>
        </w:rPr>
        <w:t xml:space="preserve"> </w:t>
      </w:r>
      <w:r w:rsidR="00C06E3F" w:rsidRPr="008D4B77">
        <w:rPr>
          <w:i/>
          <w:lang w:val="fr-CA"/>
        </w:rPr>
        <w:t>Bodner</w:t>
      </w:r>
      <w:r w:rsidR="00C06E3F">
        <w:rPr>
          <w:lang w:val="fr-CA"/>
        </w:rPr>
        <w:t>.</w:t>
      </w:r>
    </w:p>
    <w:p w14:paraId="5A56DFA1" w14:textId="7B6EA6A0" w:rsidR="006F5403" w:rsidRPr="00C06E3F" w:rsidRDefault="006F5403" w:rsidP="006F5403">
      <w:pPr>
        <w:pStyle w:val="SCCNormalDoubleSpacing"/>
        <w:spacing w:after="480"/>
        <w:rPr>
          <w:lang w:val="fr-CA"/>
        </w:rPr>
      </w:pPr>
      <w:r w:rsidRPr="008A601B">
        <w:rPr>
          <w:lang w:val="fr-CA"/>
        </w:rPr>
        <w:tab/>
      </w:r>
      <w:r w:rsidR="00C06E3F">
        <w:rPr>
          <w:lang w:val="fr-CA"/>
        </w:rPr>
        <w:t xml:space="preserve">Puisque l’Association </w:t>
      </w:r>
      <w:r w:rsidR="00C06E3F" w:rsidRPr="008D4B77">
        <w:rPr>
          <w:lang w:val="fr-CA"/>
        </w:rPr>
        <w:t xml:space="preserve">n’a pas fait la démonstration </w:t>
      </w:r>
      <w:r w:rsidR="00C06E3F">
        <w:rPr>
          <w:lang w:val="fr-CA"/>
        </w:rPr>
        <w:t xml:space="preserve">préliminaire </w:t>
      </w:r>
      <w:r w:rsidR="00C06E3F" w:rsidRPr="008D4B77">
        <w:rPr>
          <w:lang w:val="fr-CA"/>
        </w:rPr>
        <w:t>requise</w:t>
      </w:r>
      <w:r w:rsidR="00C06E3F">
        <w:rPr>
          <w:lang w:val="fr-CA"/>
        </w:rPr>
        <w:t xml:space="preserve">, </w:t>
      </w:r>
      <w:r w:rsidR="00C06E3F" w:rsidRPr="008D4B77">
        <w:rPr>
          <w:lang w:val="fr-CA"/>
        </w:rPr>
        <w:t xml:space="preserve">le procureur général </w:t>
      </w:r>
      <w:r w:rsidR="004C2E9B">
        <w:rPr>
          <w:lang w:val="fr-CA"/>
        </w:rPr>
        <w:t xml:space="preserve">n’a pas à </w:t>
      </w:r>
      <w:r w:rsidR="00C06E3F" w:rsidRPr="008D4B77">
        <w:rPr>
          <w:lang w:val="fr-CA"/>
        </w:rPr>
        <w:t>produi</w:t>
      </w:r>
      <w:r w:rsidR="004C2E9B">
        <w:rPr>
          <w:lang w:val="fr-CA"/>
        </w:rPr>
        <w:t>re</w:t>
      </w:r>
      <w:r w:rsidR="00C06E3F" w:rsidRPr="008D4B77">
        <w:rPr>
          <w:lang w:val="fr-CA"/>
        </w:rPr>
        <w:t xml:space="preserve"> le document</w:t>
      </w:r>
      <w:r w:rsidR="00C06E3F">
        <w:rPr>
          <w:lang w:val="fr-CA"/>
        </w:rPr>
        <w:t xml:space="preserve"> en vue de </w:t>
      </w:r>
      <w:r w:rsidR="00C06E3F" w:rsidRPr="009A6C08">
        <w:rPr>
          <w:lang w:val="fr-CA"/>
        </w:rPr>
        <w:t xml:space="preserve">son examen </w:t>
      </w:r>
      <w:r w:rsidR="00C06E3F">
        <w:rPr>
          <w:lang w:val="fr-CA"/>
        </w:rPr>
        <w:t>par la Cour</w:t>
      </w:r>
      <w:r w:rsidRPr="00C06E3F">
        <w:rPr>
          <w:lang w:val="fr-CA"/>
        </w:rPr>
        <w:t xml:space="preserve">. </w:t>
      </w:r>
      <w:r w:rsidR="00C06E3F" w:rsidRPr="008D4B77">
        <w:rPr>
          <w:lang w:val="fr-CA"/>
        </w:rPr>
        <w:t xml:space="preserve">Il est </w:t>
      </w:r>
      <w:r w:rsidR="00C06E3F">
        <w:rPr>
          <w:lang w:val="fr-CA"/>
        </w:rPr>
        <w:t>inutile</w:t>
      </w:r>
      <w:r w:rsidR="00C06E3F" w:rsidRPr="008D4B77">
        <w:rPr>
          <w:lang w:val="fr-CA"/>
        </w:rPr>
        <w:t xml:space="preserve"> de décider si </w:t>
      </w:r>
      <w:r w:rsidR="00E16448">
        <w:rPr>
          <w:lang w:val="fr-CA"/>
        </w:rPr>
        <w:t xml:space="preserve">toute </w:t>
      </w:r>
      <w:r w:rsidR="00C06E3F" w:rsidRPr="008D4B77">
        <w:rPr>
          <w:lang w:val="fr-CA"/>
        </w:rPr>
        <w:t>autre règle de preuve</w:t>
      </w:r>
      <w:r w:rsidR="00C06E3F">
        <w:rPr>
          <w:lang w:val="fr-CA"/>
        </w:rPr>
        <w:t>, comme l’immunité d’intérêt public,</w:t>
      </w:r>
      <w:r w:rsidR="00C06E3F" w:rsidRPr="008D4B77">
        <w:rPr>
          <w:lang w:val="fr-CA"/>
        </w:rPr>
        <w:t xml:space="preserve"> </w:t>
      </w:r>
      <w:r w:rsidR="00C06E3F">
        <w:rPr>
          <w:lang w:val="fr-CA"/>
        </w:rPr>
        <w:t>s’appliquerait</w:t>
      </w:r>
      <w:r w:rsidR="00C06E3F" w:rsidRPr="008D4B77">
        <w:rPr>
          <w:lang w:val="fr-CA"/>
        </w:rPr>
        <w:t xml:space="preserve"> </w:t>
      </w:r>
      <w:r w:rsidR="00C06E3F">
        <w:rPr>
          <w:lang w:val="fr-CA"/>
        </w:rPr>
        <w:t xml:space="preserve">de sorte que </w:t>
      </w:r>
      <w:r w:rsidR="00C06E3F" w:rsidRPr="008D4B77">
        <w:rPr>
          <w:lang w:val="fr-CA"/>
        </w:rPr>
        <w:t xml:space="preserve">le procureur général </w:t>
      </w:r>
      <w:r w:rsidR="00C06E3F">
        <w:rPr>
          <w:lang w:val="fr-CA"/>
        </w:rPr>
        <w:t>pourrait refuser</w:t>
      </w:r>
      <w:r w:rsidR="00C06E3F" w:rsidRPr="008D4B77">
        <w:rPr>
          <w:lang w:val="fr-CA"/>
        </w:rPr>
        <w:t xml:space="preserve"> de produire </w:t>
      </w:r>
      <w:r w:rsidR="00C06E3F">
        <w:rPr>
          <w:lang w:val="fr-CA"/>
        </w:rPr>
        <w:t>le mémoire au Cabinet</w:t>
      </w:r>
      <w:r w:rsidR="00C06E3F" w:rsidRPr="008D4B77">
        <w:rPr>
          <w:lang w:val="fr-CA"/>
        </w:rPr>
        <w:t>.</w:t>
      </w:r>
    </w:p>
    <w:p w14:paraId="6E2E2435" w14:textId="77777777" w:rsidR="004D7D95" w:rsidRPr="003C250D" w:rsidRDefault="004D7D95" w:rsidP="00413D29">
      <w:pPr>
        <w:pStyle w:val="SCCNormalDoubleSpacing"/>
        <w:spacing w:after="720" w:line="240" w:lineRule="auto"/>
        <w:rPr>
          <w:b/>
          <w:lang w:val="fr-CA"/>
        </w:rPr>
      </w:pPr>
      <w:r w:rsidRPr="003C250D">
        <w:rPr>
          <w:b/>
          <w:lang w:val="fr-CA"/>
        </w:rPr>
        <w:t>Jurisprudence</w:t>
      </w:r>
    </w:p>
    <w:p w14:paraId="7AF53AC4" w14:textId="423CC6B4" w:rsidR="004D7D95" w:rsidRPr="00144D17" w:rsidRDefault="004D7D95" w:rsidP="00413D29">
      <w:pPr>
        <w:pStyle w:val="SCCNormalDoubleSpacing"/>
        <w:spacing w:after="480"/>
        <w:rPr>
          <w:lang w:val="fr-CA"/>
        </w:rPr>
      </w:pPr>
      <w:r w:rsidRPr="003C250D">
        <w:rPr>
          <w:lang w:val="fr-CA"/>
        </w:rPr>
        <w:tab/>
      </w:r>
      <w:r w:rsidRPr="003C250D">
        <w:rPr>
          <w:b/>
          <w:lang w:val="fr-CA"/>
        </w:rPr>
        <w:t>Arrêts</w:t>
      </w:r>
      <w:r w:rsidR="00865E4B">
        <w:rPr>
          <w:b/>
          <w:lang w:val="fr-CA"/>
        </w:rPr>
        <w:t xml:space="preserve"> expliqués : </w:t>
      </w:r>
      <w:r w:rsidR="00865E4B" w:rsidRPr="003C250D">
        <w:rPr>
          <w:i/>
          <w:lang w:val="fr-CA"/>
        </w:rPr>
        <w:t>Assoc. des juges de la Cour provinciale du Nouveau</w:t>
      </w:r>
      <w:r w:rsidR="00865E4B">
        <w:rPr>
          <w:i/>
          <w:lang w:val="fr-CA"/>
        </w:rPr>
        <w:noBreakHyphen/>
      </w:r>
      <w:r w:rsidR="00865E4B" w:rsidRPr="003C250D">
        <w:rPr>
          <w:i/>
          <w:lang w:val="fr-CA"/>
        </w:rPr>
        <w:t>Brunswick c. Nouveau</w:t>
      </w:r>
      <w:r w:rsidR="00865E4B">
        <w:rPr>
          <w:i/>
          <w:lang w:val="fr-CA"/>
        </w:rPr>
        <w:noBreakHyphen/>
      </w:r>
      <w:r w:rsidR="00865E4B" w:rsidRPr="003C250D">
        <w:rPr>
          <w:i/>
          <w:lang w:val="fr-CA"/>
        </w:rPr>
        <w:t xml:space="preserve">Brunswick (Ministre de la Justice); Assoc. des juges de l’Ontario c. Ontario (Conseil de gestion); Bodner c. Alberta; Conférence des juges </w:t>
      </w:r>
      <w:r w:rsidR="00865E4B" w:rsidRPr="003C250D">
        <w:rPr>
          <w:i/>
          <w:lang w:val="fr-CA"/>
        </w:rPr>
        <w:lastRenderedPageBreak/>
        <w:t>du Québec c. Québec (Procureur général); Minc c. Québec (Procureur général)</w:t>
      </w:r>
      <w:r w:rsidR="00865E4B" w:rsidRPr="003C250D">
        <w:rPr>
          <w:lang w:val="fr-CA"/>
        </w:rPr>
        <w:t xml:space="preserve">, 2005 CSC 44, [2005] 2 R.C.S. 286; </w:t>
      </w:r>
      <w:r w:rsidR="00865E4B" w:rsidRPr="003C250D">
        <w:rPr>
          <w:i/>
          <w:lang w:val="fr-CA"/>
        </w:rPr>
        <w:t>Renvoi relatif à la rémunération des juges de la Cour provinciale de l’</w:t>
      </w:r>
      <w:r w:rsidR="00865E4B" w:rsidRPr="003C250D">
        <w:rPr>
          <w:bCs/>
          <w:i/>
          <w:lang w:val="fr-CA"/>
        </w:rPr>
        <w:t>Île</w:t>
      </w:r>
      <w:r w:rsidR="00865E4B">
        <w:rPr>
          <w:bCs/>
          <w:i/>
          <w:lang w:val="fr-CA"/>
        </w:rPr>
        <w:noBreakHyphen/>
      </w:r>
      <w:r w:rsidR="00865E4B" w:rsidRPr="003C250D">
        <w:rPr>
          <w:bCs/>
          <w:i/>
          <w:lang w:val="fr-CA"/>
        </w:rPr>
        <w:t>du</w:t>
      </w:r>
      <w:r w:rsidR="00865E4B">
        <w:rPr>
          <w:bCs/>
          <w:i/>
          <w:lang w:val="fr-CA"/>
        </w:rPr>
        <w:noBreakHyphen/>
      </w:r>
      <w:r w:rsidR="00865E4B" w:rsidRPr="003C250D">
        <w:rPr>
          <w:bCs/>
          <w:i/>
          <w:lang w:val="fr-CA"/>
        </w:rPr>
        <w:t>Prince</w:t>
      </w:r>
      <w:r w:rsidR="00865E4B">
        <w:rPr>
          <w:bCs/>
          <w:i/>
          <w:lang w:val="fr-CA"/>
        </w:rPr>
        <w:noBreakHyphen/>
      </w:r>
      <w:r w:rsidR="00865E4B" w:rsidRPr="003C250D">
        <w:rPr>
          <w:bCs/>
          <w:i/>
          <w:lang w:val="fr-CA"/>
        </w:rPr>
        <w:t>Édouard</w:t>
      </w:r>
      <w:r w:rsidR="00865E4B" w:rsidRPr="003C250D">
        <w:rPr>
          <w:lang w:val="fr-CA"/>
        </w:rPr>
        <w:t xml:space="preserve">, [1997] 3 R.C.S. 3; </w:t>
      </w:r>
      <w:r w:rsidR="00865E4B" w:rsidRPr="003C250D">
        <w:rPr>
          <w:i/>
          <w:lang w:val="fr-CA"/>
        </w:rPr>
        <w:t>Carey c. Ontario</w:t>
      </w:r>
      <w:r w:rsidR="00865E4B" w:rsidRPr="003C250D">
        <w:rPr>
          <w:lang w:val="fr-CA"/>
        </w:rPr>
        <w:t xml:space="preserve">, [1986] 2 R.C.S. 637; </w:t>
      </w:r>
      <w:r w:rsidR="00865E4B">
        <w:rPr>
          <w:b/>
          <w:lang w:val="fr-CA"/>
        </w:rPr>
        <w:t>arrêts</w:t>
      </w:r>
      <w:r w:rsidRPr="003C250D">
        <w:rPr>
          <w:b/>
          <w:lang w:val="fr-CA"/>
        </w:rPr>
        <w:t xml:space="preserve"> mentionnés</w:t>
      </w:r>
      <w:r w:rsidR="00413D29">
        <w:rPr>
          <w:b/>
          <w:lang w:val="fr-CA"/>
        </w:rPr>
        <w:t> :</w:t>
      </w:r>
      <w:r w:rsidRPr="003C250D">
        <w:rPr>
          <w:lang w:val="fr-CA"/>
        </w:rPr>
        <w:t xml:space="preserve"> </w:t>
      </w:r>
      <w:r w:rsidR="00951816" w:rsidRPr="003C250D">
        <w:rPr>
          <w:i/>
          <w:lang w:val="fr-CA"/>
        </w:rPr>
        <w:t>Nouvelle</w:t>
      </w:r>
      <w:r w:rsidR="00413D29">
        <w:rPr>
          <w:i/>
          <w:lang w:val="fr-CA"/>
        </w:rPr>
        <w:noBreakHyphen/>
      </w:r>
      <w:r w:rsidR="00E16448">
        <w:rPr>
          <w:i/>
          <w:lang w:val="fr-CA"/>
        </w:rPr>
        <w:t>Écosse (Procureur g</w:t>
      </w:r>
      <w:r w:rsidR="00951816" w:rsidRPr="003C250D">
        <w:rPr>
          <w:i/>
          <w:lang w:val="fr-CA"/>
        </w:rPr>
        <w:t xml:space="preserve">énéral) c. </w:t>
      </w:r>
      <w:r w:rsidR="00466060" w:rsidRPr="003C250D">
        <w:rPr>
          <w:i/>
          <w:lang w:val="fr-CA"/>
        </w:rPr>
        <w:t>Judges of the Provincial Court and Family Court of Nova Scotia</w:t>
      </w:r>
      <w:r w:rsidR="00951816" w:rsidRPr="003C250D">
        <w:rPr>
          <w:lang w:val="fr-CA"/>
        </w:rPr>
        <w:t xml:space="preserve">, 2020 CSC </w:t>
      </w:r>
      <w:r w:rsidR="00466060" w:rsidRPr="003C250D">
        <w:rPr>
          <w:lang w:val="fr-CA"/>
        </w:rPr>
        <w:t>21</w:t>
      </w:r>
      <w:r w:rsidR="006746A3">
        <w:rPr>
          <w:lang w:val="fr-CA"/>
        </w:rPr>
        <w:t>, [2020</w:t>
      </w:r>
      <w:r w:rsidR="006746A3" w:rsidRPr="003C250D">
        <w:rPr>
          <w:lang w:val="fr-CA"/>
        </w:rPr>
        <w:t>]</w:t>
      </w:r>
      <w:r w:rsidR="006746A3">
        <w:rPr>
          <w:lang w:val="fr-CA"/>
        </w:rPr>
        <w:t xml:space="preserve"> </w:t>
      </w:r>
      <w:r w:rsidR="0084012A">
        <w:rPr>
          <w:lang w:val="fr-CA"/>
        </w:rPr>
        <w:t>2</w:t>
      </w:r>
      <w:r w:rsidR="00342FC9">
        <w:rPr>
          <w:lang w:val="fr-CA"/>
        </w:rPr>
        <w:t xml:space="preserve"> </w:t>
      </w:r>
      <w:r w:rsidR="006746A3">
        <w:rPr>
          <w:lang w:val="fr-CA"/>
        </w:rPr>
        <w:t xml:space="preserve">R.C.S. </w:t>
      </w:r>
      <w:r w:rsidR="00784C41">
        <w:rPr>
          <w:lang w:val="fr-CA"/>
        </w:rPr>
        <w:t>556</w:t>
      </w:r>
      <w:r w:rsidR="00E40AC6" w:rsidRPr="003C250D">
        <w:rPr>
          <w:lang w:val="fr-CA"/>
        </w:rPr>
        <w:t>;</w:t>
      </w:r>
      <w:r w:rsidR="00951816" w:rsidRPr="003C250D">
        <w:rPr>
          <w:lang w:val="fr-CA"/>
        </w:rPr>
        <w:t xml:space="preserve"> </w:t>
      </w:r>
      <w:r w:rsidR="00951816" w:rsidRPr="003C250D">
        <w:rPr>
          <w:i/>
          <w:lang w:val="fr-CA"/>
        </w:rPr>
        <w:t>Stonechild, Re</w:t>
      </w:r>
      <w:r w:rsidR="00951816" w:rsidRPr="003C250D">
        <w:rPr>
          <w:lang w:val="fr-CA"/>
        </w:rPr>
        <w:t>, 2007 SKCA 74</w:t>
      </w:r>
      <w:r w:rsidR="00A933B5" w:rsidRPr="003C250D">
        <w:rPr>
          <w:lang w:val="fr-CA"/>
        </w:rPr>
        <w:t>, 304 Sask</w:t>
      </w:r>
      <w:r w:rsidR="00E16448">
        <w:rPr>
          <w:lang w:val="fr-CA"/>
        </w:rPr>
        <w:t>.</w:t>
      </w:r>
      <w:r w:rsidR="00A933B5" w:rsidRPr="003C250D">
        <w:rPr>
          <w:lang w:val="fr-CA"/>
        </w:rPr>
        <w:t xml:space="preserve"> R. 1</w:t>
      </w:r>
      <w:r w:rsidR="00951816" w:rsidRPr="003C250D">
        <w:rPr>
          <w:lang w:val="fr-CA"/>
        </w:rPr>
        <w:t xml:space="preserve">; </w:t>
      </w:r>
      <w:r w:rsidR="00951816" w:rsidRPr="003C250D">
        <w:rPr>
          <w:i/>
          <w:lang w:val="fr-CA"/>
        </w:rPr>
        <w:t>Beauregard c. Canada</w:t>
      </w:r>
      <w:r w:rsidR="00951816" w:rsidRPr="003C250D">
        <w:rPr>
          <w:lang w:val="fr-CA"/>
        </w:rPr>
        <w:t xml:space="preserve">, [1986] 2 R.C.S. 56; </w:t>
      </w:r>
      <w:r w:rsidR="00A933B5" w:rsidRPr="003C250D">
        <w:rPr>
          <w:i/>
          <w:lang w:val="fr-CA"/>
        </w:rPr>
        <w:t>Renvo</w:t>
      </w:r>
      <w:r w:rsidR="00E16448">
        <w:rPr>
          <w:i/>
          <w:lang w:val="fr-CA"/>
        </w:rPr>
        <w:t>i relatif à la Loi sur la Cour s</w:t>
      </w:r>
      <w:r w:rsidR="00A933B5" w:rsidRPr="003C250D">
        <w:rPr>
          <w:i/>
          <w:lang w:val="fr-CA"/>
        </w:rPr>
        <w:t xml:space="preserve">uprême, </w:t>
      </w:r>
      <w:r w:rsidR="00413D29">
        <w:rPr>
          <w:i/>
          <w:lang w:val="fr-CA"/>
        </w:rPr>
        <w:t>art. </w:t>
      </w:r>
      <w:r w:rsidR="00951816" w:rsidRPr="003C250D">
        <w:rPr>
          <w:i/>
          <w:lang w:val="fr-CA"/>
        </w:rPr>
        <w:t xml:space="preserve">5 </w:t>
      </w:r>
      <w:r w:rsidR="00A933B5" w:rsidRPr="003C250D">
        <w:rPr>
          <w:i/>
          <w:lang w:val="fr-CA"/>
        </w:rPr>
        <w:t>et</w:t>
      </w:r>
      <w:r w:rsidR="00951816" w:rsidRPr="003C250D">
        <w:rPr>
          <w:i/>
          <w:lang w:val="fr-CA"/>
        </w:rPr>
        <w:t xml:space="preserve"> 6</w:t>
      </w:r>
      <w:r w:rsidR="00951816" w:rsidRPr="003C250D">
        <w:rPr>
          <w:lang w:val="fr-CA"/>
        </w:rPr>
        <w:t xml:space="preserve">, 2014 CSC 21, [2014] 1 R.C.S. 433; </w:t>
      </w:r>
      <w:r w:rsidR="00951816" w:rsidRPr="003C250D">
        <w:rPr>
          <w:i/>
          <w:lang w:val="fr-CA"/>
        </w:rPr>
        <w:t>Conférence des juges de paix magistrats du Québec c. Québec (Procureur</w:t>
      </w:r>
      <w:r w:rsidR="004D4F1B">
        <w:rPr>
          <w:i/>
          <w:lang w:val="fr-CA"/>
        </w:rPr>
        <w:t>e</w:t>
      </w:r>
      <w:r w:rsidR="00951816" w:rsidRPr="003C250D">
        <w:rPr>
          <w:i/>
          <w:lang w:val="fr-CA"/>
        </w:rPr>
        <w:t xml:space="preserve"> général</w:t>
      </w:r>
      <w:r w:rsidR="004D4F1B">
        <w:rPr>
          <w:i/>
          <w:lang w:val="fr-CA"/>
        </w:rPr>
        <w:t>e</w:t>
      </w:r>
      <w:r w:rsidR="00951816" w:rsidRPr="003C250D">
        <w:rPr>
          <w:i/>
          <w:lang w:val="fr-CA"/>
        </w:rPr>
        <w:t>)</w:t>
      </w:r>
      <w:r w:rsidR="00951816" w:rsidRPr="003C250D">
        <w:rPr>
          <w:lang w:val="fr-CA"/>
        </w:rPr>
        <w:t xml:space="preserve">, 2016 CSC 39, [2016] 2 R.C.S. 116; </w:t>
      </w:r>
      <w:r w:rsidR="00951816" w:rsidRPr="003C250D">
        <w:rPr>
          <w:i/>
          <w:lang w:val="fr-CA"/>
        </w:rPr>
        <w:t>Ell c. Alberta</w:t>
      </w:r>
      <w:r w:rsidR="00951816" w:rsidRPr="003C250D">
        <w:rPr>
          <w:lang w:val="fr-CA"/>
        </w:rPr>
        <w:t xml:space="preserve">, 2003 CSC 35, [2003] 1 R.C.S. 857; </w:t>
      </w:r>
      <w:r w:rsidR="00951816" w:rsidRPr="003C250D">
        <w:rPr>
          <w:i/>
          <w:lang w:val="fr-CA"/>
        </w:rPr>
        <w:t xml:space="preserve">Mackin c. </w:t>
      </w:r>
      <w:r w:rsidR="009A68D6" w:rsidRPr="003C250D">
        <w:rPr>
          <w:i/>
          <w:lang w:val="fr-CA"/>
        </w:rPr>
        <w:t>Nouveau</w:t>
      </w:r>
      <w:r w:rsidR="00413D29">
        <w:rPr>
          <w:i/>
          <w:lang w:val="fr-CA"/>
        </w:rPr>
        <w:noBreakHyphen/>
      </w:r>
      <w:r w:rsidR="009A68D6" w:rsidRPr="003C250D">
        <w:rPr>
          <w:i/>
          <w:lang w:val="fr-CA"/>
        </w:rPr>
        <w:t>Brunswick (Ministre des Finances)</w:t>
      </w:r>
      <w:r w:rsidR="009A68D6" w:rsidRPr="003C250D">
        <w:rPr>
          <w:lang w:val="fr-CA"/>
        </w:rPr>
        <w:t>,</w:t>
      </w:r>
      <w:r w:rsidR="00951816" w:rsidRPr="003C250D">
        <w:rPr>
          <w:lang w:val="fr-CA"/>
        </w:rPr>
        <w:t xml:space="preserve"> 2002 CSC 13, [2002] 1 R.C.S. 405; </w:t>
      </w:r>
      <w:r w:rsidR="00E40AC6" w:rsidRPr="003C250D">
        <w:rPr>
          <w:i/>
          <w:lang w:val="fr-CA"/>
        </w:rPr>
        <w:t xml:space="preserve">Renvoi relatif au </w:t>
      </w:r>
      <w:r w:rsidR="004D4F1B">
        <w:rPr>
          <w:i/>
          <w:lang w:val="fr-CA"/>
        </w:rPr>
        <w:t>R</w:t>
      </w:r>
      <w:r w:rsidR="009A68D6" w:rsidRPr="003C250D">
        <w:rPr>
          <w:i/>
          <w:lang w:val="fr-CA"/>
        </w:rPr>
        <w:t>é</w:t>
      </w:r>
      <w:r w:rsidR="00E40AC6" w:rsidRPr="003C250D">
        <w:rPr>
          <w:i/>
          <w:lang w:val="fr-CA"/>
        </w:rPr>
        <w:t>gime d’assistance publique du Canada</w:t>
      </w:r>
      <w:r w:rsidR="00951816" w:rsidRPr="003C250D">
        <w:rPr>
          <w:i/>
          <w:lang w:val="fr-CA"/>
        </w:rPr>
        <w:t xml:space="preserve"> (</w:t>
      </w:r>
      <w:r w:rsidR="00E40AC6" w:rsidRPr="003C250D">
        <w:rPr>
          <w:i/>
          <w:lang w:val="fr-CA"/>
        </w:rPr>
        <w:t>C.</w:t>
      </w:r>
      <w:r w:rsidR="00413D29">
        <w:rPr>
          <w:i/>
          <w:lang w:val="fr-CA"/>
        </w:rPr>
        <w:noBreakHyphen/>
      </w:r>
      <w:r w:rsidR="00E40AC6" w:rsidRPr="003C250D">
        <w:rPr>
          <w:i/>
          <w:lang w:val="fr-CA"/>
        </w:rPr>
        <w:t>B</w:t>
      </w:r>
      <w:r w:rsidR="00951816" w:rsidRPr="003C250D">
        <w:rPr>
          <w:i/>
          <w:lang w:val="fr-CA"/>
        </w:rPr>
        <w:t>.)</w:t>
      </w:r>
      <w:r w:rsidR="00951816" w:rsidRPr="003C250D">
        <w:rPr>
          <w:lang w:val="fr-CA"/>
        </w:rPr>
        <w:t xml:space="preserve">, [1991] 2 R.C.S. 525; </w:t>
      </w:r>
      <w:r w:rsidR="00951816" w:rsidRPr="003C250D">
        <w:rPr>
          <w:i/>
          <w:lang w:val="fr-CA"/>
        </w:rPr>
        <w:t xml:space="preserve">Wells c. </w:t>
      </w:r>
      <w:r w:rsidR="009A68D6" w:rsidRPr="003C250D">
        <w:rPr>
          <w:i/>
          <w:lang w:val="fr-CA"/>
        </w:rPr>
        <w:t>Terre</w:t>
      </w:r>
      <w:r w:rsidR="00413D29">
        <w:rPr>
          <w:i/>
          <w:lang w:val="fr-CA"/>
        </w:rPr>
        <w:noBreakHyphen/>
      </w:r>
      <w:r w:rsidR="009A68D6" w:rsidRPr="003C250D">
        <w:rPr>
          <w:i/>
          <w:lang w:val="fr-CA"/>
        </w:rPr>
        <w:t>Neuve</w:t>
      </w:r>
      <w:r w:rsidR="00951816" w:rsidRPr="003C250D">
        <w:rPr>
          <w:lang w:val="fr-CA"/>
        </w:rPr>
        <w:t xml:space="preserve">, [1999] 3 R.C.S. 199; </w:t>
      </w:r>
      <w:r w:rsidR="00951816" w:rsidRPr="003C250D">
        <w:rPr>
          <w:i/>
          <w:lang w:val="fr-CA"/>
        </w:rPr>
        <w:t>Delios c. Canada (Procureur général)</w:t>
      </w:r>
      <w:r w:rsidR="00951816" w:rsidRPr="003C250D">
        <w:rPr>
          <w:lang w:val="fr-CA"/>
        </w:rPr>
        <w:t>, 2015 CA</w:t>
      </w:r>
      <w:r w:rsidR="00AB2445" w:rsidRPr="003C250D">
        <w:rPr>
          <w:lang w:val="fr-CA"/>
        </w:rPr>
        <w:t>F</w:t>
      </w:r>
      <w:r w:rsidR="00951816" w:rsidRPr="003C250D">
        <w:rPr>
          <w:lang w:val="fr-CA"/>
        </w:rPr>
        <w:t xml:space="preserve"> 117, </w:t>
      </w:r>
      <w:r w:rsidR="00E37564" w:rsidRPr="003C250D">
        <w:rPr>
          <w:lang w:val="fr-CA"/>
        </w:rPr>
        <w:t>100 Admin</w:t>
      </w:r>
      <w:r w:rsidR="008B587B">
        <w:rPr>
          <w:lang w:val="fr-CA"/>
        </w:rPr>
        <w:t>.</w:t>
      </w:r>
      <w:r w:rsidR="00E37564" w:rsidRPr="003C250D">
        <w:rPr>
          <w:lang w:val="fr-CA"/>
        </w:rPr>
        <w:t xml:space="preserve"> </w:t>
      </w:r>
      <w:r w:rsidR="00E37564" w:rsidRPr="008B587B">
        <w:t>L.R. (5th) 301</w:t>
      </w:r>
      <w:r w:rsidR="00951816" w:rsidRPr="008B587B">
        <w:t xml:space="preserve">; </w:t>
      </w:r>
      <w:r w:rsidR="00951816" w:rsidRPr="008B587B">
        <w:rPr>
          <w:i/>
        </w:rPr>
        <w:t>Sobeys West Inc. c. College of Pharmacists of British Columbia</w:t>
      </w:r>
      <w:r w:rsidR="00951816" w:rsidRPr="008B587B">
        <w:t xml:space="preserve">, 2016 BCCA 41, 80 B.C.L.R. (5th) 243; </w:t>
      </w:r>
      <w:r w:rsidR="00951816" w:rsidRPr="008B587B">
        <w:rPr>
          <w:i/>
        </w:rPr>
        <w:t>R. c. White</w:t>
      </w:r>
      <w:r w:rsidR="00951816" w:rsidRPr="008B587B">
        <w:t xml:space="preserve">, 2011 CSC 13, [2011] 1 R.C.S. 433; </w:t>
      </w:r>
      <w:r w:rsidR="00684A78" w:rsidRPr="008B587B">
        <w:rPr>
          <w:i/>
        </w:rPr>
        <w:t>Bande indienne des Lax Kw’alaams c. Canada (Procureur général)</w:t>
      </w:r>
      <w:r w:rsidR="00684A78" w:rsidRPr="008B587B">
        <w:t xml:space="preserve">, 2011 CSC 56, [2011] 3 R.C.S. 535; </w:t>
      </w:r>
      <w:r w:rsidR="00951816" w:rsidRPr="008B587B">
        <w:rPr>
          <w:i/>
        </w:rPr>
        <w:t>Pro</w:t>
      </w:r>
      <w:r w:rsidR="004D4F1B" w:rsidRPr="008B587B">
        <w:rPr>
          <w:i/>
        </w:rPr>
        <w:t>vincial Court Judges’ Ass</w:t>
      </w:r>
      <w:r w:rsidR="00951816" w:rsidRPr="008B587B">
        <w:rPr>
          <w:i/>
        </w:rPr>
        <w:t>n</w:t>
      </w:r>
      <w:r w:rsidR="006746A3" w:rsidRPr="008B587B">
        <w:rPr>
          <w:i/>
        </w:rPr>
        <w:t>.</w:t>
      </w:r>
      <w:r w:rsidR="00951816" w:rsidRPr="008B587B">
        <w:rPr>
          <w:i/>
        </w:rPr>
        <w:t xml:space="preserve"> of British Columbia c. British Columbia (Attorney General)</w:t>
      </w:r>
      <w:r w:rsidR="00951816" w:rsidRPr="008B587B">
        <w:t>, 2012 BCSC 1022</w:t>
      </w:r>
      <w:r w:rsidR="004D4F1B" w:rsidRPr="008B587B">
        <w:t>, 39 Admin</w:t>
      </w:r>
      <w:r w:rsidR="008B587B" w:rsidRPr="008B587B">
        <w:t>.</w:t>
      </w:r>
      <w:r w:rsidR="004D4F1B" w:rsidRPr="008B587B">
        <w:t xml:space="preserve"> </w:t>
      </w:r>
      <w:r w:rsidR="004D4F1B">
        <w:rPr>
          <w:lang w:val="fr-CA"/>
        </w:rPr>
        <w:t>L.R. (5th) 130</w:t>
      </w:r>
      <w:r w:rsidR="00951816" w:rsidRPr="003C250D">
        <w:rPr>
          <w:lang w:val="fr-CA"/>
        </w:rPr>
        <w:t xml:space="preserve">; </w:t>
      </w:r>
      <w:r w:rsidR="00951816" w:rsidRPr="003C250D">
        <w:rPr>
          <w:i/>
          <w:lang w:val="fr-CA"/>
        </w:rPr>
        <w:t>Canada (</w:t>
      </w:r>
      <w:r w:rsidR="009A68D6" w:rsidRPr="003C250D">
        <w:rPr>
          <w:i/>
          <w:lang w:val="fr-CA"/>
        </w:rPr>
        <w:t>Vérificateur général) c</w:t>
      </w:r>
      <w:r w:rsidR="00951816" w:rsidRPr="003C250D">
        <w:rPr>
          <w:i/>
          <w:lang w:val="fr-CA"/>
        </w:rPr>
        <w:t>. Canada (</w:t>
      </w:r>
      <w:r w:rsidR="009A68D6" w:rsidRPr="003C250D">
        <w:rPr>
          <w:i/>
          <w:lang w:val="fr-CA"/>
        </w:rPr>
        <w:t>Ministre de l’Énergie, des Mines et des Ressources</w:t>
      </w:r>
      <w:r w:rsidR="00951816" w:rsidRPr="003C250D">
        <w:rPr>
          <w:i/>
          <w:lang w:val="fr-CA"/>
        </w:rPr>
        <w:t>)</w:t>
      </w:r>
      <w:r w:rsidR="00951816" w:rsidRPr="003C250D">
        <w:rPr>
          <w:lang w:val="fr-CA"/>
        </w:rPr>
        <w:t xml:space="preserve">, [1989] 2 R.C.S. 49; </w:t>
      </w:r>
      <w:r w:rsidR="00951816" w:rsidRPr="003C250D">
        <w:rPr>
          <w:i/>
          <w:lang w:val="fr-CA"/>
        </w:rPr>
        <w:t xml:space="preserve">Fraser c. </w:t>
      </w:r>
      <w:r w:rsidR="009A68D6" w:rsidRPr="003C250D">
        <w:rPr>
          <w:i/>
          <w:lang w:val="fr-CA"/>
        </w:rPr>
        <w:t>Commission des relations de travail dans la Fonction publique</w:t>
      </w:r>
      <w:r w:rsidR="00951816" w:rsidRPr="003C250D">
        <w:rPr>
          <w:lang w:val="fr-CA"/>
        </w:rPr>
        <w:t xml:space="preserve">, [1985] 2 R.C.S. 455; </w:t>
      </w:r>
      <w:r w:rsidR="00951816" w:rsidRPr="003C250D">
        <w:rPr>
          <w:i/>
          <w:lang w:val="fr-CA"/>
        </w:rPr>
        <w:t xml:space="preserve">New Brunswick </w:t>
      </w:r>
      <w:r w:rsidR="00AB2445" w:rsidRPr="003C250D">
        <w:rPr>
          <w:i/>
          <w:lang w:val="fr-CA"/>
        </w:rPr>
        <w:t>Broadcasting Co. c</w:t>
      </w:r>
      <w:r w:rsidR="00951816" w:rsidRPr="003C250D">
        <w:rPr>
          <w:i/>
          <w:lang w:val="fr-CA"/>
        </w:rPr>
        <w:t xml:space="preserve">. </w:t>
      </w:r>
      <w:r w:rsidR="009A68D6" w:rsidRPr="003C250D">
        <w:rPr>
          <w:i/>
          <w:lang w:val="fr-CA"/>
        </w:rPr>
        <w:t>Nouvelle</w:t>
      </w:r>
      <w:r w:rsidR="00413D29">
        <w:rPr>
          <w:i/>
          <w:lang w:val="fr-CA"/>
        </w:rPr>
        <w:noBreakHyphen/>
      </w:r>
      <w:r w:rsidR="009A68D6" w:rsidRPr="003C250D">
        <w:rPr>
          <w:i/>
          <w:lang w:val="fr-CA"/>
        </w:rPr>
        <w:t>Écosse</w:t>
      </w:r>
      <w:r w:rsidR="00951816" w:rsidRPr="003C250D">
        <w:rPr>
          <w:i/>
          <w:lang w:val="fr-CA"/>
        </w:rPr>
        <w:t xml:space="preserve"> (</w:t>
      </w:r>
      <w:r w:rsidR="009A68D6" w:rsidRPr="003C250D">
        <w:rPr>
          <w:i/>
          <w:lang w:val="fr-CA"/>
        </w:rPr>
        <w:t>Président de l’Assemblée législative</w:t>
      </w:r>
      <w:r w:rsidR="00951816" w:rsidRPr="003C250D">
        <w:rPr>
          <w:i/>
          <w:lang w:val="fr-CA"/>
        </w:rPr>
        <w:t>)</w:t>
      </w:r>
      <w:r w:rsidR="00951816" w:rsidRPr="003C250D">
        <w:rPr>
          <w:lang w:val="fr-CA"/>
        </w:rPr>
        <w:t xml:space="preserve">, [1993] 1 R.C.S. 319; </w:t>
      </w:r>
      <w:r w:rsidR="00951816" w:rsidRPr="003C250D">
        <w:rPr>
          <w:i/>
          <w:lang w:val="fr-CA"/>
        </w:rPr>
        <w:t>Doucet</w:t>
      </w:r>
      <w:r w:rsidR="00413D29">
        <w:rPr>
          <w:i/>
          <w:lang w:val="fr-CA"/>
        </w:rPr>
        <w:noBreakHyphen/>
      </w:r>
      <w:r w:rsidR="00951816" w:rsidRPr="003C250D">
        <w:rPr>
          <w:i/>
          <w:lang w:val="fr-CA"/>
        </w:rPr>
        <w:t xml:space="preserve">Boudreau c. </w:t>
      </w:r>
      <w:r w:rsidR="00AB2445" w:rsidRPr="003C250D">
        <w:rPr>
          <w:i/>
          <w:lang w:val="fr-CA"/>
        </w:rPr>
        <w:t>Nouvelle</w:t>
      </w:r>
      <w:r w:rsidR="00413D29">
        <w:rPr>
          <w:i/>
          <w:lang w:val="fr-CA"/>
        </w:rPr>
        <w:noBreakHyphen/>
      </w:r>
      <w:r w:rsidR="00AB2445" w:rsidRPr="003C250D">
        <w:rPr>
          <w:i/>
          <w:lang w:val="fr-CA"/>
        </w:rPr>
        <w:t>Écosse (Ministre de l’Éducation)</w:t>
      </w:r>
      <w:r w:rsidR="00951816" w:rsidRPr="003C250D">
        <w:rPr>
          <w:lang w:val="fr-CA"/>
        </w:rPr>
        <w:t xml:space="preserve">, 2003 CSC 62, [2003] 3 R.C.S. 3; </w:t>
      </w:r>
      <w:r w:rsidR="00951816" w:rsidRPr="003C250D">
        <w:rPr>
          <w:i/>
          <w:lang w:val="fr-CA"/>
        </w:rPr>
        <w:t xml:space="preserve">Ontario c. Criminal </w:t>
      </w:r>
      <w:r w:rsidR="00951816" w:rsidRPr="003C250D">
        <w:rPr>
          <w:i/>
          <w:lang w:val="fr-CA"/>
        </w:rPr>
        <w:lastRenderedPageBreak/>
        <w:t>Lawyers’ Association of Ontario</w:t>
      </w:r>
      <w:r w:rsidR="00951816" w:rsidRPr="003C250D">
        <w:rPr>
          <w:lang w:val="fr-CA"/>
        </w:rPr>
        <w:t xml:space="preserve">, 2013 CSC 43, [2013] 3 R.C.S. 3; </w:t>
      </w:r>
      <w:r w:rsidR="00951816" w:rsidRPr="003C250D">
        <w:rPr>
          <w:i/>
          <w:lang w:val="fr-CA"/>
        </w:rPr>
        <w:t>MacKeigan c. Hickman</w:t>
      </w:r>
      <w:r w:rsidR="00951816" w:rsidRPr="003C250D">
        <w:rPr>
          <w:lang w:val="fr-CA"/>
        </w:rPr>
        <w:t xml:space="preserve">, [1989] 2 R.C.S. 796; </w:t>
      </w:r>
      <w:r w:rsidR="00951816" w:rsidRPr="003C250D">
        <w:rPr>
          <w:i/>
          <w:lang w:val="fr-CA"/>
        </w:rPr>
        <w:t>Canada (</w:t>
      </w:r>
      <w:r w:rsidR="009A68D6" w:rsidRPr="003C250D">
        <w:rPr>
          <w:i/>
          <w:lang w:val="fr-CA"/>
        </w:rPr>
        <w:t>Chambre des communes</w:t>
      </w:r>
      <w:r w:rsidR="00951816" w:rsidRPr="003C250D">
        <w:rPr>
          <w:i/>
          <w:lang w:val="fr-CA"/>
        </w:rPr>
        <w:t>) c. Vaid</w:t>
      </w:r>
      <w:r w:rsidR="00951816" w:rsidRPr="003C250D">
        <w:rPr>
          <w:lang w:val="fr-CA"/>
        </w:rPr>
        <w:t xml:space="preserve">, 2005 CSC 30, [2005] 1 R.C.S. 667; </w:t>
      </w:r>
      <w:r w:rsidR="00951816" w:rsidRPr="003C250D">
        <w:rPr>
          <w:i/>
          <w:lang w:val="fr-CA"/>
        </w:rPr>
        <w:t>Chagnon c. Syndicat de la fonction publique et parapublique du Québec</w:t>
      </w:r>
      <w:r w:rsidR="00951816" w:rsidRPr="003C250D">
        <w:rPr>
          <w:lang w:val="fr-CA"/>
        </w:rPr>
        <w:t xml:space="preserve">, 2018 CSC 39, [2018] 2 R.C.S. 687; </w:t>
      </w:r>
      <w:r w:rsidR="00A933B5" w:rsidRPr="003C250D">
        <w:rPr>
          <w:i/>
          <w:lang w:val="fr-CA"/>
        </w:rPr>
        <w:t>Renvoi</w:t>
      </w:r>
      <w:r w:rsidR="00413D29">
        <w:rPr>
          <w:i/>
          <w:lang w:val="fr-CA"/>
        </w:rPr>
        <w:t> :</w:t>
      </w:r>
      <w:r w:rsidR="00A933B5" w:rsidRPr="003C250D">
        <w:rPr>
          <w:i/>
          <w:lang w:val="fr-CA"/>
        </w:rPr>
        <w:t xml:space="preserve"> Résolution pour modifier la Constitution</w:t>
      </w:r>
      <w:r w:rsidR="00951816" w:rsidRPr="003C250D">
        <w:rPr>
          <w:lang w:val="fr-CA"/>
        </w:rPr>
        <w:t xml:space="preserve">, [1981] 1 R.C.S. 753; </w:t>
      </w:r>
      <w:r w:rsidR="00A933B5" w:rsidRPr="003C250D">
        <w:rPr>
          <w:i/>
          <w:lang w:val="fr-CA"/>
        </w:rPr>
        <w:t>Renvoi relatif à la sécession du Qué</w:t>
      </w:r>
      <w:r w:rsidR="00951816" w:rsidRPr="003C250D">
        <w:rPr>
          <w:i/>
          <w:lang w:val="fr-CA"/>
        </w:rPr>
        <w:t>bec</w:t>
      </w:r>
      <w:r w:rsidR="00951816" w:rsidRPr="003C250D">
        <w:rPr>
          <w:lang w:val="fr-CA"/>
        </w:rPr>
        <w:t xml:space="preserve">, [1998] 2 R.C.S. 217; </w:t>
      </w:r>
      <w:r w:rsidR="00951816" w:rsidRPr="003C250D">
        <w:rPr>
          <w:i/>
          <w:lang w:val="fr-CA"/>
        </w:rPr>
        <w:t>Babcock c. Canada (Procureur général)</w:t>
      </w:r>
      <w:r w:rsidR="00951816" w:rsidRPr="003C250D">
        <w:rPr>
          <w:lang w:val="fr-CA"/>
        </w:rPr>
        <w:t>, 2002 CSC 57, [2002] 3 R.C.S. 3;</w:t>
      </w:r>
      <w:r w:rsidR="00A86840" w:rsidRPr="003C250D">
        <w:rPr>
          <w:lang w:val="fr-CA"/>
        </w:rPr>
        <w:t xml:space="preserve"> </w:t>
      </w:r>
      <w:r w:rsidR="001A1F99" w:rsidRPr="003C250D">
        <w:rPr>
          <w:i/>
          <w:lang w:val="fr-CA"/>
        </w:rPr>
        <w:t>Renvoi relatif à la r</w:t>
      </w:r>
      <w:r w:rsidR="00A602B3" w:rsidRPr="003C250D">
        <w:rPr>
          <w:i/>
          <w:lang w:val="fr-CA"/>
        </w:rPr>
        <w:t>émuné</w:t>
      </w:r>
      <w:r w:rsidR="001A1F99" w:rsidRPr="003C250D">
        <w:rPr>
          <w:i/>
          <w:lang w:val="fr-CA"/>
        </w:rPr>
        <w:t>ration des juges de la Cour provinciale de l’Île</w:t>
      </w:r>
      <w:r w:rsidR="00413D29">
        <w:rPr>
          <w:i/>
          <w:lang w:val="fr-CA"/>
        </w:rPr>
        <w:noBreakHyphen/>
      </w:r>
      <w:r w:rsidR="001A1F99" w:rsidRPr="003C250D">
        <w:rPr>
          <w:i/>
          <w:lang w:val="fr-CA"/>
        </w:rPr>
        <w:t>du</w:t>
      </w:r>
      <w:r w:rsidR="00413D29">
        <w:rPr>
          <w:i/>
          <w:lang w:val="fr-CA"/>
        </w:rPr>
        <w:noBreakHyphen/>
      </w:r>
      <w:r w:rsidR="001A1F99" w:rsidRPr="003C250D">
        <w:rPr>
          <w:i/>
          <w:lang w:val="fr-CA"/>
        </w:rPr>
        <w:t>Prince</w:t>
      </w:r>
      <w:r w:rsidR="00413D29">
        <w:rPr>
          <w:i/>
          <w:lang w:val="fr-CA"/>
        </w:rPr>
        <w:noBreakHyphen/>
      </w:r>
      <w:r w:rsidR="001A1F99" w:rsidRPr="003C250D">
        <w:rPr>
          <w:i/>
          <w:lang w:val="fr-CA"/>
        </w:rPr>
        <w:t>Édouard</w:t>
      </w:r>
      <w:r w:rsidR="00A86840" w:rsidRPr="003C250D">
        <w:rPr>
          <w:lang w:val="fr-CA"/>
        </w:rPr>
        <w:t>, [1998] 1 R.C.S. 3;</w:t>
      </w:r>
      <w:r w:rsidR="00951816" w:rsidRPr="003C250D">
        <w:rPr>
          <w:lang w:val="fr-CA"/>
        </w:rPr>
        <w:t xml:space="preserve"> </w:t>
      </w:r>
      <w:r w:rsidR="00951816" w:rsidRPr="003C250D">
        <w:rPr>
          <w:i/>
          <w:lang w:val="fr-CA"/>
        </w:rPr>
        <w:t>Québec (Commission des droits de la personne) c. Procureur général du Canada</w:t>
      </w:r>
      <w:r w:rsidR="00951816" w:rsidRPr="003C250D">
        <w:rPr>
          <w:lang w:val="fr-CA"/>
        </w:rPr>
        <w:t xml:space="preserve">, [1982] 1 R.C.S. 215; </w:t>
      </w:r>
      <w:r w:rsidR="00951816" w:rsidRPr="003C250D">
        <w:rPr>
          <w:i/>
          <w:lang w:val="fr-CA"/>
        </w:rPr>
        <w:t>R. c. D.L.W.</w:t>
      </w:r>
      <w:r w:rsidR="00951816" w:rsidRPr="003C250D">
        <w:rPr>
          <w:lang w:val="fr-CA"/>
        </w:rPr>
        <w:t xml:space="preserve">, 2016 CSC 22, [2016] 1 R.C.S. 402; </w:t>
      </w:r>
      <w:r w:rsidR="00951816" w:rsidRPr="003C250D">
        <w:rPr>
          <w:i/>
          <w:lang w:val="fr-CA"/>
        </w:rPr>
        <w:t>R. c. Ahmad</w:t>
      </w:r>
      <w:r w:rsidR="00951816" w:rsidRPr="003C250D">
        <w:rPr>
          <w:lang w:val="fr-CA"/>
        </w:rPr>
        <w:t xml:space="preserve">, 2011 CSC 6, [2011] 1 R.C.S. 110; </w:t>
      </w:r>
      <w:r w:rsidR="00951816" w:rsidRPr="003C250D">
        <w:rPr>
          <w:i/>
          <w:lang w:val="fr-CA"/>
        </w:rPr>
        <w:t>Smallwood c. Sparling</w:t>
      </w:r>
      <w:r w:rsidR="00951816" w:rsidRPr="003C250D">
        <w:rPr>
          <w:lang w:val="fr-CA"/>
        </w:rPr>
        <w:t xml:space="preserve">, [1982] 2 R.C.S. 686; </w:t>
      </w:r>
      <w:r w:rsidR="00951816" w:rsidRPr="003C250D">
        <w:rPr>
          <w:i/>
          <w:lang w:val="fr-CA"/>
        </w:rPr>
        <w:t>Bisaillon c. Keable</w:t>
      </w:r>
      <w:r w:rsidR="00951816" w:rsidRPr="003C250D">
        <w:rPr>
          <w:lang w:val="fr-CA"/>
        </w:rPr>
        <w:t xml:space="preserve">, [1983] 2 R.C.S. 60; </w:t>
      </w:r>
      <w:r w:rsidR="00951816" w:rsidRPr="003C250D">
        <w:rPr>
          <w:i/>
          <w:szCs w:val="24"/>
          <w:lang w:val="fr-CA"/>
        </w:rPr>
        <w:t>Ainsworth Lumber Co. c. Canada (Attorney General)</w:t>
      </w:r>
      <w:r w:rsidR="00951816" w:rsidRPr="003C250D">
        <w:rPr>
          <w:szCs w:val="24"/>
          <w:lang w:val="fr-CA"/>
        </w:rPr>
        <w:t xml:space="preserve">, 2003 BCCA 239, 14 B.C.L.R. (4th) </w:t>
      </w:r>
      <w:r w:rsidR="00951816" w:rsidRPr="00144D17">
        <w:rPr>
          <w:szCs w:val="24"/>
          <w:lang w:val="fr-CA"/>
        </w:rPr>
        <w:t xml:space="preserve">302; </w:t>
      </w:r>
      <w:r w:rsidR="00951816" w:rsidRPr="00144D17">
        <w:rPr>
          <w:i/>
          <w:szCs w:val="24"/>
          <w:lang w:val="fr-CA"/>
        </w:rPr>
        <w:t>Telezone Inc. c. Canada (Attorney General)</w:t>
      </w:r>
      <w:r w:rsidR="00951816" w:rsidRPr="00144D17">
        <w:rPr>
          <w:szCs w:val="24"/>
          <w:lang w:val="fr-CA"/>
        </w:rPr>
        <w:t xml:space="preserve"> (2004), 69 O.R. (3d) 161; </w:t>
      </w:r>
      <w:r w:rsidR="00951816" w:rsidRPr="00144D17">
        <w:rPr>
          <w:i/>
          <w:lang w:val="fr-CA"/>
        </w:rPr>
        <w:t>Michaud c. Québec (Procureur général)</w:t>
      </w:r>
      <w:r w:rsidR="00951816" w:rsidRPr="00144D17">
        <w:rPr>
          <w:lang w:val="fr-CA"/>
        </w:rPr>
        <w:t xml:space="preserve">, [1996] 3 R.C.S. 3; </w:t>
      </w:r>
      <w:r w:rsidR="00951816" w:rsidRPr="00144D17">
        <w:rPr>
          <w:i/>
          <w:lang w:val="fr-CA"/>
        </w:rPr>
        <w:t>R. c. Barros</w:t>
      </w:r>
      <w:r w:rsidR="00951816" w:rsidRPr="00144D17">
        <w:rPr>
          <w:lang w:val="fr-CA"/>
        </w:rPr>
        <w:t xml:space="preserve">, 2011 CSC 51, [2011] 3 R.C.S. 368; </w:t>
      </w:r>
      <w:r w:rsidR="00951816" w:rsidRPr="00144D17">
        <w:rPr>
          <w:i/>
          <w:lang w:val="fr-CA"/>
        </w:rPr>
        <w:t>Somerville c. Scottish Ministers</w:t>
      </w:r>
      <w:r w:rsidR="00951816" w:rsidRPr="00144D17">
        <w:rPr>
          <w:lang w:val="fr-CA"/>
        </w:rPr>
        <w:t xml:space="preserve">, [2007] UKHL 44, [2007] 1 W.L.R. 2734; </w:t>
      </w:r>
      <w:r w:rsidR="00951816" w:rsidRPr="00144D17">
        <w:rPr>
          <w:i/>
          <w:lang w:val="fr-CA"/>
        </w:rPr>
        <w:t>Al Rawi c. Security Service</w:t>
      </w:r>
      <w:r w:rsidR="00951816" w:rsidRPr="00144D17">
        <w:rPr>
          <w:lang w:val="fr-CA"/>
        </w:rPr>
        <w:t xml:space="preserve">, [2011] UKSC 34, [2012] 1 A.C. 531; </w:t>
      </w:r>
      <w:r w:rsidR="00951816" w:rsidRPr="00144D17">
        <w:rPr>
          <w:i/>
          <w:lang w:val="fr-CA"/>
        </w:rPr>
        <w:t>Conway c. Rimmer</w:t>
      </w:r>
      <w:r w:rsidR="00951816" w:rsidRPr="00144D17">
        <w:rPr>
          <w:lang w:val="fr-CA"/>
        </w:rPr>
        <w:t xml:space="preserve">, [1968] A.C. 910; </w:t>
      </w:r>
      <w:r w:rsidR="00951816" w:rsidRPr="00144D17">
        <w:rPr>
          <w:i/>
          <w:lang w:val="fr-CA"/>
        </w:rPr>
        <w:t>Nova Scotia Provincial Judges’ Association c. Nova Scotia (Attorney General)</w:t>
      </w:r>
      <w:r w:rsidR="00951816" w:rsidRPr="00144D17">
        <w:rPr>
          <w:lang w:val="fr-CA"/>
        </w:rPr>
        <w:t xml:space="preserve">, 2018 NSSC 13, </w:t>
      </w:r>
      <w:r w:rsidR="00184B82" w:rsidRPr="00144D17">
        <w:rPr>
          <w:lang w:val="fr-CA"/>
        </w:rPr>
        <w:t>409 C.R.R. (2d) 117;</w:t>
      </w:r>
      <w:r w:rsidR="00951816" w:rsidRPr="00144D17">
        <w:rPr>
          <w:lang w:val="fr-CA"/>
        </w:rPr>
        <w:t xml:space="preserve"> </w:t>
      </w:r>
      <w:r w:rsidR="00951816" w:rsidRPr="00144D17">
        <w:rPr>
          <w:i/>
          <w:lang w:val="fr-CA"/>
        </w:rPr>
        <w:t>Nova Scotia (Attorney General) c. Judges of the Provincial Court and Family Court of Nova Scotia</w:t>
      </w:r>
      <w:r w:rsidR="00A86840" w:rsidRPr="00144D17">
        <w:rPr>
          <w:lang w:val="fr-CA"/>
        </w:rPr>
        <w:t>,</w:t>
      </w:r>
      <w:r w:rsidR="00951816" w:rsidRPr="00144D17">
        <w:rPr>
          <w:lang w:val="fr-CA"/>
        </w:rPr>
        <w:t xml:space="preserve"> 2018 NSCA 83, 429 D.L.R. (4th) 359; </w:t>
      </w:r>
      <w:r w:rsidR="00E40AC6" w:rsidRPr="00144D17">
        <w:rPr>
          <w:i/>
          <w:lang w:val="fr-CA"/>
        </w:rPr>
        <w:t>Terre</w:t>
      </w:r>
      <w:r w:rsidR="00413D29" w:rsidRPr="00144D17">
        <w:rPr>
          <w:i/>
          <w:lang w:val="fr-CA"/>
        </w:rPr>
        <w:noBreakHyphen/>
      </w:r>
      <w:r w:rsidR="00E40AC6" w:rsidRPr="00144D17">
        <w:rPr>
          <w:i/>
          <w:lang w:val="fr-CA"/>
        </w:rPr>
        <w:t>Neuve (Conseil du Trésor) c</w:t>
      </w:r>
      <w:r w:rsidR="00951816" w:rsidRPr="00144D17">
        <w:rPr>
          <w:i/>
          <w:lang w:val="fr-CA"/>
        </w:rPr>
        <w:t>. N.A.P.E.</w:t>
      </w:r>
      <w:r w:rsidR="00951816" w:rsidRPr="00144D17">
        <w:rPr>
          <w:lang w:val="fr-CA"/>
        </w:rPr>
        <w:t xml:space="preserve">, 2004 </w:t>
      </w:r>
      <w:r w:rsidR="0020172A" w:rsidRPr="00144D17">
        <w:rPr>
          <w:lang w:val="fr-CA"/>
        </w:rPr>
        <w:t>CSC</w:t>
      </w:r>
      <w:r w:rsidR="00951816" w:rsidRPr="00144D17">
        <w:rPr>
          <w:lang w:val="fr-CA"/>
        </w:rPr>
        <w:t xml:space="preserve"> 66, [2004] 3 </w:t>
      </w:r>
      <w:r w:rsidR="0020172A" w:rsidRPr="00144D17">
        <w:rPr>
          <w:lang w:val="fr-CA"/>
        </w:rPr>
        <w:t>R.C.S.</w:t>
      </w:r>
      <w:r w:rsidR="00951816" w:rsidRPr="00144D17">
        <w:rPr>
          <w:lang w:val="fr-CA"/>
        </w:rPr>
        <w:t xml:space="preserve"> 381; </w:t>
      </w:r>
      <w:r w:rsidR="00951816" w:rsidRPr="00144D17">
        <w:rPr>
          <w:i/>
          <w:lang w:val="fr-CA"/>
        </w:rPr>
        <w:t xml:space="preserve">Commonwealth </w:t>
      </w:r>
      <w:r w:rsidR="0020172A" w:rsidRPr="00144D17">
        <w:rPr>
          <w:i/>
          <w:lang w:val="fr-CA"/>
        </w:rPr>
        <w:t>c</w:t>
      </w:r>
      <w:r w:rsidR="00951816" w:rsidRPr="00144D17">
        <w:rPr>
          <w:i/>
          <w:lang w:val="fr-CA"/>
        </w:rPr>
        <w:t>. Northern Land Council</w:t>
      </w:r>
      <w:r w:rsidR="0093567A">
        <w:rPr>
          <w:lang w:val="fr-CA"/>
        </w:rPr>
        <w:t xml:space="preserve"> (1993),</w:t>
      </w:r>
      <w:r w:rsidR="00951816" w:rsidRPr="00144D17">
        <w:rPr>
          <w:lang w:val="fr-CA"/>
        </w:rPr>
        <w:t xml:space="preserve"> 176 C.L.R. 604; </w:t>
      </w:r>
      <w:r w:rsidR="00951816" w:rsidRPr="00144D17">
        <w:rPr>
          <w:i/>
          <w:lang w:val="fr-CA"/>
        </w:rPr>
        <w:t xml:space="preserve">Air Canada </w:t>
      </w:r>
      <w:r w:rsidR="0020172A" w:rsidRPr="00144D17">
        <w:rPr>
          <w:i/>
          <w:lang w:val="fr-CA"/>
        </w:rPr>
        <w:t>c</w:t>
      </w:r>
      <w:r w:rsidR="00951816" w:rsidRPr="00144D17">
        <w:rPr>
          <w:i/>
          <w:lang w:val="fr-CA"/>
        </w:rPr>
        <w:t>. Secretary of State for Trade</w:t>
      </w:r>
      <w:r w:rsidR="00951816" w:rsidRPr="00144D17">
        <w:rPr>
          <w:lang w:val="fr-CA"/>
        </w:rPr>
        <w:t>, [1983] 2 A.C. 394.</w:t>
      </w:r>
    </w:p>
    <w:p w14:paraId="20537064" w14:textId="77777777" w:rsidR="004D7D95" w:rsidRPr="003C250D" w:rsidRDefault="004D7D95" w:rsidP="003C250D">
      <w:pPr>
        <w:pStyle w:val="SCCNormalDoubleSpacing"/>
        <w:spacing w:after="720" w:line="240" w:lineRule="auto"/>
        <w:rPr>
          <w:b/>
          <w:lang w:val="fr-CA"/>
        </w:rPr>
      </w:pPr>
      <w:r w:rsidRPr="003C250D">
        <w:rPr>
          <w:b/>
          <w:lang w:val="fr-CA"/>
        </w:rPr>
        <w:lastRenderedPageBreak/>
        <w:t>Lois et règlements cités</w:t>
      </w:r>
    </w:p>
    <w:p w14:paraId="1F9D2303" w14:textId="2732612D" w:rsidR="00286E43" w:rsidRPr="00144D17" w:rsidRDefault="00286E43" w:rsidP="00413D29">
      <w:pPr>
        <w:pStyle w:val="SCCNormalDoubleSpacing"/>
        <w:spacing w:after="240" w:line="240" w:lineRule="auto"/>
        <w:ind w:left="540" w:hanging="540"/>
        <w:rPr>
          <w:i/>
          <w:lang w:val="fr-CA"/>
        </w:rPr>
      </w:pPr>
      <w:r w:rsidRPr="00144D17">
        <w:rPr>
          <w:i/>
          <w:lang w:val="fr-CA"/>
        </w:rPr>
        <w:t>Attorney General Act</w:t>
      </w:r>
      <w:r w:rsidR="00AA511B" w:rsidRPr="00144D17">
        <w:rPr>
          <w:lang w:val="fr-CA"/>
        </w:rPr>
        <w:t>, R.S.B.C. 1996, c. </w:t>
      </w:r>
      <w:r w:rsidRPr="00144D17">
        <w:rPr>
          <w:lang w:val="fr-CA"/>
        </w:rPr>
        <w:t xml:space="preserve">22, </w:t>
      </w:r>
      <w:r w:rsidR="00413D29" w:rsidRPr="00144D17">
        <w:rPr>
          <w:lang w:val="fr-CA"/>
        </w:rPr>
        <w:t>art. </w:t>
      </w:r>
      <w:r w:rsidRPr="00144D17">
        <w:rPr>
          <w:lang w:val="fr-CA"/>
        </w:rPr>
        <w:t>2(j).</w:t>
      </w:r>
    </w:p>
    <w:p w14:paraId="58D286A9" w14:textId="5EF457FD" w:rsidR="008757FB" w:rsidRPr="003C250D" w:rsidRDefault="008757FB" w:rsidP="00413D29">
      <w:pPr>
        <w:pStyle w:val="SCCNormalDoubleSpacing"/>
        <w:spacing w:after="240" w:line="240" w:lineRule="auto"/>
        <w:ind w:left="540" w:hanging="540"/>
        <w:rPr>
          <w:lang w:val="fr-CA"/>
        </w:rPr>
      </w:pPr>
      <w:r w:rsidRPr="003C250D">
        <w:rPr>
          <w:i/>
          <w:lang w:val="fr-CA"/>
        </w:rPr>
        <w:t>Charte canadienne des droits et libertés</w:t>
      </w:r>
      <w:r w:rsidRPr="003C250D">
        <w:rPr>
          <w:lang w:val="fr-CA"/>
        </w:rPr>
        <w:t xml:space="preserve">, </w:t>
      </w:r>
      <w:r w:rsidR="00413D29">
        <w:rPr>
          <w:lang w:val="fr-CA"/>
        </w:rPr>
        <w:t>art. </w:t>
      </w:r>
      <w:r w:rsidRPr="003C250D">
        <w:rPr>
          <w:lang w:val="fr-CA"/>
        </w:rPr>
        <w:t>11</w:t>
      </w:r>
      <w:r w:rsidRPr="003C250D">
        <w:rPr>
          <w:i/>
          <w:lang w:val="fr-CA"/>
        </w:rPr>
        <w:t>d</w:t>
      </w:r>
      <w:r w:rsidRPr="003C250D">
        <w:rPr>
          <w:lang w:val="fr-CA"/>
        </w:rPr>
        <w:t>).</w:t>
      </w:r>
    </w:p>
    <w:p w14:paraId="480EF0A1" w14:textId="2B86C251" w:rsidR="008757FB" w:rsidRPr="003C250D" w:rsidRDefault="008757FB" w:rsidP="00413D29">
      <w:pPr>
        <w:pStyle w:val="SCCNormalDoubleSpacing"/>
        <w:spacing w:after="240" w:line="240" w:lineRule="auto"/>
        <w:ind w:left="540" w:hanging="540"/>
        <w:rPr>
          <w:lang w:val="fr-CA"/>
        </w:rPr>
      </w:pPr>
      <w:r w:rsidRPr="003C250D">
        <w:rPr>
          <w:i/>
          <w:lang w:val="fr-CA"/>
        </w:rPr>
        <w:t>Code de procédure civile</w:t>
      </w:r>
      <w:r w:rsidRPr="003C250D">
        <w:rPr>
          <w:lang w:val="fr-CA"/>
        </w:rPr>
        <w:t xml:space="preserve">, </w:t>
      </w:r>
      <w:r w:rsidR="00184B82" w:rsidRPr="003C250D">
        <w:rPr>
          <w:lang w:val="fr-CA"/>
        </w:rPr>
        <w:t>RLRQ</w:t>
      </w:r>
      <w:r w:rsidR="00AA511B">
        <w:rPr>
          <w:lang w:val="fr-CA"/>
        </w:rPr>
        <w:t>, c. </w:t>
      </w:r>
      <w:r w:rsidRPr="003C250D">
        <w:rPr>
          <w:lang w:val="fr-CA"/>
        </w:rPr>
        <w:t>C</w:t>
      </w:r>
      <w:r w:rsidR="00413D29">
        <w:rPr>
          <w:lang w:val="fr-CA"/>
        </w:rPr>
        <w:noBreakHyphen/>
      </w:r>
      <w:r w:rsidRPr="003C250D">
        <w:rPr>
          <w:lang w:val="fr-CA"/>
        </w:rPr>
        <w:t xml:space="preserve">25.01, </w:t>
      </w:r>
      <w:r w:rsidR="00413D29">
        <w:rPr>
          <w:lang w:val="fr-CA"/>
        </w:rPr>
        <w:t>art. </w:t>
      </w:r>
      <w:r w:rsidRPr="003C250D">
        <w:rPr>
          <w:lang w:val="fr-CA"/>
        </w:rPr>
        <w:t>283.</w:t>
      </w:r>
    </w:p>
    <w:p w14:paraId="2265E978" w14:textId="0ECA3403" w:rsidR="00286E43" w:rsidRPr="003C250D" w:rsidRDefault="00286E43" w:rsidP="00413D29">
      <w:pPr>
        <w:pStyle w:val="FootnoteText"/>
        <w:spacing w:after="240"/>
        <w:rPr>
          <w:sz w:val="24"/>
          <w:szCs w:val="24"/>
        </w:rPr>
      </w:pPr>
      <w:r w:rsidRPr="003C250D">
        <w:rPr>
          <w:i/>
          <w:sz w:val="24"/>
          <w:szCs w:val="24"/>
          <w:lang w:val="en-US"/>
        </w:rPr>
        <w:t>Constitution Act</w:t>
      </w:r>
      <w:r w:rsidRPr="003C250D">
        <w:rPr>
          <w:sz w:val="24"/>
          <w:szCs w:val="24"/>
          <w:lang w:val="en-US"/>
        </w:rPr>
        <w:t xml:space="preserve">, </w:t>
      </w:r>
      <w:r w:rsidR="00AA511B">
        <w:rPr>
          <w:sz w:val="24"/>
          <w:szCs w:val="24"/>
          <w:lang w:val="en-US"/>
        </w:rPr>
        <w:t>R.S.B.C. 1996, c. </w:t>
      </w:r>
      <w:r w:rsidRPr="003C250D">
        <w:rPr>
          <w:sz w:val="24"/>
          <w:szCs w:val="24"/>
          <w:lang w:val="en-US"/>
        </w:rPr>
        <w:t xml:space="preserve">66, </w:t>
      </w:r>
      <w:r w:rsidR="00413D29">
        <w:rPr>
          <w:sz w:val="24"/>
          <w:szCs w:val="24"/>
          <w:lang w:val="en-US"/>
        </w:rPr>
        <w:t>art. </w:t>
      </w:r>
      <w:r w:rsidRPr="003C250D">
        <w:rPr>
          <w:sz w:val="24"/>
          <w:szCs w:val="24"/>
          <w:lang w:val="en-US"/>
        </w:rPr>
        <w:t>10(3).</w:t>
      </w:r>
    </w:p>
    <w:p w14:paraId="1DE100EE" w14:textId="127DBC51" w:rsidR="008757FB" w:rsidRPr="003C250D" w:rsidRDefault="008757FB" w:rsidP="00413D29">
      <w:pPr>
        <w:pStyle w:val="SCCNormalDoubleSpacing"/>
        <w:spacing w:after="240" w:line="240" w:lineRule="auto"/>
        <w:ind w:left="540" w:hanging="540"/>
        <w:rPr>
          <w:lang w:val="en-US"/>
        </w:rPr>
      </w:pPr>
      <w:r w:rsidRPr="003C250D">
        <w:rPr>
          <w:i/>
          <w:lang w:val="en-US"/>
        </w:rPr>
        <w:t>Crown Proceeding Act</w:t>
      </w:r>
      <w:r w:rsidR="00AA511B">
        <w:rPr>
          <w:lang w:val="en-US"/>
        </w:rPr>
        <w:t>, R.S.B.C. 1996, c. </w:t>
      </w:r>
      <w:r w:rsidRPr="003C250D">
        <w:rPr>
          <w:lang w:val="en-US"/>
        </w:rPr>
        <w:t xml:space="preserve">89, </w:t>
      </w:r>
      <w:r w:rsidR="00413D29">
        <w:rPr>
          <w:lang w:val="en-US"/>
        </w:rPr>
        <w:t>art. </w:t>
      </w:r>
      <w:r w:rsidRPr="003C250D">
        <w:rPr>
          <w:lang w:val="en-US"/>
        </w:rPr>
        <w:t>9.</w:t>
      </w:r>
    </w:p>
    <w:p w14:paraId="3DDA5F1C" w14:textId="42E7A246" w:rsidR="008757FB" w:rsidRPr="003C250D" w:rsidRDefault="008757FB" w:rsidP="00413D29">
      <w:pPr>
        <w:pStyle w:val="SCCNormalDoubleSpacing"/>
        <w:spacing w:after="240" w:line="240" w:lineRule="auto"/>
        <w:ind w:left="540" w:hanging="540"/>
        <w:rPr>
          <w:lang w:val="en-US"/>
        </w:rPr>
      </w:pPr>
      <w:r w:rsidRPr="003C250D">
        <w:rPr>
          <w:i/>
          <w:lang w:val="en-US"/>
        </w:rPr>
        <w:t>Judicial Compensation Act</w:t>
      </w:r>
      <w:r w:rsidR="00AA511B">
        <w:rPr>
          <w:lang w:val="en-US"/>
        </w:rPr>
        <w:t>, S.B.C. 2003, c. </w:t>
      </w:r>
      <w:r w:rsidRPr="003C250D">
        <w:rPr>
          <w:lang w:val="en-US"/>
        </w:rPr>
        <w:t xml:space="preserve">59, </w:t>
      </w:r>
      <w:r w:rsidR="00413D29">
        <w:rPr>
          <w:lang w:val="en-US"/>
        </w:rPr>
        <w:t>art. </w:t>
      </w:r>
      <w:r w:rsidRPr="003C250D">
        <w:rPr>
          <w:lang w:val="en-US"/>
        </w:rPr>
        <w:t>2, 5(1), (3), (5), (5.1), (5.2), 6(1), (2), (3), (4), 7.1, 8(1).</w:t>
      </w:r>
    </w:p>
    <w:p w14:paraId="1E3CFEB1" w14:textId="3B0CFC3B" w:rsidR="008757FB" w:rsidRPr="003C250D" w:rsidRDefault="008757FB" w:rsidP="00413D29">
      <w:pPr>
        <w:pStyle w:val="SCCNormalDoubleSpacing"/>
        <w:spacing w:after="240" w:line="240" w:lineRule="auto"/>
        <w:ind w:left="540" w:hanging="540"/>
        <w:rPr>
          <w:lang w:val="fr-CA"/>
        </w:rPr>
      </w:pPr>
      <w:r w:rsidRPr="003C250D">
        <w:rPr>
          <w:i/>
          <w:lang w:val="fr-CA"/>
        </w:rPr>
        <w:t>Loi constitutionnelle de 1867</w:t>
      </w:r>
      <w:r w:rsidRPr="003C250D">
        <w:rPr>
          <w:lang w:val="fr-CA"/>
        </w:rPr>
        <w:t xml:space="preserve">, préambule, </w:t>
      </w:r>
      <w:r w:rsidR="00413D29">
        <w:rPr>
          <w:lang w:val="fr-CA"/>
        </w:rPr>
        <w:t>art. </w:t>
      </w:r>
      <w:r w:rsidR="00286E43" w:rsidRPr="003C250D">
        <w:rPr>
          <w:lang w:val="fr-CA"/>
        </w:rPr>
        <w:t>11, 18, 54, 90 à 92, 96 à 101</w:t>
      </w:r>
      <w:r w:rsidRPr="003C250D">
        <w:rPr>
          <w:lang w:val="fr-CA"/>
        </w:rPr>
        <w:t xml:space="preserve">, </w:t>
      </w:r>
      <w:r w:rsidR="00286E43" w:rsidRPr="003C250D">
        <w:rPr>
          <w:lang w:val="fr-CA"/>
        </w:rPr>
        <w:t xml:space="preserve">100 à 102, </w:t>
      </w:r>
      <w:r w:rsidRPr="003C250D">
        <w:rPr>
          <w:lang w:val="fr-CA"/>
        </w:rPr>
        <w:t>106, 126.</w:t>
      </w:r>
    </w:p>
    <w:p w14:paraId="1426F180" w14:textId="1F714FA4" w:rsidR="008757FB" w:rsidRPr="003C250D" w:rsidRDefault="008757FB" w:rsidP="00413D29">
      <w:pPr>
        <w:pStyle w:val="SCCNormalDoubleSpacing"/>
        <w:spacing w:after="240" w:line="240" w:lineRule="auto"/>
        <w:ind w:left="540" w:hanging="540"/>
        <w:rPr>
          <w:lang w:val="fr-CA"/>
        </w:rPr>
      </w:pPr>
      <w:r w:rsidRPr="003C250D">
        <w:rPr>
          <w:i/>
          <w:lang w:val="fr-CA"/>
        </w:rPr>
        <w:t>Loi constitutionnelle de 1982</w:t>
      </w:r>
      <w:r w:rsidRPr="003C250D">
        <w:rPr>
          <w:lang w:val="fr-CA"/>
        </w:rPr>
        <w:t xml:space="preserve">, </w:t>
      </w:r>
      <w:r w:rsidR="00413D29">
        <w:rPr>
          <w:lang w:val="fr-CA"/>
        </w:rPr>
        <w:t>art. </w:t>
      </w:r>
      <w:r w:rsidRPr="003C250D">
        <w:rPr>
          <w:lang w:val="fr-CA"/>
        </w:rPr>
        <w:t>42(1)</w:t>
      </w:r>
      <w:r w:rsidRPr="003C250D">
        <w:rPr>
          <w:i/>
          <w:lang w:val="fr-CA"/>
        </w:rPr>
        <w:t>d</w:t>
      </w:r>
      <w:r w:rsidRPr="003C250D">
        <w:rPr>
          <w:lang w:val="fr-CA"/>
        </w:rPr>
        <w:t>).</w:t>
      </w:r>
    </w:p>
    <w:p w14:paraId="13933426" w14:textId="53E25F7E" w:rsidR="008757FB" w:rsidRPr="003C250D" w:rsidRDefault="008757FB" w:rsidP="00413D29">
      <w:pPr>
        <w:pStyle w:val="SCCNormalDoubleSpacing"/>
        <w:spacing w:after="240" w:line="240" w:lineRule="auto"/>
        <w:ind w:left="540" w:hanging="540"/>
        <w:rPr>
          <w:lang w:val="fr-CA"/>
        </w:rPr>
      </w:pPr>
      <w:r w:rsidRPr="003C250D">
        <w:rPr>
          <w:i/>
          <w:lang w:val="fr-CA"/>
        </w:rPr>
        <w:t>Loi de 2019 sur la responsabilité de la Couronne et les instances l’intéressant</w:t>
      </w:r>
      <w:r w:rsidRPr="003C250D">
        <w:rPr>
          <w:lang w:val="fr-CA"/>
        </w:rPr>
        <w:t>, L</w:t>
      </w:r>
      <w:r w:rsidR="00AA511B">
        <w:rPr>
          <w:lang w:val="fr-CA"/>
        </w:rPr>
        <w:t>.O. 2019, c. </w:t>
      </w:r>
      <w:r w:rsidRPr="003C250D">
        <w:rPr>
          <w:lang w:val="fr-CA"/>
        </w:rPr>
        <w:t xml:space="preserve">7, ann. 17, </w:t>
      </w:r>
      <w:r w:rsidR="00413D29">
        <w:rPr>
          <w:lang w:val="fr-CA"/>
        </w:rPr>
        <w:t>art. </w:t>
      </w:r>
      <w:r w:rsidRPr="003C250D">
        <w:rPr>
          <w:lang w:val="fr-CA"/>
        </w:rPr>
        <w:t>13(2).</w:t>
      </w:r>
    </w:p>
    <w:p w14:paraId="0600C6B5" w14:textId="0C3DFCD4" w:rsidR="008757FB" w:rsidRPr="003C250D" w:rsidRDefault="008757FB" w:rsidP="00413D29">
      <w:pPr>
        <w:pStyle w:val="SCCNormalDoubleSpacing"/>
        <w:spacing w:after="240" w:line="240" w:lineRule="auto"/>
        <w:ind w:left="540" w:hanging="540"/>
        <w:rPr>
          <w:lang w:val="fr-CA"/>
        </w:rPr>
      </w:pPr>
      <w:r w:rsidRPr="003C250D">
        <w:rPr>
          <w:i/>
          <w:lang w:val="fr-CA"/>
        </w:rPr>
        <w:t>Loi sur la preuve au Canada</w:t>
      </w:r>
      <w:r w:rsidRPr="003C250D">
        <w:rPr>
          <w:lang w:val="fr-CA"/>
        </w:rPr>
        <w:t xml:space="preserve">, L.R.C. </w:t>
      </w:r>
      <w:r w:rsidR="00AA511B">
        <w:rPr>
          <w:lang w:val="fr-CA"/>
        </w:rPr>
        <w:t>1985, c. </w:t>
      </w:r>
      <w:r w:rsidRPr="003C250D">
        <w:rPr>
          <w:lang w:val="fr-CA"/>
        </w:rPr>
        <w:t>C</w:t>
      </w:r>
      <w:r w:rsidR="00413D29">
        <w:rPr>
          <w:lang w:val="fr-CA"/>
        </w:rPr>
        <w:noBreakHyphen/>
      </w:r>
      <w:r w:rsidRPr="003C250D">
        <w:rPr>
          <w:lang w:val="fr-CA"/>
        </w:rPr>
        <w:t xml:space="preserve">5, </w:t>
      </w:r>
      <w:r w:rsidR="00413D29">
        <w:rPr>
          <w:lang w:val="fr-CA"/>
        </w:rPr>
        <w:t>art. </w:t>
      </w:r>
      <w:r w:rsidRPr="003C250D">
        <w:rPr>
          <w:lang w:val="fr-CA"/>
        </w:rPr>
        <w:t>37 à 39.</w:t>
      </w:r>
    </w:p>
    <w:p w14:paraId="665232F7" w14:textId="77777777" w:rsidR="00286E43" w:rsidRPr="003C250D" w:rsidRDefault="00286E43" w:rsidP="00413D29">
      <w:pPr>
        <w:pStyle w:val="SCCNormalDoubleSpacing"/>
        <w:spacing w:after="240" w:line="240" w:lineRule="auto"/>
        <w:ind w:left="540" w:hanging="540"/>
      </w:pPr>
      <w:r w:rsidRPr="003C250D">
        <w:rPr>
          <w:lang w:val="en-US"/>
        </w:rPr>
        <w:t>O.C. 213/2017.</w:t>
      </w:r>
    </w:p>
    <w:p w14:paraId="370577C3" w14:textId="76E831CA" w:rsidR="008757FB" w:rsidRPr="003C250D" w:rsidRDefault="00286E43" w:rsidP="00413D29">
      <w:pPr>
        <w:pStyle w:val="SCCNormalDoubleSpacing"/>
        <w:spacing w:after="240" w:line="240" w:lineRule="auto"/>
        <w:ind w:left="540" w:hanging="540"/>
        <w:rPr>
          <w:lang w:val="en-US"/>
        </w:rPr>
      </w:pPr>
      <w:r w:rsidRPr="003C250D">
        <w:rPr>
          <w:i/>
          <w:lang w:val="en-US"/>
        </w:rPr>
        <w:t>Proceedings a</w:t>
      </w:r>
      <w:r w:rsidR="008757FB" w:rsidRPr="003C250D">
        <w:rPr>
          <w:i/>
          <w:lang w:val="en-US"/>
        </w:rPr>
        <w:t>gainst the Crown Act</w:t>
      </w:r>
      <w:r w:rsidR="00AA511B">
        <w:rPr>
          <w:lang w:val="en-US"/>
        </w:rPr>
        <w:t>, R.S.N.S. 1989, c. </w:t>
      </w:r>
      <w:r w:rsidR="008757FB" w:rsidRPr="003C250D">
        <w:rPr>
          <w:lang w:val="en-US"/>
        </w:rPr>
        <w:t xml:space="preserve">360, </w:t>
      </w:r>
      <w:r w:rsidR="00413D29">
        <w:rPr>
          <w:lang w:val="en-US"/>
        </w:rPr>
        <w:t>art. </w:t>
      </w:r>
      <w:r w:rsidR="008757FB" w:rsidRPr="003C250D">
        <w:rPr>
          <w:lang w:val="en-US"/>
        </w:rPr>
        <w:t>11.</w:t>
      </w:r>
    </w:p>
    <w:p w14:paraId="3D85DAC8" w14:textId="25ABAAC4" w:rsidR="008757FB" w:rsidRPr="003C250D" w:rsidRDefault="008757FB" w:rsidP="003C250D">
      <w:pPr>
        <w:pStyle w:val="SCCNormalDoubleSpacing"/>
        <w:spacing w:after="720" w:line="240" w:lineRule="auto"/>
        <w:ind w:left="540" w:hanging="540"/>
        <w:rPr>
          <w:lang w:val="en-US"/>
        </w:rPr>
      </w:pPr>
      <w:r w:rsidRPr="003C250D">
        <w:rPr>
          <w:i/>
          <w:lang w:val="en-US"/>
        </w:rPr>
        <w:t>Supreme Court Civil Rules</w:t>
      </w:r>
      <w:r w:rsidR="00184B82" w:rsidRPr="003C250D">
        <w:rPr>
          <w:lang w:val="en-US"/>
        </w:rPr>
        <w:t>, B.C. Reg. 168/2009, règle</w:t>
      </w:r>
      <w:r w:rsidRPr="003C250D">
        <w:rPr>
          <w:lang w:val="en-US"/>
        </w:rPr>
        <w:t xml:space="preserve"> 22</w:t>
      </w:r>
      <w:r w:rsidR="00413D29">
        <w:rPr>
          <w:lang w:val="en-US"/>
        </w:rPr>
        <w:noBreakHyphen/>
      </w:r>
      <w:r w:rsidRPr="003C250D">
        <w:rPr>
          <w:lang w:val="en-US"/>
        </w:rPr>
        <w:t>1(4)(c).</w:t>
      </w:r>
    </w:p>
    <w:p w14:paraId="2C78EC9C" w14:textId="77777777" w:rsidR="004D7D95" w:rsidRPr="003C250D" w:rsidRDefault="004D7D95" w:rsidP="003C250D">
      <w:pPr>
        <w:pStyle w:val="SCCNormalDoubleSpacing"/>
        <w:spacing w:after="720" w:line="240" w:lineRule="auto"/>
        <w:rPr>
          <w:b/>
          <w:lang w:val="fr-CA"/>
        </w:rPr>
      </w:pPr>
      <w:r w:rsidRPr="003C250D">
        <w:rPr>
          <w:b/>
          <w:lang w:val="fr-CA"/>
        </w:rPr>
        <w:t>Doctrine et autres documents cités</w:t>
      </w:r>
    </w:p>
    <w:p w14:paraId="1BA001F2" w14:textId="3A753847" w:rsidR="0020172A" w:rsidRPr="003C250D" w:rsidRDefault="00A602B3" w:rsidP="00413D29">
      <w:pPr>
        <w:pStyle w:val="SCCNormalDoubleSpacing"/>
        <w:spacing w:after="240" w:line="240" w:lineRule="auto"/>
        <w:ind w:left="540" w:hanging="540"/>
        <w:rPr>
          <w:lang w:val="fr-CA"/>
        </w:rPr>
      </w:pPr>
      <w:r w:rsidRPr="003C250D">
        <w:rPr>
          <w:lang w:val="fr-CA"/>
        </w:rPr>
        <w:t>d’</w:t>
      </w:r>
      <w:r w:rsidR="0020172A" w:rsidRPr="003C250D">
        <w:rPr>
          <w:lang w:val="fr-CA"/>
        </w:rPr>
        <w:t xml:space="preserve">Ombrain, Nicholas. </w:t>
      </w:r>
      <w:r w:rsidR="00184B82" w:rsidRPr="003C250D">
        <w:rPr>
          <w:lang w:val="fr-CA"/>
        </w:rPr>
        <w:t>« Cabinet secrecy »</w:t>
      </w:r>
      <w:r w:rsidR="008C2794">
        <w:rPr>
          <w:lang w:val="fr-CA"/>
        </w:rPr>
        <w:t xml:space="preserve"> (2004), 47</w:t>
      </w:r>
      <w:r w:rsidR="0020172A" w:rsidRPr="003C250D">
        <w:rPr>
          <w:lang w:val="fr-CA"/>
        </w:rPr>
        <w:t xml:space="preserve"> </w:t>
      </w:r>
      <w:r w:rsidR="0020172A" w:rsidRPr="003C250D">
        <w:rPr>
          <w:i/>
          <w:lang w:val="fr-CA"/>
        </w:rPr>
        <w:t>Administration publique du Canada</w:t>
      </w:r>
      <w:r w:rsidR="00FD661F">
        <w:rPr>
          <w:lang w:val="fr-CA"/>
        </w:rPr>
        <w:t xml:space="preserve"> 332.</w:t>
      </w:r>
    </w:p>
    <w:p w14:paraId="55C9FA00" w14:textId="7A1D9601" w:rsidR="0020172A" w:rsidRPr="003C250D" w:rsidRDefault="0020172A" w:rsidP="00413D29">
      <w:pPr>
        <w:pStyle w:val="SCCNormalDoubleSpacing"/>
        <w:spacing w:after="240" w:line="240" w:lineRule="auto"/>
        <w:ind w:left="540" w:hanging="540"/>
      </w:pPr>
      <w:r w:rsidRPr="003C250D">
        <w:t xml:space="preserve">Forcese, Craig, </w:t>
      </w:r>
      <w:r w:rsidR="00A602B3" w:rsidRPr="003C250D">
        <w:t>and</w:t>
      </w:r>
      <w:r w:rsidRPr="003C250D">
        <w:t xml:space="preserve"> Aaron Freeman. </w:t>
      </w:r>
      <w:r w:rsidRPr="003C250D">
        <w:rPr>
          <w:i/>
        </w:rPr>
        <w:t>The Laws of Government</w:t>
      </w:r>
      <w:r w:rsidR="00FD661F">
        <w:rPr>
          <w:lang w:val="en-US"/>
        </w:rPr>
        <w:t> </w:t>
      </w:r>
      <w:r w:rsidR="00FD661F">
        <w:rPr>
          <w:i/>
        </w:rPr>
        <w:t>:</w:t>
      </w:r>
      <w:r w:rsidRPr="003C250D">
        <w:rPr>
          <w:i/>
        </w:rPr>
        <w:t xml:space="preserve"> The Legal Foundations of Canadian Democracy</w:t>
      </w:r>
      <w:r w:rsidRPr="003C250D">
        <w:t xml:space="preserve">, </w:t>
      </w:r>
      <w:r w:rsidR="00A602B3" w:rsidRPr="003C250D">
        <w:t>2nd ed</w:t>
      </w:r>
      <w:r w:rsidRPr="003C250D">
        <w:t>., Toronto, Irwin Law, 2011.</w:t>
      </w:r>
    </w:p>
    <w:p w14:paraId="58EFA95A" w14:textId="12F307FB" w:rsidR="0020172A" w:rsidRPr="003C250D" w:rsidRDefault="0020172A" w:rsidP="00413D29">
      <w:pPr>
        <w:pStyle w:val="SCCNormalDoubleSpacing"/>
        <w:spacing w:after="240" w:line="240" w:lineRule="auto"/>
        <w:ind w:left="540" w:hanging="540"/>
        <w:rPr>
          <w:lang w:val="en-US"/>
        </w:rPr>
      </w:pPr>
      <w:r w:rsidRPr="003C250D">
        <w:t xml:space="preserve">Heard, Andrew. </w:t>
      </w:r>
      <w:r w:rsidRPr="003C250D">
        <w:rPr>
          <w:i/>
        </w:rPr>
        <w:t>Cana</w:t>
      </w:r>
      <w:r w:rsidR="00FD661F">
        <w:rPr>
          <w:i/>
        </w:rPr>
        <w:t xml:space="preserve">dian Constitutional </w:t>
      </w:r>
      <w:r w:rsidR="00FD661F" w:rsidRPr="00FD661F">
        <w:rPr>
          <w:i/>
        </w:rPr>
        <w:t>Conventions</w:t>
      </w:r>
      <w:r w:rsidR="00FD661F" w:rsidRPr="00FD661F">
        <w:rPr>
          <w:i/>
          <w:lang w:val="en-US"/>
        </w:rPr>
        <w:t> </w:t>
      </w:r>
      <w:r w:rsidR="00FD661F" w:rsidRPr="00FD661F">
        <w:rPr>
          <w:i/>
        </w:rPr>
        <w:t>:</w:t>
      </w:r>
      <w:r w:rsidRPr="003C250D">
        <w:rPr>
          <w:i/>
        </w:rPr>
        <w:t xml:space="preserve"> The Marriage of Law &amp; Politics</w:t>
      </w:r>
      <w:r w:rsidRPr="003C250D">
        <w:t xml:space="preserve">, </w:t>
      </w:r>
      <w:r w:rsidR="00A602B3" w:rsidRPr="003C250D">
        <w:t>2nd ed</w:t>
      </w:r>
      <w:r w:rsidRPr="003C250D">
        <w:t xml:space="preserve">., </w:t>
      </w:r>
      <w:r w:rsidRPr="003C250D">
        <w:rPr>
          <w:lang w:val="en-US"/>
        </w:rPr>
        <w:t>Oxford, Oxford University Press, 2014.</w:t>
      </w:r>
    </w:p>
    <w:p w14:paraId="36BDB013" w14:textId="5F37BF71" w:rsidR="0020172A" w:rsidRPr="003C250D" w:rsidRDefault="0020172A" w:rsidP="003C250D">
      <w:pPr>
        <w:pStyle w:val="SCCNormalDoubleSpacing"/>
        <w:spacing w:after="720" w:line="240" w:lineRule="auto"/>
        <w:ind w:left="540" w:hanging="540"/>
        <w:rPr>
          <w:lang w:val="fr-CA"/>
        </w:rPr>
      </w:pPr>
      <w:r w:rsidRPr="003C250D">
        <w:rPr>
          <w:lang w:val="fr-CA"/>
        </w:rPr>
        <w:lastRenderedPageBreak/>
        <w:t>Royer, Jean</w:t>
      </w:r>
      <w:r w:rsidR="00413D29">
        <w:rPr>
          <w:lang w:val="fr-CA"/>
        </w:rPr>
        <w:noBreakHyphen/>
      </w:r>
      <w:r w:rsidRPr="003C250D">
        <w:rPr>
          <w:lang w:val="fr-CA"/>
        </w:rPr>
        <w:t xml:space="preserve">Claude, et Catherine Piché. </w:t>
      </w:r>
      <w:r w:rsidRPr="003C250D">
        <w:rPr>
          <w:i/>
          <w:lang w:val="fr-CA"/>
        </w:rPr>
        <w:t>La preuve civile</w:t>
      </w:r>
      <w:r w:rsidRPr="003C250D">
        <w:rPr>
          <w:lang w:val="fr-CA"/>
        </w:rPr>
        <w:t>, 5</w:t>
      </w:r>
      <w:r w:rsidRPr="003C250D">
        <w:rPr>
          <w:vertAlign w:val="superscript"/>
          <w:lang w:val="fr-CA"/>
        </w:rPr>
        <w:t>e</w:t>
      </w:r>
      <w:r w:rsidRPr="003C250D">
        <w:rPr>
          <w:lang w:val="fr-CA"/>
        </w:rPr>
        <w:t xml:space="preserve"> éd., Montréal, Yvon Blais, 2016.</w:t>
      </w:r>
    </w:p>
    <w:p w14:paraId="62764FAA" w14:textId="206ED829" w:rsidR="00286683" w:rsidRPr="003C250D" w:rsidRDefault="00286683" w:rsidP="00413D29">
      <w:pPr>
        <w:pStyle w:val="SCCNormalDoubleSpacing"/>
        <w:spacing w:after="480"/>
        <w:rPr>
          <w:lang w:val="fr-CA"/>
        </w:rPr>
      </w:pPr>
      <w:r w:rsidRPr="003C250D">
        <w:rPr>
          <w:lang w:val="fr-CA"/>
        </w:rPr>
        <w:tab/>
      </w:r>
      <w:r w:rsidR="00A914C4" w:rsidRPr="003C250D">
        <w:rPr>
          <w:lang w:val="fr-CA"/>
        </w:rPr>
        <w:t>POURVOI contre un arrêt de la Cour d’appel de la Colombie</w:t>
      </w:r>
      <w:r w:rsidR="00413D29">
        <w:rPr>
          <w:lang w:val="fr-CA"/>
        </w:rPr>
        <w:noBreakHyphen/>
      </w:r>
      <w:r w:rsidR="00A914C4" w:rsidRPr="003C250D">
        <w:rPr>
          <w:lang w:val="fr-CA"/>
        </w:rPr>
        <w:t>Britannique (</w:t>
      </w:r>
      <w:r w:rsidR="00432E0E" w:rsidRPr="003C250D">
        <w:rPr>
          <w:lang w:val="fr-CA"/>
        </w:rPr>
        <w:t>le juge en chef</w:t>
      </w:r>
      <w:r w:rsidR="00A914C4" w:rsidRPr="003C250D">
        <w:rPr>
          <w:lang w:val="fr-CA"/>
        </w:rPr>
        <w:t xml:space="preserve"> </w:t>
      </w:r>
      <w:r w:rsidR="00432E0E" w:rsidRPr="003C250D">
        <w:rPr>
          <w:lang w:val="fr-CA"/>
        </w:rPr>
        <w:t>Bauman et les juges</w:t>
      </w:r>
      <w:r w:rsidR="00A914C4" w:rsidRPr="003C250D">
        <w:rPr>
          <w:lang w:val="fr-CA"/>
        </w:rPr>
        <w:t xml:space="preserve"> Harris et Dickson), 2018 BCCA 394, 19 B.C.L.R. (6th) 188, 430 D.L.R. (4th) 660, 48 Admin</w:t>
      </w:r>
      <w:r w:rsidR="008B587B">
        <w:rPr>
          <w:lang w:val="fr-CA"/>
        </w:rPr>
        <w:t>.</w:t>
      </w:r>
      <w:r w:rsidR="00A914C4" w:rsidRPr="003C250D">
        <w:rPr>
          <w:lang w:val="fr-CA"/>
        </w:rPr>
        <w:t xml:space="preserve"> L.R. (6th) 279, [2018] B.C.J. </w:t>
      </w:r>
      <w:r w:rsidR="00413D29">
        <w:rPr>
          <w:lang w:val="fr-CA"/>
        </w:rPr>
        <w:t>No. </w:t>
      </w:r>
      <w:r w:rsidR="00A914C4" w:rsidRPr="003C250D">
        <w:rPr>
          <w:lang w:val="fr-CA"/>
        </w:rPr>
        <w:t xml:space="preserve">3445 (QL), 2018 CarswellBC 2776 (WL Can.), qui a confirmé une décision du juge </w:t>
      </w:r>
      <w:r w:rsidR="00432E0E" w:rsidRPr="003C250D">
        <w:rPr>
          <w:lang w:val="fr-CA"/>
        </w:rPr>
        <w:t xml:space="preserve">en chef </w:t>
      </w:r>
      <w:r w:rsidR="00A914C4" w:rsidRPr="003C250D">
        <w:rPr>
          <w:lang w:val="fr-CA"/>
        </w:rPr>
        <w:t xml:space="preserve">Hinkson, 2018 BCSC 1390, 19 B.C.L.R. (6th) 168, [2018] B.C.J. </w:t>
      </w:r>
      <w:r w:rsidR="00413D29">
        <w:rPr>
          <w:lang w:val="fr-CA"/>
        </w:rPr>
        <w:t>No. </w:t>
      </w:r>
      <w:r w:rsidR="00A914C4" w:rsidRPr="003C250D">
        <w:rPr>
          <w:lang w:val="fr-CA"/>
        </w:rPr>
        <w:t>2995 (QL), 2018 CarswellBC 2158 (WL Can.), qui a confirmé une</w:t>
      </w:r>
      <w:r w:rsidR="001A1F99" w:rsidRPr="003C250D">
        <w:rPr>
          <w:lang w:val="fr-CA"/>
        </w:rPr>
        <w:t xml:space="preserve"> ordonnance d</w:t>
      </w:r>
      <w:r w:rsidR="00A602B3" w:rsidRPr="003C250D">
        <w:rPr>
          <w:lang w:val="fr-CA"/>
        </w:rPr>
        <w:t>e la</w:t>
      </w:r>
      <w:r w:rsidR="001A1F99" w:rsidRPr="003C250D">
        <w:rPr>
          <w:lang w:val="fr-CA"/>
        </w:rPr>
        <w:t xml:space="preserve"> </w:t>
      </w:r>
      <w:r w:rsidR="00554EE8" w:rsidRPr="003C250D">
        <w:rPr>
          <w:lang w:val="fr-CA"/>
        </w:rPr>
        <w:t>protonotaire</w:t>
      </w:r>
      <w:r w:rsidR="001A1F99" w:rsidRPr="003C250D">
        <w:rPr>
          <w:lang w:val="fr-CA"/>
        </w:rPr>
        <w:t xml:space="preserve"> Muir</w:t>
      </w:r>
      <w:r w:rsidR="00A914C4" w:rsidRPr="003C250D">
        <w:rPr>
          <w:lang w:val="fr-CA"/>
        </w:rPr>
        <w:t xml:space="preserve">, 2018 BCSC 1193, [2018] B.C.J. </w:t>
      </w:r>
      <w:r w:rsidR="00413D29">
        <w:rPr>
          <w:lang w:val="fr-CA"/>
        </w:rPr>
        <w:t>No. </w:t>
      </w:r>
      <w:r w:rsidR="00A914C4" w:rsidRPr="003C250D">
        <w:rPr>
          <w:lang w:val="fr-CA"/>
        </w:rPr>
        <w:t>1410 (QL), 2018 CarswellBC 1891 (WL Can.). Pourvoi</w:t>
      </w:r>
      <w:r w:rsidR="00554EE8" w:rsidRPr="003C250D">
        <w:rPr>
          <w:lang w:val="fr-CA"/>
        </w:rPr>
        <w:t xml:space="preserve"> accueilli.</w:t>
      </w:r>
    </w:p>
    <w:p w14:paraId="428A36E1" w14:textId="103433D8" w:rsidR="00286683" w:rsidRPr="003C250D" w:rsidRDefault="00AA511B" w:rsidP="00413D29">
      <w:pPr>
        <w:pStyle w:val="SCCNormalDoubleSpacing"/>
        <w:spacing w:after="480"/>
        <w:rPr>
          <w:lang w:val="fr-CA"/>
        </w:rPr>
      </w:pPr>
      <w:r>
        <w:rPr>
          <w:rStyle w:val="SCCCounselNameChar"/>
          <w:lang w:val="fr-CA"/>
        </w:rPr>
        <w:tab/>
        <w:t>Stein </w:t>
      </w:r>
      <w:r w:rsidR="00CB5112" w:rsidRPr="003C250D">
        <w:rPr>
          <w:rStyle w:val="SCCCounselNameChar"/>
          <w:lang w:val="fr-CA"/>
        </w:rPr>
        <w:t>K. Gudmundseth</w:t>
      </w:r>
      <w:r w:rsidR="00CB5112" w:rsidRPr="006746A3">
        <w:rPr>
          <w:rStyle w:val="SCCCounselNameChar"/>
          <w:i w:val="0"/>
          <w:lang w:val="fr-CA"/>
        </w:rPr>
        <w:t>,</w:t>
      </w:r>
      <w:r w:rsidR="00CB5112" w:rsidRPr="003C250D">
        <w:rPr>
          <w:rStyle w:val="SCCCounselNameChar"/>
          <w:lang w:val="fr-CA"/>
        </w:rPr>
        <w:t xml:space="preserve"> c.r.</w:t>
      </w:r>
      <w:r w:rsidR="00286683" w:rsidRPr="003C250D">
        <w:rPr>
          <w:rStyle w:val="SCCCounselSeparatorChar"/>
          <w:lang w:val="fr-CA"/>
        </w:rPr>
        <w:t xml:space="preserve">, </w:t>
      </w:r>
      <w:r>
        <w:rPr>
          <w:rStyle w:val="SCCCounselNameChar"/>
          <w:lang w:val="fr-CA"/>
        </w:rPr>
        <w:t>Andrew </w:t>
      </w:r>
      <w:r w:rsidR="00CB5112" w:rsidRPr="003C250D">
        <w:rPr>
          <w:rStyle w:val="SCCCounselNameChar"/>
          <w:lang w:val="fr-CA"/>
        </w:rPr>
        <w:t>D. Gay</w:t>
      </w:r>
      <w:r w:rsidR="00CB5112" w:rsidRPr="006746A3">
        <w:rPr>
          <w:rStyle w:val="SCCCounselNameChar"/>
          <w:i w:val="0"/>
          <w:lang w:val="fr-CA"/>
        </w:rPr>
        <w:t>,</w:t>
      </w:r>
      <w:r w:rsidR="00CB5112" w:rsidRPr="003C250D">
        <w:rPr>
          <w:rStyle w:val="SCCCounselNameChar"/>
          <w:lang w:val="fr-CA"/>
        </w:rPr>
        <w:t xml:space="preserve"> c.r</w:t>
      </w:r>
      <w:r w:rsidR="00286683" w:rsidRPr="003C250D">
        <w:rPr>
          <w:rStyle w:val="SCCCounselNameChar"/>
          <w:lang w:val="fr-CA"/>
        </w:rPr>
        <w:t>.</w:t>
      </w:r>
      <w:r w:rsidR="00865E4B">
        <w:rPr>
          <w:rStyle w:val="SCCCounselNameChar"/>
          <w:i w:val="0"/>
          <w:lang w:val="fr-CA"/>
        </w:rPr>
        <w:t>,</w:t>
      </w:r>
      <w:r w:rsidR="00286683" w:rsidRPr="003C250D">
        <w:rPr>
          <w:rStyle w:val="SCCCounselSeparatorChar"/>
          <w:lang w:val="fr-CA"/>
        </w:rPr>
        <w:t xml:space="preserve"> et </w:t>
      </w:r>
      <w:r w:rsidR="00286683" w:rsidRPr="003C250D">
        <w:rPr>
          <w:rStyle w:val="SCCCounselNameChar"/>
          <w:lang w:val="fr-CA"/>
        </w:rPr>
        <w:t>Clayton J. Gallant</w:t>
      </w:r>
      <w:r w:rsidR="00286683" w:rsidRPr="003C250D">
        <w:rPr>
          <w:rStyle w:val="SCCCounselPartyRoleChar"/>
          <w:lang w:val="fr-CA"/>
        </w:rPr>
        <w:t>, pour l’appelant.</w:t>
      </w:r>
    </w:p>
    <w:p w14:paraId="794BF789" w14:textId="7DB02B71" w:rsidR="00D638A8" w:rsidRPr="003C250D" w:rsidRDefault="00AA511B" w:rsidP="00413D29">
      <w:pPr>
        <w:pStyle w:val="SCCNormalDoubleSpacing"/>
        <w:spacing w:after="480"/>
        <w:rPr>
          <w:rStyle w:val="SCCCounselPartyRoleChar"/>
          <w:lang w:val="fr-CA"/>
        </w:rPr>
      </w:pPr>
      <w:r>
        <w:rPr>
          <w:rStyle w:val="SCCCounselNameChar"/>
          <w:lang w:val="fr-CA"/>
        </w:rPr>
        <w:tab/>
        <w:t>Joseph </w:t>
      </w:r>
      <w:r w:rsidR="00286683" w:rsidRPr="003C250D">
        <w:rPr>
          <w:rStyle w:val="SCCCounselNameChar"/>
          <w:lang w:val="fr-CA"/>
        </w:rPr>
        <w:t>J. Arvay</w:t>
      </w:r>
      <w:r w:rsidR="00286683" w:rsidRPr="006746A3">
        <w:rPr>
          <w:rStyle w:val="SCCCounselNameChar"/>
          <w:i w:val="0"/>
          <w:lang w:val="fr-CA"/>
        </w:rPr>
        <w:t>,</w:t>
      </w:r>
      <w:r w:rsidR="00286683" w:rsidRPr="003C250D">
        <w:rPr>
          <w:rStyle w:val="SCCCounselNameChar"/>
          <w:lang w:val="fr-CA"/>
        </w:rPr>
        <w:t xml:space="preserve"> c.r.</w:t>
      </w:r>
      <w:r w:rsidR="00865E4B">
        <w:rPr>
          <w:rStyle w:val="SCCCounselNameChar"/>
          <w:i w:val="0"/>
          <w:lang w:val="fr-CA"/>
        </w:rPr>
        <w:t>,</w:t>
      </w:r>
      <w:r w:rsidR="00286683" w:rsidRPr="003C250D">
        <w:rPr>
          <w:rStyle w:val="SCCCounselSeparatorChar"/>
          <w:lang w:val="fr-CA"/>
        </w:rPr>
        <w:t xml:space="preserve"> et </w:t>
      </w:r>
      <w:r w:rsidR="00286683" w:rsidRPr="003C250D">
        <w:rPr>
          <w:rStyle w:val="SCCCounselNameChar"/>
          <w:lang w:val="fr-CA"/>
        </w:rPr>
        <w:t xml:space="preserve">Alison </w:t>
      </w:r>
      <w:r w:rsidR="00865E4B">
        <w:rPr>
          <w:rStyle w:val="SCCCounselNameChar"/>
          <w:lang w:val="fr-CA"/>
        </w:rPr>
        <w:t xml:space="preserve">M. </w:t>
      </w:r>
      <w:r w:rsidR="00286683" w:rsidRPr="003C250D">
        <w:rPr>
          <w:rStyle w:val="SCCCounselNameChar"/>
          <w:lang w:val="fr-CA"/>
        </w:rPr>
        <w:t>Latimer</w:t>
      </w:r>
      <w:r w:rsidR="00286683" w:rsidRPr="003C250D">
        <w:rPr>
          <w:rStyle w:val="SCCCounselPartyRoleChar"/>
          <w:lang w:val="fr-CA"/>
        </w:rPr>
        <w:t>, pour l’intimée.</w:t>
      </w:r>
    </w:p>
    <w:p w14:paraId="095EF3BF" w14:textId="364F3052" w:rsidR="00286683" w:rsidRPr="003C250D" w:rsidRDefault="00AA511B" w:rsidP="00413D29">
      <w:pPr>
        <w:pStyle w:val="SCCNormalDoubleSpacing"/>
        <w:spacing w:after="480"/>
        <w:rPr>
          <w:lang w:val="fr-CA"/>
        </w:rPr>
      </w:pPr>
      <w:r>
        <w:rPr>
          <w:rStyle w:val="SCCCounselNameChar"/>
          <w:lang w:val="fr-CA"/>
        </w:rPr>
        <w:tab/>
        <w:t>Michael </w:t>
      </w:r>
      <w:r w:rsidR="00286683" w:rsidRPr="003C250D">
        <w:rPr>
          <w:rStyle w:val="SCCCounselNameChar"/>
          <w:lang w:val="fr-CA"/>
        </w:rPr>
        <w:t>H. Morris</w:t>
      </w:r>
      <w:r w:rsidR="00286683" w:rsidRPr="003C250D">
        <w:rPr>
          <w:rStyle w:val="SCCCounselSeparatorChar"/>
          <w:lang w:val="fr-CA"/>
        </w:rPr>
        <w:t xml:space="preserve"> et </w:t>
      </w:r>
      <w:r w:rsidR="00286683" w:rsidRPr="003C250D">
        <w:rPr>
          <w:rStyle w:val="SCCCounselNameChar"/>
          <w:lang w:val="fr-CA"/>
        </w:rPr>
        <w:t>Marilyn Venney</w:t>
      </w:r>
      <w:r w:rsidR="00286683" w:rsidRPr="003C250D">
        <w:rPr>
          <w:rStyle w:val="SCCCounselPartyRoleChar"/>
          <w:lang w:val="fr-CA"/>
        </w:rPr>
        <w:t xml:space="preserve">, pour l’intervenant le </w:t>
      </w:r>
      <w:r w:rsidR="00A602B3" w:rsidRPr="003C250D">
        <w:rPr>
          <w:rStyle w:val="SCCCounselPartyRoleChar"/>
          <w:lang w:val="fr-CA"/>
        </w:rPr>
        <w:t>p</w:t>
      </w:r>
      <w:r w:rsidR="00286683" w:rsidRPr="003C250D">
        <w:rPr>
          <w:rStyle w:val="SCCCounselPartyRoleChar"/>
          <w:lang w:val="fr-CA"/>
        </w:rPr>
        <w:t>rocureur général du Canada.</w:t>
      </w:r>
    </w:p>
    <w:p w14:paraId="5BB85752" w14:textId="6FB538D7" w:rsidR="00286683" w:rsidRPr="003C250D" w:rsidRDefault="00286683" w:rsidP="00413D29">
      <w:pPr>
        <w:pStyle w:val="SCCNormalDoubleSpacing"/>
        <w:spacing w:after="480"/>
        <w:rPr>
          <w:lang w:val="fr-CA"/>
        </w:rPr>
      </w:pPr>
      <w:r w:rsidRPr="003C250D">
        <w:rPr>
          <w:rStyle w:val="SCCCounselNameChar"/>
          <w:lang w:val="fr-CA"/>
        </w:rPr>
        <w:tab/>
        <w:t>Sarah Kraicer</w:t>
      </w:r>
      <w:r w:rsidRPr="003C250D">
        <w:rPr>
          <w:rStyle w:val="SCCCounselSeparatorChar"/>
          <w:lang w:val="fr-CA"/>
        </w:rPr>
        <w:t xml:space="preserve"> et </w:t>
      </w:r>
      <w:r w:rsidRPr="003C250D">
        <w:rPr>
          <w:rStyle w:val="SCCCounselNameChar"/>
          <w:lang w:val="fr-CA"/>
        </w:rPr>
        <w:t>Andrea Bolieiro</w:t>
      </w:r>
      <w:r w:rsidRPr="003C250D">
        <w:rPr>
          <w:rStyle w:val="SCCCounselPartyRoleChar"/>
          <w:lang w:val="fr-CA"/>
        </w:rPr>
        <w:t xml:space="preserve">, pour l’intervenant le </w:t>
      </w:r>
      <w:r w:rsidR="00A602B3" w:rsidRPr="003C250D">
        <w:rPr>
          <w:rStyle w:val="SCCCounselPartyRoleChar"/>
          <w:lang w:val="fr-CA"/>
        </w:rPr>
        <w:t>p</w:t>
      </w:r>
      <w:r w:rsidRPr="003C250D">
        <w:rPr>
          <w:rStyle w:val="SCCCounselPartyRoleChar"/>
          <w:lang w:val="fr-CA"/>
        </w:rPr>
        <w:t>rocureur général de l’Ontario.</w:t>
      </w:r>
    </w:p>
    <w:p w14:paraId="34D46820" w14:textId="267E0B5A" w:rsidR="00286683" w:rsidRPr="003C250D" w:rsidRDefault="00286683" w:rsidP="00413D29">
      <w:pPr>
        <w:pStyle w:val="SCCNormalDoubleSpacing"/>
        <w:spacing w:after="480"/>
        <w:rPr>
          <w:lang w:val="fr-CA"/>
        </w:rPr>
      </w:pPr>
      <w:r w:rsidRPr="003C250D">
        <w:rPr>
          <w:rStyle w:val="SCCCounselNameChar"/>
          <w:lang w:val="fr-CA"/>
        </w:rPr>
        <w:lastRenderedPageBreak/>
        <w:tab/>
      </w:r>
      <w:r w:rsidR="001E463C" w:rsidRPr="001E463C">
        <w:rPr>
          <w:rStyle w:val="SCCCounselNameChar"/>
          <w:lang w:val="fr-CA"/>
        </w:rPr>
        <w:t xml:space="preserve">Brigitte Bussières </w:t>
      </w:r>
      <w:r w:rsidR="001E463C">
        <w:rPr>
          <w:rStyle w:val="SCCCounselSeparatorChar"/>
          <w:lang w:val="fr-CA"/>
        </w:rPr>
        <w:t>et</w:t>
      </w:r>
      <w:r w:rsidR="001E463C" w:rsidRPr="001E463C">
        <w:rPr>
          <w:rStyle w:val="SCCCounselSeparatorChar"/>
          <w:lang w:val="fr-CA"/>
        </w:rPr>
        <w:t xml:space="preserve"> </w:t>
      </w:r>
      <w:r w:rsidR="001E463C" w:rsidRPr="001E463C">
        <w:rPr>
          <w:rStyle w:val="SCCCounselNameChar"/>
          <w:lang w:val="fr-CA"/>
        </w:rPr>
        <w:t>Robert Desroches</w:t>
      </w:r>
      <w:r w:rsidRPr="003C250D">
        <w:rPr>
          <w:rStyle w:val="SCCCounselPartyRoleChar"/>
          <w:lang w:val="fr-CA"/>
        </w:rPr>
        <w:t xml:space="preserve">, pour l’intervenante la </w:t>
      </w:r>
      <w:r w:rsidR="00A602B3" w:rsidRPr="003C250D">
        <w:rPr>
          <w:rStyle w:val="SCCCounselPartyRoleChar"/>
          <w:lang w:val="fr-CA"/>
        </w:rPr>
        <w:t>p</w:t>
      </w:r>
      <w:r w:rsidRPr="003C250D">
        <w:rPr>
          <w:rStyle w:val="SCCCounselPartyRoleChar"/>
          <w:lang w:val="fr-CA"/>
        </w:rPr>
        <w:t>rocureure générale du Québec.</w:t>
      </w:r>
    </w:p>
    <w:p w14:paraId="70AA95E3" w14:textId="548E93DF" w:rsidR="00286683" w:rsidRPr="003C250D" w:rsidRDefault="00286683" w:rsidP="00413D29">
      <w:pPr>
        <w:pStyle w:val="SCCNormalDoubleSpacing"/>
        <w:spacing w:after="480"/>
        <w:rPr>
          <w:lang w:val="fr-CA"/>
        </w:rPr>
      </w:pPr>
      <w:r w:rsidRPr="003C250D">
        <w:rPr>
          <w:rStyle w:val="SCCCounselNameChar"/>
          <w:lang w:val="fr-CA"/>
        </w:rPr>
        <w:tab/>
        <w:t>Thomson Irvine</w:t>
      </w:r>
      <w:r w:rsidRPr="006746A3">
        <w:rPr>
          <w:rStyle w:val="SCCCounselNameChar"/>
          <w:i w:val="0"/>
          <w:lang w:val="fr-CA"/>
        </w:rPr>
        <w:t>,</w:t>
      </w:r>
      <w:r w:rsidRPr="003C250D">
        <w:rPr>
          <w:rStyle w:val="SCCCounselNameChar"/>
          <w:lang w:val="fr-CA"/>
        </w:rPr>
        <w:t xml:space="preserve"> c.r.</w:t>
      </w:r>
      <w:r w:rsidRPr="003C250D">
        <w:rPr>
          <w:rStyle w:val="SCCCounselPartyRoleChar"/>
          <w:lang w:val="fr-CA"/>
        </w:rPr>
        <w:t xml:space="preserve">, pour l’intervenant le </w:t>
      </w:r>
      <w:r w:rsidR="00A602B3" w:rsidRPr="003C250D">
        <w:rPr>
          <w:rStyle w:val="SCCCounselPartyRoleChar"/>
          <w:lang w:val="fr-CA"/>
        </w:rPr>
        <w:t>p</w:t>
      </w:r>
      <w:r w:rsidRPr="003C250D">
        <w:rPr>
          <w:rStyle w:val="SCCCounselPartyRoleChar"/>
          <w:lang w:val="fr-CA"/>
        </w:rPr>
        <w:t>rocureur général de la Saskatchewan.</w:t>
      </w:r>
    </w:p>
    <w:p w14:paraId="02731488" w14:textId="19E44FDA" w:rsidR="00286683" w:rsidRPr="003C250D" w:rsidRDefault="00AA511B" w:rsidP="00413D29">
      <w:pPr>
        <w:pStyle w:val="SCCNormalDoubleSpacing"/>
        <w:spacing w:after="480"/>
        <w:rPr>
          <w:lang w:val="fr-CA"/>
        </w:rPr>
      </w:pPr>
      <w:r>
        <w:rPr>
          <w:rStyle w:val="SCCCounselNameChar"/>
          <w:lang w:val="fr-CA"/>
        </w:rPr>
        <w:tab/>
        <w:t>Doreen </w:t>
      </w:r>
      <w:r w:rsidR="00744F01" w:rsidRPr="003C250D">
        <w:rPr>
          <w:rStyle w:val="SCCCounselNameChar"/>
          <w:lang w:val="fr-CA"/>
        </w:rPr>
        <w:t xml:space="preserve">C. </w:t>
      </w:r>
      <w:r w:rsidR="00286683" w:rsidRPr="003C250D">
        <w:rPr>
          <w:rStyle w:val="SCCCounselNameChar"/>
          <w:lang w:val="fr-CA"/>
        </w:rPr>
        <w:t>Mueller</w:t>
      </w:r>
      <w:r w:rsidR="00286683" w:rsidRPr="003C250D">
        <w:rPr>
          <w:rStyle w:val="SCCCounselPartyRoleChar"/>
          <w:lang w:val="fr-CA"/>
        </w:rPr>
        <w:t xml:space="preserve">, pour l’intervenant le </w:t>
      </w:r>
      <w:r w:rsidR="00A602B3" w:rsidRPr="003C250D">
        <w:rPr>
          <w:rStyle w:val="SCCCounselPartyRoleChar"/>
          <w:lang w:val="fr-CA"/>
        </w:rPr>
        <w:t>p</w:t>
      </w:r>
      <w:r w:rsidR="00286683" w:rsidRPr="003C250D">
        <w:rPr>
          <w:rStyle w:val="SCCCounselPartyRoleChar"/>
          <w:lang w:val="fr-CA"/>
        </w:rPr>
        <w:t>rocureur général de l’Alberta.</w:t>
      </w:r>
    </w:p>
    <w:p w14:paraId="2FB3ABF9" w14:textId="685A9621" w:rsidR="00286683" w:rsidRPr="003C250D" w:rsidRDefault="00286683" w:rsidP="00413D29">
      <w:pPr>
        <w:pStyle w:val="SCCNormalDoubleSpacing"/>
        <w:spacing w:after="480"/>
        <w:rPr>
          <w:lang w:val="fr-CA"/>
        </w:rPr>
      </w:pPr>
      <w:r w:rsidRPr="003C250D">
        <w:rPr>
          <w:rStyle w:val="SCCCounselNameChar"/>
          <w:lang w:val="fr-CA"/>
        </w:rPr>
        <w:tab/>
        <w:t>Pierre Bienvenu</w:t>
      </w:r>
      <w:r w:rsidRPr="003C250D">
        <w:rPr>
          <w:rStyle w:val="SCCCounselSeparatorChar"/>
          <w:lang w:val="fr-CA"/>
        </w:rPr>
        <w:t xml:space="preserve">, </w:t>
      </w:r>
      <w:r w:rsidRPr="003C250D">
        <w:rPr>
          <w:rStyle w:val="SCCCounselNameChar"/>
          <w:lang w:val="fr-CA"/>
        </w:rPr>
        <w:t>Azim Hussain</w:t>
      </w:r>
      <w:r w:rsidRPr="003C250D">
        <w:rPr>
          <w:rStyle w:val="SCCCounselSeparatorChar"/>
          <w:lang w:val="fr-CA"/>
        </w:rPr>
        <w:t xml:space="preserve"> et </w:t>
      </w:r>
      <w:r w:rsidRPr="003C250D">
        <w:rPr>
          <w:rStyle w:val="SCCCounselNameChar"/>
          <w:lang w:val="fr-CA"/>
        </w:rPr>
        <w:t>Jean</w:t>
      </w:r>
      <w:r w:rsidR="00413D29">
        <w:rPr>
          <w:rStyle w:val="SCCCounselNameChar"/>
          <w:lang w:val="fr-CA"/>
        </w:rPr>
        <w:noBreakHyphen/>
      </w:r>
      <w:r w:rsidRPr="003C250D">
        <w:rPr>
          <w:rStyle w:val="SCCCounselNameChar"/>
          <w:lang w:val="fr-CA"/>
        </w:rPr>
        <w:t>Simon Schoenholz</w:t>
      </w:r>
      <w:r w:rsidRPr="003C250D">
        <w:rPr>
          <w:rStyle w:val="SCCCounselPartyRoleChar"/>
          <w:lang w:val="fr-CA"/>
        </w:rPr>
        <w:t>, pour l’intervenante l’Association canadienne des juges des cours supérieures.</w:t>
      </w:r>
    </w:p>
    <w:p w14:paraId="19F25BE9" w14:textId="77777777" w:rsidR="00286683" w:rsidRPr="003C250D" w:rsidRDefault="00286683" w:rsidP="00413D29">
      <w:pPr>
        <w:pStyle w:val="SCCNormalDoubleSpacing"/>
        <w:spacing w:after="480"/>
        <w:rPr>
          <w:lang w:val="fr-CA"/>
        </w:rPr>
      </w:pPr>
      <w:r w:rsidRPr="003C250D">
        <w:rPr>
          <w:rStyle w:val="SCCCounselNameChar"/>
          <w:lang w:val="fr-CA"/>
        </w:rPr>
        <w:tab/>
        <w:t>Guy J. Pratte</w:t>
      </w:r>
      <w:r w:rsidRPr="003C250D">
        <w:rPr>
          <w:rStyle w:val="SCCCounselSeparatorChar"/>
          <w:lang w:val="fr-CA"/>
        </w:rPr>
        <w:t xml:space="preserve">, </w:t>
      </w:r>
      <w:r w:rsidRPr="003C250D">
        <w:rPr>
          <w:rStyle w:val="SCCCounselNameChar"/>
          <w:lang w:val="fr-CA"/>
        </w:rPr>
        <w:t>Ewa Krajewska</w:t>
      </w:r>
      <w:r w:rsidRPr="003C250D">
        <w:rPr>
          <w:rStyle w:val="SCCCounselSeparatorChar"/>
          <w:lang w:val="fr-CA"/>
        </w:rPr>
        <w:t xml:space="preserve"> et </w:t>
      </w:r>
      <w:r w:rsidRPr="003C250D">
        <w:rPr>
          <w:rStyle w:val="SCCCounselNameChar"/>
          <w:lang w:val="fr-CA"/>
        </w:rPr>
        <w:t>Neil Abraham</w:t>
      </w:r>
      <w:r w:rsidRPr="003C250D">
        <w:rPr>
          <w:rStyle w:val="SCCCounselPartyRoleChar"/>
          <w:lang w:val="fr-CA"/>
        </w:rPr>
        <w:t>, pour l’intervenante l’Association du Barreau canadien.</w:t>
      </w:r>
    </w:p>
    <w:p w14:paraId="3DD1955E" w14:textId="0BA07459" w:rsidR="00286683" w:rsidRPr="003C250D" w:rsidRDefault="00AA511B" w:rsidP="00413D29">
      <w:pPr>
        <w:pStyle w:val="SCCNormalDoubleSpacing"/>
        <w:spacing w:after="480"/>
        <w:rPr>
          <w:lang w:val="fr-CA"/>
        </w:rPr>
      </w:pPr>
      <w:r>
        <w:rPr>
          <w:rStyle w:val="SCCCounselNameChar"/>
          <w:lang w:val="fr-CA"/>
        </w:rPr>
        <w:tab/>
        <w:t>Steven </w:t>
      </w:r>
      <w:r w:rsidR="00286683" w:rsidRPr="003C250D">
        <w:rPr>
          <w:rStyle w:val="SCCCounselNameChar"/>
          <w:lang w:val="fr-CA"/>
        </w:rPr>
        <w:t>M. Barrett</w:t>
      </w:r>
      <w:r w:rsidR="00286683" w:rsidRPr="003C250D">
        <w:rPr>
          <w:rStyle w:val="SCCCounselSeparatorChar"/>
          <w:lang w:val="fr-CA"/>
        </w:rPr>
        <w:t xml:space="preserve"> et </w:t>
      </w:r>
      <w:r w:rsidR="00286683" w:rsidRPr="003C250D">
        <w:rPr>
          <w:rStyle w:val="SCCCounselNameChar"/>
          <w:lang w:val="fr-CA"/>
        </w:rPr>
        <w:t>Colleen Bauman</w:t>
      </w:r>
      <w:r w:rsidR="00286683" w:rsidRPr="003C250D">
        <w:rPr>
          <w:rStyle w:val="SCCCounselPartyRoleChar"/>
          <w:lang w:val="fr-CA"/>
        </w:rPr>
        <w:t>, pour l’intervenante l’Association canadienne des juges des cours provinciales.</w:t>
      </w:r>
    </w:p>
    <w:p w14:paraId="6024C3B1" w14:textId="77777777" w:rsidR="00286683" w:rsidRPr="003C250D" w:rsidRDefault="00286683" w:rsidP="00413D29">
      <w:pPr>
        <w:pStyle w:val="SCCNormalDoubleSpacing"/>
        <w:spacing w:after="480"/>
        <w:rPr>
          <w:lang w:val="fr-CA"/>
        </w:rPr>
      </w:pPr>
      <w:r w:rsidRPr="003C250D">
        <w:rPr>
          <w:rStyle w:val="SCCCounselNameChar"/>
          <w:lang w:val="fr-CA"/>
        </w:rPr>
        <w:tab/>
        <w:t>Adam Goldenberg</w:t>
      </w:r>
      <w:r w:rsidRPr="003C250D">
        <w:rPr>
          <w:rStyle w:val="SCCCounselSeparatorChar"/>
          <w:lang w:val="fr-CA"/>
        </w:rPr>
        <w:t xml:space="preserve"> et </w:t>
      </w:r>
      <w:r w:rsidRPr="003C250D">
        <w:rPr>
          <w:rStyle w:val="SCCCounselNameChar"/>
          <w:lang w:val="fr-CA"/>
        </w:rPr>
        <w:t>Stephanie Willsey</w:t>
      </w:r>
      <w:r w:rsidRPr="003C250D">
        <w:rPr>
          <w:rStyle w:val="SCCCounselPartyRoleChar"/>
          <w:lang w:val="fr-CA"/>
        </w:rPr>
        <w:t>, pour l’intervenante la Fédération canadienne des contribuables.</w:t>
      </w:r>
    </w:p>
    <w:p w14:paraId="51234B7D" w14:textId="39247AEC" w:rsidR="002C65EF" w:rsidRDefault="00AA511B" w:rsidP="002C65EF">
      <w:pPr>
        <w:pStyle w:val="SCCNormalDoubleSpacing"/>
        <w:spacing w:after="480"/>
        <w:rPr>
          <w:lang w:val="fr-CA"/>
        </w:rPr>
      </w:pPr>
      <w:r>
        <w:rPr>
          <w:rStyle w:val="SCCCounselNameChar"/>
          <w:lang w:val="fr-CA"/>
        </w:rPr>
        <w:tab/>
        <w:t>Andrew </w:t>
      </w:r>
      <w:r w:rsidR="00286683" w:rsidRPr="003C250D">
        <w:rPr>
          <w:rStyle w:val="SCCCounselNameChar"/>
          <w:lang w:val="fr-CA"/>
        </w:rPr>
        <w:t>K. Lokan</w:t>
      </w:r>
      <w:r w:rsidR="00F12FF4">
        <w:rPr>
          <w:rStyle w:val="SCCCounselNameChar"/>
          <w:lang w:val="fr-CA"/>
        </w:rPr>
        <w:t xml:space="preserve"> </w:t>
      </w:r>
      <w:r w:rsidR="00F12FF4">
        <w:rPr>
          <w:rStyle w:val="SCCCounselNameChar"/>
          <w:i w:val="0"/>
          <w:lang w:val="fr-CA"/>
        </w:rPr>
        <w:t xml:space="preserve">et </w:t>
      </w:r>
      <w:r w:rsidR="00F12FF4">
        <w:rPr>
          <w:rStyle w:val="SCCCounselNameChar"/>
          <w:lang w:val="fr-CA"/>
        </w:rPr>
        <w:t>Lauren Pearce</w:t>
      </w:r>
      <w:r w:rsidR="00286683" w:rsidRPr="003C250D">
        <w:rPr>
          <w:rStyle w:val="SCCCounselPartyRoleChar"/>
          <w:lang w:val="fr-CA"/>
        </w:rPr>
        <w:t>, pour l’intervenante l’</w:t>
      </w:r>
      <w:r w:rsidR="005D7AC4" w:rsidRPr="003C250D">
        <w:rPr>
          <w:rStyle w:val="SCCCounselPartyRoleChar"/>
          <w:lang w:val="fr-CA"/>
        </w:rPr>
        <w:t>Association canadienne des libertés c</w:t>
      </w:r>
      <w:r w:rsidR="00286683" w:rsidRPr="003C250D">
        <w:rPr>
          <w:rStyle w:val="SCCCounselPartyRoleChar"/>
          <w:lang w:val="fr-CA"/>
        </w:rPr>
        <w:t>iviles.</w:t>
      </w:r>
    </w:p>
    <w:p w14:paraId="4224FFBE" w14:textId="7263C4E3" w:rsidR="002C65EF" w:rsidRPr="006746A3" w:rsidRDefault="002C65EF" w:rsidP="006746A3">
      <w:pPr>
        <w:spacing w:after="480"/>
        <w:ind w:left="1170"/>
        <w:rPr>
          <w:szCs w:val="24"/>
          <w:lang w:val="fr-CA"/>
        </w:rPr>
      </w:pPr>
      <w:r w:rsidRPr="0006010D">
        <w:rPr>
          <w:szCs w:val="24"/>
          <w:lang w:val="fr-CA"/>
        </w:rPr>
        <w:t>Version française du jugement de la Cour rendu par</w:t>
      </w:r>
    </w:p>
    <w:p w14:paraId="207403A7" w14:textId="6D2D368E" w:rsidR="002C65EF" w:rsidRPr="002C53FC" w:rsidRDefault="006746A3" w:rsidP="002C65EF">
      <w:pPr>
        <w:pStyle w:val="ParaNoNdepar-AltN"/>
        <w:spacing w:before="0"/>
        <w:rPr>
          <w:rFonts w:cs="Times New Roman"/>
          <w:lang w:val="fr-CA"/>
        </w:rPr>
      </w:pPr>
      <w:r w:rsidRPr="006746A3">
        <w:rPr>
          <w:smallCaps/>
          <w:lang w:val="fr-CA"/>
        </w:rPr>
        <w:lastRenderedPageBreak/>
        <w:t>la juge Karakatsanis</w:t>
      </w:r>
      <w:r w:rsidRPr="002C53FC">
        <w:rPr>
          <w:lang w:val="fr-CA"/>
        </w:rPr>
        <w:t xml:space="preserve"> — </w:t>
      </w:r>
      <w:r w:rsidR="002C65EF" w:rsidRPr="002C53FC">
        <w:rPr>
          <w:rFonts w:cs="Times New Roman"/>
          <w:lang w:val="fr-CA"/>
        </w:rPr>
        <w:t>Le présent pourvoi découle d</w:t>
      </w:r>
      <w:r w:rsidR="002C65EF">
        <w:rPr>
          <w:rFonts w:cs="Times New Roman"/>
          <w:lang w:val="fr-CA"/>
        </w:rPr>
        <w:t>’</w:t>
      </w:r>
      <w:r w:rsidR="002C65EF" w:rsidRPr="002C53FC">
        <w:rPr>
          <w:rFonts w:cs="Times New Roman"/>
          <w:lang w:val="fr-CA"/>
        </w:rPr>
        <w:t>un litige mettant en jeu les rapports qui existent entre deux des branches de l</w:t>
      </w:r>
      <w:r w:rsidR="002C65EF">
        <w:rPr>
          <w:rFonts w:cs="Times New Roman"/>
          <w:lang w:val="fr-CA"/>
        </w:rPr>
        <w:t>’</w:t>
      </w:r>
      <w:r w:rsidR="002C65EF" w:rsidRPr="002C53FC">
        <w:rPr>
          <w:rFonts w:cs="Times New Roman"/>
          <w:lang w:val="fr-CA"/>
        </w:rPr>
        <w:t>État. Il requiert que notre Cour mette en balance plusieurs impératifs constitutionnels liés à l</w:t>
      </w:r>
      <w:r w:rsidR="002C65EF">
        <w:rPr>
          <w:rFonts w:cs="Times New Roman"/>
          <w:lang w:val="fr-CA"/>
        </w:rPr>
        <w:t>’</w:t>
      </w:r>
      <w:r w:rsidR="002C65EF" w:rsidRPr="002C53FC">
        <w:rPr>
          <w:rFonts w:cs="Times New Roman"/>
          <w:lang w:val="fr-CA"/>
        </w:rPr>
        <w:t>administration de la justice et à la séparation des pouvoirs exécutif, législatif et judiciaire de l</w:t>
      </w:r>
      <w:r w:rsidR="002C65EF">
        <w:rPr>
          <w:rFonts w:cs="Times New Roman"/>
          <w:lang w:val="fr-CA"/>
        </w:rPr>
        <w:t>’</w:t>
      </w:r>
      <w:r w:rsidR="002C65EF" w:rsidRPr="002C53FC">
        <w:rPr>
          <w:rFonts w:cs="Times New Roman"/>
          <w:lang w:val="fr-CA"/>
        </w:rPr>
        <w:t>État</w:t>
      </w:r>
      <w:r w:rsidR="002C65EF">
        <w:rPr>
          <w:rFonts w:cs="Times New Roman"/>
          <w:lang w:val="fr-CA"/>
        </w:rPr>
        <w:t> :</w:t>
      </w:r>
      <w:r w:rsidR="002C65EF" w:rsidRPr="002C53FC">
        <w:rPr>
          <w:rFonts w:cs="Times New Roman"/>
          <w:lang w:val="fr-CA"/>
        </w:rPr>
        <w:t xml:space="preserve"> la dimension financière de l</w:t>
      </w:r>
      <w:r w:rsidR="002C65EF">
        <w:rPr>
          <w:rFonts w:cs="Times New Roman"/>
          <w:lang w:val="fr-CA"/>
        </w:rPr>
        <w:t>’</w:t>
      </w:r>
      <w:r w:rsidR="002C65EF" w:rsidRPr="002C53FC">
        <w:rPr>
          <w:rFonts w:cs="Times New Roman"/>
          <w:lang w:val="fr-CA"/>
        </w:rPr>
        <w:t>indépendance judiciaire, la responsabilité que partagent l</w:t>
      </w:r>
      <w:r w:rsidR="002C65EF">
        <w:rPr>
          <w:rFonts w:cs="Times New Roman"/>
          <w:lang w:val="fr-CA"/>
        </w:rPr>
        <w:t>’</w:t>
      </w:r>
      <w:r w:rsidR="002C65EF" w:rsidRPr="002C53FC">
        <w:rPr>
          <w:rFonts w:cs="Times New Roman"/>
          <w:lang w:val="fr-CA"/>
        </w:rPr>
        <w:t>exécutif et le législatif quant à la prise de décisions concernant les deniers publics et l</w:t>
      </w:r>
      <w:r w:rsidR="002C65EF">
        <w:rPr>
          <w:rFonts w:cs="Times New Roman"/>
          <w:lang w:val="fr-CA"/>
        </w:rPr>
        <w:t>’</w:t>
      </w:r>
      <w:r w:rsidR="002C65EF" w:rsidRPr="002C53FC">
        <w:rPr>
          <w:rFonts w:cs="Times New Roman"/>
          <w:lang w:val="fr-CA"/>
        </w:rPr>
        <w:t>intérêt public à ce que l</w:t>
      </w:r>
      <w:r w:rsidR="002C65EF">
        <w:rPr>
          <w:rFonts w:cs="Times New Roman"/>
          <w:lang w:val="fr-CA"/>
        </w:rPr>
        <w:t>’</w:t>
      </w:r>
      <w:r w:rsidR="002C65EF" w:rsidRPr="002C53FC">
        <w:rPr>
          <w:rFonts w:cs="Times New Roman"/>
          <w:lang w:val="fr-CA"/>
        </w:rPr>
        <w:t>exécutif puisse mener ses affaires internes confidentiellement.</w:t>
      </w:r>
    </w:p>
    <w:p w14:paraId="1DBCD92A" w14:textId="7DFDEC7F" w:rsidR="002C65EF" w:rsidRPr="002C53FC" w:rsidRDefault="002C65EF" w:rsidP="002C65EF">
      <w:pPr>
        <w:pStyle w:val="ParaNoNdepar-AltN"/>
        <w:spacing w:before="0"/>
        <w:rPr>
          <w:rFonts w:cs="Times New Roman"/>
          <w:lang w:val="fr-CA"/>
        </w:rPr>
      </w:pPr>
      <w:r w:rsidRPr="002C53FC">
        <w:rPr>
          <w:rFonts w:cs="Times New Roman"/>
          <w:lang w:val="fr-CA"/>
        </w:rPr>
        <w:t xml:space="preserve">Comme le pourvoi connexe </w:t>
      </w:r>
      <w:r w:rsidRPr="002C53FC">
        <w:rPr>
          <w:rFonts w:cs="Times New Roman"/>
          <w:i/>
          <w:lang w:val="fr-CA"/>
        </w:rPr>
        <w:t>Nouvelle</w:t>
      </w:r>
      <w:r>
        <w:rPr>
          <w:rFonts w:cs="Times New Roman"/>
          <w:i/>
          <w:lang w:val="fr-CA"/>
        </w:rPr>
        <w:noBreakHyphen/>
      </w:r>
      <w:r w:rsidRPr="002C53FC">
        <w:rPr>
          <w:rFonts w:cs="Times New Roman"/>
          <w:i/>
          <w:lang w:val="fr-CA"/>
        </w:rPr>
        <w:t>Écosse (Procureur général) c. Judges of the Provincial Court and Family Court of Nova Scotia</w:t>
      </w:r>
      <w:r w:rsidRPr="002C53FC">
        <w:rPr>
          <w:rFonts w:cs="Times New Roman"/>
          <w:lang w:val="fr-CA"/>
        </w:rPr>
        <w:t>, 2020 CSC 21,</w:t>
      </w:r>
      <w:r w:rsidR="00345490">
        <w:rPr>
          <w:rFonts w:cs="Times New Roman"/>
          <w:lang w:val="fr-CA"/>
        </w:rPr>
        <w:t xml:space="preserve"> </w:t>
      </w:r>
      <w:r w:rsidR="00345490">
        <w:rPr>
          <w:lang w:val="fr-CA"/>
        </w:rPr>
        <w:t>[2020</w:t>
      </w:r>
      <w:r w:rsidR="00345490" w:rsidRPr="003C250D">
        <w:rPr>
          <w:lang w:val="fr-CA"/>
        </w:rPr>
        <w:t xml:space="preserve">] </w:t>
      </w:r>
      <w:r w:rsidR="0084012A">
        <w:rPr>
          <w:lang w:val="fr-CA"/>
        </w:rPr>
        <w:t>2</w:t>
      </w:r>
      <w:r w:rsidR="00656AFE">
        <w:rPr>
          <w:lang w:val="fr-CA"/>
        </w:rPr>
        <w:t> R.C.S. </w:t>
      </w:r>
      <w:r w:rsidR="00784C41">
        <w:rPr>
          <w:lang w:val="fr-CA"/>
        </w:rPr>
        <w:t>556</w:t>
      </w:r>
      <w:r w:rsidR="008B587B">
        <w:rPr>
          <w:lang w:val="fr-CA"/>
        </w:rPr>
        <w:t>,</w:t>
      </w:r>
      <w:r w:rsidRPr="002C53FC">
        <w:rPr>
          <w:rFonts w:cs="Times New Roman"/>
          <w:lang w:val="fr-CA"/>
        </w:rPr>
        <w:t xml:space="preserve"> le présent pourvoi porte sur la question de savoir si un mémoire au Cabinet concernant une réponse d</w:t>
      </w:r>
      <w:r>
        <w:rPr>
          <w:rFonts w:cs="Times New Roman"/>
          <w:lang w:val="fr-CA"/>
        </w:rPr>
        <w:t>’</w:t>
      </w:r>
      <w:r w:rsidRPr="002C53FC">
        <w:rPr>
          <w:rFonts w:cs="Times New Roman"/>
          <w:lang w:val="fr-CA"/>
        </w:rPr>
        <w:t>un gouvernement aux recommandations d</w:t>
      </w:r>
      <w:r>
        <w:rPr>
          <w:rFonts w:cs="Times New Roman"/>
          <w:lang w:val="fr-CA"/>
        </w:rPr>
        <w:t>’</w:t>
      </w:r>
      <w:r w:rsidRPr="002C53FC">
        <w:rPr>
          <w:rFonts w:cs="Times New Roman"/>
          <w:lang w:val="fr-CA"/>
        </w:rPr>
        <w:t>une commission d</w:t>
      </w:r>
      <w:r>
        <w:rPr>
          <w:rFonts w:cs="Times New Roman"/>
          <w:lang w:val="fr-CA"/>
        </w:rPr>
        <w:t>’</w:t>
      </w:r>
      <w:r w:rsidRPr="002C53FC">
        <w:rPr>
          <w:rFonts w:cs="Times New Roman"/>
          <w:lang w:val="fr-CA"/>
        </w:rPr>
        <w:t>examen de la rémunération des juges peut faire partie du dossier en cas de contrôle judiciaire de cette réponse. Dans l</w:t>
      </w:r>
      <w:r>
        <w:rPr>
          <w:rFonts w:cs="Times New Roman"/>
          <w:lang w:val="fr-CA"/>
        </w:rPr>
        <w:t>’</w:t>
      </w:r>
      <w:r w:rsidRPr="002C53FC">
        <w:rPr>
          <w:rFonts w:cs="Times New Roman"/>
          <w:lang w:val="fr-CA"/>
        </w:rPr>
        <w:t>affirmative, il faudra ensuite déterminer si, pour des motifs liés à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également parfois appelée exception d</w:t>
      </w:r>
      <w:r>
        <w:rPr>
          <w:rFonts w:cs="Times New Roman"/>
          <w:lang w:val="fr-CA"/>
        </w:rPr>
        <w:t>’</w:t>
      </w:r>
      <w:r w:rsidRPr="002C53FC">
        <w:rPr>
          <w:rFonts w:cs="Times New Roman"/>
          <w:lang w:val="fr-CA"/>
        </w:rPr>
        <w:t>intérêt public, le procureur général de la Colombie</w:t>
      </w:r>
      <w:r>
        <w:rPr>
          <w:rFonts w:cs="Times New Roman"/>
          <w:lang w:val="fr-CA"/>
        </w:rPr>
        <w:noBreakHyphen/>
      </w:r>
      <w:r w:rsidRPr="002C53FC">
        <w:rPr>
          <w:rFonts w:cs="Times New Roman"/>
          <w:lang w:val="fr-CA"/>
        </w:rPr>
        <w:t>Britannique devrait malgré tout pouvoir refuser de produire le mémoire.</w:t>
      </w:r>
    </w:p>
    <w:p w14:paraId="70E3DC46" w14:textId="77777777" w:rsidR="002C65EF" w:rsidRPr="002C53FC" w:rsidRDefault="002C65EF" w:rsidP="002C65EF">
      <w:pPr>
        <w:pStyle w:val="ParaNoNdepar-AltN"/>
        <w:spacing w:before="0"/>
        <w:rPr>
          <w:rFonts w:cs="Times New Roman"/>
          <w:lang w:val="fr-CA"/>
        </w:rPr>
      </w:pPr>
      <w:r w:rsidRPr="002C53FC">
        <w:rPr>
          <w:rFonts w:cs="Times New Roman"/>
          <w:lang w:val="fr-CA"/>
        </w:rPr>
        <w:t>Après avoir conclu que le document confidentiel du Cabinet réclamé par la Provincial Court Judges</w:t>
      </w:r>
      <w:r>
        <w:rPr>
          <w:rFonts w:cs="Times New Roman"/>
          <w:lang w:val="fr-CA"/>
        </w:rPr>
        <w:t>’</w:t>
      </w:r>
      <w:r w:rsidRPr="002C53FC">
        <w:rPr>
          <w:rFonts w:cs="Times New Roman"/>
          <w:lang w:val="fr-CA"/>
        </w:rPr>
        <w:t xml:space="preserve"> Association of British Columbia (Association) était pertinent et non protégé par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les tribunaux de la Colombie</w:t>
      </w:r>
      <w:r>
        <w:rPr>
          <w:rFonts w:cs="Times New Roman"/>
          <w:lang w:val="fr-CA"/>
        </w:rPr>
        <w:noBreakHyphen/>
      </w:r>
      <w:r w:rsidRPr="002C53FC">
        <w:rPr>
          <w:rFonts w:cs="Times New Roman"/>
          <w:lang w:val="fr-CA"/>
        </w:rPr>
        <w:t>Britannique ont ordonné au procureur général de le produire.</w:t>
      </w:r>
    </w:p>
    <w:p w14:paraId="70865639" w14:textId="77777777" w:rsidR="002C65EF" w:rsidRPr="002C53FC" w:rsidRDefault="002C65EF" w:rsidP="002C65EF">
      <w:pPr>
        <w:pStyle w:val="ParaNoNdepar-AltN"/>
        <w:spacing w:before="0"/>
        <w:rPr>
          <w:rFonts w:cs="Times New Roman"/>
          <w:lang w:val="fr-CA"/>
        </w:rPr>
      </w:pPr>
      <w:r w:rsidRPr="002C53FC">
        <w:rPr>
          <w:rFonts w:cs="Times New Roman"/>
          <w:lang w:val="fr-CA"/>
        </w:rPr>
        <w:t>Selon moi, ils ont eu tort de le faire.</w:t>
      </w:r>
    </w:p>
    <w:p w14:paraId="6CA6BF04"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Dans sa jurisprudence relative à l</w:t>
      </w:r>
      <w:r>
        <w:rPr>
          <w:rFonts w:cs="Times New Roman"/>
          <w:lang w:val="fr-CA"/>
        </w:rPr>
        <w:t>’</w:t>
      </w:r>
      <w:r w:rsidRPr="002C53FC">
        <w:rPr>
          <w:rFonts w:cs="Times New Roman"/>
          <w:lang w:val="fr-CA"/>
        </w:rPr>
        <w:t>indépendance judiciaire, la Cour a constamment cherché à établir un juste équilibre entre plusieurs considérations constitutionnelles opposées en créant un mécanisme unique pour fixer la rémunération des juges. Pour soutenir ce mécanisme, la Cour a établi, dans l</w:t>
      </w:r>
      <w:r>
        <w:rPr>
          <w:rFonts w:cs="Times New Roman"/>
          <w:lang w:val="fr-CA"/>
        </w:rPr>
        <w:t>’</w:t>
      </w:r>
      <w:r w:rsidRPr="002C53FC">
        <w:rPr>
          <w:rFonts w:cs="Times New Roman"/>
          <w:lang w:val="fr-CA"/>
        </w:rPr>
        <w:t xml:space="preserve">arrêt </w:t>
      </w:r>
      <w:r w:rsidRPr="002C53FC">
        <w:rPr>
          <w:rFonts w:cs="Times New Roman"/>
          <w:i/>
          <w:lang w:val="fr-CA"/>
        </w:rPr>
        <w:t>Bodner c. Alberta</w:t>
      </w:r>
      <w:r w:rsidRPr="002C53FC">
        <w:rPr>
          <w:rFonts w:cs="Times New Roman"/>
          <w:lang w:val="fr-CA"/>
        </w:rPr>
        <w:t>, 2005 CSC 44, [2005] 2 R.C.S. 286</w:t>
      </w:r>
      <w:r w:rsidRPr="00BF3C81">
        <w:rPr>
          <w:rStyle w:val="Hyperlink"/>
          <w:color w:val="auto"/>
          <w:u w:val="none"/>
          <w:vertAlign w:val="superscript"/>
        </w:rPr>
        <w:footnoteReference w:id="1"/>
      </w:r>
      <w:r w:rsidRPr="002C53FC">
        <w:rPr>
          <w:rFonts w:cs="Times New Roman"/>
          <w:lang w:val="fr-CA"/>
        </w:rPr>
        <w:t>, une forme de contrôle judiciaire à la fois circonscrite et rigoureuse. Pour trancher le présent pourvoi, la Cour doit appliquer les règles en matière de preuve et de production de manière à tenir compte des caractéristiques uniques du contrôle limité décrit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et à respecter aussi bien le principe de l</w:t>
      </w:r>
      <w:r>
        <w:rPr>
          <w:rFonts w:cs="Times New Roman"/>
          <w:lang w:val="fr-CA"/>
        </w:rPr>
        <w:t>’</w:t>
      </w:r>
      <w:r w:rsidRPr="002C53FC">
        <w:rPr>
          <w:rFonts w:cs="Times New Roman"/>
          <w:lang w:val="fr-CA"/>
        </w:rPr>
        <w:t>indépendance judiciaire que celui de la confidentialité du processus décisionnel du Cabinet.</w:t>
      </w:r>
    </w:p>
    <w:p w14:paraId="53FAF576" w14:textId="77777777" w:rsidR="002C65EF" w:rsidRPr="002C53FC" w:rsidRDefault="002C65EF" w:rsidP="002C65EF">
      <w:pPr>
        <w:pStyle w:val="ParaNoNdepar-AltN"/>
        <w:spacing w:before="0"/>
        <w:rPr>
          <w:rFonts w:cs="Times New Roman"/>
          <w:lang w:val="fr-CA"/>
        </w:rPr>
      </w:pPr>
      <w:r w:rsidRPr="002C53FC">
        <w:rPr>
          <w:rFonts w:cs="Times New Roman"/>
          <w:lang w:val="fr-CA"/>
        </w:rPr>
        <w:t>Pour les motifs qui suivent, lorsqu</w:t>
      </w:r>
      <w:r>
        <w:rPr>
          <w:rFonts w:cs="Times New Roman"/>
          <w:lang w:val="fr-CA"/>
        </w:rPr>
        <w:t>’</w:t>
      </w:r>
      <w:r w:rsidRPr="002C53FC">
        <w:rPr>
          <w:rFonts w:cs="Times New Roman"/>
          <w:lang w:val="fr-CA"/>
        </w:rPr>
        <w:t xml:space="preserve">une partie qui sollicite un contrôle de type </w:t>
      </w:r>
      <w:r w:rsidRPr="002C53FC">
        <w:rPr>
          <w:rFonts w:cs="Times New Roman"/>
          <w:i/>
          <w:lang w:val="fr-CA"/>
        </w:rPr>
        <w:t>Bodner</w:t>
      </w:r>
      <w:r w:rsidRPr="002C53FC">
        <w:rPr>
          <w:rFonts w:cs="Times New Roman"/>
          <w:lang w:val="fr-CA"/>
        </w:rPr>
        <w:t xml:space="preserve"> réclame la production, par le gouvernement, d</w:t>
      </w:r>
      <w:r>
        <w:rPr>
          <w:rFonts w:cs="Times New Roman"/>
          <w:lang w:val="fr-CA"/>
        </w:rPr>
        <w:t>’</w:t>
      </w:r>
      <w:r w:rsidRPr="002C53FC">
        <w:rPr>
          <w:rFonts w:cs="Times New Roman"/>
          <w:lang w:val="fr-CA"/>
        </w:rPr>
        <w:t>un document se rapportant aux délibérations du Cabinet, elle doit d</w:t>
      </w:r>
      <w:r>
        <w:rPr>
          <w:rFonts w:cs="Times New Roman"/>
          <w:lang w:val="fr-CA"/>
        </w:rPr>
        <w:t>’</w:t>
      </w:r>
      <w:r w:rsidRPr="002C53FC">
        <w:rPr>
          <w:rFonts w:cs="Times New Roman"/>
          <w:lang w:val="fr-CA"/>
        </w:rPr>
        <w:t>abord établir qu</w:t>
      </w:r>
      <w:r>
        <w:rPr>
          <w:rFonts w:cs="Times New Roman"/>
          <w:lang w:val="fr-CA"/>
        </w:rPr>
        <w:t>’</w:t>
      </w:r>
      <w:r w:rsidRPr="002C53FC">
        <w:rPr>
          <w:rFonts w:cs="Times New Roman"/>
          <w:lang w:val="fr-CA"/>
        </w:rPr>
        <w:t>il existe des raisons de croire que le document pourrait contenir des éléments de preuve tendant à démontrer que le gouvernement n</w:t>
      </w:r>
      <w:r>
        <w:rPr>
          <w:rFonts w:cs="Times New Roman"/>
          <w:lang w:val="fr-CA"/>
        </w:rPr>
        <w:t>’</w:t>
      </w:r>
      <w:r w:rsidRPr="002C53FC">
        <w:rPr>
          <w:rFonts w:cs="Times New Roman"/>
          <w:lang w:val="fr-CA"/>
        </w:rPr>
        <w:t>a pas satisfait à une des exigences de l</w:t>
      </w:r>
      <w:r>
        <w:rPr>
          <w:rFonts w:cs="Times New Roman"/>
          <w:lang w:val="fr-CA"/>
        </w:rPr>
        <w:t>’</w:t>
      </w:r>
      <w:r w:rsidRPr="002C53FC">
        <w:rPr>
          <w:rFonts w:cs="Times New Roman"/>
          <w:lang w:val="fr-CA"/>
        </w:rPr>
        <w:t>analyse établie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C</w:t>
      </w:r>
      <w:r>
        <w:rPr>
          <w:rFonts w:cs="Times New Roman"/>
          <w:lang w:val="fr-CA"/>
        </w:rPr>
        <w:t>’</w:t>
      </w:r>
      <w:r w:rsidRPr="002C53FC">
        <w:rPr>
          <w:rFonts w:cs="Times New Roman"/>
          <w:lang w:val="fr-CA"/>
        </w:rPr>
        <w:t xml:space="preserve">est seulement après que cette démonstration a été faite que le gouvernement est tenu de produire le document en vue de sa consultation par un juge. Si le document fournit effectivement des éléments de preuve tendant à démontrer que la réponse du gouvernement ne respecte pas les exigences constitutionnelles, le tribunal peut alors </w:t>
      </w:r>
      <w:r w:rsidRPr="002C53FC">
        <w:rPr>
          <w:rFonts w:cs="Times New Roman"/>
          <w:lang w:val="fr-CA"/>
        </w:rPr>
        <w:lastRenderedPageBreak/>
        <w:t>décider si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ou une autre règle de preuve invoquée par le gouvernement s</w:t>
      </w:r>
      <w:r>
        <w:rPr>
          <w:rFonts w:cs="Times New Roman"/>
          <w:lang w:val="fr-CA"/>
        </w:rPr>
        <w:t>’</w:t>
      </w:r>
      <w:r w:rsidRPr="002C53FC">
        <w:rPr>
          <w:rFonts w:cs="Times New Roman"/>
          <w:lang w:val="fr-CA"/>
        </w:rPr>
        <w:t>applique de manière à empêcher la production.</w:t>
      </w:r>
    </w:p>
    <w:p w14:paraId="5DA79731" w14:textId="77777777" w:rsidR="002C65EF" w:rsidRPr="002C53FC" w:rsidRDefault="002C65EF" w:rsidP="002C65EF">
      <w:pPr>
        <w:pStyle w:val="ParaNoNdepar-AltN"/>
        <w:spacing w:before="0"/>
        <w:rPr>
          <w:rFonts w:cs="Times New Roman"/>
          <w:lang w:val="fr-CA"/>
        </w:rPr>
      </w:pPr>
      <w:r w:rsidRPr="002C53FC">
        <w:rPr>
          <w:rFonts w:cs="Times New Roman"/>
          <w:lang w:val="fr-CA"/>
        </w:rPr>
        <w:t>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nécessite de mettre soigneusement en balance des intérêts opposés du public</w:t>
      </w:r>
      <w:r>
        <w:rPr>
          <w:rFonts w:cs="Times New Roman"/>
          <w:lang w:val="fr-CA"/>
        </w:rPr>
        <w:t> :</w:t>
      </w:r>
      <w:r w:rsidRPr="002C53FC">
        <w:rPr>
          <w:rFonts w:cs="Times New Roman"/>
          <w:lang w:val="fr-CA"/>
        </w:rPr>
        <w:t xml:space="preserve"> d</w:t>
      </w:r>
      <w:r>
        <w:rPr>
          <w:rFonts w:cs="Times New Roman"/>
          <w:lang w:val="fr-CA"/>
        </w:rPr>
        <w:t>’</w:t>
      </w:r>
      <w:r w:rsidRPr="002C53FC">
        <w:rPr>
          <w:rFonts w:cs="Times New Roman"/>
          <w:lang w:val="fr-CA"/>
        </w:rPr>
        <w:t>une part, l</w:t>
      </w:r>
      <w:r>
        <w:rPr>
          <w:rFonts w:cs="Times New Roman"/>
          <w:lang w:val="fr-CA"/>
        </w:rPr>
        <w:t>’</w:t>
      </w:r>
      <w:r w:rsidRPr="002C53FC">
        <w:rPr>
          <w:rFonts w:cs="Times New Roman"/>
          <w:lang w:val="fr-CA"/>
        </w:rPr>
        <w:t>intérêt à ce que la confidentialité des renseignements soit protégée et, d</w:t>
      </w:r>
      <w:r>
        <w:rPr>
          <w:rFonts w:cs="Times New Roman"/>
          <w:lang w:val="fr-CA"/>
        </w:rPr>
        <w:t>’</w:t>
      </w:r>
      <w:r w:rsidRPr="002C53FC">
        <w:rPr>
          <w:rFonts w:cs="Times New Roman"/>
          <w:lang w:val="fr-CA"/>
        </w:rPr>
        <w:t>autre part, l</w:t>
      </w:r>
      <w:r>
        <w:rPr>
          <w:rFonts w:cs="Times New Roman"/>
          <w:lang w:val="fr-CA"/>
        </w:rPr>
        <w:t>’</w:t>
      </w:r>
      <w:r w:rsidRPr="002C53FC">
        <w:rPr>
          <w:rFonts w:cs="Times New Roman"/>
          <w:lang w:val="fr-CA"/>
        </w:rPr>
        <w:t>intérêt à ce que ceux</w:t>
      </w:r>
      <w:r>
        <w:rPr>
          <w:rFonts w:cs="Times New Roman"/>
          <w:lang w:val="fr-CA"/>
        </w:rPr>
        <w:noBreakHyphen/>
      </w:r>
      <w:r w:rsidRPr="002C53FC">
        <w:rPr>
          <w:rFonts w:cs="Times New Roman"/>
          <w:lang w:val="fr-CA"/>
        </w:rPr>
        <w:t>ci soient divulgués. L</w:t>
      </w:r>
      <w:r>
        <w:rPr>
          <w:rFonts w:cs="Times New Roman"/>
          <w:lang w:val="fr-CA"/>
        </w:rPr>
        <w:t>’</w:t>
      </w:r>
      <w:r w:rsidRPr="002C53FC">
        <w:rPr>
          <w:rFonts w:cs="Times New Roman"/>
          <w:lang w:val="fr-CA"/>
        </w:rPr>
        <w:t>intérêt du public à ce qu</w:t>
      </w:r>
      <w:r>
        <w:rPr>
          <w:rFonts w:cs="Times New Roman"/>
          <w:lang w:val="fr-CA"/>
        </w:rPr>
        <w:t>’</w:t>
      </w:r>
      <w:r w:rsidRPr="002C53FC">
        <w:rPr>
          <w:rFonts w:cs="Times New Roman"/>
          <w:lang w:val="fr-CA"/>
        </w:rPr>
        <w:t>un document relatif aux délibérations du Cabinet demeure confidentiel étant important, il doit être supplanté par un intérêt du public encore plus important à ce qu</w:t>
      </w:r>
      <w:r>
        <w:rPr>
          <w:rFonts w:cs="Times New Roman"/>
          <w:lang w:val="fr-CA"/>
        </w:rPr>
        <w:t>’</w:t>
      </w:r>
      <w:r w:rsidRPr="002C53FC">
        <w:rPr>
          <w:rFonts w:cs="Times New Roman"/>
          <w:lang w:val="fr-CA"/>
        </w:rPr>
        <w:t>il soit divulgué. Dans le cadre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le poids à accorder à l</w:t>
      </w:r>
      <w:r>
        <w:rPr>
          <w:rFonts w:cs="Times New Roman"/>
          <w:lang w:val="fr-CA"/>
        </w:rPr>
        <w:t>’</w:t>
      </w:r>
      <w:r w:rsidRPr="002C53FC">
        <w:rPr>
          <w:rFonts w:cs="Times New Roman"/>
          <w:lang w:val="fr-CA"/>
        </w:rPr>
        <w:t>intérêt du public à ce que le document soit divulgué dépend souvent de l</w:t>
      </w:r>
      <w:r>
        <w:rPr>
          <w:rFonts w:cs="Times New Roman"/>
          <w:lang w:val="fr-CA"/>
        </w:rPr>
        <w:t>’</w:t>
      </w:r>
      <w:r w:rsidRPr="002C53FC">
        <w:rPr>
          <w:rFonts w:cs="Times New Roman"/>
          <w:lang w:val="fr-CA"/>
        </w:rPr>
        <w:t>importance du document visé pour que le tribunal de révision puisse trancher les questions dont il est saisi.</w:t>
      </w:r>
    </w:p>
    <w:p w14:paraId="01601F27" w14:textId="77777777" w:rsidR="002C65EF" w:rsidRPr="002C53FC" w:rsidRDefault="002C65EF" w:rsidP="002C65EF">
      <w:pPr>
        <w:pStyle w:val="ParaNoNdepar-AltN"/>
        <w:spacing w:before="0"/>
        <w:rPr>
          <w:rFonts w:cs="Times New Roman"/>
          <w:lang w:val="fr-CA"/>
        </w:rPr>
      </w:pPr>
      <w:r w:rsidRPr="002C53FC">
        <w:rPr>
          <w:rFonts w:cs="Times New Roman"/>
          <w:lang w:val="fr-CA"/>
        </w:rPr>
        <w:t>En l</w:t>
      </w:r>
      <w:r>
        <w:rPr>
          <w:rFonts w:cs="Times New Roman"/>
          <w:lang w:val="fr-CA"/>
        </w:rPr>
        <w:t>’</w:t>
      </w:r>
      <w:r w:rsidRPr="002C53FC">
        <w:rPr>
          <w:rFonts w:cs="Times New Roman"/>
          <w:lang w:val="fr-CA"/>
        </w:rPr>
        <w:t>espèce, l</w:t>
      </w:r>
      <w:r>
        <w:rPr>
          <w:rFonts w:cs="Times New Roman"/>
          <w:lang w:val="fr-CA"/>
        </w:rPr>
        <w:t>’</w:t>
      </w:r>
      <w:r w:rsidRPr="002C53FC">
        <w:rPr>
          <w:rFonts w:cs="Times New Roman"/>
          <w:lang w:val="fr-CA"/>
        </w:rPr>
        <w:t>Association n</w:t>
      </w:r>
      <w:r>
        <w:rPr>
          <w:rFonts w:cs="Times New Roman"/>
          <w:lang w:val="fr-CA"/>
        </w:rPr>
        <w:t>’</w:t>
      </w:r>
      <w:r w:rsidRPr="002C53FC">
        <w:rPr>
          <w:rFonts w:cs="Times New Roman"/>
          <w:lang w:val="fr-CA"/>
        </w:rPr>
        <w:t>a pas fait la démonstration préliminaire requise pour qu</w:t>
      </w:r>
      <w:r>
        <w:rPr>
          <w:rFonts w:cs="Times New Roman"/>
          <w:lang w:val="fr-CA"/>
        </w:rPr>
        <w:t>’</w:t>
      </w:r>
      <w:r w:rsidRPr="002C53FC">
        <w:rPr>
          <w:rFonts w:cs="Times New Roman"/>
          <w:lang w:val="fr-CA"/>
        </w:rPr>
        <w:t>un juge ordonne la production d</w:t>
      </w:r>
      <w:r>
        <w:rPr>
          <w:rFonts w:cs="Times New Roman"/>
          <w:lang w:val="fr-CA"/>
        </w:rPr>
        <w:t>’</w:t>
      </w:r>
      <w:r w:rsidRPr="002C53FC">
        <w:rPr>
          <w:rFonts w:cs="Times New Roman"/>
          <w:lang w:val="fr-CA"/>
        </w:rPr>
        <w:t>un document confidentiel du Cabinet afin de le consulter. Bien que cette exigence ne soit pas élevée, on ne peut y satisfaire simplement en montrant que le gouvernement a tenu compte du document du Cabinet avant de donner sa réponse. Je suis d</w:t>
      </w:r>
      <w:r>
        <w:rPr>
          <w:rFonts w:cs="Times New Roman"/>
          <w:lang w:val="fr-CA"/>
        </w:rPr>
        <w:t>’</w:t>
      </w:r>
      <w:r w:rsidRPr="002C53FC">
        <w:rPr>
          <w:rFonts w:cs="Times New Roman"/>
          <w:lang w:val="fr-CA"/>
        </w:rPr>
        <w:t>avis d</w:t>
      </w:r>
      <w:r>
        <w:rPr>
          <w:rFonts w:cs="Times New Roman"/>
          <w:lang w:val="fr-CA"/>
        </w:rPr>
        <w:t>’</w:t>
      </w:r>
      <w:r w:rsidRPr="002C53FC">
        <w:rPr>
          <w:rFonts w:cs="Times New Roman"/>
          <w:lang w:val="fr-CA"/>
        </w:rPr>
        <w:t>accueillir le pourvoi et d</w:t>
      </w:r>
      <w:r>
        <w:rPr>
          <w:rFonts w:cs="Times New Roman"/>
          <w:lang w:val="fr-CA"/>
        </w:rPr>
        <w:t>’</w:t>
      </w:r>
      <w:r w:rsidRPr="002C53FC">
        <w:rPr>
          <w:rFonts w:cs="Times New Roman"/>
          <w:lang w:val="fr-CA"/>
        </w:rPr>
        <w:t>annuler l</w:t>
      </w:r>
      <w:r>
        <w:rPr>
          <w:rFonts w:cs="Times New Roman"/>
          <w:lang w:val="fr-CA"/>
        </w:rPr>
        <w:t>’</w:t>
      </w:r>
      <w:r w:rsidRPr="002C53FC">
        <w:rPr>
          <w:rFonts w:cs="Times New Roman"/>
          <w:lang w:val="fr-CA"/>
        </w:rPr>
        <w:t>ordonnance de production du mémoire au Cabinet.</w:t>
      </w:r>
    </w:p>
    <w:p w14:paraId="5F97C14E" w14:textId="77777777" w:rsidR="002C65EF" w:rsidRPr="002C53FC" w:rsidRDefault="002C65EF" w:rsidP="002C65EF">
      <w:pPr>
        <w:pStyle w:val="Title1LevelTitre1Niveau-AltL"/>
        <w:spacing w:before="0"/>
        <w:rPr>
          <w:rFonts w:cs="Times New Roman"/>
          <w:lang w:val="fr-CA"/>
        </w:rPr>
      </w:pPr>
      <w:r w:rsidRPr="002C53FC">
        <w:rPr>
          <w:rFonts w:cs="Times New Roman"/>
          <w:lang w:val="fr-CA"/>
        </w:rPr>
        <w:t>Contexte</w:t>
      </w:r>
    </w:p>
    <w:p w14:paraId="5BDFB8A2" w14:textId="77777777" w:rsidR="002C65EF" w:rsidRPr="002C53FC" w:rsidRDefault="002C65EF" w:rsidP="002C65EF">
      <w:pPr>
        <w:pStyle w:val="Title2LevelTitre2Niveau"/>
        <w:spacing w:before="0"/>
        <w:rPr>
          <w:rFonts w:cs="Times New Roman"/>
          <w:lang w:val="fr-CA"/>
        </w:rPr>
      </w:pPr>
      <w:r w:rsidRPr="002C53FC">
        <w:rPr>
          <w:rFonts w:cs="Times New Roman"/>
          <w:lang w:val="fr-CA"/>
        </w:rPr>
        <w:t>Judicial Compensation Act, S.B.C. 2003, c. 59</w:t>
      </w:r>
    </w:p>
    <w:p w14:paraId="30BB085A" w14:textId="271FC694" w:rsidR="002C65EF" w:rsidRPr="002C53FC" w:rsidRDefault="002C65EF" w:rsidP="002C65EF">
      <w:pPr>
        <w:pStyle w:val="ParaNoNdepar-AltN"/>
        <w:spacing w:before="0"/>
        <w:rPr>
          <w:rFonts w:cs="Times New Roman"/>
          <w:lang w:val="fr-CA"/>
        </w:rPr>
      </w:pPr>
      <w:r w:rsidRPr="002C53FC">
        <w:rPr>
          <w:rFonts w:cs="Times New Roman"/>
          <w:lang w:val="fr-CA"/>
        </w:rPr>
        <w:lastRenderedPageBreak/>
        <w:t xml:space="preserve">Dans le </w:t>
      </w:r>
      <w:r w:rsidRPr="002C53FC">
        <w:rPr>
          <w:rFonts w:cs="Times New Roman"/>
          <w:i/>
          <w:lang w:val="fr-CA"/>
        </w:rPr>
        <w:t xml:space="preserve">Renvoi relatif à la rémunération des </w:t>
      </w:r>
      <w:r w:rsidR="009F0377">
        <w:rPr>
          <w:rFonts w:cs="Times New Roman"/>
          <w:i/>
          <w:lang w:val="fr-CA"/>
        </w:rPr>
        <w:t>juges de la Cour provinciale de l’Île-du-Prince-Édouard</w:t>
      </w:r>
      <w:r w:rsidRPr="002C53FC">
        <w:rPr>
          <w:rFonts w:cs="Times New Roman"/>
          <w:lang w:val="fr-CA"/>
        </w:rPr>
        <w:t>, [1997] 3 R.C.S. 3 (</w:t>
      </w:r>
      <w:r w:rsidRPr="002C53FC">
        <w:rPr>
          <w:rFonts w:cs="Times New Roman"/>
          <w:i/>
          <w:lang w:val="fr-CA"/>
        </w:rPr>
        <w:t>Renvoi relatif aux juges de la Cour provinciale</w:t>
      </w:r>
      <w:r w:rsidRPr="002C53FC">
        <w:rPr>
          <w:rFonts w:cs="Times New Roman"/>
          <w:lang w:val="fr-CA"/>
        </w:rPr>
        <w:t>), la Cour a énoncé les exigences constitutionnelles de base devant servir de référence pour modifier le traitement des juges. C</w:t>
      </w:r>
      <w:r>
        <w:rPr>
          <w:rFonts w:cs="Times New Roman"/>
          <w:lang w:val="fr-CA"/>
        </w:rPr>
        <w:t>’</w:t>
      </w:r>
      <w:r w:rsidRPr="002C53FC">
        <w:rPr>
          <w:rFonts w:cs="Times New Roman"/>
          <w:lang w:val="fr-CA"/>
        </w:rPr>
        <w:t xml:space="preserve">est la loi intitulée </w:t>
      </w:r>
      <w:r w:rsidRPr="002C53FC">
        <w:rPr>
          <w:rFonts w:cs="Times New Roman"/>
          <w:i/>
          <w:lang w:val="fr-CA"/>
        </w:rPr>
        <w:t>Judicial Compensation Act</w:t>
      </w:r>
      <w:r w:rsidRPr="002C53FC">
        <w:rPr>
          <w:rFonts w:cs="Times New Roman"/>
          <w:lang w:val="fr-CA"/>
        </w:rPr>
        <w:t xml:space="preserve"> qui met en œuvre ces exigences de base en Colombie</w:t>
      </w:r>
      <w:r>
        <w:rPr>
          <w:rFonts w:cs="Times New Roman"/>
          <w:lang w:val="fr-CA"/>
        </w:rPr>
        <w:noBreakHyphen/>
      </w:r>
      <w:r w:rsidRPr="002C53FC">
        <w:rPr>
          <w:rFonts w:cs="Times New Roman"/>
          <w:lang w:val="fr-CA"/>
        </w:rPr>
        <w:t>Britannique.</w:t>
      </w:r>
    </w:p>
    <w:p w14:paraId="123C34F2" w14:textId="3E379BED" w:rsidR="002C65EF" w:rsidRPr="002C53FC" w:rsidRDefault="002C65EF" w:rsidP="002C65EF">
      <w:pPr>
        <w:pStyle w:val="ParaNoNdepar-AltN"/>
        <w:spacing w:before="0"/>
        <w:rPr>
          <w:rFonts w:cs="Times New Roman"/>
          <w:lang w:val="fr-CA"/>
        </w:rPr>
      </w:pPr>
      <w:r w:rsidRPr="002C53FC">
        <w:rPr>
          <w:rFonts w:cs="Times New Roman"/>
          <w:lang w:val="fr-CA"/>
        </w:rPr>
        <w:t xml:space="preserve">La </w:t>
      </w:r>
      <w:r w:rsidRPr="002C53FC">
        <w:rPr>
          <w:rFonts w:cs="Times New Roman"/>
          <w:i/>
          <w:lang w:val="fr-CA"/>
        </w:rPr>
        <w:t>Judicial Compensation Act</w:t>
      </w:r>
      <w:r w:rsidRPr="002C53FC">
        <w:rPr>
          <w:rFonts w:cs="Times New Roman"/>
          <w:lang w:val="fr-CA"/>
        </w:rPr>
        <w:t xml:space="preserve"> prévoit la nomination d</w:t>
      </w:r>
      <w:r>
        <w:rPr>
          <w:rFonts w:cs="Times New Roman"/>
          <w:lang w:val="fr-CA"/>
        </w:rPr>
        <w:t>’</w:t>
      </w:r>
      <w:r w:rsidRPr="002C53FC">
        <w:rPr>
          <w:rFonts w:cs="Times New Roman"/>
          <w:lang w:val="fr-CA"/>
        </w:rPr>
        <w:t>une commission triennale chargée de formuler des recommandations au sujet de la rémunération, des indemnités et des avantages consentis aux juges provinciaux et aux juges de paix judiciaires</w:t>
      </w:r>
      <w:r>
        <w:rPr>
          <w:rFonts w:cs="Times New Roman"/>
          <w:lang w:val="fr-CA"/>
        </w:rPr>
        <w:t> :</w:t>
      </w:r>
      <w:r w:rsidRPr="002C53FC">
        <w:rPr>
          <w:rFonts w:cs="Times New Roman"/>
          <w:lang w:val="fr-CA"/>
        </w:rPr>
        <w:t xml:space="preserve"> </w:t>
      </w:r>
      <w:r>
        <w:rPr>
          <w:rFonts w:cs="Times New Roman"/>
          <w:lang w:val="fr-CA"/>
        </w:rPr>
        <w:t>art. </w:t>
      </w:r>
      <w:r w:rsidRPr="002C53FC">
        <w:rPr>
          <w:rFonts w:cs="Times New Roman"/>
          <w:lang w:val="fr-CA"/>
        </w:rPr>
        <w:t xml:space="preserve">2 et </w:t>
      </w:r>
      <w:r>
        <w:rPr>
          <w:rFonts w:cs="Times New Roman"/>
          <w:lang w:val="fr-CA"/>
        </w:rPr>
        <w:t>par. </w:t>
      </w:r>
      <w:r w:rsidRPr="002C53FC">
        <w:rPr>
          <w:rFonts w:cs="Times New Roman"/>
          <w:lang w:val="fr-CA"/>
        </w:rPr>
        <w:t>5(1). À cette fin, la commission doit tenir compte d</w:t>
      </w:r>
      <w:r>
        <w:rPr>
          <w:rFonts w:cs="Times New Roman"/>
          <w:lang w:val="fr-CA"/>
        </w:rPr>
        <w:t>’</w:t>
      </w:r>
      <w:r w:rsidRPr="002C53FC">
        <w:rPr>
          <w:rFonts w:cs="Times New Roman"/>
          <w:lang w:val="fr-CA"/>
        </w:rPr>
        <w:t>un ensemble de facteurs prescrits par la loi, et peut aussi prendre en considération d</w:t>
      </w:r>
      <w:r>
        <w:rPr>
          <w:rFonts w:cs="Times New Roman"/>
          <w:lang w:val="fr-CA"/>
        </w:rPr>
        <w:t>’</w:t>
      </w:r>
      <w:r w:rsidRPr="002C53FC">
        <w:rPr>
          <w:rFonts w:cs="Times New Roman"/>
          <w:lang w:val="fr-CA"/>
        </w:rPr>
        <w:t>autres facteurs, à condition de démontrer leur pertinence</w:t>
      </w:r>
      <w:r>
        <w:rPr>
          <w:rFonts w:cs="Times New Roman"/>
          <w:lang w:val="fr-CA"/>
        </w:rPr>
        <w:t> :</w:t>
      </w:r>
      <w:r w:rsidRPr="002C53FC">
        <w:rPr>
          <w:rFonts w:cs="Times New Roman"/>
          <w:lang w:val="fr-CA"/>
        </w:rPr>
        <w:t xml:space="preserve"> </w:t>
      </w:r>
      <w:r>
        <w:rPr>
          <w:rFonts w:cs="Times New Roman"/>
          <w:lang w:val="fr-CA"/>
        </w:rPr>
        <w:t>par. </w:t>
      </w:r>
      <w:r w:rsidR="008B587B">
        <w:rPr>
          <w:rFonts w:cs="Times New Roman"/>
          <w:lang w:val="fr-CA"/>
        </w:rPr>
        <w:t xml:space="preserve">5(5), </w:t>
      </w:r>
      <w:r w:rsidRPr="002C53FC">
        <w:rPr>
          <w:rFonts w:cs="Times New Roman"/>
          <w:lang w:val="fr-CA"/>
        </w:rPr>
        <w:t>(5.1) et (5.2). La commission communique ensuite ses recommandations au procureur général dans un rapport final</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5(3)</w:t>
      </w:r>
      <w:r w:rsidRPr="00B509B2">
        <w:rPr>
          <w:rStyle w:val="Hyperlink"/>
          <w:color w:val="auto"/>
          <w:u w:val="none"/>
          <w:vertAlign w:val="superscript"/>
        </w:rPr>
        <w:footnoteReference w:id="2"/>
      </w:r>
      <w:r w:rsidRPr="002C53FC">
        <w:rPr>
          <w:rFonts w:cs="Times New Roman"/>
          <w:lang w:val="fr-CA"/>
        </w:rPr>
        <w:t>.</w:t>
      </w:r>
    </w:p>
    <w:p w14:paraId="2AC7EFFF" w14:textId="77777777" w:rsidR="002C65EF" w:rsidRPr="002C53FC" w:rsidRDefault="002C65EF" w:rsidP="002C65EF">
      <w:pPr>
        <w:pStyle w:val="ParaNoNdepar-AltN"/>
        <w:spacing w:before="0"/>
        <w:ind w:firstLine="187"/>
        <w:rPr>
          <w:rFonts w:cs="Times New Roman"/>
          <w:lang w:val="fr-CA"/>
        </w:rPr>
      </w:pPr>
      <w:r w:rsidRPr="002C53FC">
        <w:rPr>
          <w:rFonts w:cs="Times New Roman"/>
          <w:lang w:val="fr-CA"/>
        </w:rPr>
        <w:t>Après réception du rapport de la commission, le procureur général le dépose auprès de l</w:t>
      </w:r>
      <w:r>
        <w:rPr>
          <w:rFonts w:cs="Times New Roman"/>
          <w:lang w:val="fr-CA"/>
        </w:rPr>
        <w:t>’</w:t>
      </w:r>
      <w:r w:rsidRPr="002C53FC">
        <w:rPr>
          <w:rFonts w:cs="Times New Roman"/>
          <w:lang w:val="fr-CA"/>
        </w:rPr>
        <w:t>Assemblée législative de la Colombie</w:t>
      </w:r>
      <w:r>
        <w:rPr>
          <w:rFonts w:cs="Times New Roman"/>
          <w:lang w:val="fr-CA"/>
        </w:rPr>
        <w:noBreakHyphen/>
      </w:r>
      <w:r w:rsidRPr="002C53FC">
        <w:rPr>
          <w:rFonts w:cs="Times New Roman"/>
          <w:lang w:val="fr-CA"/>
        </w:rPr>
        <w:t>Britannique dans le délai prescrit par la loi</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6(1). Il avise également l</w:t>
      </w:r>
      <w:r>
        <w:rPr>
          <w:rFonts w:cs="Times New Roman"/>
          <w:lang w:val="fr-CA"/>
        </w:rPr>
        <w:t>’</w:t>
      </w:r>
      <w:r w:rsidRPr="002C53FC">
        <w:rPr>
          <w:rFonts w:cs="Times New Roman"/>
          <w:lang w:val="fr-CA"/>
        </w:rPr>
        <w:t>Assemblée législative que, faute par elle de rejeter les recommandations dans le délai prévu par la loi, celles</w:t>
      </w:r>
      <w:r>
        <w:rPr>
          <w:rFonts w:cs="Times New Roman"/>
          <w:lang w:val="fr-CA"/>
        </w:rPr>
        <w:noBreakHyphen/>
      </w:r>
      <w:r w:rsidRPr="002C53FC">
        <w:rPr>
          <w:rFonts w:cs="Times New Roman"/>
          <w:lang w:val="fr-CA"/>
        </w:rPr>
        <w:t>ci entreront en vigueur</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6(1) et (3). L</w:t>
      </w:r>
      <w:r>
        <w:rPr>
          <w:rFonts w:cs="Times New Roman"/>
          <w:lang w:val="fr-CA"/>
        </w:rPr>
        <w:t>’</w:t>
      </w:r>
      <w:r w:rsidRPr="002C53FC">
        <w:rPr>
          <w:rFonts w:cs="Times New Roman"/>
          <w:lang w:val="fr-CA"/>
        </w:rPr>
        <w:t>Assemblée législative peut alors adopter une résolution rejetant l</w:t>
      </w:r>
      <w:r>
        <w:rPr>
          <w:rFonts w:cs="Times New Roman"/>
          <w:lang w:val="fr-CA"/>
        </w:rPr>
        <w:t>’</w:t>
      </w:r>
      <w:r w:rsidRPr="002C53FC">
        <w:rPr>
          <w:rFonts w:cs="Times New Roman"/>
          <w:lang w:val="fr-CA"/>
        </w:rPr>
        <w:t xml:space="preserve">une ou plusieurs des recommandations, puis fixer la rémunération, les </w:t>
      </w:r>
      <w:r w:rsidRPr="002C53FC">
        <w:rPr>
          <w:rFonts w:cs="Times New Roman"/>
          <w:lang w:val="fr-CA"/>
        </w:rPr>
        <w:lastRenderedPageBreak/>
        <w:t>indemnités et les avantages des juges</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6(2). Cette résolution a un effet juridique obligatoire</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6(4) et 8(1).</w:t>
      </w:r>
    </w:p>
    <w:p w14:paraId="534ED96F" w14:textId="77777777" w:rsidR="002C65EF" w:rsidRPr="002C53FC" w:rsidRDefault="002C65EF" w:rsidP="002C65EF">
      <w:pPr>
        <w:pStyle w:val="Title2LevelTitre2Niveau"/>
        <w:spacing w:before="0"/>
        <w:rPr>
          <w:rFonts w:cs="Times New Roman"/>
          <w:lang w:val="fr-CA"/>
        </w:rPr>
      </w:pPr>
      <w:r w:rsidRPr="002C53FC">
        <w:rPr>
          <w:rFonts w:cs="Times New Roman"/>
          <w:lang w:val="fr-CA"/>
        </w:rPr>
        <w:t>Recommandations de la commission d</w:t>
      </w:r>
      <w:r>
        <w:rPr>
          <w:rFonts w:cs="Times New Roman"/>
          <w:lang w:val="fr-CA"/>
        </w:rPr>
        <w:t>’</w:t>
      </w:r>
      <w:r w:rsidRPr="002C53FC">
        <w:rPr>
          <w:rFonts w:cs="Times New Roman"/>
          <w:lang w:val="fr-CA"/>
        </w:rPr>
        <w:t>examen de la rémunération des juges et réponse du gouvernement</w:t>
      </w:r>
    </w:p>
    <w:p w14:paraId="12F86253" w14:textId="1FD1C119" w:rsidR="002C65EF" w:rsidRPr="002C53FC" w:rsidRDefault="002C65EF" w:rsidP="002C65EF">
      <w:pPr>
        <w:pStyle w:val="ParaNoNdepar-AltN"/>
        <w:spacing w:before="0"/>
        <w:rPr>
          <w:rFonts w:cs="Times New Roman"/>
          <w:lang w:val="fr-CA"/>
        </w:rPr>
      </w:pPr>
      <w:r w:rsidRPr="002C53FC">
        <w:rPr>
          <w:rFonts w:cs="Times New Roman"/>
          <w:lang w:val="fr-CA"/>
        </w:rPr>
        <w:t>En octobre 2016, la commission d</w:t>
      </w:r>
      <w:r>
        <w:rPr>
          <w:rFonts w:cs="Times New Roman"/>
          <w:lang w:val="fr-CA"/>
        </w:rPr>
        <w:t>’</w:t>
      </w:r>
      <w:r w:rsidRPr="002C53FC">
        <w:rPr>
          <w:rFonts w:cs="Times New Roman"/>
          <w:lang w:val="fr-CA"/>
        </w:rPr>
        <w:t>examen de la rémunération des juges a remis son rapport final au procureur général et formulé ses recommandations pour la période 2017</w:t>
      </w:r>
      <w:r>
        <w:rPr>
          <w:rFonts w:cs="Times New Roman"/>
          <w:lang w:val="fr-CA"/>
        </w:rPr>
        <w:noBreakHyphen/>
      </w:r>
      <w:r w:rsidRPr="002C53FC">
        <w:rPr>
          <w:rFonts w:cs="Times New Roman"/>
          <w:lang w:val="fr-CA"/>
        </w:rPr>
        <w:t>2020. Elle recommandait d</w:t>
      </w:r>
      <w:r>
        <w:rPr>
          <w:rFonts w:cs="Times New Roman"/>
          <w:lang w:val="fr-CA"/>
        </w:rPr>
        <w:t>’</w:t>
      </w:r>
      <w:r w:rsidRPr="002C53FC">
        <w:rPr>
          <w:rFonts w:cs="Times New Roman"/>
          <w:lang w:val="fr-CA"/>
        </w:rPr>
        <w:t xml:space="preserve">augmenter le salaire des juges provinciaux de 8,2 pour </w:t>
      </w:r>
      <w:r w:rsidR="008B587B">
        <w:rPr>
          <w:rFonts w:cs="Times New Roman"/>
          <w:lang w:val="fr-CA"/>
        </w:rPr>
        <w:t>100</w:t>
      </w:r>
      <w:r w:rsidRPr="002C53FC">
        <w:rPr>
          <w:rFonts w:cs="Times New Roman"/>
          <w:lang w:val="fr-CA"/>
        </w:rPr>
        <w:t xml:space="preserve"> pour l</w:t>
      </w:r>
      <w:r>
        <w:rPr>
          <w:rFonts w:cs="Times New Roman"/>
          <w:lang w:val="fr-CA"/>
        </w:rPr>
        <w:t>’</w:t>
      </w:r>
      <w:r w:rsidRPr="002C53FC">
        <w:rPr>
          <w:rFonts w:cs="Times New Roman"/>
          <w:lang w:val="fr-CA"/>
        </w:rPr>
        <w:t>année 2017</w:t>
      </w:r>
      <w:r>
        <w:rPr>
          <w:rFonts w:cs="Times New Roman"/>
          <w:lang w:val="fr-CA"/>
        </w:rPr>
        <w:noBreakHyphen/>
      </w:r>
      <w:r w:rsidRPr="002C53FC">
        <w:rPr>
          <w:rFonts w:cs="Times New Roman"/>
          <w:lang w:val="fr-CA"/>
        </w:rPr>
        <w:t xml:space="preserve">2018, et de 1,5 pour </w:t>
      </w:r>
      <w:r w:rsidR="008B587B">
        <w:rPr>
          <w:rFonts w:cs="Times New Roman"/>
          <w:lang w:val="fr-CA"/>
        </w:rPr>
        <w:t>100</w:t>
      </w:r>
      <w:r w:rsidRPr="002C53FC">
        <w:rPr>
          <w:rFonts w:cs="Times New Roman"/>
          <w:lang w:val="fr-CA"/>
        </w:rPr>
        <w:t xml:space="preserve"> pour les années 2018</w:t>
      </w:r>
      <w:r>
        <w:rPr>
          <w:rFonts w:cs="Times New Roman"/>
          <w:lang w:val="fr-CA"/>
        </w:rPr>
        <w:noBreakHyphen/>
      </w:r>
      <w:r w:rsidRPr="002C53FC">
        <w:rPr>
          <w:rFonts w:cs="Times New Roman"/>
          <w:lang w:val="fr-CA"/>
        </w:rPr>
        <w:t>2019 et 2019</w:t>
      </w:r>
      <w:r>
        <w:rPr>
          <w:rFonts w:cs="Times New Roman"/>
          <w:lang w:val="fr-CA"/>
        </w:rPr>
        <w:noBreakHyphen/>
      </w:r>
      <w:r w:rsidRPr="002C53FC">
        <w:rPr>
          <w:rFonts w:cs="Times New Roman"/>
          <w:lang w:val="fr-CA"/>
        </w:rPr>
        <w:t>2020</w:t>
      </w:r>
      <w:r w:rsidRPr="00B509B2">
        <w:rPr>
          <w:rStyle w:val="Hyperlink"/>
          <w:color w:val="auto"/>
          <w:u w:val="none"/>
          <w:vertAlign w:val="superscript"/>
        </w:rPr>
        <w:footnoteReference w:id="3"/>
      </w:r>
      <w:r w:rsidRPr="002C53FC">
        <w:rPr>
          <w:rFonts w:cs="Times New Roman"/>
          <w:lang w:val="fr-CA"/>
        </w:rPr>
        <w:t>. La commission recommandait également que l</w:t>
      </w:r>
      <w:r>
        <w:rPr>
          <w:rFonts w:cs="Times New Roman"/>
          <w:lang w:val="fr-CA"/>
        </w:rPr>
        <w:t>’</w:t>
      </w:r>
      <w:r w:rsidRPr="002C53FC">
        <w:rPr>
          <w:rFonts w:cs="Times New Roman"/>
          <w:lang w:val="fr-CA"/>
        </w:rPr>
        <w:t>Association soit remboursée pour la totalité des frais qu</w:t>
      </w:r>
      <w:r>
        <w:rPr>
          <w:rFonts w:cs="Times New Roman"/>
          <w:lang w:val="fr-CA"/>
        </w:rPr>
        <w:t>’</w:t>
      </w:r>
      <w:r w:rsidRPr="002C53FC">
        <w:rPr>
          <w:rFonts w:cs="Times New Roman"/>
          <w:lang w:val="fr-CA"/>
        </w:rPr>
        <w:t>elle avait engagés pour sa participation au mécanisme d</w:t>
      </w:r>
      <w:r>
        <w:rPr>
          <w:rFonts w:cs="Times New Roman"/>
          <w:lang w:val="fr-CA"/>
        </w:rPr>
        <w:t>’</w:t>
      </w:r>
      <w:r w:rsidRPr="002C53FC">
        <w:rPr>
          <w:rFonts w:cs="Times New Roman"/>
          <w:lang w:val="fr-CA"/>
        </w:rPr>
        <w:t>examen par la commission.</w:t>
      </w:r>
    </w:p>
    <w:p w14:paraId="5DE0CC50" w14:textId="77777777" w:rsidR="002C65EF" w:rsidRPr="002C53FC" w:rsidRDefault="002C65EF" w:rsidP="002C65EF">
      <w:pPr>
        <w:pStyle w:val="ParaNoNdepar-AltN"/>
        <w:spacing w:before="0"/>
        <w:rPr>
          <w:rFonts w:cs="Times New Roman"/>
          <w:lang w:val="fr-CA"/>
        </w:rPr>
      </w:pPr>
      <w:r w:rsidRPr="002C53FC">
        <w:rPr>
          <w:rFonts w:cs="Times New Roman"/>
          <w:lang w:val="fr-CA"/>
        </w:rPr>
        <w:t>Quelque temps après le dépôt du rapport par la commission, le procureur général a soumis un mémoire au Cabinet relatif aux recommandations de la commission et à la réponse du gouvernement. Ce mémoire au Cabinet ne figure pas dans le dossier dont notre Cour est saisie, pas plus qu</w:t>
      </w:r>
      <w:r>
        <w:rPr>
          <w:rFonts w:cs="Times New Roman"/>
          <w:lang w:val="fr-CA"/>
        </w:rPr>
        <w:t>’</w:t>
      </w:r>
      <w:r w:rsidRPr="002C53FC">
        <w:rPr>
          <w:rFonts w:cs="Times New Roman"/>
          <w:lang w:val="fr-CA"/>
        </w:rPr>
        <w:t>il n</w:t>
      </w:r>
      <w:r>
        <w:rPr>
          <w:rFonts w:cs="Times New Roman"/>
          <w:lang w:val="fr-CA"/>
        </w:rPr>
        <w:t>’</w:t>
      </w:r>
      <w:r w:rsidRPr="002C53FC">
        <w:rPr>
          <w:rFonts w:cs="Times New Roman"/>
          <w:lang w:val="fr-CA"/>
        </w:rPr>
        <w:t>a été produit devant les juridictions d</w:t>
      </w:r>
      <w:r>
        <w:rPr>
          <w:rFonts w:cs="Times New Roman"/>
          <w:lang w:val="fr-CA"/>
        </w:rPr>
        <w:t>’</w:t>
      </w:r>
      <w:r w:rsidRPr="002C53FC">
        <w:rPr>
          <w:rFonts w:cs="Times New Roman"/>
          <w:lang w:val="fr-CA"/>
        </w:rPr>
        <w:t>instances inférieures. Qui plus est, rien dans le dossier ne peut nous renseigner sur son contenu.</w:t>
      </w:r>
    </w:p>
    <w:p w14:paraId="140B01D1"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Après avoir déposé le rapport de la commission à l</w:t>
      </w:r>
      <w:r>
        <w:rPr>
          <w:rFonts w:cs="Times New Roman"/>
          <w:lang w:val="fr-CA"/>
        </w:rPr>
        <w:t>’</w:t>
      </w:r>
      <w:r w:rsidRPr="002C53FC">
        <w:rPr>
          <w:rFonts w:cs="Times New Roman"/>
          <w:lang w:val="fr-CA"/>
        </w:rPr>
        <w:t>Assemblée législative en septembre 2017, le procureur général a déposé le mois suivant, soit en octobre 2017, la proposition de réponse du gouvernement à ce rapport. Il n</w:t>
      </w:r>
      <w:r>
        <w:rPr>
          <w:rFonts w:cs="Times New Roman"/>
          <w:lang w:val="fr-CA"/>
        </w:rPr>
        <w:t>’</w:t>
      </w:r>
      <w:r w:rsidRPr="002C53FC">
        <w:rPr>
          <w:rFonts w:cs="Times New Roman"/>
          <w:lang w:val="fr-CA"/>
        </w:rPr>
        <w:t>a cependant pas déposé le mémoire au Cabinet, et rien dans le dossier ne porte à croire que quiconque siégeant à l</w:t>
      </w:r>
      <w:r>
        <w:rPr>
          <w:rFonts w:cs="Times New Roman"/>
          <w:lang w:val="fr-CA"/>
        </w:rPr>
        <w:t>’</w:t>
      </w:r>
      <w:r w:rsidRPr="002C53FC">
        <w:rPr>
          <w:rFonts w:cs="Times New Roman"/>
          <w:lang w:val="fr-CA"/>
        </w:rPr>
        <w:t>Assemblée législative, en dehors des membres du Cabinet, était au courant de son contenu.</w:t>
      </w:r>
    </w:p>
    <w:p w14:paraId="05515FDC" w14:textId="455488EA" w:rsidR="002C65EF" w:rsidRPr="002C53FC" w:rsidRDefault="002C65EF" w:rsidP="002C65EF">
      <w:pPr>
        <w:pStyle w:val="ParaNoNdepar-AltN"/>
        <w:spacing w:before="0"/>
        <w:rPr>
          <w:rFonts w:cs="Times New Roman"/>
          <w:lang w:val="fr-CA"/>
        </w:rPr>
      </w:pPr>
      <w:r w:rsidRPr="002C53FC">
        <w:rPr>
          <w:rFonts w:cs="Times New Roman"/>
          <w:lang w:val="fr-CA"/>
        </w:rPr>
        <w:t>Le procureur général a proposé l</w:t>
      </w:r>
      <w:r>
        <w:rPr>
          <w:rFonts w:cs="Times New Roman"/>
          <w:lang w:val="fr-CA"/>
        </w:rPr>
        <w:t>’</w:t>
      </w:r>
      <w:r w:rsidRPr="002C53FC">
        <w:rPr>
          <w:rFonts w:cs="Times New Roman"/>
          <w:lang w:val="fr-CA"/>
        </w:rPr>
        <w:t>adoption d</w:t>
      </w:r>
      <w:r>
        <w:rPr>
          <w:rFonts w:cs="Times New Roman"/>
          <w:lang w:val="fr-CA"/>
        </w:rPr>
        <w:t>’</w:t>
      </w:r>
      <w:r w:rsidRPr="002C53FC">
        <w:rPr>
          <w:rFonts w:cs="Times New Roman"/>
          <w:lang w:val="fr-CA"/>
        </w:rPr>
        <w:t>une résolution visant le rejet de l</w:t>
      </w:r>
      <w:r>
        <w:rPr>
          <w:rFonts w:cs="Times New Roman"/>
          <w:lang w:val="fr-CA"/>
        </w:rPr>
        <w:t>’</w:t>
      </w:r>
      <w:r w:rsidRPr="002C53FC">
        <w:rPr>
          <w:rFonts w:cs="Times New Roman"/>
          <w:lang w:val="fr-CA"/>
        </w:rPr>
        <w:t>augmentation salariale des juges provinciaux recommandée par la commission, ainsi que l</w:t>
      </w:r>
      <w:r>
        <w:rPr>
          <w:rFonts w:cs="Times New Roman"/>
          <w:lang w:val="fr-CA"/>
        </w:rPr>
        <w:t>’</w:t>
      </w:r>
      <w:r w:rsidRPr="002C53FC">
        <w:rPr>
          <w:rFonts w:cs="Times New Roman"/>
          <w:lang w:val="fr-CA"/>
        </w:rPr>
        <w:t>approbation d</w:t>
      </w:r>
      <w:r>
        <w:rPr>
          <w:rFonts w:cs="Times New Roman"/>
          <w:lang w:val="fr-CA"/>
        </w:rPr>
        <w:t>’</w:t>
      </w:r>
      <w:r w:rsidRPr="002C53FC">
        <w:rPr>
          <w:rFonts w:cs="Times New Roman"/>
          <w:lang w:val="fr-CA"/>
        </w:rPr>
        <w:t xml:space="preserve">une hausse de 3,8 pour </w:t>
      </w:r>
      <w:r w:rsidR="008B587B">
        <w:rPr>
          <w:rFonts w:cs="Times New Roman"/>
          <w:lang w:val="fr-CA"/>
        </w:rPr>
        <w:t>100</w:t>
      </w:r>
      <w:r w:rsidRPr="002C53FC">
        <w:rPr>
          <w:rFonts w:cs="Times New Roman"/>
          <w:lang w:val="fr-CA"/>
        </w:rPr>
        <w:t xml:space="preserve"> en 2017</w:t>
      </w:r>
      <w:r>
        <w:rPr>
          <w:rFonts w:cs="Times New Roman"/>
          <w:lang w:val="fr-CA"/>
        </w:rPr>
        <w:noBreakHyphen/>
      </w:r>
      <w:r w:rsidRPr="002C53FC">
        <w:rPr>
          <w:rFonts w:cs="Times New Roman"/>
          <w:lang w:val="fr-CA"/>
        </w:rPr>
        <w:t xml:space="preserve">2018 et de 1,5 pour </w:t>
      </w:r>
      <w:r w:rsidR="008B587B">
        <w:rPr>
          <w:rFonts w:cs="Times New Roman"/>
          <w:lang w:val="fr-CA"/>
        </w:rPr>
        <w:t>100</w:t>
      </w:r>
      <w:r w:rsidRPr="002C53FC">
        <w:rPr>
          <w:rFonts w:cs="Times New Roman"/>
          <w:lang w:val="fr-CA"/>
        </w:rPr>
        <w:t xml:space="preserve"> pour les années 2018</w:t>
      </w:r>
      <w:r>
        <w:rPr>
          <w:rFonts w:cs="Times New Roman"/>
          <w:lang w:val="fr-CA"/>
        </w:rPr>
        <w:noBreakHyphen/>
      </w:r>
      <w:r w:rsidRPr="002C53FC">
        <w:rPr>
          <w:rFonts w:cs="Times New Roman"/>
          <w:lang w:val="fr-CA"/>
        </w:rPr>
        <w:t>2019 et 2019</w:t>
      </w:r>
      <w:r>
        <w:rPr>
          <w:rFonts w:cs="Times New Roman"/>
          <w:lang w:val="fr-CA"/>
        </w:rPr>
        <w:noBreakHyphen/>
      </w:r>
      <w:r w:rsidRPr="002C53FC">
        <w:rPr>
          <w:rFonts w:cs="Times New Roman"/>
          <w:lang w:val="fr-CA"/>
        </w:rPr>
        <w:t>2020</w:t>
      </w:r>
      <w:r w:rsidRPr="00B91D3B">
        <w:rPr>
          <w:rStyle w:val="Hyperlink"/>
          <w:color w:val="auto"/>
          <w:u w:val="none"/>
          <w:vertAlign w:val="superscript"/>
        </w:rPr>
        <w:footnoteReference w:id="4"/>
      </w:r>
      <w:r w:rsidRPr="002C53FC">
        <w:rPr>
          <w:rFonts w:cs="Times New Roman"/>
          <w:lang w:val="fr-CA"/>
        </w:rPr>
        <w:t>. Le procureur général a également proposé de réduire le montant que la commission recommandait d</w:t>
      </w:r>
      <w:r>
        <w:rPr>
          <w:rFonts w:cs="Times New Roman"/>
          <w:lang w:val="fr-CA"/>
        </w:rPr>
        <w:t>’</w:t>
      </w:r>
      <w:r w:rsidRPr="002C53FC">
        <w:rPr>
          <w:rFonts w:cs="Times New Roman"/>
          <w:lang w:val="fr-CA"/>
        </w:rPr>
        <w:t>accorder à l</w:t>
      </w:r>
      <w:r>
        <w:rPr>
          <w:rFonts w:cs="Times New Roman"/>
          <w:lang w:val="fr-CA"/>
        </w:rPr>
        <w:t>’</w:t>
      </w:r>
      <w:r w:rsidRPr="002C53FC">
        <w:rPr>
          <w:rFonts w:cs="Times New Roman"/>
          <w:lang w:val="fr-CA"/>
        </w:rPr>
        <w:t>Association à titre de remboursement pour les coûts associés à sa participation au mécanisme d</w:t>
      </w:r>
      <w:r>
        <w:rPr>
          <w:rFonts w:cs="Times New Roman"/>
          <w:lang w:val="fr-CA"/>
        </w:rPr>
        <w:t>’</w:t>
      </w:r>
      <w:r w:rsidRPr="002C53FC">
        <w:rPr>
          <w:rFonts w:cs="Times New Roman"/>
          <w:lang w:val="fr-CA"/>
        </w:rPr>
        <w:t>examen par la commission de quelque 93 000</w:t>
      </w:r>
      <w:r>
        <w:rPr>
          <w:rFonts w:cs="Times New Roman"/>
          <w:lang w:val="fr-CA"/>
        </w:rPr>
        <w:t> $</w:t>
      </w:r>
      <w:r w:rsidRPr="002C53FC">
        <w:rPr>
          <w:rFonts w:cs="Times New Roman"/>
          <w:lang w:val="fr-CA"/>
        </w:rPr>
        <w:t xml:space="preserve"> à environ 66 000</w:t>
      </w:r>
      <w:r>
        <w:rPr>
          <w:rFonts w:cs="Times New Roman"/>
          <w:lang w:val="fr-CA"/>
        </w:rPr>
        <w:t> $</w:t>
      </w:r>
      <w:r w:rsidRPr="002C53FC">
        <w:rPr>
          <w:rFonts w:cs="Times New Roman"/>
          <w:lang w:val="fr-CA"/>
        </w:rPr>
        <w:t>, suivant la formule établie à l</w:t>
      </w:r>
      <w:r>
        <w:rPr>
          <w:rFonts w:cs="Times New Roman"/>
          <w:lang w:val="fr-CA"/>
        </w:rPr>
        <w:t>’art. </w:t>
      </w:r>
      <w:r w:rsidRPr="002C53FC">
        <w:rPr>
          <w:rFonts w:cs="Times New Roman"/>
          <w:lang w:val="fr-CA"/>
        </w:rPr>
        <w:t xml:space="preserve">7.1 de la </w:t>
      </w:r>
      <w:r w:rsidRPr="002C53FC">
        <w:rPr>
          <w:rFonts w:cs="Times New Roman"/>
          <w:i/>
          <w:lang w:val="fr-CA"/>
        </w:rPr>
        <w:t>Judicial Compensation Act</w:t>
      </w:r>
      <w:r w:rsidRPr="002C53FC">
        <w:rPr>
          <w:rFonts w:cs="Times New Roman"/>
          <w:lang w:val="fr-CA"/>
        </w:rPr>
        <w:t>. Avec l</w:t>
      </w:r>
      <w:r>
        <w:rPr>
          <w:rFonts w:cs="Times New Roman"/>
          <w:lang w:val="fr-CA"/>
        </w:rPr>
        <w:t>’</w:t>
      </w:r>
      <w:r w:rsidRPr="002C53FC">
        <w:rPr>
          <w:rFonts w:cs="Times New Roman"/>
          <w:lang w:val="fr-CA"/>
        </w:rPr>
        <w:t>appui des députés du gouvernement et de l</w:t>
      </w:r>
      <w:r>
        <w:rPr>
          <w:rFonts w:cs="Times New Roman"/>
          <w:lang w:val="fr-CA"/>
        </w:rPr>
        <w:t>’</w:t>
      </w:r>
      <w:r w:rsidRPr="002C53FC">
        <w:rPr>
          <w:rFonts w:cs="Times New Roman"/>
          <w:lang w:val="fr-CA"/>
        </w:rPr>
        <w:t>opposition, l</w:t>
      </w:r>
      <w:r>
        <w:rPr>
          <w:rFonts w:cs="Times New Roman"/>
          <w:lang w:val="fr-CA"/>
        </w:rPr>
        <w:t>’</w:t>
      </w:r>
      <w:r w:rsidRPr="002C53FC">
        <w:rPr>
          <w:rFonts w:cs="Times New Roman"/>
          <w:lang w:val="fr-CA"/>
        </w:rPr>
        <w:t>Assemblée législative a adopté la résolution.</w:t>
      </w:r>
    </w:p>
    <w:p w14:paraId="1DD71F7D" w14:textId="77777777" w:rsidR="002C65EF" w:rsidRPr="002C53FC" w:rsidRDefault="002C65EF" w:rsidP="002C65EF">
      <w:pPr>
        <w:pStyle w:val="ParaNoNdepar-AltN"/>
        <w:spacing w:before="0"/>
        <w:rPr>
          <w:rFonts w:cs="Times New Roman"/>
          <w:lang w:val="fr-CA"/>
        </w:rPr>
      </w:pPr>
      <w:r w:rsidRPr="002C53FC">
        <w:rPr>
          <w:rFonts w:cs="Times New Roman"/>
          <w:lang w:val="fr-CA"/>
        </w:rPr>
        <w:t>L</w:t>
      </w:r>
      <w:r>
        <w:rPr>
          <w:rFonts w:cs="Times New Roman"/>
          <w:lang w:val="fr-CA"/>
        </w:rPr>
        <w:t>’</w:t>
      </w:r>
      <w:r w:rsidRPr="002C53FC">
        <w:rPr>
          <w:rFonts w:cs="Times New Roman"/>
          <w:lang w:val="fr-CA"/>
        </w:rPr>
        <w:t>Association a demandé que cette résolution de l</w:t>
      </w:r>
      <w:r>
        <w:rPr>
          <w:rFonts w:cs="Times New Roman"/>
          <w:lang w:val="fr-CA"/>
        </w:rPr>
        <w:t>’</w:t>
      </w:r>
      <w:r w:rsidRPr="002C53FC">
        <w:rPr>
          <w:rFonts w:cs="Times New Roman"/>
          <w:lang w:val="fr-CA"/>
        </w:rPr>
        <w:t>Assemblée législative fasse l</w:t>
      </w:r>
      <w:r>
        <w:rPr>
          <w:rFonts w:cs="Times New Roman"/>
          <w:lang w:val="fr-CA"/>
        </w:rPr>
        <w:t>’</w:t>
      </w:r>
      <w:r w:rsidRPr="002C53FC">
        <w:rPr>
          <w:rFonts w:cs="Times New Roman"/>
          <w:lang w:val="fr-CA"/>
        </w:rPr>
        <w:t>objet d</w:t>
      </w:r>
      <w:r>
        <w:rPr>
          <w:rFonts w:cs="Times New Roman"/>
          <w:lang w:val="fr-CA"/>
        </w:rPr>
        <w:t>’</w:t>
      </w:r>
      <w:r w:rsidRPr="002C53FC">
        <w:rPr>
          <w:rFonts w:cs="Times New Roman"/>
          <w:lang w:val="fr-CA"/>
        </w:rPr>
        <w:t>un contrôle judiciaire dans le cadre duquel elle a notamment sollicité l</w:t>
      </w:r>
      <w:r>
        <w:rPr>
          <w:rFonts w:cs="Times New Roman"/>
          <w:lang w:val="fr-CA"/>
        </w:rPr>
        <w:t>’</w:t>
      </w:r>
      <w:r w:rsidRPr="002C53FC">
        <w:rPr>
          <w:rFonts w:cs="Times New Roman"/>
          <w:lang w:val="fr-CA"/>
        </w:rPr>
        <w:t>annulation de la résolution de même qu</w:t>
      </w:r>
      <w:r>
        <w:rPr>
          <w:rFonts w:cs="Times New Roman"/>
          <w:lang w:val="fr-CA"/>
        </w:rPr>
        <w:t>’</w:t>
      </w:r>
      <w:r w:rsidRPr="002C53FC">
        <w:rPr>
          <w:rFonts w:cs="Times New Roman"/>
          <w:lang w:val="fr-CA"/>
        </w:rPr>
        <w:t xml:space="preserve">un jugement déclaratoire portant que la </w:t>
      </w:r>
      <w:r w:rsidRPr="002C53FC">
        <w:rPr>
          <w:rFonts w:cs="Times New Roman"/>
          <w:lang w:val="fr-CA"/>
        </w:rPr>
        <w:lastRenderedPageBreak/>
        <w:t xml:space="preserve">réponse du gouvernement et la résolution étaient incompatibles avec la </w:t>
      </w:r>
      <w:r w:rsidRPr="002C53FC">
        <w:rPr>
          <w:rFonts w:cs="Times New Roman"/>
          <w:i/>
          <w:lang w:val="fr-CA"/>
        </w:rPr>
        <w:t>Judicial Compensation Act</w:t>
      </w:r>
      <w:r w:rsidRPr="002C53FC">
        <w:rPr>
          <w:rFonts w:cs="Times New Roman"/>
          <w:lang w:val="fr-CA"/>
        </w:rPr>
        <w:t xml:space="preserve"> et avec le principe constitutionnel de l</w:t>
      </w:r>
      <w:r>
        <w:rPr>
          <w:rFonts w:cs="Times New Roman"/>
          <w:lang w:val="fr-CA"/>
        </w:rPr>
        <w:t>’</w:t>
      </w:r>
      <w:r w:rsidRPr="002C53FC">
        <w:rPr>
          <w:rFonts w:cs="Times New Roman"/>
          <w:lang w:val="fr-CA"/>
        </w:rPr>
        <w:t>indépendance judiciaire.</w:t>
      </w:r>
    </w:p>
    <w:p w14:paraId="60DFCA76" w14:textId="461BA37B" w:rsidR="002C65EF" w:rsidRPr="002C53FC" w:rsidRDefault="002C65EF" w:rsidP="002C65EF">
      <w:pPr>
        <w:pStyle w:val="ParaNoNdepar-AltN"/>
        <w:spacing w:before="0"/>
        <w:rPr>
          <w:rFonts w:cs="Times New Roman"/>
          <w:lang w:val="fr-CA"/>
        </w:rPr>
      </w:pPr>
      <w:r w:rsidRPr="002C53FC">
        <w:rPr>
          <w:rFonts w:cs="Times New Roman"/>
          <w:lang w:val="fr-CA"/>
        </w:rPr>
        <w:t>En prévision de l</w:t>
      </w:r>
      <w:r>
        <w:rPr>
          <w:rFonts w:cs="Times New Roman"/>
          <w:lang w:val="fr-CA"/>
        </w:rPr>
        <w:t>’</w:t>
      </w:r>
      <w:r w:rsidRPr="002C53FC">
        <w:rPr>
          <w:rFonts w:cs="Times New Roman"/>
          <w:lang w:val="fr-CA"/>
        </w:rPr>
        <w:t>instruction de cette demande sur le fond, l</w:t>
      </w:r>
      <w:r>
        <w:rPr>
          <w:rFonts w:cs="Times New Roman"/>
          <w:lang w:val="fr-CA"/>
        </w:rPr>
        <w:t>’</w:t>
      </w:r>
      <w:r w:rsidRPr="002C53FC">
        <w:rPr>
          <w:rFonts w:cs="Times New Roman"/>
          <w:lang w:val="fr-CA"/>
        </w:rPr>
        <w:t>Association a demandé au procureur général de produire le mémoire au Cabinet pris en compte par le gouvernement au moment de préparer sa réponse. Le procureur général a refusé. L</w:t>
      </w:r>
      <w:r>
        <w:rPr>
          <w:rFonts w:cs="Times New Roman"/>
          <w:lang w:val="fr-CA"/>
        </w:rPr>
        <w:t>’</w:t>
      </w:r>
      <w:r w:rsidRPr="002C53FC">
        <w:rPr>
          <w:rFonts w:cs="Times New Roman"/>
          <w:lang w:val="fr-CA"/>
        </w:rPr>
        <w:t>Association a donc sollicité une ordonnance obligeant celui</w:t>
      </w:r>
      <w:r>
        <w:rPr>
          <w:rFonts w:cs="Times New Roman"/>
          <w:lang w:val="fr-CA"/>
        </w:rPr>
        <w:noBreakHyphen/>
      </w:r>
      <w:r w:rsidRPr="002C53FC">
        <w:rPr>
          <w:rFonts w:cs="Times New Roman"/>
          <w:lang w:val="fr-CA"/>
        </w:rPr>
        <w:t>ci à produire le document</w:t>
      </w:r>
      <w:r>
        <w:rPr>
          <w:rFonts w:cs="Times New Roman"/>
          <w:lang w:val="fr-CA"/>
        </w:rPr>
        <w:t> :</w:t>
      </w:r>
      <w:r w:rsidRPr="002C53FC">
        <w:rPr>
          <w:rFonts w:cs="Times New Roman"/>
          <w:lang w:val="fr-CA"/>
        </w:rPr>
        <w:t xml:space="preserve"> voir </w:t>
      </w:r>
      <w:r w:rsidRPr="002C53FC">
        <w:rPr>
          <w:rFonts w:cs="Times New Roman"/>
          <w:i/>
          <w:lang w:val="fr-CA"/>
        </w:rPr>
        <w:t>Supreme Court Civil Rules</w:t>
      </w:r>
      <w:r w:rsidRPr="002C53FC">
        <w:rPr>
          <w:rFonts w:cs="Times New Roman"/>
          <w:lang w:val="fr-CA"/>
        </w:rPr>
        <w:t xml:space="preserve">, B.C. Reg. 168/2009, </w:t>
      </w:r>
      <w:r>
        <w:rPr>
          <w:rFonts w:cs="Times New Roman"/>
          <w:lang w:val="fr-CA"/>
        </w:rPr>
        <w:t>al. </w:t>
      </w:r>
      <w:r w:rsidRPr="002C53FC">
        <w:rPr>
          <w:rFonts w:cs="Times New Roman"/>
          <w:lang w:val="fr-CA"/>
        </w:rPr>
        <w:t>22</w:t>
      </w:r>
      <w:r>
        <w:rPr>
          <w:rFonts w:cs="Times New Roman"/>
          <w:lang w:val="fr-CA"/>
        </w:rPr>
        <w:noBreakHyphen/>
      </w:r>
      <w:r w:rsidRPr="002C53FC">
        <w:rPr>
          <w:rFonts w:cs="Times New Roman"/>
          <w:lang w:val="fr-CA"/>
        </w:rPr>
        <w:t>1(4)</w:t>
      </w:r>
      <w:r w:rsidR="00371440">
        <w:rPr>
          <w:rFonts w:cs="Times New Roman"/>
          <w:lang w:val="fr-CA"/>
        </w:rPr>
        <w:t>(</w:t>
      </w:r>
      <w:r w:rsidRPr="00371440">
        <w:rPr>
          <w:rFonts w:cs="Times New Roman"/>
          <w:lang w:val="fr-CA"/>
        </w:rPr>
        <w:t>c</w:t>
      </w:r>
      <w:r w:rsidRPr="002C53FC">
        <w:rPr>
          <w:rFonts w:cs="Times New Roman"/>
          <w:lang w:val="fr-CA"/>
        </w:rPr>
        <w:t>).</w:t>
      </w:r>
    </w:p>
    <w:p w14:paraId="0466F8B9" w14:textId="77777777" w:rsidR="002C65EF" w:rsidRPr="002C53FC" w:rsidRDefault="002C65EF" w:rsidP="002C65EF">
      <w:pPr>
        <w:pStyle w:val="Title1LevelTitre1Niveau-AltL"/>
        <w:spacing w:before="0"/>
        <w:rPr>
          <w:rFonts w:cs="Times New Roman"/>
          <w:lang w:val="fr-CA"/>
        </w:rPr>
      </w:pPr>
      <w:r w:rsidRPr="002C53FC">
        <w:rPr>
          <w:rFonts w:cs="Times New Roman"/>
          <w:lang w:val="fr-CA"/>
        </w:rPr>
        <w:t>Historique des procédures</w:t>
      </w:r>
    </w:p>
    <w:p w14:paraId="7D607B3D" w14:textId="77777777" w:rsidR="002C65EF" w:rsidRPr="002C53FC" w:rsidRDefault="002C65EF" w:rsidP="002C65EF">
      <w:pPr>
        <w:pStyle w:val="Title2LevelTitre2Niveau"/>
        <w:spacing w:before="0"/>
        <w:rPr>
          <w:rFonts w:cs="Times New Roman"/>
          <w:lang w:val="fr-CA"/>
        </w:rPr>
      </w:pPr>
      <w:r w:rsidRPr="002C53FC">
        <w:rPr>
          <w:rFonts w:cs="Times New Roman"/>
          <w:lang w:val="fr-CA"/>
        </w:rPr>
        <w:t>Cour suprême de la Colombie</w:t>
      </w:r>
      <w:r>
        <w:rPr>
          <w:rFonts w:cs="Times New Roman"/>
          <w:lang w:val="fr-CA"/>
        </w:rPr>
        <w:noBreakHyphen/>
      </w:r>
      <w:r w:rsidRPr="002C53FC">
        <w:rPr>
          <w:rFonts w:cs="Times New Roman"/>
          <w:lang w:val="fr-CA"/>
        </w:rPr>
        <w:t>Britannique, 2018 BCSC 1193 (la protonotaire Muir)</w:t>
      </w:r>
    </w:p>
    <w:p w14:paraId="7964CF8A" w14:textId="77777777" w:rsidR="002C65EF" w:rsidRPr="002C53FC" w:rsidRDefault="002C65EF" w:rsidP="002C65EF">
      <w:pPr>
        <w:pStyle w:val="ParaNoNdepar-AltN"/>
        <w:spacing w:before="0"/>
        <w:rPr>
          <w:rFonts w:cs="Times New Roman"/>
          <w:lang w:val="fr-CA"/>
        </w:rPr>
      </w:pPr>
      <w:r w:rsidRPr="002C53FC">
        <w:rPr>
          <w:rFonts w:cs="Times New Roman"/>
          <w:lang w:val="fr-CA"/>
        </w:rPr>
        <w:t>La requête de l</w:t>
      </w:r>
      <w:r>
        <w:rPr>
          <w:rFonts w:cs="Times New Roman"/>
          <w:lang w:val="fr-CA"/>
        </w:rPr>
        <w:t>’</w:t>
      </w:r>
      <w:r w:rsidRPr="002C53FC">
        <w:rPr>
          <w:rFonts w:cs="Times New Roman"/>
          <w:lang w:val="fr-CA"/>
        </w:rPr>
        <w:t>Association a d</w:t>
      </w:r>
      <w:r>
        <w:rPr>
          <w:rFonts w:cs="Times New Roman"/>
          <w:lang w:val="fr-CA"/>
        </w:rPr>
        <w:t>’</w:t>
      </w:r>
      <w:r w:rsidRPr="002C53FC">
        <w:rPr>
          <w:rFonts w:cs="Times New Roman"/>
          <w:lang w:val="fr-CA"/>
        </w:rPr>
        <w:t>abord été instruite par une protonotaire de la Cour suprême de la Colombie</w:t>
      </w:r>
      <w:r>
        <w:rPr>
          <w:rFonts w:cs="Times New Roman"/>
          <w:lang w:val="fr-CA"/>
        </w:rPr>
        <w:noBreakHyphen/>
      </w:r>
      <w:r w:rsidRPr="002C53FC">
        <w:rPr>
          <w:rFonts w:cs="Times New Roman"/>
          <w:lang w:val="fr-CA"/>
        </w:rPr>
        <w:t>Britannique. La protonotaire a relevé que le procureur général n</w:t>
      </w:r>
      <w:r>
        <w:rPr>
          <w:rFonts w:cs="Times New Roman"/>
          <w:lang w:val="fr-CA"/>
        </w:rPr>
        <w:t>’</w:t>
      </w:r>
      <w:r w:rsidRPr="002C53FC">
        <w:rPr>
          <w:rFonts w:cs="Times New Roman"/>
          <w:lang w:val="fr-CA"/>
        </w:rPr>
        <w:t>avait pas contesté que la réponse du gouvernement s</w:t>
      </w:r>
      <w:r>
        <w:rPr>
          <w:rFonts w:cs="Times New Roman"/>
          <w:lang w:val="fr-CA"/>
        </w:rPr>
        <w:t>’</w:t>
      </w:r>
      <w:r w:rsidRPr="002C53FC">
        <w:rPr>
          <w:rFonts w:cs="Times New Roman"/>
          <w:lang w:val="fr-CA"/>
        </w:rPr>
        <w:t>appuyait sur un mémoire détaillé au Cabinet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9 (CanLII).</w:t>
      </w:r>
    </w:p>
    <w:p w14:paraId="2B7ACF0E" w14:textId="77777777" w:rsidR="002C65EF" w:rsidRPr="002C53FC" w:rsidRDefault="002C65EF" w:rsidP="002C65EF">
      <w:pPr>
        <w:pStyle w:val="ParaNoNdepar-AltN"/>
        <w:spacing w:before="0"/>
        <w:rPr>
          <w:rFonts w:cs="Times New Roman"/>
          <w:lang w:val="fr-CA"/>
        </w:rPr>
      </w:pPr>
      <w:r w:rsidRPr="002C53FC">
        <w:rPr>
          <w:rFonts w:cs="Times New Roman"/>
          <w:lang w:val="fr-CA"/>
        </w:rPr>
        <w:t>Sur la question de la pertinence, la protonotaire a reconnu que le gouvernement n</w:t>
      </w:r>
      <w:r>
        <w:rPr>
          <w:rFonts w:cs="Times New Roman"/>
          <w:lang w:val="fr-CA"/>
        </w:rPr>
        <w:t>’</w:t>
      </w:r>
      <w:r w:rsidRPr="002C53FC">
        <w:rPr>
          <w:rFonts w:cs="Times New Roman"/>
          <w:lang w:val="fr-CA"/>
        </w:rPr>
        <w:t>avait ni soulevé la question du mémoire au Cabinet ni ne s</w:t>
      </w:r>
      <w:r>
        <w:rPr>
          <w:rFonts w:cs="Times New Roman"/>
          <w:lang w:val="fr-CA"/>
        </w:rPr>
        <w:t>’</w:t>
      </w:r>
      <w:r w:rsidRPr="002C53FC">
        <w:rPr>
          <w:rFonts w:cs="Times New Roman"/>
          <w:lang w:val="fr-CA"/>
        </w:rPr>
        <w:t>était fondé sur ce document pour prendre sa décision. Elle a tout de même conclu que celui</w:t>
      </w:r>
      <w:r>
        <w:rPr>
          <w:rFonts w:cs="Times New Roman"/>
          <w:lang w:val="fr-CA"/>
        </w:rPr>
        <w:noBreakHyphen/>
      </w:r>
      <w:r w:rsidRPr="002C53FC">
        <w:rPr>
          <w:rFonts w:cs="Times New Roman"/>
          <w:lang w:val="fr-CA"/>
        </w:rPr>
        <w:t xml:space="preserve">ci était pertinent aux fins du contrôle de type </w:t>
      </w:r>
      <w:r w:rsidRPr="002C53FC">
        <w:rPr>
          <w:rFonts w:cs="Times New Roman"/>
          <w:i/>
          <w:lang w:val="fr-CA"/>
        </w:rPr>
        <w:t>Bodner</w:t>
      </w:r>
      <w:r w:rsidRPr="002C53FC">
        <w:rPr>
          <w:rFonts w:cs="Times New Roman"/>
          <w:lang w:val="fr-CA"/>
        </w:rPr>
        <w:t>, particulièrement en ce qui a trait aux questions de savoir si le gouvernement s</w:t>
      </w:r>
      <w:r>
        <w:rPr>
          <w:rFonts w:cs="Times New Roman"/>
          <w:lang w:val="fr-CA"/>
        </w:rPr>
        <w:t>’</w:t>
      </w:r>
      <w:r w:rsidRPr="002C53FC">
        <w:rPr>
          <w:rFonts w:cs="Times New Roman"/>
          <w:lang w:val="fr-CA"/>
        </w:rPr>
        <w:t xml:space="preserve">était appuyé sur un fondement factuel </w:t>
      </w:r>
      <w:r w:rsidRPr="002C53FC">
        <w:rPr>
          <w:rFonts w:cs="Times New Roman"/>
          <w:lang w:val="fr-CA"/>
        </w:rPr>
        <w:lastRenderedPageBreak/>
        <w:t>raisonnable pour élaborer sa réponse aux recommandations de la commission, et si sa réponse démontrait qu</w:t>
      </w:r>
      <w:r>
        <w:rPr>
          <w:rFonts w:cs="Times New Roman"/>
          <w:lang w:val="fr-CA"/>
        </w:rPr>
        <w:t>’</w:t>
      </w:r>
      <w:r w:rsidRPr="002C53FC">
        <w:rPr>
          <w:rFonts w:cs="Times New Roman"/>
          <w:lang w:val="fr-CA"/>
        </w:rPr>
        <w:t>il avait participé sérieusement au mécanisme d</w:t>
      </w:r>
      <w:r>
        <w:rPr>
          <w:rFonts w:cs="Times New Roman"/>
          <w:lang w:val="fr-CA"/>
        </w:rPr>
        <w:t>’</w:t>
      </w:r>
      <w:r w:rsidRPr="002C53FC">
        <w:rPr>
          <w:rFonts w:cs="Times New Roman"/>
          <w:lang w:val="fr-CA"/>
        </w:rPr>
        <w:t>examen de la commission</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9 et 18</w:t>
      </w:r>
      <w:r>
        <w:rPr>
          <w:rFonts w:cs="Times New Roman"/>
          <w:lang w:val="fr-CA"/>
        </w:rPr>
        <w:noBreakHyphen/>
      </w:r>
      <w:r w:rsidRPr="002C53FC">
        <w:rPr>
          <w:rFonts w:cs="Times New Roman"/>
          <w:lang w:val="fr-CA"/>
        </w:rPr>
        <w:t>21.</w:t>
      </w:r>
    </w:p>
    <w:p w14:paraId="2166118C" w14:textId="77777777" w:rsidR="002C65EF" w:rsidRPr="002C53FC" w:rsidRDefault="002C65EF" w:rsidP="002C65EF">
      <w:pPr>
        <w:pStyle w:val="ParaNoNdepar-AltN"/>
        <w:spacing w:before="0"/>
        <w:rPr>
          <w:rFonts w:cs="Times New Roman"/>
          <w:lang w:val="fr-CA"/>
        </w:rPr>
      </w:pPr>
      <w:r w:rsidRPr="002C53FC">
        <w:rPr>
          <w:rFonts w:cs="Times New Roman"/>
          <w:lang w:val="fr-CA"/>
        </w:rPr>
        <w:t>Sur la question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la protonotaire a expliqué que le procureur général n</w:t>
      </w:r>
      <w:r>
        <w:rPr>
          <w:rFonts w:cs="Times New Roman"/>
          <w:lang w:val="fr-CA"/>
        </w:rPr>
        <w:t>’</w:t>
      </w:r>
      <w:r w:rsidRPr="002C53FC">
        <w:rPr>
          <w:rFonts w:cs="Times New Roman"/>
          <w:lang w:val="fr-CA"/>
        </w:rPr>
        <w:t>avait présenté aucun élément de preuve particulier pour démontrer qu</w:t>
      </w:r>
      <w:r>
        <w:rPr>
          <w:rFonts w:cs="Times New Roman"/>
          <w:lang w:val="fr-CA"/>
        </w:rPr>
        <w:t>’</w:t>
      </w:r>
      <w:r w:rsidRPr="002C53FC">
        <w:rPr>
          <w:rFonts w:cs="Times New Roman"/>
          <w:lang w:val="fr-CA"/>
        </w:rPr>
        <w:t>un préjudice résulterait de la production du mémoire au Cabinet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23. Selon elle, l</w:t>
      </w:r>
      <w:r>
        <w:rPr>
          <w:rFonts w:cs="Times New Roman"/>
          <w:lang w:val="fr-CA"/>
        </w:rPr>
        <w:t>’</w:t>
      </w:r>
      <w:r w:rsidRPr="002C53FC">
        <w:rPr>
          <w:rFonts w:cs="Times New Roman"/>
          <w:lang w:val="fr-CA"/>
        </w:rPr>
        <w:t>importance de soumettre la réponse du gouvernement à un contrôle judiciaire et la nécessité d</w:t>
      </w:r>
      <w:r>
        <w:rPr>
          <w:rFonts w:cs="Times New Roman"/>
          <w:lang w:val="fr-CA"/>
        </w:rPr>
        <w:t>’</w:t>
      </w:r>
      <w:r w:rsidRPr="002C53FC">
        <w:rPr>
          <w:rFonts w:cs="Times New Roman"/>
          <w:lang w:val="fr-CA"/>
        </w:rPr>
        <w:t>assurer la transparence du processus l</w:t>
      </w:r>
      <w:r>
        <w:rPr>
          <w:rFonts w:cs="Times New Roman"/>
          <w:lang w:val="fr-CA"/>
        </w:rPr>
        <w:t>’</w:t>
      </w:r>
      <w:r w:rsidRPr="002C53FC">
        <w:rPr>
          <w:rFonts w:cs="Times New Roman"/>
          <w:lang w:val="fr-CA"/>
        </w:rPr>
        <w:t>emportaient sur l</w:t>
      </w:r>
      <w:r>
        <w:rPr>
          <w:rFonts w:cs="Times New Roman"/>
          <w:lang w:val="fr-CA"/>
        </w:rPr>
        <w:t>’</w:t>
      </w:r>
      <w:r w:rsidRPr="002C53FC">
        <w:rPr>
          <w:rFonts w:cs="Times New Roman"/>
          <w:lang w:val="fr-CA"/>
        </w:rPr>
        <w:t>intérêt du public à ce que le document demeure confidentiel</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23 et 27. La protonotaire a donc ordonné au procureur général de produire le mémoire au Cabinet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28.</w:t>
      </w:r>
    </w:p>
    <w:p w14:paraId="63BBE9F2" w14:textId="77777777" w:rsidR="002C65EF" w:rsidRPr="002C53FC" w:rsidRDefault="002C65EF" w:rsidP="002C65EF">
      <w:pPr>
        <w:pStyle w:val="Title2LevelTitre2Niveau"/>
        <w:spacing w:before="0"/>
        <w:rPr>
          <w:rFonts w:cs="Times New Roman"/>
          <w:lang w:val="fr-CA"/>
        </w:rPr>
      </w:pPr>
      <w:r w:rsidRPr="002C53FC">
        <w:rPr>
          <w:rFonts w:cs="Times New Roman"/>
          <w:lang w:val="fr-CA"/>
        </w:rPr>
        <w:t>Cour suprême de la Colombie</w:t>
      </w:r>
      <w:r>
        <w:rPr>
          <w:rFonts w:cs="Times New Roman"/>
          <w:lang w:val="fr-CA"/>
        </w:rPr>
        <w:noBreakHyphen/>
      </w:r>
      <w:r w:rsidRPr="002C53FC">
        <w:rPr>
          <w:rFonts w:cs="Times New Roman"/>
          <w:lang w:val="fr-CA"/>
        </w:rPr>
        <w:t>Britannique, 2018 BCSC 1390, 19 B.C.L.R. (6th) 168 (le juge en chef Hinkson)</w:t>
      </w:r>
    </w:p>
    <w:p w14:paraId="3B0ACAB2" w14:textId="77777777" w:rsidR="002C65EF" w:rsidRPr="002C53FC" w:rsidRDefault="002C65EF" w:rsidP="002C65EF">
      <w:pPr>
        <w:pStyle w:val="ParaNoNdepar-AltN"/>
        <w:spacing w:before="0"/>
        <w:rPr>
          <w:rFonts w:cs="Times New Roman"/>
          <w:lang w:val="fr-CA"/>
        </w:rPr>
      </w:pPr>
      <w:r w:rsidRPr="002C53FC">
        <w:rPr>
          <w:rFonts w:cs="Times New Roman"/>
          <w:lang w:val="fr-CA"/>
        </w:rPr>
        <w:t>La Cour suprême de la Colombie</w:t>
      </w:r>
      <w:r>
        <w:rPr>
          <w:rFonts w:cs="Times New Roman"/>
          <w:lang w:val="fr-CA"/>
        </w:rPr>
        <w:noBreakHyphen/>
      </w:r>
      <w:r w:rsidRPr="002C53FC">
        <w:rPr>
          <w:rFonts w:cs="Times New Roman"/>
          <w:lang w:val="fr-CA"/>
        </w:rPr>
        <w:t>Britannique a rejeté l</w:t>
      </w:r>
      <w:r>
        <w:rPr>
          <w:rFonts w:cs="Times New Roman"/>
          <w:lang w:val="fr-CA"/>
        </w:rPr>
        <w:t>’</w:t>
      </w:r>
      <w:r w:rsidRPr="002C53FC">
        <w:rPr>
          <w:rFonts w:cs="Times New Roman"/>
          <w:lang w:val="fr-CA"/>
        </w:rPr>
        <w:t>appel formé à l</w:t>
      </w:r>
      <w:r>
        <w:rPr>
          <w:rFonts w:cs="Times New Roman"/>
          <w:lang w:val="fr-CA"/>
        </w:rPr>
        <w:t>’</w:t>
      </w:r>
      <w:r w:rsidRPr="002C53FC">
        <w:rPr>
          <w:rFonts w:cs="Times New Roman"/>
          <w:lang w:val="fr-CA"/>
        </w:rPr>
        <w:t>encontre de la décision de la protonotaire. Tout comme cette dernière, elle n</w:t>
      </w:r>
      <w:r>
        <w:rPr>
          <w:rFonts w:cs="Times New Roman"/>
          <w:lang w:val="fr-CA"/>
        </w:rPr>
        <w:t>’</w:t>
      </w:r>
      <w:r w:rsidRPr="002C53FC">
        <w:rPr>
          <w:rFonts w:cs="Times New Roman"/>
          <w:lang w:val="fr-CA"/>
        </w:rPr>
        <w:t>a pas examiné le mémoire au Cabinet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45.</w:t>
      </w:r>
    </w:p>
    <w:p w14:paraId="280EEA14" w14:textId="77777777" w:rsidR="002C65EF" w:rsidRPr="002C53FC" w:rsidRDefault="002C65EF" w:rsidP="002C65EF">
      <w:pPr>
        <w:pStyle w:val="ParaNoNdepar-AltN"/>
        <w:spacing w:before="0"/>
        <w:rPr>
          <w:rFonts w:cs="Times New Roman"/>
          <w:lang w:val="fr-CA"/>
        </w:rPr>
      </w:pPr>
      <w:r w:rsidRPr="002C53FC">
        <w:rPr>
          <w:rFonts w:cs="Times New Roman"/>
          <w:lang w:val="fr-CA"/>
        </w:rPr>
        <w:t>Le juge en chef Hinkson n</w:t>
      </w:r>
      <w:r>
        <w:rPr>
          <w:rFonts w:cs="Times New Roman"/>
          <w:lang w:val="fr-CA"/>
        </w:rPr>
        <w:t>’</w:t>
      </w:r>
      <w:r w:rsidRPr="002C53FC">
        <w:rPr>
          <w:rFonts w:cs="Times New Roman"/>
          <w:lang w:val="fr-CA"/>
        </w:rPr>
        <w:t xml:space="preserve">a décelé aucune erreur dans la conclusion de la protonotaire selon laquelle le mémoire au Cabinet était pertinent, convenant avec elle que le document était de fait pertinent quant à la question de savoir si le gouvernement </w:t>
      </w:r>
      <w:r w:rsidRPr="002C53FC">
        <w:rPr>
          <w:rFonts w:cs="Times New Roman"/>
          <w:lang w:val="fr-CA"/>
        </w:rPr>
        <w:lastRenderedPageBreak/>
        <w:t>avait respecté le mécanisme d</w:t>
      </w:r>
      <w:r>
        <w:rPr>
          <w:rFonts w:cs="Times New Roman"/>
          <w:lang w:val="fr-CA"/>
        </w:rPr>
        <w:t>’</w:t>
      </w:r>
      <w:r w:rsidRPr="002C53FC">
        <w:rPr>
          <w:rFonts w:cs="Times New Roman"/>
          <w:lang w:val="fr-CA"/>
        </w:rPr>
        <w:t>examen par la commission et qu</w:t>
      </w:r>
      <w:r>
        <w:rPr>
          <w:rFonts w:cs="Times New Roman"/>
          <w:lang w:val="fr-CA"/>
        </w:rPr>
        <w:t>’</w:t>
      </w:r>
      <w:r w:rsidRPr="002C53FC">
        <w:rPr>
          <w:rFonts w:cs="Times New Roman"/>
          <w:lang w:val="fr-CA"/>
        </w:rPr>
        <w:t>il avait donc été satisfait aux objectifs généraux du recours à une commission</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34</w:t>
      </w:r>
      <w:r>
        <w:rPr>
          <w:rFonts w:cs="Times New Roman"/>
          <w:lang w:val="fr-CA"/>
        </w:rPr>
        <w:noBreakHyphen/>
      </w:r>
      <w:r w:rsidRPr="002C53FC">
        <w:rPr>
          <w:rFonts w:cs="Times New Roman"/>
          <w:lang w:val="fr-CA"/>
        </w:rPr>
        <w:t>35.</w:t>
      </w:r>
    </w:p>
    <w:p w14:paraId="5F36CBD1" w14:textId="77777777" w:rsidR="002C65EF" w:rsidRPr="002C53FC" w:rsidRDefault="002C65EF" w:rsidP="002C65EF">
      <w:pPr>
        <w:pStyle w:val="ParaNoNdepar-AltN"/>
        <w:spacing w:before="0"/>
        <w:rPr>
          <w:rFonts w:cs="Times New Roman"/>
          <w:lang w:val="fr-CA"/>
        </w:rPr>
      </w:pPr>
      <w:r w:rsidRPr="002C53FC">
        <w:rPr>
          <w:rFonts w:cs="Times New Roman"/>
          <w:lang w:val="fr-CA"/>
        </w:rPr>
        <w:t>La cour a en outre conclu que la protonotaire n</w:t>
      </w:r>
      <w:r>
        <w:rPr>
          <w:rFonts w:cs="Times New Roman"/>
          <w:lang w:val="fr-CA"/>
        </w:rPr>
        <w:t>’</w:t>
      </w:r>
      <w:r w:rsidRPr="002C53FC">
        <w:rPr>
          <w:rFonts w:cs="Times New Roman"/>
          <w:lang w:val="fr-CA"/>
        </w:rPr>
        <w:t>avait pas commis d</w:t>
      </w:r>
      <w:r>
        <w:rPr>
          <w:rFonts w:cs="Times New Roman"/>
          <w:lang w:val="fr-CA"/>
        </w:rPr>
        <w:t>’</w:t>
      </w:r>
      <w:r w:rsidRPr="002C53FC">
        <w:rPr>
          <w:rFonts w:cs="Times New Roman"/>
          <w:lang w:val="fr-CA"/>
        </w:rPr>
        <w:t>erreur en décidant que, selon les facteurs énoncés dans l</w:t>
      </w:r>
      <w:r>
        <w:rPr>
          <w:rFonts w:cs="Times New Roman"/>
          <w:lang w:val="fr-CA"/>
        </w:rPr>
        <w:t>’</w:t>
      </w:r>
      <w:r w:rsidRPr="002C53FC">
        <w:rPr>
          <w:rFonts w:cs="Times New Roman"/>
          <w:lang w:val="fr-CA"/>
        </w:rPr>
        <w:t xml:space="preserve">arrêt </w:t>
      </w:r>
      <w:r w:rsidRPr="002C53FC">
        <w:rPr>
          <w:rFonts w:cs="Times New Roman"/>
          <w:i/>
          <w:lang w:val="fr-CA"/>
        </w:rPr>
        <w:t>Carey c. Ontario</w:t>
      </w:r>
      <w:r w:rsidRPr="002C53FC">
        <w:rPr>
          <w:rFonts w:cs="Times New Roman"/>
          <w:lang w:val="fr-CA"/>
        </w:rPr>
        <w:t>, [1986] 2 R.C.S. 637,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ne s</w:t>
      </w:r>
      <w:r>
        <w:rPr>
          <w:rFonts w:cs="Times New Roman"/>
          <w:lang w:val="fr-CA"/>
        </w:rPr>
        <w:t>’</w:t>
      </w:r>
      <w:r w:rsidRPr="002C53FC">
        <w:rPr>
          <w:rFonts w:cs="Times New Roman"/>
          <w:lang w:val="fr-CA"/>
        </w:rPr>
        <w:t>appliquait pas. La cour a souligné que le mémoire avait trait à l</w:t>
      </w:r>
      <w:r>
        <w:rPr>
          <w:rFonts w:cs="Times New Roman"/>
          <w:lang w:val="fr-CA"/>
        </w:rPr>
        <w:t>’</w:t>
      </w:r>
      <w:r w:rsidRPr="002C53FC">
        <w:rPr>
          <w:rFonts w:cs="Times New Roman"/>
          <w:lang w:val="fr-CA"/>
        </w:rPr>
        <w:t>objet du litige, et que le procureur général n</w:t>
      </w:r>
      <w:r>
        <w:rPr>
          <w:rFonts w:cs="Times New Roman"/>
          <w:lang w:val="fr-CA"/>
        </w:rPr>
        <w:t>’</w:t>
      </w:r>
      <w:r w:rsidRPr="002C53FC">
        <w:rPr>
          <w:rFonts w:cs="Times New Roman"/>
          <w:lang w:val="fr-CA"/>
        </w:rPr>
        <w:t>avait présenté aucun élément de preuve indiquant que la divulgation causerait un préjudice particulier</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46.</w:t>
      </w:r>
    </w:p>
    <w:p w14:paraId="543606DD" w14:textId="77777777" w:rsidR="002C65EF" w:rsidRPr="002C53FC" w:rsidRDefault="002C65EF" w:rsidP="002C65EF">
      <w:pPr>
        <w:pStyle w:val="Title2LevelTitre2Niveau"/>
        <w:spacing w:before="0"/>
        <w:rPr>
          <w:rFonts w:cs="Times New Roman"/>
          <w:lang w:val="fr-CA"/>
        </w:rPr>
      </w:pPr>
      <w:r w:rsidRPr="002C53FC">
        <w:rPr>
          <w:rFonts w:cs="Times New Roman"/>
          <w:lang w:val="fr-CA"/>
        </w:rPr>
        <w:t>Cour d</w:t>
      </w:r>
      <w:r>
        <w:rPr>
          <w:rFonts w:cs="Times New Roman"/>
          <w:lang w:val="fr-CA"/>
        </w:rPr>
        <w:t>’</w:t>
      </w:r>
      <w:r w:rsidRPr="002C53FC">
        <w:rPr>
          <w:rFonts w:cs="Times New Roman"/>
          <w:lang w:val="fr-CA"/>
        </w:rPr>
        <w:t>appel de la Colombie</w:t>
      </w:r>
      <w:r>
        <w:rPr>
          <w:rFonts w:cs="Times New Roman"/>
          <w:lang w:val="fr-CA"/>
        </w:rPr>
        <w:noBreakHyphen/>
      </w:r>
      <w:r w:rsidRPr="002C53FC">
        <w:rPr>
          <w:rFonts w:cs="Times New Roman"/>
          <w:lang w:val="fr-CA"/>
        </w:rPr>
        <w:t>Britannique, 2018 BCCA 394, 19 B.C.L.R. (6th) 188 (le juge en chef Bauman et les juges Harris et Dickson)</w:t>
      </w:r>
    </w:p>
    <w:p w14:paraId="37B22261" w14:textId="77777777" w:rsidR="002C65EF" w:rsidRPr="002C53FC" w:rsidRDefault="002C65EF" w:rsidP="002C65EF">
      <w:pPr>
        <w:pStyle w:val="ParaNoNdepar-AltN"/>
        <w:spacing w:before="0"/>
        <w:rPr>
          <w:rFonts w:cs="Times New Roman"/>
          <w:lang w:val="fr-CA"/>
        </w:rPr>
      </w:pPr>
      <w:r w:rsidRPr="002C53FC">
        <w:rPr>
          <w:rFonts w:cs="Times New Roman"/>
          <w:lang w:val="fr-CA"/>
        </w:rPr>
        <w:t>La Cour d</w:t>
      </w:r>
      <w:r>
        <w:rPr>
          <w:rFonts w:cs="Times New Roman"/>
          <w:lang w:val="fr-CA"/>
        </w:rPr>
        <w:t>’</w:t>
      </w:r>
      <w:r w:rsidRPr="002C53FC">
        <w:rPr>
          <w:rFonts w:cs="Times New Roman"/>
          <w:lang w:val="fr-CA"/>
        </w:rPr>
        <w:t>appel de la Colombie</w:t>
      </w:r>
      <w:r>
        <w:rPr>
          <w:rFonts w:cs="Times New Roman"/>
          <w:lang w:val="fr-CA"/>
        </w:rPr>
        <w:noBreakHyphen/>
      </w:r>
      <w:r w:rsidRPr="002C53FC">
        <w:rPr>
          <w:rFonts w:cs="Times New Roman"/>
          <w:lang w:val="fr-CA"/>
        </w:rPr>
        <w:t>Britannique a rejeté le pourvoi subséquent du procureur général interjeté à l</w:t>
      </w:r>
      <w:r>
        <w:rPr>
          <w:rFonts w:cs="Times New Roman"/>
          <w:lang w:val="fr-CA"/>
        </w:rPr>
        <w:t>’</w:t>
      </w:r>
      <w:r w:rsidRPr="002C53FC">
        <w:rPr>
          <w:rFonts w:cs="Times New Roman"/>
          <w:lang w:val="fr-CA"/>
        </w:rPr>
        <w:t>encontre de la décision de la Cour suprême de la province. S</w:t>
      </w:r>
      <w:r>
        <w:rPr>
          <w:rFonts w:cs="Times New Roman"/>
          <w:lang w:val="fr-CA"/>
        </w:rPr>
        <w:t>’</w:t>
      </w:r>
      <w:r w:rsidRPr="002C53FC">
        <w:rPr>
          <w:rFonts w:cs="Times New Roman"/>
          <w:lang w:val="fr-CA"/>
        </w:rPr>
        <w:t>exprimant au nom de la Cour d</w:t>
      </w:r>
      <w:r>
        <w:rPr>
          <w:rFonts w:cs="Times New Roman"/>
          <w:lang w:val="fr-CA"/>
        </w:rPr>
        <w:t>’</w:t>
      </w:r>
      <w:r w:rsidRPr="002C53FC">
        <w:rPr>
          <w:rFonts w:cs="Times New Roman"/>
          <w:lang w:val="fr-CA"/>
        </w:rPr>
        <w:t>appel, le juge en chef Bauman a expliqué que, bien que l</w:t>
      </w:r>
      <w:r>
        <w:rPr>
          <w:rFonts w:cs="Times New Roman"/>
          <w:lang w:val="fr-CA"/>
        </w:rPr>
        <w:t>’</w:t>
      </w:r>
      <w:r w:rsidRPr="002C53FC">
        <w:rPr>
          <w:rFonts w:cs="Times New Roman"/>
          <w:lang w:val="fr-CA"/>
        </w:rPr>
        <w:t>Assemblée législative soit l</w:t>
      </w:r>
      <w:r>
        <w:rPr>
          <w:rFonts w:cs="Times New Roman"/>
          <w:lang w:val="fr-CA"/>
        </w:rPr>
        <w:t>’</w:t>
      </w:r>
      <w:r w:rsidRPr="002C53FC">
        <w:rPr>
          <w:rFonts w:cs="Times New Roman"/>
          <w:lang w:val="fr-CA"/>
        </w:rPr>
        <w:t xml:space="preserve">instance décisionnelle selon la </w:t>
      </w:r>
      <w:r w:rsidRPr="002C53FC">
        <w:rPr>
          <w:rFonts w:cs="Times New Roman"/>
          <w:i/>
          <w:lang w:val="fr-CA"/>
        </w:rPr>
        <w:t>Judicial Compensation Act</w:t>
      </w:r>
      <w:r w:rsidRPr="002C53FC">
        <w:rPr>
          <w:rFonts w:cs="Times New Roman"/>
          <w:lang w:val="fr-CA"/>
        </w:rPr>
        <w:t>, c</w:t>
      </w:r>
      <w:r>
        <w:rPr>
          <w:rFonts w:cs="Times New Roman"/>
          <w:lang w:val="fr-CA"/>
        </w:rPr>
        <w:t>’</w:t>
      </w:r>
      <w:r w:rsidRPr="002C53FC">
        <w:rPr>
          <w:rFonts w:cs="Times New Roman"/>
          <w:lang w:val="fr-CA"/>
        </w:rPr>
        <w:t>est le procureur général qui prépare l</w:t>
      </w:r>
      <w:r>
        <w:rPr>
          <w:rFonts w:cs="Times New Roman"/>
          <w:lang w:val="fr-CA"/>
        </w:rPr>
        <w:t>’</w:t>
      </w:r>
      <w:r w:rsidRPr="002C53FC">
        <w:rPr>
          <w:rFonts w:cs="Times New Roman"/>
          <w:lang w:val="fr-CA"/>
        </w:rPr>
        <w:t>ébauche de réponse du gouvernement à soumettre au Cabinet pour approbation avant qu</w:t>
      </w:r>
      <w:r>
        <w:rPr>
          <w:rFonts w:cs="Times New Roman"/>
          <w:lang w:val="fr-CA"/>
        </w:rPr>
        <w:t>’</w:t>
      </w:r>
      <w:r w:rsidRPr="002C53FC">
        <w:rPr>
          <w:rFonts w:cs="Times New Roman"/>
          <w:lang w:val="fr-CA"/>
        </w:rPr>
        <w:t>il ne la présente à l</w:t>
      </w:r>
      <w:r>
        <w:rPr>
          <w:rFonts w:cs="Times New Roman"/>
          <w:lang w:val="fr-CA"/>
        </w:rPr>
        <w:t>’</w:t>
      </w:r>
      <w:r w:rsidRPr="002C53FC">
        <w:rPr>
          <w:rFonts w:cs="Times New Roman"/>
          <w:lang w:val="fr-CA"/>
        </w:rPr>
        <w:t>Assemblée législative</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9. Le Cabinet participe donc directement au processus décisionnel.</w:t>
      </w:r>
    </w:p>
    <w:p w14:paraId="47DDB1C3" w14:textId="77777777" w:rsidR="002C65EF" w:rsidRPr="002C53FC" w:rsidRDefault="002C65EF" w:rsidP="002C65EF">
      <w:pPr>
        <w:pStyle w:val="ParaNoNdepar-AltN"/>
        <w:spacing w:before="0"/>
        <w:rPr>
          <w:rFonts w:cs="Times New Roman"/>
          <w:lang w:val="fr-CA"/>
        </w:rPr>
      </w:pPr>
      <w:r w:rsidRPr="002C53FC">
        <w:rPr>
          <w:rFonts w:cs="Times New Roman"/>
          <w:lang w:val="fr-CA"/>
        </w:rPr>
        <w:t>La Cour d</w:t>
      </w:r>
      <w:r>
        <w:rPr>
          <w:rFonts w:cs="Times New Roman"/>
          <w:lang w:val="fr-CA"/>
        </w:rPr>
        <w:t>’</w:t>
      </w:r>
      <w:r w:rsidRPr="002C53FC">
        <w:rPr>
          <w:rFonts w:cs="Times New Roman"/>
          <w:lang w:val="fr-CA"/>
        </w:rPr>
        <w:t>appel a conclu que le mémoire au Cabinet était nécessairement pertinent, puisqu</w:t>
      </w:r>
      <w:r>
        <w:rPr>
          <w:rFonts w:cs="Times New Roman"/>
          <w:lang w:val="fr-CA"/>
        </w:rPr>
        <w:t>’</w:t>
      </w:r>
      <w:r w:rsidRPr="002C53FC">
        <w:rPr>
          <w:rFonts w:cs="Times New Roman"/>
          <w:lang w:val="fr-CA"/>
        </w:rPr>
        <w:t xml:space="preserve">il avait inspiré la réponse du gouvernement aux recommandations de </w:t>
      </w:r>
      <w:r w:rsidRPr="002C53FC">
        <w:rPr>
          <w:rFonts w:cs="Times New Roman"/>
          <w:lang w:val="fr-CA"/>
        </w:rPr>
        <w:lastRenderedPageBreak/>
        <w:t>la commission</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9 et 16. Dans la mesure où le Cabinet [</w:t>
      </w:r>
      <w:r w:rsidRPr="002C53FC">
        <w:rPr>
          <w:rFonts w:cs="Times New Roman"/>
          <w:smallCaps/>
          <w:lang w:val="fr-CA"/>
        </w:rPr>
        <w:t>traduction</w:t>
      </w:r>
      <w:r w:rsidRPr="002C53FC">
        <w:rPr>
          <w:rFonts w:cs="Times New Roman"/>
          <w:lang w:val="fr-CA"/>
        </w:rPr>
        <w:t>] « a joué un rôle de premier plan dans la “réponse du gouvernement” contestée [. . .], le mémoire au Cabinet est assurément “un élément de preuve dont était saisi le décideur administratif” » et devrait dès lors faire partie du dossier du contrôle judiciaire</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 xml:space="preserve">19, citant </w:t>
      </w:r>
      <w:r w:rsidRPr="002C53FC">
        <w:rPr>
          <w:rFonts w:cs="Times New Roman"/>
          <w:i/>
          <w:lang w:val="fr-CA"/>
        </w:rPr>
        <w:t>Stonechild, Re</w:t>
      </w:r>
      <w:r w:rsidRPr="002C53FC">
        <w:rPr>
          <w:rFonts w:cs="Times New Roman"/>
          <w:lang w:val="fr-CA"/>
        </w:rPr>
        <w:t xml:space="preserve">, 2007 SKCA 74, 304 Sask. R. 1, sous le nom de </w:t>
      </w:r>
      <w:r w:rsidRPr="002C53FC">
        <w:rPr>
          <w:rFonts w:cs="Times New Roman"/>
          <w:i/>
          <w:lang w:val="fr-CA"/>
        </w:rPr>
        <w:t>Hartwig c. Saskatchewan (Commission of Inquiry)</w:t>
      </w:r>
      <w:r w:rsidRPr="002C53FC">
        <w:rPr>
          <w:rFonts w:cs="Times New Roman"/>
          <w:lang w:val="fr-CA"/>
        </w:rPr>
        <w:t xml:space="preserve">, </w:t>
      </w:r>
      <w:r>
        <w:rPr>
          <w:rFonts w:cs="Times New Roman"/>
          <w:lang w:val="fr-CA"/>
        </w:rPr>
        <w:t>par. </w:t>
      </w:r>
      <w:r w:rsidRPr="002C53FC">
        <w:rPr>
          <w:rFonts w:cs="Times New Roman"/>
          <w:lang w:val="fr-CA"/>
        </w:rPr>
        <w:t>33. La Cour d</w:t>
      </w:r>
      <w:r>
        <w:rPr>
          <w:rFonts w:cs="Times New Roman"/>
          <w:lang w:val="fr-CA"/>
        </w:rPr>
        <w:t>’</w:t>
      </w:r>
      <w:r w:rsidRPr="002C53FC">
        <w:rPr>
          <w:rFonts w:cs="Times New Roman"/>
          <w:lang w:val="fr-CA"/>
        </w:rPr>
        <w:t>appel a également confirmé le bien</w:t>
      </w:r>
      <w:r>
        <w:rPr>
          <w:rFonts w:cs="Times New Roman"/>
          <w:lang w:val="fr-CA"/>
        </w:rPr>
        <w:noBreakHyphen/>
      </w:r>
      <w:r w:rsidRPr="002C53FC">
        <w:rPr>
          <w:rFonts w:cs="Times New Roman"/>
          <w:lang w:val="fr-CA"/>
        </w:rPr>
        <w:t>fondé de l</w:t>
      </w:r>
      <w:r>
        <w:rPr>
          <w:rFonts w:cs="Times New Roman"/>
          <w:lang w:val="fr-CA"/>
        </w:rPr>
        <w:t>’</w:t>
      </w:r>
      <w:r w:rsidRPr="002C53FC">
        <w:rPr>
          <w:rFonts w:cs="Times New Roman"/>
          <w:lang w:val="fr-CA"/>
        </w:rPr>
        <w:t>analyse du juge en chef Hinkson relative à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22.</w:t>
      </w:r>
    </w:p>
    <w:p w14:paraId="1EF96D78" w14:textId="77777777" w:rsidR="002C65EF" w:rsidRPr="002C53FC" w:rsidRDefault="002C65EF" w:rsidP="002C65EF">
      <w:pPr>
        <w:pStyle w:val="Title1LevelTitre1Niveau-AltL"/>
        <w:spacing w:before="0"/>
        <w:rPr>
          <w:rFonts w:cs="Times New Roman"/>
          <w:lang w:val="fr-CA"/>
        </w:rPr>
      </w:pPr>
      <w:r w:rsidRPr="002C53FC">
        <w:rPr>
          <w:rFonts w:cs="Times New Roman"/>
          <w:lang w:val="fr-CA"/>
        </w:rPr>
        <w:t>Questions en litige</w:t>
      </w:r>
    </w:p>
    <w:p w14:paraId="61E95016" w14:textId="3C74DCF2" w:rsidR="002C65EF" w:rsidRPr="002C53FC" w:rsidRDefault="002C65EF" w:rsidP="002C65EF">
      <w:pPr>
        <w:pStyle w:val="ParaNoNdepar-AltN"/>
        <w:spacing w:before="0"/>
        <w:rPr>
          <w:rFonts w:cs="Times New Roman"/>
          <w:lang w:val="fr-CA"/>
        </w:rPr>
      </w:pPr>
      <w:r w:rsidRPr="002C53FC">
        <w:rPr>
          <w:rFonts w:cs="Times New Roman"/>
          <w:lang w:val="fr-CA"/>
        </w:rPr>
        <w:t>Le présent pourvoi soulève deux questions</w:t>
      </w:r>
      <w:r>
        <w:rPr>
          <w:rFonts w:cs="Times New Roman"/>
          <w:lang w:val="fr-CA"/>
        </w:rPr>
        <w:t> :</w:t>
      </w:r>
      <w:r w:rsidRPr="002C53FC">
        <w:rPr>
          <w:rFonts w:cs="Times New Roman"/>
          <w:lang w:val="fr-CA"/>
        </w:rPr>
        <w:t xml:space="preserve"> a) le mémoire au Cabinet en cause en l</w:t>
      </w:r>
      <w:r>
        <w:rPr>
          <w:rFonts w:cs="Times New Roman"/>
          <w:lang w:val="fr-CA"/>
        </w:rPr>
        <w:t>’</w:t>
      </w:r>
      <w:r w:rsidRPr="002C53FC">
        <w:rPr>
          <w:rFonts w:cs="Times New Roman"/>
          <w:lang w:val="fr-CA"/>
        </w:rPr>
        <w:t>espèce devrait</w:t>
      </w:r>
      <w:r>
        <w:rPr>
          <w:rFonts w:cs="Times New Roman"/>
          <w:lang w:val="fr-CA"/>
        </w:rPr>
        <w:noBreakHyphen/>
      </w:r>
      <w:r w:rsidRPr="002C53FC">
        <w:rPr>
          <w:rFonts w:cs="Times New Roman"/>
          <w:lang w:val="fr-CA"/>
        </w:rPr>
        <w:t xml:space="preserve">il faire partie du dossier aux fins du contrôle de type </w:t>
      </w:r>
      <w:r w:rsidR="002C48BE">
        <w:rPr>
          <w:rFonts w:cs="Times New Roman"/>
          <w:i/>
          <w:lang w:val="fr-CA"/>
        </w:rPr>
        <w:t>Bodner</w:t>
      </w:r>
      <w:r w:rsidRPr="002C53FC">
        <w:rPr>
          <w:rFonts w:cs="Times New Roman"/>
          <w:lang w:val="fr-CA"/>
        </w:rPr>
        <w:t>? Et, b) le mémoire au Cabinet est</w:t>
      </w:r>
      <w:r>
        <w:rPr>
          <w:rFonts w:cs="Times New Roman"/>
          <w:lang w:val="fr-CA"/>
        </w:rPr>
        <w:noBreakHyphen/>
      </w:r>
      <w:r w:rsidRPr="002C53FC">
        <w:rPr>
          <w:rFonts w:cs="Times New Roman"/>
          <w:lang w:val="fr-CA"/>
        </w:rPr>
        <w:t>il protégé par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w:t>
      </w:r>
    </w:p>
    <w:p w14:paraId="4EB23E5F" w14:textId="77777777" w:rsidR="002C65EF" w:rsidRPr="002C53FC" w:rsidRDefault="002C65EF" w:rsidP="002C65EF">
      <w:pPr>
        <w:pStyle w:val="Title1LevelTitre1Niveau-AltL"/>
        <w:spacing w:before="0"/>
        <w:rPr>
          <w:rFonts w:cs="Times New Roman"/>
          <w:lang w:val="fr-CA"/>
        </w:rPr>
      </w:pPr>
      <w:r w:rsidRPr="002C53FC">
        <w:rPr>
          <w:rFonts w:cs="Times New Roman"/>
          <w:lang w:val="fr-CA"/>
        </w:rPr>
        <w:t>Analyse</w:t>
      </w:r>
    </w:p>
    <w:p w14:paraId="270FAF4F" w14:textId="77777777" w:rsidR="002C65EF" w:rsidRPr="002C53FC" w:rsidRDefault="002C65EF" w:rsidP="002C65EF">
      <w:pPr>
        <w:pStyle w:val="Title2LevelTitre2Niveau"/>
        <w:spacing w:before="0"/>
        <w:rPr>
          <w:rFonts w:cs="Times New Roman"/>
          <w:lang w:val="fr-CA"/>
        </w:rPr>
      </w:pPr>
      <w:r w:rsidRPr="002C53FC">
        <w:rPr>
          <w:rFonts w:cs="Times New Roman"/>
          <w:lang w:val="fr-CA"/>
        </w:rPr>
        <w:t>Indépendance judiciaire et nature du contrôle de type Bodner</w:t>
      </w:r>
    </w:p>
    <w:p w14:paraId="1FC539A6" w14:textId="77777777" w:rsidR="002C65EF" w:rsidRPr="002C53FC" w:rsidRDefault="002C65EF" w:rsidP="002C65EF">
      <w:pPr>
        <w:pStyle w:val="ParaNoNdepar-AltN"/>
        <w:spacing w:before="0"/>
        <w:rPr>
          <w:rFonts w:cs="Times New Roman"/>
          <w:lang w:val="fr-CA"/>
        </w:rPr>
      </w:pPr>
      <w:r w:rsidRPr="002C53FC">
        <w:rPr>
          <w:rFonts w:cs="Times New Roman"/>
          <w:lang w:val="fr-CA"/>
        </w:rPr>
        <w:t>Le présent pourvoi survient dans le contexte du contrôle judiciaire de la réponse donnée par un gouvernement aux recommandations d</w:t>
      </w:r>
      <w:r>
        <w:rPr>
          <w:rFonts w:cs="Times New Roman"/>
          <w:lang w:val="fr-CA"/>
        </w:rPr>
        <w:t>’</w:t>
      </w:r>
      <w:r w:rsidRPr="002C53FC">
        <w:rPr>
          <w:rFonts w:cs="Times New Roman"/>
          <w:lang w:val="fr-CA"/>
        </w:rPr>
        <w:t>une commission d</w:t>
      </w:r>
      <w:r>
        <w:rPr>
          <w:rFonts w:cs="Times New Roman"/>
          <w:lang w:val="fr-CA"/>
        </w:rPr>
        <w:t>’</w:t>
      </w:r>
      <w:r w:rsidRPr="002C53FC">
        <w:rPr>
          <w:rFonts w:cs="Times New Roman"/>
          <w:lang w:val="fr-CA"/>
        </w:rPr>
        <w:t>examen de la rémunération des juges. Un tel contrôle vise à protéger l</w:t>
      </w:r>
      <w:r>
        <w:rPr>
          <w:rFonts w:cs="Times New Roman"/>
          <w:lang w:val="fr-CA"/>
        </w:rPr>
        <w:t>’</w:t>
      </w:r>
      <w:r w:rsidRPr="002C53FC">
        <w:rPr>
          <w:rFonts w:cs="Times New Roman"/>
          <w:lang w:val="fr-CA"/>
        </w:rPr>
        <w:t>indépendance judiciaire.</w:t>
      </w:r>
    </w:p>
    <w:p w14:paraId="6C4167E0"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Le principe constitutionnel de l</w:t>
      </w:r>
      <w:r>
        <w:rPr>
          <w:rFonts w:cs="Times New Roman"/>
          <w:lang w:val="fr-CA"/>
        </w:rPr>
        <w:t>’</w:t>
      </w:r>
      <w:r w:rsidRPr="002C53FC">
        <w:rPr>
          <w:rFonts w:cs="Times New Roman"/>
          <w:lang w:val="fr-CA"/>
        </w:rPr>
        <w:t>indépendance judiciaire prend sa source dans l</w:t>
      </w:r>
      <w:r>
        <w:rPr>
          <w:rFonts w:cs="Times New Roman"/>
          <w:lang w:val="fr-CA"/>
        </w:rPr>
        <w:t>’</w:t>
      </w:r>
      <w:r w:rsidRPr="002C53FC">
        <w:rPr>
          <w:rFonts w:cs="Times New Roman"/>
          <w:lang w:val="fr-CA"/>
        </w:rPr>
        <w:t>énoncé du préambule de la</w:t>
      </w:r>
      <w:r w:rsidRPr="002C53FC">
        <w:rPr>
          <w:rFonts w:cs="Times New Roman"/>
          <w:i/>
          <w:lang w:val="fr-CA"/>
        </w:rPr>
        <w:t xml:space="preserve"> Loi constitutionnelle de 1867</w:t>
      </w:r>
      <w:r w:rsidRPr="002C53FC">
        <w:rPr>
          <w:rFonts w:cs="Times New Roman"/>
          <w:lang w:val="fr-CA"/>
        </w:rPr>
        <w:t xml:space="preserve"> selon lequel le Canada doit se doter d</w:t>
      </w:r>
      <w:r>
        <w:rPr>
          <w:rFonts w:cs="Times New Roman"/>
          <w:lang w:val="fr-CA"/>
        </w:rPr>
        <w:t>’</w:t>
      </w:r>
      <w:r w:rsidRPr="002C53FC">
        <w:rPr>
          <w:rFonts w:cs="Times New Roman"/>
          <w:lang w:val="fr-CA"/>
        </w:rPr>
        <w:t>une « constitution reposant sur les mêmes principes que celle du Royaume</w:t>
      </w:r>
      <w:r>
        <w:rPr>
          <w:rFonts w:cs="Times New Roman"/>
          <w:lang w:val="fr-CA"/>
        </w:rPr>
        <w:noBreakHyphen/>
      </w:r>
      <w:r w:rsidRPr="002C53FC">
        <w:rPr>
          <w:rFonts w:cs="Times New Roman"/>
          <w:lang w:val="fr-CA"/>
        </w:rPr>
        <w:t xml:space="preserve">Uni », dans les </w:t>
      </w:r>
      <w:r>
        <w:rPr>
          <w:rFonts w:cs="Times New Roman"/>
          <w:lang w:val="fr-CA"/>
        </w:rPr>
        <w:t>art. </w:t>
      </w:r>
      <w:r w:rsidRPr="002C53FC">
        <w:rPr>
          <w:rFonts w:cs="Times New Roman"/>
          <w:lang w:val="fr-CA"/>
        </w:rPr>
        <w:t xml:space="preserve">96 à 101 de la </w:t>
      </w:r>
      <w:r w:rsidRPr="002C53FC">
        <w:rPr>
          <w:rFonts w:cs="Times New Roman"/>
          <w:i/>
          <w:lang w:val="fr-CA"/>
        </w:rPr>
        <w:t>Loi constitutionnelle de 1867</w:t>
      </w:r>
      <w:r w:rsidRPr="002C53FC">
        <w:rPr>
          <w:rFonts w:cs="Times New Roman"/>
          <w:lang w:val="fr-CA"/>
        </w:rPr>
        <w:t>,</w:t>
      </w:r>
      <w:r w:rsidRPr="002C53FC">
        <w:rPr>
          <w:rFonts w:cs="Times New Roman"/>
          <w:i/>
          <w:lang w:val="fr-CA"/>
        </w:rPr>
        <w:t xml:space="preserve"> </w:t>
      </w:r>
      <w:r w:rsidRPr="002C53FC">
        <w:rPr>
          <w:rFonts w:cs="Times New Roman"/>
          <w:lang w:val="fr-CA"/>
        </w:rPr>
        <w:t>dans l</w:t>
      </w:r>
      <w:r>
        <w:rPr>
          <w:rFonts w:cs="Times New Roman"/>
          <w:lang w:val="fr-CA"/>
        </w:rPr>
        <w:t>’al. </w:t>
      </w:r>
      <w:r w:rsidRPr="002C53FC">
        <w:rPr>
          <w:rFonts w:cs="Times New Roman"/>
          <w:lang w:val="fr-CA"/>
        </w:rPr>
        <w:t>11</w:t>
      </w:r>
      <w:r w:rsidRPr="002C53FC">
        <w:rPr>
          <w:rFonts w:cs="Times New Roman"/>
          <w:i/>
          <w:lang w:val="fr-CA"/>
        </w:rPr>
        <w:t>d</w:t>
      </w:r>
      <w:r w:rsidRPr="002C53FC">
        <w:rPr>
          <w:rFonts w:cs="Times New Roman"/>
          <w:lang w:val="fr-CA"/>
        </w:rPr>
        <w:t xml:space="preserve">) de la </w:t>
      </w:r>
      <w:r w:rsidRPr="002C53FC">
        <w:rPr>
          <w:rFonts w:cs="Times New Roman"/>
          <w:i/>
          <w:lang w:val="fr-CA"/>
        </w:rPr>
        <w:t xml:space="preserve">Charte canadienne des droits et libertés </w:t>
      </w:r>
      <w:r w:rsidRPr="002C53FC">
        <w:rPr>
          <w:rFonts w:cs="Times New Roman"/>
          <w:lang w:val="fr-CA"/>
        </w:rPr>
        <w:t>et dans l</w:t>
      </w:r>
      <w:r>
        <w:rPr>
          <w:rFonts w:cs="Times New Roman"/>
          <w:lang w:val="fr-CA"/>
        </w:rPr>
        <w:t>’al. </w:t>
      </w:r>
      <w:r w:rsidRPr="002C53FC">
        <w:rPr>
          <w:rFonts w:cs="Times New Roman"/>
          <w:lang w:val="fr-CA"/>
        </w:rPr>
        <w:t>42(1)</w:t>
      </w:r>
      <w:r w:rsidRPr="002C53FC">
        <w:rPr>
          <w:rFonts w:cs="Times New Roman"/>
          <w:i/>
          <w:lang w:val="fr-CA"/>
        </w:rPr>
        <w:t>d</w:t>
      </w:r>
      <w:r w:rsidRPr="002C53FC">
        <w:rPr>
          <w:rFonts w:cs="Times New Roman"/>
          <w:lang w:val="fr-CA"/>
        </w:rPr>
        <w:t xml:space="preserve">) de la </w:t>
      </w:r>
      <w:r w:rsidRPr="002C53FC">
        <w:rPr>
          <w:rFonts w:cs="Times New Roman"/>
          <w:i/>
          <w:lang w:val="fr-CA"/>
        </w:rPr>
        <w:t>Loi constitutionnelle de 1982</w:t>
      </w:r>
      <w:r>
        <w:rPr>
          <w:rFonts w:cs="Times New Roman"/>
          <w:lang w:val="fr-CA"/>
        </w:rPr>
        <w:t> :</w:t>
      </w:r>
      <w:r w:rsidRPr="002C53FC">
        <w:rPr>
          <w:rFonts w:cs="Times New Roman"/>
          <w:lang w:val="fr-CA"/>
        </w:rPr>
        <w:t xml:space="preserve"> </w:t>
      </w:r>
      <w:r w:rsidRPr="002C53FC">
        <w:rPr>
          <w:rFonts w:cs="Times New Roman"/>
          <w:i/>
          <w:lang w:val="fr-CA"/>
        </w:rPr>
        <w:t>Beauregard c. Canada</w:t>
      </w:r>
      <w:r w:rsidRPr="002C53FC">
        <w:rPr>
          <w:rFonts w:cs="Times New Roman"/>
          <w:lang w:val="fr-CA"/>
        </w:rPr>
        <w:t xml:space="preserve">, [1986] 2 R.C.S. 56, </w:t>
      </w:r>
      <w:r>
        <w:rPr>
          <w:rFonts w:cs="Times New Roman"/>
          <w:lang w:val="fr-CA"/>
        </w:rPr>
        <w:t>p. </w:t>
      </w:r>
      <w:r w:rsidRPr="002C53FC">
        <w:rPr>
          <w:rFonts w:cs="Times New Roman"/>
          <w:lang w:val="fr-CA"/>
        </w:rPr>
        <w:t>72</w:t>
      </w:r>
      <w:r>
        <w:rPr>
          <w:rFonts w:cs="Times New Roman"/>
          <w:lang w:val="fr-CA"/>
        </w:rPr>
        <w:noBreakHyphen/>
      </w:r>
      <w:r w:rsidRPr="002C53FC">
        <w:rPr>
          <w:rFonts w:cs="Times New Roman"/>
          <w:lang w:val="fr-CA"/>
        </w:rPr>
        <w:t xml:space="preserve">73;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84 et 105</w:t>
      </w:r>
      <w:r>
        <w:rPr>
          <w:rFonts w:cs="Times New Roman"/>
          <w:lang w:val="fr-CA"/>
        </w:rPr>
        <w:noBreakHyphen/>
      </w:r>
      <w:r w:rsidRPr="002C53FC">
        <w:rPr>
          <w:rFonts w:cs="Times New Roman"/>
          <w:lang w:val="fr-CA"/>
        </w:rPr>
        <w:t xml:space="preserve">109; </w:t>
      </w:r>
      <w:r w:rsidRPr="002C53FC">
        <w:rPr>
          <w:rFonts w:cs="Times New Roman"/>
          <w:i/>
          <w:lang w:val="fr-CA"/>
        </w:rPr>
        <w:t xml:space="preserve">Renvoi relatif à la Loi sur la Cour suprême, </w:t>
      </w:r>
      <w:r>
        <w:rPr>
          <w:rFonts w:cs="Times New Roman"/>
          <w:i/>
          <w:lang w:val="fr-CA"/>
        </w:rPr>
        <w:t>art. </w:t>
      </w:r>
      <w:r w:rsidRPr="002C53FC">
        <w:rPr>
          <w:rFonts w:cs="Times New Roman"/>
          <w:i/>
          <w:lang w:val="fr-CA"/>
        </w:rPr>
        <w:t>5 et 6</w:t>
      </w:r>
      <w:r w:rsidRPr="002C53FC">
        <w:rPr>
          <w:rFonts w:cs="Times New Roman"/>
          <w:lang w:val="fr-CA"/>
        </w:rPr>
        <w:t xml:space="preserve">, 2014 CSC 21, [2014] 1 R.C.S. 433, </w:t>
      </w:r>
      <w:r>
        <w:rPr>
          <w:rFonts w:cs="Times New Roman"/>
          <w:lang w:val="fr-CA"/>
        </w:rPr>
        <w:t>par. </w:t>
      </w:r>
      <w:r w:rsidRPr="002C53FC">
        <w:rPr>
          <w:rFonts w:cs="Times New Roman"/>
          <w:lang w:val="fr-CA"/>
        </w:rPr>
        <w:t xml:space="preserve">94; </w:t>
      </w:r>
      <w:r w:rsidRPr="002C53FC">
        <w:rPr>
          <w:rFonts w:cs="Times New Roman"/>
          <w:i/>
          <w:lang w:val="fr-CA"/>
        </w:rPr>
        <w:t>Conférence des juges de paix magistrats du Québec c. Québec (Procureure générale)</w:t>
      </w:r>
      <w:r w:rsidRPr="002C53FC">
        <w:rPr>
          <w:rFonts w:cs="Times New Roman"/>
          <w:lang w:val="fr-CA"/>
        </w:rPr>
        <w:t xml:space="preserve">, 2016 CSC 39, [2016] 2 R.C.S. 116, </w:t>
      </w:r>
      <w:r>
        <w:rPr>
          <w:rFonts w:cs="Times New Roman"/>
          <w:lang w:val="fr-CA"/>
        </w:rPr>
        <w:t>par. </w:t>
      </w:r>
      <w:r w:rsidRPr="002C53FC">
        <w:rPr>
          <w:rFonts w:cs="Times New Roman"/>
          <w:lang w:val="fr-CA"/>
        </w:rPr>
        <w:t>31.</w:t>
      </w:r>
    </w:p>
    <w:p w14:paraId="243ADCA9" w14:textId="77777777" w:rsidR="002C65EF" w:rsidRPr="002C53FC" w:rsidRDefault="002C65EF" w:rsidP="002C65EF">
      <w:pPr>
        <w:pStyle w:val="ParaNoNdepar-AltN"/>
        <w:spacing w:before="0"/>
        <w:rPr>
          <w:rFonts w:cs="Times New Roman"/>
          <w:lang w:val="fr-CA"/>
        </w:rPr>
      </w:pPr>
      <w:r w:rsidRPr="002C53FC">
        <w:rPr>
          <w:rFonts w:cs="Times New Roman"/>
          <w:lang w:val="fr-CA"/>
        </w:rPr>
        <w:t>Ces dispositions, de même que le principe plus large de l</w:t>
      </w:r>
      <w:r>
        <w:rPr>
          <w:rFonts w:cs="Times New Roman"/>
          <w:lang w:val="fr-CA"/>
        </w:rPr>
        <w:t>’</w:t>
      </w:r>
      <w:r w:rsidRPr="002C53FC">
        <w:rPr>
          <w:rFonts w:cs="Times New Roman"/>
          <w:lang w:val="fr-CA"/>
        </w:rPr>
        <w:t>indépendance judiciaire, visent non seulement à protéger la séparation des pouvoirs entre les branches de l</w:t>
      </w:r>
      <w:r>
        <w:rPr>
          <w:rFonts w:cs="Times New Roman"/>
          <w:lang w:val="fr-CA"/>
        </w:rPr>
        <w:t>’</w:t>
      </w:r>
      <w:r w:rsidRPr="002C53FC">
        <w:rPr>
          <w:rFonts w:cs="Times New Roman"/>
          <w:lang w:val="fr-CA"/>
        </w:rPr>
        <w:t>État et donc l</w:t>
      </w:r>
      <w:r>
        <w:rPr>
          <w:rFonts w:cs="Times New Roman"/>
          <w:lang w:val="fr-CA"/>
        </w:rPr>
        <w:t>’</w:t>
      </w:r>
      <w:r w:rsidRPr="002C53FC">
        <w:rPr>
          <w:rFonts w:cs="Times New Roman"/>
          <w:lang w:val="fr-CA"/>
        </w:rPr>
        <w:t>intégrité de notre structure constitutionnelle, mais aussi à favoriser la confiance du public dans l</w:t>
      </w:r>
      <w:r>
        <w:rPr>
          <w:rFonts w:cs="Times New Roman"/>
          <w:lang w:val="fr-CA"/>
        </w:rPr>
        <w:t>’</w:t>
      </w:r>
      <w:r w:rsidRPr="002C53FC">
        <w:rPr>
          <w:rFonts w:cs="Times New Roman"/>
          <w:lang w:val="fr-CA"/>
        </w:rPr>
        <w:t>administration de la justice</w:t>
      </w:r>
      <w:r>
        <w:rPr>
          <w:rFonts w:cs="Times New Roman"/>
          <w:lang w:val="fr-CA"/>
        </w:rPr>
        <w:t> :</w:t>
      </w:r>
      <w:r w:rsidRPr="002C53FC">
        <w:rPr>
          <w:rFonts w:cs="Times New Roman"/>
          <w:i/>
          <w:lang w:val="fr-CA"/>
        </w:rPr>
        <w:t xml:space="preserve"> Ell c. Alberta</w:t>
      </w:r>
      <w:r w:rsidRPr="002C53FC">
        <w:rPr>
          <w:rFonts w:cs="Times New Roman"/>
          <w:lang w:val="fr-CA"/>
        </w:rPr>
        <w:t xml:space="preserve">, 2003 CSC 35, [2003] 1 R.C.S. 857, </w:t>
      </w:r>
      <w:r>
        <w:rPr>
          <w:rFonts w:cs="Times New Roman"/>
          <w:lang w:val="fr-CA"/>
        </w:rPr>
        <w:t>par. </w:t>
      </w:r>
      <w:r w:rsidRPr="002C53FC">
        <w:rPr>
          <w:rFonts w:cs="Times New Roman"/>
          <w:lang w:val="fr-CA"/>
        </w:rPr>
        <w:t>21</w:t>
      </w:r>
      <w:r>
        <w:rPr>
          <w:rFonts w:cs="Times New Roman"/>
          <w:lang w:val="fr-CA"/>
        </w:rPr>
        <w:noBreakHyphen/>
      </w:r>
      <w:r w:rsidRPr="002C53FC">
        <w:rPr>
          <w:rFonts w:cs="Times New Roman"/>
          <w:lang w:val="fr-CA"/>
        </w:rPr>
        <w:t xml:space="preserve">23; </w:t>
      </w:r>
      <w:r w:rsidRPr="002C53FC">
        <w:rPr>
          <w:rFonts w:cs="Times New Roman"/>
          <w:i/>
          <w:lang w:val="fr-CA"/>
        </w:rPr>
        <w:t>Conférence des juges de paix magistrats</w:t>
      </w:r>
      <w:r w:rsidRPr="002C53FC">
        <w:rPr>
          <w:rFonts w:cs="Times New Roman"/>
          <w:lang w:val="fr-CA"/>
        </w:rPr>
        <w:t xml:space="preserve">, </w:t>
      </w:r>
      <w:r>
        <w:rPr>
          <w:rFonts w:cs="Times New Roman"/>
          <w:lang w:val="fr-CA"/>
        </w:rPr>
        <w:t>par. </w:t>
      </w:r>
      <w:r w:rsidRPr="002C53FC">
        <w:rPr>
          <w:rFonts w:cs="Times New Roman"/>
          <w:lang w:val="fr-CA"/>
        </w:rPr>
        <w:t>31. Ce sont des éléments fondamentaux de la primauté du droit et de la démocratie au Canada.</w:t>
      </w:r>
    </w:p>
    <w:p w14:paraId="0130029C" w14:textId="77777777" w:rsidR="002C65EF" w:rsidRPr="002C53FC" w:rsidRDefault="002C65EF" w:rsidP="002C65EF">
      <w:pPr>
        <w:pStyle w:val="ParaNoNdepar-AltN"/>
        <w:spacing w:before="0"/>
        <w:rPr>
          <w:rFonts w:cs="Times New Roman"/>
          <w:lang w:val="fr-CA"/>
        </w:rPr>
      </w:pPr>
      <w:r w:rsidRPr="002C53FC">
        <w:rPr>
          <w:rFonts w:cs="Times New Roman"/>
          <w:lang w:val="fr-CA"/>
        </w:rPr>
        <w:t>Le principe primordial de l</w:t>
      </w:r>
      <w:r>
        <w:rPr>
          <w:rFonts w:cs="Times New Roman"/>
          <w:lang w:val="fr-CA"/>
        </w:rPr>
        <w:t>’</w:t>
      </w:r>
      <w:r w:rsidRPr="002C53FC">
        <w:rPr>
          <w:rFonts w:cs="Times New Roman"/>
          <w:lang w:val="fr-CA"/>
        </w:rPr>
        <w:t>indépendance de la magistrature s</w:t>
      </w:r>
      <w:r>
        <w:rPr>
          <w:rFonts w:cs="Times New Roman"/>
          <w:lang w:val="fr-CA"/>
        </w:rPr>
        <w:t>’</w:t>
      </w:r>
      <w:r w:rsidRPr="002C53FC">
        <w:rPr>
          <w:rFonts w:cs="Times New Roman"/>
          <w:lang w:val="fr-CA"/>
        </w:rPr>
        <w:t>applique à tous les tribunaux judiciaires, qu</w:t>
      </w:r>
      <w:r>
        <w:rPr>
          <w:rFonts w:cs="Times New Roman"/>
          <w:lang w:val="fr-CA"/>
        </w:rPr>
        <w:t>’</w:t>
      </w:r>
      <w:r w:rsidRPr="002C53FC">
        <w:rPr>
          <w:rFonts w:cs="Times New Roman"/>
          <w:lang w:val="fr-CA"/>
        </w:rPr>
        <w:t>ils soient de juridiction civile ou pénale, et que les juges qui les président soient nommés par des autorités fédérales, provinciales ou territoriales</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106; </w:t>
      </w:r>
      <w:r w:rsidRPr="002C53FC">
        <w:rPr>
          <w:rFonts w:cs="Times New Roman"/>
          <w:i/>
          <w:lang w:val="fr-CA"/>
        </w:rPr>
        <w:t>Ell</w:t>
      </w:r>
      <w:r w:rsidRPr="002C53FC">
        <w:rPr>
          <w:rFonts w:cs="Times New Roman"/>
          <w:lang w:val="fr-CA"/>
        </w:rPr>
        <w:t xml:space="preserve">, </w:t>
      </w:r>
      <w:r>
        <w:rPr>
          <w:rFonts w:cs="Times New Roman"/>
          <w:lang w:val="fr-CA"/>
        </w:rPr>
        <w:t>par. </w:t>
      </w:r>
      <w:r w:rsidRPr="002C53FC">
        <w:rPr>
          <w:rFonts w:cs="Times New Roman"/>
          <w:lang w:val="fr-CA"/>
        </w:rPr>
        <w:t>21</w:t>
      </w:r>
      <w:r>
        <w:rPr>
          <w:rFonts w:cs="Times New Roman"/>
          <w:lang w:val="fr-CA"/>
        </w:rPr>
        <w:noBreakHyphen/>
      </w:r>
      <w:r w:rsidRPr="002C53FC">
        <w:rPr>
          <w:rFonts w:cs="Times New Roman"/>
          <w:lang w:val="fr-CA"/>
        </w:rPr>
        <w:t xml:space="preserve">24; </w:t>
      </w:r>
      <w:r w:rsidRPr="002C53FC">
        <w:rPr>
          <w:rFonts w:cs="Times New Roman"/>
          <w:i/>
          <w:lang w:val="fr-CA"/>
        </w:rPr>
        <w:t>Conférence des juges de paix magistrats</w:t>
      </w:r>
      <w:r w:rsidRPr="002C53FC">
        <w:rPr>
          <w:rFonts w:cs="Times New Roman"/>
          <w:lang w:val="fr-CA"/>
        </w:rPr>
        <w:t xml:space="preserve">, </w:t>
      </w:r>
      <w:r>
        <w:rPr>
          <w:rFonts w:cs="Times New Roman"/>
          <w:lang w:val="fr-CA"/>
        </w:rPr>
        <w:t>par. </w:t>
      </w:r>
      <w:r w:rsidRPr="002C53FC">
        <w:rPr>
          <w:rFonts w:cs="Times New Roman"/>
          <w:lang w:val="fr-CA"/>
        </w:rPr>
        <w:t>32.</w:t>
      </w:r>
    </w:p>
    <w:p w14:paraId="29E0CB87" w14:textId="3E2328A7" w:rsidR="002C65EF" w:rsidRPr="002C53FC" w:rsidRDefault="002C65EF" w:rsidP="002C65EF">
      <w:pPr>
        <w:pStyle w:val="ParaNoNdepar-AltN"/>
        <w:spacing w:before="0"/>
        <w:rPr>
          <w:rFonts w:cs="Times New Roman"/>
          <w:lang w:val="fr-CA"/>
        </w:rPr>
      </w:pPr>
      <w:r w:rsidRPr="002C53FC">
        <w:rPr>
          <w:rFonts w:cs="Times New Roman"/>
          <w:lang w:val="fr-CA"/>
        </w:rPr>
        <w:lastRenderedPageBreak/>
        <w:t>Les trois caractéristiques centrales de l</w:t>
      </w:r>
      <w:r>
        <w:rPr>
          <w:rFonts w:cs="Times New Roman"/>
          <w:lang w:val="fr-CA"/>
        </w:rPr>
        <w:t>’</w:t>
      </w:r>
      <w:r w:rsidRPr="002C53FC">
        <w:rPr>
          <w:rFonts w:cs="Times New Roman"/>
          <w:lang w:val="fr-CA"/>
        </w:rPr>
        <w:t>indépendance judiciaire sont l</w:t>
      </w:r>
      <w:r>
        <w:rPr>
          <w:rFonts w:cs="Times New Roman"/>
          <w:lang w:val="fr-CA"/>
        </w:rPr>
        <w:t>’</w:t>
      </w:r>
      <w:r w:rsidRPr="002C53FC">
        <w:rPr>
          <w:rFonts w:cs="Times New Roman"/>
          <w:lang w:val="fr-CA"/>
        </w:rPr>
        <w:t>inamovibilité, la sécurité financière et l</w:t>
      </w:r>
      <w:r>
        <w:rPr>
          <w:rFonts w:cs="Times New Roman"/>
          <w:lang w:val="fr-CA"/>
        </w:rPr>
        <w:t>’</w:t>
      </w:r>
      <w:r w:rsidRPr="002C53FC">
        <w:rPr>
          <w:rFonts w:cs="Times New Roman"/>
          <w:lang w:val="fr-CA"/>
        </w:rPr>
        <w:t>indépendance administrative</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118. Celle que met en jeu le présent pourvoi — la sécurité financière — comporte à son tour trois éléments, « qui découlent tous de l</w:t>
      </w:r>
      <w:r>
        <w:rPr>
          <w:rFonts w:cs="Times New Roman"/>
          <w:lang w:val="fr-CA"/>
        </w:rPr>
        <w:t>’</w:t>
      </w:r>
      <w:r w:rsidRPr="002C53FC">
        <w:rPr>
          <w:rFonts w:cs="Times New Roman"/>
          <w:lang w:val="fr-CA"/>
        </w:rPr>
        <w:t>impératif constitutionnel qui veut que [. . .] les rapports entre le judiciaire et les deux autres pouvoirs de l</w:t>
      </w:r>
      <w:r>
        <w:rPr>
          <w:rFonts w:cs="Times New Roman"/>
          <w:lang w:val="fr-CA"/>
        </w:rPr>
        <w:t>’</w:t>
      </w:r>
      <w:r w:rsidRPr="002C53FC">
        <w:rPr>
          <w:rFonts w:cs="Times New Roman"/>
          <w:lang w:val="fr-CA"/>
        </w:rPr>
        <w:t xml:space="preserve">État soient </w:t>
      </w:r>
      <w:r w:rsidRPr="002C53FC">
        <w:rPr>
          <w:rFonts w:cs="Times New Roman"/>
          <w:u w:val="single"/>
          <w:lang w:val="fr-CA"/>
        </w:rPr>
        <w:t>dépolitisés</w:t>
      </w:r>
      <w:r w:rsidRPr="002C53FC">
        <w:rPr>
          <w:rFonts w:cs="Times New Roman"/>
          <w:lang w:val="fr-CA"/>
        </w:rPr>
        <w:t> »</w:t>
      </w:r>
      <w:r>
        <w:rPr>
          <w:rFonts w:cs="Times New Roman"/>
          <w:lang w:val="fr-CA"/>
        </w:rPr>
        <w:t> :</w:t>
      </w:r>
      <w:r w:rsidRPr="002C53FC">
        <w:rPr>
          <w:rFonts w:cs="Times New Roman"/>
          <w:lang w:val="fr-CA"/>
        </w:rPr>
        <w:t xml:space="preserve"> </w:t>
      </w:r>
      <w:r>
        <w:rPr>
          <w:rFonts w:cs="Times New Roman"/>
          <w:lang w:val="fr-CA"/>
        </w:rPr>
        <w:t>par. </w:t>
      </w:r>
      <w:r w:rsidR="00E447B6">
        <w:rPr>
          <w:rFonts w:cs="Times New Roman"/>
          <w:lang w:val="fr-CA"/>
        </w:rPr>
        <w:t>131 (soulignement</w:t>
      </w:r>
      <w:r w:rsidRPr="002C53FC">
        <w:rPr>
          <w:rFonts w:cs="Times New Roman"/>
          <w:lang w:val="fr-CA"/>
        </w:rPr>
        <w:t xml:space="preserve"> dans l</w:t>
      </w:r>
      <w:r>
        <w:rPr>
          <w:rFonts w:cs="Times New Roman"/>
          <w:lang w:val="fr-CA"/>
        </w:rPr>
        <w:t>’</w:t>
      </w:r>
      <w:r w:rsidRPr="002C53FC">
        <w:rPr>
          <w:rFonts w:cs="Times New Roman"/>
          <w:lang w:val="fr-CA"/>
        </w:rPr>
        <w:t>original). Premièrement, sauf en cas de « crise financière exceptionnellement grave provoquée par des circonstances extraordinaires », un gouvernement ne peut pas modifier les paramètres de la rémunération des juges sans s</w:t>
      </w:r>
      <w:r>
        <w:rPr>
          <w:rFonts w:cs="Times New Roman"/>
          <w:lang w:val="fr-CA"/>
        </w:rPr>
        <w:t>’</w:t>
      </w:r>
      <w:r w:rsidRPr="002C53FC">
        <w:rPr>
          <w:rFonts w:cs="Times New Roman"/>
          <w:lang w:val="fr-CA"/>
        </w:rPr>
        <w:t>être d</w:t>
      </w:r>
      <w:r>
        <w:rPr>
          <w:rFonts w:cs="Times New Roman"/>
          <w:lang w:val="fr-CA"/>
        </w:rPr>
        <w:t>’</w:t>
      </w:r>
      <w:r w:rsidRPr="002C53FC">
        <w:rPr>
          <w:rFonts w:cs="Times New Roman"/>
          <w:lang w:val="fr-CA"/>
        </w:rPr>
        <w:t>abord enquis des recommandations d</w:t>
      </w:r>
      <w:r>
        <w:rPr>
          <w:rFonts w:cs="Times New Roman"/>
          <w:lang w:val="fr-CA"/>
        </w:rPr>
        <w:t>’</w:t>
      </w:r>
      <w:r w:rsidRPr="002C53FC">
        <w:rPr>
          <w:rFonts w:cs="Times New Roman"/>
          <w:lang w:val="fr-CA"/>
        </w:rPr>
        <w:t>un organisme indépendant, une « commission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133 et 137. (Le terme « gouvernement » peut, selon le contexte, s</w:t>
      </w:r>
      <w:r>
        <w:rPr>
          <w:rFonts w:cs="Times New Roman"/>
          <w:lang w:val="fr-CA"/>
        </w:rPr>
        <w:t>’</w:t>
      </w:r>
      <w:r w:rsidRPr="002C53FC">
        <w:rPr>
          <w:rFonts w:cs="Times New Roman"/>
          <w:lang w:val="fr-CA"/>
        </w:rPr>
        <w:t>entendre de l</w:t>
      </w:r>
      <w:r>
        <w:rPr>
          <w:rFonts w:cs="Times New Roman"/>
          <w:lang w:val="fr-CA"/>
        </w:rPr>
        <w:t>’</w:t>
      </w:r>
      <w:r w:rsidRPr="002C53FC">
        <w:rPr>
          <w:rFonts w:cs="Times New Roman"/>
          <w:lang w:val="fr-CA"/>
        </w:rPr>
        <w:t>exécutif, de la législature ou de l</w:t>
      </w:r>
      <w:r>
        <w:rPr>
          <w:rFonts w:cs="Times New Roman"/>
          <w:lang w:val="fr-CA"/>
        </w:rPr>
        <w:t>’</w:t>
      </w:r>
      <w:r w:rsidR="00A9708B">
        <w:rPr>
          <w:rFonts w:cs="Times New Roman"/>
          <w:lang w:val="fr-CA"/>
        </w:rPr>
        <w:t>Assemblée législative.)</w:t>
      </w:r>
      <w:r w:rsidRPr="002C53FC">
        <w:rPr>
          <w:rFonts w:cs="Times New Roman"/>
          <w:lang w:val="fr-CA"/>
        </w:rPr>
        <w:t xml:space="preserve"> Deuxièmement, les juges ne peuvent pas entreprendre de négociations avec le gouvernement concernant leur rémunération</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134. Troisièmement, la rémunération des juges ne peut se situer en deçà du minimum requis par la charge de juge</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135.</w:t>
      </w:r>
    </w:p>
    <w:p w14:paraId="2FECBE01" w14:textId="77777777" w:rsidR="002C65EF" w:rsidRPr="002C53FC" w:rsidRDefault="002C65EF" w:rsidP="002C65EF">
      <w:pPr>
        <w:pStyle w:val="ParaNoNdepar-AltN"/>
        <w:spacing w:before="0"/>
        <w:rPr>
          <w:rFonts w:cs="Times New Roman"/>
          <w:lang w:val="fr-CA"/>
        </w:rPr>
      </w:pPr>
      <w:r w:rsidRPr="002C53FC">
        <w:rPr>
          <w:rFonts w:cs="Times New Roman"/>
          <w:lang w:val="fr-CA"/>
        </w:rPr>
        <w:t>Plus précisément, le présent pourvoi porte sur le premier élément de la sécurité financière</w:t>
      </w:r>
      <w:r>
        <w:rPr>
          <w:rFonts w:cs="Times New Roman"/>
          <w:lang w:val="fr-CA"/>
        </w:rPr>
        <w:t> :</w:t>
      </w:r>
      <w:r w:rsidRPr="002C53FC">
        <w:rPr>
          <w:rFonts w:cs="Times New Roman"/>
          <w:lang w:val="fr-CA"/>
        </w:rPr>
        <w:t xml:space="preserve"> la convocation d</w:t>
      </w:r>
      <w:r>
        <w:rPr>
          <w:rFonts w:cs="Times New Roman"/>
          <w:lang w:val="fr-CA"/>
        </w:rPr>
        <w:t>’</w:t>
      </w:r>
      <w:r w:rsidRPr="002C53FC">
        <w:rPr>
          <w:rFonts w:cs="Times New Roman"/>
          <w:lang w:val="fr-CA"/>
        </w:rPr>
        <w:t>une commission d</w:t>
      </w:r>
      <w:r>
        <w:rPr>
          <w:rFonts w:cs="Times New Roman"/>
          <w:lang w:val="fr-CA"/>
        </w:rPr>
        <w:t>’</w:t>
      </w:r>
      <w:r w:rsidRPr="002C53FC">
        <w:rPr>
          <w:rFonts w:cs="Times New Roman"/>
          <w:lang w:val="fr-CA"/>
        </w:rPr>
        <w:t>examen de la rémunération des juges qui est chargée de formuler des recommandations au sujet de cette rémunération. La commission ainsi mandatée doit être à la fois indépendante, efficace et objective</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133.</w:t>
      </w:r>
    </w:p>
    <w:p w14:paraId="2842080A" w14:textId="40C6673D" w:rsidR="002C65EF" w:rsidRPr="002C53FC" w:rsidRDefault="002C65EF" w:rsidP="002C65EF">
      <w:pPr>
        <w:pStyle w:val="ParaNoNdepar-AltN"/>
        <w:spacing w:before="0"/>
        <w:rPr>
          <w:rFonts w:cs="Times New Roman"/>
          <w:lang w:val="fr-CA"/>
        </w:rPr>
      </w:pPr>
      <w:r w:rsidRPr="002C53FC">
        <w:rPr>
          <w:rFonts w:cs="Times New Roman"/>
          <w:lang w:val="fr-CA"/>
        </w:rPr>
        <w:lastRenderedPageBreak/>
        <w:t>Le critère de l</w:t>
      </w:r>
      <w:r>
        <w:rPr>
          <w:rFonts w:cs="Times New Roman"/>
          <w:lang w:val="fr-CA"/>
        </w:rPr>
        <w:t>’</w:t>
      </w:r>
      <w:r w:rsidRPr="002C53FC">
        <w:rPr>
          <w:rFonts w:cs="Times New Roman"/>
          <w:lang w:val="fr-CA"/>
        </w:rPr>
        <w:t>efficacité suppose que la commission soit convoquée régulièrement, qu</w:t>
      </w:r>
      <w:r>
        <w:rPr>
          <w:rFonts w:cs="Times New Roman"/>
          <w:lang w:val="fr-CA"/>
        </w:rPr>
        <w:t>’</w:t>
      </w:r>
      <w:r w:rsidRPr="002C53FC">
        <w:rPr>
          <w:rFonts w:cs="Times New Roman"/>
          <w:lang w:val="fr-CA"/>
        </w:rPr>
        <w:t>aucun changement ne soit apporté à la rémunération en cause avant qu</w:t>
      </w:r>
      <w:r>
        <w:rPr>
          <w:rFonts w:cs="Times New Roman"/>
          <w:lang w:val="fr-CA"/>
        </w:rPr>
        <w:t>’</w:t>
      </w:r>
      <w:r w:rsidRPr="002C53FC">
        <w:rPr>
          <w:rFonts w:cs="Times New Roman"/>
          <w:lang w:val="fr-CA"/>
        </w:rPr>
        <w:t>elle n</w:t>
      </w:r>
      <w:r>
        <w:rPr>
          <w:rFonts w:cs="Times New Roman"/>
          <w:lang w:val="fr-CA"/>
        </w:rPr>
        <w:t>’</w:t>
      </w:r>
      <w:r w:rsidRPr="002C53FC">
        <w:rPr>
          <w:rFonts w:cs="Times New Roman"/>
          <w:lang w:val="fr-CA"/>
        </w:rPr>
        <w:t>ait déposé son rapport et que « [s]es rapports [aient] un effet concret sur la détermination des traitements des juges »</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174</w:t>
      </w:r>
      <w:r>
        <w:rPr>
          <w:rFonts w:cs="Times New Roman"/>
          <w:lang w:val="fr-CA"/>
        </w:rPr>
        <w:noBreakHyphen/>
      </w:r>
      <w:r w:rsidRPr="002C53FC">
        <w:rPr>
          <w:rFonts w:cs="Times New Roman"/>
          <w:lang w:val="fr-CA"/>
        </w:rPr>
        <w:t>175</w:t>
      </w:r>
      <w:r w:rsidRPr="002C53FC">
        <w:rPr>
          <w:rFonts w:cs="Times New Roman"/>
          <w:vertAlign w:val="superscript"/>
          <w:lang w:val="fr-CA"/>
        </w:rPr>
        <w:t xml:space="preserve"> </w:t>
      </w:r>
      <w:r w:rsidRPr="002C53FC">
        <w:rPr>
          <w:rFonts w:cs="Times New Roman"/>
          <w:lang w:val="fr-CA"/>
        </w:rPr>
        <w:t xml:space="preserve">et 179; voir aussi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29.</w:t>
      </w:r>
    </w:p>
    <w:p w14:paraId="083B3766" w14:textId="77777777" w:rsidR="002C65EF" w:rsidRPr="002C53FC" w:rsidRDefault="002C65EF" w:rsidP="002C65EF">
      <w:pPr>
        <w:pStyle w:val="ParaNoNdepar-AltN"/>
        <w:spacing w:before="0"/>
        <w:rPr>
          <w:rFonts w:cs="Times New Roman"/>
          <w:lang w:val="fr-CA"/>
        </w:rPr>
      </w:pPr>
      <w:r w:rsidRPr="002C53FC">
        <w:rPr>
          <w:rFonts w:cs="Times New Roman"/>
          <w:lang w:val="fr-CA"/>
        </w:rPr>
        <w:t>De façon à garantir que les recommandations de la commission aient un effet concret, le gouvernement est tenu de répondre formellement au rapport où elles sont formulées</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179;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22. Étant donnée la responsabilité constitutionnelle que partagent l</w:t>
      </w:r>
      <w:r>
        <w:rPr>
          <w:rFonts w:cs="Times New Roman"/>
          <w:lang w:val="fr-CA"/>
        </w:rPr>
        <w:t>’</w:t>
      </w:r>
      <w:r w:rsidRPr="002C53FC">
        <w:rPr>
          <w:rFonts w:cs="Times New Roman"/>
          <w:lang w:val="fr-CA"/>
        </w:rPr>
        <w:t>exécutif et le législatif quant à la prise de décisions concernant les deniers publics</w:t>
      </w:r>
      <w:r w:rsidRPr="00A9708B">
        <w:rPr>
          <w:rStyle w:val="Hyperlink"/>
          <w:color w:val="auto"/>
          <w:u w:val="none"/>
          <w:vertAlign w:val="superscript"/>
        </w:rPr>
        <w:footnoteReference w:id="5"/>
      </w:r>
      <w:r w:rsidRPr="002C53FC">
        <w:rPr>
          <w:rFonts w:cs="Times New Roman"/>
          <w:lang w:val="fr-CA"/>
        </w:rPr>
        <w:t>, les recommandations de la commission n</w:t>
      </w:r>
      <w:r>
        <w:rPr>
          <w:rFonts w:cs="Times New Roman"/>
          <w:lang w:val="fr-CA"/>
        </w:rPr>
        <w:t>’</w:t>
      </w:r>
      <w:r w:rsidRPr="002C53FC">
        <w:rPr>
          <w:rFonts w:cs="Times New Roman"/>
          <w:lang w:val="fr-CA"/>
        </w:rPr>
        <w:t>ont pas force obligatoire (à moins d</w:t>
      </w:r>
      <w:r>
        <w:rPr>
          <w:rFonts w:cs="Times New Roman"/>
          <w:lang w:val="fr-CA"/>
        </w:rPr>
        <w:t>’</w:t>
      </w:r>
      <w:r w:rsidRPr="002C53FC">
        <w:rPr>
          <w:rFonts w:cs="Times New Roman"/>
          <w:lang w:val="fr-CA"/>
        </w:rPr>
        <w:t>indications en ce sens par la législature). Le gouvernement doit toutefois indiquer les motifs précis justifiant sa décision de s</w:t>
      </w:r>
      <w:r>
        <w:rPr>
          <w:rFonts w:cs="Times New Roman"/>
          <w:lang w:val="fr-CA"/>
        </w:rPr>
        <w:t>’</w:t>
      </w:r>
      <w:r w:rsidRPr="002C53FC">
        <w:rPr>
          <w:rFonts w:cs="Times New Roman"/>
          <w:lang w:val="fr-CA"/>
        </w:rPr>
        <w:t>écarter de quelque façon que ce soit des recommandations</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180;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18 et 20</w:t>
      </w:r>
      <w:r>
        <w:rPr>
          <w:rFonts w:cs="Times New Roman"/>
          <w:lang w:val="fr-CA"/>
        </w:rPr>
        <w:noBreakHyphen/>
      </w:r>
      <w:r w:rsidRPr="002C53FC">
        <w:rPr>
          <w:rFonts w:cs="Times New Roman"/>
          <w:lang w:val="fr-CA"/>
        </w:rPr>
        <w:t xml:space="preserve">21; </w:t>
      </w:r>
      <w:r w:rsidRPr="002C53FC">
        <w:rPr>
          <w:rFonts w:cs="Times New Roman"/>
          <w:i/>
          <w:lang w:val="fr-CA"/>
        </w:rPr>
        <w:t>Conférence des juges de paix magistrats</w:t>
      </w:r>
      <w:r w:rsidRPr="002C53FC">
        <w:rPr>
          <w:rFonts w:cs="Times New Roman"/>
          <w:lang w:val="fr-CA"/>
        </w:rPr>
        <w:t xml:space="preserve">, </w:t>
      </w:r>
      <w:r>
        <w:rPr>
          <w:rFonts w:cs="Times New Roman"/>
          <w:lang w:val="fr-CA"/>
        </w:rPr>
        <w:t>par. </w:t>
      </w:r>
      <w:r w:rsidRPr="002C53FC">
        <w:rPr>
          <w:rFonts w:cs="Times New Roman"/>
          <w:lang w:val="fr-CA"/>
        </w:rPr>
        <w:t>35.</w:t>
      </w:r>
    </w:p>
    <w:p w14:paraId="62C8F205" w14:textId="06B386C5" w:rsidR="002C65EF" w:rsidRPr="002C53FC" w:rsidRDefault="002C65EF" w:rsidP="002C65EF">
      <w:pPr>
        <w:pStyle w:val="ParaNoNdepar-AltN"/>
        <w:spacing w:before="0"/>
        <w:rPr>
          <w:rFonts w:cs="Times New Roman"/>
          <w:lang w:val="fr-CA"/>
        </w:rPr>
      </w:pPr>
      <w:r w:rsidRPr="002C53FC">
        <w:rPr>
          <w:rFonts w:cs="Times New Roman"/>
          <w:lang w:val="fr-CA"/>
        </w:rPr>
        <w:t>Pour veiller à ce que le gouvernement respecte ses obligations constitutionnelles là où les recommandations d</w:t>
      </w:r>
      <w:r>
        <w:rPr>
          <w:rFonts w:cs="Times New Roman"/>
          <w:lang w:val="fr-CA"/>
        </w:rPr>
        <w:t>’</w:t>
      </w:r>
      <w:r w:rsidRPr="002C53FC">
        <w:rPr>
          <w:rFonts w:cs="Times New Roman"/>
          <w:lang w:val="fr-CA"/>
        </w:rPr>
        <w:t>une commission n</w:t>
      </w:r>
      <w:r>
        <w:rPr>
          <w:rFonts w:cs="Times New Roman"/>
          <w:lang w:val="fr-CA"/>
        </w:rPr>
        <w:t>’</w:t>
      </w:r>
      <w:r w:rsidRPr="002C53FC">
        <w:rPr>
          <w:rFonts w:cs="Times New Roman"/>
          <w:lang w:val="fr-CA"/>
        </w:rPr>
        <w:t xml:space="preserve">ont pas force obligatoire, sa réponse à ces recommandations est soumise à ce que notre Cour a décrit, dans </w:t>
      </w:r>
      <w:r w:rsidRPr="002C53FC">
        <w:rPr>
          <w:rFonts w:cs="Times New Roman"/>
          <w:i/>
          <w:lang w:val="fr-CA"/>
        </w:rPr>
        <w:t>Bodner</w:t>
      </w:r>
      <w:r w:rsidRPr="002C53FC">
        <w:rPr>
          <w:rFonts w:cs="Times New Roman"/>
          <w:lang w:val="fr-CA"/>
        </w:rPr>
        <w:t>, comme une « forme limitée de contrôle judiciaire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 xml:space="preserve">29 et 42. Pour être jugée valide, la réponse du gouvernement doit respecter la norme de justification </w:t>
      </w:r>
      <w:r w:rsidRPr="002C53FC">
        <w:rPr>
          <w:rFonts w:cs="Times New Roman"/>
          <w:lang w:val="fr-CA"/>
        </w:rPr>
        <w:lastRenderedPageBreak/>
        <w:t>dite de la « rationalité »</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183</w:t>
      </w:r>
      <w:r>
        <w:rPr>
          <w:rFonts w:cs="Times New Roman"/>
          <w:lang w:val="fr-CA"/>
        </w:rPr>
        <w:noBreakHyphen/>
      </w:r>
      <w:r w:rsidRPr="002C53FC">
        <w:rPr>
          <w:rFonts w:cs="Times New Roman"/>
          <w:lang w:val="fr-CA"/>
        </w:rPr>
        <w:t xml:space="preserve">184; </w:t>
      </w:r>
      <w:r w:rsidRPr="002C53FC">
        <w:rPr>
          <w:rFonts w:cs="Times New Roman"/>
          <w:i/>
          <w:lang w:val="fr-CA"/>
        </w:rPr>
        <w:t>Mackin c. Nouveau</w:t>
      </w:r>
      <w:r>
        <w:rPr>
          <w:rFonts w:cs="Times New Roman"/>
          <w:i/>
          <w:lang w:val="fr-CA"/>
        </w:rPr>
        <w:noBreakHyphen/>
      </w:r>
      <w:r w:rsidRPr="002C53FC">
        <w:rPr>
          <w:rFonts w:cs="Times New Roman"/>
          <w:i/>
          <w:lang w:val="fr-CA"/>
        </w:rPr>
        <w:t>Brunswick (Ministre des Finances)</w:t>
      </w:r>
      <w:r w:rsidRPr="002C53FC">
        <w:rPr>
          <w:rFonts w:cs="Times New Roman"/>
          <w:lang w:val="fr-CA"/>
        </w:rPr>
        <w:t>,</w:t>
      </w:r>
      <w:r w:rsidRPr="002C53FC">
        <w:rPr>
          <w:rFonts w:cs="Times New Roman"/>
          <w:i/>
          <w:lang w:val="fr-CA"/>
        </w:rPr>
        <w:t xml:space="preserve"> </w:t>
      </w:r>
      <w:r w:rsidRPr="002C53FC">
        <w:rPr>
          <w:rFonts w:cs="Times New Roman"/>
          <w:lang w:val="fr-CA"/>
        </w:rPr>
        <w:t xml:space="preserve">2002 CSC 13, [2002] 1 R.C.S. 405, </w:t>
      </w:r>
      <w:r>
        <w:rPr>
          <w:rFonts w:cs="Times New Roman"/>
          <w:lang w:val="fr-CA"/>
        </w:rPr>
        <w:t>par. </w:t>
      </w:r>
      <w:r w:rsidRPr="002C53FC">
        <w:rPr>
          <w:rFonts w:cs="Times New Roman"/>
          <w:lang w:val="fr-CA"/>
        </w:rPr>
        <w:t xml:space="preserve">57;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29. Cette norme de justification, tout comme l</w:t>
      </w:r>
      <w:r>
        <w:rPr>
          <w:rFonts w:cs="Times New Roman"/>
          <w:lang w:val="fr-CA"/>
        </w:rPr>
        <w:t>’</w:t>
      </w:r>
      <w:r w:rsidRPr="002C53FC">
        <w:rPr>
          <w:rFonts w:cs="Times New Roman"/>
          <w:lang w:val="fr-CA"/>
        </w:rPr>
        <w:t>analyse à effectuer pour évaluer la réponse du gouvernement à l</w:t>
      </w:r>
      <w:r>
        <w:rPr>
          <w:rFonts w:cs="Times New Roman"/>
          <w:lang w:val="fr-CA"/>
        </w:rPr>
        <w:t>’</w:t>
      </w:r>
      <w:r w:rsidRPr="002C53FC">
        <w:rPr>
          <w:rFonts w:cs="Times New Roman"/>
          <w:lang w:val="fr-CA"/>
        </w:rPr>
        <w:t>aune de celle</w:t>
      </w:r>
      <w:r>
        <w:rPr>
          <w:rFonts w:cs="Times New Roman"/>
          <w:lang w:val="fr-CA"/>
        </w:rPr>
        <w:noBreakHyphen/>
      </w:r>
      <w:r w:rsidR="00A9708B">
        <w:rPr>
          <w:rFonts w:cs="Times New Roman"/>
          <w:lang w:val="fr-CA"/>
        </w:rPr>
        <w:t>ci, commande la « </w:t>
      </w:r>
      <w:r w:rsidRPr="002C53FC">
        <w:rPr>
          <w:rFonts w:cs="Times New Roman"/>
          <w:lang w:val="fr-CA"/>
        </w:rPr>
        <w:t>retenue »</w:t>
      </w:r>
      <w:r>
        <w:rPr>
          <w:rFonts w:cs="Times New Roman"/>
          <w:lang w:val="fr-CA"/>
        </w:rPr>
        <w:t> :</w:t>
      </w:r>
      <w:r w:rsidRPr="002C53FC">
        <w:rPr>
          <w:rFonts w:cs="Times New Roman"/>
          <w:lang w:val="fr-CA"/>
        </w:rPr>
        <w:t xml:space="preserve">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30, 40 et 43. Tant le fait que le gouvernement reste ultimement responsable de fixer la rémunération des membres de la magistrature que le fait qu</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xml:space="preserve"> est limité servent à mettre en balance les intérêts constitutionnels en jeu.</w:t>
      </w:r>
    </w:p>
    <w:p w14:paraId="51F9A795" w14:textId="77777777" w:rsidR="002C65EF" w:rsidRPr="002C53FC" w:rsidRDefault="002C65EF" w:rsidP="002C65EF">
      <w:pPr>
        <w:pStyle w:val="ParaNoNdepar-AltN"/>
        <w:spacing w:before="0"/>
        <w:rPr>
          <w:rFonts w:cs="Times New Roman"/>
          <w:lang w:val="fr-CA"/>
        </w:rPr>
      </w:pPr>
      <w:r w:rsidRPr="002C53FC">
        <w:rPr>
          <w:rFonts w:cs="Times New Roman"/>
          <w:lang w:val="fr-CA"/>
        </w:rPr>
        <w:t>Prenant comme point de départ l</w:t>
      </w:r>
      <w:r>
        <w:rPr>
          <w:rFonts w:cs="Times New Roman"/>
          <w:lang w:val="fr-CA"/>
        </w:rPr>
        <w:t>’</w:t>
      </w:r>
      <w:r w:rsidRPr="002C53FC">
        <w:rPr>
          <w:rFonts w:cs="Times New Roman"/>
          <w:lang w:val="fr-CA"/>
        </w:rPr>
        <w:t xml:space="preserve">approche établie par le </w:t>
      </w:r>
      <w:r w:rsidRPr="002C53FC">
        <w:rPr>
          <w:rFonts w:cs="Times New Roman"/>
          <w:i/>
          <w:lang w:val="fr-CA"/>
        </w:rPr>
        <w:t>Renvoi relatif aux juges de la Cour provinciale</w:t>
      </w:r>
      <w:r w:rsidRPr="002C53FC">
        <w:rPr>
          <w:rFonts w:cs="Times New Roman"/>
          <w:lang w:val="fr-CA"/>
        </w:rPr>
        <w:t xml:space="preserve">, la Cour, au </w:t>
      </w:r>
      <w:r>
        <w:rPr>
          <w:rFonts w:cs="Times New Roman"/>
          <w:lang w:val="fr-CA"/>
        </w:rPr>
        <w:t>par. </w:t>
      </w:r>
      <w:r w:rsidRPr="002C53FC">
        <w:rPr>
          <w:rFonts w:cs="Times New Roman"/>
          <w:lang w:val="fr-CA"/>
        </w:rPr>
        <w:t>31 de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a défini une analyse en trois étapes permettant de déterminer si la décision d</w:t>
      </w:r>
      <w:r>
        <w:rPr>
          <w:rFonts w:cs="Times New Roman"/>
          <w:lang w:val="fr-CA"/>
        </w:rPr>
        <w:t>’</w:t>
      </w:r>
      <w:r w:rsidRPr="002C53FC">
        <w:rPr>
          <w:rFonts w:cs="Times New Roman"/>
          <w:lang w:val="fr-CA"/>
        </w:rPr>
        <w:t>un gouvernement de s</w:t>
      </w:r>
      <w:r>
        <w:rPr>
          <w:rFonts w:cs="Times New Roman"/>
          <w:lang w:val="fr-CA"/>
        </w:rPr>
        <w:t>’</w:t>
      </w:r>
      <w:r w:rsidRPr="002C53FC">
        <w:rPr>
          <w:rFonts w:cs="Times New Roman"/>
          <w:lang w:val="fr-CA"/>
        </w:rPr>
        <w:t>écarter des recommandations d</w:t>
      </w:r>
      <w:r>
        <w:rPr>
          <w:rFonts w:cs="Times New Roman"/>
          <w:lang w:val="fr-CA"/>
        </w:rPr>
        <w:t>’</w:t>
      </w:r>
      <w:r w:rsidRPr="002C53FC">
        <w:rPr>
          <w:rFonts w:cs="Times New Roman"/>
          <w:lang w:val="fr-CA"/>
        </w:rPr>
        <w:t>une commission satisfait à la norme de la rationalité</w:t>
      </w:r>
      <w:r>
        <w:rPr>
          <w:rFonts w:cs="Times New Roman"/>
          <w:lang w:val="fr-CA"/>
        </w:rPr>
        <w:t> :</w:t>
      </w:r>
    </w:p>
    <w:p w14:paraId="719EE7BA" w14:textId="1261DC06" w:rsidR="002C65EF" w:rsidRPr="002C53FC" w:rsidRDefault="002C65EF" w:rsidP="009C68E8">
      <w:pPr>
        <w:pStyle w:val="Citation-AltC"/>
        <w:numPr>
          <w:ilvl w:val="0"/>
          <w:numId w:val="12"/>
        </w:numPr>
        <w:spacing w:after="480"/>
        <w:ind w:left="540" w:hanging="540"/>
        <w:contextualSpacing w:val="0"/>
        <w:rPr>
          <w:lang w:val="fr-CA"/>
        </w:rPr>
      </w:pPr>
      <w:r w:rsidRPr="002C53FC">
        <w:rPr>
          <w:lang w:val="fr-CA"/>
        </w:rPr>
        <w:t>Le gouvernement a</w:t>
      </w:r>
      <w:r>
        <w:rPr>
          <w:lang w:val="fr-CA"/>
        </w:rPr>
        <w:noBreakHyphen/>
      </w:r>
      <w:r w:rsidRPr="002C53FC">
        <w:rPr>
          <w:lang w:val="fr-CA"/>
        </w:rPr>
        <w:t>t</w:t>
      </w:r>
      <w:r>
        <w:rPr>
          <w:lang w:val="fr-CA"/>
        </w:rPr>
        <w:noBreakHyphen/>
      </w:r>
      <w:r w:rsidRPr="002C53FC">
        <w:rPr>
          <w:lang w:val="fr-CA"/>
        </w:rPr>
        <w:t>il justifié par un motif légitime sa décision de s</w:t>
      </w:r>
      <w:r>
        <w:rPr>
          <w:lang w:val="fr-CA"/>
        </w:rPr>
        <w:t>’</w:t>
      </w:r>
      <w:r w:rsidRPr="002C53FC">
        <w:rPr>
          <w:lang w:val="fr-CA"/>
        </w:rPr>
        <w:t>écarter des r</w:t>
      </w:r>
      <w:r w:rsidR="00590835">
        <w:rPr>
          <w:lang w:val="fr-CA"/>
        </w:rPr>
        <w:t>ecommandations de la commission</w:t>
      </w:r>
      <w:r w:rsidRPr="002C53FC">
        <w:rPr>
          <w:lang w:val="fr-CA"/>
        </w:rPr>
        <w:t>?</w:t>
      </w:r>
    </w:p>
    <w:p w14:paraId="782CBA49" w14:textId="3E73A38F" w:rsidR="002C65EF" w:rsidRPr="002C53FC" w:rsidRDefault="002C65EF" w:rsidP="009C68E8">
      <w:pPr>
        <w:pStyle w:val="Citation-AltC"/>
        <w:numPr>
          <w:ilvl w:val="0"/>
          <w:numId w:val="12"/>
        </w:numPr>
        <w:spacing w:after="480"/>
        <w:ind w:left="540" w:hanging="540"/>
        <w:contextualSpacing w:val="0"/>
        <w:rPr>
          <w:lang w:val="fr-CA"/>
        </w:rPr>
      </w:pPr>
      <w:r w:rsidRPr="002C53FC">
        <w:rPr>
          <w:lang w:val="fr-CA"/>
        </w:rPr>
        <w:t>Les motifs invoqués par le gouvernement ont</w:t>
      </w:r>
      <w:r>
        <w:rPr>
          <w:lang w:val="fr-CA"/>
        </w:rPr>
        <w:noBreakHyphen/>
      </w:r>
      <w:r w:rsidRPr="002C53FC">
        <w:rPr>
          <w:lang w:val="fr-CA"/>
        </w:rPr>
        <w:t>ils u</w:t>
      </w:r>
      <w:r w:rsidR="00590835">
        <w:rPr>
          <w:lang w:val="fr-CA"/>
        </w:rPr>
        <w:t>n fondement factuel raisonnable</w:t>
      </w:r>
      <w:r w:rsidRPr="002C53FC">
        <w:rPr>
          <w:lang w:val="fr-CA"/>
        </w:rPr>
        <w:t>?</w:t>
      </w:r>
    </w:p>
    <w:p w14:paraId="66F37C20" w14:textId="46D1C6E9" w:rsidR="002C65EF" w:rsidRPr="002C53FC" w:rsidRDefault="002C65EF" w:rsidP="009C68E8">
      <w:pPr>
        <w:pStyle w:val="Citation-AltC"/>
        <w:numPr>
          <w:ilvl w:val="0"/>
          <w:numId w:val="12"/>
        </w:numPr>
        <w:spacing w:after="480"/>
        <w:ind w:left="540" w:hanging="540"/>
        <w:contextualSpacing w:val="0"/>
        <w:rPr>
          <w:lang w:val="fr-CA"/>
        </w:rPr>
      </w:pPr>
      <w:r w:rsidRPr="002C53FC">
        <w:rPr>
          <w:lang w:val="fr-CA"/>
        </w:rPr>
        <w:t>Dans l</w:t>
      </w:r>
      <w:r>
        <w:rPr>
          <w:lang w:val="fr-CA"/>
        </w:rPr>
        <w:t>’</w:t>
      </w:r>
      <w:r w:rsidRPr="002C53FC">
        <w:rPr>
          <w:lang w:val="fr-CA"/>
        </w:rPr>
        <w:t>ensemble, le mécanisme d</w:t>
      </w:r>
      <w:r>
        <w:rPr>
          <w:lang w:val="fr-CA"/>
        </w:rPr>
        <w:t>’</w:t>
      </w:r>
      <w:r w:rsidRPr="002C53FC">
        <w:rPr>
          <w:lang w:val="fr-CA"/>
        </w:rPr>
        <w:t>examen par une commission a</w:t>
      </w:r>
      <w:r>
        <w:rPr>
          <w:lang w:val="fr-CA"/>
        </w:rPr>
        <w:noBreakHyphen/>
      </w:r>
      <w:r w:rsidRPr="002C53FC">
        <w:rPr>
          <w:lang w:val="fr-CA"/>
        </w:rPr>
        <w:t>t</w:t>
      </w:r>
      <w:r>
        <w:rPr>
          <w:lang w:val="fr-CA"/>
        </w:rPr>
        <w:noBreakHyphen/>
      </w:r>
      <w:r w:rsidRPr="002C53FC">
        <w:rPr>
          <w:lang w:val="fr-CA"/>
        </w:rPr>
        <w:t>il été respecté et les objectifs du recours à une commission, à savoir préserver l</w:t>
      </w:r>
      <w:r>
        <w:rPr>
          <w:lang w:val="fr-CA"/>
        </w:rPr>
        <w:t>’</w:t>
      </w:r>
      <w:r w:rsidRPr="002C53FC">
        <w:rPr>
          <w:lang w:val="fr-CA"/>
        </w:rPr>
        <w:t>indépendance de la magistrature et dépolitiser la fixation de la rémunération des juges, ont</w:t>
      </w:r>
      <w:r>
        <w:rPr>
          <w:lang w:val="fr-CA"/>
        </w:rPr>
        <w:noBreakHyphen/>
      </w:r>
      <w:r w:rsidR="00590835">
        <w:rPr>
          <w:lang w:val="fr-CA"/>
        </w:rPr>
        <w:t>ils été atteints</w:t>
      </w:r>
      <w:r w:rsidRPr="002C53FC">
        <w:rPr>
          <w:lang w:val="fr-CA"/>
        </w:rPr>
        <w:t>?</w:t>
      </w:r>
    </w:p>
    <w:p w14:paraId="25EDD056" w14:textId="27B266B1" w:rsidR="002C65EF" w:rsidRPr="002C53FC" w:rsidRDefault="002C65EF" w:rsidP="002C65EF">
      <w:pPr>
        <w:pStyle w:val="ParaNoNdepar-AltN"/>
        <w:spacing w:before="0"/>
        <w:rPr>
          <w:rFonts w:cs="Times New Roman"/>
          <w:lang w:val="fr-CA"/>
        </w:rPr>
      </w:pPr>
      <w:r w:rsidRPr="002C53FC">
        <w:rPr>
          <w:rFonts w:cs="Times New Roman"/>
          <w:lang w:val="fr-CA"/>
        </w:rPr>
        <w:t>Les deux premières étapes de l</w:t>
      </w:r>
      <w:r>
        <w:rPr>
          <w:rFonts w:cs="Times New Roman"/>
          <w:lang w:val="fr-CA"/>
        </w:rPr>
        <w:t>’</w:t>
      </w:r>
      <w:r w:rsidRPr="002C53FC">
        <w:rPr>
          <w:rFonts w:cs="Times New Roman"/>
          <w:lang w:val="fr-CA"/>
        </w:rPr>
        <w:t>analyse portent sur les motifs invoqués par un gouvernement pour justifier de s</w:t>
      </w:r>
      <w:r>
        <w:rPr>
          <w:rFonts w:cs="Times New Roman"/>
          <w:lang w:val="fr-CA"/>
        </w:rPr>
        <w:t>’</w:t>
      </w:r>
      <w:r w:rsidRPr="002C53FC">
        <w:rPr>
          <w:rFonts w:cs="Times New Roman"/>
          <w:lang w:val="fr-CA"/>
        </w:rPr>
        <w:t>être écarté des recommandations d</w:t>
      </w:r>
      <w:r>
        <w:rPr>
          <w:rFonts w:cs="Times New Roman"/>
          <w:lang w:val="fr-CA"/>
        </w:rPr>
        <w:t>’</w:t>
      </w:r>
      <w:r w:rsidRPr="002C53FC">
        <w:rPr>
          <w:rFonts w:cs="Times New Roman"/>
          <w:lang w:val="fr-CA"/>
        </w:rPr>
        <w:t>une commission</w:t>
      </w:r>
      <w:r>
        <w:rPr>
          <w:rFonts w:cs="Times New Roman"/>
          <w:lang w:val="fr-CA"/>
        </w:rPr>
        <w:t> :</w:t>
      </w:r>
      <w:r w:rsidRPr="002C53FC">
        <w:rPr>
          <w:rFonts w:cs="Times New Roman"/>
          <w:lang w:val="fr-CA"/>
        </w:rPr>
        <w:t xml:space="preserve">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32</w:t>
      </w:r>
      <w:r>
        <w:rPr>
          <w:rFonts w:cs="Times New Roman"/>
          <w:lang w:val="fr-CA"/>
        </w:rPr>
        <w:noBreakHyphen/>
      </w:r>
      <w:r w:rsidRPr="002C53FC">
        <w:rPr>
          <w:rFonts w:cs="Times New Roman"/>
          <w:lang w:val="fr-CA"/>
        </w:rPr>
        <w:t xml:space="preserve">33 et 36. La réponse du gouvernement doit « porter sur </w:t>
      </w:r>
      <w:r w:rsidRPr="002C53FC">
        <w:rPr>
          <w:rFonts w:cs="Times New Roman"/>
          <w:lang w:val="fr-CA"/>
        </w:rPr>
        <w:lastRenderedPageBreak/>
        <w:t>les recommandations [de la commission] » et « justifier par des motifs légitimes sa décision de les modifier ou de ne pas les suivre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23</w:t>
      </w:r>
      <w:r w:rsidR="00BB4B8F">
        <w:rPr>
          <w:rFonts w:cs="Times New Roman"/>
          <w:lang w:val="fr-CA"/>
        </w:rPr>
        <w:noBreakHyphen/>
      </w:r>
      <w:r w:rsidRPr="002C53FC">
        <w:rPr>
          <w:rFonts w:cs="Times New Roman"/>
          <w:lang w:val="fr-CA"/>
        </w:rPr>
        <w:t>24. Les motifs doivent « révéler que les recommandations ont été prises</w:t>
      </w:r>
      <w:r w:rsidR="00BB4B8F">
        <w:rPr>
          <w:rFonts w:cs="Times New Roman"/>
          <w:lang w:val="fr-CA"/>
        </w:rPr>
        <w:t xml:space="preserve"> en compte [en plus de </w:t>
      </w:r>
      <w:r w:rsidRPr="002C53FC">
        <w:rPr>
          <w:rFonts w:cs="Times New Roman"/>
          <w:lang w:val="fr-CA"/>
        </w:rPr>
        <w:t>s</w:t>
      </w:r>
      <w:r>
        <w:rPr>
          <w:rFonts w:cs="Times New Roman"/>
          <w:lang w:val="fr-CA"/>
        </w:rPr>
        <w:t>’</w:t>
      </w:r>
      <w:r w:rsidR="00BB4B8F">
        <w:rPr>
          <w:rFonts w:cs="Times New Roman"/>
          <w:lang w:val="fr-CA"/>
        </w:rPr>
        <w:t xml:space="preserve">appuyer sur </w:t>
      </w:r>
      <w:r w:rsidRPr="002C53FC">
        <w:rPr>
          <w:rFonts w:cs="Times New Roman"/>
          <w:lang w:val="fr-CA"/>
        </w:rPr>
        <w:t>un fondement factuel raisonnable] et un raisonnement solide »</w:t>
      </w:r>
      <w:r>
        <w:rPr>
          <w:rFonts w:cs="Times New Roman"/>
          <w:lang w:val="fr-CA"/>
        </w:rPr>
        <w:t> :</w:t>
      </w:r>
      <w:r w:rsidRPr="002C53FC">
        <w:rPr>
          <w:rFonts w:cs="Times New Roman"/>
          <w:lang w:val="fr-CA"/>
        </w:rPr>
        <w:t xml:space="preserve"> </w:t>
      </w:r>
      <w:r>
        <w:rPr>
          <w:rFonts w:cs="Times New Roman"/>
          <w:lang w:val="fr-CA"/>
        </w:rPr>
        <w:t>par. </w:t>
      </w:r>
      <w:r w:rsidR="00BB4B8F">
        <w:rPr>
          <w:rFonts w:cs="Times New Roman"/>
          <w:lang w:val="fr-CA"/>
        </w:rPr>
        <w:t>25</w:t>
      </w:r>
      <w:r w:rsidR="00BB4B8F">
        <w:rPr>
          <w:rFonts w:cs="Times New Roman"/>
          <w:lang w:val="fr-CA"/>
        </w:rPr>
        <w:noBreakHyphen/>
      </w:r>
      <w:r w:rsidRPr="002C53FC">
        <w:rPr>
          <w:rFonts w:cs="Times New Roman"/>
          <w:lang w:val="fr-CA"/>
        </w:rPr>
        <w:t>26. Les motifs doivent en outre « indiquer les raisons du rejet ou de la modification » et « démontrer qu</w:t>
      </w:r>
      <w:r>
        <w:rPr>
          <w:rFonts w:cs="Times New Roman"/>
          <w:lang w:val="fr-CA"/>
        </w:rPr>
        <w:t>’</w:t>
      </w:r>
      <w:r w:rsidRPr="002C53FC">
        <w:rPr>
          <w:rFonts w:cs="Times New Roman"/>
          <w:lang w:val="fr-CA"/>
        </w:rPr>
        <w:t>on a procédé à un examen des fonctions judiciaires et qu</w:t>
      </w:r>
      <w:r>
        <w:rPr>
          <w:rFonts w:cs="Times New Roman"/>
          <w:lang w:val="fr-CA"/>
        </w:rPr>
        <w:t>’</w:t>
      </w:r>
      <w:r w:rsidRPr="002C53FC">
        <w:rPr>
          <w:rFonts w:cs="Times New Roman"/>
          <w:lang w:val="fr-CA"/>
        </w:rPr>
        <w:t>on a l</w:t>
      </w:r>
      <w:r>
        <w:rPr>
          <w:rFonts w:cs="Times New Roman"/>
          <w:lang w:val="fr-CA"/>
        </w:rPr>
        <w:t>’</w:t>
      </w:r>
      <w:r w:rsidRPr="002C53FC">
        <w:rPr>
          <w:rFonts w:cs="Times New Roman"/>
          <w:lang w:val="fr-CA"/>
        </w:rPr>
        <w:t>intention de prendre les mesures qui s</w:t>
      </w:r>
      <w:r>
        <w:rPr>
          <w:rFonts w:cs="Times New Roman"/>
          <w:lang w:val="fr-CA"/>
        </w:rPr>
        <w:t>’</w:t>
      </w:r>
      <w:r w:rsidRPr="002C53FC">
        <w:rPr>
          <w:rFonts w:cs="Times New Roman"/>
          <w:lang w:val="fr-CA"/>
        </w:rPr>
        <w:t>impo</w:t>
      </w:r>
      <w:r w:rsidR="00BB4B8F">
        <w:rPr>
          <w:rFonts w:cs="Times New Roman"/>
          <w:lang w:val="fr-CA"/>
        </w:rPr>
        <w:t xml:space="preserve">sent », tout en ne « donn[ant </w:t>
      </w:r>
      <w:r w:rsidRPr="002C53FC">
        <w:rPr>
          <w:rFonts w:cs="Times New Roman"/>
          <w:lang w:val="fr-CA"/>
        </w:rPr>
        <w:t>pas] à penser qu</w:t>
      </w:r>
      <w:r>
        <w:rPr>
          <w:rFonts w:cs="Times New Roman"/>
          <w:lang w:val="fr-CA"/>
        </w:rPr>
        <w:t>’</w:t>
      </w:r>
      <w:r w:rsidRPr="002C53FC">
        <w:rPr>
          <w:rFonts w:cs="Times New Roman"/>
          <w:lang w:val="fr-CA"/>
        </w:rPr>
        <w:t>on cherche à manipuler la magistrature ». Enfin, les motifs doivent « refléter l</w:t>
      </w:r>
      <w:r>
        <w:rPr>
          <w:rFonts w:cs="Times New Roman"/>
          <w:lang w:val="fr-CA"/>
        </w:rPr>
        <w:t>’</w:t>
      </w:r>
      <w:r w:rsidRPr="002C53FC">
        <w:rPr>
          <w:rFonts w:cs="Times New Roman"/>
          <w:lang w:val="fr-CA"/>
        </w:rPr>
        <w:t>intérêt du public à ce qu</w:t>
      </w:r>
      <w:r>
        <w:rPr>
          <w:rFonts w:cs="Times New Roman"/>
          <w:lang w:val="fr-CA"/>
        </w:rPr>
        <w:t>’</w:t>
      </w:r>
      <w:r w:rsidRPr="002C53FC">
        <w:rPr>
          <w:rFonts w:cs="Times New Roman"/>
          <w:lang w:val="fr-CA"/>
        </w:rPr>
        <w:t>il y ait recours à une commission, mécanisme qui garantit la dépolitisation de l</w:t>
      </w:r>
      <w:r>
        <w:rPr>
          <w:rFonts w:cs="Times New Roman"/>
          <w:lang w:val="fr-CA"/>
        </w:rPr>
        <w:t>’</w:t>
      </w:r>
      <w:r w:rsidRPr="002C53FC">
        <w:rPr>
          <w:rFonts w:cs="Times New Roman"/>
          <w:lang w:val="fr-CA"/>
        </w:rPr>
        <w:t>examen de la rémunération et permet de préserver l</w:t>
      </w:r>
      <w:r>
        <w:rPr>
          <w:rFonts w:cs="Times New Roman"/>
          <w:lang w:val="fr-CA"/>
        </w:rPr>
        <w:t>’</w:t>
      </w:r>
      <w:r w:rsidRPr="002C53FC">
        <w:rPr>
          <w:rFonts w:cs="Times New Roman"/>
          <w:lang w:val="fr-CA"/>
        </w:rPr>
        <w:t>indépendance de la magistrature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25.</w:t>
      </w:r>
    </w:p>
    <w:p w14:paraId="2F5E3E9F" w14:textId="77777777" w:rsidR="002C65EF" w:rsidRPr="002C53FC" w:rsidRDefault="002C65EF" w:rsidP="002C65EF">
      <w:pPr>
        <w:pStyle w:val="ParaNoNdepar-AltN"/>
        <w:spacing w:before="0"/>
        <w:rPr>
          <w:rFonts w:cs="Times New Roman"/>
          <w:lang w:val="fr-CA"/>
        </w:rPr>
      </w:pPr>
      <w:r w:rsidRPr="002C53FC">
        <w:rPr>
          <w:rFonts w:cs="Times New Roman"/>
          <w:lang w:val="fr-CA"/>
        </w:rPr>
        <w:t>La troisième étape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vise à déterminer si le gouvernement a respecté le mécanisme d</w:t>
      </w:r>
      <w:r>
        <w:rPr>
          <w:rFonts w:cs="Times New Roman"/>
          <w:lang w:val="fr-CA"/>
        </w:rPr>
        <w:t>’</w:t>
      </w:r>
      <w:r w:rsidRPr="002C53FC">
        <w:rPr>
          <w:rFonts w:cs="Times New Roman"/>
          <w:lang w:val="fr-CA"/>
        </w:rPr>
        <w:t>examen par une commission et, plus globalement, si les objectifs du recours à ce mécanisme ont été atteints</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30</w:t>
      </w:r>
      <w:r>
        <w:rPr>
          <w:rFonts w:cs="Times New Roman"/>
          <w:lang w:val="fr-CA"/>
        </w:rPr>
        <w:noBreakHyphen/>
      </w:r>
      <w:r w:rsidRPr="002C53FC">
        <w:rPr>
          <w:rFonts w:cs="Times New Roman"/>
          <w:lang w:val="fr-CA"/>
        </w:rPr>
        <w:t>31, 38 et 43. La Cour a ajouté cette étape à l</w:t>
      </w:r>
      <w:r>
        <w:rPr>
          <w:rFonts w:cs="Times New Roman"/>
          <w:lang w:val="fr-CA"/>
        </w:rPr>
        <w:t>’</w:t>
      </w:r>
      <w:r w:rsidRPr="002C53FC">
        <w:rPr>
          <w:rFonts w:cs="Times New Roman"/>
          <w:lang w:val="fr-CA"/>
        </w:rPr>
        <w:t xml:space="preserve">analyse afin de satisfaire à ses espoirs exprimés dans le </w:t>
      </w:r>
      <w:r w:rsidRPr="002C53FC">
        <w:rPr>
          <w:rFonts w:cs="Times New Roman"/>
          <w:i/>
          <w:lang w:val="fr-CA"/>
        </w:rPr>
        <w:t>Renvoi relatif aux juges de la Cour provinciale</w:t>
      </w:r>
      <w:r w:rsidRPr="002C53FC">
        <w:rPr>
          <w:rFonts w:cs="Times New Roman"/>
          <w:lang w:val="fr-CA"/>
        </w:rPr>
        <w:t xml:space="preserve"> qui « ne [s</w:t>
      </w:r>
      <w:r>
        <w:rPr>
          <w:rFonts w:cs="Times New Roman"/>
          <w:lang w:val="fr-CA"/>
        </w:rPr>
        <w:t>’</w:t>
      </w:r>
      <w:r w:rsidRPr="002C53FC">
        <w:rPr>
          <w:rFonts w:cs="Times New Roman"/>
          <w:lang w:val="fr-CA"/>
        </w:rPr>
        <w:t>étaient] pas réalisés ». Ceux</w:t>
      </w:r>
      <w:r>
        <w:rPr>
          <w:rFonts w:cs="Times New Roman"/>
          <w:lang w:val="fr-CA"/>
        </w:rPr>
        <w:noBreakHyphen/>
      </w:r>
      <w:r w:rsidRPr="002C53FC">
        <w:rPr>
          <w:rFonts w:cs="Times New Roman"/>
          <w:lang w:val="fr-CA"/>
        </w:rPr>
        <w:t>ci consistaient à dépolitiser le processus de fixation de la rémunération des membres de la magistrature et à ainsi préserver l</w:t>
      </w:r>
      <w:r>
        <w:rPr>
          <w:rFonts w:cs="Times New Roman"/>
          <w:lang w:val="fr-CA"/>
        </w:rPr>
        <w:t>’</w:t>
      </w:r>
      <w:r w:rsidRPr="002C53FC">
        <w:rPr>
          <w:rFonts w:cs="Times New Roman"/>
          <w:lang w:val="fr-CA"/>
        </w:rPr>
        <w:t>indépendance judiciaire</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10</w:t>
      </w:r>
      <w:r>
        <w:rPr>
          <w:rFonts w:cs="Times New Roman"/>
          <w:lang w:val="fr-CA"/>
        </w:rPr>
        <w:noBreakHyphen/>
      </w:r>
      <w:r w:rsidRPr="002C53FC">
        <w:rPr>
          <w:rFonts w:cs="Times New Roman"/>
          <w:lang w:val="fr-CA"/>
        </w:rPr>
        <w:t>12 et 31. La troisième étape en question exige que le tribunal examine la question dans son ensemble et se demande si le gouvernement en cause a fait preuve de respect envers les fonctions judiciaires en participant sérieusement au mécanisme d</w:t>
      </w:r>
      <w:r>
        <w:rPr>
          <w:rFonts w:cs="Times New Roman"/>
          <w:lang w:val="fr-CA"/>
        </w:rPr>
        <w:t>’</w:t>
      </w:r>
      <w:r w:rsidRPr="002C53FC">
        <w:rPr>
          <w:rFonts w:cs="Times New Roman"/>
          <w:lang w:val="fr-CA"/>
        </w:rPr>
        <w:t>examen par une commission</w:t>
      </w:r>
      <w:r>
        <w:rPr>
          <w:rFonts w:cs="Times New Roman"/>
          <w:lang w:val="fr-CA"/>
        </w:rPr>
        <w:t> :</w:t>
      </w:r>
      <w:r w:rsidRPr="002C53FC">
        <w:rPr>
          <w:rFonts w:cs="Times New Roman"/>
          <w:lang w:val="fr-CA"/>
        </w:rPr>
        <w:t xml:space="preserve"> </w:t>
      </w:r>
      <w:r>
        <w:rPr>
          <w:rFonts w:cs="Times New Roman"/>
          <w:lang w:val="fr-CA"/>
        </w:rPr>
        <w:t>voir les par. </w:t>
      </w:r>
      <w:r w:rsidRPr="002C53FC">
        <w:rPr>
          <w:rFonts w:cs="Times New Roman"/>
          <w:lang w:val="fr-CA"/>
        </w:rPr>
        <w:t>25, 31 et 38.</w:t>
      </w:r>
    </w:p>
    <w:p w14:paraId="4D952943"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Toutefois, cet ajout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n</w:t>
      </w:r>
      <w:r>
        <w:rPr>
          <w:rFonts w:cs="Times New Roman"/>
          <w:lang w:val="fr-CA"/>
        </w:rPr>
        <w:t>’</w:t>
      </w:r>
      <w:r w:rsidRPr="002C53FC">
        <w:rPr>
          <w:rFonts w:cs="Times New Roman"/>
          <w:lang w:val="fr-CA"/>
        </w:rPr>
        <w:t>était pas censé transformer l</w:t>
      </w:r>
      <w:r>
        <w:rPr>
          <w:rFonts w:cs="Times New Roman"/>
          <w:lang w:val="fr-CA"/>
        </w:rPr>
        <w:t>’</w:t>
      </w:r>
      <w:r w:rsidRPr="002C53FC">
        <w:rPr>
          <w:rFonts w:cs="Times New Roman"/>
          <w:lang w:val="fr-CA"/>
        </w:rPr>
        <w:t>analyse en un examen poussé de la démarche par laquelle le gouvernement a élaboré sa réponse, que cette démarche se soit déroulée au sein de l</w:t>
      </w:r>
      <w:r>
        <w:rPr>
          <w:rFonts w:cs="Times New Roman"/>
          <w:lang w:val="fr-CA"/>
        </w:rPr>
        <w:t>’</w:t>
      </w:r>
      <w:r w:rsidRPr="002C53FC">
        <w:rPr>
          <w:rFonts w:cs="Times New Roman"/>
          <w:lang w:val="fr-CA"/>
        </w:rPr>
        <w:t>exécutif, de la législature ou des deux. Par conséquent, je ne saurais souscrire à l</w:t>
      </w:r>
      <w:r>
        <w:rPr>
          <w:rFonts w:cs="Times New Roman"/>
          <w:lang w:val="fr-CA"/>
        </w:rPr>
        <w:t>’</w:t>
      </w:r>
      <w:r w:rsidRPr="002C53FC">
        <w:rPr>
          <w:rFonts w:cs="Times New Roman"/>
          <w:lang w:val="fr-CA"/>
        </w:rPr>
        <w:t>opinion de l</w:t>
      </w:r>
      <w:r>
        <w:rPr>
          <w:rFonts w:cs="Times New Roman"/>
          <w:lang w:val="fr-CA"/>
        </w:rPr>
        <w:t>’</w:t>
      </w:r>
      <w:r w:rsidRPr="002C53FC">
        <w:rPr>
          <w:rFonts w:cs="Times New Roman"/>
          <w:lang w:val="fr-CA"/>
        </w:rPr>
        <w:t xml:space="preserve">Association selon laquelle les termes « ensemble » ou « dans son ensemble », qui figurent au </w:t>
      </w:r>
      <w:r>
        <w:rPr>
          <w:rFonts w:cs="Times New Roman"/>
          <w:lang w:val="fr-CA"/>
        </w:rPr>
        <w:t>par. </w:t>
      </w:r>
      <w:r w:rsidRPr="002C53FC">
        <w:rPr>
          <w:rFonts w:cs="Times New Roman"/>
          <w:lang w:val="fr-CA"/>
        </w:rPr>
        <w:t>38 de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avaient pour but d</w:t>
      </w:r>
      <w:r>
        <w:rPr>
          <w:rFonts w:cs="Times New Roman"/>
          <w:lang w:val="fr-CA"/>
        </w:rPr>
        <w:t>’</w:t>
      </w:r>
      <w:r w:rsidRPr="002C53FC">
        <w:rPr>
          <w:rFonts w:cs="Times New Roman"/>
          <w:lang w:val="fr-CA"/>
        </w:rPr>
        <w:t>étendre la portée du contrôle judiciaire au point où le processus décisionnel du Cabinet doit être systématiquement analysé en profondeur.</w:t>
      </w:r>
    </w:p>
    <w:p w14:paraId="6E5CBE76" w14:textId="77777777" w:rsidR="002C65EF" w:rsidRPr="002C53FC" w:rsidRDefault="002C65EF" w:rsidP="002C65EF">
      <w:pPr>
        <w:pStyle w:val="ParaNoNdepar-AltN"/>
        <w:spacing w:before="0"/>
        <w:rPr>
          <w:rFonts w:cs="Times New Roman"/>
          <w:lang w:val="fr-CA"/>
        </w:rPr>
      </w:pPr>
      <w:r w:rsidRPr="002C53FC">
        <w:rPr>
          <w:rFonts w:cs="Times New Roman"/>
          <w:lang w:val="fr-CA"/>
        </w:rPr>
        <w:t>Il n</w:t>
      </w:r>
      <w:r>
        <w:rPr>
          <w:rFonts w:cs="Times New Roman"/>
          <w:lang w:val="fr-CA"/>
        </w:rPr>
        <w:t>’</w:t>
      </w:r>
      <w:r w:rsidRPr="002C53FC">
        <w:rPr>
          <w:rFonts w:cs="Times New Roman"/>
          <w:lang w:val="fr-CA"/>
        </w:rPr>
        <w:t xml:space="preserve">y a aucun doute que le </w:t>
      </w:r>
      <w:r w:rsidRPr="002C53FC">
        <w:rPr>
          <w:rFonts w:cs="Times New Roman"/>
          <w:i/>
          <w:lang w:val="fr-CA"/>
        </w:rPr>
        <w:t xml:space="preserve">Renvoi relatif aux juges de la Cour provinciale </w:t>
      </w:r>
      <w:r w:rsidRPr="002C53FC">
        <w:rPr>
          <w:rFonts w:cs="Times New Roman"/>
          <w:lang w:val="fr-CA"/>
        </w:rPr>
        <w:t>et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obligent le tribunal saisi du contrôle judiciaire à se concentrer sur la réponse du gouvernement.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lui</w:t>
      </w:r>
      <w:r>
        <w:rPr>
          <w:rFonts w:cs="Times New Roman"/>
          <w:lang w:val="fr-CA"/>
        </w:rPr>
        <w:noBreakHyphen/>
      </w:r>
      <w:r w:rsidRPr="002C53FC">
        <w:rPr>
          <w:rFonts w:cs="Times New Roman"/>
          <w:lang w:val="fr-CA"/>
        </w:rPr>
        <w:t>même, la Cour a examiné les réponses des gouvernements de l</w:t>
      </w:r>
      <w:r>
        <w:rPr>
          <w:rFonts w:cs="Times New Roman"/>
          <w:lang w:val="fr-CA"/>
        </w:rPr>
        <w:t>’</w:t>
      </w:r>
      <w:r w:rsidRPr="002C53FC">
        <w:rPr>
          <w:rFonts w:cs="Times New Roman"/>
          <w:lang w:val="fr-CA"/>
        </w:rPr>
        <w:t>Alberta, du Nouveau</w:t>
      </w:r>
      <w:r>
        <w:rPr>
          <w:rFonts w:cs="Times New Roman"/>
          <w:lang w:val="fr-CA"/>
        </w:rPr>
        <w:noBreakHyphen/>
      </w:r>
      <w:r w:rsidRPr="002C53FC">
        <w:rPr>
          <w:rFonts w:cs="Times New Roman"/>
          <w:lang w:val="fr-CA"/>
        </w:rPr>
        <w:t>Brunswick et de l</w:t>
      </w:r>
      <w:r>
        <w:rPr>
          <w:rFonts w:cs="Times New Roman"/>
          <w:lang w:val="fr-CA"/>
        </w:rPr>
        <w:t>’</w:t>
      </w:r>
      <w:r w:rsidRPr="002C53FC">
        <w:rPr>
          <w:rFonts w:cs="Times New Roman"/>
          <w:lang w:val="fr-CA"/>
        </w:rPr>
        <w:t>Ontario aux recommandations de commissions pour déterminer s</w:t>
      </w:r>
      <w:r>
        <w:rPr>
          <w:rFonts w:cs="Times New Roman"/>
          <w:lang w:val="fr-CA"/>
        </w:rPr>
        <w:t>’</w:t>
      </w:r>
      <w:r w:rsidRPr="002C53FC">
        <w:rPr>
          <w:rFonts w:cs="Times New Roman"/>
          <w:lang w:val="fr-CA"/>
        </w:rPr>
        <w:t>il avait été satisfait à la troisième étape de l</w:t>
      </w:r>
      <w:r>
        <w:rPr>
          <w:rFonts w:cs="Times New Roman"/>
          <w:lang w:val="fr-CA"/>
        </w:rPr>
        <w:t>’</w:t>
      </w:r>
      <w:r w:rsidRPr="002C53FC">
        <w:rPr>
          <w:rFonts w:cs="Times New Roman"/>
          <w:lang w:val="fr-CA"/>
        </w:rPr>
        <w:t>analyse qu</w:t>
      </w:r>
      <w:r>
        <w:rPr>
          <w:rFonts w:cs="Times New Roman"/>
          <w:lang w:val="fr-CA"/>
        </w:rPr>
        <w:t>’</w:t>
      </w:r>
      <w:r w:rsidRPr="002C53FC">
        <w:rPr>
          <w:rFonts w:cs="Times New Roman"/>
          <w:lang w:val="fr-CA"/>
        </w:rPr>
        <w:t>elle venait d</w:t>
      </w:r>
      <w:r>
        <w:rPr>
          <w:rFonts w:cs="Times New Roman"/>
          <w:lang w:val="fr-CA"/>
        </w:rPr>
        <w:t>’</w:t>
      </w:r>
      <w:r w:rsidRPr="002C53FC">
        <w:rPr>
          <w:rFonts w:cs="Times New Roman"/>
          <w:lang w:val="fr-CA"/>
        </w:rPr>
        <w:t>établir</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83, 100 et 130</w:t>
      </w:r>
      <w:r>
        <w:rPr>
          <w:rFonts w:cs="Times New Roman"/>
          <w:lang w:val="fr-CA"/>
        </w:rPr>
        <w:noBreakHyphen/>
      </w:r>
      <w:r w:rsidRPr="002C53FC">
        <w:rPr>
          <w:rFonts w:cs="Times New Roman"/>
          <w:lang w:val="fr-CA"/>
        </w:rPr>
        <w:t>131. Cela dit, cette étape</w:t>
      </w:r>
      <w:r w:rsidRPr="002C53FC">
        <w:rPr>
          <w:rFonts w:cs="Times New Roman"/>
          <w:i/>
          <w:lang w:val="fr-CA"/>
        </w:rPr>
        <w:t xml:space="preserve"> </w:t>
      </w:r>
      <w:r w:rsidRPr="002C53FC">
        <w:rPr>
          <w:rFonts w:cs="Times New Roman"/>
          <w:lang w:val="fr-CA"/>
        </w:rPr>
        <w:t>ne se limite pas nécessairement à un examen des motifs invoqués publiquement par le gouvernement.</w:t>
      </w:r>
    </w:p>
    <w:p w14:paraId="7703ADE0"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De plus, cela ne signifie pas que le gouvernement peut se cacher derrière des motifs qui dissimulent un objectif illégitime ou déguisé (aussi parfois qualifié dans la jurisprudence de la Cour de </w:t>
      </w:r>
      <w:r>
        <w:rPr>
          <w:rFonts w:cs="Times New Roman"/>
          <w:lang w:val="fr-CA"/>
        </w:rPr>
        <w:t>« </w:t>
      </w:r>
      <w:r w:rsidRPr="002C53FC">
        <w:rPr>
          <w:rFonts w:cs="Times New Roman"/>
          <w:lang w:val="fr-CA"/>
        </w:rPr>
        <w:t>malhonnête ou spécieux</w:t>
      </w:r>
      <w:r>
        <w:rPr>
          <w:rFonts w:cs="Times New Roman"/>
          <w:lang w:val="fr-CA"/>
        </w:rPr>
        <w:t> »</w:t>
      </w:r>
      <w:r w:rsidRPr="002C53FC">
        <w:rPr>
          <w:rFonts w:cs="Times New Roman"/>
          <w:lang w:val="fr-CA"/>
        </w:rPr>
        <w:t>). Il faut se garder d</w:t>
      </w:r>
      <w:r>
        <w:rPr>
          <w:rFonts w:cs="Times New Roman"/>
          <w:lang w:val="fr-CA"/>
        </w:rPr>
        <w:t>’</w:t>
      </w:r>
      <w:r w:rsidRPr="002C53FC">
        <w:rPr>
          <w:rFonts w:cs="Times New Roman"/>
          <w:lang w:val="fr-CA"/>
        </w:rPr>
        <w:t xml:space="preserve">interpréter le </w:t>
      </w:r>
      <w:r w:rsidRPr="002C53FC">
        <w:rPr>
          <w:rFonts w:cs="Times New Roman"/>
          <w:i/>
          <w:lang w:val="fr-CA"/>
        </w:rPr>
        <w:t>Renvoi relatif à la rémunération des juges</w:t>
      </w:r>
      <w:r w:rsidRPr="002C53FC">
        <w:rPr>
          <w:rFonts w:cs="Times New Roman"/>
          <w:lang w:val="fr-CA"/>
        </w:rPr>
        <w:t xml:space="preserve"> et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comme s</w:t>
      </w:r>
      <w:r>
        <w:rPr>
          <w:rFonts w:cs="Times New Roman"/>
          <w:lang w:val="fr-CA"/>
        </w:rPr>
        <w:t>’</w:t>
      </w:r>
      <w:r w:rsidRPr="002C53FC">
        <w:rPr>
          <w:rFonts w:cs="Times New Roman"/>
          <w:lang w:val="fr-CA"/>
        </w:rPr>
        <w:t>ils signifiaient que, dans la mesure où les motifs invoqués publiquement par le gouvernement sont légitimes à première vue et semblent s</w:t>
      </w:r>
      <w:r>
        <w:rPr>
          <w:rFonts w:cs="Times New Roman"/>
          <w:lang w:val="fr-CA"/>
        </w:rPr>
        <w:t>’</w:t>
      </w:r>
      <w:r w:rsidRPr="002C53FC">
        <w:rPr>
          <w:rFonts w:cs="Times New Roman"/>
          <w:lang w:val="fr-CA"/>
        </w:rPr>
        <w:t xml:space="preserve">appuyer sur un fondement </w:t>
      </w:r>
      <w:r w:rsidRPr="002C53FC">
        <w:rPr>
          <w:rFonts w:cs="Times New Roman"/>
          <w:lang w:val="fr-CA"/>
        </w:rPr>
        <w:lastRenderedPageBreak/>
        <w:t>factuel raisonnable, le gouvernement pourrait fournir des motifs de mauvaise foi. En effet, il ressort implicitement de la troisième étape même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que, saisi d</w:t>
      </w:r>
      <w:r>
        <w:rPr>
          <w:rFonts w:cs="Times New Roman"/>
          <w:lang w:val="fr-CA"/>
        </w:rPr>
        <w:t>’</w:t>
      </w:r>
      <w:r w:rsidRPr="002C53FC">
        <w:rPr>
          <w:rFonts w:cs="Times New Roman"/>
          <w:lang w:val="fr-CA"/>
        </w:rPr>
        <w:t>éléments de preuve démontrant que la réponse d</w:t>
      </w:r>
      <w:r>
        <w:rPr>
          <w:rFonts w:cs="Times New Roman"/>
          <w:lang w:val="fr-CA"/>
        </w:rPr>
        <w:t>’</w:t>
      </w:r>
      <w:r w:rsidRPr="002C53FC">
        <w:rPr>
          <w:rFonts w:cs="Times New Roman"/>
          <w:lang w:val="fr-CA"/>
        </w:rPr>
        <w:t>un gouvernement visait un objectif illégitime ou déguisé et ne satisfait donc pas aux exigences constitutionnelles établies par la jurisprudence de la Cour, le tribunal de révision ne peut se contenter d</w:t>
      </w:r>
      <w:r>
        <w:rPr>
          <w:rFonts w:cs="Times New Roman"/>
          <w:lang w:val="fr-CA"/>
        </w:rPr>
        <w:t>’</w:t>
      </w:r>
      <w:r w:rsidRPr="002C53FC">
        <w:rPr>
          <w:rFonts w:cs="Times New Roman"/>
          <w:lang w:val="fr-CA"/>
        </w:rPr>
        <w:t>accepter la réponse formelle du gouvernement sans pousser son examen plus loin.</w:t>
      </w:r>
    </w:p>
    <w:p w14:paraId="633251B3" w14:textId="23CD19A5" w:rsidR="002C65EF" w:rsidRPr="002C53FC" w:rsidRDefault="002C65EF" w:rsidP="002C65EF">
      <w:pPr>
        <w:pStyle w:val="ParaNoNdepar-AltN"/>
        <w:spacing w:before="0"/>
        <w:rPr>
          <w:rFonts w:cs="Times New Roman"/>
          <w:lang w:val="fr-CA"/>
        </w:rPr>
      </w:pPr>
      <w:r w:rsidRPr="002C53FC">
        <w:rPr>
          <w:rFonts w:cs="Times New Roman"/>
          <w:lang w:val="fr-CA"/>
        </w:rPr>
        <w:t>Rien de cela n</w:t>
      </w:r>
      <w:r>
        <w:rPr>
          <w:rFonts w:cs="Times New Roman"/>
          <w:lang w:val="fr-CA"/>
        </w:rPr>
        <w:t>’</w:t>
      </w:r>
      <w:r w:rsidRPr="002C53FC">
        <w:rPr>
          <w:rFonts w:cs="Times New Roman"/>
          <w:lang w:val="fr-CA"/>
        </w:rPr>
        <w:t>est nouveau. Dans l</w:t>
      </w:r>
      <w:r>
        <w:rPr>
          <w:rFonts w:cs="Times New Roman"/>
          <w:lang w:val="fr-CA"/>
        </w:rPr>
        <w:t>’</w:t>
      </w:r>
      <w:r w:rsidRPr="002C53FC">
        <w:rPr>
          <w:rFonts w:cs="Times New Roman"/>
          <w:lang w:val="fr-CA"/>
        </w:rPr>
        <w:t xml:space="preserve">arrêt </w:t>
      </w:r>
      <w:r w:rsidRPr="002C53FC">
        <w:rPr>
          <w:rFonts w:cs="Times New Roman"/>
          <w:i/>
          <w:lang w:val="fr-CA"/>
        </w:rPr>
        <w:t>Beauregard</w:t>
      </w:r>
      <w:r w:rsidR="00FC3E09">
        <w:rPr>
          <w:rFonts w:cs="Times New Roman"/>
          <w:lang w:val="fr-CA"/>
        </w:rPr>
        <w:t>,</w:t>
      </w:r>
      <w:r w:rsidRPr="002C53FC">
        <w:rPr>
          <w:rFonts w:cs="Times New Roman"/>
          <w:lang w:val="fr-CA"/>
        </w:rPr>
        <w:t xml:space="preserve"> </w:t>
      </w:r>
      <w:r>
        <w:rPr>
          <w:rFonts w:cs="Times New Roman"/>
          <w:lang w:val="fr-CA"/>
        </w:rPr>
        <w:t>p. </w:t>
      </w:r>
      <w:r w:rsidRPr="002C53FC">
        <w:rPr>
          <w:rFonts w:cs="Times New Roman"/>
          <w:lang w:val="fr-CA"/>
        </w:rPr>
        <w:t>77, la Cour a énoncé clairement que « [s]</w:t>
      </w:r>
      <w:r>
        <w:rPr>
          <w:rFonts w:cs="Times New Roman"/>
          <w:lang w:val="fr-CA"/>
        </w:rPr>
        <w:t>’</w:t>
      </w:r>
      <w:r w:rsidRPr="002C53FC">
        <w:rPr>
          <w:rFonts w:cs="Times New Roman"/>
          <w:lang w:val="fr-CA"/>
        </w:rPr>
        <w:t>il y avait un indice qu</w:t>
      </w:r>
      <w:r>
        <w:rPr>
          <w:rFonts w:cs="Times New Roman"/>
          <w:lang w:val="fr-CA"/>
        </w:rPr>
        <w:t>’</w:t>
      </w:r>
      <w:r w:rsidRPr="002C53FC">
        <w:rPr>
          <w:rFonts w:cs="Times New Roman"/>
          <w:lang w:val="fr-CA"/>
        </w:rPr>
        <w:t xml:space="preserve">une loi fédérale traitant [de la fixation des salaires et du régime de retraite des juges des cours supérieures] avait été adoptée dans un </w:t>
      </w:r>
      <w:r w:rsidRPr="002C53FC">
        <w:rPr>
          <w:rFonts w:cs="Times New Roman"/>
          <w:u w:val="single"/>
          <w:lang w:val="fr-CA"/>
        </w:rPr>
        <w:t>but malhonnête ou spécieux</w:t>
      </w:r>
      <w:r w:rsidRPr="002C53FC">
        <w:rPr>
          <w:rFonts w:cs="Times New Roman"/>
          <w:lang w:val="fr-CA"/>
        </w:rPr>
        <w:t>, ou si les juges étaient traités d</w:t>
      </w:r>
      <w:r>
        <w:rPr>
          <w:rFonts w:cs="Times New Roman"/>
          <w:lang w:val="fr-CA"/>
        </w:rPr>
        <w:t>’</w:t>
      </w:r>
      <w:r w:rsidRPr="002C53FC">
        <w:rPr>
          <w:rFonts w:cs="Times New Roman"/>
          <w:lang w:val="fr-CA"/>
        </w:rPr>
        <w:t>une manière discriminatoire par rapport aux autres citoyens, de graves questions se poseraient alors concernant l</w:t>
      </w:r>
      <w:r>
        <w:rPr>
          <w:rFonts w:cs="Times New Roman"/>
          <w:lang w:val="fr-CA"/>
        </w:rPr>
        <w:t>’</w:t>
      </w:r>
      <w:r w:rsidRPr="002C53FC">
        <w:rPr>
          <w:rFonts w:cs="Times New Roman"/>
          <w:lang w:val="fr-CA"/>
        </w:rPr>
        <w:t xml:space="preserve">indépendance judiciaire et la loi en question pourrait très bien être jugée </w:t>
      </w:r>
      <w:r w:rsidRPr="002C53FC">
        <w:rPr>
          <w:rFonts w:cs="Times New Roman"/>
          <w:i/>
          <w:lang w:val="fr-CA"/>
        </w:rPr>
        <w:t>ultra vires</w:t>
      </w:r>
      <w:r w:rsidRPr="002C53FC">
        <w:rPr>
          <w:rFonts w:cs="Times New Roman"/>
          <w:lang w:val="fr-CA"/>
        </w:rPr>
        <w:t xml:space="preserve"> de l</w:t>
      </w:r>
      <w:r>
        <w:rPr>
          <w:rFonts w:cs="Times New Roman"/>
          <w:lang w:val="fr-CA"/>
        </w:rPr>
        <w:t>’art. </w:t>
      </w:r>
      <w:r w:rsidRPr="002C53FC">
        <w:rPr>
          <w:rFonts w:cs="Times New Roman"/>
          <w:lang w:val="fr-CA"/>
        </w:rPr>
        <w:t xml:space="preserve">100 de la </w:t>
      </w:r>
      <w:r w:rsidRPr="002C53FC">
        <w:rPr>
          <w:rFonts w:cs="Times New Roman"/>
          <w:i/>
          <w:lang w:val="fr-CA"/>
        </w:rPr>
        <w:t>Loi constitutionnelle de 1867</w:t>
      </w:r>
      <w:r w:rsidRPr="002C53FC">
        <w:rPr>
          <w:rFonts w:cs="Times New Roman"/>
          <w:lang w:val="fr-CA"/>
        </w:rPr>
        <w:t> » (je souligne). Cette conclusion s</w:t>
      </w:r>
      <w:r>
        <w:rPr>
          <w:rFonts w:cs="Times New Roman"/>
          <w:lang w:val="fr-CA"/>
        </w:rPr>
        <w:t>’</w:t>
      </w:r>
      <w:r w:rsidRPr="002C53FC">
        <w:rPr>
          <w:rFonts w:cs="Times New Roman"/>
          <w:lang w:val="fr-CA"/>
        </w:rPr>
        <w:t>applique à l</w:t>
      </w:r>
      <w:r>
        <w:rPr>
          <w:rFonts w:cs="Times New Roman"/>
          <w:lang w:val="fr-CA"/>
        </w:rPr>
        <w:t>’</w:t>
      </w:r>
      <w:r w:rsidRPr="002C53FC">
        <w:rPr>
          <w:rFonts w:cs="Times New Roman"/>
          <w:lang w:val="fr-CA"/>
        </w:rPr>
        <w:t>égard de tous les juges visés par le principe constitutionnel de l</w:t>
      </w:r>
      <w:r>
        <w:rPr>
          <w:rFonts w:cs="Times New Roman"/>
          <w:lang w:val="fr-CA"/>
        </w:rPr>
        <w:t>’</w:t>
      </w:r>
      <w:r w:rsidRPr="002C53FC">
        <w:rPr>
          <w:rFonts w:cs="Times New Roman"/>
          <w:lang w:val="fr-CA"/>
        </w:rPr>
        <w:t>indépendance judiciaire</w:t>
      </w:r>
      <w:r>
        <w:rPr>
          <w:rFonts w:cs="Times New Roman"/>
          <w:lang w:val="fr-CA"/>
        </w:rPr>
        <w:t> :</w:t>
      </w:r>
      <w:r w:rsidRPr="002C53FC">
        <w:rPr>
          <w:rFonts w:cs="Times New Roman"/>
          <w:lang w:val="fr-CA"/>
        </w:rPr>
        <w:t xml:space="preserve"> voir le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145 et 165.</w:t>
      </w:r>
    </w:p>
    <w:p w14:paraId="1C752C73" w14:textId="0E5D850B" w:rsidR="002C65EF" w:rsidRPr="002C53FC" w:rsidRDefault="002C65EF" w:rsidP="002C65EF">
      <w:pPr>
        <w:pStyle w:val="ParaNoNdepar-AltN"/>
        <w:spacing w:before="0"/>
        <w:rPr>
          <w:rFonts w:cs="Times New Roman"/>
          <w:lang w:val="fr-CA"/>
        </w:rPr>
      </w:pPr>
      <w:r w:rsidRPr="002C53FC">
        <w:rPr>
          <w:rFonts w:cs="Times New Roman"/>
          <w:lang w:val="fr-CA"/>
        </w:rPr>
        <w:t>Des considérations relatives à la légitimité du mécanisme et au respect qui lui est dû — et inversement des considérations relatives au caractère illégitime ou déguisé du véritable objectif du gouvernement — imprègnent l</w:t>
      </w:r>
      <w:r>
        <w:rPr>
          <w:rFonts w:cs="Times New Roman"/>
          <w:lang w:val="fr-CA"/>
        </w:rPr>
        <w:t>’</w:t>
      </w:r>
      <w:r w:rsidRPr="002C53FC">
        <w:rPr>
          <w:rFonts w:cs="Times New Roman"/>
          <w:lang w:val="fr-CA"/>
        </w:rPr>
        <w:t>ensemble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En effet, dans ce dernier, qui portait sur la rémunération des </w:t>
      </w:r>
      <w:r w:rsidRPr="002C53FC">
        <w:rPr>
          <w:rFonts w:cs="Times New Roman"/>
          <w:lang w:val="fr-CA"/>
        </w:rPr>
        <w:lastRenderedPageBreak/>
        <w:t>juges nommés par les provinces, la Cour s</w:t>
      </w:r>
      <w:r>
        <w:rPr>
          <w:rFonts w:cs="Times New Roman"/>
          <w:lang w:val="fr-CA"/>
        </w:rPr>
        <w:t>’</w:t>
      </w:r>
      <w:r w:rsidRPr="002C53FC">
        <w:rPr>
          <w:rFonts w:cs="Times New Roman"/>
          <w:lang w:val="fr-CA"/>
        </w:rPr>
        <w:t>est demandé si les motifs donnés par les gouvernements de l</w:t>
      </w:r>
      <w:r>
        <w:rPr>
          <w:rFonts w:cs="Times New Roman"/>
          <w:lang w:val="fr-CA"/>
        </w:rPr>
        <w:t>’</w:t>
      </w:r>
      <w:r w:rsidRPr="002C53FC">
        <w:rPr>
          <w:rFonts w:cs="Times New Roman"/>
          <w:lang w:val="fr-CA"/>
        </w:rPr>
        <w:t>Alberta, du Nouveau</w:t>
      </w:r>
      <w:r>
        <w:rPr>
          <w:rFonts w:cs="Times New Roman"/>
          <w:lang w:val="fr-CA"/>
        </w:rPr>
        <w:noBreakHyphen/>
      </w:r>
      <w:r w:rsidRPr="002C53FC">
        <w:rPr>
          <w:rFonts w:cs="Times New Roman"/>
          <w:lang w:val="fr-CA"/>
        </w:rPr>
        <w:t>Brunswick, de l</w:t>
      </w:r>
      <w:r>
        <w:rPr>
          <w:rFonts w:cs="Times New Roman"/>
          <w:lang w:val="fr-CA"/>
        </w:rPr>
        <w:t>’</w:t>
      </w:r>
      <w:r w:rsidRPr="002C53FC">
        <w:rPr>
          <w:rFonts w:cs="Times New Roman"/>
          <w:lang w:val="fr-CA"/>
        </w:rPr>
        <w:t>Ontario et du Québec étaient « dictés par des considérations purement politiques », « révél[aient] qu</w:t>
      </w:r>
      <w:r>
        <w:rPr>
          <w:rFonts w:cs="Times New Roman"/>
          <w:lang w:val="fr-CA"/>
        </w:rPr>
        <w:t>’</w:t>
      </w:r>
      <w:r w:rsidRPr="002C53FC">
        <w:rPr>
          <w:rFonts w:cs="Times New Roman"/>
          <w:lang w:val="fr-CA"/>
        </w:rPr>
        <w:t>ils [étaient] dictés par des considérations politiques ou discriminatoires » ou « dénot[aient] l</w:t>
      </w:r>
      <w:r>
        <w:rPr>
          <w:rFonts w:cs="Times New Roman"/>
          <w:lang w:val="fr-CA"/>
        </w:rPr>
        <w:t>’</w:t>
      </w:r>
      <w:r w:rsidRPr="002C53FC">
        <w:rPr>
          <w:rFonts w:cs="Times New Roman"/>
          <w:lang w:val="fr-CA"/>
        </w:rPr>
        <w:t>existence d</w:t>
      </w:r>
      <w:r>
        <w:rPr>
          <w:rFonts w:cs="Times New Roman"/>
          <w:lang w:val="fr-CA"/>
        </w:rPr>
        <w:t>’</w:t>
      </w:r>
      <w:r w:rsidRPr="002C53FC">
        <w:rPr>
          <w:rFonts w:cs="Times New Roman"/>
          <w:lang w:val="fr-CA"/>
        </w:rPr>
        <w:t>un objectif politique illégitime [ou d</w:t>
      </w:r>
      <w:r>
        <w:rPr>
          <w:rFonts w:cs="Times New Roman"/>
          <w:lang w:val="fr-CA"/>
        </w:rPr>
        <w:t>’</w:t>
      </w:r>
      <w:r w:rsidRPr="002C53FC">
        <w:rPr>
          <w:rFonts w:cs="Times New Roman"/>
          <w:lang w:val="fr-CA"/>
        </w:rPr>
        <w:t>]une intention de manipuler ou d</w:t>
      </w:r>
      <w:r>
        <w:rPr>
          <w:rFonts w:cs="Times New Roman"/>
          <w:lang w:val="fr-CA"/>
        </w:rPr>
        <w:t>’</w:t>
      </w:r>
      <w:r w:rsidRPr="002C53FC">
        <w:rPr>
          <w:rFonts w:cs="Times New Roman"/>
          <w:lang w:val="fr-CA"/>
        </w:rPr>
        <w:t>influencer la magistrature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 xml:space="preserve">66, 96 et 159; voir aussi </w:t>
      </w:r>
      <w:r>
        <w:rPr>
          <w:rFonts w:cs="Times New Roman"/>
          <w:lang w:val="fr-CA"/>
        </w:rPr>
        <w:t>par. </w:t>
      </w:r>
      <w:r w:rsidRPr="002C53FC">
        <w:rPr>
          <w:rFonts w:cs="Times New Roman"/>
          <w:lang w:val="fr-CA"/>
        </w:rPr>
        <w:t>68 et 123.</w:t>
      </w:r>
    </w:p>
    <w:p w14:paraId="56370B3F" w14:textId="77777777" w:rsidR="002C65EF" w:rsidRPr="002C53FC" w:rsidRDefault="002C65EF" w:rsidP="002C65EF">
      <w:pPr>
        <w:pStyle w:val="ParaNoNdepar-AltN"/>
        <w:rPr>
          <w:rFonts w:cs="Times New Roman"/>
          <w:lang w:val="fr-CA"/>
        </w:rPr>
      </w:pPr>
      <w:r w:rsidRPr="002C53FC">
        <w:rPr>
          <w:rFonts w:cs="Times New Roman"/>
          <w:lang w:val="fr-CA"/>
        </w:rPr>
        <w:t>Des motifs qui révèlent un objectif illégitime ou déguisé échoueraient à la première étape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qui exige que le gouvernement fournisse un motif légitime pour s</w:t>
      </w:r>
      <w:r>
        <w:rPr>
          <w:rFonts w:cs="Times New Roman"/>
          <w:lang w:val="fr-CA"/>
        </w:rPr>
        <w:t>’</w:t>
      </w:r>
      <w:r w:rsidRPr="002C53FC">
        <w:rPr>
          <w:rFonts w:cs="Times New Roman"/>
          <w:lang w:val="fr-CA"/>
        </w:rPr>
        <w:t>écarter des recommandations d</w:t>
      </w:r>
      <w:r>
        <w:rPr>
          <w:rFonts w:cs="Times New Roman"/>
          <w:lang w:val="fr-CA"/>
        </w:rPr>
        <w:t>’</w:t>
      </w:r>
      <w:r w:rsidRPr="002C53FC">
        <w:rPr>
          <w:rFonts w:cs="Times New Roman"/>
          <w:lang w:val="fr-CA"/>
        </w:rPr>
        <w:t>une commission. De même, lorsqu</w:t>
      </w:r>
      <w:r>
        <w:rPr>
          <w:rFonts w:cs="Times New Roman"/>
          <w:lang w:val="fr-CA"/>
        </w:rPr>
        <w:t>’</w:t>
      </w:r>
      <w:r w:rsidRPr="002C53FC">
        <w:rPr>
          <w:rFonts w:cs="Times New Roman"/>
          <w:lang w:val="fr-CA"/>
        </w:rPr>
        <w:t>elle a examiné si un gouvernement s</w:t>
      </w:r>
      <w:r>
        <w:rPr>
          <w:rFonts w:cs="Times New Roman"/>
          <w:lang w:val="fr-CA"/>
        </w:rPr>
        <w:t>’</w:t>
      </w:r>
      <w:r w:rsidRPr="002C53FC">
        <w:rPr>
          <w:rFonts w:cs="Times New Roman"/>
          <w:lang w:val="fr-CA"/>
        </w:rPr>
        <w:t>était appuyé sur un fondement factuel raisonnable, la Cour a reconnu la possibilité qu</w:t>
      </w:r>
      <w:r>
        <w:rPr>
          <w:rFonts w:cs="Times New Roman"/>
          <w:lang w:val="fr-CA"/>
        </w:rPr>
        <w:t>’</w:t>
      </w:r>
      <w:r w:rsidRPr="002C53FC">
        <w:rPr>
          <w:rFonts w:cs="Times New Roman"/>
          <w:lang w:val="fr-CA"/>
        </w:rPr>
        <w:t>il se soit peut</w:t>
      </w:r>
      <w:r>
        <w:rPr>
          <w:rFonts w:cs="Times New Roman"/>
          <w:lang w:val="fr-CA"/>
        </w:rPr>
        <w:noBreakHyphen/>
      </w:r>
      <w:r w:rsidRPr="002C53FC">
        <w:rPr>
          <w:rFonts w:cs="Times New Roman"/>
          <w:lang w:val="fr-CA"/>
        </w:rPr>
        <w:t>être appuyé sur des « affidavits contenant des preuves de la bonne foi et de l</w:t>
      </w:r>
      <w:r>
        <w:rPr>
          <w:rFonts w:cs="Times New Roman"/>
          <w:lang w:val="fr-CA"/>
        </w:rPr>
        <w:t>’</w:t>
      </w:r>
      <w:r w:rsidRPr="002C53FC">
        <w:rPr>
          <w:rFonts w:cs="Times New Roman"/>
          <w:lang w:val="fr-CA"/>
        </w:rPr>
        <w:t>engagement à l</w:t>
      </w:r>
      <w:r>
        <w:rPr>
          <w:rFonts w:cs="Times New Roman"/>
          <w:lang w:val="fr-CA"/>
        </w:rPr>
        <w:t>’</w:t>
      </w:r>
      <w:r w:rsidRPr="002C53FC">
        <w:rPr>
          <w:rFonts w:cs="Times New Roman"/>
          <w:lang w:val="fr-CA"/>
        </w:rPr>
        <w:t>égard du mécanisme, par exemple, des renseignements sur l</w:t>
      </w:r>
      <w:r>
        <w:rPr>
          <w:rFonts w:cs="Times New Roman"/>
          <w:lang w:val="fr-CA"/>
        </w:rPr>
        <w:t>’</w:t>
      </w:r>
      <w:r w:rsidRPr="002C53FC">
        <w:rPr>
          <w:rFonts w:cs="Times New Roman"/>
          <w:lang w:val="fr-CA"/>
        </w:rPr>
        <w:t>étude gouvernementale de l</w:t>
      </w:r>
      <w:r>
        <w:rPr>
          <w:rFonts w:cs="Times New Roman"/>
          <w:lang w:val="fr-CA"/>
        </w:rPr>
        <w:t>’</w:t>
      </w:r>
      <w:r w:rsidRPr="002C53FC">
        <w:rPr>
          <w:rFonts w:cs="Times New Roman"/>
          <w:lang w:val="fr-CA"/>
        </w:rPr>
        <w:t>impact des recommandations de la commission »</w:t>
      </w:r>
      <w:r>
        <w:rPr>
          <w:rFonts w:cs="Times New Roman"/>
          <w:lang w:val="fr-CA"/>
        </w:rPr>
        <w:t> :</w:t>
      </w:r>
      <w:r w:rsidRPr="002C53FC">
        <w:rPr>
          <w:rFonts w:cs="Times New Roman"/>
          <w:lang w:val="fr-CA"/>
        </w:rPr>
        <w:t xml:space="preserve">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36. Enfin, la conduite du gouvernement et l</w:t>
      </w:r>
      <w:r>
        <w:rPr>
          <w:rFonts w:cs="Times New Roman"/>
          <w:lang w:val="fr-CA"/>
        </w:rPr>
        <w:t>’</w:t>
      </w:r>
      <w:r w:rsidRPr="002C53FC">
        <w:rPr>
          <w:rFonts w:cs="Times New Roman"/>
          <w:lang w:val="fr-CA"/>
        </w:rPr>
        <w:t>à</w:t>
      </w:r>
      <w:r>
        <w:rPr>
          <w:rFonts w:cs="Times New Roman"/>
          <w:lang w:val="fr-CA"/>
        </w:rPr>
        <w:noBreakHyphen/>
      </w:r>
      <w:r w:rsidRPr="002C53FC">
        <w:rPr>
          <w:rFonts w:cs="Times New Roman"/>
          <w:lang w:val="fr-CA"/>
        </w:rPr>
        <w:t>propos de sa réponse sont également directement en cause à la troisième étape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qui porte sur la question de savoir si le gouvernement a fait preuve de respect envers le mécanisme d</w:t>
      </w:r>
      <w:r>
        <w:rPr>
          <w:rFonts w:cs="Times New Roman"/>
          <w:lang w:val="fr-CA"/>
        </w:rPr>
        <w:t>’</w:t>
      </w:r>
      <w:r w:rsidRPr="002C53FC">
        <w:rPr>
          <w:rFonts w:cs="Times New Roman"/>
          <w:lang w:val="fr-CA"/>
        </w:rPr>
        <w:t>examen par une commission et, plus globalement, si les objectifs du recours à ce mécanisme ont été atteints.</w:t>
      </w:r>
    </w:p>
    <w:p w14:paraId="18B75711" w14:textId="77777777" w:rsidR="002C65EF" w:rsidRPr="002C53FC" w:rsidRDefault="002C65EF" w:rsidP="002C65EF">
      <w:pPr>
        <w:pStyle w:val="ParaNoNdepar-AltN"/>
        <w:spacing w:before="0"/>
        <w:rPr>
          <w:rFonts w:cs="Times New Roman"/>
          <w:lang w:val="fr-CA"/>
        </w:rPr>
      </w:pPr>
      <w:r w:rsidRPr="002C53FC">
        <w:rPr>
          <w:rFonts w:cs="Times New Roman"/>
          <w:lang w:val="fr-CA"/>
        </w:rPr>
        <w:t>Ainsi, même si les motifs invoqués publiquement par le gouvernement semblent satisfaire aux exigences définies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sa réponse peut tout de </w:t>
      </w:r>
      <w:r w:rsidRPr="002C53FC">
        <w:rPr>
          <w:rFonts w:cs="Times New Roman"/>
          <w:lang w:val="fr-CA"/>
        </w:rPr>
        <w:lastRenderedPageBreak/>
        <w:t>même être contestée sur le fondement qu</w:t>
      </w:r>
      <w:r>
        <w:rPr>
          <w:rFonts w:cs="Times New Roman"/>
          <w:lang w:val="fr-CA"/>
        </w:rPr>
        <w:t>’</w:t>
      </w:r>
      <w:r w:rsidRPr="002C53FC">
        <w:rPr>
          <w:rFonts w:cs="Times New Roman"/>
          <w:lang w:val="fr-CA"/>
        </w:rPr>
        <w:t>elle s</w:t>
      </w:r>
      <w:r>
        <w:rPr>
          <w:rFonts w:cs="Times New Roman"/>
          <w:lang w:val="fr-CA"/>
        </w:rPr>
        <w:t>’</w:t>
      </w:r>
      <w:r w:rsidRPr="002C53FC">
        <w:rPr>
          <w:rFonts w:cs="Times New Roman"/>
          <w:lang w:val="fr-CA"/>
        </w:rPr>
        <w:t>appuie sur un objectif illégitime ou déguisé.</w:t>
      </w:r>
    </w:p>
    <w:p w14:paraId="4C93DF39" w14:textId="6658FA2C" w:rsidR="002C65EF" w:rsidRPr="002C53FC" w:rsidRDefault="002C65EF" w:rsidP="002C65EF">
      <w:pPr>
        <w:pStyle w:val="ParaNoNdepar-AltN"/>
        <w:spacing w:before="0"/>
        <w:rPr>
          <w:rFonts w:cs="Times New Roman"/>
          <w:lang w:val="fr-CA"/>
        </w:rPr>
      </w:pPr>
      <w:r w:rsidRPr="002C53FC">
        <w:rPr>
          <w:rFonts w:cs="Times New Roman"/>
          <w:lang w:val="fr-CA"/>
        </w:rPr>
        <w:t>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la Cour a souligné que « [l]es limites du contrôle judiciaire [de la réponse du gouvernement] dictent le choix des réparations. Celles</w:t>
      </w:r>
      <w:r>
        <w:rPr>
          <w:rFonts w:cs="Times New Roman"/>
          <w:lang w:val="fr-CA"/>
        </w:rPr>
        <w:noBreakHyphen/>
      </w:r>
      <w:r w:rsidRPr="002C53FC">
        <w:rPr>
          <w:rFonts w:cs="Times New Roman"/>
          <w:lang w:val="fr-CA"/>
        </w:rPr>
        <w:t>ci doivent rester conciliables avec le rôle du tribunal saisi du contrôle judiciaire et avec l</w:t>
      </w:r>
      <w:r>
        <w:rPr>
          <w:rFonts w:cs="Times New Roman"/>
          <w:lang w:val="fr-CA"/>
        </w:rPr>
        <w:t>’</w:t>
      </w:r>
      <w:r w:rsidRPr="002C53FC">
        <w:rPr>
          <w:rFonts w:cs="Times New Roman"/>
          <w:lang w:val="fr-CA"/>
        </w:rPr>
        <w:t>objectif du recours à une com</w:t>
      </w:r>
      <w:r w:rsidR="00846D01">
        <w:rPr>
          <w:rFonts w:cs="Times New Roman"/>
          <w:lang w:val="fr-CA"/>
        </w:rPr>
        <w:t>mission</w:t>
      </w:r>
      <w:r w:rsidRPr="002C53FC">
        <w:rPr>
          <w:rFonts w:cs="Times New Roman"/>
          <w:lang w:val="fr-CA"/>
        </w:rPr>
        <w:t> »</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 xml:space="preserve">42. À mon avis, la nature limitée du contrôle judiciaire de type </w:t>
      </w:r>
      <w:r w:rsidRPr="002C53FC">
        <w:rPr>
          <w:rFonts w:cs="Times New Roman"/>
          <w:i/>
          <w:lang w:val="fr-CA"/>
        </w:rPr>
        <w:t>Bodner</w:t>
      </w:r>
      <w:r w:rsidRPr="002C53FC">
        <w:rPr>
          <w:rFonts w:cs="Times New Roman"/>
          <w:lang w:val="fr-CA"/>
        </w:rPr>
        <w:t>, le rôle du tribunal de révision et l</w:t>
      </w:r>
      <w:r>
        <w:rPr>
          <w:rFonts w:cs="Times New Roman"/>
          <w:lang w:val="fr-CA"/>
        </w:rPr>
        <w:t>’</w:t>
      </w:r>
      <w:r w:rsidRPr="002C53FC">
        <w:rPr>
          <w:rFonts w:cs="Times New Roman"/>
          <w:lang w:val="fr-CA"/>
        </w:rPr>
        <w:t>objet du mécanisme ont également une incidence sur les éléments de preuve qui seront examinés par le tribunal de révision.</w:t>
      </w:r>
    </w:p>
    <w:p w14:paraId="5FE76273" w14:textId="77777777" w:rsidR="002C65EF" w:rsidRPr="002C53FC" w:rsidRDefault="002C65EF" w:rsidP="002C65EF">
      <w:pPr>
        <w:pStyle w:val="Title2LevelTitre2Niveau"/>
        <w:spacing w:before="0"/>
        <w:rPr>
          <w:rFonts w:cs="Times New Roman"/>
          <w:lang w:val="fr-CA"/>
        </w:rPr>
      </w:pPr>
      <w:r w:rsidRPr="002C53FC">
        <w:rPr>
          <w:rFonts w:cs="Times New Roman"/>
          <w:lang w:val="fr-CA"/>
        </w:rPr>
        <w:t>La preuve dans le cadre d</w:t>
      </w:r>
      <w:r>
        <w:rPr>
          <w:rFonts w:cs="Times New Roman"/>
          <w:lang w:val="fr-CA"/>
        </w:rPr>
        <w:t>’</w:t>
      </w:r>
      <w:r w:rsidRPr="002C53FC">
        <w:rPr>
          <w:rFonts w:cs="Times New Roman"/>
          <w:lang w:val="fr-CA"/>
        </w:rPr>
        <w:t>un contrôle de type Bodner</w:t>
      </w:r>
    </w:p>
    <w:p w14:paraId="4AB8C053" w14:textId="27CF4CCF" w:rsidR="002C65EF" w:rsidRPr="002C53FC" w:rsidRDefault="002C65EF" w:rsidP="002C65EF">
      <w:pPr>
        <w:pStyle w:val="ParaNoNdepar-AltN"/>
        <w:spacing w:before="0"/>
        <w:rPr>
          <w:rFonts w:cs="Times New Roman"/>
          <w:lang w:val="fr-CA"/>
        </w:rPr>
      </w:pPr>
      <w:r w:rsidRPr="002C53FC">
        <w:rPr>
          <w:rFonts w:cs="Times New Roman"/>
          <w:lang w:val="fr-CA"/>
        </w:rPr>
        <w:t>La portée limitée d</w:t>
      </w:r>
      <w:r>
        <w:rPr>
          <w:rFonts w:cs="Times New Roman"/>
          <w:lang w:val="fr-CA"/>
        </w:rPr>
        <w:t>’</w:t>
      </w:r>
      <w:r w:rsidRPr="002C53FC">
        <w:rPr>
          <w:rFonts w:cs="Times New Roman"/>
          <w:lang w:val="fr-CA"/>
        </w:rPr>
        <w:t xml:space="preserve">un contrôle de type </w:t>
      </w:r>
      <w:r w:rsidRPr="002C53FC">
        <w:rPr>
          <w:rFonts w:cs="Times New Roman"/>
          <w:i/>
          <w:lang w:val="fr-CA"/>
        </w:rPr>
        <w:t xml:space="preserve">Bodner </w:t>
      </w:r>
      <w:r w:rsidRPr="002C53FC">
        <w:rPr>
          <w:rFonts w:cs="Times New Roman"/>
          <w:lang w:val="fr-CA"/>
        </w:rPr>
        <w:t>suppose que le dossier constitué aux fins de cette procédure soit plus restreint qu</w:t>
      </w:r>
      <w:r>
        <w:rPr>
          <w:rFonts w:cs="Times New Roman"/>
          <w:lang w:val="fr-CA"/>
        </w:rPr>
        <w:t>’</w:t>
      </w:r>
      <w:r w:rsidRPr="002C53FC">
        <w:rPr>
          <w:rFonts w:cs="Times New Roman"/>
          <w:lang w:val="fr-CA"/>
        </w:rPr>
        <w:t>il ne le serait dans le cas d</w:t>
      </w:r>
      <w:r>
        <w:rPr>
          <w:rFonts w:cs="Times New Roman"/>
          <w:lang w:val="fr-CA"/>
        </w:rPr>
        <w:t>’</w:t>
      </w:r>
      <w:r w:rsidRPr="002C53FC">
        <w:rPr>
          <w:rFonts w:cs="Times New Roman"/>
          <w:lang w:val="fr-CA"/>
        </w:rPr>
        <w:t>un contrôle judiciaire habituel. Elle suppose également qu</w:t>
      </w:r>
      <w:r>
        <w:rPr>
          <w:rFonts w:cs="Times New Roman"/>
          <w:lang w:val="fr-CA"/>
        </w:rPr>
        <w:t>’</w:t>
      </w:r>
      <w:r w:rsidRPr="002C53FC">
        <w:rPr>
          <w:rFonts w:cs="Times New Roman"/>
          <w:lang w:val="fr-CA"/>
        </w:rPr>
        <w:t>il faut évaluer la pertinence de chaque élément du dossier au regard des questions précises au cœur de l</w:t>
      </w:r>
      <w:r>
        <w:rPr>
          <w:rFonts w:cs="Times New Roman"/>
          <w:lang w:val="fr-CA"/>
        </w:rPr>
        <w:t>’</w:t>
      </w:r>
      <w:r w:rsidRPr="002C53FC">
        <w:rPr>
          <w:rFonts w:cs="Times New Roman"/>
          <w:lang w:val="fr-CA"/>
        </w:rPr>
        <w:t>analyse du tribunal saisi d</w:t>
      </w:r>
      <w:r>
        <w:rPr>
          <w:rFonts w:cs="Times New Roman"/>
          <w:lang w:val="fr-CA"/>
        </w:rPr>
        <w:t>’</w:t>
      </w:r>
      <w:r w:rsidRPr="002C53FC">
        <w:rPr>
          <w:rFonts w:cs="Times New Roman"/>
          <w:lang w:val="fr-CA"/>
        </w:rPr>
        <w:t>une demande de contrôle de ce type, à savoir</w:t>
      </w:r>
      <w:r>
        <w:rPr>
          <w:rFonts w:cs="Times New Roman"/>
          <w:lang w:val="fr-CA"/>
        </w:rPr>
        <w:t> :</w:t>
      </w:r>
      <w:r w:rsidRPr="002C53FC">
        <w:rPr>
          <w:rFonts w:cs="Times New Roman"/>
          <w:lang w:val="fr-CA"/>
        </w:rPr>
        <w:t xml:space="preserve"> la légitimité des motifs avancés par le gouvernement, le caractère raisonnable du fondement factuel sur lequel il s</w:t>
      </w:r>
      <w:r>
        <w:rPr>
          <w:rFonts w:cs="Times New Roman"/>
          <w:lang w:val="fr-CA"/>
        </w:rPr>
        <w:t>’</w:t>
      </w:r>
      <w:r w:rsidRPr="002C53FC">
        <w:rPr>
          <w:rFonts w:cs="Times New Roman"/>
          <w:lang w:val="fr-CA"/>
        </w:rPr>
        <w:t>est appuyé et son respect du mécanisme d</w:t>
      </w:r>
      <w:r>
        <w:rPr>
          <w:rFonts w:cs="Times New Roman"/>
          <w:lang w:val="fr-CA"/>
        </w:rPr>
        <w:t>’</w:t>
      </w:r>
      <w:r w:rsidRPr="002C53FC">
        <w:rPr>
          <w:rFonts w:cs="Times New Roman"/>
          <w:lang w:val="fr-CA"/>
        </w:rPr>
        <w:t>examen par une commission de manière à assurer l</w:t>
      </w:r>
      <w:r>
        <w:rPr>
          <w:rFonts w:cs="Times New Roman"/>
          <w:lang w:val="fr-CA"/>
        </w:rPr>
        <w:t>’</w:t>
      </w:r>
      <w:r w:rsidRPr="002C53FC">
        <w:rPr>
          <w:rFonts w:cs="Times New Roman"/>
          <w:lang w:val="fr-CA"/>
        </w:rPr>
        <w:t xml:space="preserve">atteinte des objectifs du recours à une commission. De plus, dans la mesure où un contrôle de type </w:t>
      </w:r>
      <w:r w:rsidRPr="002C53FC">
        <w:rPr>
          <w:rFonts w:cs="Times New Roman"/>
          <w:i/>
          <w:lang w:val="fr-CA"/>
        </w:rPr>
        <w:t>Bodner</w:t>
      </w:r>
      <w:r w:rsidRPr="002C53FC">
        <w:rPr>
          <w:rFonts w:cs="Times New Roman"/>
          <w:lang w:val="fr-CA"/>
        </w:rPr>
        <w:t xml:space="preserve"> tend à opposer deux des branches de l</w:t>
      </w:r>
      <w:r>
        <w:rPr>
          <w:rFonts w:cs="Times New Roman"/>
          <w:lang w:val="fr-CA"/>
        </w:rPr>
        <w:t>’</w:t>
      </w:r>
      <w:r w:rsidRPr="002C53FC">
        <w:rPr>
          <w:rFonts w:cs="Times New Roman"/>
          <w:lang w:val="fr-CA"/>
        </w:rPr>
        <w:t>État, des considérations particulières entrent en jeu lorsque la partie qui sollicite un tel contrôle demande la production d</w:t>
      </w:r>
      <w:r>
        <w:rPr>
          <w:rFonts w:cs="Times New Roman"/>
          <w:lang w:val="fr-CA"/>
        </w:rPr>
        <w:t>’</w:t>
      </w:r>
      <w:r w:rsidRPr="002C53FC">
        <w:rPr>
          <w:rFonts w:cs="Times New Roman"/>
          <w:lang w:val="fr-CA"/>
        </w:rPr>
        <w:t>un document confidentiel du Cabinet. Comme je l</w:t>
      </w:r>
      <w:r>
        <w:rPr>
          <w:rFonts w:cs="Times New Roman"/>
          <w:lang w:val="fr-CA"/>
        </w:rPr>
        <w:t>’</w:t>
      </w:r>
      <w:r w:rsidRPr="002C53FC">
        <w:rPr>
          <w:rFonts w:cs="Times New Roman"/>
          <w:lang w:val="fr-CA"/>
        </w:rPr>
        <w:t xml:space="preserve">exposerai </w:t>
      </w:r>
      <w:r w:rsidRPr="002C53FC">
        <w:rPr>
          <w:rFonts w:cs="Times New Roman"/>
          <w:lang w:val="fr-CA"/>
        </w:rPr>
        <w:lastRenderedPageBreak/>
        <w:t>plus en détail ci</w:t>
      </w:r>
      <w:r>
        <w:rPr>
          <w:rFonts w:cs="Times New Roman"/>
          <w:lang w:val="fr-CA"/>
        </w:rPr>
        <w:noBreakHyphen/>
      </w:r>
      <w:r w:rsidRPr="002C53FC">
        <w:rPr>
          <w:rFonts w:cs="Times New Roman"/>
          <w:lang w:val="fr-CA"/>
        </w:rPr>
        <w:t>après, ces considérations obligent la partie qui demande la production d</w:t>
      </w:r>
      <w:r>
        <w:rPr>
          <w:rFonts w:cs="Times New Roman"/>
          <w:lang w:val="fr-CA"/>
        </w:rPr>
        <w:t>’</w:t>
      </w:r>
      <w:r w:rsidR="006852F9">
        <w:rPr>
          <w:rFonts w:cs="Times New Roman"/>
          <w:lang w:val="fr-CA"/>
        </w:rPr>
        <w:t>un tel document</w:t>
      </w:r>
      <w:r w:rsidRPr="002C53FC">
        <w:rPr>
          <w:rFonts w:cs="Times New Roman"/>
          <w:lang w:val="fr-CA"/>
        </w:rPr>
        <w:t xml:space="preserve"> d</w:t>
      </w:r>
      <w:r>
        <w:rPr>
          <w:rFonts w:cs="Times New Roman"/>
          <w:lang w:val="fr-CA"/>
        </w:rPr>
        <w:t>’</w:t>
      </w:r>
      <w:r w:rsidRPr="002C53FC">
        <w:rPr>
          <w:rFonts w:cs="Times New Roman"/>
          <w:lang w:val="fr-CA"/>
        </w:rPr>
        <w:t>établir qu</w:t>
      </w:r>
      <w:r>
        <w:rPr>
          <w:rFonts w:cs="Times New Roman"/>
          <w:lang w:val="fr-CA"/>
        </w:rPr>
        <w:t>’</w:t>
      </w:r>
      <w:r w:rsidRPr="002C53FC">
        <w:rPr>
          <w:rFonts w:cs="Times New Roman"/>
          <w:lang w:val="fr-CA"/>
        </w:rPr>
        <w:t>il existe des raisons de croire que le document peut contenir des éléments de preuve tendant à démontrer que le gouvernement n</w:t>
      </w:r>
      <w:r>
        <w:rPr>
          <w:rFonts w:cs="Times New Roman"/>
          <w:lang w:val="fr-CA"/>
        </w:rPr>
        <w:t>’</w:t>
      </w:r>
      <w:r w:rsidRPr="002C53FC">
        <w:rPr>
          <w:rFonts w:cs="Times New Roman"/>
          <w:lang w:val="fr-CA"/>
        </w:rPr>
        <w:t>a pas satisfait à une exigence décrite dans la jurisprudence de la Cour et notamment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Ce n</w:t>
      </w:r>
      <w:r>
        <w:rPr>
          <w:rFonts w:cs="Times New Roman"/>
          <w:lang w:val="fr-CA"/>
        </w:rPr>
        <w:t>’</w:t>
      </w:r>
      <w:r w:rsidRPr="002C53FC">
        <w:rPr>
          <w:rFonts w:cs="Times New Roman"/>
          <w:lang w:val="fr-CA"/>
        </w:rPr>
        <w:t>est qu</w:t>
      </w:r>
      <w:r>
        <w:rPr>
          <w:rFonts w:cs="Times New Roman"/>
          <w:lang w:val="fr-CA"/>
        </w:rPr>
        <w:t>’</w:t>
      </w:r>
      <w:r w:rsidRPr="002C53FC">
        <w:rPr>
          <w:rFonts w:cs="Times New Roman"/>
          <w:lang w:val="fr-CA"/>
        </w:rPr>
        <w:t>une fois cette démonstration faite que le tribunal de révision examine le document pour décider s</w:t>
      </w:r>
      <w:r>
        <w:rPr>
          <w:rFonts w:cs="Times New Roman"/>
          <w:lang w:val="fr-CA"/>
        </w:rPr>
        <w:t>’</w:t>
      </w:r>
      <w:r w:rsidRPr="002C53FC">
        <w:rPr>
          <w:rFonts w:cs="Times New Roman"/>
          <w:lang w:val="fr-CA"/>
        </w:rPr>
        <w:t>il devrait être produit.</w:t>
      </w:r>
    </w:p>
    <w:p w14:paraId="2CB7153B" w14:textId="77777777" w:rsidR="002C65EF" w:rsidRPr="002C53FC" w:rsidRDefault="002C65EF" w:rsidP="002C65EF">
      <w:pPr>
        <w:pStyle w:val="Title3LevelTitre3Niveau"/>
        <w:tabs>
          <w:tab w:val="clear" w:pos="1152"/>
          <w:tab w:val="num" w:pos="1170"/>
        </w:tabs>
        <w:spacing w:before="0"/>
        <w:ind w:left="1166"/>
        <w:rPr>
          <w:rFonts w:cs="Times New Roman"/>
          <w:lang w:val="fr-CA"/>
        </w:rPr>
      </w:pPr>
      <w:r w:rsidRPr="002C53FC">
        <w:rPr>
          <w:rFonts w:cs="Times New Roman"/>
          <w:lang w:val="fr-CA"/>
        </w:rPr>
        <w:t>Portée du dossier dans le cadre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p>
    <w:p w14:paraId="06B6538D" w14:textId="77777777" w:rsidR="002C65EF" w:rsidRPr="002C53FC" w:rsidRDefault="002C65EF" w:rsidP="002C65EF">
      <w:pPr>
        <w:pStyle w:val="ParaNoNdepar-AltN"/>
        <w:spacing w:before="0"/>
        <w:rPr>
          <w:rFonts w:cs="Times New Roman"/>
          <w:lang w:val="fr-CA"/>
        </w:rPr>
      </w:pPr>
      <w:r w:rsidRPr="002C53FC">
        <w:rPr>
          <w:rFonts w:cs="Times New Roman"/>
          <w:lang w:val="fr-CA"/>
        </w:rPr>
        <w:t>À l</w:t>
      </w:r>
      <w:r>
        <w:rPr>
          <w:rFonts w:cs="Times New Roman"/>
          <w:lang w:val="fr-CA"/>
        </w:rPr>
        <w:t>’</w:t>
      </w:r>
      <w:r w:rsidRPr="002C53FC">
        <w:rPr>
          <w:rFonts w:cs="Times New Roman"/>
          <w:lang w:val="fr-CA"/>
        </w:rPr>
        <w:t>instar de la Cour d</w:t>
      </w:r>
      <w:r>
        <w:rPr>
          <w:rFonts w:cs="Times New Roman"/>
          <w:lang w:val="fr-CA"/>
        </w:rPr>
        <w:t>’</w:t>
      </w:r>
      <w:r w:rsidRPr="002C53FC">
        <w:rPr>
          <w:rFonts w:cs="Times New Roman"/>
          <w:lang w:val="fr-CA"/>
        </w:rPr>
        <w:t>appel, l</w:t>
      </w:r>
      <w:r>
        <w:rPr>
          <w:rFonts w:cs="Times New Roman"/>
          <w:lang w:val="fr-CA"/>
        </w:rPr>
        <w:t>’</w:t>
      </w:r>
      <w:r w:rsidRPr="002C53FC">
        <w:rPr>
          <w:rFonts w:cs="Times New Roman"/>
          <w:lang w:val="fr-CA"/>
        </w:rPr>
        <w:t>Association invoque la règle voulant que le dossier relatif au contrôle judiciaire soit normalement constitué de tout élément de preuve dont disposait le décideur, sous réserve de quelques exceptions restreintes susceptibles d</w:t>
      </w:r>
      <w:r>
        <w:rPr>
          <w:rFonts w:cs="Times New Roman"/>
          <w:lang w:val="fr-CA"/>
        </w:rPr>
        <w:t>’</w:t>
      </w:r>
      <w:r w:rsidRPr="002C53FC">
        <w:rPr>
          <w:rFonts w:cs="Times New Roman"/>
          <w:lang w:val="fr-CA"/>
        </w:rPr>
        <w:t>ajouter ou de retrancher certains éléments du dossier. Selon l</w:t>
      </w:r>
      <w:r>
        <w:rPr>
          <w:rFonts w:cs="Times New Roman"/>
          <w:lang w:val="fr-CA"/>
        </w:rPr>
        <w:t>’</w:t>
      </w:r>
      <w:r w:rsidRPr="002C53FC">
        <w:rPr>
          <w:rFonts w:cs="Times New Roman"/>
          <w:lang w:val="fr-CA"/>
        </w:rPr>
        <w:t>Association, dans la mesure où le mémoire a été déposé auprès du Cabinet et où celui</w:t>
      </w:r>
      <w:r>
        <w:rPr>
          <w:rFonts w:cs="Times New Roman"/>
          <w:lang w:val="fr-CA"/>
        </w:rPr>
        <w:noBreakHyphen/>
      </w:r>
      <w:r w:rsidRPr="002C53FC">
        <w:rPr>
          <w:rFonts w:cs="Times New Roman"/>
          <w:lang w:val="fr-CA"/>
        </w:rPr>
        <w:t>ci a appuyé la résolution d</w:t>
      </w:r>
      <w:r>
        <w:rPr>
          <w:rFonts w:cs="Times New Roman"/>
          <w:lang w:val="fr-CA"/>
        </w:rPr>
        <w:t>’</w:t>
      </w:r>
      <w:r w:rsidRPr="002C53FC">
        <w:rPr>
          <w:rFonts w:cs="Times New Roman"/>
          <w:lang w:val="fr-CA"/>
        </w:rPr>
        <w:t>abord présentée par le procureur général, puis adoptée par l</w:t>
      </w:r>
      <w:r>
        <w:rPr>
          <w:rFonts w:cs="Times New Roman"/>
          <w:lang w:val="fr-CA"/>
        </w:rPr>
        <w:t>’</w:t>
      </w:r>
      <w:r w:rsidRPr="002C53FC">
        <w:rPr>
          <w:rFonts w:cs="Times New Roman"/>
          <w:lang w:val="fr-CA"/>
        </w:rPr>
        <w:t>Assemblée législative, ce mémoire faisait partie de la preuve portée à la connaissance du décideur, si bien qu</w:t>
      </w:r>
      <w:r>
        <w:rPr>
          <w:rFonts w:cs="Times New Roman"/>
          <w:lang w:val="fr-CA"/>
        </w:rPr>
        <w:t>’</w:t>
      </w:r>
      <w:r w:rsidRPr="002C53FC">
        <w:rPr>
          <w:rFonts w:cs="Times New Roman"/>
          <w:lang w:val="fr-CA"/>
        </w:rPr>
        <w:t>il est pertinent aux fins du contrôle judiciaire. L</w:t>
      </w:r>
      <w:r>
        <w:rPr>
          <w:rFonts w:cs="Times New Roman"/>
          <w:lang w:val="fr-CA"/>
        </w:rPr>
        <w:t>’</w:t>
      </w:r>
      <w:r w:rsidRPr="002C53FC">
        <w:rPr>
          <w:rFonts w:cs="Times New Roman"/>
          <w:lang w:val="fr-CA"/>
        </w:rPr>
        <w:t>Association soutient que le mémoire doit donc faire partie du dossier constitué en vue du contrôle judiciaire.</w:t>
      </w:r>
    </w:p>
    <w:p w14:paraId="1BAFF6E8" w14:textId="77777777" w:rsidR="002C65EF" w:rsidRPr="002C53FC" w:rsidRDefault="002C65EF" w:rsidP="002C65EF">
      <w:pPr>
        <w:pStyle w:val="ParaNoNdepar-AltN"/>
        <w:spacing w:before="0"/>
        <w:rPr>
          <w:rFonts w:cs="Times New Roman"/>
          <w:lang w:val="fr-CA"/>
        </w:rPr>
      </w:pPr>
      <w:r w:rsidRPr="002C53FC">
        <w:rPr>
          <w:rFonts w:cs="Times New Roman"/>
          <w:lang w:val="fr-CA"/>
        </w:rPr>
        <w:t>Le procureur général soutient que c</w:t>
      </w:r>
      <w:r>
        <w:rPr>
          <w:rFonts w:cs="Times New Roman"/>
          <w:lang w:val="fr-CA"/>
        </w:rPr>
        <w:t>’</w:t>
      </w:r>
      <w:r w:rsidRPr="002C53FC">
        <w:rPr>
          <w:rFonts w:cs="Times New Roman"/>
          <w:lang w:val="fr-CA"/>
        </w:rPr>
        <w:t>est l</w:t>
      </w:r>
      <w:r>
        <w:rPr>
          <w:rFonts w:cs="Times New Roman"/>
          <w:lang w:val="fr-CA"/>
        </w:rPr>
        <w:t>’</w:t>
      </w:r>
      <w:r w:rsidRPr="002C53FC">
        <w:rPr>
          <w:rFonts w:cs="Times New Roman"/>
          <w:lang w:val="fr-CA"/>
        </w:rPr>
        <w:t>Assemblée législative qui a été le décideur en l</w:t>
      </w:r>
      <w:r>
        <w:rPr>
          <w:rFonts w:cs="Times New Roman"/>
          <w:lang w:val="fr-CA"/>
        </w:rPr>
        <w:t>’</w:t>
      </w:r>
      <w:r w:rsidRPr="002C53FC">
        <w:rPr>
          <w:rFonts w:cs="Times New Roman"/>
          <w:lang w:val="fr-CA"/>
        </w:rPr>
        <w:t>espèce, et non le Cabinet, si bien que le mémoire à ce dernier n</w:t>
      </w:r>
      <w:r>
        <w:rPr>
          <w:rFonts w:cs="Times New Roman"/>
          <w:lang w:val="fr-CA"/>
        </w:rPr>
        <w:t>’</w:t>
      </w:r>
      <w:r w:rsidRPr="002C53FC">
        <w:rPr>
          <w:rFonts w:cs="Times New Roman"/>
          <w:lang w:val="fr-CA"/>
        </w:rPr>
        <w:t>était pas devant le décideur et ne devrait donc pas faire partie du dossier. De manière plus fondamentale, le procureur général rejette l</w:t>
      </w:r>
      <w:r>
        <w:rPr>
          <w:rFonts w:cs="Times New Roman"/>
          <w:lang w:val="fr-CA"/>
        </w:rPr>
        <w:t>’</w:t>
      </w:r>
      <w:r w:rsidRPr="002C53FC">
        <w:rPr>
          <w:rFonts w:cs="Times New Roman"/>
          <w:lang w:val="fr-CA"/>
        </w:rPr>
        <w:t xml:space="preserve">argument selon lequel la notion du dossier </w:t>
      </w:r>
      <w:r w:rsidRPr="002C53FC">
        <w:rPr>
          <w:rFonts w:cs="Times New Roman"/>
          <w:lang w:val="fr-CA"/>
        </w:rPr>
        <w:lastRenderedPageBreak/>
        <w:t>à présenter en contrôle judiciaire, une notion de droit administratif, s</w:t>
      </w:r>
      <w:r>
        <w:rPr>
          <w:rFonts w:cs="Times New Roman"/>
          <w:lang w:val="fr-CA"/>
        </w:rPr>
        <w:t>’</w:t>
      </w:r>
      <w:r w:rsidRPr="002C53FC">
        <w:rPr>
          <w:rFonts w:cs="Times New Roman"/>
          <w:lang w:val="fr-CA"/>
        </w:rPr>
        <w:t>applique dans le présent contexte.</w:t>
      </w:r>
    </w:p>
    <w:p w14:paraId="489FDBFA" w14:textId="77777777" w:rsidR="002C65EF" w:rsidRPr="002C53FC" w:rsidRDefault="002C65EF" w:rsidP="002C65EF">
      <w:pPr>
        <w:pStyle w:val="ParaNoNdepar-AltN"/>
        <w:spacing w:before="0"/>
        <w:rPr>
          <w:rFonts w:cs="Times New Roman"/>
          <w:lang w:val="fr-CA"/>
        </w:rPr>
      </w:pPr>
      <w:r w:rsidRPr="002C53FC">
        <w:rPr>
          <w:rFonts w:cs="Times New Roman"/>
          <w:lang w:val="fr-CA"/>
        </w:rPr>
        <w:t>Pour ce qui est de savoir qui, officiellement, a agi comme décideur en l</w:t>
      </w:r>
      <w:r>
        <w:rPr>
          <w:rFonts w:cs="Times New Roman"/>
          <w:lang w:val="fr-CA"/>
        </w:rPr>
        <w:t>’</w:t>
      </w:r>
      <w:r w:rsidRPr="002C53FC">
        <w:rPr>
          <w:rFonts w:cs="Times New Roman"/>
          <w:lang w:val="fr-CA"/>
        </w:rPr>
        <w:t xml:space="preserve">espèce, ni le </w:t>
      </w:r>
      <w:r w:rsidRPr="002C53FC">
        <w:rPr>
          <w:rFonts w:cs="Times New Roman"/>
          <w:i/>
          <w:lang w:val="fr-CA"/>
        </w:rPr>
        <w:t xml:space="preserve">Renvoi relatif aux juges de la Cour provinciale </w:t>
      </w:r>
      <w:r w:rsidRPr="002C53FC">
        <w:rPr>
          <w:rFonts w:cs="Times New Roman"/>
          <w:lang w:val="fr-CA"/>
        </w:rPr>
        <w:t>ni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ne prévoient qu</w:t>
      </w:r>
      <w:r>
        <w:rPr>
          <w:rFonts w:cs="Times New Roman"/>
          <w:lang w:val="fr-CA"/>
        </w:rPr>
        <w:t>’</w:t>
      </w:r>
      <w:r w:rsidRPr="002C53FC">
        <w:rPr>
          <w:rFonts w:cs="Times New Roman"/>
          <w:lang w:val="fr-CA"/>
        </w:rPr>
        <w:t>il incombe à un organe plutôt qu</w:t>
      </w:r>
      <w:r>
        <w:rPr>
          <w:rFonts w:cs="Times New Roman"/>
          <w:lang w:val="fr-CA"/>
        </w:rPr>
        <w:t>’</w:t>
      </w:r>
      <w:r w:rsidRPr="002C53FC">
        <w:rPr>
          <w:rFonts w:cs="Times New Roman"/>
          <w:lang w:val="fr-CA"/>
        </w:rPr>
        <w:t>à un autre de décider de la réponse à donner aux recommandations d</w:t>
      </w:r>
      <w:r>
        <w:rPr>
          <w:rFonts w:cs="Times New Roman"/>
          <w:lang w:val="fr-CA"/>
        </w:rPr>
        <w:t>’</w:t>
      </w:r>
      <w:r w:rsidRPr="002C53FC">
        <w:rPr>
          <w:rFonts w:cs="Times New Roman"/>
          <w:lang w:val="fr-CA"/>
        </w:rPr>
        <w:t>une commission. Dans certains cas, il peut être évident qu</w:t>
      </w:r>
      <w:r>
        <w:rPr>
          <w:rFonts w:cs="Times New Roman"/>
          <w:lang w:val="fr-CA"/>
        </w:rPr>
        <w:t>’</w:t>
      </w:r>
      <w:r w:rsidRPr="002C53FC">
        <w:rPr>
          <w:rFonts w:cs="Times New Roman"/>
          <w:lang w:val="fr-CA"/>
        </w:rPr>
        <w:t>un seul décideur est intervenu. Cependant, dans un contexte comme celui de la Colombie</w:t>
      </w:r>
      <w:r>
        <w:rPr>
          <w:rFonts w:cs="Times New Roman"/>
          <w:lang w:val="fr-CA"/>
        </w:rPr>
        <w:noBreakHyphen/>
      </w:r>
      <w:r w:rsidRPr="002C53FC">
        <w:rPr>
          <w:rFonts w:cs="Times New Roman"/>
          <w:lang w:val="fr-CA"/>
        </w:rPr>
        <w:t>Britannique, où l</w:t>
      </w:r>
      <w:r>
        <w:rPr>
          <w:rFonts w:cs="Times New Roman"/>
          <w:lang w:val="fr-CA"/>
        </w:rPr>
        <w:t>’</w:t>
      </w:r>
      <w:r w:rsidRPr="002C53FC">
        <w:rPr>
          <w:rFonts w:cs="Times New Roman"/>
          <w:lang w:val="fr-CA"/>
        </w:rPr>
        <w:t>exécutif aussi bien que l</w:t>
      </w:r>
      <w:r>
        <w:rPr>
          <w:rFonts w:cs="Times New Roman"/>
          <w:lang w:val="fr-CA"/>
        </w:rPr>
        <w:t>’</w:t>
      </w:r>
      <w:r w:rsidRPr="002C53FC">
        <w:rPr>
          <w:rFonts w:cs="Times New Roman"/>
          <w:lang w:val="fr-CA"/>
        </w:rPr>
        <w:t>Assemblée législative jouent un rôle majeur, il serait artificiel de se concentrer uniquement sur la participation de cette dernière en faisant abstraction de celle de l</w:t>
      </w:r>
      <w:r>
        <w:rPr>
          <w:rFonts w:cs="Times New Roman"/>
          <w:lang w:val="fr-CA"/>
        </w:rPr>
        <w:t>’</w:t>
      </w:r>
      <w:r w:rsidRPr="002C53FC">
        <w:rPr>
          <w:rFonts w:cs="Times New Roman"/>
          <w:lang w:val="fr-CA"/>
        </w:rPr>
        <w:t>exécutif. D</w:t>
      </w:r>
      <w:r>
        <w:rPr>
          <w:rFonts w:cs="Times New Roman"/>
          <w:lang w:val="fr-CA"/>
        </w:rPr>
        <w:t>’</w:t>
      </w:r>
      <w:r w:rsidRPr="002C53FC">
        <w:rPr>
          <w:rFonts w:cs="Times New Roman"/>
          <w:lang w:val="fr-CA"/>
        </w:rPr>
        <w:t>ailleurs, en l</w:t>
      </w:r>
      <w:r>
        <w:rPr>
          <w:rFonts w:cs="Times New Roman"/>
          <w:lang w:val="fr-CA"/>
        </w:rPr>
        <w:t>’</w:t>
      </w:r>
      <w:r w:rsidRPr="002C53FC">
        <w:rPr>
          <w:rFonts w:cs="Times New Roman"/>
          <w:lang w:val="fr-CA"/>
        </w:rPr>
        <w:t>espèce, la justification qu</w:t>
      </w:r>
      <w:r>
        <w:rPr>
          <w:rFonts w:cs="Times New Roman"/>
          <w:lang w:val="fr-CA"/>
        </w:rPr>
        <w:t>’</w:t>
      </w:r>
      <w:r w:rsidRPr="002C53FC">
        <w:rPr>
          <w:rFonts w:cs="Times New Roman"/>
          <w:lang w:val="fr-CA"/>
        </w:rPr>
        <w:t>avait proposée celui</w:t>
      </w:r>
      <w:r>
        <w:rPr>
          <w:rFonts w:cs="Times New Roman"/>
          <w:lang w:val="fr-CA"/>
        </w:rPr>
        <w:noBreakHyphen/>
      </w:r>
      <w:r w:rsidRPr="002C53FC">
        <w:rPr>
          <w:rFonts w:cs="Times New Roman"/>
          <w:lang w:val="fr-CA"/>
        </w:rPr>
        <w:t>ci pour s</w:t>
      </w:r>
      <w:r>
        <w:rPr>
          <w:rFonts w:cs="Times New Roman"/>
          <w:lang w:val="fr-CA"/>
        </w:rPr>
        <w:t>’</w:t>
      </w:r>
      <w:r w:rsidRPr="002C53FC">
        <w:rPr>
          <w:rFonts w:cs="Times New Roman"/>
          <w:lang w:val="fr-CA"/>
        </w:rPr>
        <w:t>écarter des recommandations de la commission fut entérinée au moyen d</w:t>
      </w:r>
      <w:r>
        <w:rPr>
          <w:rFonts w:cs="Times New Roman"/>
          <w:lang w:val="fr-CA"/>
        </w:rPr>
        <w:t>’</w:t>
      </w:r>
      <w:r w:rsidRPr="002C53FC">
        <w:rPr>
          <w:rFonts w:cs="Times New Roman"/>
          <w:lang w:val="fr-CA"/>
        </w:rPr>
        <w:t>un renvoi dans une résolution adoptée par l</w:t>
      </w:r>
      <w:r>
        <w:rPr>
          <w:rFonts w:cs="Times New Roman"/>
          <w:lang w:val="fr-CA"/>
        </w:rPr>
        <w:t>’</w:t>
      </w:r>
      <w:r w:rsidRPr="002C53FC">
        <w:rPr>
          <w:rFonts w:cs="Times New Roman"/>
          <w:lang w:val="fr-CA"/>
        </w:rPr>
        <w:t>Assemblée législative.</w:t>
      </w:r>
    </w:p>
    <w:p w14:paraId="37C6DA6A"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Plus important encore, à mon sens, le </w:t>
      </w:r>
      <w:r w:rsidRPr="002C53FC">
        <w:rPr>
          <w:rFonts w:cs="Times New Roman"/>
          <w:i/>
          <w:lang w:val="fr-CA"/>
        </w:rPr>
        <w:t xml:space="preserve">Renvoi relatif aux juges de la Cour provinciale </w:t>
      </w:r>
      <w:r w:rsidRPr="002C53FC">
        <w:rPr>
          <w:rFonts w:cs="Times New Roman"/>
          <w:lang w:val="fr-CA"/>
        </w:rPr>
        <w:t>et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définissent une forme unique de contrôle, qui se distingue du contrôle judiciaire au sens où on l</w:t>
      </w:r>
      <w:r>
        <w:rPr>
          <w:rFonts w:cs="Times New Roman"/>
          <w:lang w:val="fr-CA"/>
        </w:rPr>
        <w:t>’</w:t>
      </w:r>
      <w:r w:rsidRPr="002C53FC">
        <w:rPr>
          <w:rFonts w:cs="Times New Roman"/>
          <w:lang w:val="fr-CA"/>
        </w:rPr>
        <w:t xml:space="preserve">entend normalement en droit administratif. Contrairement au contrôle judiciaire habituel, celui de type </w:t>
      </w:r>
      <w:r w:rsidRPr="002C53FC">
        <w:rPr>
          <w:rFonts w:cs="Times New Roman"/>
          <w:i/>
          <w:lang w:val="fr-CA"/>
        </w:rPr>
        <w:t>Bodner</w:t>
      </w:r>
      <w:r w:rsidRPr="002C53FC">
        <w:rPr>
          <w:rFonts w:cs="Times New Roman"/>
          <w:lang w:val="fr-CA"/>
        </w:rPr>
        <w:t xml:space="preserve"> peut être mené même lorsque le décideur est la législature (ou un de ses éléments)</w:t>
      </w:r>
      <w:r>
        <w:rPr>
          <w:rFonts w:cs="Times New Roman"/>
          <w:lang w:val="fr-CA"/>
        </w:rPr>
        <w:t> :</w:t>
      </w:r>
      <w:r w:rsidRPr="002C53FC">
        <w:rPr>
          <w:rFonts w:cs="Times New Roman"/>
          <w:lang w:val="fr-CA"/>
        </w:rPr>
        <w:t xml:space="preserve"> voir le </w:t>
      </w:r>
      <w:r w:rsidRPr="002C53FC">
        <w:rPr>
          <w:rFonts w:cs="Times New Roman"/>
          <w:i/>
          <w:iCs/>
          <w:lang w:val="fr-CA"/>
        </w:rPr>
        <w:t>Renvoi relatif au Régime d</w:t>
      </w:r>
      <w:r>
        <w:rPr>
          <w:rFonts w:cs="Times New Roman"/>
          <w:i/>
          <w:iCs/>
          <w:lang w:val="fr-CA"/>
        </w:rPr>
        <w:t>’</w:t>
      </w:r>
      <w:r w:rsidRPr="002C53FC">
        <w:rPr>
          <w:rFonts w:cs="Times New Roman"/>
          <w:i/>
          <w:iCs/>
          <w:lang w:val="fr-CA"/>
        </w:rPr>
        <w:t>assistance publique du Canada (C.</w:t>
      </w:r>
      <w:r>
        <w:rPr>
          <w:rFonts w:cs="Times New Roman"/>
          <w:i/>
          <w:iCs/>
          <w:lang w:val="fr-CA"/>
        </w:rPr>
        <w:noBreakHyphen/>
      </w:r>
      <w:r w:rsidRPr="002C53FC">
        <w:rPr>
          <w:rFonts w:cs="Times New Roman"/>
          <w:i/>
          <w:iCs/>
          <w:lang w:val="fr-CA"/>
        </w:rPr>
        <w:t>B.)</w:t>
      </w:r>
      <w:r w:rsidRPr="002C53FC">
        <w:rPr>
          <w:rFonts w:cs="Times New Roman"/>
          <w:iCs/>
          <w:lang w:val="fr-CA"/>
        </w:rPr>
        <w:t>,</w:t>
      </w:r>
      <w:r w:rsidRPr="002C53FC">
        <w:rPr>
          <w:rFonts w:cs="Times New Roman"/>
          <w:i/>
          <w:iCs/>
          <w:lang w:val="fr-CA"/>
        </w:rPr>
        <w:t xml:space="preserve"> </w:t>
      </w:r>
      <w:r w:rsidRPr="002C53FC">
        <w:rPr>
          <w:rFonts w:cs="Times New Roman"/>
          <w:iCs/>
          <w:lang w:val="fr-CA"/>
        </w:rPr>
        <w:t>[1991] 2 R.C.S</w:t>
      </w:r>
      <w:r>
        <w:rPr>
          <w:rFonts w:cs="Times New Roman"/>
          <w:iCs/>
          <w:lang w:val="fr-CA"/>
        </w:rPr>
        <w:t>.</w:t>
      </w:r>
      <w:r w:rsidRPr="002C53FC">
        <w:rPr>
          <w:rFonts w:cs="Times New Roman"/>
          <w:iCs/>
          <w:lang w:val="fr-CA"/>
        </w:rPr>
        <w:t xml:space="preserve"> 525, </w:t>
      </w:r>
      <w:r>
        <w:rPr>
          <w:rFonts w:cs="Times New Roman"/>
          <w:iCs/>
          <w:lang w:val="fr-CA"/>
        </w:rPr>
        <w:t>p. </w:t>
      </w:r>
      <w:r w:rsidRPr="002C53FC">
        <w:rPr>
          <w:rFonts w:cs="Times New Roman"/>
          <w:iCs/>
          <w:lang w:val="fr-CA"/>
        </w:rPr>
        <w:t xml:space="preserve">558; </w:t>
      </w:r>
      <w:r w:rsidRPr="002C53FC">
        <w:rPr>
          <w:rFonts w:cs="Times New Roman"/>
          <w:i/>
          <w:iCs/>
          <w:lang w:val="fr-CA"/>
        </w:rPr>
        <w:t>Wells c. Terre</w:t>
      </w:r>
      <w:r>
        <w:rPr>
          <w:rFonts w:cs="Times New Roman"/>
          <w:i/>
          <w:iCs/>
          <w:lang w:val="fr-CA"/>
        </w:rPr>
        <w:noBreakHyphen/>
      </w:r>
      <w:r w:rsidRPr="002C53FC">
        <w:rPr>
          <w:rFonts w:cs="Times New Roman"/>
          <w:i/>
          <w:iCs/>
          <w:lang w:val="fr-CA"/>
        </w:rPr>
        <w:t>Neuve</w:t>
      </w:r>
      <w:r w:rsidRPr="002C53FC">
        <w:rPr>
          <w:rFonts w:cs="Times New Roman"/>
          <w:iCs/>
          <w:lang w:val="fr-CA"/>
        </w:rPr>
        <w:t>, [1999] 3 R.C.S. 199</w:t>
      </w:r>
      <w:r>
        <w:rPr>
          <w:rFonts w:cs="Times New Roman"/>
          <w:iCs/>
          <w:lang w:val="fr-CA"/>
        </w:rPr>
        <w:t>, par.</w:t>
      </w:r>
      <w:r w:rsidRPr="002C53FC">
        <w:rPr>
          <w:rFonts w:cs="Times New Roman"/>
          <w:iCs/>
          <w:lang w:val="fr-CA"/>
        </w:rPr>
        <w:t> 59.</w:t>
      </w:r>
      <w:r w:rsidRPr="002C53FC">
        <w:rPr>
          <w:rFonts w:eastAsia="Times New Roman" w:cs="Times New Roman"/>
          <w:szCs w:val="24"/>
          <w:lang w:val="fr-CA" w:eastAsia="en-CA"/>
        </w:rPr>
        <w:t xml:space="preserve"> En outre, l</w:t>
      </w:r>
      <w:r w:rsidRPr="002C53FC">
        <w:rPr>
          <w:rFonts w:cs="Times New Roman"/>
          <w:iCs/>
          <w:lang w:val="fr-CA"/>
        </w:rPr>
        <w:t xml:space="preserve">es motifs donnant ouverture à un contrôle de type </w:t>
      </w:r>
      <w:r w:rsidRPr="002C53FC">
        <w:rPr>
          <w:rFonts w:cs="Times New Roman"/>
          <w:i/>
          <w:iCs/>
          <w:lang w:val="fr-CA"/>
        </w:rPr>
        <w:t>Bodner</w:t>
      </w:r>
      <w:r w:rsidRPr="002C53FC">
        <w:rPr>
          <w:rFonts w:cs="Times New Roman"/>
          <w:iCs/>
          <w:lang w:val="fr-CA"/>
        </w:rPr>
        <w:t xml:space="preserve"> sont plus limités que ceux qui peuvent donner </w:t>
      </w:r>
      <w:r w:rsidRPr="002C53FC">
        <w:rPr>
          <w:rFonts w:cs="Times New Roman"/>
          <w:iCs/>
          <w:lang w:val="fr-CA"/>
        </w:rPr>
        <w:lastRenderedPageBreak/>
        <w:t>ouverture à un contrôle judiciaire habituel. Ainsi, dans le premier cas, les motifs sont axés sur la légitimité et sur la question du caractère suffisant des raisons invoquées par un gouvernement pour justifier sa décision de s</w:t>
      </w:r>
      <w:r>
        <w:rPr>
          <w:rFonts w:cs="Times New Roman"/>
          <w:iCs/>
          <w:lang w:val="fr-CA"/>
        </w:rPr>
        <w:t>’</w:t>
      </w:r>
      <w:r w:rsidRPr="002C53FC">
        <w:rPr>
          <w:rFonts w:cs="Times New Roman"/>
          <w:iCs/>
          <w:lang w:val="fr-CA"/>
        </w:rPr>
        <w:t>écarter des recommandations d</w:t>
      </w:r>
      <w:r>
        <w:rPr>
          <w:rFonts w:cs="Times New Roman"/>
          <w:iCs/>
          <w:lang w:val="fr-CA"/>
        </w:rPr>
        <w:t>’</w:t>
      </w:r>
      <w:r w:rsidRPr="002C53FC">
        <w:rPr>
          <w:rFonts w:cs="Times New Roman"/>
          <w:iCs/>
          <w:lang w:val="fr-CA"/>
        </w:rPr>
        <w:t>une commission, de même que sur la question de savoir si le gouvernement a plus généralement respecté le mécanisme d</w:t>
      </w:r>
      <w:r>
        <w:rPr>
          <w:rFonts w:cs="Times New Roman"/>
          <w:iCs/>
          <w:lang w:val="fr-CA"/>
        </w:rPr>
        <w:t>’</w:t>
      </w:r>
      <w:r w:rsidRPr="002C53FC">
        <w:rPr>
          <w:rFonts w:cs="Times New Roman"/>
          <w:iCs/>
          <w:lang w:val="fr-CA"/>
        </w:rPr>
        <w:t>examen par une commission et si les objectifs du recours à ce mécanisme ont été atteints.</w:t>
      </w:r>
    </w:p>
    <w:p w14:paraId="62B5F11E" w14:textId="16737417" w:rsidR="002C65EF" w:rsidRPr="002C53FC" w:rsidRDefault="002C65EF" w:rsidP="002C65EF">
      <w:pPr>
        <w:pStyle w:val="ParaNoNdepar-AltN"/>
        <w:spacing w:before="0"/>
        <w:rPr>
          <w:rFonts w:cs="Times New Roman"/>
          <w:lang w:val="fr-CA"/>
        </w:rPr>
      </w:pPr>
      <w:r w:rsidRPr="002C53FC">
        <w:rPr>
          <w:rFonts w:cs="Times New Roman"/>
          <w:lang w:val="fr-CA"/>
        </w:rPr>
        <w:t>Habituellement, en contexte de contrôle judiciaire, le dossier est constitué des éléments de preuve dont disposait le décideur</w:t>
      </w:r>
      <w:r>
        <w:rPr>
          <w:rFonts w:cs="Times New Roman"/>
          <w:lang w:val="fr-CA"/>
        </w:rPr>
        <w:t> :</w:t>
      </w:r>
      <w:r w:rsidRPr="002C53FC">
        <w:rPr>
          <w:rFonts w:cs="Times New Roman"/>
          <w:lang w:val="fr-CA"/>
        </w:rPr>
        <w:t xml:space="preserve"> voir </w:t>
      </w:r>
      <w:r w:rsidRPr="002C53FC">
        <w:rPr>
          <w:rFonts w:cs="Times New Roman"/>
          <w:i/>
          <w:lang w:val="fr-CA"/>
        </w:rPr>
        <w:t>Delios c. Canada (Procureur général)</w:t>
      </w:r>
      <w:r w:rsidRPr="002C53FC">
        <w:rPr>
          <w:rFonts w:cs="Times New Roman"/>
          <w:lang w:val="fr-CA"/>
        </w:rPr>
        <w:t>, 2015 CAF 117, 100 Admin</w:t>
      </w:r>
      <w:r w:rsidR="008B587B">
        <w:rPr>
          <w:rFonts w:cs="Times New Roman"/>
          <w:lang w:val="fr-CA"/>
        </w:rPr>
        <w:t>.</w:t>
      </w:r>
      <w:r w:rsidRPr="002C53FC">
        <w:rPr>
          <w:rFonts w:cs="Times New Roman"/>
          <w:lang w:val="fr-CA"/>
        </w:rPr>
        <w:t xml:space="preserve"> </w:t>
      </w:r>
      <w:r w:rsidRPr="008B587B">
        <w:rPr>
          <w:rFonts w:cs="Times New Roman"/>
        </w:rPr>
        <w:t xml:space="preserve">L.R. (5th) 301, par. 42; </w:t>
      </w:r>
      <w:r w:rsidRPr="008B587B">
        <w:rPr>
          <w:rFonts w:cs="Times New Roman"/>
          <w:i/>
        </w:rPr>
        <w:t>Sobeys West Inc. c. College of Pharmacists of British Columbia</w:t>
      </w:r>
      <w:r w:rsidRPr="008B587B">
        <w:rPr>
          <w:rFonts w:cs="Times New Roman"/>
        </w:rPr>
        <w:t xml:space="preserve">, 2016 BCCA 41, 80 B.C.L.R. (5th) 243, par. 52. </w:t>
      </w:r>
      <w:r w:rsidRPr="002C53FC">
        <w:rPr>
          <w:rFonts w:cs="Times New Roman"/>
          <w:lang w:val="fr-CA"/>
        </w:rPr>
        <w:t>Cette règle ne saurait toutefois être automatiquement transposée au contexte limité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w:t>
      </w:r>
    </w:p>
    <w:p w14:paraId="78EFF937"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Le dossier relatif à un contrôle de type </w:t>
      </w:r>
      <w:r w:rsidRPr="002C53FC">
        <w:rPr>
          <w:rFonts w:cs="Times New Roman"/>
          <w:i/>
          <w:lang w:val="fr-CA"/>
        </w:rPr>
        <w:t>Bodner</w:t>
      </w:r>
      <w:r w:rsidRPr="002C53FC">
        <w:rPr>
          <w:rFonts w:cs="Times New Roman"/>
          <w:lang w:val="fr-CA"/>
        </w:rPr>
        <w:t xml:space="preserve"> renferme nécessairement les éléments suivants</w:t>
      </w:r>
      <w:r>
        <w:rPr>
          <w:rFonts w:cs="Times New Roman"/>
          <w:lang w:val="fr-CA"/>
        </w:rPr>
        <w:t> :</w:t>
      </w:r>
      <w:r w:rsidRPr="002C53FC">
        <w:rPr>
          <w:rFonts w:cs="Times New Roman"/>
          <w:lang w:val="fr-CA"/>
        </w:rPr>
        <w:t xml:space="preserve"> toute position ayant été exposée devant la commission par le gouvernement, les juges et les autres intervenants; le rapport de la commission, y compris ses recommandations; et la réponse du gouvernement à ces recommandations qui, comme la Cour l</w:t>
      </w:r>
      <w:r>
        <w:rPr>
          <w:rFonts w:cs="Times New Roman"/>
          <w:lang w:val="fr-CA"/>
        </w:rPr>
        <w:t>’</w:t>
      </w:r>
      <w:r w:rsidRPr="002C53FC">
        <w:rPr>
          <w:rFonts w:cs="Times New Roman"/>
          <w:lang w:val="fr-CA"/>
        </w:rPr>
        <w:t xml:space="preserve">a reconnu au </w:t>
      </w:r>
      <w:r>
        <w:rPr>
          <w:rFonts w:cs="Times New Roman"/>
          <w:lang w:val="fr-CA"/>
        </w:rPr>
        <w:t>par. </w:t>
      </w:r>
      <w:r w:rsidRPr="002C53FC">
        <w:rPr>
          <w:rFonts w:cs="Times New Roman"/>
          <w:lang w:val="fr-CA"/>
        </w:rPr>
        <w:t xml:space="preserve">180 du </w:t>
      </w:r>
      <w:r w:rsidRPr="002C53FC">
        <w:rPr>
          <w:rFonts w:cs="Times New Roman"/>
          <w:i/>
          <w:lang w:val="fr-CA"/>
        </w:rPr>
        <w:t>Renvoi relatif aux juges de la Cour provinciale</w:t>
      </w:r>
      <w:r w:rsidRPr="002C53FC">
        <w:rPr>
          <w:rFonts w:cs="Times New Roman"/>
          <w:lang w:val="fr-CA"/>
        </w:rPr>
        <w:t>, peut prendre différentes formes selon l</w:t>
      </w:r>
      <w:r>
        <w:rPr>
          <w:rFonts w:cs="Times New Roman"/>
          <w:lang w:val="fr-CA"/>
        </w:rPr>
        <w:t>’</w:t>
      </w:r>
      <w:r w:rsidRPr="002C53FC">
        <w:rPr>
          <w:rFonts w:cs="Times New Roman"/>
          <w:lang w:val="fr-CA"/>
        </w:rPr>
        <w:t>organe qui est chargé de répondre.</w:t>
      </w:r>
    </w:p>
    <w:p w14:paraId="2938B3B6" w14:textId="1BA42841" w:rsidR="002C65EF" w:rsidRPr="002C53FC" w:rsidRDefault="002C65EF" w:rsidP="002C65EF">
      <w:pPr>
        <w:pStyle w:val="ParaNoNdepar-AltN"/>
        <w:spacing w:before="0"/>
        <w:rPr>
          <w:rFonts w:cs="Times New Roman"/>
          <w:lang w:val="fr-CA"/>
        </w:rPr>
      </w:pPr>
      <w:r w:rsidRPr="002C53FC">
        <w:rPr>
          <w:rFonts w:cs="Times New Roman"/>
          <w:lang w:val="fr-CA"/>
        </w:rPr>
        <w:t>Ainsi que la Cour l</w:t>
      </w:r>
      <w:r>
        <w:rPr>
          <w:rFonts w:cs="Times New Roman"/>
          <w:lang w:val="fr-CA"/>
        </w:rPr>
        <w:t>’</w:t>
      </w:r>
      <w:r w:rsidRPr="002C53FC">
        <w:rPr>
          <w:rFonts w:cs="Times New Roman"/>
          <w:lang w:val="fr-CA"/>
        </w:rPr>
        <w:t>a reconnu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lui</w:t>
      </w:r>
      <w:r>
        <w:rPr>
          <w:rFonts w:cs="Times New Roman"/>
          <w:lang w:val="fr-CA"/>
        </w:rPr>
        <w:noBreakHyphen/>
      </w:r>
      <w:r w:rsidRPr="002C53FC">
        <w:rPr>
          <w:rFonts w:cs="Times New Roman"/>
          <w:lang w:val="fr-CA"/>
        </w:rPr>
        <w:t>même, le dossier peut également inclure certaines formes d</w:t>
      </w:r>
      <w:r>
        <w:rPr>
          <w:rFonts w:cs="Times New Roman"/>
          <w:lang w:val="fr-CA"/>
        </w:rPr>
        <w:t>’</w:t>
      </w:r>
      <w:r w:rsidRPr="002C53FC">
        <w:rPr>
          <w:rFonts w:cs="Times New Roman"/>
          <w:lang w:val="fr-CA"/>
        </w:rPr>
        <w:t>éléments de preuve additionnels présentés par le gouvernement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 xml:space="preserve">27 et 36. En effet, afin de préciser davantage le fondement factuel </w:t>
      </w:r>
      <w:r w:rsidRPr="002C53FC">
        <w:rPr>
          <w:rFonts w:cs="Times New Roman"/>
          <w:lang w:val="fr-CA"/>
        </w:rPr>
        <w:lastRenderedPageBreak/>
        <w:t>de sa réponse, le gouvernement peut être autorisé à « fourni[r], sous forme d</w:t>
      </w:r>
      <w:r>
        <w:rPr>
          <w:rFonts w:cs="Times New Roman"/>
          <w:lang w:val="fr-CA"/>
        </w:rPr>
        <w:t>’</w:t>
      </w:r>
      <w:r w:rsidRPr="002C53FC">
        <w:rPr>
          <w:rFonts w:cs="Times New Roman"/>
          <w:lang w:val="fr-CA"/>
        </w:rPr>
        <w:t>affidavits, des détails sur des données et calculs économiques et actuariels » ainsi que des « affidavits contenant des preuves de la bonne foi et de l</w:t>
      </w:r>
      <w:r>
        <w:rPr>
          <w:rFonts w:cs="Times New Roman"/>
          <w:lang w:val="fr-CA"/>
        </w:rPr>
        <w:t>’</w:t>
      </w:r>
      <w:r w:rsidRPr="002C53FC">
        <w:rPr>
          <w:rFonts w:cs="Times New Roman"/>
          <w:lang w:val="fr-CA"/>
        </w:rPr>
        <w:t>engagement à l</w:t>
      </w:r>
      <w:r>
        <w:rPr>
          <w:rFonts w:cs="Times New Roman"/>
          <w:lang w:val="fr-CA"/>
        </w:rPr>
        <w:t>’</w:t>
      </w:r>
      <w:r w:rsidRPr="002C53FC">
        <w:rPr>
          <w:rFonts w:cs="Times New Roman"/>
          <w:lang w:val="fr-CA"/>
        </w:rPr>
        <w:t>égard du mécanisme, par exemple, des renseignements sur l</w:t>
      </w:r>
      <w:r>
        <w:rPr>
          <w:rFonts w:cs="Times New Roman"/>
          <w:lang w:val="fr-CA"/>
        </w:rPr>
        <w:t>’</w:t>
      </w:r>
      <w:r w:rsidRPr="002C53FC">
        <w:rPr>
          <w:rFonts w:cs="Times New Roman"/>
          <w:lang w:val="fr-CA"/>
        </w:rPr>
        <w:t>étude gouvernementale de l</w:t>
      </w:r>
      <w:r>
        <w:rPr>
          <w:rFonts w:cs="Times New Roman"/>
          <w:lang w:val="fr-CA"/>
        </w:rPr>
        <w:t>’</w:t>
      </w:r>
      <w:r w:rsidRPr="002C53FC">
        <w:rPr>
          <w:rFonts w:cs="Times New Roman"/>
          <w:lang w:val="fr-CA"/>
        </w:rPr>
        <w:t>impact des recommandations de la commission »</w:t>
      </w:r>
      <w:r>
        <w:rPr>
          <w:rFonts w:cs="Times New Roman"/>
          <w:lang w:val="fr-CA"/>
        </w:rPr>
        <w:t> :</w:t>
      </w:r>
      <w:r w:rsidRPr="002C53FC">
        <w:rPr>
          <w:rFonts w:cs="Times New Roman"/>
          <w:lang w:val="fr-CA"/>
        </w:rPr>
        <w:t xml:space="preserve"> </w:t>
      </w:r>
      <w:r>
        <w:rPr>
          <w:rFonts w:cs="Times New Roman"/>
          <w:lang w:val="fr-CA"/>
        </w:rPr>
        <w:t>par. </w:t>
      </w:r>
      <w:r w:rsidR="006852F9">
        <w:rPr>
          <w:rFonts w:cs="Times New Roman"/>
          <w:lang w:val="fr-CA"/>
        </w:rPr>
        <w:t>36; voir aussi</w:t>
      </w:r>
      <w:r w:rsidRPr="002C53FC">
        <w:rPr>
          <w:rFonts w:cs="Times New Roman"/>
          <w:lang w:val="fr-CA"/>
        </w:rPr>
        <w:t xml:space="preserve"> </w:t>
      </w:r>
      <w:r>
        <w:rPr>
          <w:rFonts w:cs="Times New Roman"/>
          <w:lang w:val="fr-CA"/>
        </w:rPr>
        <w:t>par. </w:t>
      </w:r>
      <w:r w:rsidRPr="002C53FC">
        <w:rPr>
          <w:rFonts w:cs="Times New Roman"/>
          <w:lang w:val="fr-CA"/>
        </w:rPr>
        <w:t>63</w:t>
      </w:r>
      <w:r>
        <w:rPr>
          <w:rFonts w:cs="Times New Roman"/>
          <w:lang w:val="fr-CA"/>
        </w:rPr>
        <w:noBreakHyphen/>
      </w:r>
      <w:r w:rsidRPr="002C53FC">
        <w:rPr>
          <w:rFonts w:cs="Times New Roman"/>
          <w:lang w:val="fr-CA"/>
        </w:rPr>
        <w:t>64 et 103. Cependant, le gouvernement ne peut pas se servir d</w:t>
      </w:r>
      <w:r>
        <w:rPr>
          <w:rFonts w:cs="Times New Roman"/>
          <w:lang w:val="fr-CA"/>
        </w:rPr>
        <w:t>’</w:t>
      </w:r>
      <w:r w:rsidRPr="002C53FC">
        <w:rPr>
          <w:rFonts w:cs="Times New Roman"/>
          <w:lang w:val="fr-CA"/>
        </w:rPr>
        <w:t>éléments de preuve additionnels pour « invoquer d</w:t>
      </w:r>
      <w:r>
        <w:rPr>
          <w:rFonts w:cs="Times New Roman"/>
          <w:lang w:val="fr-CA"/>
        </w:rPr>
        <w:t>’</w:t>
      </w:r>
      <w:r w:rsidRPr="002C53FC">
        <w:rPr>
          <w:rFonts w:cs="Times New Roman"/>
          <w:lang w:val="fr-CA"/>
        </w:rPr>
        <w:t>autres motifs que ceux mentionnés dans sa réponse » ou pour corriger d</w:t>
      </w:r>
      <w:r>
        <w:rPr>
          <w:rFonts w:cs="Times New Roman"/>
          <w:lang w:val="fr-CA"/>
        </w:rPr>
        <w:t>’</w:t>
      </w:r>
      <w:r w:rsidRPr="002C53FC">
        <w:rPr>
          <w:rFonts w:cs="Times New Roman"/>
          <w:lang w:val="fr-CA"/>
        </w:rPr>
        <w:t>éventuelles déficiences dans le fondement factuel sur lequel il l</w:t>
      </w:r>
      <w:r>
        <w:rPr>
          <w:rFonts w:cs="Times New Roman"/>
          <w:lang w:val="fr-CA"/>
        </w:rPr>
        <w:t>’</w:t>
      </w:r>
      <w:r w:rsidRPr="002C53FC">
        <w:rPr>
          <w:rFonts w:cs="Times New Roman"/>
          <w:lang w:val="fr-CA"/>
        </w:rPr>
        <w:t>a fait reposer</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27 et 36.</w:t>
      </w:r>
    </w:p>
    <w:p w14:paraId="7F5302FD" w14:textId="77777777" w:rsidR="002C65EF" w:rsidRPr="002C53FC" w:rsidRDefault="002C65EF" w:rsidP="002C65EF">
      <w:pPr>
        <w:pStyle w:val="ParaNoNdepar-AltN"/>
        <w:spacing w:before="0"/>
        <w:rPr>
          <w:rFonts w:cs="Times New Roman"/>
          <w:lang w:val="fr-CA"/>
        </w:rPr>
      </w:pPr>
      <w:r w:rsidRPr="002C53FC">
        <w:rPr>
          <w:rFonts w:cs="Times New Roman"/>
          <w:lang w:val="fr-CA"/>
        </w:rPr>
        <w:t>Même si ce point n</w:t>
      </w:r>
      <w:r>
        <w:rPr>
          <w:rFonts w:cs="Times New Roman"/>
          <w:lang w:val="fr-CA"/>
        </w:rPr>
        <w:t>’</w:t>
      </w:r>
      <w:r w:rsidRPr="002C53FC">
        <w:rPr>
          <w:rFonts w:cs="Times New Roman"/>
          <w:lang w:val="fr-CA"/>
        </w:rPr>
        <w:t>a pas été soulevé expressément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la partie qui sollicite un contrôle du type qui y est décrit — c</w:t>
      </w:r>
      <w:r>
        <w:rPr>
          <w:rFonts w:cs="Times New Roman"/>
          <w:lang w:val="fr-CA"/>
        </w:rPr>
        <w:t>’</w:t>
      </w:r>
      <w:r w:rsidRPr="002C53FC">
        <w:rPr>
          <w:rFonts w:cs="Times New Roman"/>
          <w:lang w:val="fr-CA"/>
        </w:rPr>
        <w:t>est</w:t>
      </w:r>
      <w:r>
        <w:rPr>
          <w:rFonts w:cs="Times New Roman"/>
          <w:lang w:val="fr-CA"/>
        </w:rPr>
        <w:noBreakHyphen/>
      </w:r>
      <w:r w:rsidRPr="002C53FC">
        <w:rPr>
          <w:rFonts w:cs="Times New Roman"/>
          <w:lang w:val="fr-CA"/>
        </w:rPr>
        <w:t>à</w:t>
      </w:r>
      <w:r>
        <w:rPr>
          <w:rFonts w:cs="Times New Roman"/>
          <w:lang w:val="fr-CA"/>
        </w:rPr>
        <w:noBreakHyphen/>
      </w:r>
      <w:r w:rsidRPr="002C53FC">
        <w:rPr>
          <w:rFonts w:cs="Times New Roman"/>
          <w:lang w:val="fr-CA"/>
        </w:rPr>
        <w:t>dire généralement les juges dont la rémunération est en jeu — peut également soumettre certains éléments de preuve additionnels pertinents quant aux questions dont doit décider le tribunal saisi du contrôle. La partie qui sollicite un contrôle peut, par exemple, chercher à présenter des éléments de preuve pour contrer une preuve pertinente présentée par le gouvernement. Elle peut présenter des éléments qui visent à mettre en question le caractère raisonnable du fondement factuel sur lequel s</w:t>
      </w:r>
      <w:r>
        <w:rPr>
          <w:rFonts w:cs="Times New Roman"/>
          <w:lang w:val="fr-CA"/>
        </w:rPr>
        <w:t>’</w:t>
      </w:r>
      <w:r w:rsidRPr="002C53FC">
        <w:rPr>
          <w:rFonts w:cs="Times New Roman"/>
          <w:lang w:val="fr-CA"/>
        </w:rPr>
        <w:t>est appuyé le gouvernement, le manque de participation concrète ou de respect dont ce dernier a fait preuve envers le mécanisme d</w:t>
      </w:r>
      <w:r>
        <w:rPr>
          <w:rFonts w:cs="Times New Roman"/>
          <w:lang w:val="fr-CA"/>
        </w:rPr>
        <w:t>’</w:t>
      </w:r>
      <w:r w:rsidRPr="002C53FC">
        <w:rPr>
          <w:rFonts w:cs="Times New Roman"/>
          <w:lang w:val="fr-CA"/>
        </w:rPr>
        <w:t>examen par une commission, ou encore le fait que la réponse du gouvernement était fondée sur un objectif illégitime ou déguisé. À cette fin, elle peut demander à ce que le gouvernement produise des éléments de preuve en sa possession. Le gouvernement, pour sa part, à condition qu</w:t>
      </w:r>
      <w:r>
        <w:rPr>
          <w:rFonts w:cs="Times New Roman"/>
          <w:lang w:val="fr-CA"/>
        </w:rPr>
        <w:t>’</w:t>
      </w:r>
      <w:r w:rsidRPr="002C53FC">
        <w:rPr>
          <w:rFonts w:cs="Times New Roman"/>
          <w:lang w:val="fr-CA"/>
        </w:rPr>
        <w:t>il respecte la règle interdisant qu</w:t>
      </w:r>
      <w:r>
        <w:rPr>
          <w:rFonts w:cs="Times New Roman"/>
          <w:lang w:val="fr-CA"/>
        </w:rPr>
        <w:t>’</w:t>
      </w:r>
      <w:r w:rsidRPr="002C53FC">
        <w:rPr>
          <w:rFonts w:cs="Times New Roman"/>
          <w:lang w:val="fr-CA"/>
        </w:rPr>
        <w:t xml:space="preserve">il étoffe ses motifs ou leur </w:t>
      </w:r>
      <w:r w:rsidRPr="002C53FC">
        <w:rPr>
          <w:rFonts w:cs="Times New Roman"/>
          <w:lang w:val="fr-CA"/>
        </w:rPr>
        <w:lastRenderedPageBreak/>
        <w:t>fondement factuel, peut répondre au moyen d</w:t>
      </w:r>
      <w:r>
        <w:rPr>
          <w:rFonts w:cs="Times New Roman"/>
          <w:lang w:val="fr-CA"/>
        </w:rPr>
        <w:t>’</w:t>
      </w:r>
      <w:r w:rsidRPr="002C53FC">
        <w:rPr>
          <w:rFonts w:cs="Times New Roman"/>
          <w:lang w:val="fr-CA"/>
        </w:rPr>
        <w:t>éléments de preuve additionnels pour réfuter les allégations formulées par la partie qui sollicite le contrôle.</w:t>
      </w:r>
    </w:p>
    <w:p w14:paraId="2EA694C1" w14:textId="77777777" w:rsidR="002C65EF" w:rsidRPr="002C53FC" w:rsidRDefault="002C65EF" w:rsidP="002C65EF">
      <w:pPr>
        <w:pStyle w:val="Title3LevelTitre3Niveau"/>
        <w:spacing w:before="0"/>
        <w:rPr>
          <w:rFonts w:cs="Times New Roman"/>
          <w:lang w:val="fr-CA"/>
        </w:rPr>
      </w:pPr>
      <w:r w:rsidRPr="002C53FC">
        <w:rPr>
          <w:rFonts w:cs="Times New Roman"/>
          <w:lang w:val="fr-CA"/>
        </w:rPr>
        <w:t>Pertinence de la preuve aux fins d</w:t>
      </w:r>
      <w:r>
        <w:rPr>
          <w:rFonts w:cs="Times New Roman"/>
          <w:lang w:val="fr-CA"/>
        </w:rPr>
        <w:t>’</w:t>
      </w:r>
      <w:r w:rsidRPr="002C53FC">
        <w:rPr>
          <w:rFonts w:cs="Times New Roman"/>
          <w:lang w:val="fr-CA"/>
        </w:rPr>
        <w:t xml:space="preserve">un contrôle de type </w:t>
      </w:r>
      <w:r w:rsidRPr="002C53FC">
        <w:rPr>
          <w:rFonts w:cs="Times New Roman"/>
          <w:i/>
          <w:lang w:val="fr-CA"/>
        </w:rPr>
        <w:t>Bodner</w:t>
      </w:r>
    </w:p>
    <w:p w14:paraId="47A578DE"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Le procureur général soutient que les tribunaux de la province ont eu tort de conclure que le mémoire au Cabinet est pertinent aux fins du contrôle de type </w:t>
      </w:r>
      <w:r w:rsidRPr="002C53FC">
        <w:rPr>
          <w:rFonts w:cs="Times New Roman"/>
          <w:i/>
          <w:lang w:val="fr-CA"/>
        </w:rPr>
        <w:t>Bodner</w:t>
      </w:r>
      <w:r w:rsidRPr="002C53FC">
        <w:rPr>
          <w:rFonts w:cs="Times New Roman"/>
          <w:lang w:val="fr-CA"/>
        </w:rPr>
        <w:t xml:space="preserve"> recherché par l</w:t>
      </w:r>
      <w:r>
        <w:rPr>
          <w:rFonts w:cs="Times New Roman"/>
          <w:lang w:val="fr-CA"/>
        </w:rPr>
        <w:t>’</w:t>
      </w:r>
      <w:r w:rsidRPr="002C53FC">
        <w:rPr>
          <w:rFonts w:cs="Times New Roman"/>
          <w:lang w:val="fr-CA"/>
        </w:rPr>
        <w:t>Association. Les procureurs généraux du Canada et de plusieurs provinces sont intervenus pour présenter des arguments semblables.</w:t>
      </w:r>
    </w:p>
    <w:p w14:paraId="321AC4CD" w14:textId="7C009425" w:rsidR="002C65EF" w:rsidRPr="002C53FC" w:rsidRDefault="002C65EF" w:rsidP="002C65EF">
      <w:pPr>
        <w:pStyle w:val="ParaNoNdepar-AltN"/>
        <w:spacing w:before="0"/>
        <w:rPr>
          <w:rFonts w:cs="Times New Roman"/>
          <w:lang w:val="fr-CA"/>
        </w:rPr>
      </w:pPr>
      <w:r w:rsidRPr="002C53FC">
        <w:rPr>
          <w:rFonts w:cs="Times New Roman"/>
          <w:lang w:val="fr-CA"/>
        </w:rPr>
        <w:t xml:space="preserve">La preuve est pertinente </w:t>
      </w:r>
      <w:r w:rsidR="00E57964" w:rsidRPr="002C53FC">
        <w:rPr>
          <w:rFonts w:cs="Times New Roman"/>
          <w:lang w:val="fr-CA"/>
        </w:rPr>
        <w:t>[</w:t>
      </w:r>
      <w:r w:rsidR="00E57964" w:rsidRPr="002C53FC">
        <w:rPr>
          <w:rFonts w:cs="Times New Roman"/>
          <w:smallCaps/>
          <w:lang w:val="fr-CA"/>
        </w:rPr>
        <w:t>traduction</w:t>
      </w:r>
      <w:r w:rsidR="00E57964" w:rsidRPr="002C53FC">
        <w:rPr>
          <w:rFonts w:cs="Times New Roman"/>
          <w:lang w:val="fr-CA"/>
        </w:rPr>
        <w:t xml:space="preserve">] </w:t>
      </w:r>
      <w:r w:rsidRPr="002C53FC">
        <w:rPr>
          <w:rFonts w:cs="Times New Roman"/>
          <w:lang w:val="fr-CA"/>
        </w:rPr>
        <w:t>« lorsque, selon la logique et l</w:t>
      </w:r>
      <w:r>
        <w:rPr>
          <w:rFonts w:cs="Times New Roman"/>
          <w:lang w:val="fr-CA"/>
        </w:rPr>
        <w:t>’</w:t>
      </w:r>
      <w:r w:rsidRPr="002C53FC">
        <w:rPr>
          <w:rFonts w:cs="Times New Roman"/>
          <w:lang w:val="fr-CA"/>
        </w:rPr>
        <w:t>expérience humaine, elle tend d</w:t>
      </w:r>
      <w:r>
        <w:rPr>
          <w:rFonts w:cs="Times New Roman"/>
          <w:lang w:val="fr-CA"/>
        </w:rPr>
        <w:t>’</w:t>
      </w:r>
      <w:r w:rsidRPr="002C53FC">
        <w:rPr>
          <w:rFonts w:cs="Times New Roman"/>
          <w:lang w:val="fr-CA"/>
        </w:rPr>
        <w:t>une façon quelconque à rendre la thèse qu</w:t>
      </w:r>
      <w:r>
        <w:rPr>
          <w:rFonts w:cs="Times New Roman"/>
          <w:lang w:val="fr-CA"/>
        </w:rPr>
        <w:t>’</w:t>
      </w:r>
      <w:r w:rsidRPr="002C53FC">
        <w:rPr>
          <w:rFonts w:cs="Times New Roman"/>
          <w:lang w:val="fr-CA"/>
        </w:rPr>
        <w:t>elle appuie plus vraisemblable qu</w:t>
      </w:r>
      <w:r>
        <w:rPr>
          <w:rFonts w:cs="Times New Roman"/>
          <w:lang w:val="fr-CA"/>
        </w:rPr>
        <w:t>’</w:t>
      </w:r>
      <w:r w:rsidRPr="002C53FC">
        <w:rPr>
          <w:rFonts w:cs="Times New Roman"/>
          <w:lang w:val="fr-CA"/>
        </w:rPr>
        <w:t>elle ne le paraîtrait sans elle »</w:t>
      </w:r>
      <w:r>
        <w:rPr>
          <w:rFonts w:cs="Times New Roman"/>
          <w:lang w:val="fr-CA"/>
        </w:rPr>
        <w:t> :</w:t>
      </w:r>
      <w:r w:rsidRPr="002C53FC">
        <w:rPr>
          <w:rFonts w:cs="Times New Roman"/>
          <w:lang w:val="fr-CA"/>
        </w:rPr>
        <w:t xml:space="preserve"> </w:t>
      </w:r>
      <w:r w:rsidRPr="002C53FC">
        <w:rPr>
          <w:rFonts w:cs="Times New Roman"/>
          <w:i/>
          <w:lang w:val="fr-CA"/>
        </w:rPr>
        <w:t>R. c. White</w:t>
      </w:r>
      <w:r w:rsidRPr="002C53FC">
        <w:rPr>
          <w:rFonts w:cs="Times New Roman"/>
          <w:lang w:val="fr-CA"/>
        </w:rPr>
        <w:t xml:space="preserve">, 2011 CSC 13, [2011] 1 R.C.S. 433, </w:t>
      </w:r>
      <w:r>
        <w:rPr>
          <w:rFonts w:cs="Times New Roman"/>
          <w:lang w:val="fr-CA"/>
        </w:rPr>
        <w:t>par. </w:t>
      </w:r>
      <w:r w:rsidRPr="002C53FC">
        <w:rPr>
          <w:rFonts w:cs="Times New Roman"/>
          <w:lang w:val="fr-CA"/>
        </w:rPr>
        <w:t xml:space="preserve">36, citant D. M. Paciocco et L. Stuesser, </w:t>
      </w:r>
      <w:r w:rsidRPr="002C53FC">
        <w:rPr>
          <w:rFonts w:cs="Times New Roman"/>
          <w:i/>
          <w:lang w:val="fr-CA"/>
        </w:rPr>
        <w:t>The Law of Evidence</w:t>
      </w:r>
      <w:r w:rsidRPr="002C53FC">
        <w:rPr>
          <w:rFonts w:cs="Times New Roman"/>
          <w:lang w:val="fr-CA"/>
        </w:rPr>
        <w:t xml:space="preserve"> (5</w:t>
      </w:r>
      <w:r w:rsidRPr="002C53FC">
        <w:rPr>
          <w:rFonts w:cs="Times New Roman"/>
          <w:vertAlign w:val="superscript"/>
          <w:lang w:val="fr-CA"/>
        </w:rPr>
        <w:t>e</w:t>
      </w:r>
      <w:r w:rsidRPr="002C53FC">
        <w:rPr>
          <w:rFonts w:cs="Times New Roman"/>
          <w:lang w:val="fr-CA"/>
        </w:rPr>
        <w:t xml:space="preserve"> éd. 2008), </w:t>
      </w:r>
      <w:r>
        <w:rPr>
          <w:rFonts w:cs="Times New Roman"/>
          <w:lang w:val="fr-CA"/>
        </w:rPr>
        <w:t>p. </w:t>
      </w:r>
      <w:r w:rsidRPr="002C53FC">
        <w:rPr>
          <w:rFonts w:cs="Times New Roman"/>
          <w:lang w:val="fr-CA"/>
        </w:rPr>
        <w:t>31. Autrement dit, « un fait est notamment pertinent s</w:t>
      </w:r>
      <w:r>
        <w:rPr>
          <w:rFonts w:cs="Times New Roman"/>
          <w:lang w:val="fr-CA"/>
        </w:rPr>
        <w:t>’</w:t>
      </w:r>
      <w:r w:rsidRPr="002C53FC">
        <w:rPr>
          <w:rFonts w:cs="Times New Roman"/>
          <w:lang w:val="fr-CA"/>
        </w:rPr>
        <w:t>il s</w:t>
      </w:r>
      <w:r>
        <w:rPr>
          <w:rFonts w:cs="Times New Roman"/>
          <w:lang w:val="fr-CA"/>
        </w:rPr>
        <w:t>’</w:t>
      </w:r>
      <w:r w:rsidRPr="002C53FC">
        <w:rPr>
          <w:rFonts w:cs="Times New Roman"/>
          <w:lang w:val="fr-CA"/>
        </w:rPr>
        <w:t>agit d</w:t>
      </w:r>
      <w:r>
        <w:rPr>
          <w:rFonts w:cs="Times New Roman"/>
          <w:lang w:val="fr-CA"/>
        </w:rPr>
        <w:t>’</w:t>
      </w:r>
      <w:r w:rsidRPr="002C53FC">
        <w:rPr>
          <w:rFonts w:cs="Times New Roman"/>
          <w:lang w:val="fr-CA"/>
        </w:rPr>
        <w:t>un fait en litige, s</w:t>
      </w:r>
      <w:r>
        <w:rPr>
          <w:rFonts w:cs="Times New Roman"/>
          <w:lang w:val="fr-CA"/>
        </w:rPr>
        <w:t>’</w:t>
      </w:r>
      <w:r w:rsidRPr="002C53FC">
        <w:rPr>
          <w:rFonts w:cs="Times New Roman"/>
          <w:lang w:val="fr-CA"/>
        </w:rPr>
        <w:t>il contribue à prouver d</w:t>
      </w:r>
      <w:r>
        <w:rPr>
          <w:rFonts w:cs="Times New Roman"/>
          <w:lang w:val="fr-CA"/>
        </w:rPr>
        <w:t>’</w:t>
      </w:r>
      <w:r w:rsidRPr="002C53FC">
        <w:rPr>
          <w:rFonts w:cs="Times New Roman"/>
          <w:lang w:val="fr-CA"/>
        </w:rPr>
        <w:t>une façon rationnelle un fait en litige ou s</w:t>
      </w:r>
      <w:r>
        <w:rPr>
          <w:rFonts w:cs="Times New Roman"/>
          <w:lang w:val="fr-CA"/>
        </w:rPr>
        <w:t>’</w:t>
      </w:r>
      <w:r w:rsidRPr="002C53FC">
        <w:rPr>
          <w:rFonts w:cs="Times New Roman"/>
          <w:lang w:val="fr-CA"/>
        </w:rPr>
        <w:t>il a pour but d</w:t>
      </w:r>
      <w:r>
        <w:rPr>
          <w:rFonts w:cs="Times New Roman"/>
          <w:lang w:val="fr-CA"/>
        </w:rPr>
        <w:t>’</w:t>
      </w:r>
      <w:r w:rsidRPr="002C53FC">
        <w:rPr>
          <w:rFonts w:cs="Times New Roman"/>
          <w:lang w:val="fr-CA"/>
        </w:rPr>
        <w:t>aider le tribunal à apprécier la force probante d</w:t>
      </w:r>
      <w:r>
        <w:rPr>
          <w:rFonts w:cs="Times New Roman"/>
          <w:lang w:val="fr-CA"/>
        </w:rPr>
        <w:t>’</w:t>
      </w:r>
      <w:r w:rsidRPr="002C53FC">
        <w:rPr>
          <w:rFonts w:cs="Times New Roman"/>
          <w:lang w:val="fr-CA"/>
        </w:rPr>
        <w:t>un témoignage »</w:t>
      </w:r>
      <w:r>
        <w:rPr>
          <w:rFonts w:cs="Times New Roman"/>
          <w:lang w:val="fr-CA"/>
        </w:rPr>
        <w:t> :</w:t>
      </w:r>
      <w:r w:rsidRPr="002C53FC">
        <w:rPr>
          <w:rFonts w:cs="Times New Roman"/>
          <w:lang w:val="fr-CA"/>
        </w:rPr>
        <w:t xml:space="preserve"> J.</w:t>
      </w:r>
      <w:r w:rsidR="00E57964">
        <w:rPr>
          <w:rFonts w:cs="Times New Roman"/>
          <w:lang w:val="fr-CA"/>
        </w:rPr>
        <w:t>-</w:t>
      </w:r>
      <w:r w:rsidRPr="002C53FC">
        <w:rPr>
          <w:rFonts w:cs="Times New Roman"/>
          <w:lang w:val="fr-CA"/>
        </w:rPr>
        <w:t xml:space="preserve">C. Royer et C. Piché, </w:t>
      </w:r>
      <w:r w:rsidRPr="002C53FC">
        <w:rPr>
          <w:rFonts w:cs="Times New Roman"/>
          <w:i/>
          <w:lang w:val="fr-CA"/>
        </w:rPr>
        <w:t>La preuve civile</w:t>
      </w:r>
      <w:r w:rsidRPr="002C53FC">
        <w:rPr>
          <w:rFonts w:cs="Times New Roman"/>
          <w:lang w:val="fr-CA"/>
        </w:rPr>
        <w:t xml:space="preserve"> (5</w:t>
      </w:r>
      <w:r w:rsidRPr="002C53FC">
        <w:rPr>
          <w:rFonts w:cs="Times New Roman"/>
          <w:vertAlign w:val="superscript"/>
          <w:lang w:val="fr-CA"/>
        </w:rPr>
        <w:t>e</w:t>
      </w:r>
      <w:r w:rsidRPr="002C53FC">
        <w:rPr>
          <w:rFonts w:cs="Times New Roman"/>
          <w:lang w:val="fr-CA"/>
        </w:rPr>
        <w:t xml:space="preserve"> éd. 2016), </w:t>
      </w:r>
      <w:r>
        <w:rPr>
          <w:rFonts w:cs="Times New Roman"/>
          <w:lang w:val="fr-CA"/>
        </w:rPr>
        <w:t>par. </w:t>
      </w:r>
      <w:r w:rsidRPr="002C53FC">
        <w:rPr>
          <w:rFonts w:cs="Times New Roman"/>
          <w:lang w:val="fr-CA"/>
        </w:rPr>
        <w:t>215.</w:t>
      </w:r>
    </w:p>
    <w:p w14:paraId="47FCB261" w14:textId="77777777" w:rsidR="002C65EF" w:rsidRPr="002C53FC" w:rsidRDefault="002C65EF" w:rsidP="002C65EF">
      <w:pPr>
        <w:pStyle w:val="ParaNoNdepar-AltN"/>
        <w:spacing w:before="0"/>
        <w:rPr>
          <w:rFonts w:cs="Times New Roman"/>
          <w:lang w:val="fr-CA"/>
        </w:rPr>
      </w:pPr>
      <w:r w:rsidRPr="002C53FC">
        <w:rPr>
          <w:rFonts w:cs="Times New Roman"/>
          <w:lang w:val="fr-CA"/>
        </w:rPr>
        <w:t>Ainsi, c</w:t>
      </w:r>
      <w:r>
        <w:rPr>
          <w:rFonts w:cs="Times New Roman"/>
          <w:lang w:val="fr-CA"/>
        </w:rPr>
        <w:t>’</w:t>
      </w:r>
      <w:r w:rsidRPr="002C53FC">
        <w:rPr>
          <w:rFonts w:cs="Times New Roman"/>
          <w:lang w:val="fr-CA"/>
        </w:rPr>
        <w:t>est lorsqu</w:t>
      </w:r>
      <w:r>
        <w:rPr>
          <w:rFonts w:cs="Times New Roman"/>
          <w:lang w:val="fr-CA"/>
        </w:rPr>
        <w:t>’</w:t>
      </w:r>
      <w:r w:rsidRPr="002C53FC">
        <w:rPr>
          <w:rFonts w:cs="Times New Roman"/>
          <w:lang w:val="fr-CA"/>
        </w:rPr>
        <w:t>elle se rapporte à un fait en litige dans une instance que la preuve est pertinente au débat. Les actes de procédure, qui doivent être lus de manière libérale et à la lumière du droit applicable, définissent ce qui est en litige</w:t>
      </w:r>
      <w:r>
        <w:rPr>
          <w:rFonts w:cs="Times New Roman"/>
          <w:lang w:val="fr-CA"/>
        </w:rPr>
        <w:t> :</w:t>
      </w:r>
      <w:r w:rsidRPr="002C53FC">
        <w:rPr>
          <w:rFonts w:cs="Times New Roman"/>
          <w:lang w:val="fr-CA"/>
        </w:rPr>
        <w:t xml:space="preserve"> voir </w:t>
      </w:r>
      <w:r w:rsidRPr="002C53FC">
        <w:rPr>
          <w:rFonts w:cs="Times New Roman"/>
          <w:i/>
          <w:lang w:val="fr-CA"/>
        </w:rPr>
        <w:t>Bande indienne des Lax Kw</w:t>
      </w:r>
      <w:r>
        <w:rPr>
          <w:rFonts w:cs="Times New Roman"/>
          <w:i/>
          <w:lang w:val="fr-CA"/>
        </w:rPr>
        <w:t>’</w:t>
      </w:r>
      <w:r w:rsidRPr="002C53FC">
        <w:rPr>
          <w:rFonts w:cs="Times New Roman"/>
          <w:i/>
          <w:lang w:val="fr-CA"/>
        </w:rPr>
        <w:t>alaams c. Canada (Procureur général)</w:t>
      </w:r>
      <w:r w:rsidRPr="002C53FC">
        <w:rPr>
          <w:rFonts w:cs="Times New Roman"/>
          <w:lang w:val="fr-CA"/>
        </w:rPr>
        <w:t xml:space="preserve">, 2011 CSC 56, [2011] 3 R.C.S. 535, </w:t>
      </w:r>
      <w:r>
        <w:rPr>
          <w:rFonts w:cs="Times New Roman"/>
          <w:lang w:val="fr-CA"/>
        </w:rPr>
        <w:t>par. </w:t>
      </w:r>
      <w:r w:rsidRPr="002C53FC">
        <w:rPr>
          <w:rFonts w:cs="Times New Roman"/>
          <w:lang w:val="fr-CA"/>
        </w:rPr>
        <w:t>41.</w:t>
      </w:r>
    </w:p>
    <w:p w14:paraId="44541F23"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En général, dans un contrôle de type</w:t>
      </w:r>
      <w:r w:rsidRPr="002C53FC">
        <w:rPr>
          <w:rFonts w:cs="Times New Roman"/>
          <w:i/>
          <w:lang w:val="fr-CA"/>
        </w:rPr>
        <w:t xml:space="preserve"> Bodner</w:t>
      </w:r>
      <w:r w:rsidRPr="002C53FC">
        <w:rPr>
          <w:rFonts w:cs="Times New Roman"/>
          <w:lang w:val="fr-CA"/>
        </w:rPr>
        <w:t>, la question qui se pose est celle de savoir si, dans sa réponse aux recommandations d</w:t>
      </w:r>
      <w:r>
        <w:rPr>
          <w:rFonts w:cs="Times New Roman"/>
          <w:lang w:val="fr-CA"/>
        </w:rPr>
        <w:t>’</w:t>
      </w:r>
      <w:r w:rsidRPr="002C53FC">
        <w:rPr>
          <w:rFonts w:cs="Times New Roman"/>
          <w:lang w:val="fr-CA"/>
        </w:rPr>
        <w:t>une commission, un gouvernement a manqué à ses obligations constitutionnelles qui découlent du principe de l</w:t>
      </w:r>
      <w:r>
        <w:rPr>
          <w:rFonts w:cs="Times New Roman"/>
          <w:lang w:val="fr-CA"/>
        </w:rPr>
        <w:t>’</w:t>
      </w:r>
      <w:r w:rsidRPr="002C53FC">
        <w:rPr>
          <w:rFonts w:cs="Times New Roman"/>
          <w:lang w:val="fr-CA"/>
        </w:rPr>
        <w:t>indépendance judiciaire. La pertinence de tout élément de preuve additionnel proposé doit donc être analysée au regard des questions que devra trancher le tribunal saisi du dossier.</w:t>
      </w:r>
    </w:p>
    <w:p w14:paraId="6A3B4AC5" w14:textId="03ECA782" w:rsidR="002C65EF" w:rsidRPr="002C53FC" w:rsidRDefault="002C65EF" w:rsidP="002C65EF">
      <w:pPr>
        <w:pStyle w:val="ParaNoNdepar-AltN"/>
        <w:spacing w:before="0"/>
        <w:rPr>
          <w:rFonts w:cs="Times New Roman"/>
          <w:lang w:val="fr-CA"/>
        </w:rPr>
      </w:pPr>
      <w:r w:rsidRPr="002C53FC">
        <w:rPr>
          <w:rFonts w:cs="Times New Roman"/>
          <w:lang w:val="fr-CA"/>
        </w:rPr>
        <w:t>Pour être pertinents, les éléments de preuve proposés doivent contenir des renseignements qui tendent à démontrer un fait qui est en lien avec une des étapes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Par exemple, si la partie qui sollicite le contrôle conteste le caractère raisonnable du fondement factuel sur lequel un gouvernement s</w:t>
      </w:r>
      <w:r>
        <w:rPr>
          <w:rFonts w:cs="Times New Roman"/>
          <w:lang w:val="fr-CA"/>
        </w:rPr>
        <w:t>’</w:t>
      </w:r>
      <w:r w:rsidRPr="002C53FC">
        <w:rPr>
          <w:rFonts w:cs="Times New Roman"/>
          <w:lang w:val="fr-CA"/>
        </w:rPr>
        <w:t xml:space="preserve">est appuyé pour formuler sa réponse, les éléments de preuve proposés doivent tendre soit à confirmer soit à mettre en doute le caractère raisonnable de ce fondement. De la même façon, si la partie qui demande un contrôle de type </w:t>
      </w:r>
      <w:r w:rsidRPr="002C53FC">
        <w:rPr>
          <w:rFonts w:cs="Times New Roman"/>
          <w:i/>
          <w:lang w:val="fr-CA"/>
        </w:rPr>
        <w:t>Bodner</w:t>
      </w:r>
      <w:r w:rsidRPr="002C53FC">
        <w:rPr>
          <w:rFonts w:cs="Times New Roman"/>
          <w:lang w:val="fr-CA"/>
        </w:rPr>
        <w:t xml:space="preserve"> allègue que le mécanisme d</w:t>
      </w:r>
      <w:r>
        <w:rPr>
          <w:rFonts w:cs="Times New Roman"/>
          <w:lang w:val="fr-CA"/>
        </w:rPr>
        <w:t>’</w:t>
      </w:r>
      <w:r w:rsidRPr="002C53FC">
        <w:rPr>
          <w:rFonts w:cs="Times New Roman"/>
          <w:lang w:val="fr-CA"/>
        </w:rPr>
        <w:t>examen par la commission n</w:t>
      </w:r>
      <w:r>
        <w:rPr>
          <w:rFonts w:cs="Times New Roman"/>
          <w:lang w:val="fr-CA"/>
        </w:rPr>
        <w:t>’</w:t>
      </w:r>
      <w:r w:rsidRPr="002C53FC">
        <w:rPr>
          <w:rFonts w:cs="Times New Roman"/>
          <w:lang w:val="fr-CA"/>
        </w:rPr>
        <w:t>a pas été respecté ou que la réponse du gouvernement est fondée sur un objectif illégitime ou déguisé, les éléments de preuve proposés doivent tendre à établir la légitimité de la réponse du gouvernement ou, au contraire, son illégitimité. Finalement, si le gouvernement présente des éléments prouvant sa bonne foi et son engagement à l</w:t>
      </w:r>
      <w:r>
        <w:rPr>
          <w:rFonts w:cs="Times New Roman"/>
          <w:lang w:val="fr-CA"/>
        </w:rPr>
        <w:t>’</w:t>
      </w:r>
      <w:r w:rsidRPr="002C53FC">
        <w:rPr>
          <w:rFonts w:cs="Times New Roman"/>
          <w:lang w:val="fr-CA"/>
        </w:rPr>
        <w:t>égard du processus, le demandeur peut présenter en retour des éléments de preuve pour miner cette preuve</w:t>
      </w:r>
      <w:r>
        <w:rPr>
          <w:rFonts w:cs="Times New Roman"/>
          <w:lang w:val="fr-CA"/>
        </w:rPr>
        <w:t> :</w:t>
      </w:r>
      <w:r w:rsidRPr="002C53FC">
        <w:rPr>
          <w:rFonts w:cs="Times New Roman"/>
          <w:lang w:val="fr-CA"/>
        </w:rPr>
        <w:t xml:space="preserve"> voir, </w:t>
      </w:r>
      <w:r w:rsidR="008B587B">
        <w:rPr>
          <w:rFonts w:cs="Times New Roman"/>
          <w:lang w:val="fr-CA"/>
        </w:rPr>
        <w:t>p.</w:t>
      </w:r>
      <w:r w:rsidRPr="002C53FC">
        <w:rPr>
          <w:rFonts w:cs="Times New Roman"/>
          <w:lang w:val="fr-CA"/>
        </w:rPr>
        <w:t xml:space="preserve"> ex., </w:t>
      </w:r>
      <w:r w:rsidRPr="002C53FC">
        <w:rPr>
          <w:rFonts w:cs="Times New Roman"/>
          <w:i/>
          <w:lang w:val="fr-CA"/>
        </w:rPr>
        <w:t>Provincial Court Judges</w:t>
      </w:r>
      <w:r>
        <w:rPr>
          <w:rFonts w:cs="Times New Roman"/>
          <w:i/>
          <w:lang w:val="fr-CA"/>
        </w:rPr>
        <w:t>’</w:t>
      </w:r>
      <w:r w:rsidR="00337F71">
        <w:rPr>
          <w:rFonts w:cs="Times New Roman"/>
          <w:i/>
          <w:lang w:val="fr-CA"/>
        </w:rPr>
        <w:t xml:space="preserve"> Ass</w:t>
      </w:r>
      <w:r w:rsidRPr="002C53FC">
        <w:rPr>
          <w:rFonts w:cs="Times New Roman"/>
          <w:i/>
          <w:lang w:val="fr-CA"/>
        </w:rPr>
        <w:t>n</w:t>
      </w:r>
      <w:r w:rsidR="00C06D61">
        <w:rPr>
          <w:rFonts w:cs="Times New Roman"/>
          <w:i/>
          <w:lang w:val="fr-CA"/>
        </w:rPr>
        <w:t>.</w:t>
      </w:r>
      <w:r w:rsidRPr="002C53FC">
        <w:rPr>
          <w:rFonts w:cs="Times New Roman"/>
          <w:i/>
          <w:lang w:val="fr-CA"/>
        </w:rPr>
        <w:t xml:space="preserve"> of British Columbia c. British Columbia (Attorney General)</w:t>
      </w:r>
      <w:r w:rsidRPr="002C53FC">
        <w:rPr>
          <w:rFonts w:cs="Times New Roman"/>
          <w:lang w:val="fr-CA"/>
        </w:rPr>
        <w:t>, 2012 BCSC 1022</w:t>
      </w:r>
      <w:r w:rsidR="00337F71">
        <w:rPr>
          <w:rFonts w:cs="Times New Roman"/>
          <w:lang w:val="fr-CA"/>
        </w:rPr>
        <w:t>, 39 Admin</w:t>
      </w:r>
      <w:r w:rsidR="008B587B">
        <w:rPr>
          <w:rFonts w:cs="Times New Roman"/>
          <w:lang w:val="fr-CA"/>
        </w:rPr>
        <w:t>.</w:t>
      </w:r>
      <w:r w:rsidR="00337F71">
        <w:rPr>
          <w:rFonts w:cs="Times New Roman"/>
          <w:lang w:val="fr-CA"/>
        </w:rPr>
        <w:t xml:space="preserve"> L.R. (5th) 130</w:t>
      </w:r>
      <w:r w:rsidRPr="002C53FC">
        <w:rPr>
          <w:rFonts w:cs="Times New Roman"/>
          <w:lang w:val="fr-CA"/>
        </w:rPr>
        <w:t>.</w:t>
      </w:r>
    </w:p>
    <w:p w14:paraId="7FB04539"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Toutefois, comme je l</w:t>
      </w:r>
      <w:r>
        <w:rPr>
          <w:rFonts w:cs="Times New Roman"/>
          <w:lang w:val="fr-CA"/>
        </w:rPr>
        <w:t>’</w:t>
      </w:r>
      <w:r w:rsidRPr="002C53FC">
        <w:rPr>
          <w:rFonts w:cs="Times New Roman"/>
          <w:lang w:val="fr-CA"/>
        </w:rPr>
        <w:t>expliquerai, l</w:t>
      </w:r>
      <w:r>
        <w:rPr>
          <w:rFonts w:cs="Times New Roman"/>
          <w:lang w:val="fr-CA"/>
        </w:rPr>
        <w:t>’</w:t>
      </w:r>
      <w:r w:rsidRPr="002C53FC">
        <w:rPr>
          <w:rFonts w:cs="Times New Roman"/>
          <w:lang w:val="fr-CA"/>
        </w:rPr>
        <w:t>exigence de la pertinence à elle seule — même lorsque la preuve a trait à l</w:t>
      </w:r>
      <w:r>
        <w:rPr>
          <w:rFonts w:cs="Times New Roman"/>
          <w:lang w:val="fr-CA"/>
        </w:rPr>
        <w:t>’</w:t>
      </w:r>
      <w:r w:rsidRPr="002C53FC">
        <w:rPr>
          <w:rFonts w:cs="Times New Roman"/>
          <w:lang w:val="fr-CA"/>
        </w:rPr>
        <w:t>ensemble limité de questions qu</w:t>
      </w:r>
      <w:r>
        <w:rPr>
          <w:rFonts w:cs="Times New Roman"/>
          <w:lang w:val="fr-CA"/>
        </w:rPr>
        <w:t>’</w:t>
      </w:r>
      <w:r w:rsidRPr="002C53FC">
        <w:rPr>
          <w:rFonts w:cs="Times New Roman"/>
          <w:lang w:val="fr-CA"/>
        </w:rPr>
        <w:t>il y a lieu d</w:t>
      </w:r>
      <w:r>
        <w:rPr>
          <w:rFonts w:cs="Times New Roman"/>
          <w:lang w:val="fr-CA"/>
        </w:rPr>
        <w:t>’</w:t>
      </w:r>
      <w:r w:rsidRPr="002C53FC">
        <w:rPr>
          <w:rFonts w:cs="Times New Roman"/>
          <w:lang w:val="fr-CA"/>
        </w:rPr>
        <w:t>examiner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xml:space="preserve"> — ne protège pas adéquatement les impératifs constitutionnels opposés qui entrent en jeu lorsqu</w:t>
      </w:r>
      <w:r>
        <w:rPr>
          <w:rFonts w:cs="Times New Roman"/>
          <w:lang w:val="fr-CA"/>
        </w:rPr>
        <w:t>’</w:t>
      </w:r>
      <w:r w:rsidRPr="002C53FC">
        <w:rPr>
          <w:rFonts w:cs="Times New Roman"/>
          <w:lang w:val="fr-CA"/>
        </w:rPr>
        <w:t>une partie sollicitant le contrôle demande la production d</w:t>
      </w:r>
      <w:r>
        <w:rPr>
          <w:rFonts w:cs="Times New Roman"/>
          <w:lang w:val="fr-CA"/>
        </w:rPr>
        <w:t>’</w:t>
      </w:r>
      <w:r w:rsidRPr="002C53FC">
        <w:rPr>
          <w:rFonts w:cs="Times New Roman"/>
          <w:lang w:val="fr-CA"/>
        </w:rPr>
        <w:t>un document confidentiel du Cabinet.</w:t>
      </w:r>
    </w:p>
    <w:p w14:paraId="285C9DDC" w14:textId="77777777" w:rsidR="002C65EF" w:rsidRPr="002C53FC" w:rsidRDefault="002C65EF" w:rsidP="002C65EF">
      <w:pPr>
        <w:pStyle w:val="Title3LevelTitre3Niveau"/>
        <w:spacing w:before="0"/>
        <w:rPr>
          <w:rFonts w:cs="Times New Roman"/>
          <w:lang w:val="fr-CA"/>
        </w:rPr>
      </w:pPr>
      <w:r w:rsidRPr="00660619">
        <w:rPr>
          <w:rFonts w:cs="Times New Roman"/>
          <w:lang w:val="fr-CA"/>
        </w:rPr>
        <w:t>Do</w:t>
      </w:r>
      <w:r w:rsidRPr="002C53FC">
        <w:rPr>
          <w:rFonts w:cs="Times New Roman"/>
          <w:lang w:val="fr-CA"/>
        </w:rPr>
        <w:t>cuments confidentiels du Cabinet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p>
    <w:p w14:paraId="0420C808"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Dans la mesure où un contrôle de type </w:t>
      </w:r>
      <w:r w:rsidRPr="002C53FC">
        <w:rPr>
          <w:rFonts w:cs="Times New Roman"/>
          <w:i/>
          <w:lang w:val="fr-CA"/>
        </w:rPr>
        <w:t>Bodner</w:t>
      </w:r>
      <w:r w:rsidRPr="002C53FC">
        <w:rPr>
          <w:rFonts w:cs="Times New Roman"/>
          <w:lang w:val="fr-CA"/>
        </w:rPr>
        <w:t xml:space="preserve"> vise souvent des décisions dans lesquelles le Cabinet a joué un rôle, la partie qui entend exercer ce type de recours pourrait demander la production d</w:t>
      </w:r>
      <w:r>
        <w:rPr>
          <w:rFonts w:cs="Times New Roman"/>
          <w:lang w:val="fr-CA"/>
        </w:rPr>
        <w:t>’</w:t>
      </w:r>
      <w:r w:rsidRPr="002C53FC">
        <w:rPr>
          <w:rFonts w:cs="Times New Roman"/>
          <w:lang w:val="fr-CA"/>
        </w:rPr>
        <w:t>un document confidentiel du Cabinet à titre d</w:t>
      </w:r>
      <w:r>
        <w:rPr>
          <w:rFonts w:cs="Times New Roman"/>
          <w:lang w:val="fr-CA"/>
        </w:rPr>
        <w:t>’</w:t>
      </w:r>
      <w:r w:rsidRPr="002C53FC">
        <w:rPr>
          <w:rFonts w:cs="Times New Roman"/>
          <w:lang w:val="fr-CA"/>
        </w:rPr>
        <w:t>élément de preuve additionnel pour démontrer que la réponse du gouvernement ne satisfait pas aux exigences constitutionnelles applicables. S</w:t>
      </w:r>
      <w:r>
        <w:rPr>
          <w:rFonts w:cs="Times New Roman"/>
          <w:lang w:val="fr-CA"/>
        </w:rPr>
        <w:t>’</w:t>
      </w:r>
      <w:r w:rsidRPr="002C53FC">
        <w:rPr>
          <w:rFonts w:cs="Times New Roman"/>
          <w:lang w:val="fr-CA"/>
        </w:rPr>
        <w:t>il est vrai que, normalement, le juge prend en considération une description des éléments de preuve proposés ou en examine le contenu pour déterminer s</w:t>
      </w:r>
      <w:r>
        <w:rPr>
          <w:rFonts w:cs="Times New Roman"/>
          <w:lang w:val="fr-CA"/>
        </w:rPr>
        <w:t>’</w:t>
      </w:r>
      <w:r w:rsidRPr="002C53FC">
        <w:rPr>
          <w:rFonts w:cs="Times New Roman"/>
          <w:lang w:val="fr-CA"/>
        </w:rPr>
        <w:t xml:space="preserve">ils sont pertinents aux fins du contrôle de type </w:t>
      </w:r>
      <w:r w:rsidRPr="002C53FC">
        <w:rPr>
          <w:rFonts w:cs="Times New Roman"/>
          <w:i/>
          <w:lang w:val="fr-CA"/>
        </w:rPr>
        <w:t>Bodner</w:t>
      </w:r>
      <w:r w:rsidRPr="002C53FC">
        <w:rPr>
          <w:rFonts w:cs="Times New Roman"/>
          <w:lang w:val="fr-CA"/>
        </w:rPr>
        <w:t>, des considérations particulières entrent en jeu lorsqu</w:t>
      </w:r>
      <w:r>
        <w:rPr>
          <w:rFonts w:cs="Times New Roman"/>
          <w:lang w:val="fr-CA"/>
        </w:rPr>
        <w:t>’</w:t>
      </w:r>
      <w:r w:rsidRPr="002C53FC">
        <w:rPr>
          <w:rFonts w:cs="Times New Roman"/>
          <w:lang w:val="fr-CA"/>
        </w:rPr>
        <w:t>il est question de la production par le gouvernement d</w:t>
      </w:r>
      <w:r>
        <w:rPr>
          <w:rFonts w:cs="Times New Roman"/>
          <w:lang w:val="fr-CA"/>
        </w:rPr>
        <w:t>’</w:t>
      </w:r>
      <w:r w:rsidRPr="002C53FC">
        <w:rPr>
          <w:rFonts w:cs="Times New Roman"/>
          <w:lang w:val="fr-CA"/>
        </w:rPr>
        <w:t>un document se rapportant aux délibérations et au processus décisionnel du Cabinet.</w:t>
      </w:r>
    </w:p>
    <w:p w14:paraId="78A69CD7" w14:textId="01B194EE" w:rsidR="002C65EF" w:rsidRPr="002C53FC" w:rsidRDefault="002C65EF" w:rsidP="002C65EF">
      <w:pPr>
        <w:pStyle w:val="ParaNoNdepar-AltN"/>
        <w:spacing w:before="0"/>
        <w:rPr>
          <w:rFonts w:cs="Times New Roman"/>
          <w:lang w:val="fr-CA"/>
        </w:rPr>
      </w:pPr>
      <w:r w:rsidRPr="002C53FC">
        <w:rPr>
          <w:rFonts w:cs="Times New Roman"/>
          <w:lang w:val="fr-CA"/>
        </w:rPr>
        <w:t xml:space="preserve">Contrairement à une action ou à une demande de contrôle judiciaire présentée contre le gouvernement par une partie privée, un contrôle de type </w:t>
      </w:r>
      <w:r w:rsidRPr="002C53FC">
        <w:rPr>
          <w:rFonts w:cs="Times New Roman"/>
          <w:i/>
          <w:lang w:val="fr-CA"/>
        </w:rPr>
        <w:t>Bodner</w:t>
      </w:r>
      <w:r w:rsidRPr="002C53FC">
        <w:rPr>
          <w:rFonts w:cs="Times New Roman"/>
          <w:lang w:val="fr-CA"/>
        </w:rPr>
        <w:t xml:space="preserve"> oppose généralement deux branches différentes de l</w:t>
      </w:r>
      <w:r>
        <w:rPr>
          <w:rFonts w:cs="Times New Roman"/>
          <w:lang w:val="fr-CA"/>
        </w:rPr>
        <w:t>’</w:t>
      </w:r>
      <w:r w:rsidRPr="002C53FC">
        <w:rPr>
          <w:rFonts w:cs="Times New Roman"/>
          <w:lang w:val="fr-CA"/>
        </w:rPr>
        <w:t>État — le judiciaire et l</w:t>
      </w:r>
      <w:r>
        <w:rPr>
          <w:rFonts w:cs="Times New Roman"/>
          <w:lang w:val="fr-CA"/>
        </w:rPr>
        <w:t>’</w:t>
      </w:r>
      <w:r w:rsidRPr="002C53FC">
        <w:rPr>
          <w:rFonts w:cs="Times New Roman"/>
          <w:lang w:val="fr-CA"/>
        </w:rPr>
        <w:t xml:space="preserve">exécutif </w:t>
      </w:r>
      <w:r w:rsidRPr="002C53FC">
        <w:rPr>
          <w:rFonts w:cs="Times New Roman"/>
          <w:lang w:val="fr-CA"/>
        </w:rPr>
        <w:lastRenderedPageBreak/>
        <w:t>— comme parties à l</w:t>
      </w:r>
      <w:r>
        <w:rPr>
          <w:rFonts w:cs="Times New Roman"/>
          <w:lang w:val="fr-CA"/>
        </w:rPr>
        <w:t>’</w:t>
      </w:r>
      <w:r w:rsidRPr="002C53FC">
        <w:rPr>
          <w:rFonts w:cs="Times New Roman"/>
          <w:lang w:val="fr-CA"/>
        </w:rPr>
        <w:t xml:space="preserve">instance. Dans le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7, le juge en chef Lamer a souligné que, s</w:t>
      </w:r>
      <w:r>
        <w:rPr>
          <w:rFonts w:cs="Times New Roman"/>
          <w:lang w:val="fr-CA"/>
        </w:rPr>
        <w:t>’</w:t>
      </w:r>
      <w:r w:rsidRPr="002C53FC">
        <w:rPr>
          <w:rFonts w:cs="Times New Roman"/>
          <w:lang w:val="fr-CA"/>
        </w:rPr>
        <w:t>il est vrai qu</w:t>
      </w:r>
      <w:r>
        <w:rPr>
          <w:rFonts w:cs="Times New Roman"/>
          <w:lang w:val="fr-CA"/>
        </w:rPr>
        <w:t>’</w:t>
      </w:r>
      <w:r w:rsidRPr="002C53FC">
        <w:rPr>
          <w:rFonts w:cs="Times New Roman"/>
          <w:lang w:val="fr-CA"/>
        </w:rPr>
        <w:t>un litige est toujours « une démarche très sérieuse », elle « est d</w:t>
      </w:r>
      <w:r>
        <w:rPr>
          <w:rFonts w:cs="Times New Roman"/>
          <w:lang w:val="fr-CA"/>
        </w:rPr>
        <w:t>’</w:t>
      </w:r>
      <w:r w:rsidRPr="002C53FC">
        <w:rPr>
          <w:rFonts w:cs="Times New Roman"/>
          <w:lang w:val="fr-CA"/>
        </w:rPr>
        <w:t>autant plus sérieuse du fait que les litiges opposent deux organes fondamentaux de notre régime constitutionnel — l</w:t>
      </w:r>
      <w:r>
        <w:rPr>
          <w:rFonts w:cs="Times New Roman"/>
          <w:lang w:val="fr-CA"/>
        </w:rPr>
        <w:t>’</w:t>
      </w:r>
      <w:r w:rsidRPr="002C53FC">
        <w:rPr>
          <w:rFonts w:cs="Times New Roman"/>
          <w:lang w:val="fr-CA"/>
        </w:rPr>
        <w:t>exécutif et le judiciaire — qui jouent tous deux des rôles importants et interdépendants en matière d</w:t>
      </w:r>
      <w:r>
        <w:rPr>
          <w:rFonts w:cs="Times New Roman"/>
          <w:lang w:val="fr-CA"/>
        </w:rPr>
        <w:t>’</w:t>
      </w:r>
      <w:r w:rsidRPr="002C53FC">
        <w:rPr>
          <w:rFonts w:cs="Times New Roman"/>
          <w:lang w:val="fr-CA"/>
        </w:rPr>
        <w:t>administration de la justice ». De tels litiges peuvent s</w:t>
      </w:r>
      <w:r>
        <w:rPr>
          <w:rFonts w:cs="Times New Roman"/>
          <w:lang w:val="fr-CA"/>
        </w:rPr>
        <w:t>’</w:t>
      </w:r>
      <w:r w:rsidRPr="002C53FC">
        <w:rPr>
          <w:rFonts w:cs="Times New Roman"/>
          <w:lang w:val="fr-CA"/>
        </w:rPr>
        <w:t>avérer nécessaires pour obliger le gouvernement à respecter ses obligations constitutionnelles dans les juridictions où les recommandations d</w:t>
      </w:r>
      <w:r>
        <w:rPr>
          <w:rFonts w:cs="Times New Roman"/>
          <w:lang w:val="fr-CA"/>
        </w:rPr>
        <w:t>’</w:t>
      </w:r>
      <w:r w:rsidRPr="002C53FC">
        <w:rPr>
          <w:rFonts w:cs="Times New Roman"/>
          <w:lang w:val="fr-CA"/>
        </w:rPr>
        <w:t>une commission n</w:t>
      </w:r>
      <w:r>
        <w:rPr>
          <w:rFonts w:cs="Times New Roman"/>
          <w:lang w:val="fr-CA"/>
        </w:rPr>
        <w:t>’</w:t>
      </w:r>
      <w:r w:rsidRPr="002C53FC">
        <w:rPr>
          <w:rFonts w:cs="Times New Roman"/>
          <w:lang w:val="fr-CA"/>
        </w:rPr>
        <w:t xml:space="preserve">ont pas force obligatoire. Le contrôle de type </w:t>
      </w:r>
      <w:r w:rsidRPr="002C53FC">
        <w:rPr>
          <w:rFonts w:cs="Times New Roman"/>
          <w:i/>
          <w:lang w:val="fr-CA"/>
        </w:rPr>
        <w:t>Bodner</w:t>
      </w:r>
      <w:r w:rsidRPr="002C53FC">
        <w:rPr>
          <w:rFonts w:cs="Times New Roman"/>
          <w:lang w:val="fr-CA"/>
        </w:rPr>
        <w:t xml:space="preserve"> est le mécanisme qui vise à garantir que les gouvernements respectent le mécanisme d</w:t>
      </w:r>
      <w:r>
        <w:rPr>
          <w:rFonts w:cs="Times New Roman"/>
          <w:lang w:val="fr-CA"/>
        </w:rPr>
        <w:t>’</w:t>
      </w:r>
      <w:r w:rsidRPr="002C53FC">
        <w:rPr>
          <w:rFonts w:cs="Times New Roman"/>
          <w:lang w:val="fr-CA"/>
        </w:rPr>
        <w:t>examen par une commission et qui préserve la confiance du public dans l</w:t>
      </w:r>
      <w:r>
        <w:rPr>
          <w:rFonts w:cs="Times New Roman"/>
          <w:lang w:val="fr-CA"/>
        </w:rPr>
        <w:t>’</w:t>
      </w:r>
      <w:r w:rsidRPr="002C53FC">
        <w:rPr>
          <w:rFonts w:cs="Times New Roman"/>
          <w:lang w:val="fr-CA"/>
        </w:rPr>
        <w:t>administration de la justice que ce mécanisme vise à protéger.</w:t>
      </w:r>
    </w:p>
    <w:p w14:paraId="2ADBDE51" w14:textId="77777777" w:rsidR="002C65EF" w:rsidRPr="002C53FC" w:rsidRDefault="002C65EF" w:rsidP="002C65EF">
      <w:pPr>
        <w:pStyle w:val="ParaNoNdepar-AltN"/>
        <w:spacing w:before="0"/>
        <w:rPr>
          <w:rFonts w:cs="Times New Roman"/>
          <w:lang w:val="fr-CA"/>
        </w:rPr>
      </w:pPr>
      <w:r w:rsidRPr="002C53FC">
        <w:rPr>
          <w:rFonts w:cs="Times New Roman"/>
          <w:lang w:val="fr-CA"/>
        </w:rPr>
        <w:t>Cela dit, dans l</w:t>
      </w:r>
      <w:r>
        <w:rPr>
          <w:rFonts w:cs="Times New Roman"/>
          <w:lang w:val="fr-CA"/>
        </w:rPr>
        <w:t>’</w:t>
      </w:r>
      <w:r w:rsidRPr="002C53FC">
        <w:rPr>
          <w:rFonts w:cs="Times New Roman"/>
          <w:lang w:val="fr-CA"/>
        </w:rPr>
        <w:t xml:space="preserve">affaire </w:t>
      </w:r>
      <w:r w:rsidRPr="002C53FC">
        <w:rPr>
          <w:rFonts w:cs="Times New Roman"/>
          <w:i/>
          <w:lang w:val="fr-CA"/>
        </w:rPr>
        <w:t>Canada (Vérificateur général) c. Canada (Ministre de l</w:t>
      </w:r>
      <w:r>
        <w:rPr>
          <w:rFonts w:cs="Times New Roman"/>
          <w:i/>
          <w:lang w:val="fr-CA"/>
        </w:rPr>
        <w:t>’</w:t>
      </w:r>
      <w:r w:rsidRPr="002C53FC">
        <w:rPr>
          <w:rFonts w:cs="Times New Roman"/>
          <w:i/>
          <w:lang w:val="fr-CA"/>
        </w:rPr>
        <w:t>Énergie, des Mines et des Ressources)</w:t>
      </w:r>
      <w:r w:rsidRPr="002C53FC">
        <w:rPr>
          <w:rFonts w:cs="Times New Roman"/>
          <w:lang w:val="fr-CA"/>
        </w:rPr>
        <w:t xml:space="preserve">, [1989] 2 R.C.S. 49, </w:t>
      </w:r>
      <w:r>
        <w:rPr>
          <w:rFonts w:cs="Times New Roman"/>
          <w:lang w:val="fr-CA"/>
        </w:rPr>
        <w:t>p. </w:t>
      </w:r>
      <w:r w:rsidRPr="002C53FC">
        <w:rPr>
          <w:rFonts w:cs="Times New Roman"/>
          <w:lang w:val="fr-CA"/>
        </w:rPr>
        <w:t>89, 97</w:t>
      </w:r>
      <w:r>
        <w:rPr>
          <w:rFonts w:cs="Times New Roman"/>
          <w:lang w:val="fr-CA"/>
        </w:rPr>
        <w:noBreakHyphen/>
      </w:r>
      <w:r w:rsidRPr="002C53FC">
        <w:rPr>
          <w:rFonts w:cs="Times New Roman"/>
          <w:lang w:val="fr-CA"/>
        </w:rPr>
        <w:t>98, 103 et 109, la Cour a déjà formulé une mise en garde toujours pertinente au sujet du fait que l</w:t>
      </w:r>
      <w:r>
        <w:rPr>
          <w:rFonts w:cs="Times New Roman"/>
          <w:lang w:val="fr-CA"/>
        </w:rPr>
        <w:t>’</w:t>
      </w:r>
      <w:r w:rsidRPr="002C53FC">
        <w:rPr>
          <w:rFonts w:cs="Times New Roman"/>
          <w:lang w:val="fr-CA"/>
        </w:rPr>
        <w:t>issue d</w:t>
      </w:r>
      <w:r>
        <w:rPr>
          <w:rFonts w:cs="Times New Roman"/>
          <w:lang w:val="fr-CA"/>
        </w:rPr>
        <w:t>’</w:t>
      </w:r>
      <w:r w:rsidRPr="002C53FC">
        <w:rPr>
          <w:rFonts w:cs="Times New Roman"/>
          <w:lang w:val="fr-CA"/>
        </w:rPr>
        <w:t>une action intentée par une branche de l</w:t>
      </w:r>
      <w:r>
        <w:rPr>
          <w:rFonts w:cs="Times New Roman"/>
          <w:lang w:val="fr-CA"/>
        </w:rPr>
        <w:t>’</w:t>
      </w:r>
      <w:r w:rsidRPr="002C53FC">
        <w:rPr>
          <w:rFonts w:cs="Times New Roman"/>
          <w:lang w:val="fr-CA"/>
        </w:rPr>
        <w:t>État contre une autre peut avoir pour effet concret d</w:t>
      </w:r>
      <w:r>
        <w:rPr>
          <w:rFonts w:cs="Times New Roman"/>
          <w:lang w:val="fr-CA"/>
        </w:rPr>
        <w:t>’</w:t>
      </w:r>
      <w:r w:rsidRPr="002C53FC">
        <w:rPr>
          <w:rFonts w:cs="Times New Roman"/>
          <w:lang w:val="fr-CA"/>
        </w:rPr>
        <w:t>altérer la séparation des pouvoirs. Des procédures de cette nature commandent une prudence toute particulière, car il faut veiller à ce que les tribunaux n</w:t>
      </w:r>
      <w:r>
        <w:rPr>
          <w:rFonts w:cs="Times New Roman"/>
          <w:lang w:val="fr-CA"/>
        </w:rPr>
        <w:t>’</w:t>
      </w:r>
      <w:r w:rsidRPr="002C53FC">
        <w:rPr>
          <w:rFonts w:cs="Times New Roman"/>
          <w:lang w:val="fr-CA"/>
        </w:rPr>
        <w:t>outrepassent pas leur fonction judiciaire.</w:t>
      </w:r>
    </w:p>
    <w:p w14:paraId="4FEC86CB" w14:textId="2053D0BF" w:rsidR="002C65EF" w:rsidRPr="002C53FC" w:rsidRDefault="002C65EF" w:rsidP="002C65EF">
      <w:pPr>
        <w:pStyle w:val="ParaNoNdepar-AltN"/>
        <w:spacing w:before="0"/>
        <w:rPr>
          <w:rFonts w:cs="Times New Roman"/>
          <w:lang w:val="fr-CA"/>
        </w:rPr>
      </w:pPr>
      <w:r w:rsidRPr="002C53FC">
        <w:rPr>
          <w:rFonts w:cs="Times New Roman"/>
          <w:lang w:val="fr-CA"/>
        </w:rPr>
        <w:t>Le droit constitutionnel canadien reconnaît depuis longtemps que le pouvoir souverain, en ce pays, se divise non seulement entre le Parlement et les législatures, mais aussi entre les branches exécutive, législative et judiciaire de l</w:t>
      </w:r>
      <w:r>
        <w:rPr>
          <w:rFonts w:cs="Times New Roman"/>
          <w:lang w:val="fr-CA"/>
        </w:rPr>
        <w:t>’</w:t>
      </w:r>
      <w:r w:rsidRPr="002C53FC">
        <w:rPr>
          <w:rFonts w:cs="Times New Roman"/>
          <w:lang w:val="fr-CA"/>
        </w:rPr>
        <w:t>État</w:t>
      </w:r>
      <w:r>
        <w:rPr>
          <w:rFonts w:cs="Times New Roman"/>
          <w:lang w:val="fr-CA"/>
        </w:rPr>
        <w:t> :</w:t>
      </w:r>
      <w:r w:rsidRPr="002C53FC">
        <w:rPr>
          <w:rFonts w:cs="Times New Roman"/>
          <w:lang w:val="fr-CA"/>
        </w:rPr>
        <w:t xml:space="preserve"> </w:t>
      </w:r>
      <w:r w:rsidRPr="002C53FC">
        <w:rPr>
          <w:rFonts w:cs="Times New Roman"/>
          <w:i/>
          <w:lang w:val="fr-CA"/>
        </w:rPr>
        <w:lastRenderedPageBreak/>
        <w:t>Fraser c. Commission de</w:t>
      </w:r>
      <w:r w:rsidR="00CD56B5">
        <w:rPr>
          <w:rFonts w:cs="Times New Roman"/>
          <w:i/>
          <w:lang w:val="fr-CA"/>
        </w:rPr>
        <w:t>s relations de travail dans la F</w:t>
      </w:r>
      <w:r w:rsidRPr="002C53FC">
        <w:rPr>
          <w:rFonts w:cs="Times New Roman"/>
          <w:i/>
          <w:lang w:val="fr-CA"/>
        </w:rPr>
        <w:t>onction publique</w:t>
      </w:r>
      <w:r w:rsidRPr="002C53FC">
        <w:rPr>
          <w:rFonts w:cs="Times New Roman"/>
          <w:lang w:val="fr-CA"/>
        </w:rPr>
        <w:t xml:space="preserve">, [1985] 2 R.C.S. 455, </w:t>
      </w:r>
      <w:r>
        <w:rPr>
          <w:rFonts w:cs="Times New Roman"/>
          <w:lang w:val="fr-CA"/>
        </w:rPr>
        <w:t>p. </w:t>
      </w:r>
      <w:r w:rsidRPr="002C53FC">
        <w:rPr>
          <w:rFonts w:cs="Times New Roman"/>
          <w:lang w:val="fr-CA"/>
        </w:rPr>
        <w:t>469</w:t>
      </w:r>
      <w:r>
        <w:rPr>
          <w:rFonts w:cs="Times New Roman"/>
          <w:lang w:val="fr-CA"/>
        </w:rPr>
        <w:noBreakHyphen/>
      </w:r>
      <w:r w:rsidRPr="002C53FC">
        <w:rPr>
          <w:rFonts w:cs="Times New Roman"/>
          <w:lang w:val="fr-CA"/>
        </w:rPr>
        <w:t xml:space="preserve">470; </w:t>
      </w:r>
      <w:r w:rsidRPr="002C53FC">
        <w:rPr>
          <w:rFonts w:cs="Times New Roman"/>
          <w:i/>
          <w:lang w:val="fr-CA"/>
        </w:rPr>
        <w:t>New Brunswick Broadcasting Co. c. Nouvelle</w:t>
      </w:r>
      <w:r>
        <w:rPr>
          <w:rFonts w:cs="Times New Roman"/>
          <w:i/>
          <w:lang w:val="fr-CA"/>
        </w:rPr>
        <w:noBreakHyphen/>
      </w:r>
      <w:r w:rsidRPr="002C53FC">
        <w:rPr>
          <w:rFonts w:cs="Times New Roman"/>
          <w:i/>
          <w:lang w:val="fr-CA"/>
        </w:rPr>
        <w:t>Écosse (Président de l</w:t>
      </w:r>
      <w:r>
        <w:rPr>
          <w:rFonts w:cs="Times New Roman"/>
          <w:i/>
          <w:lang w:val="fr-CA"/>
        </w:rPr>
        <w:t>’</w:t>
      </w:r>
      <w:r w:rsidRPr="002C53FC">
        <w:rPr>
          <w:rFonts w:cs="Times New Roman"/>
          <w:i/>
          <w:lang w:val="fr-CA"/>
        </w:rPr>
        <w:t>Assemblée législative)</w:t>
      </w:r>
      <w:r w:rsidRPr="002C53FC">
        <w:rPr>
          <w:rFonts w:cs="Times New Roman"/>
          <w:lang w:val="fr-CA"/>
        </w:rPr>
        <w:t xml:space="preserve">, [1993] 1 R.C.S. 319, </w:t>
      </w:r>
      <w:r>
        <w:rPr>
          <w:rFonts w:cs="Times New Roman"/>
          <w:lang w:val="fr-CA"/>
        </w:rPr>
        <w:t>p. </w:t>
      </w:r>
      <w:r w:rsidRPr="002C53FC">
        <w:rPr>
          <w:rFonts w:cs="Times New Roman"/>
          <w:lang w:val="fr-CA"/>
        </w:rPr>
        <w:t xml:space="preserve">389; </w:t>
      </w:r>
      <w:r w:rsidRPr="002C53FC">
        <w:rPr>
          <w:rFonts w:cs="Times New Roman"/>
          <w:i/>
          <w:lang w:val="fr-CA"/>
        </w:rPr>
        <w:t>Doucet</w:t>
      </w:r>
      <w:r>
        <w:rPr>
          <w:rFonts w:cs="Times New Roman"/>
          <w:i/>
          <w:lang w:val="fr-CA"/>
        </w:rPr>
        <w:noBreakHyphen/>
      </w:r>
      <w:r w:rsidRPr="002C53FC">
        <w:rPr>
          <w:rFonts w:cs="Times New Roman"/>
          <w:i/>
          <w:lang w:val="fr-CA"/>
        </w:rPr>
        <w:t>Boudreau c. Nouvelle</w:t>
      </w:r>
      <w:r>
        <w:rPr>
          <w:rFonts w:cs="Times New Roman"/>
          <w:i/>
          <w:lang w:val="fr-CA"/>
        </w:rPr>
        <w:noBreakHyphen/>
      </w:r>
      <w:r w:rsidRPr="002C53FC">
        <w:rPr>
          <w:rFonts w:cs="Times New Roman"/>
          <w:i/>
          <w:lang w:val="fr-CA"/>
        </w:rPr>
        <w:t>Écosse (Ministre de l</w:t>
      </w:r>
      <w:r>
        <w:rPr>
          <w:rFonts w:cs="Times New Roman"/>
          <w:i/>
          <w:lang w:val="fr-CA"/>
        </w:rPr>
        <w:t>’</w:t>
      </w:r>
      <w:r w:rsidRPr="002C53FC">
        <w:rPr>
          <w:rFonts w:cs="Times New Roman"/>
          <w:i/>
          <w:lang w:val="fr-CA"/>
        </w:rPr>
        <w:t>Éducation)</w:t>
      </w:r>
      <w:r w:rsidRPr="002C53FC">
        <w:rPr>
          <w:rFonts w:cs="Times New Roman"/>
          <w:lang w:val="fr-CA"/>
        </w:rPr>
        <w:t xml:space="preserve">, 2003 CSC 62, [2003] 3 R.C.S. 3, </w:t>
      </w:r>
      <w:r>
        <w:rPr>
          <w:rFonts w:cs="Times New Roman"/>
          <w:lang w:val="fr-CA"/>
        </w:rPr>
        <w:t>par. </w:t>
      </w:r>
      <w:r w:rsidRPr="002C53FC">
        <w:rPr>
          <w:rFonts w:cs="Times New Roman"/>
          <w:lang w:val="fr-CA"/>
        </w:rPr>
        <w:t>33. Malgré l</w:t>
      </w:r>
      <w:r>
        <w:rPr>
          <w:rFonts w:cs="Times New Roman"/>
          <w:lang w:val="fr-CA"/>
        </w:rPr>
        <w:t>’</w:t>
      </w:r>
      <w:r w:rsidRPr="002C53FC">
        <w:rPr>
          <w:rFonts w:cs="Times New Roman"/>
          <w:lang w:val="fr-CA"/>
        </w:rPr>
        <w:t>existence de chevauchements limités dans certaines matières, les trois branches de l</w:t>
      </w:r>
      <w:r>
        <w:rPr>
          <w:rFonts w:cs="Times New Roman"/>
          <w:lang w:val="fr-CA"/>
        </w:rPr>
        <w:t>’</w:t>
      </w:r>
      <w:r w:rsidRPr="002C53FC">
        <w:rPr>
          <w:rFonts w:cs="Times New Roman"/>
          <w:lang w:val="fr-CA"/>
        </w:rPr>
        <w:t>État remplissent des fonctions fondamentalement différentes et ont acquis, en conséquence, des compétences essentielles distinctes</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139; </w:t>
      </w:r>
      <w:r w:rsidRPr="002C53FC">
        <w:rPr>
          <w:rFonts w:cs="Times New Roman"/>
          <w:i/>
          <w:lang w:val="fr-CA"/>
        </w:rPr>
        <w:t>Ontario c. Criminal Lawyers</w:t>
      </w:r>
      <w:r>
        <w:rPr>
          <w:rFonts w:cs="Times New Roman"/>
          <w:i/>
          <w:lang w:val="fr-CA"/>
        </w:rPr>
        <w:t>’</w:t>
      </w:r>
      <w:r w:rsidRPr="002C53FC">
        <w:rPr>
          <w:rFonts w:cs="Times New Roman"/>
          <w:i/>
          <w:lang w:val="fr-CA"/>
        </w:rPr>
        <w:t xml:space="preserve"> Association of Ontario</w:t>
      </w:r>
      <w:r w:rsidRPr="002C53FC">
        <w:rPr>
          <w:rFonts w:cs="Times New Roman"/>
          <w:lang w:val="fr-CA"/>
        </w:rPr>
        <w:t xml:space="preserve">, 2013 CSC 43, [2013] 3 R.C.S. 3, </w:t>
      </w:r>
      <w:r>
        <w:rPr>
          <w:rFonts w:cs="Times New Roman"/>
          <w:lang w:val="fr-CA"/>
        </w:rPr>
        <w:t>par. </w:t>
      </w:r>
      <w:r w:rsidRPr="002C53FC">
        <w:rPr>
          <w:rFonts w:cs="Times New Roman"/>
          <w:lang w:val="fr-CA"/>
        </w:rPr>
        <w:t>29.</w:t>
      </w:r>
    </w:p>
    <w:p w14:paraId="3FFBEA85" w14:textId="6092F00D" w:rsidR="002C65EF" w:rsidRPr="002C53FC" w:rsidRDefault="002C65EF" w:rsidP="002C65EF">
      <w:pPr>
        <w:pStyle w:val="ParaNoNdepar-AltN"/>
        <w:spacing w:before="0"/>
        <w:rPr>
          <w:rFonts w:cs="Times New Roman"/>
          <w:lang w:val="fr-CA"/>
        </w:rPr>
      </w:pPr>
      <w:r w:rsidRPr="002C53FC">
        <w:rPr>
          <w:rFonts w:cs="Times New Roman"/>
          <w:lang w:val="fr-CA"/>
        </w:rPr>
        <w:t>Ainsi que la Cour l</w:t>
      </w:r>
      <w:r>
        <w:rPr>
          <w:rFonts w:cs="Times New Roman"/>
          <w:lang w:val="fr-CA"/>
        </w:rPr>
        <w:t>’</w:t>
      </w:r>
      <w:r w:rsidRPr="002C53FC">
        <w:rPr>
          <w:rFonts w:cs="Times New Roman"/>
          <w:lang w:val="fr-CA"/>
        </w:rPr>
        <w:t>a souligné dans l</w:t>
      </w:r>
      <w:r>
        <w:rPr>
          <w:rFonts w:cs="Times New Roman"/>
          <w:lang w:val="fr-CA"/>
        </w:rPr>
        <w:t>’</w:t>
      </w:r>
      <w:r w:rsidRPr="002C53FC">
        <w:rPr>
          <w:rFonts w:cs="Times New Roman"/>
          <w:lang w:val="fr-CA"/>
        </w:rPr>
        <w:t xml:space="preserve">arrêt </w:t>
      </w:r>
      <w:r w:rsidRPr="002C53FC">
        <w:rPr>
          <w:rFonts w:cs="Times New Roman"/>
          <w:i/>
          <w:lang w:val="fr-CA"/>
        </w:rPr>
        <w:t>Criminal Lawyers</w:t>
      </w:r>
      <w:r>
        <w:rPr>
          <w:rFonts w:cs="Times New Roman"/>
          <w:i/>
          <w:lang w:val="fr-CA"/>
        </w:rPr>
        <w:t>’</w:t>
      </w:r>
      <w:r w:rsidRPr="002C53FC">
        <w:rPr>
          <w:rFonts w:cs="Times New Roman"/>
          <w:i/>
          <w:lang w:val="fr-CA"/>
        </w:rPr>
        <w:t xml:space="preserve"> Association</w:t>
      </w:r>
      <w:r w:rsidRPr="002C53FC">
        <w:rPr>
          <w:rFonts w:cs="Times New Roman"/>
          <w:lang w:val="fr-CA"/>
        </w:rPr>
        <w:t xml:space="preserve">, </w:t>
      </w:r>
      <w:r>
        <w:rPr>
          <w:rFonts w:cs="Times New Roman"/>
          <w:lang w:val="fr-CA"/>
        </w:rPr>
        <w:t>par. </w:t>
      </w:r>
      <w:r w:rsidRPr="002C53FC">
        <w:rPr>
          <w:rFonts w:cs="Times New Roman"/>
          <w:lang w:val="fr-CA"/>
        </w:rPr>
        <w:t>29</w:t>
      </w:r>
      <w:r w:rsidR="008B587B">
        <w:rPr>
          <w:rFonts w:cs="Times New Roman"/>
          <w:lang w:val="fr-CA"/>
        </w:rPr>
        <w:t>,</w:t>
      </w:r>
      <w:r w:rsidRPr="002C53FC">
        <w:rPr>
          <w:rFonts w:cs="Times New Roman"/>
          <w:lang w:val="fr-CA"/>
        </w:rPr>
        <w:t xml:space="preserve"> « un pouvoir ne peut jouer son rôle lorsqu</w:t>
      </w:r>
      <w:r>
        <w:rPr>
          <w:rFonts w:cs="Times New Roman"/>
          <w:lang w:val="fr-CA"/>
        </w:rPr>
        <w:t>’</w:t>
      </w:r>
      <w:r w:rsidRPr="002C53FC">
        <w:rPr>
          <w:rFonts w:cs="Times New Roman"/>
          <w:lang w:val="fr-CA"/>
        </w:rPr>
        <w:t>un autre empiète indûment sur lui ». Plusieurs doctrines jouent de manière à empêcher les ingérences indues, notamment celle assurant le caractère secret des délibérations judiciaires (</w:t>
      </w:r>
      <w:r w:rsidRPr="002C53FC">
        <w:rPr>
          <w:rFonts w:cs="Times New Roman"/>
          <w:i/>
          <w:lang w:val="fr-CA"/>
        </w:rPr>
        <w:t>MacKeigan c. Hickman</w:t>
      </w:r>
      <w:r w:rsidRPr="002C53FC">
        <w:rPr>
          <w:rFonts w:cs="Times New Roman"/>
          <w:lang w:val="fr-CA"/>
        </w:rPr>
        <w:t>, [1989] 2 R.C.S. 796), ainsi que celles relatives à la reconnaissance des privilèges, pouvoirs et immunités dont jouissent le Sénat, la Chambre des communes et les assemblées législatives</w:t>
      </w:r>
      <w:r>
        <w:rPr>
          <w:rFonts w:cs="Times New Roman"/>
          <w:lang w:val="fr-CA"/>
        </w:rPr>
        <w:t> :</w:t>
      </w:r>
      <w:r w:rsidRPr="002C53FC">
        <w:rPr>
          <w:rFonts w:cs="Times New Roman"/>
          <w:lang w:val="fr-CA"/>
        </w:rPr>
        <w:t xml:space="preserve"> </w:t>
      </w:r>
      <w:r w:rsidRPr="002C53FC">
        <w:rPr>
          <w:rFonts w:cs="Times New Roman"/>
          <w:i/>
          <w:lang w:val="fr-CA"/>
        </w:rPr>
        <w:t>Loi constitutionnelle de 1867</w:t>
      </w:r>
      <w:r w:rsidRPr="002C53FC">
        <w:rPr>
          <w:rFonts w:cs="Times New Roman"/>
          <w:lang w:val="fr-CA"/>
        </w:rPr>
        <w:t xml:space="preserve">, préambule et </w:t>
      </w:r>
      <w:r>
        <w:rPr>
          <w:rFonts w:cs="Times New Roman"/>
          <w:lang w:val="fr-CA"/>
        </w:rPr>
        <w:t>art. </w:t>
      </w:r>
      <w:r w:rsidRPr="002C53FC">
        <w:rPr>
          <w:rFonts w:cs="Times New Roman"/>
          <w:lang w:val="fr-CA"/>
        </w:rPr>
        <w:t xml:space="preserve">18; </w:t>
      </w:r>
      <w:r w:rsidRPr="002C53FC">
        <w:rPr>
          <w:rFonts w:cs="Times New Roman"/>
          <w:i/>
          <w:lang w:val="fr-CA"/>
        </w:rPr>
        <w:t>New Brunswick Broadcasting Co.</w:t>
      </w:r>
      <w:r w:rsidRPr="002C53FC">
        <w:rPr>
          <w:rFonts w:cs="Times New Roman"/>
          <w:lang w:val="fr-CA"/>
        </w:rPr>
        <w:t xml:space="preserve">; </w:t>
      </w:r>
      <w:r w:rsidRPr="002C53FC">
        <w:rPr>
          <w:rFonts w:cs="Times New Roman"/>
          <w:i/>
          <w:lang w:val="fr-CA"/>
        </w:rPr>
        <w:t>Canada (Chambre des communes) c. Vaid</w:t>
      </w:r>
      <w:r w:rsidRPr="002C53FC">
        <w:rPr>
          <w:rFonts w:cs="Times New Roman"/>
          <w:lang w:val="fr-CA"/>
        </w:rPr>
        <w:t xml:space="preserve">, 2005 CSC 30, [2005] 1 R.C.S. 667; </w:t>
      </w:r>
      <w:r w:rsidRPr="002C53FC">
        <w:rPr>
          <w:rFonts w:cs="Times New Roman"/>
          <w:i/>
          <w:lang w:val="fr-CA"/>
        </w:rPr>
        <w:t>Chagnon c. Syndicat de la fonction publique et parapublique du Québec</w:t>
      </w:r>
      <w:r w:rsidRPr="002C53FC">
        <w:rPr>
          <w:rFonts w:cs="Times New Roman"/>
          <w:lang w:val="fr-CA"/>
        </w:rPr>
        <w:t>, 2018 CSC 39, [2018] 2 R.C.S. 687. Ces doctrines sont un corolaire à la séparation des pouvoirs parce qu</w:t>
      </w:r>
      <w:r>
        <w:rPr>
          <w:rFonts w:cs="Times New Roman"/>
          <w:lang w:val="fr-CA"/>
        </w:rPr>
        <w:t>’</w:t>
      </w:r>
      <w:r w:rsidRPr="002C53FC">
        <w:rPr>
          <w:rFonts w:cs="Times New Roman"/>
          <w:lang w:val="fr-CA"/>
        </w:rPr>
        <w:t>elles contribuent à protéger la capacité de chaque branche de s</w:t>
      </w:r>
      <w:r>
        <w:rPr>
          <w:rFonts w:cs="Times New Roman"/>
          <w:lang w:val="fr-CA"/>
        </w:rPr>
        <w:t>’</w:t>
      </w:r>
      <w:r w:rsidRPr="002C53FC">
        <w:rPr>
          <w:rFonts w:cs="Times New Roman"/>
          <w:lang w:val="fr-CA"/>
        </w:rPr>
        <w:t>acquitter des fonctions qui lui sont attribuées par la Constitution.</w:t>
      </w:r>
    </w:p>
    <w:p w14:paraId="3E60C2D0"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Le pouvoir exécutif bénéficie lui aussi d</w:t>
      </w:r>
      <w:r>
        <w:rPr>
          <w:rFonts w:cs="Times New Roman"/>
          <w:lang w:val="fr-CA"/>
        </w:rPr>
        <w:t>’</w:t>
      </w:r>
      <w:r w:rsidRPr="002C53FC">
        <w:rPr>
          <w:rFonts w:cs="Times New Roman"/>
          <w:lang w:val="fr-CA"/>
        </w:rPr>
        <w:t>un certain degré de protection contre les ingérences indues. Les délibérations entre ministres sont ainsi protégées par la convention constitutionnelle relative à la confidentialité des délibérations du Cabinet. Notons que les conventions constitutionnelles n</w:t>
      </w:r>
      <w:r>
        <w:rPr>
          <w:rFonts w:cs="Times New Roman"/>
          <w:lang w:val="fr-CA"/>
        </w:rPr>
        <w:t>’</w:t>
      </w:r>
      <w:r w:rsidRPr="002C53FC">
        <w:rPr>
          <w:rFonts w:cs="Times New Roman"/>
          <w:lang w:val="fr-CA"/>
        </w:rPr>
        <w:t>ont pas d</w:t>
      </w:r>
      <w:r>
        <w:rPr>
          <w:rFonts w:cs="Times New Roman"/>
          <w:lang w:val="fr-CA"/>
        </w:rPr>
        <w:t>’</w:t>
      </w:r>
      <w:r w:rsidRPr="002C53FC">
        <w:rPr>
          <w:rFonts w:cs="Times New Roman"/>
          <w:lang w:val="fr-CA"/>
        </w:rPr>
        <w:t>effet juridique direct</w:t>
      </w:r>
      <w:r>
        <w:rPr>
          <w:rFonts w:cs="Times New Roman"/>
          <w:lang w:val="fr-CA"/>
        </w:rPr>
        <w:t> :</w:t>
      </w:r>
      <w:r w:rsidRPr="002C53FC">
        <w:rPr>
          <w:rFonts w:cs="Times New Roman"/>
          <w:lang w:val="fr-CA"/>
        </w:rPr>
        <w:t xml:space="preserve"> </w:t>
      </w:r>
      <w:r w:rsidRPr="002C53FC">
        <w:rPr>
          <w:rFonts w:cs="Times New Roman"/>
          <w:i/>
          <w:lang w:val="fr-CA"/>
        </w:rPr>
        <w:t>Renvoi</w:t>
      </w:r>
      <w:r>
        <w:rPr>
          <w:rFonts w:cs="Times New Roman"/>
          <w:i/>
          <w:lang w:val="fr-CA"/>
        </w:rPr>
        <w:t> :</w:t>
      </w:r>
      <w:r w:rsidRPr="002C53FC">
        <w:rPr>
          <w:rFonts w:cs="Times New Roman"/>
          <w:i/>
          <w:lang w:val="fr-CA"/>
        </w:rPr>
        <w:t xml:space="preserve"> Résolution pour modifier la Constitution</w:t>
      </w:r>
      <w:r w:rsidRPr="002C53FC">
        <w:rPr>
          <w:rFonts w:cs="Times New Roman"/>
          <w:lang w:val="fr-CA"/>
        </w:rPr>
        <w:t xml:space="preserve">, [1981] 1 R.C.S. 753, </w:t>
      </w:r>
      <w:r>
        <w:rPr>
          <w:rFonts w:cs="Times New Roman"/>
          <w:lang w:val="fr-CA"/>
        </w:rPr>
        <w:t>p. </w:t>
      </w:r>
      <w:r w:rsidRPr="002C53FC">
        <w:rPr>
          <w:rFonts w:cs="Times New Roman"/>
          <w:lang w:val="fr-CA"/>
        </w:rPr>
        <w:t>880</w:t>
      </w:r>
      <w:r>
        <w:rPr>
          <w:rFonts w:cs="Times New Roman"/>
          <w:lang w:val="fr-CA"/>
        </w:rPr>
        <w:noBreakHyphen/>
      </w:r>
      <w:r w:rsidRPr="002C53FC">
        <w:rPr>
          <w:rFonts w:cs="Times New Roman"/>
          <w:lang w:val="fr-CA"/>
        </w:rPr>
        <w:t xml:space="preserve">883; </w:t>
      </w:r>
      <w:r w:rsidRPr="002C53FC">
        <w:rPr>
          <w:rFonts w:cs="Times New Roman"/>
          <w:i/>
          <w:lang w:val="fr-CA"/>
        </w:rPr>
        <w:t>Renvoi relatif à la sécession du Québec</w:t>
      </w:r>
      <w:r w:rsidRPr="002C53FC">
        <w:rPr>
          <w:rFonts w:cs="Times New Roman"/>
          <w:lang w:val="fr-CA"/>
        </w:rPr>
        <w:t xml:space="preserve">, [1998] 2 R.C.S. 217, </w:t>
      </w:r>
      <w:r>
        <w:rPr>
          <w:rFonts w:cs="Times New Roman"/>
          <w:lang w:val="fr-CA"/>
        </w:rPr>
        <w:t>par. </w:t>
      </w:r>
      <w:r w:rsidRPr="002C53FC">
        <w:rPr>
          <w:rFonts w:cs="Times New Roman"/>
          <w:lang w:val="fr-CA"/>
        </w:rPr>
        <w:t>98. Toutefois, comme je l</w:t>
      </w:r>
      <w:r>
        <w:rPr>
          <w:rFonts w:cs="Times New Roman"/>
          <w:lang w:val="fr-CA"/>
        </w:rPr>
        <w:t>’</w:t>
      </w:r>
      <w:r w:rsidRPr="002C53FC">
        <w:rPr>
          <w:rFonts w:cs="Times New Roman"/>
          <w:lang w:val="fr-CA"/>
        </w:rPr>
        <w:t>expliquerai plus amplement, la common law respecte cette convention relative à la confidentialité et offre à l</w:t>
      </w:r>
      <w:r>
        <w:rPr>
          <w:rFonts w:cs="Times New Roman"/>
          <w:lang w:val="fr-CA"/>
        </w:rPr>
        <w:t>’</w:t>
      </w:r>
      <w:r w:rsidRPr="002C53FC">
        <w:rPr>
          <w:rFonts w:cs="Times New Roman"/>
          <w:lang w:val="fr-CA"/>
        </w:rPr>
        <w:t>exécutif une immunité d</w:t>
      </w:r>
      <w:r>
        <w:rPr>
          <w:rFonts w:cs="Times New Roman"/>
          <w:lang w:val="fr-CA"/>
        </w:rPr>
        <w:t>’</w:t>
      </w:r>
      <w:r w:rsidRPr="002C53FC">
        <w:rPr>
          <w:rFonts w:cs="Times New Roman"/>
          <w:lang w:val="fr-CA"/>
        </w:rPr>
        <w:t>intérêt public à l</w:t>
      </w:r>
      <w:r>
        <w:rPr>
          <w:rFonts w:cs="Times New Roman"/>
          <w:lang w:val="fr-CA"/>
        </w:rPr>
        <w:t>’</w:t>
      </w:r>
      <w:r w:rsidRPr="002C53FC">
        <w:rPr>
          <w:rFonts w:cs="Times New Roman"/>
          <w:lang w:val="fr-CA"/>
        </w:rPr>
        <w:t>égard des délibérations entre ministres</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sidRPr="002C53FC">
        <w:rPr>
          <w:rFonts w:cs="Times New Roman"/>
          <w:i/>
          <w:lang w:val="fr-CA"/>
        </w:rPr>
        <w:t>Babcock c. Canada (Procureur général)</w:t>
      </w:r>
      <w:r w:rsidRPr="002C53FC">
        <w:rPr>
          <w:rFonts w:cs="Times New Roman"/>
          <w:lang w:val="fr-CA"/>
        </w:rPr>
        <w:t xml:space="preserve">, 2002 CSC 57, [2002] 3 R.C.S. 3, </w:t>
      </w:r>
      <w:r>
        <w:rPr>
          <w:rFonts w:cs="Times New Roman"/>
          <w:lang w:val="fr-CA"/>
        </w:rPr>
        <w:t>par. </w:t>
      </w:r>
      <w:r w:rsidRPr="002C53FC">
        <w:rPr>
          <w:rFonts w:cs="Times New Roman"/>
          <w:lang w:val="fr-CA"/>
        </w:rPr>
        <w:t>18</w:t>
      </w:r>
      <w:r>
        <w:rPr>
          <w:rFonts w:cs="Times New Roman"/>
          <w:lang w:val="fr-CA"/>
        </w:rPr>
        <w:noBreakHyphen/>
      </w:r>
      <w:r w:rsidRPr="002C53FC">
        <w:rPr>
          <w:rFonts w:cs="Times New Roman"/>
          <w:lang w:val="fr-CA"/>
        </w:rPr>
        <w:t>19 et 60.</w:t>
      </w:r>
    </w:p>
    <w:p w14:paraId="211E7EE1" w14:textId="77777777" w:rsidR="002C65EF" w:rsidRPr="002C53FC" w:rsidRDefault="002C65EF" w:rsidP="002C65EF">
      <w:pPr>
        <w:pStyle w:val="ParaNoNdepar-AltN"/>
        <w:spacing w:before="0"/>
        <w:rPr>
          <w:rFonts w:cs="Times New Roman"/>
          <w:lang w:val="fr-CA"/>
        </w:rPr>
      </w:pPr>
      <w:r w:rsidRPr="002C53FC">
        <w:rPr>
          <w:rFonts w:cs="Times New Roman"/>
          <w:lang w:val="fr-CA"/>
        </w:rPr>
        <w:t>Lorsque l</w:t>
      </w:r>
      <w:r>
        <w:rPr>
          <w:rFonts w:cs="Times New Roman"/>
          <w:lang w:val="fr-CA"/>
        </w:rPr>
        <w:t>’</w:t>
      </w:r>
      <w:r w:rsidRPr="002C53FC">
        <w:rPr>
          <w:rFonts w:cs="Times New Roman"/>
          <w:lang w:val="fr-CA"/>
        </w:rPr>
        <w:t>exécutif joue un rôle dans la formulation de la réponse d</w:t>
      </w:r>
      <w:r>
        <w:rPr>
          <w:rFonts w:cs="Times New Roman"/>
          <w:lang w:val="fr-CA"/>
        </w:rPr>
        <w:t>’</w:t>
      </w:r>
      <w:r w:rsidRPr="002C53FC">
        <w:rPr>
          <w:rFonts w:cs="Times New Roman"/>
          <w:lang w:val="fr-CA"/>
        </w:rPr>
        <w:t>un gouvernement aux recommandations d</w:t>
      </w:r>
      <w:r>
        <w:rPr>
          <w:rFonts w:cs="Times New Roman"/>
          <w:lang w:val="fr-CA"/>
        </w:rPr>
        <w:t>’</w:t>
      </w:r>
      <w:r w:rsidRPr="002C53FC">
        <w:rPr>
          <w:rFonts w:cs="Times New Roman"/>
          <w:lang w:val="fr-CA"/>
        </w:rPr>
        <w:t>une commission d</w:t>
      </w:r>
      <w:r>
        <w:rPr>
          <w:rFonts w:cs="Times New Roman"/>
          <w:lang w:val="fr-CA"/>
        </w:rPr>
        <w:t>’</w:t>
      </w:r>
      <w:r w:rsidRPr="002C53FC">
        <w:rPr>
          <w:rFonts w:cs="Times New Roman"/>
          <w:lang w:val="fr-CA"/>
        </w:rPr>
        <w:t>examen de la rémunération des juges, le Cabinet détermine généralement la position qu</w:t>
      </w:r>
      <w:r>
        <w:rPr>
          <w:rFonts w:cs="Times New Roman"/>
          <w:lang w:val="fr-CA"/>
        </w:rPr>
        <w:t>’</w:t>
      </w:r>
      <w:r w:rsidRPr="002C53FC">
        <w:rPr>
          <w:rFonts w:cs="Times New Roman"/>
          <w:lang w:val="fr-CA"/>
        </w:rPr>
        <w:t>adopte l</w:t>
      </w:r>
      <w:r>
        <w:rPr>
          <w:rFonts w:cs="Times New Roman"/>
          <w:lang w:val="fr-CA"/>
        </w:rPr>
        <w:t>’</w:t>
      </w:r>
      <w:r w:rsidRPr="002C53FC">
        <w:rPr>
          <w:rFonts w:cs="Times New Roman"/>
          <w:lang w:val="fr-CA"/>
        </w:rPr>
        <w:t>exécutif. Les discussions entre ministres au sujet de la façon dont ils perçoivent les recommandations et de la réponse que le gouvernement devrait y donner sont normalement protégées par la confidentialité des délibérations du Cabinet.</w:t>
      </w:r>
    </w:p>
    <w:p w14:paraId="29F644FF" w14:textId="77777777" w:rsidR="002C65EF" w:rsidRPr="002C53FC" w:rsidRDefault="002C65EF" w:rsidP="002C65EF">
      <w:pPr>
        <w:pStyle w:val="ParaNoNdepar-AltN"/>
        <w:spacing w:before="0"/>
        <w:rPr>
          <w:rFonts w:cs="Times New Roman"/>
          <w:lang w:val="fr-CA"/>
        </w:rPr>
      </w:pPr>
      <w:r w:rsidRPr="002C53FC">
        <w:rPr>
          <w:rFonts w:cs="Times New Roman"/>
          <w:lang w:val="fr-CA"/>
        </w:rPr>
        <w:t>Il se peut très bien qu</w:t>
      </w:r>
      <w:r>
        <w:rPr>
          <w:rFonts w:cs="Times New Roman"/>
          <w:lang w:val="fr-CA"/>
        </w:rPr>
        <w:t>’</w:t>
      </w:r>
      <w:r w:rsidRPr="002C53FC">
        <w:rPr>
          <w:rFonts w:cs="Times New Roman"/>
          <w:lang w:val="fr-CA"/>
        </w:rPr>
        <w:t>un document qui rend compte des délibérations du Cabinet à propos de la réponse d</w:t>
      </w:r>
      <w:r>
        <w:rPr>
          <w:rFonts w:cs="Times New Roman"/>
          <w:lang w:val="fr-CA"/>
        </w:rPr>
        <w:t>’</w:t>
      </w:r>
      <w:r w:rsidRPr="002C53FC">
        <w:rPr>
          <w:rFonts w:cs="Times New Roman"/>
          <w:lang w:val="fr-CA"/>
        </w:rPr>
        <w:t>un gouvernement soit pertinent, ne serait</w:t>
      </w:r>
      <w:r>
        <w:rPr>
          <w:rFonts w:cs="Times New Roman"/>
          <w:lang w:val="fr-CA"/>
        </w:rPr>
        <w:noBreakHyphen/>
      </w:r>
      <w:r w:rsidRPr="002C53FC">
        <w:rPr>
          <w:rFonts w:cs="Times New Roman"/>
          <w:lang w:val="fr-CA"/>
        </w:rPr>
        <w:t>ce que pour réfuter l</w:t>
      </w:r>
      <w:r>
        <w:rPr>
          <w:rFonts w:cs="Times New Roman"/>
          <w:lang w:val="fr-CA"/>
        </w:rPr>
        <w:t>’</w:t>
      </w:r>
      <w:r w:rsidRPr="002C53FC">
        <w:rPr>
          <w:rFonts w:cs="Times New Roman"/>
          <w:lang w:val="fr-CA"/>
        </w:rPr>
        <w:t>allégation que celui</w:t>
      </w:r>
      <w:r>
        <w:rPr>
          <w:rFonts w:cs="Times New Roman"/>
          <w:lang w:val="fr-CA"/>
        </w:rPr>
        <w:noBreakHyphen/>
      </w:r>
      <w:r w:rsidRPr="002C53FC">
        <w:rPr>
          <w:rFonts w:cs="Times New Roman"/>
          <w:lang w:val="fr-CA"/>
        </w:rPr>
        <w:t>ci a manqué à ses obligations constitutionnelles. Si le gouvernement cherchait à faire admettre le document à l</w:t>
      </w:r>
      <w:r>
        <w:rPr>
          <w:rFonts w:cs="Times New Roman"/>
          <w:lang w:val="fr-CA"/>
        </w:rPr>
        <w:t>’</w:t>
      </w:r>
      <w:r w:rsidRPr="002C53FC">
        <w:rPr>
          <w:rFonts w:cs="Times New Roman"/>
          <w:lang w:val="fr-CA"/>
        </w:rPr>
        <w:t>appui d</w:t>
      </w:r>
      <w:r>
        <w:rPr>
          <w:rFonts w:cs="Times New Roman"/>
          <w:lang w:val="fr-CA"/>
        </w:rPr>
        <w:t>’</w:t>
      </w:r>
      <w:r w:rsidRPr="002C53FC">
        <w:rPr>
          <w:rFonts w:cs="Times New Roman"/>
          <w:lang w:val="fr-CA"/>
        </w:rPr>
        <w:t>un affidavit tendant à établir sa bonne foi et son engagement à l</w:t>
      </w:r>
      <w:r>
        <w:rPr>
          <w:rFonts w:cs="Times New Roman"/>
          <w:lang w:val="fr-CA"/>
        </w:rPr>
        <w:t>’</w:t>
      </w:r>
      <w:r w:rsidRPr="002C53FC">
        <w:rPr>
          <w:rFonts w:cs="Times New Roman"/>
          <w:lang w:val="fr-CA"/>
        </w:rPr>
        <w:t xml:space="preserve">égard du mécanisme du genre décrit au </w:t>
      </w:r>
      <w:r>
        <w:rPr>
          <w:rFonts w:cs="Times New Roman"/>
          <w:lang w:val="fr-CA"/>
        </w:rPr>
        <w:lastRenderedPageBreak/>
        <w:t>par. </w:t>
      </w:r>
      <w:r w:rsidRPr="002C53FC">
        <w:rPr>
          <w:rFonts w:cs="Times New Roman"/>
          <w:lang w:val="fr-CA"/>
        </w:rPr>
        <w:t>36 de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le document serait sans aucun doute jugé pertinent. Par conséquent, il est difficile de concevoir comment il n</w:t>
      </w:r>
      <w:r>
        <w:rPr>
          <w:rFonts w:cs="Times New Roman"/>
          <w:lang w:val="fr-CA"/>
        </w:rPr>
        <w:t>’</w:t>
      </w:r>
      <w:r w:rsidRPr="002C53FC">
        <w:rPr>
          <w:rFonts w:cs="Times New Roman"/>
          <w:lang w:val="fr-CA"/>
        </w:rPr>
        <w:t>en irait pas de même lorsqu</w:t>
      </w:r>
      <w:r>
        <w:rPr>
          <w:rFonts w:cs="Times New Roman"/>
          <w:lang w:val="fr-CA"/>
        </w:rPr>
        <w:t>’</w:t>
      </w:r>
      <w:r w:rsidRPr="002C53FC">
        <w:rPr>
          <w:rFonts w:cs="Times New Roman"/>
          <w:lang w:val="fr-CA"/>
        </w:rPr>
        <w:t xml:space="preserve">une partie qui sollicite le contrôle de type </w:t>
      </w:r>
      <w:r w:rsidRPr="002C53FC">
        <w:rPr>
          <w:rFonts w:cs="Times New Roman"/>
          <w:i/>
          <w:lang w:val="fr-CA"/>
        </w:rPr>
        <w:t>Bodner</w:t>
      </w:r>
      <w:r w:rsidRPr="002C53FC">
        <w:rPr>
          <w:rFonts w:cs="Times New Roman"/>
          <w:lang w:val="fr-CA"/>
        </w:rPr>
        <w:t xml:space="preserve"> cherche à faire admettre le document pour contester les allégations de bonne foi et d</w:t>
      </w:r>
      <w:r>
        <w:rPr>
          <w:rFonts w:cs="Times New Roman"/>
          <w:lang w:val="fr-CA"/>
        </w:rPr>
        <w:t>’</w:t>
      </w:r>
      <w:r w:rsidRPr="002C53FC">
        <w:rPr>
          <w:rFonts w:cs="Times New Roman"/>
          <w:lang w:val="fr-CA"/>
        </w:rPr>
        <w:t>engagement à l</w:t>
      </w:r>
      <w:r>
        <w:rPr>
          <w:rFonts w:cs="Times New Roman"/>
          <w:lang w:val="fr-CA"/>
        </w:rPr>
        <w:t>’</w:t>
      </w:r>
      <w:r w:rsidRPr="002C53FC">
        <w:rPr>
          <w:rFonts w:cs="Times New Roman"/>
          <w:lang w:val="fr-CA"/>
        </w:rPr>
        <w:t>égard du mécanisme mises de l</w:t>
      </w:r>
      <w:r>
        <w:rPr>
          <w:rFonts w:cs="Times New Roman"/>
          <w:lang w:val="fr-CA"/>
        </w:rPr>
        <w:t>’</w:t>
      </w:r>
      <w:r w:rsidRPr="002C53FC">
        <w:rPr>
          <w:rFonts w:cs="Times New Roman"/>
          <w:lang w:val="fr-CA"/>
        </w:rPr>
        <w:t>avant par le gouvernement ou pour soulever la question de la légitimité des motifs de l</w:t>
      </w:r>
      <w:r>
        <w:rPr>
          <w:rFonts w:cs="Times New Roman"/>
          <w:lang w:val="fr-CA"/>
        </w:rPr>
        <w:t>’</w:t>
      </w:r>
      <w:r w:rsidRPr="002C53FC">
        <w:rPr>
          <w:rFonts w:cs="Times New Roman"/>
          <w:lang w:val="fr-CA"/>
        </w:rPr>
        <w:t>action du gouvernement ou celle du caractère illégitime ou déguisé de son but.</w:t>
      </w:r>
    </w:p>
    <w:p w14:paraId="67C1BA82"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En conséquence, si la pertinence était le seul critère déterminant, les documents confidentiels du Cabinet feraient systématiquement partie des dossiers de contrôles de type </w:t>
      </w:r>
      <w:r w:rsidRPr="002C53FC">
        <w:rPr>
          <w:rFonts w:cs="Times New Roman"/>
          <w:i/>
          <w:lang w:val="fr-CA"/>
        </w:rPr>
        <w:t>Bodner</w:t>
      </w:r>
      <w:r w:rsidRPr="002C53FC">
        <w:rPr>
          <w:rFonts w:cs="Times New Roman"/>
          <w:lang w:val="fr-CA"/>
        </w:rPr>
        <w:t>. Par exemple, le document du Cabinet pourrait soit tendre à étayer la prétention que la réponse d</w:t>
      </w:r>
      <w:r>
        <w:rPr>
          <w:rFonts w:cs="Times New Roman"/>
          <w:lang w:val="fr-CA"/>
        </w:rPr>
        <w:t>’</w:t>
      </w:r>
      <w:r w:rsidRPr="002C53FC">
        <w:rPr>
          <w:rFonts w:cs="Times New Roman"/>
          <w:lang w:val="fr-CA"/>
        </w:rPr>
        <w:t>un gouvernement n</w:t>
      </w:r>
      <w:r>
        <w:rPr>
          <w:rFonts w:cs="Times New Roman"/>
          <w:lang w:val="fr-CA"/>
        </w:rPr>
        <w:t>’</w:t>
      </w:r>
      <w:r w:rsidRPr="002C53FC">
        <w:rPr>
          <w:rFonts w:cs="Times New Roman"/>
          <w:lang w:val="fr-CA"/>
        </w:rPr>
        <w:t>a pas respecté les exigences constitutionnelles qui s</w:t>
      </w:r>
      <w:r>
        <w:rPr>
          <w:rFonts w:cs="Times New Roman"/>
          <w:lang w:val="fr-CA"/>
        </w:rPr>
        <w:t>’</w:t>
      </w:r>
      <w:r w:rsidRPr="002C53FC">
        <w:rPr>
          <w:rFonts w:cs="Times New Roman"/>
          <w:lang w:val="fr-CA"/>
        </w:rPr>
        <w:t>y appliquent, soit tendre à réfuter cette prétention. Selon moi, il faut quelque chose de plus que la pertinence pour établir le juste équilibre entre le respect de la confidentialité des délibérations du Cabinet et le maintien de l</w:t>
      </w:r>
      <w:r>
        <w:rPr>
          <w:rFonts w:cs="Times New Roman"/>
          <w:lang w:val="fr-CA"/>
        </w:rPr>
        <w:t>’</w:t>
      </w:r>
      <w:r w:rsidRPr="002C53FC">
        <w:rPr>
          <w:rFonts w:cs="Times New Roman"/>
          <w:lang w:val="fr-CA"/>
        </w:rPr>
        <w:t xml:space="preserve">intégrité dans son ensemble du contrôle de type </w:t>
      </w:r>
      <w:r w:rsidRPr="002C53FC">
        <w:rPr>
          <w:rFonts w:cs="Times New Roman"/>
          <w:i/>
          <w:lang w:val="fr-CA"/>
        </w:rPr>
        <w:t>Bodner</w:t>
      </w:r>
      <w:r w:rsidRPr="002C53FC">
        <w:rPr>
          <w:rFonts w:cs="Times New Roman"/>
          <w:lang w:val="fr-CA"/>
        </w:rPr>
        <w:t>.</w:t>
      </w:r>
    </w:p>
    <w:p w14:paraId="0E1CFF32" w14:textId="1C5DAF54" w:rsidR="002C65EF" w:rsidRPr="002C53FC" w:rsidRDefault="002C65EF" w:rsidP="002C65EF">
      <w:pPr>
        <w:pStyle w:val="ParaNoNdepar-AltN"/>
        <w:spacing w:before="0"/>
        <w:rPr>
          <w:rFonts w:cs="Times New Roman"/>
          <w:lang w:val="fr-CA"/>
        </w:rPr>
      </w:pPr>
      <w:r w:rsidRPr="002C53FC">
        <w:rPr>
          <w:rFonts w:cs="Times New Roman"/>
          <w:lang w:val="fr-CA"/>
        </w:rPr>
        <w:t>Comme je l</w:t>
      </w:r>
      <w:r>
        <w:rPr>
          <w:rFonts w:cs="Times New Roman"/>
          <w:lang w:val="fr-CA"/>
        </w:rPr>
        <w:t>’</w:t>
      </w:r>
      <w:r w:rsidRPr="002C53FC">
        <w:rPr>
          <w:rFonts w:cs="Times New Roman"/>
          <w:lang w:val="fr-CA"/>
        </w:rPr>
        <w:t xml:space="preserve">ai évoqué précédemment, un contrôle de type </w:t>
      </w:r>
      <w:r w:rsidRPr="002C53FC">
        <w:rPr>
          <w:rFonts w:cs="Times New Roman"/>
          <w:i/>
          <w:lang w:val="fr-CA"/>
        </w:rPr>
        <w:t>Bodner</w:t>
      </w:r>
      <w:r w:rsidRPr="002C53FC">
        <w:rPr>
          <w:rFonts w:cs="Times New Roman"/>
          <w:lang w:val="fr-CA"/>
        </w:rPr>
        <w:t xml:space="preserve"> met généralement en opposition deux branches de l</w:t>
      </w:r>
      <w:r>
        <w:rPr>
          <w:rFonts w:cs="Times New Roman"/>
          <w:lang w:val="fr-CA"/>
        </w:rPr>
        <w:t>’</w:t>
      </w:r>
      <w:r w:rsidRPr="002C53FC">
        <w:rPr>
          <w:rFonts w:cs="Times New Roman"/>
          <w:lang w:val="fr-CA"/>
        </w:rPr>
        <w:t>État</w:t>
      </w:r>
      <w:r>
        <w:rPr>
          <w:rFonts w:cs="Times New Roman"/>
          <w:lang w:val="fr-CA"/>
        </w:rPr>
        <w:t> :</w:t>
      </w:r>
      <w:r w:rsidRPr="002C53FC">
        <w:rPr>
          <w:rFonts w:cs="Times New Roman"/>
          <w:lang w:val="fr-CA"/>
        </w:rPr>
        <w:t xml:space="preserve"> les membres de la magistrature contestent la réponse du gouvernement et le procureur général la défend. Lorsque la réponse émane de la législature ou d</w:t>
      </w:r>
      <w:r>
        <w:rPr>
          <w:rFonts w:cs="Times New Roman"/>
          <w:lang w:val="fr-CA"/>
        </w:rPr>
        <w:t>’</w:t>
      </w:r>
      <w:r w:rsidRPr="002C53FC">
        <w:rPr>
          <w:rFonts w:cs="Times New Roman"/>
          <w:lang w:val="fr-CA"/>
        </w:rPr>
        <w:t>une collaboration entre elle et l</w:t>
      </w:r>
      <w:r>
        <w:rPr>
          <w:rFonts w:cs="Times New Roman"/>
          <w:lang w:val="fr-CA"/>
        </w:rPr>
        <w:t>’</w:t>
      </w:r>
      <w:r w:rsidRPr="002C53FC">
        <w:rPr>
          <w:rFonts w:cs="Times New Roman"/>
          <w:lang w:val="fr-CA"/>
        </w:rPr>
        <w:t xml:space="preserve">exécutif, les intérêts des trois branches peuvent être en jeu, que ce soit directement ou indirectement. Or, compte tenu de la structure constitutionnelle de notre État, un membre de la magistrature sera également nécessairement appelé à entendre la demande de contrôle </w:t>
      </w:r>
      <w:r w:rsidRPr="002C53FC">
        <w:rPr>
          <w:rFonts w:cs="Times New Roman"/>
          <w:lang w:val="fr-CA"/>
        </w:rPr>
        <w:lastRenderedPageBreak/>
        <w:t xml:space="preserve">de type </w:t>
      </w:r>
      <w:r w:rsidRPr="002C53FC">
        <w:rPr>
          <w:rFonts w:cs="Times New Roman"/>
          <w:i/>
          <w:lang w:val="fr-CA"/>
        </w:rPr>
        <w:t>Bodner</w:t>
      </w:r>
      <w:r w:rsidRPr="002C53FC">
        <w:rPr>
          <w:rFonts w:cs="Times New Roman"/>
          <w:lang w:val="fr-CA"/>
        </w:rPr>
        <w:t xml:space="preserve"> et à la trancher</w:t>
      </w:r>
      <w:r>
        <w:rPr>
          <w:rFonts w:cs="Times New Roman"/>
          <w:lang w:val="fr-CA"/>
        </w:rPr>
        <w:t> :</w:t>
      </w:r>
      <w:r w:rsidRPr="002C53FC">
        <w:rPr>
          <w:rFonts w:cs="Times New Roman"/>
          <w:lang w:val="fr-CA"/>
        </w:rPr>
        <w:t xml:space="preserve"> voir le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180;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29. Du fait de la doctrine de la nécessité, il en est ainsi même si le juge saisi de la demande est directement touché par les recommandations de la commission et par la réponse du gouvernement</w:t>
      </w:r>
      <w:r>
        <w:rPr>
          <w:rFonts w:cs="Times New Roman"/>
          <w:lang w:val="fr-CA"/>
        </w:rPr>
        <w:t> :</w:t>
      </w:r>
      <w:r w:rsidRPr="002C53FC">
        <w:rPr>
          <w:rFonts w:cs="Times New Roman"/>
          <w:lang w:val="fr-CA"/>
        </w:rPr>
        <w:t xml:space="preserve"> voir le </w:t>
      </w:r>
      <w:r w:rsidRPr="002C53FC">
        <w:rPr>
          <w:rFonts w:cs="Times New Roman"/>
          <w:i/>
          <w:lang w:val="fr-CA"/>
        </w:rPr>
        <w:t xml:space="preserve">Renvoi relatif </w:t>
      </w:r>
      <w:r w:rsidR="00CD56B5">
        <w:rPr>
          <w:rFonts w:cs="Times New Roman"/>
          <w:i/>
          <w:lang w:val="fr-CA"/>
        </w:rPr>
        <w:t>à la rémunération des</w:t>
      </w:r>
      <w:r w:rsidRPr="002C53FC">
        <w:rPr>
          <w:rFonts w:cs="Times New Roman"/>
          <w:i/>
          <w:lang w:val="fr-CA"/>
        </w:rPr>
        <w:t xml:space="preserve"> juges de la Cour provinciale</w:t>
      </w:r>
      <w:r w:rsidR="00CD56B5">
        <w:rPr>
          <w:rFonts w:cs="Times New Roman"/>
          <w:i/>
          <w:lang w:val="fr-CA"/>
        </w:rPr>
        <w:t xml:space="preserve"> de l’Île-du-Prince-Édouard</w:t>
      </w:r>
      <w:r w:rsidRPr="002C53FC">
        <w:rPr>
          <w:rFonts w:cs="Times New Roman"/>
          <w:lang w:val="fr-CA"/>
        </w:rPr>
        <w:t xml:space="preserve">, [1998] 1 R.C.S. 3, </w:t>
      </w:r>
      <w:r>
        <w:rPr>
          <w:rFonts w:cs="Times New Roman"/>
          <w:lang w:val="fr-CA"/>
        </w:rPr>
        <w:t>par. </w:t>
      </w:r>
      <w:r w:rsidRPr="002C53FC">
        <w:rPr>
          <w:rFonts w:cs="Times New Roman"/>
          <w:lang w:val="fr-CA"/>
        </w:rPr>
        <w:t>5.</w:t>
      </w:r>
    </w:p>
    <w:p w14:paraId="0976DF35" w14:textId="77777777" w:rsidR="002C65EF" w:rsidRPr="002C53FC" w:rsidRDefault="002C65EF" w:rsidP="002C65EF">
      <w:pPr>
        <w:pStyle w:val="ParaNoNdepar-AltN"/>
        <w:spacing w:before="0"/>
        <w:rPr>
          <w:rFonts w:cs="Times New Roman"/>
          <w:lang w:val="fr-CA"/>
        </w:rPr>
      </w:pPr>
      <w:r w:rsidRPr="002C53FC">
        <w:rPr>
          <w:rFonts w:cs="Times New Roman"/>
          <w:lang w:val="fr-CA"/>
        </w:rPr>
        <w:t>Une consultation systématique d</w:t>
      </w:r>
      <w:r>
        <w:rPr>
          <w:rFonts w:cs="Times New Roman"/>
          <w:lang w:val="fr-CA"/>
        </w:rPr>
        <w:t>’</w:t>
      </w:r>
      <w:r w:rsidRPr="002C53FC">
        <w:rPr>
          <w:rFonts w:cs="Times New Roman"/>
          <w:lang w:val="fr-CA"/>
        </w:rPr>
        <w:t>un document confidentiel du Cabinet par un juge révèlerait à un membre de la magistrature la teneur des délibérations du Cabinet. Même si toute consultation d</w:t>
      </w:r>
      <w:r>
        <w:rPr>
          <w:rFonts w:cs="Times New Roman"/>
          <w:lang w:val="fr-CA"/>
        </w:rPr>
        <w:t>’</w:t>
      </w:r>
      <w:r w:rsidRPr="002C53FC">
        <w:rPr>
          <w:rFonts w:cs="Times New Roman"/>
          <w:lang w:val="fr-CA"/>
        </w:rPr>
        <w:t>un document confidentiel du Cabinet mine la confidentialité des délibérations du Cabinet dans une certaine mesure, celle menée par un juge d</w:t>
      </w:r>
      <w:r>
        <w:rPr>
          <w:rFonts w:cs="Times New Roman"/>
          <w:lang w:val="fr-CA"/>
        </w:rPr>
        <w:t>’</w:t>
      </w:r>
      <w:r w:rsidRPr="002C53FC">
        <w:rPr>
          <w:rFonts w:cs="Times New Roman"/>
          <w:lang w:val="fr-CA"/>
        </w:rPr>
        <w:t>un document qui porte sur les délibérations du Cabinet relativement à la magistrature la minerait encore plus. Cela est d</w:t>
      </w:r>
      <w:r>
        <w:rPr>
          <w:rFonts w:cs="Times New Roman"/>
          <w:lang w:val="fr-CA"/>
        </w:rPr>
        <w:t>’</w:t>
      </w:r>
      <w:r w:rsidRPr="002C53FC">
        <w:rPr>
          <w:rFonts w:cs="Times New Roman"/>
          <w:lang w:val="fr-CA"/>
        </w:rPr>
        <w:t>autant plus vrai lorsque le juge est directement touché par la réponse résultant de ces délibérations. Comme lorsqu</w:t>
      </w:r>
      <w:r>
        <w:rPr>
          <w:rFonts w:cs="Times New Roman"/>
          <w:lang w:val="fr-CA"/>
        </w:rPr>
        <w:t>’</w:t>
      </w:r>
      <w:r w:rsidRPr="002C53FC">
        <w:rPr>
          <w:rFonts w:cs="Times New Roman"/>
          <w:lang w:val="fr-CA"/>
        </w:rPr>
        <w:t xml:space="preserve">il est question de trancher un contrôle de type </w:t>
      </w:r>
      <w:r w:rsidRPr="002C53FC">
        <w:rPr>
          <w:rFonts w:cs="Times New Roman"/>
          <w:i/>
          <w:lang w:val="fr-CA"/>
        </w:rPr>
        <w:t>Bodner</w:t>
      </w:r>
      <w:r w:rsidRPr="002C53FC">
        <w:rPr>
          <w:rFonts w:cs="Times New Roman"/>
          <w:lang w:val="fr-CA"/>
        </w:rPr>
        <w:t xml:space="preserve"> lui</w:t>
      </w:r>
      <w:r>
        <w:rPr>
          <w:rFonts w:cs="Times New Roman"/>
          <w:lang w:val="fr-CA"/>
        </w:rPr>
        <w:noBreakHyphen/>
      </w:r>
      <w:r w:rsidRPr="002C53FC">
        <w:rPr>
          <w:rFonts w:cs="Times New Roman"/>
          <w:lang w:val="fr-CA"/>
        </w:rPr>
        <w:t>même, la consultation du document par un juge est appropriée dans ce contexte, uniquement lorsqu</w:t>
      </w:r>
      <w:r>
        <w:rPr>
          <w:rFonts w:cs="Times New Roman"/>
          <w:lang w:val="fr-CA"/>
        </w:rPr>
        <w:t>’</w:t>
      </w:r>
      <w:r w:rsidRPr="002C53FC">
        <w:rPr>
          <w:rFonts w:cs="Times New Roman"/>
          <w:lang w:val="fr-CA"/>
        </w:rPr>
        <w:t>elle est strictement nécessaire.</w:t>
      </w:r>
    </w:p>
    <w:p w14:paraId="305DB704" w14:textId="77777777" w:rsidR="002C65EF" w:rsidRPr="002C53FC" w:rsidRDefault="002C65EF" w:rsidP="002C65EF">
      <w:pPr>
        <w:pStyle w:val="ParaNoNdepar-AltN"/>
        <w:spacing w:before="0"/>
        <w:rPr>
          <w:rFonts w:cs="Times New Roman"/>
          <w:lang w:val="fr-CA"/>
        </w:rPr>
      </w:pPr>
      <w:r w:rsidRPr="002C53FC">
        <w:rPr>
          <w:rFonts w:cs="Times New Roman"/>
          <w:lang w:val="fr-CA"/>
        </w:rPr>
        <w:t>À mon avis, ces considérations particulières devraient être prises en compte à deux étapes différentes.</w:t>
      </w:r>
    </w:p>
    <w:p w14:paraId="1642E83A" w14:textId="77777777" w:rsidR="002C65EF" w:rsidRPr="002C53FC" w:rsidRDefault="002C65EF" w:rsidP="002C65EF">
      <w:pPr>
        <w:pStyle w:val="ParaNoNdepar-AltN"/>
        <w:spacing w:before="0"/>
        <w:rPr>
          <w:rFonts w:cs="Times New Roman"/>
          <w:lang w:val="fr-CA"/>
        </w:rPr>
      </w:pPr>
      <w:r w:rsidRPr="002C53FC">
        <w:rPr>
          <w:rFonts w:cs="Times New Roman"/>
          <w:lang w:val="fr-CA"/>
        </w:rPr>
        <w:t>En premier lieu, une démonstration préliminaire est nécessaire.</w:t>
      </w:r>
    </w:p>
    <w:p w14:paraId="1FD3AF65"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 xml:space="preserve">Ainsi, avant que le juge saisi du contrôle de type </w:t>
      </w:r>
      <w:r w:rsidRPr="002C53FC">
        <w:rPr>
          <w:rFonts w:cs="Times New Roman"/>
          <w:i/>
          <w:lang w:val="fr-CA"/>
        </w:rPr>
        <w:t>Bodner</w:t>
      </w:r>
      <w:r w:rsidRPr="002C53FC">
        <w:rPr>
          <w:rFonts w:cs="Times New Roman"/>
          <w:lang w:val="fr-CA"/>
        </w:rPr>
        <w:t xml:space="preserve"> puisse examiner le document, la partie qui le demande doit établir qu</w:t>
      </w:r>
      <w:r>
        <w:rPr>
          <w:rFonts w:cs="Times New Roman"/>
          <w:lang w:val="fr-CA"/>
        </w:rPr>
        <w:t>’</w:t>
      </w:r>
      <w:r w:rsidRPr="002C53FC">
        <w:rPr>
          <w:rFonts w:cs="Times New Roman"/>
          <w:lang w:val="fr-CA"/>
        </w:rPr>
        <w:t>il existe des raisons de croire que le document du Cabinet en question peut contenir des éléments de preuve tendant à démontrer que le gouvernement n</w:t>
      </w:r>
      <w:r>
        <w:rPr>
          <w:rFonts w:cs="Times New Roman"/>
          <w:lang w:val="fr-CA"/>
        </w:rPr>
        <w:t>’</w:t>
      </w:r>
      <w:r w:rsidRPr="002C53FC">
        <w:rPr>
          <w:rFonts w:cs="Times New Roman"/>
          <w:lang w:val="fr-CA"/>
        </w:rPr>
        <w:t>a pas satisfait à une exigence décrite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w:t>
      </w:r>
    </w:p>
    <w:p w14:paraId="16FC839F" w14:textId="77777777" w:rsidR="002C65EF" w:rsidRPr="002C53FC" w:rsidRDefault="002C65EF" w:rsidP="002C65EF">
      <w:pPr>
        <w:pStyle w:val="ParaNoNdepar-AltN"/>
        <w:spacing w:before="0"/>
        <w:rPr>
          <w:rFonts w:cs="Times New Roman"/>
          <w:lang w:val="fr-CA"/>
        </w:rPr>
      </w:pPr>
      <w:r w:rsidRPr="002C53FC">
        <w:rPr>
          <w:rFonts w:cs="Times New Roman"/>
          <w:lang w:val="fr-CA"/>
        </w:rPr>
        <w:t>Cette démonstration préliminaire est faite si la partie qui sollicite le contrôle parvient à établir qu</w:t>
      </w:r>
      <w:r>
        <w:rPr>
          <w:rFonts w:cs="Times New Roman"/>
          <w:lang w:val="fr-CA"/>
        </w:rPr>
        <w:t>’</w:t>
      </w:r>
      <w:r w:rsidRPr="002C53FC">
        <w:rPr>
          <w:rFonts w:cs="Times New Roman"/>
          <w:lang w:val="fr-CA"/>
        </w:rPr>
        <w:t>il existe des raisons de croire que le document du Cabinet peut contenir des renseignements susceptibles de miner la validité de la réponse du gouvernement. Cette exigence oblige la partie demandant le contrôle à faire ressortir du dossier quelque chose — y compris des éléments de preuve autrement admissibles — qui étaye sa prétention selon laquelle le document peut tendre à démontrer que la réponse du gouvernement n</w:t>
      </w:r>
      <w:r>
        <w:rPr>
          <w:rFonts w:cs="Times New Roman"/>
          <w:lang w:val="fr-CA"/>
        </w:rPr>
        <w:t>’</w:t>
      </w:r>
      <w:r w:rsidRPr="002C53FC">
        <w:rPr>
          <w:rFonts w:cs="Times New Roman"/>
          <w:lang w:val="fr-CA"/>
        </w:rPr>
        <w:t>a pas satisfait à une ou à plusieurs des étapes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w:t>
      </w:r>
    </w:p>
    <w:p w14:paraId="70521AA3" w14:textId="77777777" w:rsidR="002C65EF" w:rsidRPr="002C53FC" w:rsidRDefault="002C65EF" w:rsidP="002C65EF">
      <w:pPr>
        <w:pStyle w:val="ParaNoNdepar-AltN"/>
        <w:spacing w:before="0"/>
        <w:rPr>
          <w:rFonts w:cs="Times New Roman"/>
          <w:lang w:val="fr-CA"/>
        </w:rPr>
      </w:pPr>
      <w:r w:rsidRPr="002C53FC">
        <w:rPr>
          <w:rFonts w:cs="Times New Roman"/>
          <w:lang w:val="fr-CA"/>
        </w:rPr>
        <w:t>Pour satisfaire à cette exigence, la partie n</w:t>
      </w:r>
      <w:r>
        <w:rPr>
          <w:rFonts w:cs="Times New Roman"/>
          <w:lang w:val="fr-CA"/>
        </w:rPr>
        <w:t>’</w:t>
      </w:r>
      <w:r w:rsidRPr="002C53FC">
        <w:rPr>
          <w:rFonts w:cs="Times New Roman"/>
          <w:lang w:val="fr-CA"/>
        </w:rPr>
        <w:t>a pas à avoir connaissance de la teneur du mémoire au Cabinet ou à détenir des renseignements à son sujet. Elle n</w:t>
      </w:r>
      <w:r>
        <w:rPr>
          <w:rFonts w:cs="Times New Roman"/>
          <w:lang w:val="fr-CA"/>
        </w:rPr>
        <w:t>’</w:t>
      </w:r>
      <w:r w:rsidRPr="002C53FC">
        <w:rPr>
          <w:rFonts w:cs="Times New Roman"/>
          <w:lang w:val="fr-CA"/>
        </w:rPr>
        <w:t>a pas non plus à mettre en évidence un élément du dossier qui fait explicitement référence au mémoire en cause ou à son contenu. En effet, il serait injuste d</w:t>
      </w:r>
      <w:r>
        <w:rPr>
          <w:rFonts w:cs="Times New Roman"/>
          <w:lang w:val="fr-CA"/>
        </w:rPr>
        <w:t>’</w:t>
      </w:r>
      <w:r w:rsidRPr="002C53FC">
        <w:rPr>
          <w:rFonts w:cs="Times New Roman"/>
          <w:lang w:val="fr-CA"/>
        </w:rPr>
        <w:t>exiger que la partie fasse la preuve de la teneur d</w:t>
      </w:r>
      <w:r>
        <w:rPr>
          <w:rFonts w:cs="Times New Roman"/>
          <w:lang w:val="fr-CA"/>
        </w:rPr>
        <w:t>’</w:t>
      </w:r>
      <w:r w:rsidRPr="002C53FC">
        <w:rPr>
          <w:rFonts w:cs="Times New Roman"/>
          <w:lang w:val="fr-CA"/>
        </w:rPr>
        <w:t>un document confidentiel</w:t>
      </w:r>
      <w:r>
        <w:rPr>
          <w:rFonts w:cs="Times New Roman"/>
          <w:lang w:val="fr-CA"/>
        </w:rPr>
        <w:t> :</w:t>
      </w:r>
      <w:r w:rsidRPr="002C53FC">
        <w:rPr>
          <w:rFonts w:cs="Times New Roman"/>
          <w:lang w:val="fr-CA"/>
        </w:rPr>
        <w:t xml:space="preserve"> voir, dans le contexte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 xml:space="preserve">intérêt public,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678.</w:t>
      </w:r>
    </w:p>
    <w:p w14:paraId="18D4E20B"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En revanche, la partie peut se fonder sur des éléments de preuve additionnels et sur le reste du dossier — y compris les mémoires présentés à la </w:t>
      </w:r>
      <w:r w:rsidRPr="002C53FC">
        <w:rPr>
          <w:rFonts w:cs="Times New Roman"/>
          <w:lang w:val="fr-CA"/>
        </w:rPr>
        <w:lastRenderedPageBreak/>
        <w:t>commission — au soutien de sa prétention qu</w:t>
      </w:r>
      <w:r>
        <w:rPr>
          <w:rFonts w:cs="Times New Roman"/>
          <w:lang w:val="fr-CA"/>
        </w:rPr>
        <w:t>’</w:t>
      </w:r>
      <w:r w:rsidRPr="002C53FC">
        <w:rPr>
          <w:rFonts w:cs="Times New Roman"/>
          <w:lang w:val="fr-CA"/>
        </w:rPr>
        <w:t>il a été satisfait à l</w:t>
      </w:r>
      <w:r>
        <w:rPr>
          <w:rFonts w:cs="Times New Roman"/>
          <w:lang w:val="fr-CA"/>
        </w:rPr>
        <w:t>’</w:t>
      </w:r>
      <w:r w:rsidRPr="002C53FC">
        <w:rPr>
          <w:rFonts w:cs="Times New Roman"/>
          <w:lang w:val="fr-CA"/>
        </w:rPr>
        <w:t>exigence d</w:t>
      </w:r>
      <w:r>
        <w:rPr>
          <w:rFonts w:cs="Times New Roman"/>
          <w:lang w:val="fr-CA"/>
        </w:rPr>
        <w:t>’</w:t>
      </w:r>
      <w:r w:rsidRPr="002C53FC">
        <w:rPr>
          <w:rFonts w:cs="Times New Roman"/>
          <w:lang w:val="fr-CA"/>
        </w:rPr>
        <w:t>une démonstration préliminaire. À titre d</w:t>
      </w:r>
      <w:r>
        <w:rPr>
          <w:rFonts w:cs="Times New Roman"/>
          <w:lang w:val="fr-CA"/>
        </w:rPr>
        <w:t>’</w:t>
      </w:r>
      <w:r w:rsidRPr="002C53FC">
        <w:rPr>
          <w:rFonts w:cs="Times New Roman"/>
          <w:lang w:val="fr-CA"/>
        </w:rPr>
        <w:t>exemple, elle pourra s</w:t>
      </w:r>
      <w:r>
        <w:rPr>
          <w:rFonts w:cs="Times New Roman"/>
          <w:lang w:val="fr-CA"/>
        </w:rPr>
        <w:t>’</w:t>
      </w:r>
      <w:r w:rsidRPr="002C53FC">
        <w:rPr>
          <w:rFonts w:cs="Times New Roman"/>
          <w:lang w:val="fr-CA"/>
        </w:rPr>
        <w:t>appuyer sur des déclarations de ministres ou d</w:t>
      </w:r>
      <w:r>
        <w:rPr>
          <w:rFonts w:cs="Times New Roman"/>
          <w:lang w:val="fr-CA"/>
        </w:rPr>
        <w:t>’</w:t>
      </w:r>
      <w:r w:rsidRPr="002C53FC">
        <w:rPr>
          <w:rFonts w:cs="Times New Roman"/>
          <w:lang w:val="fr-CA"/>
        </w:rPr>
        <w:t>autres personnes qui donnent à penser que la réponse du gouvernement était possiblement fondée sur d</w:t>
      </w:r>
      <w:r>
        <w:rPr>
          <w:rFonts w:cs="Times New Roman"/>
          <w:lang w:val="fr-CA"/>
        </w:rPr>
        <w:t>’</w:t>
      </w:r>
      <w:r w:rsidRPr="002C53FC">
        <w:rPr>
          <w:rFonts w:cs="Times New Roman"/>
          <w:lang w:val="fr-CA"/>
        </w:rPr>
        <w:t>autres motifs que ceux exprimés officiellement, que le gouvernement s</w:t>
      </w:r>
      <w:r>
        <w:rPr>
          <w:rFonts w:cs="Times New Roman"/>
          <w:lang w:val="fr-CA"/>
        </w:rPr>
        <w:t>’</w:t>
      </w:r>
      <w:r w:rsidRPr="002C53FC">
        <w:rPr>
          <w:rFonts w:cs="Times New Roman"/>
          <w:lang w:val="fr-CA"/>
        </w:rPr>
        <w:t>est peut</w:t>
      </w:r>
      <w:r>
        <w:rPr>
          <w:rFonts w:cs="Times New Roman"/>
          <w:lang w:val="fr-CA"/>
        </w:rPr>
        <w:noBreakHyphen/>
      </w:r>
      <w:r w:rsidRPr="002C53FC">
        <w:rPr>
          <w:rFonts w:cs="Times New Roman"/>
          <w:lang w:val="fr-CA"/>
        </w:rPr>
        <w:t>être appuyé sur un fondement factuel déficient ou lacunaire, ou qu</w:t>
      </w:r>
      <w:r>
        <w:rPr>
          <w:rFonts w:cs="Times New Roman"/>
          <w:lang w:val="fr-CA"/>
        </w:rPr>
        <w:t>’</w:t>
      </w:r>
      <w:r w:rsidRPr="002C53FC">
        <w:rPr>
          <w:rFonts w:cs="Times New Roman"/>
          <w:lang w:val="fr-CA"/>
        </w:rPr>
        <w:t>il a pu faire preuve d</w:t>
      </w:r>
      <w:r>
        <w:rPr>
          <w:rFonts w:cs="Times New Roman"/>
          <w:lang w:val="fr-CA"/>
        </w:rPr>
        <w:t>’</w:t>
      </w:r>
      <w:r w:rsidRPr="002C53FC">
        <w:rPr>
          <w:rFonts w:cs="Times New Roman"/>
          <w:lang w:val="fr-CA"/>
        </w:rPr>
        <w:t>un manque de respect envers le mécanisme d</w:t>
      </w:r>
      <w:r>
        <w:rPr>
          <w:rFonts w:cs="Times New Roman"/>
          <w:lang w:val="fr-CA"/>
        </w:rPr>
        <w:t>’</w:t>
      </w:r>
      <w:r w:rsidRPr="002C53FC">
        <w:rPr>
          <w:rFonts w:cs="Times New Roman"/>
          <w:lang w:val="fr-CA"/>
        </w:rPr>
        <w:t>examen par une commission. La partie peut aussi être en mesure de s</w:t>
      </w:r>
      <w:r>
        <w:rPr>
          <w:rFonts w:cs="Times New Roman"/>
          <w:lang w:val="fr-CA"/>
        </w:rPr>
        <w:t>’</w:t>
      </w:r>
      <w:r w:rsidRPr="002C53FC">
        <w:rPr>
          <w:rFonts w:cs="Times New Roman"/>
          <w:lang w:val="fr-CA"/>
        </w:rPr>
        <w:t>appuyer sur d</w:t>
      </w:r>
      <w:r>
        <w:rPr>
          <w:rFonts w:cs="Times New Roman"/>
          <w:lang w:val="fr-CA"/>
        </w:rPr>
        <w:t>’</w:t>
      </w:r>
      <w:r w:rsidRPr="002C53FC">
        <w:rPr>
          <w:rFonts w:cs="Times New Roman"/>
          <w:lang w:val="fr-CA"/>
        </w:rPr>
        <w:t>autres éléments de preuve produits par le gouvernement qui suggèrent qu</w:t>
      </w:r>
      <w:r>
        <w:rPr>
          <w:rFonts w:cs="Times New Roman"/>
          <w:lang w:val="fr-CA"/>
        </w:rPr>
        <w:t>’</w:t>
      </w:r>
      <w:r w:rsidRPr="002C53FC">
        <w:rPr>
          <w:rFonts w:cs="Times New Roman"/>
          <w:lang w:val="fr-CA"/>
        </w:rPr>
        <w:t>un document portant sur les délibérations du Cabinet pourrait révéler que la réponse a été fondée sur un objectif illégitime. Il ne suffit toutefois pas d</w:t>
      </w:r>
      <w:r>
        <w:rPr>
          <w:rFonts w:cs="Times New Roman"/>
          <w:lang w:val="fr-CA"/>
        </w:rPr>
        <w:t>’</w:t>
      </w:r>
      <w:r w:rsidRPr="002C53FC">
        <w:rPr>
          <w:rFonts w:cs="Times New Roman"/>
          <w:lang w:val="fr-CA"/>
        </w:rPr>
        <w:t>affirmer que l</w:t>
      </w:r>
      <w:r>
        <w:rPr>
          <w:rFonts w:cs="Times New Roman"/>
          <w:lang w:val="fr-CA"/>
        </w:rPr>
        <w:t>’</w:t>
      </w:r>
      <w:r w:rsidRPr="002C53FC">
        <w:rPr>
          <w:rFonts w:cs="Times New Roman"/>
          <w:lang w:val="fr-CA"/>
        </w:rPr>
        <w:t>exécutif, à titre de décideur, disposait du document, ou que celui</w:t>
      </w:r>
      <w:r>
        <w:rPr>
          <w:rFonts w:cs="Times New Roman"/>
          <w:lang w:val="fr-CA"/>
        </w:rPr>
        <w:noBreakHyphen/>
      </w:r>
      <w:r w:rsidRPr="002C53FC">
        <w:rPr>
          <w:rFonts w:cs="Times New Roman"/>
          <w:lang w:val="fr-CA"/>
        </w:rPr>
        <w:t>ci apporterait au tribunal de révision des renseignements contextuels additionnels.</w:t>
      </w:r>
    </w:p>
    <w:p w14:paraId="39F0792B" w14:textId="77777777" w:rsidR="002C65EF" w:rsidRPr="002C53FC" w:rsidRDefault="002C65EF" w:rsidP="002C65EF">
      <w:pPr>
        <w:pStyle w:val="ParaNoNdepar-AltN"/>
        <w:spacing w:before="0"/>
        <w:rPr>
          <w:rFonts w:cs="Times New Roman"/>
          <w:lang w:val="fr-CA"/>
        </w:rPr>
      </w:pPr>
      <w:r w:rsidRPr="002C53FC">
        <w:rPr>
          <w:rFonts w:cs="Times New Roman"/>
          <w:lang w:val="fr-CA"/>
        </w:rPr>
        <w:t>Si la partie qui demande le contrôle effectue la démonstration requise — à savoir qu</w:t>
      </w:r>
      <w:r>
        <w:rPr>
          <w:rFonts w:cs="Times New Roman"/>
          <w:lang w:val="fr-CA"/>
        </w:rPr>
        <w:t>’</w:t>
      </w:r>
      <w:r w:rsidRPr="002C53FC">
        <w:rPr>
          <w:rFonts w:cs="Times New Roman"/>
          <w:lang w:val="fr-CA"/>
        </w:rPr>
        <w:t>il existe des raisons de croire que le document peut contenir des éléments de preuve tendant à démontrer que le gouvernement n</w:t>
      </w:r>
      <w:r>
        <w:rPr>
          <w:rFonts w:cs="Times New Roman"/>
          <w:lang w:val="fr-CA"/>
        </w:rPr>
        <w:t>’</w:t>
      </w:r>
      <w:r w:rsidRPr="002C53FC">
        <w:rPr>
          <w:rFonts w:cs="Times New Roman"/>
          <w:lang w:val="fr-CA"/>
        </w:rPr>
        <w:t>a pas satisfait à une des exigences décrites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xml:space="preserve"> —, le gouvernement devra produire le document en question aux fins d</w:t>
      </w:r>
      <w:r>
        <w:rPr>
          <w:rFonts w:cs="Times New Roman"/>
          <w:lang w:val="fr-CA"/>
        </w:rPr>
        <w:t>’</w:t>
      </w:r>
      <w:r w:rsidRPr="002C53FC">
        <w:rPr>
          <w:rFonts w:cs="Times New Roman"/>
          <w:lang w:val="fr-CA"/>
        </w:rPr>
        <w:t>un examen par le tribunal.</w:t>
      </w:r>
    </w:p>
    <w:p w14:paraId="596530CD" w14:textId="77777777" w:rsidR="002C65EF" w:rsidRPr="002C53FC" w:rsidRDefault="002C65EF" w:rsidP="002C65EF">
      <w:pPr>
        <w:pStyle w:val="ParaNoNdepar-AltN"/>
        <w:spacing w:before="0"/>
        <w:rPr>
          <w:rFonts w:cs="Times New Roman"/>
          <w:lang w:val="fr-CA"/>
        </w:rPr>
      </w:pPr>
      <w:r w:rsidRPr="002C53FC">
        <w:rPr>
          <w:rFonts w:cs="Times New Roman"/>
          <w:lang w:val="fr-CA"/>
        </w:rPr>
        <w:t>En deuxième lieu, le tribunal de révision doit examiner le document en privé pour déterminer si, de fait, il fournit des éléments de preuve qui tendent à démontrer que le gouvernement n</w:t>
      </w:r>
      <w:r>
        <w:rPr>
          <w:rFonts w:cs="Times New Roman"/>
          <w:lang w:val="fr-CA"/>
        </w:rPr>
        <w:t>’</w:t>
      </w:r>
      <w:r w:rsidRPr="002C53FC">
        <w:rPr>
          <w:rFonts w:cs="Times New Roman"/>
          <w:lang w:val="fr-CA"/>
        </w:rPr>
        <w:t>a pas satisfait à l</w:t>
      </w:r>
      <w:r>
        <w:rPr>
          <w:rFonts w:cs="Times New Roman"/>
          <w:lang w:val="fr-CA"/>
        </w:rPr>
        <w:t>’</w:t>
      </w:r>
      <w:r w:rsidRPr="002C53FC">
        <w:rPr>
          <w:rFonts w:cs="Times New Roman"/>
          <w:lang w:val="fr-CA"/>
        </w:rPr>
        <w:t>une ou l</w:t>
      </w:r>
      <w:r>
        <w:rPr>
          <w:rFonts w:cs="Times New Roman"/>
          <w:lang w:val="fr-CA"/>
        </w:rPr>
        <w:t>’</w:t>
      </w:r>
      <w:r w:rsidRPr="002C53FC">
        <w:rPr>
          <w:rFonts w:cs="Times New Roman"/>
          <w:lang w:val="fr-CA"/>
        </w:rPr>
        <w:t>autre des étapes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En d</w:t>
      </w:r>
      <w:r>
        <w:rPr>
          <w:rFonts w:cs="Times New Roman"/>
          <w:lang w:val="fr-CA"/>
        </w:rPr>
        <w:t>’</w:t>
      </w:r>
      <w:r w:rsidRPr="002C53FC">
        <w:rPr>
          <w:rFonts w:cs="Times New Roman"/>
          <w:lang w:val="fr-CA"/>
        </w:rPr>
        <w:t xml:space="preserve">autres termes, le document doit, considéré </w:t>
      </w:r>
      <w:r w:rsidRPr="002C53FC">
        <w:rPr>
          <w:rFonts w:cs="Times New Roman"/>
          <w:lang w:val="fr-CA"/>
        </w:rPr>
        <w:lastRenderedPageBreak/>
        <w:t>conjointement avec le dossier pris dans son ensemble et à la lumière de la théorie de la cause du demandeur, se révéler utile pour attaquer la légitimité des motifs invoqués par le gouvernement, ou encore pour mettre en doute le caractère raisonnable du fondement factuel sur lequel il s</w:t>
      </w:r>
      <w:r>
        <w:rPr>
          <w:rFonts w:cs="Times New Roman"/>
          <w:lang w:val="fr-CA"/>
        </w:rPr>
        <w:t>’</w:t>
      </w:r>
      <w:r w:rsidRPr="002C53FC">
        <w:rPr>
          <w:rFonts w:cs="Times New Roman"/>
          <w:lang w:val="fr-CA"/>
        </w:rPr>
        <w:t>est appuyé, le respect dont le gouvernement a fait preuve envers le mécanisme d</w:t>
      </w:r>
      <w:r>
        <w:rPr>
          <w:rFonts w:cs="Times New Roman"/>
          <w:lang w:val="fr-CA"/>
        </w:rPr>
        <w:t>’</w:t>
      </w:r>
      <w:r w:rsidRPr="002C53FC">
        <w:rPr>
          <w:rFonts w:cs="Times New Roman"/>
          <w:lang w:val="fr-CA"/>
        </w:rPr>
        <w:t>examen par une commission ou l</w:t>
      </w:r>
      <w:r>
        <w:rPr>
          <w:rFonts w:cs="Times New Roman"/>
          <w:lang w:val="fr-CA"/>
        </w:rPr>
        <w:t>’</w:t>
      </w:r>
      <w:r w:rsidRPr="002C53FC">
        <w:rPr>
          <w:rFonts w:cs="Times New Roman"/>
          <w:lang w:val="fr-CA"/>
        </w:rPr>
        <w:t>atteinte des objectifs du recours à ce mécanisme. Le document peut suggérer que la réponse du gouvernement se fondait sur un objectif illégitime ou déguisé. Cependant, la valeur probante de l</w:t>
      </w:r>
      <w:r>
        <w:rPr>
          <w:rFonts w:cs="Times New Roman"/>
          <w:lang w:val="fr-CA"/>
        </w:rPr>
        <w:t>’</w:t>
      </w:r>
      <w:r w:rsidRPr="002C53FC">
        <w:rPr>
          <w:rFonts w:cs="Times New Roman"/>
          <w:lang w:val="fr-CA"/>
        </w:rPr>
        <w:t>élément de preuve en cause n</w:t>
      </w:r>
      <w:r>
        <w:rPr>
          <w:rFonts w:cs="Times New Roman"/>
          <w:lang w:val="fr-CA"/>
        </w:rPr>
        <w:t>’</w:t>
      </w:r>
      <w:r w:rsidRPr="002C53FC">
        <w:rPr>
          <w:rFonts w:cs="Times New Roman"/>
          <w:lang w:val="fr-CA"/>
        </w:rPr>
        <w:t>a pas à être prise en compte à cette étape de l</w:t>
      </w:r>
      <w:r>
        <w:rPr>
          <w:rFonts w:cs="Times New Roman"/>
          <w:lang w:val="fr-CA"/>
        </w:rPr>
        <w:t>’</w:t>
      </w:r>
      <w:r w:rsidRPr="002C53FC">
        <w:rPr>
          <w:rFonts w:cs="Times New Roman"/>
          <w:lang w:val="fr-CA"/>
        </w:rPr>
        <w:t>analyse.</w:t>
      </w:r>
    </w:p>
    <w:p w14:paraId="1A0DFB92" w14:textId="77777777" w:rsidR="002C65EF" w:rsidRPr="002C53FC" w:rsidRDefault="002C65EF" w:rsidP="002C65EF">
      <w:pPr>
        <w:pStyle w:val="ParaNoNdepar-AltN"/>
        <w:spacing w:before="0"/>
        <w:rPr>
          <w:rFonts w:cs="Times New Roman"/>
          <w:lang w:val="fr-CA"/>
        </w:rPr>
      </w:pPr>
      <w:r w:rsidRPr="002C53FC">
        <w:rPr>
          <w:rFonts w:cs="Times New Roman"/>
          <w:lang w:val="fr-CA"/>
        </w:rPr>
        <w:t>Même si le document satisfait à ce critère, sa production demeure assujettie à toute autre règle de preuve empêchant sa divulgation, notamment celles relatives au secret professionnel de l</w:t>
      </w:r>
      <w:r>
        <w:rPr>
          <w:rFonts w:cs="Times New Roman"/>
          <w:lang w:val="fr-CA"/>
        </w:rPr>
        <w:t>’</w:t>
      </w:r>
      <w:r w:rsidRPr="002C53FC">
        <w:rPr>
          <w:rFonts w:cs="Times New Roman"/>
          <w:lang w:val="fr-CA"/>
        </w:rPr>
        <w:t>avocat (qui a été soulevé devant les juridictions d</w:t>
      </w:r>
      <w:r>
        <w:rPr>
          <w:rFonts w:cs="Times New Roman"/>
          <w:lang w:val="fr-CA"/>
        </w:rPr>
        <w:t>’</w:t>
      </w:r>
      <w:r w:rsidRPr="002C53FC">
        <w:rPr>
          <w:rFonts w:cs="Times New Roman"/>
          <w:lang w:val="fr-CA"/>
        </w:rPr>
        <w:t>instances inférieures dans le pourvoi connexe) ou à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(qui a été soulevée devant notre Cour dans les deux pourvois).</w:t>
      </w:r>
    </w:p>
    <w:p w14:paraId="2578D460" w14:textId="77777777" w:rsidR="002C65EF" w:rsidRPr="002C53FC" w:rsidRDefault="002C65EF" w:rsidP="002C65EF">
      <w:pPr>
        <w:pStyle w:val="ParaNoNdepar-AltN"/>
        <w:spacing w:before="0"/>
        <w:rPr>
          <w:rFonts w:cs="Times New Roman"/>
          <w:lang w:val="fr-CA"/>
        </w:rPr>
      </w:pPr>
      <w:r w:rsidRPr="002C53FC">
        <w:rPr>
          <w:rFonts w:cs="Times New Roman"/>
          <w:lang w:val="fr-CA"/>
        </w:rPr>
        <w:t>L</w:t>
      </w:r>
      <w:r>
        <w:rPr>
          <w:rFonts w:cs="Times New Roman"/>
          <w:lang w:val="fr-CA"/>
        </w:rPr>
        <w:t>’</w:t>
      </w:r>
      <w:r w:rsidRPr="002C53FC">
        <w:rPr>
          <w:rFonts w:cs="Times New Roman"/>
          <w:lang w:val="fr-CA"/>
        </w:rPr>
        <w:t>Association plaide qu</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xml:space="preserve"> est dépourvu de signification en l</w:t>
      </w:r>
      <w:r>
        <w:rPr>
          <w:rFonts w:cs="Times New Roman"/>
          <w:lang w:val="fr-CA"/>
        </w:rPr>
        <w:t>’</w:t>
      </w:r>
      <w:r w:rsidRPr="002C53FC">
        <w:rPr>
          <w:rFonts w:cs="Times New Roman"/>
          <w:lang w:val="fr-CA"/>
        </w:rPr>
        <w:t>absence de documents confidentiels du Cabinet pour mettre en lumière les véritables motifs qui sous</w:t>
      </w:r>
      <w:r>
        <w:rPr>
          <w:rFonts w:cs="Times New Roman"/>
          <w:lang w:val="fr-CA"/>
        </w:rPr>
        <w:noBreakHyphen/>
      </w:r>
      <w:r w:rsidRPr="002C53FC">
        <w:rPr>
          <w:rFonts w:cs="Times New Roman"/>
          <w:lang w:val="fr-CA"/>
        </w:rPr>
        <w:t>tendent la réponse du gouvernement, et qui peuvent différer de ceux invoqués publiquement. Selon elle, à défaut d</w:t>
      </w:r>
      <w:r>
        <w:rPr>
          <w:rFonts w:cs="Times New Roman"/>
          <w:lang w:val="fr-CA"/>
        </w:rPr>
        <w:t>’</w:t>
      </w:r>
      <w:r w:rsidRPr="002C53FC">
        <w:rPr>
          <w:rFonts w:cs="Times New Roman"/>
          <w:lang w:val="fr-CA"/>
        </w:rPr>
        <w:t>un moyen de comprendre le véritable fondement sur lequel s</w:t>
      </w:r>
      <w:r>
        <w:rPr>
          <w:rFonts w:cs="Times New Roman"/>
          <w:lang w:val="fr-CA"/>
        </w:rPr>
        <w:t>’</w:t>
      </w:r>
      <w:r w:rsidRPr="002C53FC">
        <w:rPr>
          <w:rFonts w:cs="Times New Roman"/>
          <w:lang w:val="fr-CA"/>
        </w:rPr>
        <w:t>appuie la décision, le tribunal de révision ne sera pas en mesure de déterminer si la réponse du gouvernement satisfait aux exigences constitutionnelles.</w:t>
      </w:r>
    </w:p>
    <w:p w14:paraId="27783387"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Je ne suis pas d</w:t>
      </w:r>
      <w:r>
        <w:rPr>
          <w:rFonts w:cs="Times New Roman"/>
          <w:lang w:val="fr-CA"/>
        </w:rPr>
        <w:t>’</w:t>
      </w:r>
      <w:r w:rsidRPr="002C53FC">
        <w:rPr>
          <w:rFonts w:cs="Times New Roman"/>
          <w:lang w:val="fr-CA"/>
        </w:rPr>
        <w:t>accord pour dire qu</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xml:space="preserve"> est inefficace si aucun mémoire au Cabinet pertinent ne figure dans le dossier. En effet, même si sa portée est nécessairement limitée, ce type de contrôle est rigoureux. L</w:t>
      </w:r>
      <w:r>
        <w:rPr>
          <w:rFonts w:cs="Times New Roman"/>
          <w:lang w:val="fr-CA"/>
        </w:rPr>
        <w:t>’</w:t>
      </w:r>
      <w:r w:rsidRPr="002C53FC">
        <w:rPr>
          <w:rFonts w:cs="Times New Roman"/>
          <w:lang w:val="fr-CA"/>
        </w:rPr>
        <w:t xml:space="preserve">analyse requiert que le gouvernement justifie de </w:t>
      </w:r>
      <w:r w:rsidRPr="002C53FC">
        <w:rPr>
          <w:rFonts w:cs="Times New Roman"/>
          <w:i/>
          <w:lang w:val="fr-CA"/>
        </w:rPr>
        <w:t>s</w:t>
      </w:r>
      <w:r>
        <w:rPr>
          <w:rFonts w:cs="Times New Roman"/>
          <w:i/>
          <w:lang w:val="fr-CA"/>
        </w:rPr>
        <w:t>’</w:t>
      </w:r>
      <w:r w:rsidRPr="002C53FC">
        <w:rPr>
          <w:rFonts w:cs="Times New Roman"/>
          <w:i/>
          <w:lang w:val="fr-CA"/>
        </w:rPr>
        <w:t>écarter</w:t>
      </w:r>
      <w:r w:rsidRPr="002C53FC">
        <w:rPr>
          <w:rFonts w:cs="Times New Roman"/>
          <w:lang w:val="fr-CA"/>
        </w:rPr>
        <w:t xml:space="preserve"> des recommandations d</w:t>
      </w:r>
      <w:r>
        <w:rPr>
          <w:rFonts w:cs="Times New Roman"/>
          <w:lang w:val="fr-CA"/>
        </w:rPr>
        <w:t>’</w:t>
      </w:r>
      <w:r w:rsidRPr="002C53FC">
        <w:rPr>
          <w:rFonts w:cs="Times New Roman"/>
          <w:lang w:val="fr-CA"/>
        </w:rPr>
        <w:t>une commission. Le gouvernement est tenu d</w:t>
      </w:r>
      <w:r>
        <w:rPr>
          <w:rFonts w:cs="Times New Roman"/>
          <w:lang w:val="fr-CA"/>
        </w:rPr>
        <w:t>’</w:t>
      </w:r>
      <w:r w:rsidRPr="002C53FC">
        <w:rPr>
          <w:rFonts w:cs="Times New Roman"/>
          <w:lang w:val="fr-CA"/>
        </w:rPr>
        <w:t>invoquer à cette fin des motifs légitimes et rationnels qui doivent découler d</w:t>
      </w:r>
      <w:r>
        <w:rPr>
          <w:rFonts w:cs="Times New Roman"/>
          <w:lang w:val="fr-CA"/>
        </w:rPr>
        <w:t>’</w:t>
      </w:r>
      <w:r w:rsidRPr="002C53FC">
        <w:rPr>
          <w:rFonts w:cs="Times New Roman"/>
          <w:lang w:val="fr-CA"/>
        </w:rPr>
        <w:t>un raisonnement solide et doivent reposer sur un fondement factuel raisonnable. La réponse du gouvernement doit également dénoter du respect envers les fonctions judiciaires, l</w:t>
      </w:r>
      <w:r>
        <w:rPr>
          <w:rFonts w:cs="Times New Roman"/>
          <w:lang w:val="fr-CA"/>
        </w:rPr>
        <w:t>’</w:t>
      </w:r>
      <w:r w:rsidRPr="002C53FC">
        <w:rPr>
          <w:rFonts w:cs="Times New Roman"/>
          <w:lang w:val="fr-CA"/>
        </w:rPr>
        <w:t>indépendance de la magistrature et le mécanisme d</w:t>
      </w:r>
      <w:r>
        <w:rPr>
          <w:rFonts w:cs="Times New Roman"/>
          <w:lang w:val="fr-CA"/>
        </w:rPr>
        <w:t>’</w:t>
      </w:r>
      <w:r w:rsidRPr="002C53FC">
        <w:rPr>
          <w:rFonts w:cs="Times New Roman"/>
          <w:lang w:val="fr-CA"/>
        </w:rPr>
        <w:t>examen par une commission, mais il faut en outre qu</w:t>
      </w:r>
      <w:r>
        <w:rPr>
          <w:rFonts w:cs="Times New Roman"/>
          <w:lang w:val="fr-CA"/>
        </w:rPr>
        <w:t>’</w:t>
      </w:r>
      <w:r w:rsidRPr="002C53FC">
        <w:rPr>
          <w:rFonts w:cs="Times New Roman"/>
          <w:lang w:val="fr-CA"/>
        </w:rPr>
        <w:t>il ait été satisfait aux objectifs plus larges du recours à ce mécanisme.</w:t>
      </w:r>
    </w:p>
    <w:p w14:paraId="495D94EA" w14:textId="0DF5792B" w:rsidR="002C65EF" w:rsidRPr="002C53FC" w:rsidRDefault="002C65EF" w:rsidP="002C65EF">
      <w:pPr>
        <w:pStyle w:val="ParaNoNdepar-AltN"/>
        <w:spacing w:before="0"/>
        <w:rPr>
          <w:rFonts w:cs="Times New Roman"/>
          <w:lang w:val="fr-CA"/>
        </w:rPr>
      </w:pPr>
      <w:r w:rsidRPr="002C53FC">
        <w:rPr>
          <w:rFonts w:cs="Times New Roman"/>
          <w:lang w:val="fr-CA"/>
        </w:rPr>
        <w:t xml:space="preserve">Ainsi, la partie qui sollicite un contrôle de type </w:t>
      </w:r>
      <w:r w:rsidRPr="002C53FC">
        <w:rPr>
          <w:rFonts w:cs="Times New Roman"/>
          <w:i/>
          <w:lang w:val="fr-CA"/>
        </w:rPr>
        <w:t>Bodner</w:t>
      </w:r>
      <w:r w:rsidRPr="002C53FC">
        <w:rPr>
          <w:rFonts w:cs="Times New Roman"/>
          <w:lang w:val="fr-CA"/>
        </w:rPr>
        <w:t xml:space="preserve"> peut fort bien disposer d</w:t>
      </w:r>
      <w:r>
        <w:rPr>
          <w:rFonts w:cs="Times New Roman"/>
          <w:lang w:val="fr-CA"/>
        </w:rPr>
        <w:t>’</w:t>
      </w:r>
      <w:r w:rsidRPr="002C53FC">
        <w:rPr>
          <w:rFonts w:cs="Times New Roman"/>
          <w:lang w:val="fr-CA"/>
        </w:rPr>
        <w:t>arguments solides en faveur de l</w:t>
      </w:r>
      <w:r>
        <w:rPr>
          <w:rFonts w:cs="Times New Roman"/>
          <w:lang w:val="fr-CA"/>
        </w:rPr>
        <w:t>’</w:t>
      </w:r>
      <w:r w:rsidRPr="002C53FC">
        <w:rPr>
          <w:rFonts w:cs="Times New Roman"/>
          <w:lang w:val="fr-CA"/>
        </w:rPr>
        <w:t>annulation de la réponse d</w:t>
      </w:r>
      <w:r>
        <w:rPr>
          <w:rFonts w:cs="Times New Roman"/>
          <w:lang w:val="fr-CA"/>
        </w:rPr>
        <w:t>’</w:t>
      </w:r>
      <w:r w:rsidRPr="002C53FC">
        <w:rPr>
          <w:rFonts w:cs="Times New Roman"/>
          <w:lang w:val="fr-CA"/>
        </w:rPr>
        <w:t>un gouvernement à partir des motifs que celui</w:t>
      </w:r>
      <w:r>
        <w:rPr>
          <w:rFonts w:cs="Times New Roman"/>
          <w:lang w:val="fr-CA"/>
        </w:rPr>
        <w:noBreakHyphen/>
      </w:r>
      <w:r w:rsidRPr="002C53FC">
        <w:rPr>
          <w:rFonts w:cs="Times New Roman"/>
          <w:lang w:val="fr-CA"/>
        </w:rPr>
        <w:t>ci a invoqués publiquement. La partie en question peut aussi s</w:t>
      </w:r>
      <w:r>
        <w:rPr>
          <w:rFonts w:cs="Times New Roman"/>
          <w:lang w:val="fr-CA"/>
        </w:rPr>
        <w:t>’</w:t>
      </w:r>
      <w:r w:rsidRPr="002C53FC">
        <w:rPr>
          <w:rFonts w:cs="Times New Roman"/>
          <w:lang w:val="fr-CA"/>
        </w:rPr>
        <w:t>appuyer sur des éléments de preuve additionnels admissibles pour établir le bien</w:t>
      </w:r>
      <w:r>
        <w:rPr>
          <w:rFonts w:cs="Times New Roman"/>
          <w:lang w:val="fr-CA"/>
        </w:rPr>
        <w:noBreakHyphen/>
      </w:r>
      <w:r w:rsidRPr="002C53FC">
        <w:rPr>
          <w:rFonts w:cs="Times New Roman"/>
          <w:lang w:val="fr-CA"/>
        </w:rPr>
        <w:t>fondé de sa prétention, par exemple les déclarations de ministres ou d</w:t>
      </w:r>
      <w:r>
        <w:rPr>
          <w:rFonts w:cs="Times New Roman"/>
          <w:lang w:val="fr-CA"/>
        </w:rPr>
        <w:t>’</w:t>
      </w:r>
      <w:r w:rsidRPr="002C53FC">
        <w:rPr>
          <w:rFonts w:cs="Times New Roman"/>
          <w:lang w:val="fr-CA"/>
        </w:rPr>
        <w:t>autres acteurs — notamment des propos d</w:t>
      </w:r>
      <w:r>
        <w:rPr>
          <w:rFonts w:cs="Times New Roman"/>
          <w:lang w:val="fr-CA"/>
        </w:rPr>
        <w:t>’</w:t>
      </w:r>
      <w:r w:rsidRPr="002C53FC">
        <w:rPr>
          <w:rFonts w:cs="Times New Roman"/>
          <w:lang w:val="fr-CA"/>
        </w:rPr>
        <w:t>ordre plus général tenus en dehors du mécanisme d</w:t>
      </w:r>
      <w:r>
        <w:rPr>
          <w:rFonts w:cs="Times New Roman"/>
          <w:lang w:val="fr-CA"/>
        </w:rPr>
        <w:t>’</w:t>
      </w:r>
      <w:r w:rsidRPr="002C53FC">
        <w:rPr>
          <w:rFonts w:cs="Times New Roman"/>
          <w:lang w:val="fr-CA"/>
        </w:rPr>
        <w:t>examen par la commission — au sujet des juges ou de leur rémunération, ou encore certains types de tendances historiques, y compris les réponses du gouvernement aux recommandations de commissions antérieures. De tels éléments de preuve peuvent fort bien étayer l</w:t>
      </w:r>
      <w:r>
        <w:rPr>
          <w:rFonts w:cs="Times New Roman"/>
          <w:lang w:val="fr-CA"/>
        </w:rPr>
        <w:t>’</w:t>
      </w:r>
      <w:r w:rsidRPr="002C53FC">
        <w:rPr>
          <w:rFonts w:cs="Times New Roman"/>
          <w:lang w:val="fr-CA"/>
        </w:rPr>
        <w:t>allégation voulant que la décision d</w:t>
      </w:r>
      <w:r>
        <w:rPr>
          <w:rFonts w:cs="Times New Roman"/>
          <w:lang w:val="fr-CA"/>
        </w:rPr>
        <w:t>’</w:t>
      </w:r>
      <w:r w:rsidRPr="002C53FC">
        <w:rPr>
          <w:rFonts w:cs="Times New Roman"/>
          <w:lang w:val="fr-CA"/>
        </w:rPr>
        <w:t>un gouvernement de s</w:t>
      </w:r>
      <w:r>
        <w:rPr>
          <w:rFonts w:cs="Times New Roman"/>
          <w:lang w:val="fr-CA"/>
        </w:rPr>
        <w:t>’</w:t>
      </w:r>
      <w:r w:rsidRPr="002C53FC">
        <w:rPr>
          <w:rFonts w:cs="Times New Roman"/>
          <w:lang w:val="fr-CA"/>
        </w:rPr>
        <w:t>écarter des recommandations d</w:t>
      </w:r>
      <w:r>
        <w:rPr>
          <w:rFonts w:cs="Times New Roman"/>
          <w:lang w:val="fr-CA"/>
        </w:rPr>
        <w:t>’</w:t>
      </w:r>
      <w:r w:rsidRPr="002C53FC">
        <w:rPr>
          <w:rFonts w:cs="Times New Roman"/>
          <w:lang w:val="fr-CA"/>
        </w:rPr>
        <w:t>une commission s</w:t>
      </w:r>
      <w:r>
        <w:rPr>
          <w:rFonts w:cs="Times New Roman"/>
          <w:lang w:val="fr-CA"/>
        </w:rPr>
        <w:t>’</w:t>
      </w:r>
      <w:r w:rsidRPr="002C53FC">
        <w:rPr>
          <w:rFonts w:cs="Times New Roman"/>
          <w:lang w:val="fr-CA"/>
        </w:rPr>
        <w:t>appuie sur des motifs illégitime</w:t>
      </w:r>
      <w:r w:rsidR="00CD56B5">
        <w:rPr>
          <w:rFonts w:cs="Times New Roman"/>
          <w:lang w:val="fr-CA"/>
        </w:rPr>
        <w:t xml:space="preserve">s, ou que sa réponse ne « démontr[e </w:t>
      </w:r>
      <w:r w:rsidRPr="002C53FC">
        <w:rPr>
          <w:rFonts w:cs="Times New Roman"/>
          <w:lang w:val="fr-CA"/>
        </w:rPr>
        <w:t xml:space="preserve">pas] un examen </w:t>
      </w:r>
      <w:r w:rsidR="00CD56B5">
        <w:rPr>
          <w:rFonts w:cs="Times New Roman"/>
          <w:lang w:val="fr-CA"/>
        </w:rPr>
        <w:t>des fonctions judiciaires</w:t>
      </w:r>
      <w:r w:rsidRPr="002C53FC">
        <w:rPr>
          <w:rFonts w:cs="Times New Roman"/>
          <w:lang w:val="fr-CA"/>
        </w:rPr>
        <w:t xml:space="preserve"> </w:t>
      </w:r>
      <w:r w:rsidRPr="002C53FC">
        <w:rPr>
          <w:rFonts w:cs="Times New Roman"/>
          <w:lang w:val="fr-CA"/>
        </w:rPr>
        <w:lastRenderedPageBreak/>
        <w:t xml:space="preserve">et </w:t>
      </w:r>
      <w:r w:rsidR="00CD56B5">
        <w:rPr>
          <w:rFonts w:cs="Times New Roman"/>
          <w:lang w:val="fr-CA"/>
        </w:rPr>
        <w:t xml:space="preserve">qu’on a </w:t>
      </w:r>
      <w:r w:rsidRPr="002C53FC">
        <w:rPr>
          <w:rFonts w:cs="Times New Roman"/>
          <w:lang w:val="fr-CA"/>
        </w:rPr>
        <w:t>l</w:t>
      </w:r>
      <w:r>
        <w:rPr>
          <w:rFonts w:cs="Times New Roman"/>
          <w:lang w:val="fr-CA"/>
        </w:rPr>
        <w:t>’</w:t>
      </w:r>
      <w:r w:rsidRPr="002C53FC">
        <w:rPr>
          <w:rFonts w:cs="Times New Roman"/>
          <w:lang w:val="fr-CA"/>
        </w:rPr>
        <w:t>intention de prendre les mesures qui s</w:t>
      </w:r>
      <w:r>
        <w:rPr>
          <w:rFonts w:cs="Times New Roman"/>
          <w:lang w:val="fr-CA"/>
        </w:rPr>
        <w:t>’</w:t>
      </w:r>
      <w:r w:rsidRPr="002C53FC">
        <w:rPr>
          <w:rFonts w:cs="Times New Roman"/>
          <w:lang w:val="fr-CA"/>
        </w:rPr>
        <w:t>imposent ». Ces éléments peuvent également appuyer l</w:t>
      </w:r>
      <w:r>
        <w:rPr>
          <w:rFonts w:cs="Times New Roman"/>
          <w:lang w:val="fr-CA"/>
        </w:rPr>
        <w:t>’</w:t>
      </w:r>
      <w:r w:rsidRPr="002C53FC">
        <w:rPr>
          <w:rFonts w:cs="Times New Roman"/>
          <w:lang w:val="fr-CA"/>
        </w:rPr>
        <w:t>affirmation selon laquelle le gouvernement n</w:t>
      </w:r>
      <w:r>
        <w:rPr>
          <w:rFonts w:cs="Times New Roman"/>
          <w:lang w:val="fr-CA"/>
        </w:rPr>
        <w:t>’</w:t>
      </w:r>
      <w:r w:rsidRPr="002C53FC">
        <w:rPr>
          <w:rFonts w:cs="Times New Roman"/>
          <w:lang w:val="fr-CA"/>
        </w:rPr>
        <w:t>a pas fait montre du respect voulu envers l</w:t>
      </w:r>
      <w:r>
        <w:rPr>
          <w:rFonts w:cs="Times New Roman"/>
          <w:lang w:val="fr-CA"/>
        </w:rPr>
        <w:t>’</w:t>
      </w:r>
      <w:r w:rsidRPr="002C53FC">
        <w:rPr>
          <w:rFonts w:cs="Times New Roman"/>
          <w:lang w:val="fr-CA"/>
        </w:rPr>
        <w:t>intérêt du public sous</w:t>
      </w:r>
      <w:r>
        <w:rPr>
          <w:rFonts w:cs="Times New Roman"/>
          <w:lang w:val="fr-CA"/>
        </w:rPr>
        <w:noBreakHyphen/>
      </w:r>
      <w:r w:rsidRPr="002C53FC">
        <w:rPr>
          <w:rFonts w:cs="Times New Roman"/>
          <w:lang w:val="fr-CA"/>
        </w:rPr>
        <w:t>jacent relatif à l</w:t>
      </w:r>
      <w:r>
        <w:rPr>
          <w:rFonts w:cs="Times New Roman"/>
          <w:lang w:val="fr-CA"/>
        </w:rPr>
        <w:t>’</w:t>
      </w:r>
      <w:r w:rsidRPr="002C53FC">
        <w:rPr>
          <w:rFonts w:cs="Times New Roman"/>
          <w:lang w:val="fr-CA"/>
        </w:rPr>
        <w:t>indépendance judiciaire et à ce que le recours à une commission soit efficace.</w:t>
      </w:r>
    </w:p>
    <w:p w14:paraId="2626AACD" w14:textId="77777777" w:rsidR="002C65EF" w:rsidRPr="002C53FC" w:rsidRDefault="002C65EF" w:rsidP="002C65EF">
      <w:pPr>
        <w:pStyle w:val="ParaNoNdepar-AltN"/>
        <w:spacing w:before="0"/>
        <w:rPr>
          <w:rFonts w:cs="Times New Roman"/>
          <w:lang w:val="fr-CA"/>
        </w:rPr>
      </w:pPr>
      <w:r w:rsidRPr="002C53FC">
        <w:rPr>
          <w:rFonts w:cs="Times New Roman"/>
          <w:lang w:val="fr-CA"/>
        </w:rPr>
        <w:t>Je souligne qu</w:t>
      </w:r>
      <w:r>
        <w:rPr>
          <w:rFonts w:cs="Times New Roman"/>
          <w:lang w:val="fr-CA"/>
        </w:rPr>
        <w:t>’</w:t>
      </w:r>
      <w:r w:rsidRPr="002C53FC">
        <w:rPr>
          <w:rFonts w:cs="Times New Roman"/>
          <w:lang w:val="fr-CA"/>
        </w:rPr>
        <w:t>il ne suffit jamais que le gouvernement se borne à répéter les observations qu</w:t>
      </w:r>
      <w:r>
        <w:rPr>
          <w:rFonts w:cs="Times New Roman"/>
          <w:lang w:val="fr-CA"/>
        </w:rPr>
        <w:t>’</w:t>
      </w:r>
      <w:r w:rsidRPr="002C53FC">
        <w:rPr>
          <w:rFonts w:cs="Times New Roman"/>
          <w:lang w:val="fr-CA"/>
        </w:rPr>
        <w:t>il a présentées devant une commission</w:t>
      </w:r>
      <w:r>
        <w:rPr>
          <w:rFonts w:cs="Times New Roman"/>
          <w:lang w:val="fr-CA"/>
        </w:rPr>
        <w:t> :</w:t>
      </w:r>
      <w:r w:rsidRPr="002C53FC">
        <w:rPr>
          <w:rFonts w:cs="Times New Roman"/>
          <w:lang w:val="fr-CA"/>
        </w:rPr>
        <w:t xml:space="preserve">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23. Cela ne saurait justifier qu</w:t>
      </w:r>
      <w:r>
        <w:rPr>
          <w:rFonts w:cs="Times New Roman"/>
          <w:lang w:val="fr-CA"/>
        </w:rPr>
        <w:t>’</w:t>
      </w:r>
      <w:r w:rsidRPr="002C53FC">
        <w:rPr>
          <w:rFonts w:cs="Times New Roman"/>
          <w:lang w:val="fr-CA"/>
        </w:rPr>
        <w:t>il se soit écarté des recommandations de cette dernière. De la même façon, un gouvernement qui rejette systématiquement les recommandations d</w:t>
      </w:r>
      <w:r>
        <w:rPr>
          <w:rFonts w:cs="Times New Roman"/>
          <w:lang w:val="fr-CA"/>
        </w:rPr>
        <w:t>’</w:t>
      </w:r>
      <w:r w:rsidRPr="002C53FC">
        <w:rPr>
          <w:rFonts w:cs="Times New Roman"/>
          <w:lang w:val="fr-CA"/>
        </w:rPr>
        <w:t>une commission soulève un doute quant à son respect envers le recours au mécanisme d</w:t>
      </w:r>
      <w:r>
        <w:rPr>
          <w:rFonts w:cs="Times New Roman"/>
          <w:lang w:val="fr-CA"/>
        </w:rPr>
        <w:t>’</w:t>
      </w:r>
      <w:r w:rsidRPr="002C53FC">
        <w:rPr>
          <w:rFonts w:cs="Times New Roman"/>
          <w:lang w:val="fr-CA"/>
        </w:rPr>
        <w:t>examen par une commission, et, en conséquence, quant à l</w:t>
      </w:r>
      <w:r>
        <w:rPr>
          <w:rFonts w:cs="Times New Roman"/>
          <w:lang w:val="fr-CA"/>
        </w:rPr>
        <w:t>’</w:t>
      </w:r>
      <w:r w:rsidRPr="002C53FC">
        <w:rPr>
          <w:rFonts w:cs="Times New Roman"/>
          <w:lang w:val="fr-CA"/>
        </w:rPr>
        <w:t>atteinte des objectifs d</w:t>
      </w:r>
      <w:r>
        <w:rPr>
          <w:rFonts w:cs="Times New Roman"/>
          <w:lang w:val="fr-CA"/>
        </w:rPr>
        <w:t>’</w:t>
      </w:r>
      <w:r w:rsidRPr="002C53FC">
        <w:rPr>
          <w:rFonts w:cs="Times New Roman"/>
          <w:lang w:val="fr-CA"/>
        </w:rPr>
        <w:t>un tel recours. Même s</w:t>
      </w:r>
      <w:r>
        <w:rPr>
          <w:rFonts w:cs="Times New Roman"/>
          <w:lang w:val="fr-CA"/>
        </w:rPr>
        <w:t>’</w:t>
      </w:r>
      <w:r w:rsidRPr="002C53FC">
        <w:rPr>
          <w:rFonts w:cs="Times New Roman"/>
          <w:lang w:val="fr-CA"/>
        </w:rPr>
        <w:t>il a été jugé que des augmentations ou des réductions de salaire généralisées qui touchent les juges satisfont à la norme de la rationalité, un gouvernement qui ne tient pas compte du caractère distinctif de la charge judiciaire et qui traite la magistrature comme une simple catégorie de fonctionnaires perd de vue le principe de l</w:t>
      </w:r>
      <w:r>
        <w:rPr>
          <w:rFonts w:cs="Times New Roman"/>
          <w:lang w:val="fr-CA"/>
        </w:rPr>
        <w:t>’</w:t>
      </w:r>
      <w:r w:rsidRPr="002C53FC">
        <w:rPr>
          <w:rFonts w:cs="Times New Roman"/>
          <w:lang w:val="fr-CA"/>
        </w:rPr>
        <w:t>indépendance judiciaire</w:t>
      </w:r>
      <w:r>
        <w:rPr>
          <w:rFonts w:cs="Times New Roman"/>
          <w:lang w:val="fr-CA"/>
        </w:rPr>
        <w:t> :</w:t>
      </w:r>
      <w:r w:rsidRPr="002C53FC">
        <w:rPr>
          <w:rFonts w:cs="Times New Roman"/>
          <w:lang w:val="fr-CA"/>
        </w:rPr>
        <w:t xml:space="preserv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 xml:space="preserve">143, 157 et 184; </w:t>
      </w:r>
      <w:r w:rsidRPr="002C53FC">
        <w:rPr>
          <w:rFonts w:cs="Times New Roman"/>
          <w:i/>
          <w:lang w:val="fr-CA"/>
        </w:rPr>
        <w:t>Bodner</w:t>
      </w:r>
      <w:r w:rsidRPr="002C53FC">
        <w:rPr>
          <w:rFonts w:cs="Times New Roman"/>
          <w:lang w:val="fr-CA"/>
        </w:rPr>
        <w:t xml:space="preserve">, </w:t>
      </w:r>
      <w:r>
        <w:rPr>
          <w:rFonts w:cs="Times New Roman"/>
          <w:lang w:val="fr-CA"/>
        </w:rPr>
        <w:t>par. </w:t>
      </w:r>
      <w:r w:rsidRPr="002C53FC">
        <w:rPr>
          <w:rFonts w:cs="Times New Roman"/>
          <w:lang w:val="fr-CA"/>
        </w:rPr>
        <w:t>25. Dans des cas plus rares, c</w:t>
      </w:r>
      <w:r>
        <w:rPr>
          <w:rFonts w:cs="Times New Roman"/>
          <w:lang w:val="fr-CA"/>
        </w:rPr>
        <w:t>’</w:t>
      </w:r>
      <w:r w:rsidRPr="002C53FC">
        <w:rPr>
          <w:rFonts w:cs="Times New Roman"/>
          <w:lang w:val="fr-CA"/>
        </w:rPr>
        <w:t>est le niveau de rémunération lui</w:t>
      </w:r>
      <w:r>
        <w:rPr>
          <w:rFonts w:cs="Times New Roman"/>
          <w:lang w:val="fr-CA"/>
        </w:rPr>
        <w:noBreakHyphen/>
      </w:r>
      <w:r w:rsidRPr="002C53FC">
        <w:rPr>
          <w:rFonts w:cs="Times New Roman"/>
          <w:lang w:val="fr-CA"/>
        </w:rPr>
        <w:t>même qui peut faire douter de la validité de la réponse du gouvernement</w:t>
      </w:r>
      <w:r>
        <w:rPr>
          <w:rFonts w:cs="Times New Roman"/>
          <w:lang w:val="fr-CA"/>
        </w:rPr>
        <w:t> :</w:t>
      </w:r>
      <w:r w:rsidRPr="002C53FC">
        <w:rPr>
          <w:rFonts w:cs="Times New Roman"/>
          <w:lang w:val="fr-CA"/>
        </w:rPr>
        <w:t xml:space="preserve"> voir le </w:t>
      </w:r>
      <w:r w:rsidRPr="002C53FC">
        <w:rPr>
          <w:rFonts w:cs="Times New Roman"/>
          <w:i/>
          <w:lang w:val="fr-CA"/>
        </w:rPr>
        <w:t>Renvoi relatif aux juges de la Cour provinciale</w:t>
      </w:r>
      <w:r w:rsidRPr="002C53FC">
        <w:rPr>
          <w:rFonts w:cs="Times New Roman"/>
          <w:lang w:val="fr-CA"/>
        </w:rPr>
        <w:t xml:space="preserve">, </w:t>
      </w:r>
      <w:r>
        <w:rPr>
          <w:rFonts w:cs="Times New Roman"/>
          <w:lang w:val="fr-CA"/>
        </w:rPr>
        <w:t>par. </w:t>
      </w:r>
      <w:r w:rsidRPr="002C53FC">
        <w:rPr>
          <w:rFonts w:cs="Times New Roman"/>
          <w:lang w:val="fr-CA"/>
        </w:rPr>
        <w:t>135.</w:t>
      </w:r>
    </w:p>
    <w:p w14:paraId="3473537D" w14:textId="77777777" w:rsidR="002C65EF" w:rsidRPr="002C53FC" w:rsidRDefault="002C65EF" w:rsidP="002C65EF">
      <w:pPr>
        <w:pStyle w:val="ParaNoNdepar-AltN"/>
        <w:spacing w:before="0"/>
        <w:rPr>
          <w:rFonts w:cs="Times New Roman"/>
          <w:lang w:val="fr-CA"/>
        </w:rPr>
      </w:pPr>
      <w:r w:rsidRPr="002C53FC">
        <w:rPr>
          <w:rFonts w:cs="Times New Roman"/>
          <w:lang w:val="fr-CA"/>
        </w:rPr>
        <w:t>Au demeurant, une réponse d</w:t>
      </w:r>
      <w:r>
        <w:rPr>
          <w:rFonts w:cs="Times New Roman"/>
          <w:lang w:val="fr-CA"/>
        </w:rPr>
        <w:t>’</w:t>
      </w:r>
      <w:r w:rsidRPr="002C53FC">
        <w:rPr>
          <w:rFonts w:cs="Times New Roman"/>
          <w:lang w:val="fr-CA"/>
        </w:rPr>
        <w:t xml:space="preserve">un gouvernement qui ne démontre pas un engagement </w:t>
      </w:r>
      <w:r w:rsidRPr="002C53FC">
        <w:rPr>
          <w:rFonts w:cs="Times New Roman"/>
          <w:i/>
          <w:lang w:val="fr-CA"/>
        </w:rPr>
        <w:t>sérieux</w:t>
      </w:r>
      <w:r w:rsidRPr="002C53FC">
        <w:rPr>
          <w:rFonts w:cs="Times New Roman"/>
          <w:lang w:val="fr-CA"/>
        </w:rPr>
        <w:t xml:space="preserve"> à l</w:t>
      </w:r>
      <w:r>
        <w:rPr>
          <w:rFonts w:cs="Times New Roman"/>
          <w:lang w:val="fr-CA"/>
        </w:rPr>
        <w:t>’</w:t>
      </w:r>
      <w:r w:rsidRPr="002C53FC">
        <w:rPr>
          <w:rFonts w:cs="Times New Roman"/>
          <w:lang w:val="fr-CA"/>
        </w:rPr>
        <w:t>égard du mécanisme d</w:t>
      </w:r>
      <w:r>
        <w:rPr>
          <w:rFonts w:cs="Times New Roman"/>
          <w:lang w:val="fr-CA"/>
        </w:rPr>
        <w:t>’</w:t>
      </w:r>
      <w:r w:rsidRPr="002C53FC">
        <w:rPr>
          <w:rFonts w:cs="Times New Roman"/>
          <w:lang w:val="fr-CA"/>
        </w:rPr>
        <w:t>examen par une commission et des recommandations de celle</w:t>
      </w:r>
      <w:r>
        <w:rPr>
          <w:rFonts w:cs="Times New Roman"/>
          <w:lang w:val="fr-CA"/>
        </w:rPr>
        <w:noBreakHyphen/>
      </w:r>
      <w:r w:rsidRPr="002C53FC">
        <w:rPr>
          <w:rFonts w:cs="Times New Roman"/>
          <w:lang w:val="fr-CA"/>
        </w:rPr>
        <w:t xml:space="preserve">ci risque de ne pas satisfaire aux exigences énoncées dans </w:t>
      </w:r>
      <w:r w:rsidRPr="002C53FC">
        <w:rPr>
          <w:rFonts w:cs="Times New Roman"/>
          <w:lang w:val="fr-CA"/>
        </w:rPr>
        <w:lastRenderedPageBreak/>
        <w:t>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Comme l</w:t>
      </w:r>
      <w:r>
        <w:rPr>
          <w:rFonts w:cs="Times New Roman"/>
          <w:lang w:val="fr-CA"/>
        </w:rPr>
        <w:t>’</w:t>
      </w:r>
      <w:r w:rsidRPr="002C53FC">
        <w:rPr>
          <w:rFonts w:cs="Times New Roman"/>
          <w:lang w:val="fr-CA"/>
        </w:rPr>
        <w:t xml:space="preserve">affirme clairement cet arrêt, au </w:t>
      </w:r>
      <w:r>
        <w:rPr>
          <w:rFonts w:cs="Times New Roman"/>
          <w:lang w:val="fr-CA"/>
        </w:rPr>
        <w:t>par. </w:t>
      </w:r>
      <w:r w:rsidRPr="002C53FC">
        <w:rPr>
          <w:rFonts w:cs="Times New Roman"/>
          <w:lang w:val="fr-CA"/>
        </w:rPr>
        <w:t>31, le tribunal de révision doit en définitive être convaincu que les objectifs du recours à une commission</w:t>
      </w:r>
      <w:r>
        <w:rPr>
          <w:rFonts w:cs="Times New Roman"/>
          <w:lang w:val="fr-CA"/>
        </w:rPr>
        <w:t xml:space="preserve"> </w:t>
      </w:r>
      <w:r w:rsidRPr="002C53FC">
        <w:rPr>
          <w:rFonts w:cs="Times New Roman"/>
          <w:lang w:val="fr-CA"/>
        </w:rPr>
        <w:t>— c</w:t>
      </w:r>
      <w:r>
        <w:rPr>
          <w:rFonts w:cs="Times New Roman"/>
          <w:lang w:val="fr-CA"/>
        </w:rPr>
        <w:t>’</w:t>
      </w:r>
      <w:r w:rsidRPr="002C53FC">
        <w:rPr>
          <w:rFonts w:cs="Times New Roman"/>
          <w:lang w:val="fr-CA"/>
        </w:rPr>
        <w:t>est</w:t>
      </w:r>
      <w:r>
        <w:rPr>
          <w:rFonts w:cs="Times New Roman"/>
          <w:lang w:val="fr-CA"/>
        </w:rPr>
        <w:noBreakHyphen/>
      </w:r>
      <w:r w:rsidRPr="002C53FC">
        <w:rPr>
          <w:rFonts w:cs="Times New Roman"/>
          <w:lang w:val="fr-CA"/>
        </w:rPr>
        <w:t>à</w:t>
      </w:r>
      <w:r>
        <w:rPr>
          <w:rFonts w:cs="Times New Roman"/>
          <w:lang w:val="fr-CA"/>
        </w:rPr>
        <w:noBreakHyphen/>
      </w:r>
      <w:r w:rsidRPr="002C53FC">
        <w:rPr>
          <w:rFonts w:cs="Times New Roman"/>
          <w:lang w:val="fr-CA"/>
        </w:rPr>
        <w:t>dire la dépolitisation des décisions concernant la rémunération des juges et la préservation de l</w:t>
      </w:r>
      <w:r>
        <w:rPr>
          <w:rFonts w:cs="Times New Roman"/>
          <w:lang w:val="fr-CA"/>
        </w:rPr>
        <w:t>’</w:t>
      </w:r>
      <w:r w:rsidRPr="002C53FC">
        <w:rPr>
          <w:rFonts w:cs="Times New Roman"/>
          <w:lang w:val="fr-CA"/>
        </w:rPr>
        <w:t>indépendance judiciaire — ont été atteints.</w:t>
      </w:r>
    </w:p>
    <w:p w14:paraId="4756B428"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Bref, le contrôle de type </w:t>
      </w:r>
      <w:r w:rsidRPr="002C53FC">
        <w:rPr>
          <w:rFonts w:cs="Times New Roman"/>
          <w:i/>
          <w:lang w:val="fr-CA"/>
        </w:rPr>
        <w:t>Bodner</w:t>
      </w:r>
      <w:r w:rsidRPr="002C53FC">
        <w:rPr>
          <w:rFonts w:cs="Times New Roman"/>
          <w:lang w:val="fr-CA"/>
        </w:rPr>
        <w:t xml:space="preserve"> concerne la réponse d</w:t>
      </w:r>
      <w:r>
        <w:rPr>
          <w:rFonts w:cs="Times New Roman"/>
          <w:lang w:val="fr-CA"/>
        </w:rPr>
        <w:t>’</w:t>
      </w:r>
      <w:r w:rsidRPr="002C53FC">
        <w:rPr>
          <w:rFonts w:cs="Times New Roman"/>
          <w:lang w:val="fr-CA"/>
        </w:rPr>
        <w:t>un gouvernement aux recommandations d</w:t>
      </w:r>
      <w:r>
        <w:rPr>
          <w:rFonts w:cs="Times New Roman"/>
          <w:lang w:val="fr-CA"/>
        </w:rPr>
        <w:t>’</w:t>
      </w:r>
      <w:r w:rsidRPr="002C53FC">
        <w:rPr>
          <w:rFonts w:cs="Times New Roman"/>
          <w:lang w:val="fr-CA"/>
        </w:rPr>
        <w:t>une commission — qui consistera généralement en une décision de ce gouvernement de s</w:t>
      </w:r>
      <w:r>
        <w:rPr>
          <w:rFonts w:cs="Times New Roman"/>
          <w:lang w:val="fr-CA"/>
        </w:rPr>
        <w:t>’</w:t>
      </w:r>
      <w:r w:rsidRPr="002C53FC">
        <w:rPr>
          <w:rFonts w:cs="Times New Roman"/>
          <w:lang w:val="fr-CA"/>
        </w:rPr>
        <w:t>écarter des recommandations en question — et les motifs invoqués pour justifier cette décision. Les mémoires présentés à la commission, les recommandations de cette dernière et la réponse du gouvernement constituent donc l</w:t>
      </w:r>
      <w:r>
        <w:rPr>
          <w:rFonts w:cs="Times New Roman"/>
          <w:lang w:val="fr-CA"/>
        </w:rPr>
        <w:t>’</w:t>
      </w:r>
      <w:r w:rsidRPr="002C53FC">
        <w:rPr>
          <w:rFonts w:cs="Times New Roman"/>
          <w:lang w:val="fr-CA"/>
        </w:rPr>
        <w:t xml:space="preserve">essence du dossier constitué en vue du contrôle de type </w:t>
      </w:r>
      <w:r w:rsidRPr="002C53FC">
        <w:rPr>
          <w:rFonts w:cs="Times New Roman"/>
          <w:i/>
          <w:lang w:val="fr-CA"/>
        </w:rPr>
        <w:t>Bodner</w:t>
      </w:r>
      <w:r w:rsidRPr="002C53FC">
        <w:rPr>
          <w:rFonts w:cs="Times New Roman"/>
          <w:lang w:val="fr-CA"/>
        </w:rPr>
        <w:t>. Certains types d</w:t>
      </w:r>
      <w:r>
        <w:rPr>
          <w:rFonts w:cs="Times New Roman"/>
          <w:lang w:val="fr-CA"/>
        </w:rPr>
        <w:t>’</w:t>
      </w:r>
      <w:r w:rsidRPr="002C53FC">
        <w:rPr>
          <w:rFonts w:cs="Times New Roman"/>
          <w:lang w:val="fr-CA"/>
        </w:rPr>
        <w:t>éléments de preuve additionnels sont admissibles s</w:t>
      </w:r>
      <w:r>
        <w:rPr>
          <w:rFonts w:cs="Times New Roman"/>
          <w:lang w:val="fr-CA"/>
        </w:rPr>
        <w:t>’</w:t>
      </w:r>
      <w:r w:rsidRPr="002C53FC">
        <w:rPr>
          <w:rFonts w:cs="Times New Roman"/>
          <w:lang w:val="fr-CA"/>
        </w:rPr>
        <w:t>ils sont pertinents pour déterminer s</w:t>
      </w:r>
      <w:r>
        <w:rPr>
          <w:rFonts w:cs="Times New Roman"/>
          <w:lang w:val="fr-CA"/>
        </w:rPr>
        <w:t>’</w:t>
      </w:r>
      <w:r w:rsidRPr="002C53FC">
        <w:rPr>
          <w:rFonts w:cs="Times New Roman"/>
          <w:lang w:val="fr-CA"/>
        </w:rPr>
        <w:t>il a été satisfait à l</w:t>
      </w:r>
      <w:r>
        <w:rPr>
          <w:rFonts w:cs="Times New Roman"/>
          <w:lang w:val="fr-CA"/>
        </w:rPr>
        <w:t>’</w:t>
      </w:r>
      <w:r w:rsidRPr="002C53FC">
        <w:rPr>
          <w:rFonts w:cs="Times New Roman"/>
          <w:lang w:val="fr-CA"/>
        </w:rPr>
        <w:t>une ou l</w:t>
      </w:r>
      <w:r>
        <w:rPr>
          <w:rFonts w:cs="Times New Roman"/>
          <w:lang w:val="fr-CA"/>
        </w:rPr>
        <w:t>’</w:t>
      </w:r>
      <w:r w:rsidRPr="002C53FC">
        <w:rPr>
          <w:rFonts w:cs="Times New Roman"/>
          <w:lang w:val="fr-CA"/>
        </w:rPr>
        <w:t>autre des étapes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y compris pour savoir si la réponse du gouvernement est fondée sur un objectif illégitime ou déguisé. Cependant, lorsqu</w:t>
      </w:r>
      <w:r>
        <w:rPr>
          <w:rFonts w:cs="Times New Roman"/>
          <w:lang w:val="fr-CA"/>
        </w:rPr>
        <w:t>’</w:t>
      </w:r>
      <w:r w:rsidRPr="002C53FC">
        <w:rPr>
          <w:rFonts w:cs="Times New Roman"/>
          <w:lang w:val="fr-CA"/>
        </w:rPr>
        <w:t xml:space="preserve">une partie qui sollicite un contrôle de type </w:t>
      </w:r>
      <w:r w:rsidRPr="002C53FC">
        <w:rPr>
          <w:rFonts w:cs="Times New Roman"/>
          <w:i/>
          <w:lang w:val="fr-CA"/>
        </w:rPr>
        <w:t>Bodner</w:t>
      </w:r>
      <w:r w:rsidRPr="002C53FC">
        <w:rPr>
          <w:rFonts w:cs="Times New Roman"/>
          <w:lang w:val="fr-CA"/>
        </w:rPr>
        <w:t xml:space="preserve"> demande la production d</w:t>
      </w:r>
      <w:r>
        <w:rPr>
          <w:rFonts w:cs="Times New Roman"/>
          <w:lang w:val="fr-CA"/>
        </w:rPr>
        <w:t>’</w:t>
      </w:r>
      <w:r w:rsidRPr="002C53FC">
        <w:rPr>
          <w:rFonts w:cs="Times New Roman"/>
          <w:lang w:val="fr-CA"/>
        </w:rPr>
        <w:t>un document confidentiel du Cabinet, elle doit d</w:t>
      </w:r>
      <w:r>
        <w:rPr>
          <w:rFonts w:cs="Times New Roman"/>
          <w:lang w:val="fr-CA"/>
        </w:rPr>
        <w:t>’</w:t>
      </w:r>
      <w:r w:rsidRPr="002C53FC">
        <w:rPr>
          <w:rFonts w:cs="Times New Roman"/>
          <w:lang w:val="fr-CA"/>
        </w:rPr>
        <w:t>abord établir qu</w:t>
      </w:r>
      <w:r>
        <w:rPr>
          <w:rFonts w:cs="Times New Roman"/>
          <w:lang w:val="fr-CA"/>
        </w:rPr>
        <w:t>’</w:t>
      </w:r>
      <w:r w:rsidRPr="002C53FC">
        <w:rPr>
          <w:rFonts w:cs="Times New Roman"/>
          <w:lang w:val="fr-CA"/>
        </w:rPr>
        <w:t>il y a des raisons de croire que ce document contient des éléments de preuve qui tendent à démontrer que le gouvernement n</w:t>
      </w:r>
      <w:r>
        <w:rPr>
          <w:rFonts w:cs="Times New Roman"/>
          <w:lang w:val="fr-CA"/>
        </w:rPr>
        <w:t>’</w:t>
      </w:r>
      <w:r w:rsidRPr="002C53FC">
        <w:rPr>
          <w:rFonts w:cs="Times New Roman"/>
          <w:lang w:val="fr-CA"/>
        </w:rPr>
        <w:t>a pas satisfait à une des exigences décrites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Ce n</w:t>
      </w:r>
      <w:r>
        <w:rPr>
          <w:rFonts w:cs="Times New Roman"/>
          <w:lang w:val="fr-CA"/>
        </w:rPr>
        <w:t>’</w:t>
      </w:r>
      <w:r w:rsidRPr="002C53FC">
        <w:rPr>
          <w:rFonts w:cs="Times New Roman"/>
          <w:lang w:val="fr-CA"/>
        </w:rPr>
        <w:t>est qu</w:t>
      </w:r>
      <w:r>
        <w:rPr>
          <w:rFonts w:cs="Times New Roman"/>
          <w:lang w:val="fr-CA"/>
        </w:rPr>
        <w:t>’</w:t>
      </w:r>
      <w:r w:rsidRPr="002C53FC">
        <w:rPr>
          <w:rFonts w:cs="Times New Roman"/>
          <w:lang w:val="fr-CA"/>
        </w:rPr>
        <w:t>une fois cette démonstration faite que le tribunal de révision examine le document en privé pour déterminer si, de fait, il fournit une preuve qui tend à démontrer que le gouvernement a failli à ses obligations constitutionnelles. Si c</w:t>
      </w:r>
      <w:r>
        <w:rPr>
          <w:rFonts w:cs="Times New Roman"/>
          <w:lang w:val="fr-CA"/>
        </w:rPr>
        <w:t>’</w:t>
      </w:r>
      <w:r w:rsidRPr="002C53FC">
        <w:rPr>
          <w:rFonts w:cs="Times New Roman"/>
          <w:lang w:val="fr-CA"/>
        </w:rPr>
        <w:t>est le cas, le tribunal doit alors décider si une autre règle de preuve, comme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en empêche la production.</w:t>
      </w:r>
    </w:p>
    <w:p w14:paraId="644A42E3" w14:textId="77777777" w:rsidR="002C65EF" w:rsidRPr="002C53FC" w:rsidRDefault="002C65EF" w:rsidP="002C65EF">
      <w:pPr>
        <w:pStyle w:val="Title3LevelTitre3Niveau"/>
        <w:spacing w:before="0"/>
        <w:rPr>
          <w:rFonts w:cs="Times New Roman"/>
          <w:lang w:val="fr-CA"/>
        </w:rPr>
      </w:pPr>
      <w:r w:rsidRPr="002C53FC">
        <w:rPr>
          <w:rFonts w:cs="Times New Roman"/>
          <w:lang w:val="fr-CA"/>
        </w:rPr>
        <w:lastRenderedPageBreak/>
        <w:t>Application</w:t>
      </w:r>
    </w:p>
    <w:p w14:paraId="0FF4EEEF" w14:textId="77777777" w:rsidR="002C65EF" w:rsidRPr="002C53FC" w:rsidRDefault="002C65EF" w:rsidP="002C65EF">
      <w:pPr>
        <w:pStyle w:val="ParaNoNdepar-AltN"/>
        <w:spacing w:before="0"/>
        <w:rPr>
          <w:rFonts w:cs="Times New Roman"/>
          <w:lang w:val="fr-CA"/>
        </w:rPr>
      </w:pPr>
      <w:r w:rsidRPr="002C53FC">
        <w:rPr>
          <w:rFonts w:cs="Times New Roman"/>
          <w:lang w:val="fr-CA"/>
        </w:rPr>
        <w:t>En l</w:t>
      </w:r>
      <w:r>
        <w:rPr>
          <w:rFonts w:cs="Times New Roman"/>
          <w:lang w:val="fr-CA"/>
        </w:rPr>
        <w:t>’</w:t>
      </w:r>
      <w:r w:rsidRPr="002C53FC">
        <w:rPr>
          <w:rFonts w:cs="Times New Roman"/>
          <w:lang w:val="fr-CA"/>
        </w:rPr>
        <w:t>espèce, dans la mesure où l</w:t>
      </w:r>
      <w:r>
        <w:rPr>
          <w:rFonts w:cs="Times New Roman"/>
          <w:lang w:val="fr-CA"/>
        </w:rPr>
        <w:t>’</w:t>
      </w:r>
      <w:r w:rsidRPr="002C53FC">
        <w:rPr>
          <w:rFonts w:cs="Times New Roman"/>
          <w:lang w:val="fr-CA"/>
        </w:rPr>
        <w:t>Association demande la production d</w:t>
      </w:r>
      <w:r>
        <w:rPr>
          <w:rFonts w:cs="Times New Roman"/>
          <w:lang w:val="fr-CA"/>
        </w:rPr>
        <w:t>’</w:t>
      </w:r>
      <w:r w:rsidRPr="002C53FC">
        <w:rPr>
          <w:rFonts w:cs="Times New Roman"/>
          <w:lang w:val="fr-CA"/>
        </w:rPr>
        <w:t>un mémoire au Cabinet confidentiel, il faut décider en premier lieu si elle a fait la démonstration préliminaire requise.</w:t>
      </w:r>
    </w:p>
    <w:p w14:paraId="427F12F4" w14:textId="3E24D6D9" w:rsidR="002C65EF" w:rsidRPr="002C53FC" w:rsidRDefault="002C65EF" w:rsidP="002C65EF">
      <w:pPr>
        <w:pStyle w:val="ParaNoNdepar-AltN"/>
        <w:spacing w:before="0"/>
        <w:rPr>
          <w:rFonts w:cs="Times New Roman"/>
          <w:lang w:val="fr-CA"/>
        </w:rPr>
      </w:pPr>
      <w:r w:rsidRPr="002C53FC">
        <w:rPr>
          <w:rFonts w:cs="Times New Roman"/>
          <w:lang w:val="fr-CA"/>
        </w:rPr>
        <w:t>L</w:t>
      </w:r>
      <w:r>
        <w:rPr>
          <w:rFonts w:cs="Times New Roman"/>
          <w:lang w:val="fr-CA"/>
        </w:rPr>
        <w:t>’</w:t>
      </w:r>
      <w:r w:rsidRPr="002C53FC">
        <w:rPr>
          <w:rFonts w:cs="Times New Roman"/>
          <w:lang w:val="fr-CA"/>
        </w:rPr>
        <w:t>Association invoque un précédent ayant mis en cause la rémunération des juges, dans le cadre duquel le procureur général avait produit un mémoire au Cabinet qui traitait de la réponse du gouvernement aux recommandations de la commission</w:t>
      </w:r>
      <w:r>
        <w:rPr>
          <w:rFonts w:cs="Times New Roman"/>
          <w:lang w:val="fr-CA"/>
        </w:rPr>
        <w:t> :</w:t>
      </w:r>
      <w:r w:rsidRPr="002C53FC">
        <w:rPr>
          <w:rFonts w:cs="Times New Roman"/>
          <w:lang w:val="fr-CA"/>
        </w:rPr>
        <w:t xml:space="preserve"> voir </w:t>
      </w:r>
      <w:r w:rsidRPr="002C53FC">
        <w:rPr>
          <w:rFonts w:cs="Times New Roman"/>
          <w:i/>
          <w:lang w:val="fr-CA"/>
        </w:rPr>
        <w:t>Provincial Court Judges</w:t>
      </w:r>
      <w:r>
        <w:rPr>
          <w:rFonts w:cs="Times New Roman"/>
          <w:i/>
          <w:lang w:val="fr-CA"/>
        </w:rPr>
        <w:t>’</w:t>
      </w:r>
      <w:r w:rsidRPr="002C53FC">
        <w:rPr>
          <w:rFonts w:cs="Times New Roman"/>
          <w:i/>
          <w:lang w:val="fr-CA"/>
        </w:rPr>
        <w:t xml:space="preserve"> Association of British Columbia c. British Columbia (Attorney General)</w:t>
      </w:r>
      <w:r w:rsidR="00C11947">
        <w:rPr>
          <w:rFonts w:cs="Times New Roman"/>
          <w:lang w:val="fr-CA"/>
        </w:rPr>
        <w:t xml:space="preserve">. </w:t>
      </w:r>
      <w:r w:rsidRPr="002C53FC">
        <w:rPr>
          <w:rFonts w:cs="Times New Roman"/>
          <w:lang w:val="fr-CA"/>
        </w:rPr>
        <w:t>Dans cette affaire, la Cour suprême de la Colombie</w:t>
      </w:r>
      <w:r>
        <w:rPr>
          <w:rFonts w:cs="Times New Roman"/>
          <w:lang w:val="fr-CA"/>
        </w:rPr>
        <w:noBreakHyphen/>
      </w:r>
      <w:r w:rsidRPr="002C53FC">
        <w:rPr>
          <w:rFonts w:cs="Times New Roman"/>
          <w:lang w:val="fr-CA"/>
        </w:rPr>
        <w:t>Britannique a conclu que le mémoire en question révélait que l</w:t>
      </w:r>
      <w:r>
        <w:rPr>
          <w:rFonts w:cs="Times New Roman"/>
          <w:lang w:val="fr-CA"/>
        </w:rPr>
        <w:t>’</w:t>
      </w:r>
      <w:r w:rsidRPr="002C53FC">
        <w:rPr>
          <w:rFonts w:cs="Times New Roman"/>
          <w:lang w:val="fr-CA"/>
        </w:rPr>
        <w:t>on avait accordé une [</w:t>
      </w:r>
      <w:r w:rsidRPr="002C53FC">
        <w:rPr>
          <w:rFonts w:cs="Times New Roman"/>
          <w:smallCaps/>
          <w:lang w:val="fr-CA"/>
        </w:rPr>
        <w:t>traduction</w:t>
      </w:r>
      <w:r w:rsidRPr="002C53FC">
        <w:rPr>
          <w:rFonts w:cs="Times New Roman"/>
          <w:lang w:val="fr-CA"/>
        </w:rPr>
        <w:t>] « importance indue » à la nécessité d</w:t>
      </w:r>
      <w:r>
        <w:rPr>
          <w:rFonts w:cs="Times New Roman"/>
          <w:lang w:val="fr-CA"/>
        </w:rPr>
        <w:t>’</w:t>
      </w:r>
      <w:r w:rsidRPr="002C53FC">
        <w:rPr>
          <w:rFonts w:cs="Times New Roman"/>
          <w:lang w:val="fr-CA"/>
        </w:rPr>
        <w:t>assurer un lien entre les traitements des juges et ceux des employés du secteur public</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81. Selon ce qu</w:t>
      </w:r>
      <w:r>
        <w:rPr>
          <w:rFonts w:cs="Times New Roman"/>
          <w:lang w:val="fr-CA"/>
        </w:rPr>
        <w:t>’</w:t>
      </w:r>
      <w:r w:rsidRPr="002C53FC">
        <w:rPr>
          <w:rFonts w:cs="Times New Roman"/>
          <w:lang w:val="fr-CA"/>
        </w:rPr>
        <w:t>avance l</w:t>
      </w:r>
      <w:r>
        <w:rPr>
          <w:rFonts w:cs="Times New Roman"/>
          <w:lang w:val="fr-CA"/>
        </w:rPr>
        <w:t>’</w:t>
      </w:r>
      <w:r w:rsidRPr="002C53FC">
        <w:rPr>
          <w:rFonts w:cs="Times New Roman"/>
          <w:lang w:val="fr-CA"/>
        </w:rPr>
        <w:t>Association, il ressort de ce précédent que le mémoire au Cabinet, en l</w:t>
      </w:r>
      <w:r>
        <w:rPr>
          <w:rFonts w:cs="Times New Roman"/>
          <w:lang w:val="fr-CA"/>
        </w:rPr>
        <w:t>’</w:t>
      </w:r>
      <w:r w:rsidRPr="002C53FC">
        <w:rPr>
          <w:rFonts w:cs="Times New Roman"/>
          <w:lang w:val="fr-CA"/>
        </w:rPr>
        <w:t>espèce, est un élément pertinent pour résoudre la question de savoir si le gouvernement est engagé et a fait preuve de respect à l</w:t>
      </w:r>
      <w:r>
        <w:rPr>
          <w:rFonts w:cs="Times New Roman"/>
          <w:lang w:val="fr-CA"/>
        </w:rPr>
        <w:t>’</w:t>
      </w:r>
      <w:r w:rsidRPr="002C53FC">
        <w:rPr>
          <w:rFonts w:cs="Times New Roman"/>
          <w:lang w:val="fr-CA"/>
        </w:rPr>
        <w:t>égard du mécanisme d</w:t>
      </w:r>
      <w:r>
        <w:rPr>
          <w:rFonts w:cs="Times New Roman"/>
          <w:lang w:val="fr-CA"/>
        </w:rPr>
        <w:t>’</w:t>
      </w:r>
      <w:r w:rsidRPr="002C53FC">
        <w:rPr>
          <w:rFonts w:cs="Times New Roman"/>
          <w:lang w:val="fr-CA"/>
        </w:rPr>
        <w:t>examen par la commission.</w:t>
      </w:r>
    </w:p>
    <w:p w14:paraId="2006E319" w14:textId="77777777" w:rsidR="002C65EF" w:rsidRPr="002C53FC" w:rsidRDefault="002C65EF" w:rsidP="002C65EF">
      <w:pPr>
        <w:pStyle w:val="ParaNoNdepar-AltN"/>
        <w:spacing w:before="0"/>
        <w:rPr>
          <w:rFonts w:cs="Times New Roman"/>
          <w:lang w:val="fr-CA"/>
        </w:rPr>
      </w:pPr>
      <w:r w:rsidRPr="002C53FC">
        <w:rPr>
          <w:rFonts w:cs="Times New Roman"/>
          <w:lang w:val="fr-CA"/>
        </w:rPr>
        <w:t>Je ne suis pas convaincue. La cause invoquée par l</w:t>
      </w:r>
      <w:r>
        <w:rPr>
          <w:rFonts w:cs="Times New Roman"/>
          <w:lang w:val="fr-CA"/>
        </w:rPr>
        <w:t>’</w:t>
      </w:r>
      <w:r w:rsidRPr="002C53FC">
        <w:rPr>
          <w:rFonts w:cs="Times New Roman"/>
          <w:lang w:val="fr-CA"/>
        </w:rPr>
        <w:t>Association a été jugée il y a presque une décennie. Il ne s</w:t>
      </w:r>
      <w:r>
        <w:rPr>
          <w:rFonts w:cs="Times New Roman"/>
          <w:lang w:val="fr-CA"/>
        </w:rPr>
        <w:t>’</w:t>
      </w:r>
      <w:r w:rsidRPr="002C53FC">
        <w:rPr>
          <w:rFonts w:cs="Times New Roman"/>
          <w:lang w:val="fr-CA"/>
        </w:rPr>
        <w:t>ensuit pas que, parce qu</w:t>
      </w:r>
      <w:r>
        <w:rPr>
          <w:rFonts w:cs="Times New Roman"/>
          <w:lang w:val="fr-CA"/>
        </w:rPr>
        <w:t>’</w:t>
      </w:r>
      <w:r w:rsidRPr="002C53FC">
        <w:rPr>
          <w:rFonts w:cs="Times New Roman"/>
          <w:lang w:val="fr-CA"/>
        </w:rPr>
        <w:t>un mémoire au Cabinet a révélé que le gouvernement avait fondé sa décision sur une considération illégitime il y a 10 ans, il pourrait aujourd</w:t>
      </w:r>
      <w:r>
        <w:rPr>
          <w:rFonts w:cs="Times New Roman"/>
          <w:lang w:val="fr-CA"/>
        </w:rPr>
        <w:t>’</w:t>
      </w:r>
      <w:r w:rsidRPr="002C53FC">
        <w:rPr>
          <w:rFonts w:cs="Times New Roman"/>
          <w:lang w:val="fr-CA"/>
        </w:rPr>
        <w:t>hui s</w:t>
      </w:r>
      <w:r>
        <w:rPr>
          <w:rFonts w:cs="Times New Roman"/>
          <w:lang w:val="fr-CA"/>
        </w:rPr>
        <w:t>’</w:t>
      </w:r>
      <w:r w:rsidRPr="002C53FC">
        <w:rPr>
          <w:rFonts w:cs="Times New Roman"/>
          <w:lang w:val="fr-CA"/>
        </w:rPr>
        <w:t>être fondé en l</w:t>
      </w:r>
      <w:r>
        <w:rPr>
          <w:rFonts w:cs="Times New Roman"/>
          <w:lang w:val="fr-CA"/>
        </w:rPr>
        <w:t>’</w:t>
      </w:r>
      <w:r w:rsidRPr="002C53FC">
        <w:rPr>
          <w:rFonts w:cs="Times New Roman"/>
          <w:lang w:val="fr-CA"/>
        </w:rPr>
        <w:t>espèce sur une considération de même nature. En effet, on peut s</w:t>
      </w:r>
      <w:r>
        <w:rPr>
          <w:rFonts w:cs="Times New Roman"/>
          <w:lang w:val="fr-CA"/>
        </w:rPr>
        <w:t>’</w:t>
      </w:r>
      <w:r w:rsidRPr="002C53FC">
        <w:rPr>
          <w:rFonts w:cs="Times New Roman"/>
          <w:lang w:val="fr-CA"/>
        </w:rPr>
        <w:t xml:space="preserve">attendre à ce que le gouvernement ait appris de ses </w:t>
      </w:r>
      <w:r w:rsidRPr="002C53FC">
        <w:rPr>
          <w:rFonts w:cs="Times New Roman"/>
          <w:lang w:val="fr-CA"/>
        </w:rPr>
        <w:lastRenderedPageBreak/>
        <w:t>erreurs passées. Il faut donc davantage pour conclure à l</w:t>
      </w:r>
      <w:r>
        <w:rPr>
          <w:rFonts w:cs="Times New Roman"/>
          <w:lang w:val="fr-CA"/>
        </w:rPr>
        <w:t>’</w:t>
      </w:r>
      <w:r w:rsidRPr="002C53FC">
        <w:rPr>
          <w:rFonts w:cs="Times New Roman"/>
          <w:lang w:val="fr-CA"/>
        </w:rPr>
        <w:t>existence de raisons de croire que le mémoire est susceptible de contenir des éléments de preuve qui tendraient à démontrer que le gouvernement n</w:t>
      </w:r>
      <w:r>
        <w:rPr>
          <w:rFonts w:cs="Times New Roman"/>
          <w:lang w:val="fr-CA"/>
        </w:rPr>
        <w:t>’</w:t>
      </w:r>
      <w:r w:rsidRPr="002C53FC">
        <w:rPr>
          <w:rFonts w:cs="Times New Roman"/>
          <w:lang w:val="fr-CA"/>
        </w:rPr>
        <w:t>a pas satisfait à une exigence décrite dans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w:t>
      </w:r>
    </w:p>
    <w:p w14:paraId="4343025C" w14:textId="77777777" w:rsidR="002C65EF" w:rsidRPr="002C53FC" w:rsidRDefault="002C65EF" w:rsidP="002C65EF">
      <w:pPr>
        <w:pStyle w:val="ParaNoNdepar-AltN"/>
        <w:spacing w:before="0"/>
        <w:rPr>
          <w:rFonts w:cs="Times New Roman"/>
          <w:lang w:val="fr-CA"/>
        </w:rPr>
      </w:pPr>
      <w:r w:rsidRPr="002C53FC">
        <w:rPr>
          <w:rFonts w:cs="Times New Roman"/>
          <w:lang w:val="fr-CA"/>
        </w:rPr>
        <w:t>Bien que ce ne soit pas déterminant, je signale que ni l</w:t>
      </w:r>
      <w:r>
        <w:rPr>
          <w:rFonts w:cs="Times New Roman"/>
          <w:lang w:val="fr-CA"/>
        </w:rPr>
        <w:t>’</w:t>
      </w:r>
      <w:r w:rsidRPr="002C53FC">
        <w:rPr>
          <w:rFonts w:cs="Times New Roman"/>
          <w:lang w:val="fr-CA"/>
        </w:rPr>
        <w:t>exécutif ni l</w:t>
      </w:r>
      <w:r>
        <w:rPr>
          <w:rFonts w:cs="Times New Roman"/>
          <w:lang w:val="fr-CA"/>
        </w:rPr>
        <w:t>’</w:t>
      </w:r>
      <w:r w:rsidRPr="002C53FC">
        <w:rPr>
          <w:rFonts w:cs="Times New Roman"/>
          <w:lang w:val="fr-CA"/>
        </w:rPr>
        <w:t>Assemblée législative n</w:t>
      </w:r>
      <w:r>
        <w:rPr>
          <w:rFonts w:cs="Times New Roman"/>
          <w:lang w:val="fr-CA"/>
        </w:rPr>
        <w:t>’</w:t>
      </w:r>
      <w:r w:rsidRPr="002C53FC">
        <w:rPr>
          <w:rFonts w:cs="Times New Roman"/>
          <w:lang w:val="fr-CA"/>
        </w:rPr>
        <w:t>ont soulevé la question du mémoire au Cabinet. Et, à l</w:t>
      </w:r>
      <w:r>
        <w:rPr>
          <w:rFonts w:cs="Times New Roman"/>
          <w:lang w:val="fr-CA"/>
        </w:rPr>
        <w:t>’</w:t>
      </w:r>
      <w:r w:rsidRPr="002C53FC">
        <w:rPr>
          <w:rFonts w:cs="Times New Roman"/>
          <w:lang w:val="fr-CA"/>
        </w:rPr>
        <w:t>instar de la résolution de l</w:t>
      </w:r>
      <w:r>
        <w:rPr>
          <w:rFonts w:cs="Times New Roman"/>
          <w:lang w:val="fr-CA"/>
        </w:rPr>
        <w:t>’</w:t>
      </w:r>
      <w:r w:rsidRPr="002C53FC">
        <w:rPr>
          <w:rFonts w:cs="Times New Roman"/>
          <w:lang w:val="fr-CA"/>
        </w:rPr>
        <w:t>Assemblée législative, la réponse du gouvernement ne fait pas davantage mention de ce document. En outre, à la différence de l</w:t>
      </w:r>
      <w:r>
        <w:rPr>
          <w:rFonts w:cs="Times New Roman"/>
          <w:lang w:val="fr-CA"/>
        </w:rPr>
        <w:t>’</w:t>
      </w:r>
      <w:r w:rsidRPr="002C53FC">
        <w:rPr>
          <w:rFonts w:cs="Times New Roman"/>
          <w:lang w:val="fr-CA"/>
        </w:rPr>
        <w:t>affidavit produit dans le cadre d</w:t>
      </w:r>
      <w:r>
        <w:rPr>
          <w:rFonts w:cs="Times New Roman"/>
          <w:lang w:val="fr-CA"/>
        </w:rPr>
        <w:t>’</w:t>
      </w:r>
      <w:r w:rsidRPr="002C53FC">
        <w:rPr>
          <w:rFonts w:cs="Times New Roman"/>
          <w:lang w:val="fr-CA"/>
        </w:rPr>
        <w:t>une série de litiges antérieurs ayant opposé le procureur général et l</w:t>
      </w:r>
      <w:r>
        <w:rPr>
          <w:rFonts w:cs="Times New Roman"/>
          <w:lang w:val="fr-CA"/>
        </w:rPr>
        <w:t>’</w:t>
      </w:r>
      <w:r w:rsidRPr="002C53FC">
        <w:rPr>
          <w:rFonts w:cs="Times New Roman"/>
          <w:lang w:val="fr-CA"/>
        </w:rPr>
        <w:t>Association, celui présenté en l</w:t>
      </w:r>
      <w:r>
        <w:rPr>
          <w:rFonts w:cs="Times New Roman"/>
          <w:lang w:val="fr-CA"/>
        </w:rPr>
        <w:t>’</w:t>
      </w:r>
      <w:r w:rsidRPr="002C53FC">
        <w:rPr>
          <w:rFonts w:cs="Times New Roman"/>
          <w:lang w:val="fr-CA"/>
        </w:rPr>
        <w:t>espèce au soutien de la réponse du procureur général à la demande de contrôle judiciaire ne fait aucune référence au mémoire au Cabinet. Rien non plus à la face même du dossier n</w:t>
      </w:r>
      <w:r>
        <w:rPr>
          <w:rFonts w:cs="Times New Roman"/>
          <w:lang w:val="fr-CA"/>
        </w:rPr>
        <w:t>’</w:t>
      </w:r>
      <w:r w:rsidRPr="002C53FC">
        <w:rPr>
          <w:rFonts w:cs="Times New Roman"/>
          <w:lang w:val="fr-CA"/>
        </w:rPr>
        <w:t>indique que ce mémoire pourrait contenir des éléments de preuve qui tendraient à démontrer que le gouvernement n</w:t>
      </w:r>
      <w:r>
        <w:rPr>
          <w:rFonts w:cs="Times New Roman"/>
          <w:lang w:val="fr-CA"/>
        </w:rPr>
        <w:t>’</w:t>
      </w:r>
      <w:r w:rsidRPr="002C53FC">
        <w:rPr>
          <w:rFonts w:cs="Times New Roman"/>
          <w:lang w:val="fr-CA"/>
        </w:rPr>
        <w:t>a pas satisfait à une exigence constitutionnelle.</w:t>
      </w:r>
    </w:p>
    <w:p w14:paraId="7CBE59D0" w14:textId="77777777" w:rsidR="002C65EF" w:rsidRPr="002C53FC" w:rsidRDefault="002C65EF" w:rsidP="002C65EF">
      <w:pPr>
        <w:pStyle w:val="ParaNoNdepar-AltN"/>
        <w:spacing w:before="0"/>
        <w:rPr>
          <w:rFonts w:cs="Times New Roman"/>
          <w:lang w:val="fr-CA"/>
        </w:rPr>
      </w:pPr>
      <w:r w:rsidRPr="002C53FC">
        <w:rPr>
          <w:rFonts w:cs="Times New Roman"/>
          <w:lang w:val="fr-CA"/>
        </w:rPr>
        <w:t>À mon avis, l</w:t>
      </w:r>
      <w:r>
        <w:rPr>
          <w:rFonts w:cs="Times New Roman"/>
          <w:lang w:val="fr-CA"/>
        </w:rPr>
        <w:t>’</w:t>
      </w:r>
      <w:r w:rsidRPr="002C53FC">
        <w:rPr>
          <w:rFonts w:cs="Times New Roman"/>
          <w:lang w:val="fr-CA"/>
        </w:rPr>
        <w:t>Association n</w:t>
      </w:r>
      <w:r>
        <w:rPr>
          <w:rFonts w:cs="Times New Roman"/>
          <w:lang w:val="fr-CA"/>
        </w:rPr>
        <w:t>’</w:t>
      </w:r>
      <w:r w:rsidRPr="002C53FC">
        <w:rPr>
          <w:rFonts w:cs="Times New Roman"/>
          <w:lang w:val="fr-CA"/>
        </w:rPr>
        <w:t>a pas fait la démonstration préliminaire requise. Elle n</w:t>
      </w:r>
      <w:r>
        <w:rPr>
          <w:rFonts w:cs="Times New Roman"/>
          <w:lang w:val="fr-CA"/>
        </w:rPr>
        <w:t>’</w:t>
      </w:r>
      <w:r w:rsidRPr="002C53FC">
        <w:rPr>
          <w:rFonts w:cs="Times New Roman"/>
          <w:lang w:val="fr-CA"/>
        </w:rPr>
        <w:t>a fourni aucun élément de preuve ni signalé aucune circonstance donnant des raisons de croire que le mémoire au Cabinet tendrait à démontrer que le gouvernement n</w:t>
      </w:r>
      <w:r>
        <w:rPr>
          <w:rFonts w:cs="Times New Roman"/>
          <w:lang w:val="fr-CA"/>
        </w:rPr>
        <w:t>’</w:t>
      </w:r>
      <w:r w:rsidRPr="002C53FC">
        <w:rPr>
          <w:rFonts w:cs="Times New Roman"/>
          <w:lang w:val="fr-CA"/>
        </w:rPr>
        <w:t>a pas satisfait à la norme fixée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Il n</w:t>
      </w:r>
      <w:r>
        <w:rPr>
          <w:rFonts w:cs="Times New Roman"/>
          <w:lang w:val="fr-CA"/>
        </w:rPr>
        <w:t>’</w:t>
      </w:r>
      <w:r w:rsidRPr="002C53FC">
        <w:rPr>
          <w:rFonts w:cs="Times New Roman"/>
          <w:lang w:val="fr-CA"/>
        </w:rPr>
        <w:t>était donc pas nécessaire que le procureur général produise le document en vue de son examen par la Cour.</w:t>
      </w:r>
    </w:p>
    <w:p w14:paraId="2D886AF6" w14:textId="77777777" w:rsidR="002C65EF" w:rsidRPr="002C53FC" w:rsidRDefault="002C65EF" w:rsidP="002C65EF">
      <w:pPr>
        <w:pStyle w:val="ParaNoNdepar-AltN"/>
        <w:spacing w:before="0"/>
        <w:rPr>
          <w:rFonts w:cs="Times New Roman"/>
          <w:lang w:val="fr-CA"/>
        </w:rPr>
      </w:pPr>
      <w:r w:rsidRPr="002C53FC">
        <w:rPr>
          <w:rFonts w:cs="Times New Roman"/>
          <w:lang w:val="fr-CA"/>
        </w:rPr>
        <w:t>Voilà qui serait suffisant pour trancher le présent pourvoi.</w:t>
      </w:r>
    </w:p>
    <w:p w14:paraId="657C3682" w14:textId="77777777" w:rsidR="002C65EF" w:rsidRPr="002C53FC" w:rsidRDefault="002C65EF" w:rsidP="002C65EF">
      <w:pPr>
        <w:pStyle w:val="ParaNoNdepar-AltN"/>
        <w:spacing w:before="0"/>
        <w:rPr>
          <w:rFonts w:cs="Times New Roman"/>
          <w:lang w:val="fr-CA"/>
        </w:rPr>
      </w:pPr>
      <w:r w:rsidRPr="002C53FC">
        <w:rPr>
          <w:rFonts w:cs="Times New Roman"/>
          <w:lang w:val="fr-CA"/>
        </w:rPr>
        <w:lastRenderedPageBreak/>
        <w:t>Il est donc inutile, en l</w:t>
      </w:r>
      <w:r>
        <w:rPr>
          <w:rFonts w:cs="Times New Roman"/>
          <w:lang w:val="fr-CA"/>
        </w:rPr>
        <w:t>’</w:t>
      </w:r>
      <w:r w:rsidRPr="002C53FC">
        <w:rPr>
          <w:rFonts w:cs="Times New Roman"/>
          <w:lang w:val="fr-CA"/>
        </w:rPr>
        <w:t>espèce, de décider si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s</w:t>
      </w:r>
      <w:r>
        <w:rPr>
          <w:rFonts w:cs="Times New Roman"/>
          <w:lang w:val="fr-CA"/>
        </w:rPr>
        <w:t>’</w:t>
      </w:r>
      <w:r w:rsidRPr="002C53FC">
        <w:rPr>
          <w:rFonts w:cs="Times New Roman"/>
          <w:lang w:val="fr-CA"/>
        </w:rPr>
        <w:t>appliquerait par ailleurs de sorte que le procureur général pourrait refuser de produire le mémoire au Cabinet. Toutefois, puisque les parties et les intervenants dans les deux pourvois connexes dont la Cour est saisie ont présenté des observations détaillées à propos du droit relatif à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j</w:t>
      </w:r>
      <w:r>
        <w:rPr>
          <w:rFonts w:cs="Times New Roman"/>
          <w:lang w:val="fr-CA"/>
        </w:rPr>
        <w:t>’</w:t>
      </w:r>
      <w:r w:rsidRPr="002C53FC">
        <w:rPr>
          <w:rFonts w:cs="Times New Roman"/>
          <w:lang w:val="fr-CA"/>
        </w:rPr>
        <w:t>examinerai de quelle façon celle</w:t>
      </w:r>
      <w:r>
        <w:rPr>
          <w:rFonts w:cs="Times New Roman"/>
          <w:lang w:val="fr-CA"/>
        </w:rPr>
        <w:noBreakHyphen/>
      </w:r>
      <w:r w:rsidRPr="002C53FC">
        <w:rPr>
          <w:rFonts w:cs="Times New Roman"/>
          <w:lang w:val="fr-CA"/>
        </w:rPr>
        <w:t>ci s</w:t>
      </w:r>
      <w:r>
        <w:rPr>
          <w:rFonts w:cs="Times New Roman"/>
          <w:lang w:val="fr-CA"/>
        </w:rPr>
        <w:t>’</w:t>
      </w:r>
      <w:r w:rsidRPr="002C53FC">
        <w:rPr>
          <w:rFonts w:cs="Times New Roman"/>
          <w:lang w:val="fr-CA"/>
        </w:rPr>
        <w:t>applique aux documents confidentiels du Cabinet visés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et pour quelles raisons, à mon avis, il n</w:t>
      </w:r>
      <w:r>
        <w:rPr>
          <w:rFonts w:cs="Times New Roman"/>
          <w:lang w:val="fr-CA"/>
        </w:rPr>
        <w:t>’</w:t>
      </w:r>
      <w:r w:rsidRPr="002C53FC">
        <w:rPr>
          <w:rFonts w:cs="Times New Roman"/>
          <w:lang w:val="fr-CA"/>
        </w:rPr>
        <w:t>est pas nécessaire de réexaminer la doctrine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telle qu</w:t>
      </w:r>
      <w:r>
        <w:rPr>
          <w:rFonts w:cs="Times New Roman"/>
          <w:lang w:val="fr-CA"/>
        </w:rPr>
        <w:t>’</w:t>
      </w:r>
      <w:r w:rsidRPr="002C53FC">
        <w:rPr>
          <w:rFonts w:cs="Times New Roman"/>
          <w:lang w:val="fr-CA"/>
        </w:rPr>
        <w:t>elle s</w:t>
      </w:r>
      <w:r>
        <w:rPr>
          <w:rFonts w:cs="Times New Roman"/>
          <w:lang w:val="fr-CA"/>
        </w:rPr>
        <w:t>’</w:t>
      </w:r>
      <w:r w:rsidRPr="002C53FC">
        <w:rPr>
          <w:rFonts w:cs="Times New Roman"/>
          <w:lang w:val="fr-CA"/>
        </w:rPr>
        <w:t>applique dans le contexte en question.</w:t>
      </w:r>
    </w:p>
    <w:p w14:paraId="6943FC94" w14:textId="77777777" w:rsidR="002C65EF" w:rsidRPr="002C53FC" w:rsidRDefault="002C65EF" w:rsidP="002C65EF">
      <w:pPr>
        <w:pStyle w:val="Title2LevelTitre2Niveau"/>
        <w:spacing w:before="0"/>
        <w:rPr>
          <w:rFonts w:cs="Times New Roman"/>
          <w:lang w:val="fr-CA"/>
        </w:rPr>
      </w:pPr>
      <w:r w:rsidRPr="002C53FC">
        <w:rPr>
          <w:rFonts w:cs="Times New Roman"/>
          <w:lang w:val="fr-CA"/>
        </w:rPr>
        <w:t>Immunité d</w:t>
      </w:r>
      <w:r>
        <w:rPr>
          <w:rFonts w:cs="Times New Roman"/>
          <w:lang w:val="fr-CA"/>
        </w:rPr>
        <w:t>’</w:t>
      </w:r>
      <w:r w:rsidRPr="002C53FC">
        <w:rPr>
          <w:rFonts w:cs="Times New Roman"/>
          <w:lang w:val="fr-CA"/>
        </w:rPr>
        <w:t>intérêt public</w:t>
      </w:r>
    </w:p>
    <w:p w14:paraId="703DB46C" w14:textId="265307FE" w:rsidR="002C65EF" w:rsidRPr="002C53FC" w:rsidRDefault="002C65EF" w:rsidP="002C65EF">
      <w:pPr>
        <w:pStyle w:val="ParaNoNdepar-AltN"/>
        <w:spacing w:before="0"/>
        <w:rPr>
          <w:rFonts w:cs="Times New Roman"/>
          <w:lang w:val="fr-CA"/>
        </w:rPr>
      </w:pPr>
      <w:r w:rsidRPr="002C53FC">
        <w:rPr>
          <w:rFonts w:cs="Times New Roman"/>
          <w:lang w:val="fr-CA"/>
        </w:rPr>
        <w:t>Il est manifestement dans l</w:t>
      </w:r>
      <w:r>
        <w:rPr>
          <w:rFonts w:cs="Times New Roman"/>
          <w:lang w:val="fr-CA"/>
        </w:rPr>
        <w:t>’</w:t>
      </w:r>
      <w:r w:rsidRPr="002C53FC">
        <w:rPr>
          <w:rFonts w:cs="Times New Roman"/>
          <w:lang w:val="fr-CA"/>
        </w:rPr>
        <w:t>intérêt du public de maintenir la confidentialité des délibérations entre ministres</w:t>
      </w:r>
      <w:r>
        <w:rPr>
          <w:rFonts w:cs="Times New Roman"/>
          <w:lang w:val="fr-CA"/>
        </w:rPr>
        <w:t> :</w:t>
      </w:r>
      <w:r w:rsidRPr="002C53FC">
        <w:rPr>
          <w:rFonts w:cs="Times New Roman"/>
          <w:lang w:val="fr-CA"/>
        </w:rPr>
        <w:t xml:space="preserve">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647 et 656</w:t>
      </w:r>
      <w:r>
        <w:rPr>
          <w:rFonts w:cs="Times New Roman"/>
          <w:lang w:val="fr-CA"/>
        </w:rPr>
        <w:noBreakHyphen/>
      </w:r>
      <w:r w:rsidRPr="002C53FC">
        <w:rPr>
          <w:rFonts w:cs="Times New Roman"/>
          <w:lang w:val="fr-CA"/>
        </w:rPr>
        <w:t xml:space="preserve">659;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18</w:t>
      </w:r>
      <w:r>
        <w:rPr>
          <w:rFonts w:cs="Times New Roman"/>
          <w:lang w:val="fr-CA"/>
        </w:rPr>
        <w:noBreakHyphen/>
      </w:r>
      <w:r w:rsidRPr="002C53FC">
        <w:rPr>
          <w:rFonts w:cs="Times New Roman"/>
          <w:lang w:val="fr-CA"/>
        </w:rPr>
        <w:t>19. Selon la convention constitutionnelle, les délibérations du Cabinet sont confidentielles</w:t>
      </w:r>
      <w:r>
        <w:rPr>
          <w:rFonts w:cs="Times New Roman"/>
          <w:lang w:val="fr-CA"/>
        </w:rPr>
        <w:t> :</w:t>
      </w:r>
      <w:r w:rsidRPr="002C53FC">
        <w:rPr>
          <w:rFonts w:cs="Times New Roman"/>
          <w:lang w:val="fr-CA"/>
        </w:rPr>
        <w:t xml:space="preserve"> N. d</w:t>
      </w:r>
      <w:r>
        <w:rPr>
          <w:rFonts w:cs="Times New Roman"/>
          <w:lang w:val="fr-CA"/>
        </w:rPr>
        <w:t>’</w:t>
      </w:r>
      <w:r w:rsidRPr="002C53FC">
        <w:rPr>
          <w:rFonts w:cs="Times New Roman"/>
          <w:lang w:val="fr-CA"/>
        </w:rPr>
        <w:t>Ombrain, «</w:t>
      </w:r>
      <w:r w:rsidR="0039574D">
        <w:rPr>
          <w:rFonts w:cs="Times New Roman"/>
          <w:lang w:val="fr-CA"/>
        </w:rPr>
        <w:t> Cabinet secrecy » (2004), 47</w:t>
      </w:r>
      <w:r w:rsidRPr="002C53FC">
        <w:rPr>
          <w:rFonts w:cs="Times New Roman"/>
          <w:lang w:val="fr-CA"/>
        </w:rPr>
        <w:t xml:space="preserve"> </w:t>
      </w:r>
      <w:r w:rsidR="0039574D">
        <w:rPr>
          <w:rFonts w:cs="Times New Roman"/>
          <w:i/>
          <w:lang w:val="fr-CA"/>
        </w:rPr>
        <w:t>Administration publique du Canada</w:t>
      </w:r>
      <w:r w:rsidRPr="002C53FC">
        <w:rPr>
          <w:rFonts w:cs="Times New Roman"/>
          <w:lang w:val="fr-CA"/>
        </w:rPr>
        <w:t xml:space="preserve"> 332, </w:t>
      </w:r>
      <w:r>
        <w:rPr>
          <w:rFonts w:cs="Times New Roman"/>
          <w:lang w:val="fr-CA"/>
        </w:rPr>
        <w:t>p. </w:t>
      </w:r>
      <w:r w:rsidRPr="002C53FC">
        <w:rPr>
          <w:rFonts w:cs="Times New Roman"/>
          <w:lang w:val="fr-CA"/>
        </w:rPr>
        <w:t>334</w:t>
      </w:r>
      <w:r>
        <w:rPr>
          <w:rFonts w:cs="Times New Roman"/>
          <w:lang w:val="fr-CA"/>
        </w:rPr>
        <w:noBreakHyphen/>
      </w:r>
      <w:r w:rsidRPr="002C53FC">
        <w:rPr>
          <w:rFonts w:cs="Times New Roman"/>
          <w:lang w:val="fr-CA"/>
        </w:rPr>
        <w:t xml:space="preserve">335. Les ministres fédéraux prêtent serment, comme conseillers privés, </w:t>
      </w:r>
      <w:r w:rsidR="0039574D" w:rsidRPr="002C53FC">
        <w:rPr>
          <w:rFonts w:cs="Times New Roman"/>
          <w:lang w:val="fr-CA"/>
        </w:rPr>
        <w:t>[</w:t>
      </w:r>
      <w:r w:rsidR="0039574D" w:rsidRPr="002C53FC">
        <w:rPr>
          <w:rFonts w:cs="Times New Roman"/>
          <w:smallCaps/>
          <w:lang w:val="fr-CA"/>
        </w:rPr>
        <w:t>traduction</w:t>
      </w:r>
      <w:r w:rsidR="0039574D" w:rsidRPr="002C53FC">
        <w:rPr>
          <w:rFonts w:cs="Times New Roman"/>
          <w:lang w:val="fr-CA"/>
        </w:rPr>
        <w:t xml:space="preserve">] </w:t>
      </w:r>
      <w:r w:rsidRPr="002C53FC">
        <w:rPr>
          <w:rFonts w:cs="Times New Roman"/>
          <w:lang w:val="fr-CA"/>
        </w:rPr>
        <w:t>« [d</w:t>
      </w:r>
      <w:r>
        <w:rPr>
          <w:rFonts w:cs="Times New Roman"/>
          <w:lang w:val="fr-CA"/>
        </w:rPr>
        <w:t>’</w:t>
      </w:r>
      <w:r w:rsidRPr="002C53FC">
        <w:rPr>
          <w:rFonts w:cs="Times New Roman"/>
          <w:lang w:val="fr-CA"/>
        </w:rPr>
        <w:t>]exprimer [. . .] honnêtement et en toute vérité, [leur] sentiment et [leur] opinion » et de « [tenir] secret [. . .] tout ce dont il sera traité secrètement » durant les réunions du Cabinet</w:t>
      </w:r>
      <w:r>
        <w:rPr>
          <w:rFonts w:cs="Times New Roman"/>
          <w:lang w:val="fr-CA"/>
        </w:rPr>
        <w:t> :</w:t>
      </w:r>
      <w:r w:rsidRPr="002C53FC">
        <w:rPr>
          <w:rFonts w:cs="Times New Roman"/>
          <w:lang w:val="fr-CA"/>
        </w:rPr>
        <w:t xml:space="preserve"> voir C. Forcese et A. Freeman, </w:t>
      </w:r>
      <w:r w:rsidRPr="002C53FC">
        <w:rPr>
          <w:rFonts w:cs="Times New Roman"/>
          <w:i/>
          <w:lang w:val="fr-CA"/>
        </w:rPr>
        <w:t>The Laws of Gover</w:t>
      </w:r>
      <w:r w:rsidR="0039574D">
        <w:rPr>
          <w:rFonts w:cs="Times New Roman"/>
          <w:i/>
          <w:lang w:val="fr-CA"/>
        </w:rPr>
        <w:t>nment :</w:t>
      </w:r>
      <w:r w:rsidRPr="002C53FC">
        <w:rPr>
          <w:rFonts w:cs="Times New Roman"/>
          <w:i/>
          <w:lang w:val="fr-CA"/>
        </w:rPr>
        <w:t xml:space="preserve"> The Legal Foundations of Canadian Democracy</w:t>
      </w:r>
      <w:r w:rsidRPr="002C53FC">
        <w:rPr>
          <w:rFonts w:cs="Times New Roman"/>
          <w:lang w:val="fr-CA"/>
        </w:rPr>
        <w:t xml:space="preserve"> (2</w:t>
      </w:r>
      <w:r w:rsidRPr="002C53FC">
        <w:rPr>
          <w:rFonts w:cs="Times New Roman"/>
          <w:vertAlign w:val="superscript"/>
          <w:lang w:val="fr-CA"/>
        </w:rPr>
        <w:t>e</w:t>
      </w:r>
      <w:r w:rsidRPr="002C53FC">
        <w:rPr>
          <w:rFonts w:cs="Times New Roman"/>
          <w:lang w:val="fr-CA"/>
        </w:rPr>
        <w:t xml:space="preserve"> éd. 2011), </w:t>
      </w:r>
      <w:r>
        <w:rPr>
          <w:rFonts w:cs="Times New Roman"/>
          <w:lang w:val="fr-CA"/>
        </w:rPr>
        <w:t>p. </w:t>
      </w:r>
      <w:r w:rsidRPr="002C53FC">
        <w:rPr>
          <w:rFonts w:cs="Times New Roman"/>
          <w:lang w:val="fr-CA"/>
        </w:rPr>
        <w:t>352. Les ministres des provinces et des territoires prêtent un serment semblable à titre de conseillers exécutifs.</w:t>
      </w:r>
    </w:p>
    <w:p w14:paraId="0A3F7A57" w14:textId="7D381CB4" w:rsidR="002C65EF" w:rsidRPr="002C53FC" w:rsidRDefault="002C65EF" w:rsidP="002C65EF">
      <w:pPr>
        <w:pStyle w:val="ParaNoNdepar-AltN"/>
        <w:rPr>
          <w:rFonts w:cs="Times New Roman"/>
          <w:lang w:val="fr-CA"/>
        </w:rPr>
      </w:pPr>
      <w:r w:rsidRPr="002C53FC">
        <w:rPr>
          <w:rFonts w:cs="Times New Roman"/>
          <w:lang w:val="fr-CA"/>
        </w:rPr>
        <w:lastRenderedPageBreak/>
        <w:t>Les ministres jouissent de la liberté d</w:t>
      </w:r>
      <w:r>
        <w:rPr>
          <w:rFonts w:cs="Times New Roman"/>
          <w:lang w:val="fr-CA"/>
        </w:rPr>
        <w:t>’</w:t>
      </w:r>
      <w:r w:rsidRPr="002C53FC">
        <w:rPr>
          <w:rFonts w:cs="Times New Roman"/>
          <w:lang w:val="fr-CA"/>
        </w:rPr>
        <w:t>exprimer leurs opinions durant les délibérations du Cabinet, mais on s</w:t>
      </w:r>
      <w:r>
        <w:rPr>
          <w:rFonts w:cs="Times New Roman"/>
          <w:lang w:val="fr-CA"/>
        </w:rPr>
        <w:t>’</w:t>
      </w:r>
      <w:r w:rsidRPr="002C53FC">
        <w:rPr>
          <w:rFonts w:cs="Times New Roman"/>
          <w:lang w:val="fr-CA"/>
        </w:rPr>
        <w:t>attend à ce qu</w:t>
      </w:r>
      <w:r>
        <w:rPr>
          <w:rFonts w:cs="Times New Roman"/>
          <w:lang w:val="fr-CA"/>
        </w:rPr>
        <w:t>’</w:t>
      </w:r>
      <w:r w:rsidRPr="002C53FC">
        <w:rPr>
          <w:rFonts w:cs="Times New Roman"/>
          <w:lang w:val="fr-CA"/>
        </w:rPr>
        <w:t>ils défendent publiquement la décision du Cabinet, même si elle diffère de celles qu</w:t>
      </w:r>
      <w:r>
        <w:rPr>
          <w:rFonts w:cs="Times New Roman"/>
          <w:lang w:val="fr-CA"/>
        </w:rPr>
        <w:t>’</w:t>
      </w:r>
      <w:r w:rsidRPr="002C53FC">
        <w:rPr>
          <w:rFonts w:cs="Times New Roman"/>
          <w:lang w:val="fr-CA"/>
        </w:rPr>
        <w:t>ils auraient prises</w:t>
      </w:r>
      <w:r>
        <w:rPr>
          <w:rFonts w:cs="Times New Roman"/>
          <w:lang w:val="fr-CA"/>
        </w:rPr>
        <w:t> :</w:t>
      </w:r>
      <w:r w:rsidRPr="002C53FC">
        <w:rPr>
          <w:rFonts w:cs="Times New Roman"/>
          <w:lang w:val="fr-CA"/>
        </w:rPr>
        <w:t xml:space="preserve"> voir A.</w:t>
      </w:r>
      <w:r>
        <w:rPr>
          <w:rFonts w:cs="Times New Roman"/>
          <w:lang w:val="fr-CA"/>
        </w:rPr>
        <w:t> </w:t>
      </w:r>
      <w:r w:rsidRPr="002C53FC">
        <w:rPr>
          <w:rFonts w:cs="Times New Roman"/>
          <w:lang w:val="fr-CA"/>
        </w:rPr>
        <w:t xml:space="preserve">Heard, </w:t>
      </w:r>
      <w:r w:rsidRPr="002C53FC">
        <w:rPr>
          <w:rFonts w:cs="Times New Roman"/>
          <w:i/>
          <w:lang w:val="fr-CA"/>
        </w:rPr>
        <w:t>Cana</w:t>
      </w:r>
      <w:r w:rsidR="0039574D">
        <w:rPr>
          <w:rFonts w:cs="Times New Roman"/>
          <w:i/>
          <w:lang w:val="fr-CA"/>
        </w:rPr>
        <w:t>dian Constitutional Conventions :</w:t>
      </w:r>
      <w:r w:rsidRPr="002C53FC">
        <w:rPr>
          <w:rFonts w:cs="Times New Roman"/>
          <w:i/>
          <w:lang w:val="fr-CA"/>
        </w:rPr>
        <w:t xml:space="preserve"> The Marriage of Law &amp; Politics</w:t>
      </w:r>
      <w:r w:rsidRPr="002C53FC">
        <w:rPr>
          <w:rFonts w:cs="Times New Roman"/>
          <w:lang w:val="fr-CA"/>
        </w:rPr>
        <w:t xml:space="preserve"> (2</w:t>
      </w:r>
      <w:r w:rsidRPr="002C53FC">
        <w:rPr>
          <w:rFonts w:cs="Times New Roman"/>
          <w:vertAlign w:val="superscript"/>
          <w:lang w:val="fr-CA"/>
        </w:rPr>
        <w:t>e</w:t>
      </w:r>
      <w:r w:rsidRPr="002C53FC">
        <w:rPr>
          <w:rFonts w:cs="Times New Roman"/>
          <w:lang w:val="fr-CA"/>
        </w:rPr>
        <w:t xml:space="preserve"> éd. 2014), </w:t>
      </w:r>
      <w:r>
        <w:rPr>
          <w:rFonts w:cs="Times New Roman"/>
          <w:lang w:val="fr-CA"/>
        </w:rPr>
        <w:t>p. </w:t>
      </w:r>
      <w:r w:rsidRPr="002C53FC">
        <w:rPr>
          <w:rFonts w:cs="Times New Roman"/>
          <w:lang w:val="fr-CA"/>
        </w:rPr>
        <w:t>106</w:t>
      </w:r>
      <w:r>
        <w:rPr>
          <w:rFonts w:cs="Times New Roman"/>
          <w:lang w:val="fr-CA"/>
        </w:rPr>
        <w:noBreakHyphen/>
      </w:r>
      <w:r w:rsidRPr="002C53FC">
        <w:rPr>
          <w:rFonts w:cs="Times New Roman"/>
          <w:lang w:val="fr-CA"/>
        </w:rPr>
        <w:t>107; d</w:t>
      </w:r>
      <w:r>
        <w:rPr>
          <w:rFonts w:cs="Times New Roman"/>
          <w:lang w:val="fr-CA"/>
        </w:rPr>
        <w:t>’</w:t>
      </w:r>
      <w:r w:rsidRPr="002C53FC">
        <w:rPr>
          <w:rFonts w:cs="Times New Roman"/>
          <w:lang w:val="fr-CA"/>
        </w:rPr>
        <w:t xml:space="preserve">Ombrain, </w:t>
      </w:r>
      <w:r>
        <w:rPr>
          <w:rFonts w:cs="Times New Roman"/>
          <w:lang w:val="fr-CA"/>
        </w:rPr>
        <w:t>p. </w:t>
      </w:r>
      <w:r w:rsidRPr="002C53FC">
        <w:rPr>
          <w:rFonts w:cs="Times New Roman"/>
          <w:lang w:val="fr-CA"/>
        </w:rPr>
        <w:t>335. La confidentialité des délibérations du Cabinet aide à faire en sorte que les ministres s</w:t>
      </w:r>
      <w:r>
        <w:rPr>
          <w:rFonts w:cs="Times New Roman"/>
          <w:lang w:val="fr-CA"/>
        </w:rPr>
        <w:t>’</w:t>
      </w:r>
      <w:r w:rsidRPr="002C53FC">
        <w:rPr>
          <w:rFonts w:cs="Times New Roman"/>
          <w:lang w:val="fr-CA"/>
        </w:rPr>
        <w:t>expriment en toute transparence et franchise et qu</w:t>
      </w:r>
      <w:r>
        <w:rPr>
          <w:rFonts w:cs="Times New Roman"/>
          <w:lang w:val="fr-CA"/>
        </w:rPr>
        <w:t>’</w:t>
      </w:r>
      <w:r w:rsidRPr="002C53FC">
        <w:rPr>
          <w:rFonts w:cs="Times New Roman"/>
          <w:lang w:val="fr-CA"/>
        </w:rPr>
        <w:t>ils puissent parvenir sans ingérence externe indue à des décisions souvent difficiles et à des compromis durement acquis</w:t>
      </w:r>
      <w:r>
        <w:rPr>
          <w:rFonts w:cs="Times New Roman"/>
          <w:lang w:val="fr-CA"/>
        </w:rPr>
        <w:t> :</w:t>
      </w:r>
      <w:r w:rsidRPr="002C53FC">
        <w:rPr>
          <w:rFonts w:cs="Times New Roman"/>
          <w:lang w:val="fr-CA"/>
        </w:rPr>
        <w:t xml:space="preserve"> voir Forcese et Freeman, </w:t>
      </w:r>
      <w:r>
        <w:rPr>
          <w:rFonts w:cs="Times New Roman"/>
          <w:lang w:val="fr-CA"/>
        </w:rPr>
        <w:t>p. </w:t>
      </w:r>
      <w:r w:rsidRPr="002C53FC">
        <w:rPr>
          <w:rFonts w:cs="Times New Roman"/>
          <w:lang w:val="fr-CA"/>
        </w:rPr>
        <w:t>352; d</w:t>
      </w:r>
      <w:r>
        <w:rPr>
          <w:rFonts w:cs="Times New Roman"/>
          <w:lang w:val="fr-CA"/>
        </w:rPr>
        <w:t>’</w:t>
      </w:r>
      <w:r w:rsidRPr="002C53FC">
        <w:rPr>
          <w:rFonts w:cs="Times New Roman"/>
          <w:lang w:val="fr-CA"/>
        </w:rPr>
        <w:t xml:space="preserve">Ombrain, </w:t>
      </w:r>
      <w:r>
        <w:rPr>
          <w:rFonts w:cs="Times New Roman"/>
          <w:lang w:val="fr-CA"/>
        </w:rPr>
        <w:t>p. </w:t>
      </w:r>
      <w:r w:rsidRPr="002C53FC">
        <w:rPr>
          <w:rFonts w:cs="Times New Roman"/>
          <w:lang w:val="fr-CA"/>
        </w:rPr>
        <w:t>335. Si les délibérations du Cabinet étaient rendues publiques, des ministres pourraient être critiqués pour avoir défendu publiquement une politique incompatible avec leurs propres opinions, ce qui risquerait de distraire les ministres et de miner la confiance du public dans le gouvernement.</w:t>
      </w:r>
    </w:p>
    <w:p w14:paraId="40450CAF" w14:textId="77777777" w:rsidR="002C65EF" w:rsidRPr="002C53FC" w:rsidRDefault="002C65EF" w:rsidP="002C65EF">
      <w:pPr>
        <w:pStyle w:val="ParaNoNdepar-AltN"/>
        <w:spacing w:before="0"/>
        <w:rPr>
          <w:rFonts w:cs="Times New Roman"/>
          <w:lang w:val="fr-CA"/>
        </w:rPr>
      </w:pPr>
      <w:r w:rsidRPr="002C53FC">
        <w:rPr>
          <w:rFonts w:cs="Times New Roman"/>
          <w:lang w:val="fr-CA"/>
        </w:rPr>
        <w:t>Ancré dans une convention constitutionnelle autant que dans des considérations d</w:t>
      </w:r>
      <w:r>
        <w:rPr>
          <w:rFonts w:cs="Times New Roman"/>
          <w:lang w:val="fr-CA"/>
        </w:rPr>
        <w:t>’</w:t>
      </w:r>
      <w:r w:rsidRPr="002C53FC">
        <w:rPr>
          <w:rFonts w:cs="Times New Roman"/>
          <w:lang w:val="fr-CA"/>
        </w:rPr>
        <w:t>ordre pratique, ce principe de confidentialité s</w:t>
      </w:r>
      <w:r>
        <w:rPr>
          <w:rFonts w:cs="Times New Roman"/>
          <w:lang w:val="fr-CA"/>
        </w:rPr>
        <w:t>’</w:t>
      </w:r>
      <w:r w:rsidRPr="002C53FC">
        <w:rPr>
          <w:rFonts w:cs="Times New Roman"/>
          <w:lang w:val="fr-CA"/>
        </w:rPr>
        <w:t>applique, que les délibérations en question se déroulent dans le cadre de réunions officielles du Conseil privé de la Reine pour le Canada</w:t>
      </w:r>
      <w:r w:rsidRPr="009C1891">
        <w:rPr>
          <w:rStyle w:val="Hyperlink"/>
          <w:color w:val="auto"/>
          <w:u w:val="none"/>
          <w:vertAlign w:val="superscript"/>
        </w:rPr>
        <w:footnoteReference w:id="6"/>
      </w:r>
      <w:r w:rsidRPr="002C53FC">
        <w:rPr>
          <w:rFonts w:cs="Times New Roman"/>
          <w:lang w:val="fr-CA"/>
        </w:rPr>
        <w:t xml:space="preserve"> ou du Conseil exécutif d</w:t>
      </w:r>
      <w:r>
        <w:rPr>
          <w:rFonts w:cs="Times New Roman"/>
          <w:lang w:val="fr-CA"/>
        </w:rPr>
        <w:t>’</w:t>
      </w:r>
      <w:r w:rsidRPr="002C53FC">
        <w:rPr>
          <w:rFonts w:cs="Times New Roman"/>
          <w:lang w:val="fr-CA"/>
        </w:rPr>
        <w:t>une province ou d</w:t>
      </w:r>
      <w:r>
        <w:rPr>
          <w:rFonts w:cs="Times New Roman"/>
          <w:lang w:val="fr-CA"/>
        </w:rPr>
        <w:t>’</w:t>
      </w:r>
      <w:r w:rsidRPr="002C53FC">
        <w:rPr>
          <w:rFonts w:cs="Times New Roman"/>
          <w:lang w:val="fr-CA"/>
        </w:rPr>
        <w:t>un territoire, ou encore dans le contexte de réunions du Cabinet ou de comités formés de ministres, tel le Conseil du Trésor. Le principe de confidentialité s</w:t>
      </w:r>
      <w:r>
        <w:rPr>
          <w:rFonts w:cs="Times New Roman"/>
          <w:lang w:val="fr-CA"/>
        </w:rPr>
        <w:t>’</w:t>
      </w:r>
      <w:r w:rsidRPr="002C53FC">
        <w:rPr>
          <w:rFonts w:cs="Times New Roman"/>
          <w:lang w:val="fr-CA"/>
        </w:rPr>
        <w:t xml:space="preserve">étend aux </w:t>
      </w:r>
      <w:r w:rsidRPr="002C53FC">
        <w:rPr>
          <w:rFonts w:cs="Times New Roman"/>
          <w:lang w:val="fr-CA"/>
        </w:rPr>
        <w:lastRenderedPageBreak/>
        <w:t>procès</w:t>
      </w:r>
      <w:r>
        <w:rPr>
          <w:rFonts w:cs="Times New Roman"/>
          <w:lang w:val="fr-CA"/>
        </w:rPr>
        <w:noBreakHyphen/>
      </w:r>
      <w:r w:rsidRPr="002C53FC">
        <w:rPr>
          <w:rFonts w:cs="Times New Roman"/>
          <w:lang w:val="fr-CA"/>
        </w:rPr>
        <w:t>verbaux des délibérations du Cabinet, mais aussi aux documents faisant état de la teneur de ces délibérations</w:t>
      </w:r>
      <w:r>
        <w:rPr>
          <w:rFonts w:cs="Times New Roman"/>
          <w:lang w:val="fr-CA"/>
        </w:rPr>
        <w:t> :</w:t>
      </w:r>
      <w:r w:rsidRPr="002C53FC">
        <w:rPr>
          <w:rFonts w:cs="Times New Roman"/>
          <w:lang w:val="fr-CA"/>
        </w:rPr>
        <w:t xml:space="preserve">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18.</w:t>
      </w:r>
    </w:p>
    <w:p w14:paraId="34046E71" w14:textId="03F68030" w:rsidR="002C65EF" w:rsidRPr="002C53FC" w:rsidRDefault="002C65EF" w:rsidP="002C65EF">
      <w:pPr>
        <w:pStyle w:val="ParaNoNdepar-AltN"/>
        <w:spacing w:before="0"/>
        <w:rPr>
          <w:rFonts w:cs="Times New Roman"/>
          <w:lang w:val="fr-CA"/>
        </w:rPr>
      </w:pPr>
      <w:r w:rsidRPr="002C53FC">
        <w:rPr>
          <w:rFonts w:cs="Times New Roman"/>
          <w:lang w:val="fr-CA"/>
        </w:rPr>
        <w:t>La common law protège la confidentialité des délibérations du Cabinet grâce à la doctrine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w:t>
      </w:r>
      <w:r>
        <w:rPr>
          <w:rFonts w:cs="Times New Roman"/>
          <w:lang w:val="fr-CA"/>
        </w:rPr>
        <w:t> :</w:t>
      </w:r>
      <w:r w:rsidRPr="002C53FC">
        <w:rPr>
          <w:rFonts w:cs="Times New Roman"/>
          <w:lang w:val="fr-CA"/>
        </w:rPr>
        <w:t xml:space="preserve">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60. Cette immunité fait partie de la common law fédérale, mais aussi de celle de chaque province et territoire</w:t>
      </w:r>
      <w:r>
        <w:rPr>
          <w:rFonts w:cs="Times New Roman"/>
          <w:lang w:val="fr-CA"/>
        </w:rPr>
        <w:t> :</w:t>
      </w:r>
      <w:r w:rsidRPr="002C53FC">
        <w:rPr>
          <w:rFonts w:cs="Times New Roman"/>
          <w:lang w:val="fr-CA"/>
        </w:rPr>
        <w:t xml:space="preserve"> voir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19, 23 et 26. Cela dit, comme pour toute autre règle de common law, le législateur fédéral ou provincial peut restreindre ou écarter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pourvu qu</w:t>
      </w:r>
      <w:r>
        <w:rPr>
          <w:rFonts w:cs="Times New Roman"/>
          <w:lang w:val="fr-CA"/>
        </w:rPr>
        <w:t>’</w:t>
      </w:r>
      <w:r w:rsidRPr="002C53FC">
        <w:rPr>
          <w:rFonts w:cs="Times New Roman"/>
          <w:lang w:val="fr-CA"/>
        </w:rPr>
        <w:t>il exprime clairement son intention en ce sens</w:t>
      </w:r>
      <w:r>
        <w:rPr>
          <w:rFonts w:cs="Times New Roman"/>
          <w:lang w:val="fr-CA"/>
        </w:rPr>
        <w:t> :</w:t>
      </w:r>
      <w:r w:rsidRPr="002C53FC">
        <w:rPr>
          <w:rFonts w:cs="Times New Roman"/>
          <w:lang w:val="fr-CA"/>
        </w:rPr>
        <w:t xml:space="preserve"> </w:t>
      </w:r>
      <w:r w:rsidRPr="002C53FC">
        <w:rPr>
          <w:rFonts w:cs="Times New Roman"/>
          <w:i/>
          <w:lang w:val="fr-CA"/>
        </w:rPr>
        <w:t>Commission des droits de la person</w:t>
      </w:r>
      <w:r w:rsidR="00F142A6">
        <w:rPr>
          <w:rFonts w:cs="Times New Roman"/>
          <w:i/>
          <w:lang w:val="fr-CA"/>
        </w:rPr>
        <w:t>ne</w:t>
      </w:r>
      <w:r w:rsidRPr="002C53FC">
        <w:rPr>
          <w:rFonts w:cs="Times New Roman"/>
          <w:i/>
          <w:lang w:val="fr-CA"/>
        </w:rPr>
        <w:t xml:space="preserve"> c. Procureur général du Canada</w:t>
      </w:r>
      <w:r w:rsidRPr="002C53FC">
        <w:rPr>
          <w:rFonts w:cs="Times New Roman"/>
          <w:lang w:val="fr-CA"/>
        </w:rPr>
        <w:t xml:space="preserve">, [1982] 1 R.C.S. 215, </w:t>
      </w:r>
      <w:r>
        <w:rPr>
          <w:rFonts w:cs="Times New Roman"/>
          <w:lang w:val="fr-CA"/>
        </w:rPr>
        <w:t>p. </w:t>
      </w:r>
      <w:r w:rsidRPr="002C53FC">
        <w:rPr>
          <w:rFonts w:cs="Times New Roman"/>
          <w:lang w:val="fr-CA"/>
        </w:rPr>
        <w:t xml:space="preserve">228;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 xml:space="preserve">20; voir, de façon plus générale, </w:t>
      </w:r>
      <w:r w:rsidRPr="002C53FC">
        <w:rPr>
          <w:rFonts w:cs="Times New Roman"/>
          <w:i/>
          <w:lang w:val="fr-CA"/>
        </w:rPr>
        <w:t>R. c. D.L.W.</w:t>
      </w:r>
      <w:r w:rsidRPr="002C53FC">
        <w:rPr>
          <w:rFonts w:cs="Times New Roman"/>
          <w:lang w:val="fr-CA"/>
        </w:rPr>
        <w:t xml:space="preserve">, 2016 CSC 22, [2016] 1 R.C.S. 402, </w:t>
      </w:r>
      <w:r>
        <w:rPr>
          <w:rFonts w:cs="Times New Roman"/>
          <w:lang w:val="fr-CA"/>
        </w:rPr>
        <w:t>par. </w:t>
      </w:r>
      <w:r w:rsidRPr="002C53FC">
        <w:rPr>
          <w:rFonts w:cs="Times New Roman"/>
          <w:lang w:val="fr-CA"/>
        </w:rPr>
        <w:t>21</w:t>
      </w:r>
      <w:r w:rsidRPr="004753FC">
        <w:rPr>
          <w:rStyle w:val="Hyperlink"/>
          <w:color w:val="auto"/>
          <w:u w:val="none"/>
          <w:vertAlign w:val="superscript"/>
        </w:rPr>
        <w:footnoteReference w:id="7"/>
      </w:r>
      <w:r w:rsidRPr="002C53FC">
        <w:rPr>
          <w:rFonts w:cs="Times New Roman"/>
          <w:lang w:val="fr-CA"/>
        </w:rPr>
        <w:t>.</w:t>
      </w:r>
    </w:p>
    <w:p w14:paraId="290DA8DD" w14:textId="77777777" w:rsidR="002C65EF" w:rsidRPr="002C53FC" w:rsidRDefault="002C65EF" w:rsidP="002C65EF">
      <w:pPr>
        <w:pStyle w:val="ParaNoNdepar-AltN"/>
        <w:spacing w:before="0"/>
        <w:rPr>
          <w:rFonts w:cs="Times New Roman"/>
          <w:lang w:val="fr-CA"/>
        </w:rPr>
      </w:pPr>
      <w:r w:rsidRPr="002C53FC">
        <w:rPr>
          <w:rFonts w:cs="Times New Roman"/>
          <w:lang w:val="fr-CA"/>
        </w:rPr>
        <w:t>Dans l</w:t>
      </w:r>
      <w:r>
        <w:rPr>
          <w:rFonts w:cs="Times New Roman"/>
          <w:lang w:val="fr-CA"/>
        </w:rPr>
        <w:t>’</w:t>
      </w:r>
      <w:r w:rsidRPr="002C53FC">
        <w:rPr>
          <w:rFonts w:cs="Times New Roman"/>
          <w:lang w:val="fr-CA"/>
        </w:rPr>
        <w:t xml:space="preserve">affaire </w:t>
      </w:r>
      <w:r w:rsidRPr="002C53FC">
        <w:rPr>
          <w:rFonts w:cs="Times New Roman"/>
          <w:i/>
          <w:lang w:val="fr-CA"/>
        </w:rPr>
        <w:t>Smallwood c. Sparling</w:t>
      </w:r>
      <w:r w:rsidRPr="002C53FC">
        <w:rPr>
          <w:rFonts w:cs="Times New Roman"/>
          <w:lang w:val="fr-CA"/>
        </w:rPr>
        <w:t>, [1982] 2 R.C.S. 686, tout comme dans l</w:t>
      </w:r>
      <w:r>
        <w:rPr>
          <w:rFonts w:cs="Times New Roman"/>
          <w:lang w:val="fr-CA"/>
        </w:rPr>
        <w:t>’</w:t>
      </w:r>
      <w:r w:rsidRPr="002C53FC">
        <w:rPr>
          <w:rFonts w:cs="Times New Roman"/>
          <w:lang w:val="fr-CA"/>
        </w:rPr>
        <w:t xml:space="preserve">arrêt </w:t>
      </w:r>
      <w:r w:rsidRPr="002C53FC">
        <w:rPr>
          <w:rFonts w:cs="Times New Roman"/>
          <w:i/>
          <w:lang w:val="fr-CA"/>
        </w:rPr>
        <w:t>Carey</w:t>
      </w:r>
      <w:r w:rsidRPr="002C53FC">
        <w:rPr>
          <w:rFonts w:cs="Times New Roman"/>
          <w:lang w:val="fr-CA"/>
        </w:rPr>
        <w:t>, la Cour a rejeté l</w:t>
      </w:r>
      <w:r>
        <w:rPr>
          <w:rFonts w:cs="Times New Roman"/>
          <w:lang w:val="fr-CA"/>
        </w:rPr>
        <w:t>’</w:t>
      </w:r>
      <w:r w:rsidRPr="002C53FC">
        <w:rPr>
          <w:rFonts w:cs="Times New Roman"/>
          <w:lang w:val="fr-CA"/>
        </w:rPr>
        <w:t>idée d</w:t>
      </w:r>
      <w:r>
        <w:rPr>
          <w:rFonts w:cs="Times New Roman"/>
          <w:lang w:val="fr-CA"/>
        </w:rPr>
        <w:t>’</w:t>
      </w:r>
      <w:r w:rsidRPr="002C53FC">
        <w:rPr>
          <w:rFonts w:cs="Times New Roman"/>
          <w:lang w:val="fr-CA"/>
        </w:rPr>
        <w:t>un privilège de la Couronne qui serait absolu. Elle a plutôt reconnu l</w:t>
      </w:r>
      <w:r>
        <w:rPr>
          <w:rFonts w:cs="Times New Roman"/>
          <w:lang w:val="fr-CA"/>
        </w:rPr>
        <w:t>’</w:t>
      </w:r>
      <w:r w:rsidRPr="002C53FC">
        <w:rPr>
          <w:rFonts w:cs="Times New Roman"/>
          <w:lang w:val="fr-CA"/>
        </w:rPr>
        <w:t>existence d</w:t>
      </w:r>
      <w:r>
        <w:rPr>
          <w:rFonts w:cs="Times New Roman"/>
          <w:lang w:val="fr-CA"/>
        </w:rPr>
        <w:t>’</w:t>
      </w:r>
      <w:r w:rsidRPr="002C53FC">
        <w:rPr>
          <w:rFonts w:cs="Times New Roman"/>
          <w:lang w:val="fr-CA"/>
        </w:rPr>
        <w:t>une immunité restreinte d</w:t>
      </w:r>
      <w:r>
        <w:rPr>
          <w:rFonts w:cs="Times New Roman"/>
          <w:lang w:val="fr-CA"/>
        </w:rPr>
        <w:t>’</w:t>
      </w:r>
      <w:r w:rsidRPr="002C53FC">
        <w:rPr>
          <w:rFonts w:cs="Times New Roman"/>
          <w:lang w:val="fr-CA"/>
        </w:rPr>
        <w:t>intérêt public. Cette dernière empêche la divulgation d</w:t>
      </w:r>
      <w:r>
        <w:rPr>
          <w:rFonts w:cs="Times New Roman"/>
          <w:lang w:val="fr-CA"/>
        </w:rPr>
        <w:t>’</w:t>
      </w:r>
      <w:r w:rsidRPr="002C53FC">
        <w:rPr>
          <w:rFonts w:cs="Times New Roman"/>
          <w:lang w:val="fr-CA"/>
        </w:rPr>
        <w:t>un document lorsque le tribunal est convaincu que l</w:t>
      </w:r>
      <w:r>
        <w:rPr>
          <w:rFonts w:cs="Times New Roman"/>
          <w:lang w:val="fr-CA"/>
        </w:rPr>
        <w:t>’</w:t>
      </w:r>
      <w:r w:rsidRPr="002C53FC">
        <w:rPr>
          <w:rFonts w:cs="Times New Roman"/>
          <w:lang w:val="fr-CA"/>
        </w:rPr>
        <w:t>intérêt du public à ce qu</w:t>
      </w:r>
      <w:r>
        <w:rPr>
          <w:rFonts w:cs="Times New Roman"/>
          <w:lang w:val="fr-CA"/>
        </w:rPr>
        <w:t>’</w:t>
      </w:r>
      <w:r w:rsidRPr="002C53FC">
        <w:rPr>
          <w:rFonts w:cs="Times New Roman"/>
          <w:lang w:val="fr-CA"/>
        </w:rPr>
        <w:t>un document demeure confidentiel l</w:t>
      </w:r>
      <w:r>
        <w:rPr>
          <w:rFonts w:cs="Times New Roman"/>
          <w:lang w:val="fr-CA"/>
        </w:rPr>
        <w:t>’</w:t>
      </w:r>
      <w:r w:rsidRPr="002C53FC">
        <w:rPr>
          <w:rFonts w:cs="Times New Roman"/>
          <w:lang w:val="fr-CA"/>
        </w:rPr>
        <w:t>emporte sur l</w:t>
      </w:r>
      <w:r>
        <w:rPr>
          <w:rFonts w:cs="Times New Roman"/>
          <w:lang w:val="fr-CA"/>
        </w:rPr>
        <w:t>’</w:t>
      </w:r>
      <w:r w:rsidRPr="002C53FC">
        <w:rPr>
          <w:rFonts w:cs="Times New Roman"/>
          <w:lang w:val="fr-CA"/>
        </w:rPr>
        <w:t xml:space="preserve">intérêt </w:t>
      </w:r>
      <w:r w:rsidRPr="002C53FC">
        <w:rPr>
          <w:rFonts w:cs="Times New Roman"/>
          <w:lang w:val="fr-CA"/>
        </w:rPr>
        <w:lastRenderedPageBreak/>
        <w:t>du public à ce qu</w:t>
      </w:r>
      <w:r>
        <w:rPr>
          <w:rFonts w:cs="Times New Roman"/>
          <w:lang w:val="fr-CA"/>
        </w:rPr>
        <w:t>’</w:t>
      </w:r>
      <w:r w:rsidRPr="002C53FC">
        <w:rPr>
          <w:rFonts w:cs="Times New Roman"/>
          <w:lang w:val="fr-CA"/>
        </w:rPr>
        <w:t>il soit divulgué</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653</w:t>
      </w:r>
      <w:r>
        <w:rPr>
          <w:rFonts w:cs="Times New Roman"/>
          <w:lang w:val="fr-CA"/>
        </w:rPr>
        <w:noBreakHyphen/>
      </w:r>
      <w:r w:rsidRPr="002C53FC">
        <w:rPr>
          <w:rFonts w:cs="Times New Roman"/>
          <w:lang w:val="fr-CA"/>
        </w:rPr>
        <w:t xml:space="preserve">654 et 670;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 xml:space="preserve">19; voir également </w:t>
      </w:r>
      <w:r w:rsidRPr="002C53FC">
        <w:rPr>
          <w:rFonts w:cs="Times New Roman"/>
          <w:i/>
          <w:lang w:val="fr-CA"/>
        </w:rPr>
        <w:t>Bisaillon c. Keable</w:t>
      </w:r>
      <w:r w:rsidRPr="002C53FC">
        <w:rPr>
          <w:rFonts w:cs="Times New Roman"/>
          <w:lang w:val="fr-CA"/>
        </w:rPr>
        <w:t xml:space="preserve">, [1983] 2 R.C.S. 60, </w:t>
      </w:r>
      <w:r>
        <w:rPr>
          <w:rFonts w:cs="Times New Roman"/>
          <w:lang w:val="fr-CA"/>
        </w:rPr>
        <w:t>p. </w:t>
      </w:r>
      <w:r w:rsidRPr="002C53FC">
        <w:rPr>
          <w:rFonts w:cs="Times New Roman"/>
          <w:lang w:val="fr-CA"/>
        </w:rPr>
        <w:t>97</w:t>
      </w:r>
      <w:r w:rsidRPr="004753FC">
        <w:rPr>
          <w:rStyle w:val="Hyperlink"/>
          <w:color w:val="auto"/>
          <w:u w:val="none"/>
          <w:vertAlign w:val="superscript"/>
        </w:rPr>
        <w:footnoteReference w:id="8"/>
      </w:r>
      <w:r w:rsidRPr="002C53FC">
        <w:rPr>
          <w:rFonts w:cs="Times New Roman"/>
          <w:lang w:val="fr-CA"/>
        </w:rPr>
        <w:t>.</w:t>
      </w:r>
    </w:p>
    <w:p w14:paraId="0C13E886"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Cela dit, même si dans les arrêts </w:t>
      </w:r>
      <w:r w:rsidRPr="002C53FC">
        <w:rPr>
          <w:rFonts w:cs="Times New Roman"/>
          <w:i/>
          <w:lang w:val="fr-CA"/>
        </w:rPr>
        <w:t xml:space="preserve">Smallwood </w:t>
      </w:r>
      <w:r w:rsidRPr="002C53FC">
        <w:rPr>
          <w:rFonts w:cs="Times New Roman"/>
          <w:lang w:val="fr-CA"/>
        </w:rPr>
        <w:t xml:space="preserve">et </w:t>
      </w:r>
      <w:r w:rsidRPr="002C53FC">
        <w:rPr>
          <w:rFonts w:cs="Times New Roman"/>
          <w:i/>
          <w:lang w:val="fr-CA"/>
        </w:rPr>
        <w:t>Carey</w:t>
      </w:r>
      <w:r w:rsidRPr="002C53FC">
        <w:rPr>
          <w:rFonts w:cs="Times New Roman"/>
          <w:lang w:val="fr-CA"/>
        </w:rPr>
        <w:t xml:space="preserve"> elle a rejeté des revendications de privilège absolu de la Couronne, la Cour n</w:t>
      </w:r>
      <w:r>
        <w:rPr>
          <w:rFonts w:cs="Times New Roman"/>
          <w:lang w:val="fr-CA"/>
        </w:rPr>
        <w:t>’</w:t>
      </w:r>
      <w:r w:rsidRPr="002C53FC">
        <w:rPr>
          <w:rFonts w:cs="Times New Roman"/>
          <w:lang w:val="fr-CA"/>
        </w:rPr>
        <w:t>a pas pour autant « accord[é] à l</w:t>
      </w:r>
      <w:r>
        <w:rPr>
          <w:rFonts w:cs="Times New Roman"/>
          <w:lang w:val="fr-CA"/>
        </w:rPr>
        <w:t>’</w:t>
      </w:r>
      <w:r w:rsidRPr="002C53FC">
        <w:rPr>
          <w:rFonts w:cs="Times New Roman"/>
          <w:lang w:val="fr-CA"/>
        </w:rPr>
        <w:t>individu un droit automatique à la communication de documents confidentiels et de nature délicate en la possession de l</w:t>
      </w:r>
      <w:r>
        <w:rPr>
          <w:rFonts w:cs="Times New Roman"/>
          <w:lang w:val="fr-CA"/>
        </w:rPr>
        <w:t>’</w:t>
      </w:r>
      <w:r w:rsidRPr="002C53FC">
        <w:rPr>
          <w:rFonts w:cs="Times New Roman"/>
          <w:lang w:val="fr-CA"/>
        </w:rPr>
        <w:t>État »</w:t>
      </w:r>
      <w:r>
        <w:rPr>
          <w:rFonts w:cs="Times New Roman"/>
          <w:lang w:val="fr-CA"/>
        </w:rPr>
        <w:t> :</w:t>
      </w:r>
      <w:r w:rsidRPr="002C53FC">
        <w:rPr>
          <w:rFonts w:cs="Times New Roman"/>
          <w:lang w:val="fr-CA"/>
        </w:rPr>
        <w:t xml:space="preserve"> </w:t>
      </w:r>
      <w:r w:rsidRPr="002C53FC">
        <w:rPr>
          <w:rFonts w:cs="Times New Roman"/>
          <w:i/>
          <w:lang w:val="fr-CA"/>
        </w:rPr>
        <w:t>Michaud c. Québec (Procureur général)</w:t>
      </w:r>
      <w:r w:rsidRPr="002C53FC">
        <w:rPr>
          <w:rFonts w:cs="Times New Roman"/>
          <w:lang w:val="fr-CA"/>
        </w:rPr>
        <w:t xml:space="preserve">, [1996] 3 R.C.S. 3, </w:t>
      </w:r>
      <w:r>
        <w:rPr>
          <w:rFonts w:cs="Times New Roman"/>
          <w:lang w:val="fr-CA"/>
        </w:rPr>
        <w:t>par. </w:t>
      </w:r>
      <w:r w:rsidRPr="002C53FC">
        <w:rPr>
          <w:rFonts w:cs="Times New Roman"/>
          <w:lang w:val="fr-CA"/>
        </w:rPr>
        <w:t xml:space="preserve">54. Les arrêts </w:t>
      </w:r>
      <w:r w:rsidRPr="002C53FC">
        <w:rPr>
          <w:rFonts w:cs="Times New Roman"/>
          <w:i/>
          <w:lang w:val="fr-CA"/>
        </w:rPr>
        <w:t xml:space="preserve">Smallwood </w:t>
      </w:r>
      <w:r w:rsidRPr="002C53FC">
        <w:rPr>
          <w:rFonts w:cs="Times New Roman"/>
          <w:lang w:val="fr-CA"/>
        </w:rPr>
        <w:t xml:space="preserve">et </w:t>
      </w:r>
      <w:r w:rsidRPr="002C53FC">
        <w:rPr>
          <w:rFonts w:cs="Times New Roman"/>
          <w:i/>
          <w:lang w:val="fr-CA"/>
        </w:rPr>
        <w:t>Carey</w:t>
      </w:r>
      <w:r w:rsidRPr="002C53FC">
        <w:rPr>
          <w:rFonts w:cs="Times New Roman"/>
          <w:lang w:val="fr-CA"/>
        </w:rPr>
        <w:t xml:space="preserve"> ont établi la nécessité de mettre soigneusement en balance les intérêts opposés du public, soit, d</w:t>
      </w:r>
      <w:r>
        <w:rPr>
          <w:rFonts w:cs="Times New Roman"/>
          <w:lang w:val="fr-CA"/>
        </w:rPr>
        <w:t>’</w:t>
      </w:r>
      <w:r w:rsidRPr="002C53FC">
        <w:rPr>
          <w:rFonts w:cs="Times New Roman"/>
          <w:lang w:val="fr-CA"/>
        </w:rPr>
        <w:t>une part, l</w:t>
      </w:r>
      <w:r>
        <w:rPr>
          <w:rFonts w:cs="Times New Roman"/>
          <w:lang w:val="fr-CA"/>
        </w:rPr>
        <w:t>’</w:t>
      </w:r>
      <w:r w:rsidRPr="002C53FC">
        <w:rPr>
          <w:rFonts w:cs="Times New Roman"/>
          <w:lang w:val="fr-CA"/>
        </w:rPr>
        <w:t>intérêt à ce que la confidentialité des renseignements soit protégée et, d</w:t>
      </w:r>
      <w:r>
        <w:rPr>
          <w:rFonts w:cs="Times New Roman"/>
          <w:lang w:val="fr-CA"/>
        </w:rPr>
        <w:t>’</w:t>
      </w:r>
      <w:r w:rsidRPr="002C53FC">
        <w:rPr>
          <w:rFonts w:cs="Times New Roman"/>
          <w:lang w:val="fr-CA"/>
        </w:rPr>
        <w:t>autre part, celui à ce qu</w:t>
      </w:r>
      <w:r>
        <w:rPr>
          <w:rFonts w:cs="Times New Roman"/>
          <w:lang w:val="fr-CA"/>
        </w:rPr>
        <w:t>’</w:t>
      </w:r>
      <w:r w:rsidRPr="002C53FC">
        <w:rPr>
          <w:rFonts w:cs="Times New Roman"/>
          <w:lang w:val="fr-CA"/>
        </w:rPr>
        <w:t>ils soient divulgués</w:t>
      </w:r>
      <w:r>
        <w:rPr>
          <w:rFonts w:cs="Times New Roman"/>
          <w:lang w:val="fr-CA"/>
        </w:rPr>
        <w:t> :</w:t>
      </w:r>
      <w:r w:rsidRPr="002C53FC">
        <w:rPr>
          <w:rFonts w:cs="Times New Roman"/>
          <w:lang w:val="fr-CA"/>
        </w:rPr>
        <w:t xml:space="preserve"> voir </w:t>
      </w:r>
      <w:r w:rsidRPr="002C53FC">
        <w:rPr>
          <w:rFonts w:cs="Times New Roman"/>
          <w:i/>
          <w:lang w:val="fr-CA"/>
        </w:rPr>
        <w:t>Babcock</w:t>
      </w:r>
      <w:r w:rsidRPr="002C53FC">
        <w:rPr>
          <w:rFonts w:cs="Times New Roman"/>
          <w:lang w:val="fr-CA"/>
        </w:rPr>
        <w:t xml:space="preserve">, </w:t>
      </w:r>
      <w:r>
        <w:rPr>
          <w:rFonts w:cs="Times New Roman"/>
          <w:lang w:val="fr-CA"/>
        </w:rPr>
        <w:t>par. </w:t>
      </w:r>
      <w:r w:rsidRPr="002C53FC">
        <w:rPr>
          <w:rFonts w:cs="Times New Roman"/>
          <w:lang w:val="fr-CA"/>
        </w:rPr>
        <w:t xml:space="preserve">19; </w:t>
      </w:r>
      <w:r w:rsidRPr="002C53FC">
        <w:rPr>
          <w:rFonts w:cs="Times New Roman"/>
          <w:i/>
          <w:lang w:val="fr-CA"/>
        </w:rPr>
        <w:t>R. c. Barros</w:t>
      </w:r>
      <w:r w:rsidRPr="002C53FC">
        <w:rPr>
          <w:rFonts w:cs="Times New Roman"/>
          <w:lang w:val="fr-CA"/>
        </w:rPr>
        <w:t xml:space="preserve">, 2011 CSC 51, [2011] 3 R.C.S. 368, </w:t>
      </w:r>
      <w:r>
        <w:rPr>
          <w:rFonts w:cs="Times New Roman"/>
          <w:lang w:val="fr-CA"/>
        </w:rPr>
        <w:t>par. </w:t>
      </w:r>
      <w:r w:rsidRPr="002C53FC">
        <w:rPr>
          <w:rFonts w:cs="Times New Roman"/>
          <w:lang w:val="fr-CA"/>
        </w:rPr>
        <w:t>35. Ces intérêts opposés du public doivent être évalués en fonction d</w:t>
      </w:r>
      <w:r>
        <w:rPr>
          <w:rFonts w:cs="Times New Roman"/>
          <w:lang w:val="fr-CA"/>
        </w:rPr>
        <w:t>’</w:t>
      </w:r>
      <w:r w:rsidRPr="002C53FC">
        <w:rPr>
          <w:rFonts w:cs="Times New Roman"/>
          <w:lang w:val="fr-CA"/>
        </w:rPr>
        <w:t>un document précis, dans le cadre d</w:t>
      </w:r>
      <w:r>
        <w:rPr>
          <w:rFonts w:cs="Times New Roman"/>
          <w:lang w:val="fr-CA"/>
        </w:rPr>
        <w:t>’</w:t>
      </w:r>
      <w:r w:rsidRPr="002C53FC">
        <w:rPr>
          <w:rFonts w:cs="Times New Roman"/>
          <w:lang w:val="fr-CA"/>
        </w:rPr>
        <w:t>une instance donnée.</w:t>
      </w:r>
    </w:p>
    <w:p w14:paraId="72CC2608" w14:textId="789F5FA8" w:rsidR="002C65EF" w:rsidRPr="002C53FC" w:rsidRDefault="002C65EF" w:rsidP="002C65EF">
      <w:pPr>
        <w:pStyle w:val="ParaNoNdepar-AltN"/>
        <w:spacing w:before="0"/>
        <w:rPr>
          <w:rFonts w:cs="Times New Roman"/>
          <w:lang w:val="fr-CA"/>
        </w:rPr>
      </w:pPr>
      <w:r w:rsidRPr="002C53FC">
        <w:rPr>
          <w:rFonts w:cs="Times New Roman"/>
          <w:lang w:val="fr-CA"/>
        </w:rPr>
        <w:t>Dans l</w:t>
      </w:r>
      <w:r>
        <w:rPr>
          <w:rFonts w:cs="Times New Roman"/>
          <w:lang w:val="fr-CA"/>
        </w:rPr>
        <w:t>’</w:t>
      </w:r>
      <w:r w:rsidRPr="002C53FC">
        <w:rPr>
          <w:rFonts w:cs="Times New Roman"/>
          <w:lang w:val="fr-CA"/>
        </w:rPr>
        <w:t xml:space="preserve">arrêt </w:t>
      </w:r>
      <w:r w:rsidRPr="002C53FC">
        <w:rPr>
          <w:rFonts w:cs="Times New Roman"/>
          <w:i/>
          <w:lang w:val="fr-CA"/>
        </w:rPr>
        <w:t>Carey</w:t>
      </w:r>
      <w:r w:rsidR="004753FC">
        <w:rPr>
          <w:rFonts w:cs="Times New Roman"/>
          <w:lang w:val="fr-CA"/>
        </w:rPr>
        <w:t>, p. 670</w:t>
      </w:r>
      <w:r w:rsidR="004753FC">
        <w:rPr>
          <w:rFonts w:cs="Times New Roman"/>
          <w:lang w:val="fr-CA"/>
        </w:rPr>
        <w:noBreakHyphen/>
      </w:r>
      <w:r w:rsidRPr="002C53FC">
        <w:rPr>
          <w:rFonts w:cs="Times New Roman"/>
          <w:lang w:val="fr-CA"/>
        </w:rPr>
        <w:t>673, la Cour a décrit dans les termes qui suivent les principaux facteurs pertinents pour l</w:t>
      </w:r>
      <w:r>
        <w:rPr>
          <w:rFonts w:cs="Times New Roman"/>
          <w:lang w:val="fr-CA"/>
        </w:rPr>
        <w:t>’</w:t>
      </w:r>
      <w:r w:rsidRPr="002C53FC">
        <w:rPr>
          <w:rFonts w:cs="Times New Roman"/>
          <w:lang w:val="fr-CA"/>
        </w:rPr>
        <w:t>exercice de mise en balance des intérêts opposés du public quant à la confidentialité et à la divulgation de documents ayant trait au processus décisionnel d</w:t>
      </w:r>
      <w:r>
        <w:rPr>
          <w:rFonts w:cs="Times New Roman"/>
          <w:lang w:val="fr-CA"/>
        </w:rPr>
        <w:t>’</w:t>
      </w:r>
      <w:r w:rsidRPr="002C53FC">
        <w:rPr>
          <w:rFonts w:cs="Times New Roman"/>
          <w:lang w:val="fr-CA"/>
        </w:rPr>
        <w:t>un pouvoir public, y compris au niveau du Cabinet</w:t>
      </w:r>
      <w:r>
        <w:rPr>
          <w:rFonts w:cs="Times New Roman"/>
          <w:lang w:val="fr-CA"/>
        </w:rPr>
        <w:t> :</w:t>
      </w:r>
    </w:p>
    <w:p w14:paraId="1CDBFA71" w14:textId="77777777" w:rsidR="002C65EF" w:rsidRPr="002C53FC" w:rsidRDefault="002C65EF" w:rsidP="00C06D61">
      <w:pPr>
        <w:pStyle w:val="Citation-AltC"/>
        <w:numPr>
          <w:ilvl w:val="0"/>
          <w:numId w:val="13"/>
        </w:numPr>
        <w:spacing w:after="480"/>
        <w:ind w:left="540" w:hanging="540"/>
        <w:contextualSpacing w:val="0"/>
        <w:rPr>
          <w:lang w:val="fr-CA"/>
        </w:rPr>
      </w:pPr>
      <w:r w:rsidRPr="002C53FC">
        <w:rPr>
          <w:lang w:val="fr-CA"/>
        </w:rPr>
        <w:t>le palier du « processus décisionnel »;</w:t>
      </w:r>
    </w:p>
    <w:p w14:paraId="3E238C81" w14:textId="77777777" w:rsidR="002C65EF" w:rsidRPr="002C53FC" w:rsidRDefault="002C65EF" w:rsidP="00C06D61">
      <w:pPr>
        <w:pStyle w:val="Citation-AltC"/>
        <w:numPr>
          <w:ilvl w:val="0"/>
          <w:numId w:val="13"/>
        </w:numPr>
        <w:spacing w:after="480"/>
        <w:ind w:left="540" w:hanging="540"/>
        <w:contextualSpacing w:val="0"/>
        <w:rPr>
          <w:lang w:val="fr-CA"/>
        </w:rPr>
      </w:pPr>
      <w:r w:rsidRPr="002C53FC">
        <w:rPr>
          <w:lang w:val="fr-CA"/>
        </w:rPr>
        <w:lastRenderedPageBreak/>
        <w:t>la « nature de la politique en question »;</w:t>
      </w:r>
    </w:p>
    <w:p w14:paraId="74D20754" w14:textId="77777777" w:rsidR="002C65EF" w:rsidRPr="002C53FC" w:rsidRDefault="002C65EF" w:rsidP="00C06D61">
      <w:pPr>
        <w:pStyle w:val="Citation-AltC"/>
        <w:numPr>
          <w:ilvl w:val="0"/>
          <w:numId w:val="13"/>
        </w:numPr>
        <w:spacing w:after="480"/>
        <w:ind w:left="540" w:hanging="540"/>
        <w:contextualSpacing w:val="0"/>
        <w:rPr>
          <w:lang w:val="fr-CA"/>
        </w:rPr>
      </w:pPr>
      <w:r w:rsidRPr="002C53FC">
        <w:rPr>
          <w:lang w:val="fr-CA"/>
        </w:rPr>
        <w:t>la « teneur précise des documents »;</w:t>
      </w:r>
    </w:p>
    <w:p w14:paraId="387012E2" w14:textId="77777777" w:rsidR="002C65EF" w:rsidRPr="002C53FC" w:rsidRDefault="002C65EF" w:rsidP="00C06D61">
      <w:pPr>
        <w:pStyle w:val="Citation-AltC"/>
        <w:numPr>
          <w:ilvl w:val="0"/>
          <w:numId w:val="13"/>
        </w:numPr>
        <w:spacing w:after="480"/>
        <w:ind w:left="540" w:hanging="540"/>
        <w:contextualSpacing w:val="0"/>
        <w:rPr>
          <w:lang w:val="fr-CA"/>
        </w:rPr>
      </w:pPr>
      <w:r w:rsidRPr="002C53FC">
        <w:rPr>
          <w:lang w:val="fr-CA"/>
        </w:rPr>
        <w:t>le moment où sera divulgué le document;</w:t>
      </w:r>
    </w:p>
    <w:p w14:paraId="3E913B33" w14:textId="77777777" w:rsidR="002C65EF" w:rsidRPr="002C53FC" w:rsidRDefault="002C65EF" w:rsidP="00C06D61">
      <w:pPr>
        <w:pStyle w:val="Citation-AltC"/>
        <w:numPr>
          <w:ilvl w:val="0"/>
          <w:numId w:val="13"/>
        </w:numPr>
        <w:spacing w:after="480"/>
        <w:ind w:left="540" w:hanging="540"/>
        <w:contextualSpacing w:val="0"/>
        <w:rPr>
          <w:lang w:val="fr-CA"/>
        </w:rPr>
      </w:pPr>
      <w:r w:rsidRPr="002C53FC">
        <w:rPr>
          <w:lang w:val="fr-CA"/>
        </w:rPr>
        <w:t>l</w:t>
      </w:r>
      <w:r>
        <w:rPr>
          <w:lang w:val="fr-CA"/>
        </w:rPr>
        <w:t>’</w:t>
      </w:r>
      <w:r w:rsidRPr="002C53FC">
        <w:rPr>
          <w:lang w:val="fr-CA"/>
        </w:rPr>
        <w:t>« importance qu</w:t>
      </w:r>
      <w:r>
        <w:rPr>
          <w:lang w:val="fr-CA"/>
        </w:rPr>
        <w:t>’</w:t>
      </w:r>
      <w:r w:rsidRPr="002C53FC">
        <w:rPr>
          <w:lang w:val="fr-CA"/>
        </w:rPr>
        <w:t>il y a à produire les documents dans l</w:t>
      </w:r>
      <w:r>
        <w:rPr>
          <w:lang w:val="fr-CA"/>
        </w:rPr>
        <w:t>’</w:t>
      </w:r>
      <w:r w:rsidRPr="002C53FC">
        <w:rPr>
          <w:lang w:val="fr-CA"/>
        </w:rPr>
        <w:t>intérêt de l</w:t>
      </w:r>
      <w:r>
        <w:rPr>
          <w:lang w:val="fr-CA"/>
        </w:rPr>
        <w:t>’</w:t>
      </w:r>
      <w:r w:rsidRPr="002C53FC">
        <w:rPr>
          <w:lang w:val="fr-CA"/>
        </w:rPr>
        <w:t>administration de la justice »;</w:t>
      </w:r>
    </w:p>
    <w:p w14:paraId="6498D7DC" w14:textId="77777777" w:rsidR="002C65EF" w:rsidRPr="002C53FC" w:rsidRDefault="002C65EF" w:rsidP="00C06D61">
      <w:pPr>
        <w:pStyle w:val="Citation-AltC"/>
        <w:numPr>
          <w:ilvl w:val="0"/>
          <w:numId w:val="13"/>
        </w:numPr>
        <w:ind w:left="540" w:hanging="540"/>
        <w:contextualSpacing w:val="0"/>
        <w:rPr>
          <w:lang w:val="fr-CA"/>
        </w:rPr>
      </w:pPr>
      <w:r w:rsidRPr="002C53FC">
        <w:rPr>
          <w:lang w:val="fr-CA"/>
        </w:rPr>
        <w:t>la question de savoir si la partie qui cherche à obtenir la production des documents « allègue une conduite peu scrupuleuse de la part du gouvernement ».</w:t>
      </w:r>
    </w:p>
    <w:p w14:paraId="569E05F0" w14:textId="77777777" w:rsidR="002C65EF" w:rsidRPr="002C53FC" w:rsidRDefault="002C65EF" w:rsidP="002C65EF">
      <w:pPr>
        <w:pStyle w:val="ParaNoNdepar-AltN"/>
        <w:spacing w:before="0"/>
        <w:rPr>
          <w:rFonts w:cs="Times New Roman"/>
          <w:lang w:val="fr-CA"/>
        </w:rPr>
      </w:pPr>
      <w:r w:rsidRPr="002C53FC">
        <w:rPr>
          <w:rFonts w:cs="Times New Roman"/>
          <w:lang w:val="fr-CA"/>
        </w:rPr>
        <w:t>Bien que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puisse être soulevée par n</w:t>
      </w:r>
      <w:r>
        <w:rPr>
          <w:rFonts w:cs="Times New Roman"/>
          <w:lang w:val="fr-CA"/>
        </w:rPr>
        <w:t>’</w:t>
      </w:r>
      <w:r w:rsidRPr="002C53FC">
        <w:rPr>
          <w:rFonts w:cs="Times New Roman"/>
          <w:lang w:val="fr-CA"/>
        </w:rPr>
        <w:t>importe laquelle des parties ou par le tribunal de révision lui</w:t>
      </w:r>
      <w:r>
        <w:rPr>
          <w:rFonts w:cs="Times New Roman"/>
          <w:lang w:val="fr-CA"/>
        </w:rPr>
        <w:noBreakHyphen/>
      </w:r>
      <w:r w:rsidRPr="002C53FC">
        <w:rPr>
          <w:rFonts w:cs="Times New Roman"/>
          <w:lang w:val="fr-CA"/>
        </w:rPr>
        <w:t>même, c</w:t>
      </w:r>
      <w:r>
        <w:rPr>
          <w:rFonts w:cs="Times New Roman"/>
          <w:lang w:val="fr-CA"/>
        </w:rPr>
        <w:t>’</w:t>
      </w:r>
      <w:r w:rsidRPr="002C53FC">
        <w:rPr>
          <w:rFonts w:cs="Times New Roman"/>
          <w:lang w:val="fr-CA"/>
        </w:rPr>
        <w:t>est au gouvernement qu</w:t>
      </w:r>
      <w:r>
        <w:rPr>
          <w:rFonts w:cs="Times New Roman"/>
          <w:lang w:val="fr-CA"/>
        </w:rPr>
        <w:t>’</w:t>
      </w:r>
      <w:r w:rsidRPr="002C53FC">
        <w:rPr>
          <w:rFonts w:cs="Times New Roman"/>
          <w:lang w:val="fr-CA"/>
        </w:rPr>
        <w:t>il incombe d</w:t>
      </w:r>
      <w:r>
        <w:rPr>
          <w:rFonts w:cs="Times New Roman"/>
          <w:lang w:val="fr-CA"/>
        </w:rPr>
        <w:t>’</w:t>
      </w:r>
      <w:r w:rsidRPr="002C53FC">
        <w:rPr>
          <w:rFonts w:cs="Times New Roman"/>
          <w:lang w:val="fr-CA"/>
        </w:rPr>
        <w:t>établir qu</w:t>
      </w:r>
      <w:r>
        <w:rPr>
          <w:rFonts w:cs="Times New Roman"/>
          <w:lang w:val="fr-CA"/>
        </w:rPr>
        <w:t>’</w:t>
      </w:r>
      <w:r w:rsidRPr="002C53FC">
        <w:rPr>
          <w:rFonts w:cs="Times New Roman"/>
          <w:lang w:val="fr-CA"/>
        </w:rPr>
        <w:t>un document est visé par cette immunité et qu</w:t>
      </w:r>
      <w:r>
        <w:rPr>
          <w:rFonts w:cs="Times New Roman"/>
          <w:lang w:val="fr-CA"/>
        </w:rPr>
        <w:t>’</w:t>
      </w:r>
      <w:r w:rsidRPr="002C53FC">
        <w:rPr>
          <w:rFonts w:cs="Times New Roman"/>
          <w:lang w:val="fr-CA"/>
        </w:rPr>
        <w:t>il ne devrait donc pas être divulgué</w:t>
      </w:r>
      <w:r>
        <w:rPr>
          <w:rFonts w:cs="Times New Roman"/>
          <w:lang w:val="fr-CA"/>
        </w:rPr>
        <w:t> :</w:t>
      </w:r>
      <w:r w:rsidRPr="002C53FC">
        <w:rPr>
          <w:rFonts w:cs="Times New Roman"/>
          <w:lang w:val="fr-CA"/>
        </w:rPr>
        <w:t xml:space="preserve">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653 et 678. Le gouvernement doit présenter un affidavit détaillé pour appuyer sa prétention relative à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w:t>
      </w:r>
      <w:r>
        <w:rPr>
          <w:rFonts w:cs="Times New Roman"/>
          <w:lang w:val="fr-CA"/>
        </w:rPr>
        <w:t> :</w:t>
      </w:r>
      <w:r w:rsidRPr="002C53FC">
        <w:rPr>
          <w:rFonts w:cs="Times New Roman"/>
          <w:lang w:val="fr-CA"/>
        </w:rPr>
        <w:t xml:space="preserve"> </w:t>
      </w:r>
      <w:r>
        <w:rPr>
          <w:rFonts w:cs="Times New Roman"/>
          <w:lang w:val="fr-CA"/>
        </w:rPr>
        <w:t>p. </w:t>
      </w:r>
      <w:r w:rsidRPr="002C53FC">
        <w:rPr>
          <w:rFonts w:cs="Times New Roman"/>
          <w:lang w:val="fr-CA"/>
        </w:rPr>
        <w:t>653</w:t>
      </w:r>
      <w:r>
        <w:rPr>
          <w:rFonts w:cs="Times New Roman"/>
          <w:lang w:val="fr-CA"/>
        </w:rPr>
        <w:noBreakHyphen/>
      </w:r>
      <w:r w:rsidRPr="002C53FC">
        <w:rPr>
          <w:rFonts w:cs="Times New Roman"/>
          <w:lang w:val="fr-CA"/>
        </w:rPr>
        <w:t>654.</w:t>
      </w:r>
    </w:p>
    <w:p w14:paraId="07569B10" w14:textId="77777777" w:rsidR="002C65EF" w:rsidRPr="002C53FC" w:rsidRDefault="002C65EF" w:rsidP="002C65EF">
      <w:pPr>
        <w:pStyle w:val="ParaNoNdepar-AltN"/>
        <w:spacing w:before="0"/>
        <w:rPr>
          <w:rFonts w:cs="Times New Roman"/>
          <w:lang w:val="fr-CA"/>
        </w:rPr>
      </w:pPr>
      <w:r w:rsidRPr="002C53FC">
        <w:rPr>
          <w:rFonts w:cs="Times New Roman"/>
          <w:lang w:val="fr-CA"/>
        </w:rPr>
        <w:t>En règle générale, lorsqu</w:t>
      </w:r>
      <w:r>
        <w:rPr>
          <w:rFonts w:cs="Times New Roman"/>
          <w:lang w:val="fr-CA"/>
        </w:rPr>
        <w:t>’</w:t>
      </w:r>
      <w:r w:rsidRPr="002C53FC">
        <w:rPr>
          <w:rFonts w:cs="Times New Roman"/>
          <w:lang w:val="fr-CA"/>
        </w:rPr>
        <w:t>il est manifeste pour le tribunal de révision, compte tenu des observations présentées par un gouvernement, que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s</w:t>
      </w:r>
      <w:r>
        <w:rPr>
          <w:rFonts w:cs="Times New Roman"/>
          <w:lang w:val="fr-CA"/>
        </w:rPr>
        <w:t>’</w:t>
      </w:r>
      <w:r w:rsidRPr="002C53FC">
        <w:rPr>
          <w:rFonts w:cs="Times New Roman"/>
          <w:lang w:val="fr-CA"/>
        </w:rPr>
        <w:t>applique à un document, nul n</w:t>
      </w:r>
      <w:r>
        <w:rPr>
          <w:rFonts w:cs="Times New Roman"/>
          <w:lang w:val="fr-CA"/>
        </w:rPr>
        <w:t>’</w:t>
      </w:r>
      <w:r w:rsidRPr="002C53FC">
        <w:rPr>
          <w:rFonts w:cs="Times New Roman"/>
          <w:lang w:val="fr-CA"/>
        </w:rPr>
        <w:t>est besoin pour lui de le consulter</w:t>
      </w:r>
      <w:r>
        <w:rPr>
          <w:rFonts w:cs="Times New Roman"/>
          <w:lang w:val="fr-CA"/>
        </w:rPr>
        <w:t> :</w:t>
      </w:r>
      <w:r w:rsidRPr="002C53FC">
        <w:rPr>
          <w:rFonts w:cs="Times New Roman"/>
          <w:lang w:val="fr-CA"/>
        </w:rPr>
        <w:t xml:space="preserve">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671 et 681. Si, toutefois, le tribunal a des doutes quant à savoir si cette immunité s</w:t>
      </w:r>
      <w:r>
        <w:rPr>
          <w:rFonts w:cs="Times New Roman"/>
          <w:lang w:val="fr-CA"/>
        </w:rPr>
        <w:t>’</w:t>
      </w:r>
      <w:r w:rsidRPr="002C53FC">
        <w:rPr>
          <w:rFonts w:cs="Times New Roman"/>
          <w:lang w:val="fr-CA"/>
        </w:rPr>
        <w:t>applique, il consulte le document en privé pour dissiper tout doute à cet égard</w:t>
      </w:r>
      <w:r>
        <w:rPr>
          <w:rFonts w:cs="Times New Roman"/>
          <w:lang w:val="fr-CA"/>
        </w:rPr>
        <w:t> :</w:t>
      </w:r>
      <w:r w:rsidRPr="002C53FC">
        <w:rPr>
          <w:rFonts w:cs="Times New Roman"/>
          <w:lang w:val="fr-CA"/>
        </w:rPr>
        <w:t xml:space="preserve"> </w:t>
      </w:r>
      <w:r>
        <w:rPr>
          <w:rFonts w:cs="Times New Roman"/>
          <w:lang w:val="fr-CA"/>
        </w:rPr>
        <w:t>p. </w:t>
      </w:r>
      <w:r w:rsidRPr="002C53FC">
        <w:rPr>
          <w:rFonts w:cs="Times New Roman"/>
          <w:lang w:val="fr-CA"/>
        </w:rPr>
        <w:t xml:space="preserve">674 et 681; voir aussi </w:t>
      </w:r>
      <w:r w:rsidRPr="002C53FC">
        <w:rPr>
          <w:rFonts w:cs="Times New Roman"/>
          <w:i/>
          <w:lang w:val="fr-CA"/>
        </w:rPr>
        <w:t>Somerville c. Scottish Ministers</w:t>
      </w:r>
      <w:r w:rsidRPr="002C53FC">
        <w:rPr>
          <w:rFonts w:cs="Times New Roman"/>
          <w:lang w:val="fr-CA"/>
        </w:rPr>
        <w:t xml:space="preserve">, [2007] UKHL 44, [2007] 1 W.L.R. 2734, </w:t>
      </w:r>
      <w:r>
        <w:rPr>
          <w:rFonts w:cs="Times New Roman"/>
          <w:lang w:val="fr-CA"/>
        </w:rPr>
        <w:t>par. </w:t>
      </w:r>
      <w:r w:rsidRPr="002C53FC">
        <w:rPr>
          <w:rFonts w:cs="Times New Roman"/>
          <w:lang w:val="fr-CA"/>
        </w:rPr>
        <w:t xml:space="preserve">156 et 204; </w:t>
      </w:r>
      <w:r w:rsidRPr="002C53FC">
        <w:rPr>
          <w:rFonts w:cs="Times New Roman"/>
          <w:i/>
          <w:lang w:val="fr-CA"/>
        </w:rPr>
        <w:t>Al Rawi c. Security Service</w:t>
      </w:r>
      <w:r w:rsidRPr="002C53FC">
        <w:rPr>
          <w:rFonts w:cs="Times New Roman"/>
          <w:lang w:val="fr-CA"/>
        </w:rPr>
        <w:t xml:space="preserve">, [2011] UKSC 34, [2012] 1 A.C. 531, </w:t>
      </w:r>
      <w:r>
        <w:rPr>
          <w:rFonts w:cs="Times New Roman"/>
          <w:lang w:val="fr-CA"/>
        </w:rPr>
        <w:t>par. </w:t>
      </w:r>
      <w:r w:rsidRPr="002C53FC">
        <w:rPr>
          <w:rFonts w:cs="Times New Roman"/>
          <w:lang w:val="fr-CA"/>
        </w:rPr>
        <w:t>145. De fait, même s</w:t>
      </w:r>
      <w:r>
        <w:rPr>
          <w:rFonts w:cs="Times New Roman"/>
          <w:lang w:val="fr-CA"/>
        </w:rPr>
        <w:t>’</w:t>
      </w:r>
      <w:r w:rsidRPr="002C53FC">
        <w:rPr>
          <w:rFonts w:cs="Times New Roman"/>
          <w:lang w:val="fr-CA"/>
        </w:rPr>
        <w:t>il est convaincu que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ne s</w:t>
      </w:r>
      <w:r>
        <w:rPr>
          <w:rFonts w:cs="Times New Roman"/>
          <w:lang w:val="fr-CA"/>
        </w:rPr>
        <w:t>’</w:t>
      </w:r>
      <w:r w:rsidRPr="002C53FC">
        <w:rPr>
          <w:rFonts w:cs="Times New Roman"/>
          <w:lang w:val="fr-CA"/>
        </w:rPr>
        <w:t xml:space="preserve">applique pas, le tribunal consulte tout de même le document en privé pour </w:t>
      </w:r>
      <w:r w:rsidRPr="002C53FC">
        <w:rPr>
          <w:rFonts w:cs="Times New Roman"/>
          <w:lang w:val="fr-CA"/>
        </w:rPr>
        <w:lastRenderedPageBreak/>
        <w:t>s</w:t>
      </w:r>
      <w:r>
        <w:rPr>
          <w:rFonts w:cs="Times New Roman"/>
          <w:lang w:val="fr-CA"/>
        </w:rPr>
        <w:t>’</w:t>
      </w:r>
      <w:r w:rsidRPr="002C53FC">
        <w:rPr>
          <w:rFonts w:cs="Times New Roman"/>
          <w:lang w:val="fr-CA"/>
        </w:rPr>
        <w:t>assurer de ne pas ordonner par mégarde la divulgation d</w:t>
      </w:r>
      <w:r>
        <w:rPr>
          <w:rFonts w:cs="Times New Roman"/>
          <w:lang w:val="fr-CA"/>
        </w:rPr>
        <w:t>’</w:t>
      </w:r>
      <w:r w:rsidRPr="002C53FC">
        <w:rPr>
          <w:rFonts w:cs="Times New Roman"/>
          <w:lang w:val="fr-CA"/>
        </w:rPr>
        <w:t>un document qui devrait en réalité rester confidentiel</w:t>
      </w:r>
      <w:r>
        <w:rPr>
          <w:rFonts w:cs="Times New Roman"/>
          <w:lang w:val="fr-CA"/>
        </w:rPr>
        <w:t> :</w:t>
      </w:r>
      <w:r w:rsidRPr="002C53FC">
        <w:rPr>
          <w:rFonts w:cs="Times New Roman"/>
          <w:lang w:val="fr-CA"/>
        </w:rPr>
        <w:t xml:space="preserve"> voir </w:t>
      </w:r>
      <w:r w:rsidRPr="002C53FC">
        <w:rPr>
          <w:rFonts w:cs="Times New Roman"/>
          <w:i/>
          <w:lang w:val="fr-CA"/>
        </w:rPr>
        <w:t>Conway c. Rimmer</w:t>
      </w:r>
      <w:r w:rsidRPr="002C53FC">
        <w:rPr>
          <w:rFonts w:cs="Times New Roman"/>
          <w:lang w:val="fr-CA"/>
        </w:rPr>
        <w:t xml:space="preserve">, [1968] A.C. 910 (H.L.), </w:t>
      </w:r>
      <w:r>
        <w:rPr>
          <w:rFonts w:cs="Times New Roman"/>
          <w:lang w:val="fr-CA"/>
        </w:rPr>
        <w:t>p. </w:t>
      </w:r>
      <w:r w:rsidRPr="002C53FC">
        <w:rPr>
          <w:rFonts w:cs="Times New Roman"/>
          <w:lang w:val="fr-CA"/>
        </w:rPr>
        <w:t>971. Si, après avoir consulté le document, le tribunal conclut que son contenu, ou une partie de son contenu, n</w:t>
      </w:r>
      <w:r>
        <w:rPr>
          <w:rFonts w:cs="Times New Roman"/>
          <w:lang w:val="fr-CA"/>
        </w:rPr>
        <w:t>’</w:t>
      </w:r>
      <w:r w:rsidRPr="002C53FC">
        <w:rPr>
          <w:rFonts w:cs="Times New Roman"/>
          <w:lang w:val="fr-CA"/>
        </w:rPr>
        <w:t>est pas protégé par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il peut en conséquence en ordonner la production.</w:t>
      </w:r>
    </w:p>
    <w:p w14:paraId="2087643F" w14:textId="77777777" w:rsidR="002C65EF" w:rsidRPr="002C53FC" w:rsidRDefault="002C65EF" w:rsidP="002C65EF">
      <w:pPr>
        <w:pStyle w:val="Title3LevelTitre3Niveau"/>
        <w:spacing w:before="0"/>
        <w:rPr>
          <w:rFonts w:cs="Times New Roman"/>
          <w:lang w:val="fr-CA"/>
        </w:rPr>
      </w:pPr>
      <w:r w:rsidRPr="002C53FC">
        <w:rPr>
          <w:rFonts w:cs="Times New Roman"/>
          <w:lang w:val="fr-CA"/>
        </w:rPr>
        <w:t>Immunité d</w:t>
      </w:r>
      <w:r>
        <w:rPr>
          <w:rFonts w:cs="Times New Roman"/>
          <w:lang w:val="fr-CA"/>
        </w:rPr>
        <w:t>’</w:t>
      </w:r>
      <w:r w:rsidRPr="002C53FC">
        <w:rPr>
          <w:rFonts w:cs="Times New Roman"/>
          <w:lang w:val="fr-CA"/>
        </w:rPr>
        <w:t>intérêt public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p>
    <w:p w14:paraId="051D778B" w14:textId="77777777" w:rsidR="002C65EF" w:rsidRPr="002C53FC" w:rsidRDefault="002C65EF" w:rsidP="002C65EF">
      <w:pPr>
        <w:pStyle w:val="ParaNoNdepar-AltN"/>
        <w:spacing w:before="0"/>
        <w:rPr>
          <w:rFonts w:cs="Times New Roman"/>
          <w:lang w:val="fr-CA"/>
        </w:rPr>
      </w:pPr>
      <w:r w:rsidRPr="002C53FC">
        <w:rPr>
          <w:rFonts w:cs="Times New Roman"/>
          <w:lang w:val="fr-CA"/>
        </w:rPr>
        <w:t>Comme l</w:t>
      </w:r>
      <w:r>
        <w:rPr>
          <w:rFonts w:cs="Times New Roman"/>
          <w:lang w:val="fr-CA"/>
        </w:rPr>
        <w:t>’</w:t>
      </w:r>
      <w:r w:rsidRPr="002C53FC">
        <w:rPr>
          <w:rFonts w:cs="Times New Roman"/>
          <w:lang w:val="fr-CA"/>
        </w:rPr>
        <w:t>a précisé l</w:t>
      </w:r>
      <w:r>
        <w:rPr>
          <w:rFonts w:cs="Times New Roman"/>
          <w:lang w:val="fr-CA"/>
        </w:rPr>
        <w:t>’</w:t>
      </w:r>
      <w:r w:rsidRPr="002C53FC">
        <w:rPr>
          <w:rFonts w:cs="Times New Roman"/>
          <w:lang w:val="fr-CA"/>
        </w:rPr>
        <w:t xml:space="preserve">arrêt </w:t>
      </w:r>
      <w:r w:rsidRPr="002C53FC">
        <w:rPr>
          <w:rFonts w:cs="Times New Roman"/>
          <w:i/>
          <w:lang w:val="fr-CA"/>
        </w:rPr>
        <w:t>Carey</w:t>
      </w:r>
      <w:r w:rsidRPr="002C53FC">
        <w:rPr>
          <w:rFonts w:cs="Times New Roman"/>
          <w:lang w:val="fr-CA"/>
        </w:rPr>
        <w:t>, le tribunal de révision a souvent à examiner le document visé pour pouvoir se prononcer sur la question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Puisque généralement,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le tribunal a déjà examiné le document pour décider s</w:t>
      </w:r>
      <w:r>
        <w:rPr>
          <w:rFonts w:cs="Times New Roman"/>
          <w:lang w:val="fr-CA"/>
        </w:rPr>
        <w:t>’</w:t>
      </w:r>
      <w:r w:rsidRPr="002C53FC">
        <w:rPr>
          <w:rFonts w:cs="Times New Roman"/>
          <w:lang w:val="fr-CA"/>
        </w:rPr>
        <w:t>il devrait par ailleurs faire partie du dossier, il en sera habituellement déjà saisi.</w:t>
      </w:r>
    </w:p>
    <w:p w14:paraId="567FBAE1" w14:textId="77777777" w:rsidR="002C65EF" w:rsidRPr="002C53FC" w:rsidRDefault="002C65EF" w:rsidP="002C65EF">
      <w:pPr>
        <w:pStyle w:val="ParaNoNdepar-AltN"/>
        <w:spacing w:before="0"/>
        <w:rPr>
          <w:rFonts w:cs="Times New Roman"/>
          <w:lang w:val="fr-CA"/>
        </w:rPr>
      </w:pPr>
      <w:r w:rsidRPr="002C53FC">
        <w:rPr>
          <w:rFonts w:cs="Times New Roman"/>
          <w:lang w:val="fr-CA"/>
        </w:rPr>
        <w:t>En conséquence, le tribunal doit alors, en tenant compte des facteurs énoncés dans l</w:t>
      </w:r>
      <w:r>
        <w:rPr>
          <w:rFonts w:cs="Times New Roman"/>
          <w:lang w:val="fr-CA"/>
        </w:rPr>
        <w:t>’</w:t>
      </w:r>
      <w:r w:rsidRPr="002C53FC">
        <w:rPr>
          <w:rFonts w:cs="Times New Roman"/>
          <w:lang w:val="fr-CA"/>
        </w:rPr>
        <w:t xml:space="preserve">arrêt </w:t>
      </w:r>
      <w:r w:rsidRPr="002C53FC">
        <w:rPr>
          <w:rFonts w:cs="Times New Roman"/>
          <w:i/>
          <w:lang w:val="fr-CA"/>
        </w:rPr>
        <w:t>Carey</w:t>
      </w:r>
      <w:r w:rsidRPr="002C53FC">
        <w:rPr>
          <w:rFonts w:cs="Times New Roman"/>
          <w:lang w:val="fr-CA"/>
        </w:rPr>
        <w:t xml:space="preserve"> et de tout autre facteur pertinent, déterminer si l</w:t>
      </w:r>
      <w:r>
        <w:rPr>
          <w:rFonts w:cs="Times New Roman"/>
          <w:lang w:val="fr-CA"/>
        </w:rPr>
        <w:t>’</w:t>
      </w:r>
      <w:r w:rsidRPr="002C53FC">
        <w:rPr>
          <w:rFonts w:cs="Times New Roman"/>
          <w:lang w:val="fr-CA"/>
        </w:rPr>
        <w:t>intérêt du public à ce que le document du Cabinet soit divulgué l</w:t>
      </w:r>
      <w:r>
        <w:rPr>
          <w:rFonts w:cs="Times New Roman"/>
          <w:lang w:val="fr-CA"/>
        </w:rPr>
        <w:t>’</w:t>
      </w:r>
      <w:r w:rsidRPr="002C53FC">
        <w:rPr>
          <w:rFonts w:cs="Times New Roman"/>
          <w:lang w:val="fr-CA"/>
        </w:rPr>
        <w:t>emporte sur celui à ce qu</w:t>
      </w:r>
      <w:r>
        <w:rPr>
          <w:rFonts w:cs="Times New Roman"/>
          <w:lang w:val="fr-CA"/>
        </w:rPr>
        <w:t>’</w:t>
      </w:r>
      <w:r w:rsidRPr="002C53FC">
        <w:rPr>
          <w:rFonts w:cs="Times New Roman"/>
          <w:lang w:val="fr-CA"/>
        </w:rPr>
        <w:t>il demeure confidentiel. En pareilles circonstances, au moins trois des facteurs énoncés dans l</w:t>
      </w:r>
      <w:r>
        <w:rPr>
          <w:rFonts w:cs="Times New Roman"/>
          <w:lang w:val="fr-CA"/>
        </w:rPr>
        <w:t>’</w:t>
      </w:r>
      <w:r w:rsidRPr="002C53FC">
        <w:rPr>
          <w:rFonts w:cs="Times New Roman"/>
          <w:lang w:val="fr-CA"/>
        </w:rPr>
        <w:t xml:space="preserve">arrêt </w:t>
      </w:r>
      <w:r w:rsidRPr="002C53FC">
        <w:rPr>
          <w:rFonts w:cs="Times New Roman"/>
          <w:i/>
          <w:lang w:val="fr-CA"/>
        </w:rPr>
        <w:t>Carey —</w:t>
      </w:r>
      <w:r w:rsidRPr="002C53FC">
        <w:rPr>
          <w:rFonts w:cs="Times New Roman"/>
          <w:lang w:val="fr-CA"/>
        </w:rPr>
        <w:t xml:space="preserve"> le palier du processus décisionnel auquel le document se rapporte, la nature de la politique sur laquelle porte le document et la teneur du document — jouent bien souvent en faveur du maintien de la confidentialité du document.</w:t>
      </w:r>
    </w:p>
    <w:p w14:paraId="7D312A18" w14:textId="77777777" w:rsidR="002C65EF" w:rsidRPr="002C53FC" w:rsidRDefault="002C65EF" w:rsidP="002C65EF">
      <w:pPr>
        <w:pStyle w:val="ParaNoNdepar-AltN"/>
        <w:spacing w:before="0"/>
        <w:rPr>
          <w:rFonts w:cs="Times New Roman"/>
          <w:lang w:val="fr-CA"/>
        </w:rPr>
      </w:pPr>
      <w:r w:rsidRPr="002C53FC">
        <w:rPr>
          <w:rFonts w:cs="Times New Roman"/>
          <w:lang w:val="fr-CA"/>
        </w:rPr>
        <w:t xml:space="preserve">Exception faite des décisions émanant de la Reine ou de ses représentants, le processus décisionnel du Cabinet se situe au plus haut échelon décisionnel du </w:t>
      </w:r>
      <w:r w:rsidRPr="002C53FC">
        <w:rPr>
          <w:rFonts w:cs="Times New Roman"/>
          <w:lang w:val="fr-CA"/>
        </w:rPr>
        <w:lastRenderedPageBreak/>
        <w:t>pouvoir exécutif</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 xml:space="preserve">670; </w:t>
      </w:r>
      <w:r w:rsidRPr="002C53FC">
        <w:rPr>
          <w:rFonts w:cs="Times New Roman"/>
          <w:i/>
          <w:lang w:val="fr-CA"/>
        </w:rPr>
        <w:t>Renvoi relatif au Régime d</w:t>
      </w:r>
      <w:r>
        <w:rPr>
          <w:rFonts w:cs="Times New Roman"/>
          <w:i/>
          <w:lang w:val="fr-CA"/>
        </w:rPr>
        <w:t>’</w:t>
      </w:r>
      <w:r w:rsidRPr="002C53FC">
        <w:rPr>
          <w:rFonts w:cs="Times New Roman"/>
          <w:i/>
          <w:lang w:val="fr-CA"/>
        </w:rPr>
        <w:t>assistance publique du Canada (C.</w:t>
      </w:r>
      <w:r>
        <w:rPr>
          <w:rFonts w:cs="Times New Roman"/>
          <w:i/>
          <w:lang w:val="fr-CA"/>
        </w:rPr>
        <w:noBreakHyphen/>
      </w:r>
      <w:r w:rsidRPr="002C53FC">
        <w:rPr>
          <w:rFonts w:cs="Times New Roman"/>
          <w:i/>
          <w:lang w:val="fr-CA"/>
        </w:rPr>
        <w:t>B.)</w:t>
      </w:r>
      <w:r w:rsidRPr="002C53FC">
        <w:rPr>
          <w:rFonts w:cs="Times New Roman"/>
          <w:lang w:val="fr-CA"/>
        </w:rPr>
        <w:t xml:space="preserve">, </w:t>
      </w:r>
      <w:r>
        <w:rPr>
          <w:rFonts w:cs="Times New Roman"/>
          <w:lang w:val="fr-CA"/>
        </w:rPr>
        <w:t>p. </w:t>
      </w:r>
      <w:r w:rsidRPr="002C53FC">
        <w:rPr>
          <w:rFonts w:cs="Times New Roman"/>
          <w:lang w:val="fr-CA"/>
        </w:rPr>
        <w:t>546</w:t>
      </w:r>
      <w:r>
        <w:rPr>
          <w:rFonts w:cs="Times New Roman"/>
          <w:lang w:val="fr-CA"/>
        </w:rPr>
        <w:noBreakHyphen/>
      </w:r>
      <w:r w:rsidRPr="002C53FC">
        <w:rPr>
          <w:rFonts w:cs="Times New Roman"/>
          <w:lang w:val="fr-CA"/>
        </w:rPr>
        <w:t>547.</w:t>
      </w:r>
    </w:p>
    <w:p w14:paraId="6228CB2F" w14:textId="6D98A618" w:rsidR="002C65EF" w:rsidRPr="002C53FC" w:rsidRDefault="002C65EF" w:rsidP="002C65EF">
      <w:pPr>
        <w:pStyle w:val="ParaNoNdepar-AltN"/>
        <w:spacing w:before="0"/>
        <w:rPr>
          <w:rFonts w:cs="Times New Roman"/>
          <w:lang w:val="fr-CA"/>
        </w:rPr>
      </w:pPr>
      <w:r w:rsidRPr="002C53FC">
        <w:rPr>
          <w:rFonts w:cs="Times New Roman"/>
          <w:lang w:val="fr-CA"/>
        </w:rPr>
        <w:t>Comme l</w:t>
      </w:r>
      <w:r>
        <w:rPr>
          <w:rFonts w:cs="Times New Roman"/>
          <w:lang w:val="fr-CA"/>
        </w:rPr>
        <w:t>’</w:t>
      </w:r>
      <w:r w:rsidRPr="002C53FC">
        <w:rPr>
          <w:rFonts w:cs="Times New Roman"/>
          <w:lang w:val="fr-CA"/>
        </w:rPr>
        <w:t>ont reconnu les tribunaux de la Colombie</w:t>
      </w:r>
      <w:r>
        <w:rPr>
          <w:rFonts w:cs="Times New Roman"/>
          <w:lang w:val="fr-CA"/>
        </w:rPr>
        <w:noBreakHyphen/>
      </w:r>
      <w:r w:rsidRPr="002C53FC">
        <w:rPr>
          <w:rFonts w:cs="Times New Roman"/>
          <w:lang w:val="fr-CA"/>
        </w:rPr>
        <w:t>Britannique dans la présente cause, la rémunération des juges est un domaine de politique publique important et sensible, qui touche non seulement à l</w:t>
      </w:r>
      <w:r>
        <w:rPr>
          <w:rFonts w:cs="Times New Roman"/>
          <w:lang w:val="fr-CA"/>
        </w:rPr>
        <w:t>’</w:t>
      </w:r>
      <w:r w:rsidRPr="002C53FC">
        <w:rPr>
          <w:rFonts w:cs="Times New Roman"/>
          <w:lang w:val="fr-CA"/>
        </w:rPr>
        <w:t>utilisation des deniers publics, mais également à l</w:t>
      </w:r>
      <w:r>
        <w:rPr>
          <w:rFonts w:cs="Times New Roman"/>
          <w:lang w:val="fr-CA"/>
        </w:rPr>
        <w:t>’</w:t>
      </w:r>
      <w:r w:rsidRPr="002C53FC">
        <w:rPr>
          <w:rFonts w:cs="Times New Roman"/>
          <w:lang w:val="fr-CA"/>
        </w:rPr>
        <w:t>administration de la justice et, ultimement, à l</w:t>
      </w:r>
      <w:r>
        <w:rPr>
          <w:rFonts w:cs="Times New Roman"/>
          <w:lang w:val="fr-CA"/>
        </w:rPr>
        <w:t>’</w:t>
      </w:r>
      <w:r w:rsidRPr="002C53FC">
        <w:rPr>
          <w:rFonts w:cs="Times New Roman"/>
          <w:lang w:val="fr-CA"/>
        </w:rPr>
        <w:t>indépendance judiciaire. Les tribunaux de la Colombie</w:t>
      </w:r>
      <w:r>
        <w:rPr>
          <w:rFonts w:cs="Times New Roman"/>
          <w:lang w:val="fr-CA"/>
        </w:rPr>
        <w:noBreakHyphen/>
      </w:r>
      <w:r w:rsidRPr="002C53FC">
        <w:rPr>
          <w:rFonts w:cs="Times New Roman"/>
          <w:lang w:val="fr-CA"/>
        </w:rPr>
        <w:t>Britannique n</w:t>
      </w:r>
      <w:r>
        <w:rPr>
          <w:rFonts w:cs="Times New Roman"/>
          <w:lang w:val="fr-CA"/>
        </w:rPr>
        <w:t>’</w:t>
      </w:r>
      <w:r w:rsidRPr="002C53FC">
        <w:rPr>
          <w:rFonts w:cs="Times New Roman"/>
          <w:lang w:val="fr-CA"/>
        </w:rPr>
        <w:t>ont pas conclu qu</w:t>
      </w:r>
      <w:r>
        <w:rPr>
          <w:rFonts w:cs="Times New Roman"/>
          <w:lang w:val="fr-CA"/>
        </w:rPr>
        <w:t>’</w:t>
      </w:r>
      <w:r w:rsidRPr="002C53FC">
        <w:rPr>
          <w:rFonts w:cs="Times New Roman"/>
          <w:lang w:val="fr-CA"/>
        </w:rPr>
        <w:t>il s</w:t>
      </w:r>
      <w:r>
        <w:rPr>
          <w:rFonts w:cs="Times New Roman"/>
          <w:lang w:val="fr-CA"/>
        </w:rPr>
        <w:t>’</w:t>
      </w:r>
      <w:r w:rsidRPr="002C53FC">
        <w:rPr>
          <w:rFonts w:cs="Times New Roman"/>
          <w:lang w:val="fr-CA"/>
        </w:rPr>
        <w:t>agit d</w:t>
      </w:r>
      <w:r>
        <w:rPr>
          <w:rFonts w:cs="Times New Roman"/>
          <w:lang w:val="fr-CA"/>
        </w:rPr>
        <w:t>’</w:t>
      </w:r>
      <w:r w:rsidRPr="002C53FC">
        <w:rPr>
          <w:rFonts w:cs="Times New Roman"/>
          <w:lang w:val="fr-CA"/>
        </w:rPr>
        <w:t>un facteur qui pèse en faveur de la préservation de la confidentialité</w:t>
      </w:r>
      <w:r>
        <w:rPr>
          <w:rFonts w:cs="Times New Roman"/>
          <w:lang w:val="fr-CA"/>
        </w:rPr>
        <w:t> :</w:t>
      </w:r>
      <w:r w:rsidRPr="002C53FC">
        <w:rPr>
          <w:rFonts w:cs="Times New Roman"/>
          <w:lang w:val="fr-CA"/>
        </w:rPr>
        <w:t xml:space="preserve"> motifs de la C.S.</w:t>
      </w:r>
      <w:r w:rsidR="00437E60">
        <w:rPr>
          <w:rFonts w:cs="Times New Roman"/>
          <w:lang w:val="fr-CA"/>
        </w:rPr>
        <w:t xml:space="preserve"> </w:t>
      </w:r>
      <w:r w:rsidRPr="002C53FC">
        <w:rPr>
          <w:rFonts w:cs="Times New Roman"/>
          <w:lang w:val="fr-CA"/>
        </w:rPr>
        <w:t>C.</w:t>
      </w:r>
      <w:r>
        <w:rPr>
          <w:rFonts w:cs="Times New Roman"/>
          <w:lang w:val="fr-CA"/>
        </w:rPr>
        <w:noBreakHyphen/>
      </w:r>
      <w:r w:rsidRPr="002C53FC">
        <w:rPr>
          <w:rFonts w:cs="Times New Roman"/>
          <w:lang w:val="fr-CA"/>
        </w:rPr>
        <w:t xml:space="preserve">B., </w:t>
      </w:r>
      <w:r>
        <w:rPr>
          <w:rFonts w:cs="Times New Roman"/>
          <w:lang w:val="fr-CA"/>
        </w:rPr>
        <w:t>par. </w:t>
      </w:r>
      <w:r w:rsidRPr="002C53FC">
        <w:rPr>
          <w:rFonts w:cs="Times New Roman"/>
          <w:lang w:val="fr-CA"/>
        </w:rPr>
        <w:t xml:space="preserve">42; motifs de la C.A., </w:t>
      </w:r>
      <w:r>
        <w:rPr>
          <w:rFonts w:cs="Times New Roman"/>
          <w:lang w:val="fr-CA"/>
        </w:rPr>
        <w:t>par. </w:t>
      </w:r>
      <w:r w:rsidRPr="002C53FC">
        <w:rPr>
          <w:rFonts w:cs="Times New Roman"/>
          <w:lang w:val="fr-CA"/>
        </w:rPr>
        <w:t>22; pour des affirmations au même effet par les tribunaux de Nouvelle</w:t>
      </w:r>
      <w:r>
        <w:rPr>
          <w:rFonts w:cs="Times New Roman"/>
          <w:lang w:val="fr-CA"/>
        </w:rPr>
        <w:noBreakHyphen/>
      </w:r>
      <w:r w:rsidRPr="002C53FC">
        <w:rPr>
          <w:rFonts w:cs="Times New Roman"/>
          <w:lang w:val="fr-CA"/>
        </w:rPr>
        <w:t xml:space="preserve">Écosse dans les procédures qui ont donné lieu au pourvoi connexe, voir aussi </w:t>
      </w:r>
      <w:r w:rsidRPr="002C53FC">
        <w:rPr>
          <w:rFonts w:cs="Times New Roman"/>
          <w:i/>
          <w:lang w:val="fr-CA"/>
        </w:rPr>
        <w:t>Nova Scotia Provincial Judges</w:t>
      </w:r>
      <w:r>
        <w:rPr>
          <w:rFonts w:cs="Times New Roman"/>
          <w:i/>
          <w:lang w:val="fr-CA"/>
        </w:rPr>
        <w:t>’</w:t>
      </w:r>
      <w:r w:rsidRPr="002C53FC">
        <w:rPr>
          <w:rFonts w:cs="Times New Roman"/>
          <w:i/>
          <w:lang w:val="fr-CA"/>
        </w:rPr>
        <w:t xml:space="preserve"> Association c. Nova Scotia (Attorney General)</w:t>
      </w:r>
      <w:r w:rsidRPr="002C53FC">
        <w:rPr>
          <w:rFonts w:cs="Times New Roman"/>
          <w:lang w:val="fr-CA"/>
        </w:rPr>
        <w:t xml:space="preserve">, 2018 NSSC 13, 409 C.R.R. (2d) 117, </w:t>
      </w:r>
      <w:r>
        <w:rPr>
          <w:rFonts w:cs="Times New Roman"/>
          <w:lang w:val="fr-CA"/>
        </w:rPr>
        <w:t>par. </w:t>
      </w:r>
      <w:r w:rsidRPr="002C53FC">
        <w:rPr>
          <w:rFonts w:cs="Times New Roman"/>
          <w:lang w:val="fr-CA"/>
        </w:rPr>
        <w:t xml:space="preserve">144; </w:t>
      </w:r>
      <w:r w:rsidRPr="002C53FC">
        <w:rPr>
          <w:rFonts w:cs="Times New Roman"/>
          <w:i/>
          <w:lang w:val="fr-CA"/>
        </w:rPr>
        <w:t>Nova Scotia (Attorney General) c. Judges of the Provincial Court and Family Court of Nova Scotia</w:t>
      </w:r>
      <w:r w:rsidRPr="002C53FC">
        <w:rPr>
          <w:rFonts w:cs="Times New Roman"/>
          <w:lang w:val="fr-CA"/>
        </w:rPr>
        <w:t xml:space="preserve">, 2018 NSCA 83, 429 D.L.R. (4th) 359, </w:t>
      </w:r>
      <w:r>
        <w:rPr>
          <w:rFonts w:cs="Times New Roman"/>
          <w:lang w:val="fr-CA"/>
        </w:rPr>
        <w:t>par. </w:t>
      </w:r>
      <w:r w:rsidRPr="002C53FC">
        <w:rPr>
          <w:rFonts w:cs="Times New Roman"/>
          <w:lang w:val="fr-CA"/>
        </w:rPr>
        <w:t>44</w:t>
      </w:r>
      <w:r>
        <w:rPr>
          <w:rFonts w:cs="Times New Roman"/>
          <w:lang w:val="fr-CA"/>
        </w:rPr>
        <w:noBreakHyphen/>
      </w:r>
      <w:r w:rsidRPr="002C53FC">
        <w:rPr>
          <w:rFonts w:cs="Times New Roman"/>
          <w:lang w:val="fr-CA"/>
        </w:rPr>
        <w:t>46. Je ne peux souscrire à une telle approche. Comme la Cour l</w:t>
      </w:r>
      <w:r>
        <w:rPr>
          <w:rFonts w:cs="Times New Roman"/>
          <w:lang w:val="fr-CA"/>
        </w:rPr>
        <w:t>’</w:t>
      </w:r>
      <w:r w:rsidRPr="002C53FC">
        <w:rPr>
          <w:rFonts w:cs="Times New Roman"/>
          <w:lang w:val="fr-CA"/>
        </w:rPr>
        <w:t>a expliqué dans l</w:t>
      </w:r>
      <w:r>
        <w:rPr>
          <w:rFonts w:cs="Times New Roman"/>
          <w:lang w:val="fr-CA"/>
        </w:rPr>
        <w:t>’</w:t>
      </w:r>
      <w:r w:rsidRPr="002C53FC">
        <w:rPr>
          <w:rFonts w:cs="Times New Roman"/>
          <w:lang w:val="fr-CA"/>
        </w:rPr>
        <w:t xml:space="preserve">arrêt </w:t>
      </w:r>
      <w:r w:rsidRPr="002C53FC">
        <w:rPr>
          <w:rFonts w:cs="Times New Roman"/>
          <w:i/>
          <w:lang w:val="fr-CA"/>
        </w:rPr>
        <w:t>Carey</w:t>
      </w:r>
      <w:r w:rsidR="00437E60">
        <w:rPr>
          <w:rFonts w:cs="Times New Roman"/>
          <w:lang w:val="fr-CA"/>
        </w:rPr>
        <w:t>, p. 671</w:t>
      </w:r>
      <w:r w:rsidR="00437E60">
        <w:rPr>
          <w:rFonts w:cs="Times New Roman"/>
          <w:lang w:val="fr-CA"/>
        </w:rPr>
        <w:noBreakHyphen/>
      </w:r>
      <w:r w:rsidRPr="002C53FC">
        <w:rPr>
          <w:rFonts w:cs="Times New Roman"/>
          <w:lang w:val="fr-CA"/>
        </w:rPr>
        <w:t>672, la nature de la politique sur laquelle porte le document peut militer en faveur de la préservation de la confidentialité à des degrés divers selon sa sensibilité et son importance. La décision d</w:t>
      </w:r>
      <w:r>
        <w:rPr>
          <w:rFonts w:cs="Times New Roman"/>
          <w:lang w:val="fr-CA"/>
        </w:rPr>
        <w:t>’</w:t>
      </w:r>
      <w:r w:rsidRPr="002C53FC">
        <w:rPr>
          <w:rFonts w:cs="Times New Roman"/>
          <w:lang w:val="fr-CA"/>
        </w:rPr>
        <w:t>un gouvernement à propos de la réponse à donner aux recommandations d</w:t>
      </w:r>
      <w:r>
        <w:rPr>
          <w:rFonts w:cs="Times New Roman"/>
          <w:lang w:val="fr-CA"/>
        </w:rPr>
        <w:t>’</w:t>
      </w:r>
      <w:r w:rsidRPr="002C53FC">
        <w:rPr>
          <w:rFonts w:cs="Times New Roman"/>
          <w:lang w:val="fr-CA"/>
        </w:rPr>
        <w:t>une commission d</w:t>
      </w:r>
      <w:r>
        <w:rPr>
          <w:rFonts w:cs="Times New Roman"/>
          <w:lang w:val="fr-CA"/>
        </w:rPr>
        <w:t>’</w:t>
      </w:r>
      <w:r w:rsidRPr="002C53FC">
        <w:rPr>
          <w:rFonts w:cs="Times New Roman"/>
          <w:lang w:val="fr-CA"/>
        </w:rPr>
        <w:t>examen de la rémunération des juges ne concerne pas simplement une question de mise en œuvre, mais consiste en la « création d</w:t>
      </w:r>
      <w:r>
        <w:rPr>
          <w:rFonts w:cs="Times New Roman"/>
          <w:lang w:val="fr-CA"/>
        </w:rPr>
        <w:t>’</w:t>
      </w:r>
      <w:r w:rsidRPr="002C53FC">
        <w:rPr>
          <w:rFonts w:cs="Times New Roman"/>
          <w:lang w:val="fr-CA"/>
        </w:rPr>
        <w:t>une politique au sens large »</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672; voir aussi</w:t>
      </w:r>
      <w:r w:rsidRPr="002C53FC">
        <w:rPr>
          <w:rFonts w:cs="Times New Roman"/>
          <w:i/>
          <w:lang w:val="fr-CA"/>
        </w:rPr>
        <w:t xml:space="preserve"> Terre</w:t>
      </w:r>
      <w:r>
        <w:rPr>
          <w:rFonts w:cs="Times New Roman"/>
          <w:i/>
          <w:lang w:val="fr-CA"/>
        </w:rPr>
        <w:noBreakHyphen/>
      </w:r>
      <w:r w:rsidRPr="002C53FC">
        <w:rPr>
          <w:rFonts w:cs="Times New Roman"/>
          <w:i/>
          <w:lang w:val="fr-CA"/>
        </w:rPr>
        <w:t>Neuve (Conseil du Trésor) c. N.A.P.E.</w:t>
      </w:r>
      <w:r w:rsidRPr="002C53FC">
        <w:rPr>
          <w:rFonts w:cs="Times New Roman"/>
          <w:lang w:val="fr-CA"/>
        </w:rPr>
        <w:t xml:space="preserve">, 2004 CSC 66, [2004] 3 R.C.S. 381, </w:t>
      </w:r>
      <w:r>
        <w:rPr>
          <w:rFonts w:cs="Times New Roman"/>
          <w:lang w:val="fr-CA"/>
        </w:rPr>
        <w:t>par. </w:t>
      </w:r>
      <w:r w:rsidRPr="002C53FC">
        <w:rPr>
          <w:rFonts w:cs="Times New Roman"/>
          <w:lang w:val="fr-CA"/>
        </w:rPr>
        <w:t>58. Cela dit, comme je l</w:t>
      </w:r>
      <w:r>
        <w:rPr>
          <w:rFonts w:cs="Times New Roman"/>
          <w:lang w:val="fr-CA"/>
        </w:rPr>
        <w:t>’</w:t>
      </w:r>
      <w:r w:rsidRPr="002C53FC">
        <w:rPr>
          <w:rFonts w:cs="Times New Roman"/>
          <w:lang w:val="fr-CA"/>
        </w:rPr>
        <w:t>explique ci</w:t>
      </w:r>
      <w:r>
        <w:rPr>
          <w:rFonts w:cs="Times New Roman"/>
          <w:lang w:val="fr-CA"/>
        </w:rPr>
        <w:noBreakHyphen/>
      </w:r>
      <w:r w:rsidRPr="002C53FC">
        <w:rPr>
          <w:rFonts w:cs="Times New Roman"/>
          <w:lang w:val="fr-CA"/>
        </w:rPr>
        <w:t xml:space="preserve">après, </w:t>
      </w:r>
      <w:r w:rsidRPr="002C53FC">
        <w:rPr>
          <w:rFonts w:cs="Times New Roman"/>
          <w:lang w:val="fr-CA"/>
        </w:rPr>
        <w:lastRenderedPageBreak/>
        <w:t>lorsque la politique concerne une exigence constitutionnelle en lien avec le système judiciaire et, par conséquent, avec l</w:t>
      </w:r>
      <w:r>
        <w:rPr>
          <w:rFonts w:cs="Times New Roman"/>
          <w:lang w:val="fr-CA"/>
        </w:rPr>
        <w:t>’</w:t>
      </w:r>
      <w:r w:rsidRPr="002C53FC">
        <w:rPr>
          <w:rFonts w:cs="Times New Roman"/>
          <w:lang w:val="fr-CA"/>
        </w:rPr>
        <w:t>administration de la justice comme c</w:t>
      </w:r>
      <w:r>
        <w:rPr>
          <w:rFonts w:cs="Times New Roman"/>
          <w:lang w:val="fr-CA"/>
        </w:rPr>
        <w:t>’</w:t>
      </w:r>
      <w:r w:rsidRPr="002C53FC">
        <w:rPr>
          <w:rFonts w:cs="Times New Roman"/>
          <w:lang w:val="fr-CA"/>
        </w:rPr>
        <w:t xml:space="preserve">est le cas dans le contexte </w:t>
      </w:r>
      <w:r w:rsidRPr="002C53FC">
        <w:rPr>
          <w:rFonts w:cs="Times New Roman"/>
          <w:i/>
          <w:lang w:val="fr-CA"/>
        </w:rPr>
        <w:t>Bodner</w:t>
      </w:r>
      <w:r w:rsidRPr="002C53FC">
        <w:rPr>
          <w:rFonts w:cs="Times New Roman"/>
          <w:lang w:val="fr-CA"/>
        </w:rPr>
        <w:t xml:space="preserve">, cela peut </w:t>
      </w:r>
      <w:r w:rsidRPr="002C53FC">
        <w:rPr>
          <w:rFonts w:cs="Times New Roman"/>
          <w:i/>
          <w:lang w:val="fr-CA"/>
        </w:rPr>
        <w:t>aussi</w:t>
      </w:r>
      <w:r w:rsidRPr="002C53FC">
        <w:rPr>
          <w:rFonts w:cs="Times New Roman"/>
          <w:lang w:val="fr-CA"/>
        </w:rPr>
        <w:t xml:space="preserve"> militer en faveur de la divulgation.</w:t>
      </w:r>
    </w:p>
    <w:p w14:paraId="5207BCA4" w14:textId="0B97B912" w:rsidR="002C65EF" w:rsidRPr="002C53FC" w:rsidRDefault="00437E60" w:rsidP="002C65EF">
      <w:pPr>
        <w:pStyle w:val="ParaNoNdepar-AltN"/>
        <w:spacing w:before="0"/>
        <w:rPr>
          <w:rFonts w:cs="Times New Roman"/>
          <w:lang w:val="fr-CA"/>
        </w:rPr>
      </w:pPr>
      <w:r>
        <w:rPr>
          <w:rFonts w:cs="Times New Roman"/>
          <w:lang w:val="fr-CA"/>
        </w:rPr>
        <w:t xml:space="preserve">La teneur d’un document </w:t>
      </w:r>
      <w:r w:rsidR="002C65EF" w:rsidRPr="002C53FC">
        <w:rPr>
          <w:rFonts w:cs="Times New Roman"/>
          <w:lang w:val="fr-CA"/>
        </w:rPr>
        <w:t xml:space="preserve">concernant les délibérations </w:t>
      </w:r>
      <w:r>
        <w:rPr>
          <w:rFonts w:cs="Times New Roman"/>
          <w:lang w:val="fr-CA"/>
        </w:rPr>
        <w:t>du Cabinet peu</w:t>
      </w:r>
      <w:r w:rsidR="002C65EF" w:rsidRPr="002C53FC">
        <w:rPr>
          <w:rFonts w:cs="Times New Roman"/>
          <w:lang w:val="fr-CA"/>
        </w:rPr>
        <w:t>t fort bien rendre compte des opinions de certains ministres et révéler des désaccords entre eux. Les documents du Cabinet peuvent en outre révéler des considérations portées à l</w:t>
      </w:r>
      <w:r w:rsidR="002C65EF">
        <w:rPr>
          <w:rFonts w:cs="Times New Roman"/>
          <w:lang w:val="fr-CA"/>
        </w:rPr>
        <w:t>’</w:t>
      </w:r>
      <w:r w:rsidR="002C65EF" w:rsidRPr="002C53FC">
        <w:rPr>
          <w:rFonts w:cs="Times New Roman"/>
          <w:lang w:val="fr-CA"/>
        </w:rPr>
        <w:t>attention du Cabinet. En conséquence, leur contenu est souvent très sensible</w:t>
      </w:r>
      <w:r w:rsidR="002C65EF">
        <w:rPr>
          <w:rFonts w:cs="Times New Roman"/>
          <w:lang w:val="fr-CA"/>
        </w:rPr>
        <w:t> :</w:t>
      </w:r>
      <w:r w:rsidR="002C65EF" w:rsidRPr="002C53FC">
        <w:rPr>
          <w:rFonts w:cs="Times New Roman"/>
          <w:lang w:val="fr-CA"/>
        </w:rPr>
        <w:t xml:space="preserve"> voir </w:t>
      </w:r>
      <w:r w:rsidR="002C65EF" w:rsidRPr="002C53FC">
        <w:rPr>
          <w:rFonts w:cs="Times New Roman"/>
          <w:i/>
          <w:lang w:val="fr-CA"/>
        </w:rPr>
        <w:t>Babcock</w:t>
      </w:r>
      <w:r w:rsidR="002C65EF" w:rsidRPr="002C53FC">
        <w:rPr>
          <w:rFonts w:cs="Times New Roman"/>
          <w:lang w:val="fr-CA"/>
        </w:rPr>
        <w:t xml:space="preserve">, </w:t>
      </w:r>
      <w:r w:rsidR="002C65EF">
        <w:rPr>
          <w:rFonts w:cs="Times New Roman"/>
          <w:lang w:val="fr-CA"/>
        </w:rPr>
        <w:t>par. </w:t>
      </w:r>
      <w:r w:rsidR="002C65EF" w:rsidRPr="002C53FC">
        <w:rPr>
          <w:rFonts w:cs="Times New Roman"/>
          <w:lang w:val="fr-CA"/>
        </w:rPr>
        <w:t>18.</w:t>
      </w:r>
    </w:p>
    <w:p w14:paraId="0DDCAF01" w14:textId="77777777" w:rsidR="002C65EF" w:rsidRPr="002C53FC" w:rsidRDefault="002C65EF" w:rsidP="002C65EF">
      <w:pPr>
        <w:pStyle w:val="ParaNoNdepar-AltN"/>
        <w:spacing w:before="0"/>
        <w:rPr>
          <w:rFonts w:cs="Times New Roman"/>
          <w:lang w:val="fr-CA"/>
        </w:rPr>
      </w:pPr>
      <w:r w:rsidRPr="002C53FC">
        <w:rPr>
          <w:rFonts w:cs="Times New Roman"/>
          <w:lang w:val="fr-CA"/>
        </w:rPr>
        <w:t>Selon la teneur du document, le moment où ce dernier serait divulgué peut également jouer en faveur du maintien de sa confidentialité. Ainsi, un document qui révèle uniquement que le Cabinet a pris la décision de rejeter une des recommandations formulées par une commission d</w:t>
      </w:r>
      <w:r>
        <w:rPr>
          <w:rFonts w:cs="Times New Roman"/>
          <w:lang w:val="fr-CA"/>
        </w:rPr>
        <w:t>’</w:t>
      </w:r>
      <w:r w:rsidRPr="002C53FC">
        <w:rPr>
          <w:rFonts w:cs="Times New Roman"/>
          <w:lang w:val="fr-CA"/>
        </w:rPr>
        <w:t>examen de la rémunération des juges ne revêt guère un caractère confidentiel une fois cette décision annoncée publiquement. En revanche, les ministres peuvent à bon droit s</w:t>
      </w:r>
      <w:r>
        <w:rPr>
          <w:rFonts w:cs="Times New Roman"/>
          <w:lang w:val="fr-CA"/>
        </w:rPr>
        <w:t>’</w:t>
      </w:r>
      <w:r w:rsidRPr="002C53FC">
        <w:rPr>
          <w:rFonts w:cs="Times New Roman"/>
          <w:lang w:val="fr-CA"/>
        </w:rPr>
        <w:t>attendre à ce qu</w:t>
      </w:r>
      <w:r>
        <w:rPr>
          <w:rFonts w:cs="Times New Roman"/>
          <w:lang w:val="fr-CA"/>
        </w:rPr>
        <w:t>’</w:t>
      </w:r>
      <w:r w:rsidRPr="002C53FC">
        <w:rPr>
          <w:rFonts w:cs="Times New Roman"/>
          <w:lang w:val="fr-CA"/>
        </w:rPr>
        <w:t>un document qui fait état de plusieurs réponses différentes possibles aux recommandations de la commission et de leur évaluation, pour n</w:t>
      </w:r>
      <w:r>
        <w:rPr>
          <w:rFonts w:cs="Times New Roman"/>
          <w:lang w:val="fr-CA"/>
        </w:rPr>
        <w:t>’</w:t>
      </w:r>
      <w:r w:rsidRPr="002C53FC">
        <w:rPr>
          <w:rFonts w:cs="Times New Roman"/>
          <w:lang w:val="fr-CA"/>
        </w:rPr>
        <w:t>en retenir qu</w:t>
      </w:r>
      <w:r>
        <w:rPr>
          <w:rFonts w:cs="Times New Roman"/>
          <w:lang w:val="fr-CA"/>
        </w:rPr>
        <w:t>’</w:t>
      </w:r>
      <w:r w:rsidRPr="002C53FC">
        <w:rPr>
          <w:rFonts w:cs="Times New Roman"/>
          <w:lang w:val="fr-CA"/>
        </w:rPr>
        <w:t>une seule, demeure confidentiel pendant une période prolongée, même après l</w:t>
      </w:r>
      <w:r>
        <w:rPr>
          <w:rFonts w:cs="Times New Roman"/>
          <w:lang w:val="fr-CA"/>
        </w:rPr>
        <w:t>’</w:t>
      </w:r>
      <w:r w:rsidRPr="002C53FC">
        <w:rPr>
          <w:rFonts w:cs="Times New Roman"/>
          <w:lang w:val="fr-CA"/>
        </w:rPr>
        <w:t>annonce publique de la décision.</w:t>
      </w:r>
    </w:p>
    <w:p w14:paraId="66328184" w14:textId="0A37D274" w:rsidR="002C65EF" w:rsidRPr="002C53FC" w:rsidRDefault="002C65EF" w:rsidP="002C65EF">
      <w:pPr>
        <w:pStyle w:val="ParaNoNdepar-AltN"/>
        <w:spacing w:before="0"/>
        <w:rPr>
          <w:rFonts w:cs="Times New Roman"/>
          <w:lang w:val="fr-CA"/>
        </w:rPr>
      </w:pPr>
      <w:r w:rsidRPr="002C53FC">
        <w:rPr>
          <w:rFonts w:cs="Times New Roman"/>
          <w:lang w:val="fr-CA"/>
        </w:rPr>
        <w:t>En l</w:t>
      </w:r>
      <w:r>
        <w:rPr>
          <w:rFonts w:cs="Times New Roman"/>
          <w:lang w:val="fr-CA"/>
        </w:rPr>
        <w:t>’</w:t>
      </w:r>
      <w:r w:rsidRPr="002C53FC">
        <w:rPr>
          <w:rFonts w:cs="Times New Roman"/>
          <w:lang w:val="fr-CA"/>
        </w:rPr>
        <w:t>espèce, les tribunaux de la Colombie</w:t>
      </w:r>
      <w:r>
        <w:rPr>
          <w:rFonts w:cs="Times New Roman"/>
          <w:lang w:val="fr-CA"/>
        </w:rPr>
        <w:noBreakHyphen/>
      </w:r>
      <w:r w:rsidRPr="002C53FC">
        <w:rPr>
          <w:rFonts w:cs="Times New Roman"/>
          <w:lang w:val="fr-CA"/>
        </w:rPr>
        <w:t>Britannique semblent avoir considéré que le défaut du gouvernement d</w:t>
      </w:r>
      <w:r>
        <w:rPr>
          <w:rFonts w:cs="Times New Roman"/>
          <w:lang w:val="fr-CA"/>
        </w:rPr>
        <w:t>’</w:t>
      </w:r>
      <w:r w:rsidRPr="002C53FC">
        <w:rPr>
          <w:rFonts w:cs="Times New Roman"/>
          <w:lang w:val="fr-CA"/>
        </w:rPr>
        <w:t xml:space="preserve">avoir invoqué un préjudice particulier susceptible de résulter de la divulgation du mémoire au Cabinet est décisif quant à la </w:t>
      </w:r>
      <w:r w:rsidRPr="002C53FC">
        <w:rPr>
          <w:rFonts w:cs="Times New Roman"/>
          <w:lang w:val="fr-CA"/>
        </w:rPr>
        <w:lastRenderedPageBreak/>
        <w:t>nécessité de le divulguer</w:t>
      </w:r>
      <w:r>
        <w:rPr>
          <w:rFonts w:cs="Times New Roman"/>
          <w:lang w:val="fr-CA"/>
        </w:rPr>
        <w:t> :</w:t>
      </w:r>
      <w:r w:rsidRPr="002C53FC">
        <w:rPr>
          <w:rFonts w:cs="Times New Roman"/>
          <w:lang w:val="fr-CA"/>
        </w:rPr>
        <w:t xml:space="preserve"> voir les motifs de la protonotaire, </w:t>
      </w:r>
      <w:r>
        <w:rPr>
          <w:rFonts w:cs="Times New Roman"/>
          <w:lang w:val="fr-CA"/>
        </w:rPr>
        <w:t>par. </w:t>
      </w:r>
      <w:r w:rsidRPr="002C53FC">
        <w:rPr>
          <w:rFonts w:cs="Times New Roman"/>
          <w:lang w:val="fr-CA"/>
        </w:rPr>
        <w:t>23; les motifs de la C.S.</w:t>
      </w:r>
      <w:r w:rsidR="000A18A1">
        <w:rPr>
          <w:rFonts w:cs="Times New Roman"/>
          <w:lang w:val="fr-CA"/>
        </w:rPr>
        <w:t xml:space="preserve"> </w:t>
      </w:r>
      <w:r w:rsidRPr="002C53FC">
        <w:rPr>
          <w:rFonts w:cs="Times New Roman"/>
          <w:lang w:val="fr-CA"/>
        </w:rPr>
        <w:t>C.</w:t>
      </w:r>
      <w:r>
        <w:rPr>
          <w:rFonts w:cs="Times New Roman"/>
          <w:lang w:val="fr-CA"/>
        </w:rPr>
        <w:noBreakHyphen/>
      </w:r>
      <w:r w:rsidRPr="002C53FC">
        <w:rPr>
          <w:rFonts w:cs="Times New Roman"/>
          <w:lang w:val="fr-CA"/>
        </w:rPr>
        <w:t xml:space="preserve">B., </w:t>
      </w:r>
      <w:r>
        <w:rPr>
          <w:rFonts w:cs="Times New Roman"/>
          <w:lang w:val="fr-CA"/>
        </w:rPr>
        <w:t>par. </w:t>
      </w:r>
      <w:r w:rsidRPr="002C53FC">
        <w:rPr>
          <w:rFonts w:cs="Times New Roman"/>
          <w:lang w:val="fr-CA"/>
        </w:rPr>
        <w:t xml:space="preserve">46; les motifs de la C.A., </w:t>
      </w:r>
      <w:r>
        <w:rPr>
          <w:rFonts w:cs="Times New Roman"/>
          <w:lang w:val="fr-CA"/>
        </w:rPr>
        <w:t>par. </w:t>
      </w:r>
      <w:r w:rsidRPr="002C53FC">
        <w:rPr>
          <w:rFonts w:cs="Times New Roman"/>
          <w:lang w:val="fr-CA"/>
        </w:rPr>
        <w:t>22.</w:t>
      </w:r>
    </w:p>
    <w:p w14:paraId="3A9FA216" w14:textId="77777777" w:rsidR="002C65EF" w:rsidRPr="002C53FC" w:rsidRDefault="002C65EF" w:rsidP="002C65EF">
      <w:pPr>
        <w:pStyle w:val="ParaNoNdepar-AltN"/>
        <w:spacing w:before="0"/>
        <w:rPr>
          <w:rFonts w:cs="Times New Roman"/>
          <w:lang w:val="fr-CA"/>
        </w:rPr>
      </w:pPr>
      <w:r w:rsidRPr="002C53FC">
        <w:rPr>
          <w:rFonts w:cs="Times New Roman"/>
          <w:lang w:val="fr-CA"/>
        </w:rPr>
        <w:t>Vu l</w:t>
      </w:r>
      <w:r>
        <w:rPr>
          <w:rFonts w:cs="Times New Roman"/>
          <w:lang w:val="fr-CA"/>
        </w:rPr>
        <w:t>’</w:t>
      </w:r>
      <w:r w:rsidRPr="002C53FC">
        <w:rPr>
          <w:rFonts w:cs="Times New Roman"/>
          <w:lang w:val="fr-CA"/>
        </w:rPr>
        <w:t>intérêt important du public à ce que la confidentialité des délibérations du Cabinet soit maintenue, la divulgation d</w:t>
      </w:r>
      <w:r>
        <w:rPr>
          <w:rFonts w:cs="Times New Roman"/>
          <w:lang w:val="fr-CA"/>
        </w:rPr>
        <w:t>’</w:t>
      </w:r>
      <w:r w:rsidRPr="002C53FC">
        <w:rPr>
          <w:rFonts w:cs="Times New Roman"/>
          <w:lang w:val="fr-CA"/>
        </w:rPr>
        <w:t>un document du Cabinet mine cette confidentialité, et elle est, au moins dans une certaine mesure, préjudiciable. Comme la Cour l</w:t>
      </w:r>
      <w:r>
        <w:rPr>
          <w:rFonts w:cs="Times New Roman"/>
          <w:lang w:val="fr-CA"/>
        </w:rPr>
        <w:t>’</w:t>
      </w:r>
      <w:r w:rsidRPr="002C53FC">
        <w:rPr>
          <w:rFonts w:cs="Times New Roman"/>
          <w:lang w:val="fr-CA"/>
        </w:rPr>
        <w:t>a reconnu dans l</w:t>
      </w:r>
      <w:r>
        <w:rPr>
          <w:rFonts w:cs="Times New Roman"/>
          <w:lang w:val="fr-CA"/>
        </w:rPr>
        <w:t>’</w:t>
      </w:r>
      <w:r w:rsidRPr="002C53FC">
        <w:rPr>
          <w:rFonts w:cs="Times New Roman"/>
          <w:lang w:val="fr-CA"/>
        </w:rPr>
        <w:t xml:space="preserve">arrêt </w:t>
      </w:r>
      <w:r w:rsidRPr="002C53FC">
        <w:rPr>
          <w:rFonts w:cs="Times New Roman"/>
          <w:i/>
          <w:lang w:val="fr-CA"/>
        </w:rPr>
        <w:t>Carey</w:t>
      </w:r>
      <w:r w:rsidRPr="002C53FC">
        <w:rPr>
          <w:rFonts w:cs="Times New Roman"/>
          <w:lang w:val="fr-CA"/>
        </w:rPr>
        <w:t>, certains documents du Cabinet peuvent, en raison de leur teneur, soulever des préoccupations supplémentaires, par exemple lorsqu</w:t>
      </w:r>
      <w:r>
        <w:rPr>
          <w:rFonts w:cs="Times New Roman"/>
          <w:lang w:val="fr-CA"/>
        </w:rPr>
        <w:t>’</w:t>
      </w:r>
      <w:r w:rsidRPr="002C53FC">
        <w:rPr>
          <w:rFonts w:cs="Times New Roman"/>
          <w:lang w:val="fr-CA"/>
        </w:rPr>
        <w:t>ils se rapportent à la défense ou à la sécurité nationale, ou lorsqu</w:t>
      </w:r>
      <w:r>
        <w:rPr>
          <w:rFonts w:cs="Times New Roman"/>
          <w:lang w:val="fr-CA"/>
        </w:rPr>
        <w:t>’</w:t>
      </w:r>
      <w:r w:rsidRPr="002C53FC">
        <w:rPr>
          <w:rFonts w:cs="Times New Roman"/>
          <w:lang w:val="fr-CA"/>
        </w:rPr>
        <w:t>ils font référence à certains points précis de désaccord entre certains ministres. Souvent, il est utile pour le tribunal que le gouvernement justifie de la façon la plus détaillée possible sa prétention relative au risque que survienne un tel préjudice</w:t>
      </w:r>
      <w:r>
        <w:rPr>
          <w:rFonts w:cs="Times New Roman"/>
          <w:lang w:val="fr-CA"/>
        </w:rPr>
        <w:t> :</w:t>
      </w:r>
      <w:r w:rsidRPr="002C53FC">
        <w:rPr>
          <w:rFonts w:cs="Times New Roman"/>
          <w:lang w:val="fr-CA"/>
        </w:rPr>
        <w:t xml:space="preserve"> </w:t>
      </w:r>
      <w:r>
        <w:rPr>
          <w:rFonts w:cs="Times New Roman"/>
          <w:lang w:val="fr-CA"/>
        </w:rPr>
        <w:t>p. </w:t>
      </w:r>
      <w:r w:rsidRPr="002C53FC">
        <w:rPr>
          <w:rFonts w:cs="Times New Roman"/>
          <w:lang w:val="fr-CA"/>
        </w:rPr>
        <w:t>653</w:t>
      </w:r>
      <w:r>
        <w:rPr>
          <w:rFonts w:cs="Times New Roman"/>
          <w:lang w:val="fr-CA"/>
        </w:rPr>
        <w:noBreakHyphen/>
      </w:r>
      <w:r w:rsidRPr="002C53FC">
        <w:rPr>
          <w:rFonts w:cs="Times New Roman"/>
          <w:lang w:val="fr-CA"/>
        </w:rPr>
        <w:t>654 et 671. Cependant, le défaut du gouvernement de faire état d</w:t>
      </w:r>
      <w:r>
        <w:rPr>
          <w:rFonts w:cs="Times New Roman"/>
          <w:lang w:val="fr-CA"/>
        </w:rPr>
        <w:t>’</w:t>
      </w:r>
      <w:r w:rsidRPr="002C53FC">
        <w:rPr>
          <w:rFonts w:cs="Times New Roman"/>
          <w:lang w:val="fr-CA"/>
        </w:rPr>
        <w:t>un préjudice particulier susceptible de résulter de la divulgation d</w:t>
      </w:r>
      <w:r>
        <w:rPr>
          <w:rFonts w:cs="Times New Roman"/>
          <w:lang w:val="fr-CA"/>
        </w:rPr>
        <w:t>’</w:t>
      </w:r>
      <w:r w:rsidRPr="002C53FC">
        <w:rPr>
          <w:rFonts w:cs="Times New Roman"/>
          <w:lang w:val="fr-CA"/>
        </w:rPr>
        <w:t xml:space="preserve">un document confidentiel du Cabinet ne signifie pas </w:t>
      </w:r>
      <w:r w:rsidRPr="002C53FC">
        <w:rPr>
          <w:rFonts w:cs="Times New Roman"/>
          <w:i/>
          <w:lang w:val="fr-CA"/>
        </w:rPr>
        <w:t xml:space="preserve">automatiquement </w:t>
      </w:r>
      <w:r w:rsidRPr="002C53FC">
        <w:rPr>
          <w:rFonts w:cs="Times New Roman"/>
          <w:lang w:val="fr-CA"/>
        </w:rPr>
        <w:t>que le document doit être divulgué. Le tribunal doit toujours chercher à savoir avant tout si l</w:t>
      </w:r>
      <w:r>
        <w:rPr>
          <w:rFonts w:cs="Times New Roman"/>
          <w:lang w:val="fr-CA"/>
        </w:rPr>
        <w:t>’</w:t>
      </w:r>
      <w:r w:rsidRPr="002C53FC">
        <w:rPr>
          <w:rFonts w:cs="Times New Roman"/>
          <w:lang w:val="fr-CA"/>
        </w:rPr>
        <w:t>intérêt du public à ce que le document soit divulgué l</w:t>
      </w:r>
      <w:r>
        <w:rPr>
          <w:rFonts w:cs="Times New Roman"/>
          <w:lang w:val="fr-CA"/>
        </w:rPr>
        <w:t>’</w:t>
      </w:r>
      <w:r w:rsidRPr="002C53FC">
        <w:rPr>
          <w:rFonts w:cs="Times New Roman"/>
          <w:lang w:val="fr-CA"/>
        </w:rPr>
        <w:t>emporte sur celui à ce qu</w:t>
      </w:r>
      <w:r>
        <w:rPr>
          <w:rFonts w:cs="Times New Roman"/>
          <w:lang w:val="fr-CA"/>
        </w:rPr>
        <w:t>’</w:t>
      </w:r>
      <w:r w:rsidRPr="002C53FC">
        <w:rPr>
          <w:rFonts w:cs="Times New Roman"/>
          <w:lang w:val="fr-CA"/>
        </w:rPr>
        <w:t>il demeure confidentiel.</w:t>
      </w:r>
    </w:p>
    <w:p w14:paraId="1919E682" w14:textId="77777777" w:rsidR="002C65EF" w:rsidRPr="002C53FC" w:rsidRDefault="002C65EF" w:rsidP="002C65EF">
      <w:pPr>
        <w:pStyle w:val="ParaNoNdepar-AltN"/>
        <w:spacing w:before="0"/>
        <w:rPr>
          <w:rFonts w:cs="Times New Roman"/>
          <w:lang w:val="fr-CA"/>
        </w:rPr>
      </w:pPr>
      <w:r w:rsidRPr="002C53FC">
        <w:rPr>
          <w:rFonts w:cs="Times New Roman"/>
          <w:lang w:val="fr-CA"/>
        </w:rPr>
        <w:t>Par ailleurs, du fait de cet intérêt important du public à garder confidentiels les documents relatifs aux délibérations du Cabinet, une autre forme d</w:t>
      </w:r>
      <w:r>
        <w:rPr>
          <w:rFonts w:cs="Times New Roman"/>
          <w:lang w:val="fr-CA"/>
        </w:rPr>
        <w:t>’</w:t>
      </w:r>
      <w:r w:rsidRPr="002C53FC">
        <w:rPr>
          <w:rFonts w:cs="Times New Roman"/>
          <w:lang w:val="fr-CA"/>
        </w:rPr>
        <w:t>intérêt du public tout aussi important sera nécessaire pour faire contrepoids et justifier leur divulgation. L</w:t>
      </w:r>
      <w:r>
        <w:rPr>
          <w:rFonts w:cs="Times New Roman"/>
          <w:lang w:val="fr-CA"/>
        </w:rPr>
        <w:t>’</w:t>
      </w:r>
      <w:r w:rsidRPr="002C53FC">
        <w:rPr>
          <w:rFonts w:cs="Times New Roman"/>
          <w:lang w:val="fr-CA"/>
        </w:rPr>
        <w:t>importance de l</w:t>
      </w:r>
      <w:r>
        <w:rPr>
          <w:rFonts w:cs="Times New Roman"/>
          <w:lang w:val="fr-CA"/>
        </w:rPr>
        <w:t>’</w:t>
      </w:r>
      <w:r w:rsidRPr="002C53FC">
        <w:rPr>
          <w:rFonts w:cs="Times New Roman"/>
          <w:lang w:val="fr-CA"/>
        </w:rPr>
        <w:t xml:space="preserve">intérêt du public à ce que le document soit divulgué tiendra souvent </w:t>
      </w:r>
      <w:r w:rsidRPr="002C53FC">
        <w:rPr>
          <w:rFonts w:cs="Times New Roman"/>
          <w:lang w:val="fr-CA"/>
        </w:rPr>
        <w:lastRenderedPageBreak/>
        <w:t>à l</w:t>
      </w:r>
      <w:r>
        <w:rPr>
          <w:rFonts w:cs="Times New Roman"/>
          <w:lang w:val="fr-CA"/>
        </w:rPr>
        <w:t>’</w:t>
      </w:r>
      <w:r w:rsidRPr="002C53FC">
        <w:rPr>
          <w:rFonts w:cs="Times New Roman"/>
          <w:lang w:val="fr-CA"/>
        </w:rPr>
        <w:t>intérêt de l</w:t>
      </w:r>
      <w:r>
        <w:rPr>
          <w:rFonts w:cs="Times New Roman"/>
          <w:lang w:val="fr-CA"/>
        </w:rPr>
        <w:t>’</w:t>
      </w:r>
      <w:r w:rsidRPr="002C53FC">
        <w:rPr>
          <w:rFonts w:cs="Times New Roman"/>
          <w:lang w:val="fr-CA"/>
        </w:rPr>
        <w:t>administration de la justice, un facteur par ailleurs relevé dans l</w:t>
      </w:r>
      <w:r>
        <w:rPr>
          <w:rFonts w:cs="Times New Roman"/>
          <w:lang w:val="fr-CA"/>
        </w:rPr>
        <w:t>’</w:t>
      </w:r>
      <w:r w:rsidRPr="002C53FC">
        <w:rPr>
          <w:rFonts w:cs="Times New Roman"/>
          <w:lang w:val="fr-CA"/>
        </w:rPr>
        <w:t xml:space="preserve">arrêt </w:t>
      </w:r>
      <w:r w:rsidRPr="002C53FC">
        <w:rPr>
          <w:rFonts w:cs="Times New Roman"/>
          <w:i/>
          <w:lang w:val="fr-CA"/>
        </w:rPr>
        <w:t>Carey</w:t>
      </w:r>
      <w:r w:rsidRPr="002C53FC">
        <w:rPr>
          <w:rFonts w:cs="Times New Roman"/>
          <w:lang w:val="fr-CA"/>
        </w:rPr>
        <w:t>.</w:t>
      </w:r>
    </w:p>
    <w:p w14:paraId="11ACCBC4" w14:textId="0B6B6B57" w:rsidR="002C65EF" w:rsidRPr="002C53FC" w:rsidRDefault="002C65EF" w:rsidP="002C65EF">
      <w:pPr>
        <w:pStyle w:val="ParaNoNdepar-AltN"/>
        <w:spacing w:before="0"/>
        <w:rPr>
          <w:rFonts w:cs="Times New Roman"/>
          <w:lang w:val="fr-CA"/>
        </w:rPr>
      </w:pPr>
      <w:r w:rsidRPr="002C53FC">
        <w:rPr>
          <w:rFonts w:cs="Times New Roman"/>
          <w:lang w:val="fr-CA"/>
        </w:rPr>
        <w:t>À n</w:t>
      </w:r>
      <w:r>
        <w:rPr>
          <w:rFonts w:cs="Times New Roman"/>
          <w:lang w:val="fr-CA"/>
        </w:rPr>
        <w:t>’</w:t>
      </w:r>
      <w:r w:rsidRPr="002C53FC">
        <w:rPr>
          <w:rFonts w:cs="Times New Roman"/>
          <w:lang w:val="fr-CA"/>
        </w:rPr>
        <w:t>en pas douter, la notion d</w:t>
      </w:r>
      <w:r>
        <w:rPr>
          <w:rFonts w:cs="Times New Roman"/>
          <w:lang w:val="fr-CA"/>
        </w:rPr>
        <w:t>’</w:t>
      </w:r>
      <w:r w:rsidRPr="002C53FC">
        <w:rPr>
          <w:rFonts w:cs="Times New Roman"/>
          <w:lang w:val="fr-CA"/>
        </w:rPr>
        <w:t>« intérêt de l</w:t>
      </w:r>
      <w:r>
        <w:rPr>
          <w:rFonts w:cs="Times New Roman"/>
          <w:lang w:val="fr-CA"/>
        </w:rPr>
        <w:t>’</w:t>
      </w:r>
      <w:r w:rsidRPr="002C53FC">
        <w:rPr>
          <w:rFonts w:cs="Times New Roman"/>
          <w:lang w:val="fr-CA"/>
        </w:rPr>
        <w:t>administration de la justice » embrasse un vaste éventail de considérations</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647</w:t>
      </w:r>
      <w:r>
        <w:rPr>
          <w:rFonts w:cs="Times New Roman"/>
          <w:lang w:val="fr-CA"/>
        </w:rPr>
        <w:noBreakHyphen/>
      </w:r>
      <w:r w:rsidRPr="002C53FC">
        <w:rPr>
          <w:rFonts w:cs="Times New Roman"/>
          <w:lang w:val="fr-CA"/>
        </w:rPr>
        <w:t>648 et 671. Deux d</w:t>
      </w:r>
      <w:r>
        <w:rPr>
          <w:rFonts w:cs="Times New Roman"/>
          <w:lang w:val="fr-CA"/>
        </w:rPr>
        <w:t>’</w:t>
      </w:r>
      <w:r w:rsidRPr="002C53FC">
        <w:rPr>
          <w:rFonts w:cs="Times New Roman"/>
          <w:lang w:val="fr-CA"/>
        </w:rPr>
        <w:t>entre elles, cependant, se démarquent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à savoir</w:t>
      </w:r>
      <w:r>
        <w:rPr>
          <w:rFonts w:cs="Times New Roman"/>
          <w:lang w:val="fr-CA"/>
        </w:rPr>
        <w:t> :</w:t>
      </w:r>
      <w:r w:rsidRPr="002C53FC">
        <w:rPr>
          <w:rFonts w:cs="Times New Roman"/>
          <w:lang w:val="fr-CA"/>
        </w:rPr>
        <w:t xml:space="preserve"> « </w:t>
      </w:r>
      <w:r w:rsidR="00C11947">
        <w:rPr>
          <w:rFonts w:cs="Times New Roman"/>
          <w:lang w:val="fr-CA"/>
        </w:rPr>
        <w:t>. . . </w:t>
      </w:r>
      <w:r w:rsidRPr="002C53FC">
        <w:rPr>
          <w:rFonts w:cs="Times New Roman"/>
          <w:lang w:val="fr-CA"/>
        </w:rPr>
        <w:t>l</w:t>
      </w:r>
      <w:r>
        <w:rPr>
          <w:rFonts w:cs="Times New Roman"/>
          <w:lang w:val="fr-CA"/>
        </w:rPr>
        <w:t>’</w:t>
      </w:r>
      <w:r w:rsidRPr="002C53FC">
        <w:rPr>
          <w:rFonts w:cs="Times New Roman"/>
          <w:lang w:val="fr-CA"/>
        </w:rPr>
        <w:t>importance de la cause et la nécessité ou l</w:t>
      </w:r>
      <w:r>
        <w:rPr>
          <w:rFonts w:cs="Times New Roman"/>
          <w:lang w:val="fr-CA"/>
        </w:rPr>
        <w:t>’</w:t>
      </w:r>
      <w:r w:rsidRPr="002C53FC">
        <w:rPr>
          <w:rFonts w:cs="Times New Roman"/>
          <w:lang w:val="fr-CA"/>
        </w:rPr>
        <w:t>opportunité de produire les documents afin qu</w:t>
      </w:r>
      <w:r>
        <w:rPr>
          <w:rFonts w:cs="Times New Roman"/>
          <w:lang w:val="fr-CA"/>
        </w:rPr>
        <w:t>’</w:t>
      </w:r>
      <w:r w:rsidRPr="002C53FC">
        <w:rPr>
          <w:rFonts w:cs="Times New Roman"/>
          <w:lang w:val="fr-CA"/>
        </w:rPr>
        <w:t>elle puisse être plaidée d</w:t>
      </w:r>
      <w:r>
        <w:rPr>
          <w:rFonts w:cs="Times New Roman"/>
          <w:lang w:val="fr-CA"/>
        </w:rPr>
        <w:t>’</w:t>
      </w:r>
      <w:r w:rsidRPr="002C53FC">
        <w:rPr>
          <w:rFonts w:cs="Times New Roman"/>
          <w:lang w:val="fr-CA"/>
        </w:rPr>
        <w:t>une manière adéquate et équitable »</w:t>
      </w:r>
      <w:r w:rsidR="00C11947">
        <w:rPr>
          <w:rFonts w:cs="Times New Roman"/>
          <w:lang w:val="fr-CA"/>
        </w:rPr>
        <w:t>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671</w:t>
      </w:r>
      <w:r w:rsidR="00C11947">
        <w:rPr>
          <w:rFonts w:cs="Times New Roman"/>
          <w:lang w:val="fr-CA"/>
        </w:rPr>
        <w:t>)</w:t>
      </w:r>
      <w:r w:rsidRPr="002C53FC">
        <w:rPr>
          <w:rFonts w:cs="Times New Roman"/>
          <w:lang w:val="fr-CA"/>
        </w:rPr>
        <w:t>.</w:t>
      </w:r>
    </w:p>
    <w:p w14:paraId="2D11DD12" w14:textId="77777777" w:rsidR="002C65EF" w:rsidRPr="002C53FC" w:rsidRDefault="002C65EF" w:rsidP="002C65EF">
      <w:pPr>
        <w:pStyle w:val="ParaNoNdepar-AltN"/>
        <w:spacing w:before="0"/>
        <w:rPr>
          <w:rFonts w:cs="Times New Roman"/>
          <w:lang w:val="fr-CA"/>
        </w:rPr>
      </w:pPr>
      <w:r w:rsidRPr="002C53FC">
        <w:rPr>
          <w:rFonts w:cs="Times New Roman"/>
          <w:lang w:val="fr-CA"/>
        </w:rPr>
        <w:t>Dans le pourvoi connexe, la Cour d</w:t>
      </w:r>
      <w:r>
        <w:rPr>
          <w:rFonts w:cs="Times New Roman"/>
          <w:lang w:val="fr-CA"/>
        </w:rPr>
        <w:t>’</w:t>
      </w:r>
      <w:r w:rsidRPr="002C53FC">
        <w:rPr>
          <w:rFonts w:cs="Times New Roman"/>
          <w:lang w:val="fr-CA"/>
        </w:rPr>
        <w:t>appel de la Nouvelle</w:t>
      </w:r>
      <w:r>
        <w:rPr>
          <w:rFonts w:cs="Times New Roman"/>
          <w:lang w:val="fr-CA"/>
        </w:rPr>
        <w:noBreakHyphen/>
      </w:r>
      <w:r w:rsidRPr="002C53FC">
        <w:rPr>
          <w:rFonts w:cs="Times New Roman"/>
          <w:lang w:val="fr-CA"/>
        </w:rPr>
        <w:t>Écosse a conclu que la divulgation du rapport en cause est dans l</w:t>
      </w:r>
      <w:r>
        <w:rPr>
          <w:rFonts w:cs="Times New Roman"/>
          <w:lang w:val="fr-CA"/>
        </w:rPr>
        <w:t>’</w:t>
      </w:r>
      <w:r w:rsidRPr="002C53FC">
        <w:rPr>
          <w:rFonts w:cs="Times New Roman"/>
          <w:lang w:val="fr-CA"/>
        </w:rPr>
        <w:t>intérêt du public dans la mesure où le gouvernement savait que sa réponse aux recommandations de la commission ferait l</w:t>
      </w:r>
      <w:r>
        <w:rPr>
          <w:rFonts w:cs="Times New Roman"/>
          <w:lang w:val="fr-CA"/>
        </w:rPr>
        <w:t>’</w:t>
      </w:r>
      <w:r w:rsidRPr="002C53FC">
        <w:rPr>
          <w:rFonts w:cs="Times New Roman"/>
          <w:lang w:val="fr-CA"/>
        </w:rPr>
        <w:t>objet d</w:t>
      </w:r>
      <w:r>
        <w:rPr>
          <w:rFonts w:cs="Times New Roman"/>
          <w:lang w:val="fr-CA"/>
        </w:rPr>
        <w:t>’</w:t>
      </w:r>
      <w:r w:rsidRPr="002C53FC">
        <w:rPr>
          <w:rFonts w:cs="Times New Roman"/>
          <w:lang w:val="fr-CA"/>
        </w:rPr>
        <w:t>un contrôle judiciaire, et où ce contrôle porterait principalement sur des questions essentielles à l</w:t>
      </w:r>
      <w:r>
        <w:rPr>
          <w:rFonts w:cs="Times New Roman"/>
          <w:lang w:val="fr-CA"/>
        </w:rPr>
        <w:t>’</w:t>
      </w:r>
      <w:r w:rsidRPr="002C53FC">
        <w:rPr>
          <w:rFonts w:cs="Times New Roman"/>
          <w:lang w:val="fr-CA"/>
        </w:rPr>
        <w:t>administration de la justice et aux rapports existant entre deux des branches du gouvernement</w:t>
      </w:r>
      <w:r>
        <w:rPr>
          <w:rFonts w:cs="Times New Roman"/>
          <w:lang w:val="fr-CA"/>
        </w:rPr>
        <w:t> :</w:t>
      </w:r>
      <w:r w:rsidRPr="002C53FC">
        <w:rPr>
          <w:rFonts w:cs="Times New Roman"/>
          <w:lang w:val="fr-CA"/>
        </w:rPr>
        <w:t xml:space="preserve"> </w:t>
      </w:r>
      <w:r>
        <w:rPr>
          <w:rFonts w:cs="Times New Roman"/>
          <w:lang w:val="fr-CA"/>
        </w:rPr>
        <w:t>par. </w:t>
      </w:r>
      <w:r w:rsidRPr="002C53FC">
        <w:rPr>
          <w:rFonts w:cs="Times New Roman"/>
          <w:lang w:val="fr-CA"/>
        </w:rPr>
        <w:t>44</w:t>
      </w:r>
      <w:r>
        <w:rPr>
          <w:rFonts w:cs="Times New Roman"/>
          <w:lang w:val="fr-CA"/>
        </w:rPr>
        <w:noBreakHyphen/>
      </w:r>
      <w:r w:rsidRPr="002C53FC">
        <w:rPr>
          <w:rFonts w:cs="Times New Roman"/>
          <w:lang w:val="fr-CA"/>
        </w:rPr>
        <w:t>46.</w:t>
      </w:r>
    </w:p>
    <w:p w14:paraId="215ABE3A" w14:textId="77777777" w:rsidR="002C65EF" w:rsidRPr="002C53FC" w:rsidRDefault="002C65EF" w:rsidP="002C65EF">
      <w:pPr>
        <w:pStyle w:val="ParaNoNdepar-AltN"/>
        <w:spacing w:before="0"/>
        <w:rPr>
          <w:rFonts w:cs="Times New Roman"/>
          <w:lang w:val="fr-CA"/>
        </w:rPr>
      </w:pPr>
      <w:r w:rsidRPr="002C53FC">
        <w:rPr>
          <w:rFonts w:cs="Times New Roman"/>
          <w:lang w:val="fr-CA"/>
        </w:rPr>
        <w:t>Ces considérations peuvent cependant jouer dans les deux sens. En effet, même s</w:t>
      </w:r>
      <w:r>
        <w:rPr>
          <w:rFonts w:cs="Times New Roman"/>
          <w:lang w:val="fr-CA"/>
        </w:rPr>
        <w:t>’</w:t>
      </w:r>
      <w:r w:rsidRPr="002C53FC">
        <w:rPr>
          <w:rFonts w:cs="Times New Roman"/>
          <w:lang w:val="fr-CA"/>
        </w:rPr>
        <w:t xml:space="preserve">il ne fait aucun doute que les contrôles de type </w:t>
      </w:r>
      <w:r w:rsidRPr="002C53FC">
        <w:rPr>
          <w:rFonts w:cs="Times New Roman"/>
          <w:i/>
          <w:lang w:val="fr-CA"/>
        </w:rPr>
        <w:t>Bodner</w:t>
      </w:r>
      <w:r w:rsidRPr="002C53FC">
        <w:rPr>
          <w:rFonts w:cs="Times New Roman"/>
          <w:lang w:val="fr-CA"/>
        </w:rPr>
        <w:t xml:space="preserve"> sont d</w:t>
      </w:r>
      <w:r>
        <w:rPr>
          <w:rFonts w:cs="Times New Roman"/>
          <w:lang w:val="fr-CA"/>
        </w:rPr>
        <w:t>’</w:t>
      </w:r>
      <w:r w:rsidRPr="002C53FC">
        <w:rPr>
          <w:rFonts w:cs="Times New Roman"/>
          <w:lang w:val="fr-CA"/>
        </w:rPr>
        <w:t>une grande importance, le fait qu</w:t>
      </w:r>
      <w:r>
        <w:rPr>
          <w:rFonts w:cs="Times New Roman"/>
          <w:lang w:val="fr-CA"/>
        </w:rPr>
        <w:t>’</w:t>
      </w:r>
      <w:r w:rsidRPr="002C53FC">
        <w:rPr>
          <w:rFonts w:cs="Times New Roman"/>
          <w:lang w:val="fr-CA"/>
        </w:rPr>
        <w:t>une des parties réclame la production d</w:t>
      </w:r>
      <w:r>
        <w:rPr>
          <w:rFonts w:cs="Times New Roman"/>
          <w:lang w:val="fr-CA"/>
        </w:rPr>
        <w:t>’</w:t>
      </w:r>
      <w:r w:rsidRPr="002C53FC">
        <w:rPr>
          <w:rFonts w:cs="Times New Roman"/>
          <w:lang w:val="fr-CA"/>
        </w:rPr>
        <w:t>un document confidentiel du Cabinet pertinent dans le cadre d</w:t>
      </w:r>
      <w:r>
        <w:rPr>
          <w:rFonts w:cs="Times New Roman"/>
          <w:lang w:val="fr-CA"/>
        </w:rPr>
        <w:t>’</w:t>
      </w:r>
      <w:r w:rsidRPr="002C53FC">
        <w:rPr>
          <w:rFonts w:cs="Times New Roman"/>
          <w:lang w:val="fr-CA"/>
        </w:rPr>
        <w:t>un tel contrôle ne saurait, en soi, servir de fondement général à la divulgation. Une telle approche se traduirait concrètement, à chaque contrôle de ce type, par une mise en échec de l</w:t>
      </w:r>
      <w:r>
        <w:rPr>
          <w:rFonts w:cs="Times New Roman"/>
          <w:lang w:val="fr-CA"/>
        </w:rPr>
        <w:t>’</w:t>
      </w:r>
      <w:r w:rsidRPr="002C53FC">
        <w:rPr>
          <w:rFonts w:cs="Times New Roman"/>
          <w:lang w:val="fr-CA"/>
        </w:rPr>
        <w:t xml:space="preserve">intérêt du public à ce que les délibérations du Cabinet demeurent confidentielles. Elle reviendrait aussi à confondre </w:t>
      </w:r>
      <w:r w:rsidRPr="002C53FC">
        <w:rPr>
          <w:rFonts w:cs="Times New Roman"/>
          <w:lang w:val="fr-CA"/>
        </w:rPr>
        <w:lastRenderedPageBreak/>
        <w:t>l</w:t>
      </w:r>
      <w:r>
        <w:rPr>
          <w:rFonts w:cs="Times New Roman"/>
          <w:lang w:val="fr-CA"/>
        </w:rPr>
        <w:t>’</w:t>
      </w:r>
      <w:r w:rsidRPr="002C53FC">
        <w:rPr>
          <w:rFonts w:cs="Times New Roman"/>
          <w:lang w:val="fr-CA"/>
        </w:rPr>
        <w:t xml:space="preserve">importance des </w:t>
      </w:r>
      <w:r w:rsidRPr="002C53FC">
        <w:rPr>
          <w:rFonts w:cs="Times New Roman"/>
          <w:i/>
          <w:lang w:val="fr-CA"/>
        </w:rPr>
        <w:t>questions</w:t>
      </w:r>
      <w:r w:rsidRPr="002C53FC">
        <w:rPr>
          <w:rFonts w:cs="Times New Roman"/>
          <w:lang w:val="fr-CA"/>
        </w:rPr>
        <w:t xml:space="preserve"> à examiner dans un tel contrôle avec l</w:t>
      </w:r>
      <w:r>
        <w:rPr>
          <w:rFonts w:cs="Times New Roman"/>
          <w:lang w:val="fr-CA"/>
        </w:rPr>
        <w:t>’</w:t>
      </w:r>
      <w:r w:rsidRPr="002C53FC">
        <w:rPr>
          <w:rFonts w:cs="Times New Roman"/>
          <w:lang w:val="fr-CA"/>
        </w:rPr>
        <w:t xml:space="preserve">importance de la </w:t>
      </w:r>
      <w:r w:rsidRPr="002C53FC">
        <w:rPr>
          <w:rFonts w:cs="Times New Roman"/>
          <w:i/>
          <w:lang w:val="fr-CA"/>
        </w:rPr>
        <w:t>preuve</w:t>
      </w:r>
      <w:r w:rsidRPr="002C53FC">
        <w:rPr>
          <w:rFonts w:cs="Times New Roman"/>
          <w:lang w:val="fr-CA"/>
        </w:rPr>
        <w:t xml:space="preserve"> apportée par le document du Cabinet pour y répondre.</w:t>
      </w:r>
    </w:p>
    <w:p w14:paraId="314083DF" w14:textId="77777777" w:rsidR="002C65EF" w:rsidRPr="002C53FC" w:rsidRDefault="002C65EF" w:rsidP="002C65EF">
      <w:pPr>
        <w:pStyle w:val="ParaNoNdepar-AltN"/>
        <w:spacing w:before="0"/>
        <w:rPr>
          <w:rFonts w:cs="Times New Roman"/>
          <w:lang w:val="fr-CA"/>
        </w:rPr>
      </w:pPr>
      <w:r w:rsidRPr="002C53FC">
        <w:rPr>
          <w:rFonts w:cs="Times New Roman"/>
          <w:lang w:val="fr-CA"/>
        </w:rPr>
        <w:t>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l</w:t>
      </w:r>
      <w:r>
        <w:rPr>
          <w:rFonts w:cs="Times New Roman"/>
          <w:lang w:val="fr-CA"/>
        </w:rPr>
        <w:t>’</w:t>
      </w:r>
      <w:r w:rsidRPr="002C53FC">
        <w:rPr>
          <w:rFonts w:cs="Times New Roman"/>
          <w:lang w:val="fr-CA"/>
        </w:rPr>
        <w:t>analyse par le tribunal de révision des facteurs pouvant avoir une incidence sur l</w:t>
      </w:r>
      <w:r>
        <w:rPr>
          <w:rFonts w:cs="Times New Roman"/>
          <w:lang w:val="fr-CA"/>
        </w:rPr>
        <w:t>’</w:t>
      </w:r>
      <w:r w:rsidRPr="002C53FC">
        <w:rPr>
          <w:rFonts w:cs="Times New Roman"/>
          <w:lang w:val="fr-CA"/>
        </w:rPr>
        <w:t>intérêt du public à ce que le document soit divulgué doit nécessairement être inspirée par sa conclusion au sujet de la nature et de la valeur probante du document visé. De fait, un document peut fournir certains éléments de preuve que le gouvernement n</w:t>
      </w:r>
      <w:r>
        <w:rPr>
          <w:rFonts w:cs="Times New Roman"/>
          <w:lang w:val="fr-CA"/>
        </w:rPr>
        <w:t>’</w:t>
      </w:r>
      <w:r w:rsidRPr="002C53FC">
        <w:rPr>
          <w:rFonts w:cs="Times New Roman"/>
          <w:lang w:val="fr-CA"/>
        </w:rPr>
        <w:t>a pas satisfait à une des étapes de l</w:t>
      </w:r>
      <w:r>
        <w:rPr>
          <w:rFonts w:cs="Times New Roman"/>
          <w:lang w:val="fr-CA"/>
        </w:rPr>
        <w:t>’</w:t>
      </w:r>
      <w:r w:rsidRPr="002C53FC">
        <w:rPr>
          <w:rFonts w:cs="Times New Roman"/>
          <w:lang w:val="fr-CA"/>
        </w:rPr>
        <w:t>analyse établie par l</w:t>
      </w:r>
      <w:r>
        <w:rPr>
          <w:rFonts w:cs="Times New Roman"/>
          <w:lang w:val="fr-CA"/>
        </w:rPr>
        <w:t>’</w:t>
      </w:r>
      <w:r w:rsidRPr="002C53FC">
        <w:rPr>
          <w:rFonts w:cs="Times New Roman"/>
          <w:lang w:val="fr-CA"/>
        </w:rPr>
        <w:t xml:space="preserve">arrêt </w:t>
      </w:r>
      <w:r w:rsidRPr="002C53FC">
        <w:rPr>
          <w:rFonts w:cs="Times New Roman"/>
          <w:i/>
          <w:lang w:val="fr-CA"/>
        </w:rPr>
        <w:t>Bodner</w:t>
      </w:r>
      <w:r w:rsidRPr="002C53FC">
        <w:rPr>
          <w:rFonts w:cs="Times New Roman"/>
          <w:lang w:val="fr-CA"/>
        </w:rPr>
        <w:t>. Toutefois, l</w:t>
      </w:r>
      <w:r>
        <w:rPr>
          <w:rFonts w:cs="Times New Roman"/>
          <w:lang w:val="fr-CA"/>
        </w:rPr>
        <w:t>’</w:t>
      </w:r>
      <w:r w:rsidRPr="002C53FC">
        <w:rPr>
          <w:rFonts w:cs="Times New Roman"/>
          <w:lang w:val="fr-CA"/>
        </w:rPr>
        <w:t>importance de tels éléments de preuve peut varier considérablement. Au moment d</w:t>
      </w:r>
      <w:r>
        <w:rPr>
          <w:rFonts w:cs="Times New Roman"/>
          <w:lang w:val="fr-CA"/>
        </w:rPr>
        <w:t>’</w:t>
      </w:r>
      <w:r w:rsidRPr="002C53FC">
        <w:rPr>
          <w:rFonts w:cs="Times New Roman"/>
          <w:lang w:val="fr-CA"/>
        </w:rPr>
        <w:t>examiner la question de l</w:t>
      </w:r>
      <w:r>
        <w:rPr>
          <w:rFonts w:cs="Times New Roman"/>
          <w:lang w:val="fr-CA"/>
        </w:rPr>
        <w:t>’</w:t>
      </w:r>
      <w:r w:rsidRPr="002C53FC">
        <w:rPr>
          <w:rFonts w:cs="Times New Roman"/>
          <w:lang w:val="fr-CA"/>
        </w:rPr>
        <w:t>intérêt de l</w:t>
      </w:r>
      <w:r>
        <w:rPr>
          <w:rFonts w:cs="Times New Roman"/>
          <w:lang w:val="fr-CA"/>
        </w:rPr>
        <w:t>’</w:t>
      </w:r>
      <w:r w:rsidRPr="002C53FC">
        <w:rPr>
          <w:rFonts w:cs="Times New Roman"/>
          <w:lang w:val="fr-CA"/>
        </w:rPr>
        <w:t>administration de la justice, le tribunal doit donc se concentrer sur la mesure dans laquelle le document a un rapport avec les questions en litige.</w:t>
      </w:r>
    </w:p>
    <w:p w14:paraId="130FE2D2" w14:textId="4736AD61" w:rsidR="002C65EF" w:rsidRPr="002C53FC" w:rsidRDefault="002C65EF" w:rsidP="002C65EF">
      <w:pPr>
        <w:pStyle w:val="ParaNoNdepar-AltN"/>
        <w:spacing w:before="0"/>
        <w:rPr>
          <w:rFonts w:cs="Times New Roman"/>
          <w:lang w:val="fr-CA"/>
        </w:rPr>
      </w:pPr>
      <w:r w:rsidRPr="002C53FC">
        <w:rPr>
          <w:rFonts w:cs="Times New Roman"/>
          <w:lang w:val="fr-CA"/>
        </w:rPr>
        <w:t>Il se peut aussi qu</w:t>
      </w:r>
      <w:r>
        <w:rPr>
          <w:rFonts w:cs="Times New Roman"/>
          <w:lang w:val="fr-CA"/>
        </w:rPr>
        <w:t>’</w:t>
      </w:r>
      <w:r w:rsidRPr="002C53FC">
        <w:rPr>
          <w:rFonts w:cs="Times New Roman"/>
          <w:lang w:val="fr-CA"/>
        </w:rPr>
        <w:t>un document renferme des renseignements dont le tribunal ne pourrait autrement prendre connaissance, de telle sorte que son exclusion de la preuve nuirait à la capacité du tribunal de trancher au fond les questions en litige</w:t>
      </w:r>
      <w:r>
        <w:rPr>
          <w:rFonts w:cs="Times New Roman"/>
          <w:lang w:val="fr-CA"/>
        </w:rPr>
        <w:t> :</w:t>
      </w:r>
      <w:r w:rsidRPr="002C53FC">
        <w:rPr>
          <w:rFonts w:cs="Times New Roman"/>
          <w:lang w:val="fr-CA"/>
        </w:rPr>
        <w:t xml:space="preserve"> voir </w:t>
      </w:r>
      <w:r w:rsidRPr="002C53FC">
        <w:rPr>
          <w:rFonts w:cs="Times New Roman"/>
          <w:i/>
          <w:lang w:val="fr-CA"/>
        </w:rPr>
        <w:t>Carey</w:t>
      </w:r>
      <w:r w:rsidRPr="002C53FC">
        <w:rPr>
          <w:rFonts w:cs="Times New Roman"/>
          <w:lang w:val="fr-CA"/>
        </w:rPr>
        <w:t xml:space="preserve">, </w:t>
      </w:r>
      <w:r>
        <w:rPr>
          <w:rFonts w:cs="Times New Roman"/>
          <w:lang w:val="fr-CA"/>
        </w:rPr>
        <w:t>p. </w:t>
      </w:r>
      <w:r w:rsidRPr="002C53FC">
        <w:rPr>
          <w:rFonts w:cs="Times New Roman"/>
          <w:lang w:val="fr-CA"/>
        </w:rPr>
        <w:t xml:space="preserve">654 et 673; </w:t>
      </w:r>
      <w:r w:rsidRPr="002C53FC">
        <w:rPr>
          <w:rFonts w:cs="Times New Roman"/>
          <w:i/>
          <w:lang w:val="fr-CA"/>
        </w:rPr>
        <w:t>Commonwealth c. Northern Land Council</w:t>
      </w:r>
      <w:r w:rsidR="00990677">
        <w:rPr>
          <w:rFonts w:cs="Times New Roman"/>
          <w:lang w:val="fr-CA"/>
        </w:rPr>
        <w:t xml:space="preserve"> (1993)</w:t>
      </w:r>
      <w:r w:rsidRPr="002C53FC">
        <w:rPr>
          <w:rFonts w:cs="Times New Roman"/>
          <w:lang w:val="fr-CA"/>
        </w:rPr>
        <w:t>, 176 C.L.R. 604</w:t>
      </w:r>
      <w:r w:rsidR="00C11947">
        <w:rPr>
          <w:rFonts w:cs="Times New Roman"/>
          <w:lang w:val="fr-CA"/>
        </w:rPr>
        <w:t xml:space="preserve"> (H.C.A.)</w:t>
      </w:r>
      <w:r w:rsidRPr="002C53FC">
        <w:rPr>
          <w:rFonts w:cs="Times New Roman"/>
          <w:lang w:val="fr-CA"/>
        </w:rPr>
        <w:t xml:space="preserve">, </w:t>
      </w:r>
      <w:r>
        <w:rPr>
          <w:rFonts w:cs="Times New Roman"/>
          <w:lang w:val="fr-CA"/>
        </w:rPr>
        <w:t>p. </w:t>
      </w:r>
      <w:r w:rsidRPr="002C53FC">
        <w:rPr>
          <w:rFonts w:cs="Times New Roman"/>
          <w:lang w:val="fr-CA"/>
        </w:rPr>
        <w:t>619. Le document qui tend à établir que le gouvernement a décidé de fournir publiquement des motifs trompeurs pour justifier sa réponse aux recommandations de la commission, qu</w:t>
      </w:r>
      <w:r>
        <w:rPr>
          <w:rFonts w:cs="Times New Roman"/>
          <w:lang w:val="fr-CA"/>
        </w:rPr>
        <w:t>’</w:t>
      </w:r>
      <w:r w:rsidRPr="002C53FC">
        <w:rPr>
          <w:rFonts w:cs="Times New Roman"/>
          <w:lang w:val="fr-CA"/>
        </w:rPr>
        <w:t>il s</w:t>
      </w:r>
      <w:r>
        <w:rPr>
          <w:rFonts w:cs="Times New Roman"/>
          <w:lang w:val="fr-CA"/>
        </w:rPr>
        <w:t>’</w:t>
      </w:r>
      <w:r w:rsidRPr="002C53FC">
        <w:rPr>
          <w:rFonts w:cs="Times New Roman"/>
          <w:lang w:val="fr-CA"/>
        </w:rPr>
        <w:t>est appuyé sur un fondement factuel comportant des lacunes fondamentales, qu</w:t>
      </w:r>
      <w:r>
        <w:rPr>
          <w:rFonts w:cs="Times New Roman"/>
          <w:lang w:val="fr-CA"/>
        </w:rPr>
        <w:t>’</w:t>
      </w:r>
      <w:r w:rsidRPr="002C53FC">
        <w:rPr>
          <w:rFonts w:cs="Times New Roman"/>
          <w:lang w:val="fr-CA"/>
        </w:rPr>
        <w:t>il a agi pour atteindre un objectif illégitime ou déguisé, ou qu</w:t>
      </w:r>
      <w:r>
        <w:rPr>
          <w:rFonts w:cs="Times New Roman"/>
          <w:lang w:val="fr-CA"/>
        </w:rPr>
        <w:t>’</w:t>
      </w:r>
      <w:r w:rsidRPr="002C53FC">
        <w:rPr>
          <w:rFonts w:cs="Times New Roman"/>
          <w:lang w:val="fr-CA"/>
        </w:rPr>
        <w:t>il s</w:t>
      </w:r>
      <w:r>
        <w:rPr>
          <w:rFonts w:cs="Times New Roman"/>
          <w:lang w:val="fr-CA"/>
        </w:rPr>
        <w:t>’</w:t>
      </w:r>
      <w:r w:rsidRPr="002C53FC">
        <w:rPr>
          <w:rFonts w:cs="Times New Roman"/>
          <w:lang w:val="fr-CA"/>
        </w:rPr>
        <w:t>est montré indifférent ou irrespectueux envers le recours au mécanisme d</w:t>
      </w:r>
      <w:r>
        <w:rPr>
          <w:rFonts w:cs="Times New Roman"/>
          <w:lang w:val="fr-CA"/>
        </w:rPr>
        <w:t>’</w:t>
      </w:r>
      <w:r w:rsidRPr="002C53FC">
        <w:rPr>
          <w:rFonts w:cs="Times New Roman"/>
          <w:lang w:val="fr-CA"/>
        </w:rPr>
        <w:t xml:space="preserve">examen par une commission aura ainsi une grande valeur probante. Un </w:t>
      </w:r>
      <w:r w:rsidRPr="002C53FC">
        <w:rPr>
          <w:rFonts w:cs="Times New Roman"/>
          <w:lang w:val="fr-CA"/>
        </w:rPr>
        <w:lastRenderedPageBreak/>
        <w:t>tel document porte si directement — et de manière si déterminante — sur les questions à trancher par le tribunal de révision dans le cadre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xml:space="preserve"> que son exclusion serait contraire à l</w:t>
      </w:r>
      <w:r>
        <w:rPr>
          <w:rFonts w:cs="Times New Roman"/>
          <w:lang w:val="fr-CA"/>
        </w:rPr>
        <w:t>’</w:t>
      </w:r>
      <w:r w:rsidRPr="002C53FC">
        <w:rPr>
          <w:rFonts w:cs="Times New Roman"/>
          <w:lang w:val="fr-CA"/>
        </w:rPr>
        <w:t>intérêt de l</w:t>
      </w:r>
      <w:r>
        <w:rPr>
          <w:rFonts w:cs="Times New Roman"/>
          <w:lang w:val="fr-CA"/>
        </w:rPr>
        <w:t>’</w:t>
      </w:r>
      <w:r w:rsidRPr="002C53FC">
        <w:rPr>
          <w:rFonts w:cs="Times New Roman"/>
          <w:lang w:val="fr-CA"/>
        </w:rPr>
        <w:t>administration de la justice</w:t>
      </w:r>
      <w:r>
        <w:rPr>
          <w:rFonts w:cs="Times New Roman"/>
          <w:lang w:val="fr-CA"/>
        </w:rPr>
        <w:t> :</w:t>
      </w:r>
      <w:r w:rsidRPr="002C53FC">
        <w:rPr>
          <w:rFonts w:cs="Times New Roman"/>
          <w:lang w:val="fr-CA"/>
        </w:rPr>
        <w:t xml:space="preserve"> voir </w:t>
      </w:r>
      <w:r w:rsidRPr="002C53FC">
        <w:rPr>
          <w:rFonts w:cs="Times New Roman"/>
          <w:i/>
          <w:lang w:val="fr-CA"/>
        </w:rPr>
        <w:t>Air Canada c. Secretary of State for Trade</w:t>
      </w:r>
      <w:r w:rsidRPr="002C53FC">
        <w:rPr>
          <w:rFonts w:cs="Times New Roman"/>
          <w:lang w:val="fr-CA"/>
        </w:rPr>
        <w:t xml:space="preserve">, [1983] 2 A.C. 394 (H.L.), </w:t>
      </w:r>
      <w:r>
        <w:rPr>
          <w:rFonts w:cs="Times New Roman"/>
          <w:lang w:val="fr-CA"/>
        </w:rPr>
        <w:t>p. </w:t>
      </w:r>
      <w:r w:rsidRPr="002C53FC">
        <w:rPr>
          <w:rFonts w:cs="Times New Roman"/>
          <w:lang w:val="fr-CA"/>
        </w:rPr>
        <w:t>435. Compte tenu des importants intérêts constitutionnels en jeu, il est pratiquement certain que l</w:t>
      </w:r>
      <w:r>
        <w:rPr>
          <w:rFonts w:cs="Times New Roman"/>
          <w:lang w:val="fr-CA"/>
        </w:rPr>
        <w:t>’</w:t>
      </w:r>
      <w:r w:rsidRPr="002C53FC">
        <w:rPr>
          <w:rFonts w:cs="Times New Roman"/>
          <w:lang w:val="fr-CA"/>
        </w:rPr>
        <w:t>intérêt du public à ce que le document soit divulgué l</w:t>
      </w:r>
      <w:r>
        <w:rPr>
          <w:rFonts w:cs="Times New Roman"/>
          <w:lang w:val="fr-CA"/>
        </w:rPr>
        <w:t>’</w:t>
      </w:r>
      <w:r w:rsidRPr="002C53FC">
        <w:rPr>
          <w:rFonts w:cs="Times New Roman"/>
          <w:lang w:val="fr-CA"/>
        </w:rPr>
        <w:t>emportera sur celui à ce qu</w:t>
      </w:r>
      <w:r>
        <w:rPr>
          <w:rFonts w:cs="Times New Roman"/>
          <w:lang w:val="fr-CA"/>
        </w:rPr>
        <w:t>’</w:t>
      </w:r>
      <w:r w:rsidRPr="002C53FC">
        <w:rPr>
          <w:rFonts w:cs="Times New Roman"/>
          <w:lang w:val="fr-CA"/>
        </w:rPr>
        <w:t>il demeure confidentiel. Qui plus est, écarter un tel document de la preuve empêcherait le tribunal de remplir sa fonction judiciaire, en plus de mettre en péril la confiance du public dans l</w:t>
      </w:r>
      <w:r>
        <w:rPr>
          <w:rFonts w:cs="Times New Roman"/>
          <w:lang w:val="fr-CA"/>
        </w:rPr>
        <w:t>’</w:t>
      </w:r>
      <w:r w:rsidRPr="002C53FC">
        <w:rPr>
          <w:rFonts w:cs="Times New Roman"/>
          <w:lang w:val="fr-CA"/>
        </w:rPr>
        <w:t>administration de la justice</w:t>
      </w:r>
      <w:r w:rsidRPr="002C53FC" w:rsidDel="005026D3">
        <w:rPr>
          <w:rFonts w:cs="Times New Roman"/>
          <w:lang w:val="fr-CA"/>
        </w:rPr>
        <w:t xml:space="preserve"> </w:t>
      </w:r>
      <w:r w:rsidRPr="002C53FC">
        <w:rPr>
          <w:rFonts w:cs="Times New Roman"/>
          <w:lang w:val="fr-CA"/>
        </w:rPr>
        <w:t>et, ultimement, de menacer la primauté du droit. Dans de tels cas, lorsque la valeur probante du document est forte, l</w:t>
      </w:r>
      <w:r>
        <w:rPr>
          <w:rFonts w:cs="Times New Roman"/>
          <w:lang w:val="fr-CA"/>
        </w:rPr>
        <w:t>’</w:t>
      </w:r>
      <w:r w:rsidRPr="002C53FC">
        <w:rPr>
          <w:rFonts w:cs="Times New Roman"/>
          <w:lang w:val="fr-CA"/>
        </w:rPr>
        <w:t>analyse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mène au même résultat que l</w:t>
      </w:r>
      <w:r>
        <w:rPr>
          <w:rFonts w:cs="Times New Roman"/>
          <w:lang w:val="fr-CA"/>
        </w:rPr>
        <w:t>’</w:t>
      </w:r>
      <w:r w:rsidRPr="002C53FC">
        <w:rPr>
          <w:rFonts w:cs="Times New Roman"/>
          <w:lang w:val="fr-CA"/>
        </w:rPr>
        <w:t>analyse de l</w:t>
      </w:r>
      <w:r>
        <w:rPr>
          <w:rFonts w:cs="Times New Roman"/>
          <w:lang w:val="fr-CA"/>
        </w:rPr>
        <w:t>’</w:t>
      </w:r>
      <w:r w:rsidRPr="002C53FC">
        <w:rPr>
          <w:rFonts w:cs="Times New Roman"/>
          <w:lang w:val="fr-CA"/>
        </w:rPr>
        <w:t>opportunité de la production énoncée précédemment.</w:t>
      </w:r>
    </w:p>
    <w:p w14:paraId="637D5FD7" w14:textId="77777777" w:rsidR="002C65EF" w:rsidRPr="002C53FC" w:rsidRDefault="002C65EF" w:rsidP="002C65EF">
      <w:pPr>
        <w:pStyle w:val="ParaNoNdepar-AltN"/>
        <w:spacing w:before="0"/>
        <w:rPr>
          <w:rFonts w:cs="Times New Roman"/>
          <w:lang w:val="fr-CA"/>
        </w:rPr>
      </w:pPr>
      <w:r w:rsidRPr="002C53FC">
        <w:rPr>
          <w:rFonts w:cs="Times New Roman"/>
          <w:lang w:val="fr-CA"/>
        </w:rPr>
        <w:t>En revanche, l</w:t>
      </w:r>
      <w:r>
        <w:rPr>
          <w:rFonts w:cs="Times New Roman"/>
          <w:lang w:val="fr-CA"/>
        </w:rPr>
        <w:t>’</w:t>
      </w:r>
      <w:r w:rsidRPr="002C53FC">
        <w:rPr>
          <w:rFonts w:cs="Times New Roman"/>
          <w:lang w:val="fr-CA"/>
        </w:rPr>
        <w:t>analyse de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peut mener à un résultat différent s</w:t>
      </w:r>
      <w:r>
        <w:rPr>
          <w:rFonts w:cs="Times New Roman"/>
          <w:lang w:val="fr-CA"/>
        </w:rPr>
        <w:t>’</w:t>
      </w:r>
      <w:r w:rsidRPr="002C53FC">
        <w:rPr>
          <w:rFonts w:cs="Times New Roman"/>
          <w:lang w:val="fr-CA"/>
        </w:rPr>
        <w:t>il est question d</w:t>
      </w:r>
      <w:r>
        <w:rPr>
          <w:rFonts w:cs="Times New Roman"/>
          <w:lang w:val="fr-CA"/>
        </w:rPr>
        <w:t>’</w:t>
      </w:r>
      <w:r w:rsidRPr="002C53FC">
        <w:rPr>
          <w:rFonts w:cs="Times New Roman"/>
          <w:lang w:val="fr-CA"/>
        </w:rPr>
        <w:t>un document du Cabinet qui étaye la prétention selon laquelle le gouvernement n</w:t>
      </w:r>
      <w:r>
        <w:rPr>
          <w:rFonts w:cs="Times New Roman"/>
          <w:lang w:val="fr-CA"/>
        </w:rPr>
        <w:t>’</w:t>
      </w:r>
      <w:r w:rsidRPr="002C53FC">
        <w:rPr>
          <w:rFonts w:cs="Times New Roman"/>
          <w:lang w:val="fr-CA"/>
        </w:rPr>
        <w:t>a pas satisfait à une des exigences constitutionnelles auxquelles il doit satisfaire, mais dont l</w:t>
      </w:r>
      <w:r>
        <w:rPr>
          <w:rFonts w:cs="Times New Roman"/>
          <w:lang w:val="fr-CA"/>
        </w:rPr>
        <w:t>’</w:t>
      </w:r>
      <w:r w:rsidRPr="002C53FC">
        <w:rPr>
          <w:rFonts w:cs="Times New Roman"/>
          <w:lang w:val="fr-CA"/>
        </w:rPr>
        <w:t xml:space="preserve">incidence sur un contrôle de type </w:t>
      </w:r>
      <w:r w:rsidRPr="002C53FC">
        <w:rPr>
          <w:rFonts w:cs="Times New Roman"/>
          <w:i/>
          <w:lang w:val="fr-CA"/>
        </w:rPr>
        <w:t>Bodner</w:t>
      </w:r>
      <w:r w:rsidRPr="002C53FC">
        <w:rPr>
          <w:rFonts w:cs="Times New Roman"/>
          <w:lang w:val="fr-CA"/>
        </w:rPr>
        <w:t xml:space="preserve"> serait limitée. Il se pourrait que la valeur probante de cette preuve soit trop faible pour justifier une divulgation, surtout s</w:t>
      </w:r>
      <w:r>
        <w:rPr>
          <w:rFonts w:cs="Times New Roman"/>
          <w:lang w:val="fr-CA"/>
        </w:rPr>
        <w:t>’</w:t>
      </w:r>
      <w:r w:rsidRPr="002C53FC">
        <w:rPr>
          <w:rFonts w:cs="Times New Roman"/>
          <w:lang w:val="fr-CA"/>
        </w:rPr>
        <w:t>il existe un intérêt important du public à ce que le document demeure confidentiel. Cela dit, le fait d</w:t>
      </w:r>
      <w:r>
        <w:rPr>
          <w:rFonts w:cs="Times New Roman"/>
          <w:lang w:val="fr-CA"/>
        </w:rPr>
        <w:t>’</w:t>
      </w:r>
      <w:r w:rsidRPr="002C53FC">
        <w:rPr>
          <w:rFonts w:cs="Times New Roman"/>
          <w:lang w:val="fr-CA"/>
        </w:rPr>
        <w:t>exclure ce genre de document du dossier peut difficilement empêcher le tribunal de révision de trancher au fond les questions en litige. L</w:t>
      </w:r>
      <w:r>
        <w:rPr>
          <w:rFonts w:cs="Times New Roman"/>
          <w:lang w:val="fr-CA"/>
        </w:rPr>
        <w:t>’</w:t>
      </w:r>
      <w:r w:rsidRPr="002C53FC">
        <w:rPr>
          <w:rFonts w:cs="Times New Roman"/>
          <w:lang w:val="fr-CA"/>
        </w:rPr>
        <w:t>intérêt du public à ce qu</w:t>
      </w:r>
      <w:r>
        <w:rPr>
          <w:rFonts w:cs="Times New Roman"/>
          <w:lang w:val="fr-CA"/>
        </w:rPr>
        <w:t>’</w:t>
      </w:r>
      <w:r w:rsidRPr="002C53FC">
        <w:rPr>
          <w:rFonts w:cs="Times New Roman"/>
          <w:lang w:val="fr-CA"/>
        </w:rPr>
        <w:t>un tel document du Cabinet soit divulgué ne l</w:t>
      </w:r>
      <w:r>
        <w:rPr>
          <w:rFonts w:cs="Times New Roman"/>
          <w:lang w:val="fr-CA"/>
        </w:rPr>
        <w:t>’</w:t>
      </w:r>
      <w:r w:rsidRPr="002C53FC">
        <w:rPr>
          <w:rFonts w:cs="Times New Roman"/>
          <w:lang w:val="fr-CA"/>
        </w:rPr>
        <w:t>emporterait donc pas sur celui à ce qu</w:t>
      </w:r>
      <w:r>
        <w:rPr>
          <w:rFonts w:cs="Times New Roman"/>
          <w:lang w:val="fr-CA"/>
        </w:rPr>
        <w:t>’</w:t>
      </w:r>
      <w:r w:rsidRPr="002C53FC">
        <w:rPr>
          <w:rFonts w:cs="Times New Roman"/>
          <w:lang w:val="fr-CA"/>
        </w:rPr>
        <w:t>il reste confidentiel.</w:t>
      </w:r>
    </w:p>
    <w:p w14:paraId="5BD294DE" w14:textId="531F3F89" w:rsidR="002C65EF" w:rsidRPr="002C53FC" w:rsidRDefault="002C65EF" w:rsidP="002C65EF">
      <w:pPr>
        <w:pStyle w:val="ParaNoNdepar-AltN"/>
        <w:spacing w:before="0"/>
        <w:rPr>
          <w:rFonts w:cs="Times New Roman"/>
          <w:lang w:val="fr-CA"/>
        </w:rPr>
      </w:pPr>
      <w:r w:rsidRPr="002C53FC">
        <w:rPr>
          <w:rFonts w:cs="Times New Roman"/>
          <w:lang w:val="fr-CA"/>
        </w:rPr>
        <w:lastRenderedPageBreak/>
        <w:t xml:space="preserve">Généralement parlant, la notion de « conduite peu scrupuleuse » dont il était question dans la décision </w:t>
      </w:r>
      <w:r w:rsidRPr="002C53FC">
        <w:rPr>
          <w:rFonts w:cs="Times New Roman"/>
          <w:i/>
          <w:lang w:val="fr-CA"/>
        </w:rPr>
        <w:t>Carey</w:t>
      </w:r>
      <w:r w:rsidR="00990677">
        <w:rPr>
          <w:rFonts w:cs="Times New Roman"/>
          <w:lang w:val="fr-CA"/>
        </w:rPr>
        <w:t xml:space="preserve">, </w:t>
      </w:r>
      <w:r>
        <w:rPr>
          <w:rFonts w:cs="Times New Roman"/>
          <w:lang w:val="fr-CA"/>
        </w:rPr>
        <w:t>p. </w:t>
      </w:r>
      <w:r w:rsidRPr="002C53FC">
        <w:rPr>
          <w:rFonts w:cs="Times New Roman"/>
          <w:lang w:val="fr-CA"/>
        </w:rPr>
        <w:t>673, n</w:t>
      </w:r>
      <w:r>
        <w:rPr>
          <w:rFonts w:cs="Times New Roman"/>
          <w:lang w:val="fr-CA"/>
        </w:rPr>
        <w:t>’</w:t>
      </w:r>
      <w:r w:rsidRPr="002C53FC">
        <w:rPr>
          <w:rFonts w:cs="Times New Roman"/>
          <w:lang w:val="fr-CA"/>
        </w:rPr>
        <w:t>est pertinente que dans un nombre limité de cas. Ce facteur se surajoute en réalité à des considérations plus générales liées à l</w:t>
      </w:r>
      <w:r>
        <w:rPr>
          <w:rFonts w:cs="Times New Roman"/>
          <w:lang w:val="fr-CA"/>
        </w:rPr>
        <w:t>’</w:t>
      </w:r>
      <w:r w:rsidRPr="002C53FC">
        <w:rPr>
          <w:rFonts w:cs="Times New Roman"/>
          <w:lang w:val="fr-CA"/>
        </w:rPr>
        <w:t>administration de la justice. Pour être pertinente, la conduite en question doit être « sévère » ou « abusive » et, sans pour autant être criminelle, elle doit avoir un degré de gravité comparable</w:t>
      </w:r>
      <w:r>
        <w:rPr>
          <w:rFonts w:cs="Times New Roman"/>
          <w:lang w:val="fr-CA"/>
        </w:rPr>
        <w:t> :</w:t>
      </w:r>
      <w:r w:rsidRPr="002C53FC">
        <w:rPr>
          <w:rFonts w:cs="Times New Roman"/>
          <w:lang w:val="fr-CA"/>
        </w:rPr>
        <w:t xml:space="preserve"> </w:t>
      </w:r>
      <w:r>
        <w:rPr>
          <w:rFonts w:cs="Times New Roman"/>
          <w:lang w:val="fr-CA"/>
        </w:rPr>
        <w:t>p. </w:t>
      </w:r>
      <w:r w:rsidRPr="002C53FC">
        <w:rPr>
          <w:rFonts w:cs="Times New Roman"/>
          <w:lang w:val="fr-CA"/>
        </w:rPr>
        <w:t>673. Dans le contexte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pareil facteur joue un rôle très limité indépendamment du facteur relatif aux intérêts de l</w:t>
      </w:r>
      <w:r>
        <w:rPr>
          <w:rFonts w:cs="Times New Roman"/>
          <w:lang w:val="fr-CA"/>
        </w:rPr>
        <w:t>’</w:t>
      </w:r>
      <w:r w:rsidRPr="002C53FC">
        <w:rPr>
          <w:rFonts w:cs="Times New Roman"/>
          <w:lang w:val="fr-CA"/>
        </w:rPr>
        <w:t>administration de justice. Le caractère sévère ou abusif de la conduite du gouvernement est examiné au moment d</w:t>
      </w:r>
      <w:r>
        <w:rPr>
          <w:rFonts w:cs="Times New Roman"/>
          <w:lang w:val="fr-CA"/>
        </w:rPr>
        <w:t>’</w:t>
      </w:r>
      <w:r w:rsidRPr="002C53FC">
        <w:rPr>
          <w:rFonts w:cs="Times New Roman"/>
          <w:lang w:val="fr-CA"/>
        </w:rPr>
        <w:t>évaluer s</w:t>
      </w:r>
      <w:r>
        <w:rPr>
          <w:rFonts w:cs="Times New Roman"/>
          <w:lang w:val="fr-CA"/>
        </w:rPr>
        <w:t>’</w:t>
      </w:r>
      <w:r w:rsidRPr="002C53FC">
        <w:rPr>
          <w:rFonts w:cs="Times New Roman"/>
          <w:lang w:val="fr-CA"/>
        </w:rPr>
        <w:t>il avait un objectif illégitime ou déguisé. Un document qui démontre une conduite peu scrupuleuse de la part du gouvernement tendra à établir de façon très probante qu</w:t>
      </w:r>
      <w:r>
        <w:rPr>
          <w:rFonts w:cs="Times New Roman"/>
          <w:lang w:val="fr-CA"/>
        </w:rPr>
        <w:t>’</w:t>
      </w:r>
      <w:r w:rsidRPr="002C53FC">
        <w:rPr>
          <w:rFonts w:cs="Times New Roman"/>
          <w:lang w:val="fr-CA"/>
        </w:rPr>
        <w:t>il n</w:t>
      </w:r>
      <w:r>
        <w:rPr>
          <w:rFonts w:cs="Times New Roman"/>
          <w:lang w:val="fr-CA"/>
        </w:rPr>
        <w:t>’</w:t>
      </w:r>
      <w:r w:rsidRPr="002C53FC">
        <w:rPr>
          <w:rFonts w:cs="Times New Roman"/>
          <w:lang w:val="fr-CA"/>
        </w:rPr>
        <w:t>a pas satisfait aux exigences constitutionnelles auxquelles il doit satisfaire; c</w:t>
      </w:r>
      <w:r>
        <w:rPr>
          <w:rFonts w:cs="Times New Roman"/>
          <w:lang w:val="fr-CA"/>
        </w:rPr>
        <w:t>’</w:t>
      </w:r>
      <w:r w:rsidRPr="002C53FC">
        <w:rPr>
          <w:rFonts w:cs="Times New Roman"/>
          <w:lang w:val="fr-CA"/>
        </w:rPr>
        <w:t>est pourquoi, dans un tel cas, l</w:t>
      </w:r>
      <w:r>
        <w:rPr>
          <w:rFonts w:cs="Times New Roman"/>
          <w:lang w:val="fr-CA"/>
        </w:rPr>
        <w:t>’</w:t>
      </w:r>
      <w:r w:rsidRPr="002C53FC">
        <w:rPr>
          <w:rFonts w:cs="Times New Roman"/>
          <w:lang w:val="fr-CA"/>
        </w:rPr>
        <w:t>intérêt du public à ce que le document soit divulgué l</w:t>
      </w:r>
      <w:r>
        <w:rPr>
          <w:rFonts w:cs="Times New Roman"/>
          <w:lang w:val="fr-CA"/>
        </w:rPr>
        <w:t>’</w:t>
      </w:r>
      <w:r w:rsidRPr="002C53FC">
        <w:rPr>
          <w:rFonts w:cs="Times New Roman"/>
          <w:lang w:val="fr-CA"/>
        </w:rPr>
        <w:t>emporte presque assurément sur celui à ce qu</w:t>
      </w:r>
      <w:r>
        <w:rPr>
          <w:rFonts w:cs="Times New Roman"/>
          <w:lang w:val="fr-CA"/>
        </w:rPr>
        <w:t>’</w:t>
      </w:r>
      <w:r w:rsidRPr="002C53FC">
        <w:rPr>
          <w:rFonts w:cs="Times New Roman"/>
          <w:lang w:val="fr-CA"/>
        </w:rPr>
        <w:t>il demeure confidentiel.</w:t>
      </w:r>
    </w:p>
    <w:p w14:paraId="38A5F9B7" w14:textId="77777777" w:rsidR="002C65EF" w:rsidRPr="002C53FC" w:rsidRDefault="002C65EF" w:rsidP="002C65EF">
      <w:pPr>
        <w:pStyle w:val="ParaNoNdepar-AltN"/>
        <w:spacing w:before="0"/>
        <w:rPr>
          <w:rFonts w:cs="Times New Roman"/>
          <w:lang w:val="fr-CA"/>
        </w:rPr>
      </w:pPr>
      <w:r w:rsidRPr="002C53FC">
        <w:rPr>
          <w:rFonts w:cs="Times New Roman"/>
          <w:lang w:val="fr-CA"/>
        </w:rPr>
        <w:t>Par conséquent, je ne souscris pas à l</w:t>
      </w:r>
      <w:r>
        <w:rPr>
          <w:rFonts w:cs="Times New Roman"/>
          <w:lang w:val="fr-CA"/>
        </w:rPr>
        <w:t>’</w:t>
      </w:r>
      <w:r w:rsidRPr="002C53FC">
        <w:rPr>
          <w:rFonts w:cs="Times New Roman"/>
          <w:lang w:val="fr-CA"/>
        </w:rPr>
        <w:t>argument du procureur général de la Colombie</w:t>
      </w:r>
      <w:r>
        <w:rPr>
          <w:rFonts w:cs="Times New Roman"/>
          <w:lang w:val="fr-CA"/>
        </w:rPr>
        <w:noBreakHyphen/>
      </w:r>
      <w:r w:rsidRPr="002C53FC">
        <w:rPr>
          <w:rFonts w:cs="Times New Roman"/>
          <w:lang w:val="fr-CA"/>
        </w:rPr>
        <w:t>Britannique et des autres procureurs généraux selon lequel la jurisprudence de la Cour en matière d</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donne lieu à une divulgation systématique, voire presque inévitable, des documents confidentiels du Cabinet, et qu</w:t>
      </w:r>
      <w:r>
        <w:rPr>
          <w:rFonts w:cs="Times New Roman"/>
          <w:lang w:val="fr-CA"/>
        </w:rPr>
        <w:t>’</w:t>
      </w:r>
      <w:r w:rsidRPr="002C53FC">
        <w:rPr>
          <w:rFonts w:cs="Times New Roman"/>
          <w:lang w:val="fr-CA"/>
        </w:rPr>
        <w:t>elle devrait par conséquent être réexaminée par la Cour. Appliquée correctement dans le cadre d</w:t>
      </w:r>
      <w:r>
        <w:rPr>
          <w:rFonts w:cs="Times New Roman"/>
          <w:lang w:val="fr-CA"/>
        </w:rPr>
        <w:t>’</w:t>
      </w:r>
      <w:r w:rsidRPr="002C53FC">
        <w:rPr>
          <w:rFonts w:cs="Times New Roman"/>
          <w:lang w:val="fr-CA"/>
        </w:rPr>
        <w:t xml:space="preserve">un contrôle de type </w:t>
      </w:r>
      <w:r w:rsidRPr="002C53FC">
        <w:rPr>
          <w:rFonts w:cs="Times New Roman"/>
          <w:i/>
          <w:lang w:val="fr-CA"/>
        </w:rPr>
        <w:t>Bodner</w:t>
      </w:r>
      <w:r w:rsidRPr="002C53FC">
        <w:rPr>
          <w:rFonts w:cs="Times New Roman"/>
          <w:lang w:val="fr-CA"/>
        </w:rPr>
        <w:t>, l</w:t>
      </w:r>
      <w:r>
        <w:rPr>
          <w:rFonts w:cs="Times New Roman"/>
          <w:lang w:val="fr-CA"/>
        </w:rPr>
        <w:t>’</w:t>
      </w:r>
      <w:r w:rsidRPr="002C53FC">
        <w:rPr>
          <w:rFonts w:cs="Times New Roman"/>
          <w:lang w:val="fr-CA"/>
        </w:rPr>
        <w:t>immunité d</w:t>
      </w:r>
      <w:r>
        <w:rPr>
          <w:rFonts w:cs="Times New Roman"/>
          <w:lang w:val="fr-CA"/>
        </w:rPr>
        <w:t>’</w:t>
      </w:r>
      <w:r w:rsidRPr="002C53FC">
        <w:rPr>
          <w:rFonts w:cs="Times New Roman"/>
          <w:lang w:val="fr-CA"/>
        </w:rPr>
        <w:t>intérêt public exige de mettre soigneusement en balance les intérêts du public à l</w:t>
      </w:r>
      <w:r>
        <w:rPr>
          <w:rFonts w:cs="Times New Roman"/>
          <w:lang w:val="fr-CA"/>
        </w:rPr>
        <w:t>’</w:t>
      </w:r>
      <w:r w:rsidRPr="002C53FC">
        <w:rPr>
          <w:rFonts w:cs="Times New Roman"/>
          <w:lang w:val="fr-CA"/>
        </w:rPr>
        <w:t>égard de la confidentialité et de la divulgation. Dans la mesure où l</w:t>
      </w:r>
      <w:r>
        <w:rPr>
          <w:rFonts w:cs="Times New Roman"/>
          <w:lang w:val="fr-CA"/>
        </w:rPr>
        <w:t>’</w:t>
      </w:r>
      <w:r w:rsidRPr="002C53FC">
        <w:rPr>
          <w:rFonts w:cs="Times New Roman"/>
          <w:lang w:val="fr-CA"/>
        </w:rPr>
        <w:t xml:space="preserve">intérêt du public à ce que les documents se rapportant </w:t>
      </w:r>
      <w:r w:rsidRPr="002C53FC">
        <w:rPr>
          <w:rFonts w:cs="Times New Roman"/>
          <w:lang w:val="fr-CA"/>
        </w:rPr>
        <w:lastRenderedPageBreak/>
        <w:t>aux délibérations du Cabinet demeurent confidentiels est souvent important, celui à ce qu</w:t>
      </w:r>
      <w:r>
        <w:rPr>
          <w:rFonts w:cs="Times New Roman"/>
          <w:lang w:val="fr-CA"/>
        </w:rPr>
        <w:t>’</w:t>
      </w:r>
      <w:r w:rsidRPr="002C53FC">
        <w:rPr>
          <w:rFonts w:cs="Times New Roman"/>
          <w:lang w:val="fr-CA"/>
        </w:rPr>
        <w:t>ils soient divulgués doit habituellement l</w:t>
      </w:r>
      <w:r>
        <w:rPr>
          <w:rFonts w:cs="Times New Roman"/>
          <w:lang w:val="fr-CA"/>
        </w:rPr>
        <w:t>’</w:t>
      </w:r>
      <w:r w:rsidRPr="002C53FC">
        <w:rPr>
          <w:rFonts w:cs="Times New Roman"/>
          <w:lang w:val="fr-CA"/>
        </w:rPr>
        <w:t>être encore davantage pour que leur divulgation soit justifiée.</w:t>
      </w:r>
    </w:p>
    <w:p w14:paraId="5269BEFD" w14:textId="77777777" w:rsidR="002C65EF" w:rsidRPr="002C53FC" w:rsidRDefault="002C65EF" w:rsidP="002C65EF">
      <w:pPr>
        <w:pStyle w:val="Title1LevelTitre1Niveau-AltL"/>
        <w:spacing w:before="0"/>
        <w:rPr>
          <w:rFonts w:cs="Times New Roman"/>
          <w:lang w:val="fr-CA"/>
        </w:rPr>
      </w:pPr>
      <w:r w:rsidRPr="002C53FC">
        <w:rPr>
          <w:rFonts w:cs="Times New Roman"/>
          <w:lang w:val="fr-CA"/>
        </w:rPr>
        <w:t>Dispositif</w:t>
      </w:r>
    </w:p>
    <w:p w14:paraId="17687AC7" w14:textId="31549F23" w:rsidR="002C65EF" w:rsidRPr="00A1359B" w:rsidRDefault="002C65EF" w:rsidP="002C65EF">
      <w:pPr>
        <w:pStyle w:val="ParaNoNdepar-AltN"/>
        <w:spacing w:before="0"/>
        <w:rPr>
          <w:rFonts w:cs="Times New Roman"/>
          <w:lang w:val="fr-CA"/>
        </w:rPr>
      </w:pPr>
      <w:r w:rsidRPr="002C53FC">
        <w:rPr>
          <w:rFonts w:cs="Times New Roman"/>
          <w:lang w:val="fr-CA"/>
        </w:rPr>
        <w:t>Je suis d</w:t>
      </w:r>
      <w:r>
        <w:rPr>
          <w:rFonts w:cs="Times New Roman"/>
          <w:lang w:val="fr-CA"/>
        </w:rPr>
        <w:t>’</w:t>
      </w:r>
      <w:r w:rsidRPr="002C53FC">
        <w:rPr>
          <w:rFonts w:cs="Times New Roman"/>
          <w:lang w:val="fr-CA"/>
        </w:rPr>
        <w:t>avis d</w:t>
      </w:r>
      <w:r>
        <w:rPr>
          <w:rFonts w:cs="Times New Roman"/>
          <w:lang w:val="fr-CA"/>
        </w:rPr>
        <w:t>’</w:t>
      </w:r>
      <w:r w:rsidRPr="002C53FC">
        <w:rPr>
          <w:rFonts w:cs="Times New Roman"/>
          <w:lang w:val="fr-CA"/>
        </w:rPr>
        <w:t>accueillir le pourvoi sans dépens et d</w:t>
      </w:r>
      <w:r>
        <w:rPr>
          <w:rFonts w:cs="Times New Roman"/>
          <w:lang w:val="fr-CA"/>
        </w:rPr>
        <w:t>’</w:t>
      </w:r>
      <w:r w:rsidRPr="002C53FC">
        <w:rPr>
          <w:rFonts w:cs="Times New Roman"/>
          <w:lang w:val="fr-CA"/>
        </w:rPr>
        <w:t>annuler l</w:t>
      </w:r>
      <w:r>
        <w:rPr>
          <w:rFonts w:cs="Times New Roman"/>
          <w:lang w:val="fr-CA"/>
        </w:rPr>
        <w:t>’</w:t>
      </w:r>
      <w:r w:rsidRPr="002C53FC">
        <w:rPr>
          <w:rFonts w:cs="Times New Roman"/>
          <w:lang w:val="fr-CA"/>
        </w:rPr>
        <w:t>ordonnance de production du mémoire au Cabinet rendue par la protonotaire. La demande de la Provincial Court Judges</w:t>
      </w:r>
      <w:r>
        <w:rPr>
          <w:rFonts w:cs="Times New Roman"/>
          <w:lang w:val="fr-CA"/>
        </w:rPr>
        <w:t>’</w:t>
      </w:r>
      <w:r w:rsidRPr="002C53FC">
        <w:rPr>
          <w:rFonts w:cs="Times New Roman"/>
          <w:lang w:val="fr-CA"/>
        </w:rPr>
        <w:t xml:space="preserve"> Associat</w:t>
      </w:r>
      <w:r>
        <w:rPr>
          <w:rFonts w:cs="Times New Roman"/>
          <w:lang w:val="fr-CA"/>
        </w:rPr>
        <w:t>i</w:t>
      </w:r>
      <w:r w:rsidRPr="002C53FC">
        <w:rPr>
          <w:rFonts w:cs="Times New Roman"/>
          <w:lang w:val="fr-CA"/>
        </w:rPr>
        <w:t>on peut maintenant être tranchée sur le fond sans tenir compte du mémoire au Cabinet.</w:t>
      </w:r>
    </w:p>
    <w:p w14:paraId="0C20C81D" w14:textId="77777777" w:rsidR="004D7D95" w:rsidRPr="003C250D" w:rsidRDefault="004D7D95" w:rsidP="00413D29">
      <w:pPr>
        <w:pStyle w:val="SCCNormalDoubleSpacing"/>
        <w:spacing w:after="480"/>
        <w:rPr>
          <w:i/>
          <w:lang w:val="fr-CA"/>
        </w:rPr>
      </w:pPr>
      <w:r w:rsidRPr="003C250D">
        <w:rPr>
          <w:lang w:val="fr-CA"/>
        </w:rPr>
        <w:tab/>
      </w:r>
      <w:r w:rsidR="00554EE8" w:rsidRPr="003C250D">
        <w:rPr>
          <w:i/>
          <w:lang w:val="fr-CA"/>
        </w:rPr>
        <w:t>Pourvoi accueilli sans dépens.</w:t>
      </w:r>
    </w:p>
    <w:p w14:paraId="6A3A9F73" w14:textId="019F5D7C" w:rsidR="00D638A8" w:rsidRPr="003C250D" w:rsidRDefault="00286683" w:rsidP="00413D29">
      <w:pPr>
        <w:pStyle w:val="SCCLawFirm"/>
        <w:spacing w:after="480"/>
        <w:rPr>
          <w:lang w:val="fr-CA"/>
        </w:rPr>
      </w:pPr>
      <w:r w:rsidRPr="003C250D">
        <w:rPr>
          <w:lang w:val="fr-CA"/>
        </w:rPr>
        <w:tab/>
        <w:t>Procureurs</w:t>
      </w:r>
      <w:r w:rsidR="00CB5112" w:rsidRPr="003C250D">
        <w:rPr>
          <w:lang w:val="fr-CA"/>
        </w:rPr>
        <w:t xml:space="preserve"> de l</w:t>
      </w:r>
      <w:r w:rsidRPr="003C250D">
        <w:rPr>
          <w:lang w:val="fr-CA"/>
        </w:rPr>
        <w:t>’appelant</w:t>
      </w:r>
      <w:r w:rsidR="00413D29">
        <w:rPr>
          <w:lang w:val="fr-CA"/>
        </w:rPr>
        <w:t> : </w:t>
      </w:r>
      <w:r w:rsidR="00310747">
        <w:rPr>
          <w:lang w:val="fr-CA"/>
        </w:rPr>
        <w:t>Gudmundseth Mick</w:t>
      </w:r>
      <w:r w:rsidRPr="003C250D">
        <w:rPr>
          <w:lang w:val="fr-CA"/>
        </w:rPr>
        <w:t>elson</w:t>
      </w:r>
      <w:r w:rsidR="00CB5112" w:rsidRPr="003C250D">
        <w:rPr>
          <w:lang w:val="fr-CA"/>
        </w:rPr>
        <w:t>, Vancouver.</w:t>
      </w:r>
    </w:p>
    <w:p w14:paraId="3E0FA642" w14:textId="5051FE9E" w:rsidR="00D638A8" w:rsidRPr="003C250D" w:rsidRDefault="00286683" w:rsidP="00413D29">
      <w:pPr>
        <w:pStyle w:val="SCCLawFirm"/>
        <w:spacing w:after="480"/>
        <w:rPr>
          <w:lang w:val="fr-CA"/>
        </w:rPr>
      </w:pPr>
      <w:r w:rsidRPr="003C250D">
        <w:rPr>
          <w:lang w:val="fr-CA"/>
        </w:rPr>
        <w:tab/>
        <w:t>Procureurs</w:t>
      </w:r>
      <w:r w:rsidR="00CB5112" w:rsidRPr="003C250D">
        <w:rPr>
          <w:lang w:val="fr-CA"/>
        </w:rPr>
        <w:t xml:space="preserve"> de l</w:t>
      </w:r>
      <w:r w:rsidRPr="003C250D">
        <w:rPr>
          <w:lang w:val="fr-CA"/>
        </w:rPr>
        <w:t>’intimée</w:t>
      </w:r>
      <w:r w:rsidR="00413D29">
        <w:rPr>
          <w:lang w:val="fr-CA"/>
        </w:rPr>
        <w:t> : </w:t>
      </w:r>
      <w:r w:rsidRPr="003C250D">
        <w:rPr>
          <w:lang w:val="fr-CA"/>
        </w:rPr>
        <w:t>Arvay Finlay</w:t>
      </w:r>
      <w:r w:rsidR="00CB5112" w:rsidRPr="003C250D">
        <w:rPr>
          <w:lang w:val="fr-CA"/>
        </w:rPr>
        <w:t>, Vancouver.</w:t>
      </w:r>
    </w:p>
    <w:p w14:paraId="7476A10B" w14:textId="00A153F0" w:rsidR="00286683" w:rsidRPr="003C250D" w:rsidRDefault="00286683" w:rsidP="00413D29">
      <w:pPr>
        <w:pStyle w:val="SCCLawFirm"/>
        <w:spacing w:after="480"/>
        <w:rPr>
          <w:lang w:val="fr-CA"/>
        </w:rPr>
      </w:pPr>
      <w:r w:rsidRPr="003C250D">
        <w:rPr>
          <w:lang w:val="fr-CA"/>
        </w:rPr>
        <w:tab/>
        <w:t xml:space="preserve">Procureur de l’intervenant le </w:t>
      </w:r>
      <w:r w:rsidR="00A602B3" w:rsidRPr="003C250D">
        <w:rPr>
          <w:lang w:val="fr-CA"/>
        </w:rPr>
        <w:t>p</w:t>
      </w:r>
      <w:r w:rsidRPr="003C250D">
        <w:rPr>
          <w:lang w:val="fr-CA"/>
        </w:rPr>
        <w:t>rocureur général du Canada</w:t>
      </w:r>
      <w:r w:rsidR="00413D29">
        <w:rPr>
          <w:lang w:val="fr-CA"/>
        </w:rPr>
        <w:t> : </w:t>
      </w:r>
      <w:r w:rsidRPr="003C250D">
        <w:rPr>
          <w:lang w:val="fr-CA"/>
        </w:rPr>
        <w:t>Procureur général du Canada, Toronto.</w:t>
      </w:r>
    </w:p>
    <w:p w14:paraId="3F5740EF" w14:textId="38FBCFB6" w:rsidR="00286683" w:rsidRPr="003C250D" w:rsidRDefault="00286683" w:rsidP="00413D29">
      <w:pPr>
        <w:pStyle w:val="SCCLawFirm"/>
        <w:spacing w:after="480"/>
        <w:rPr>
          <w:lang w:val="fr-CA"/>
        </w:rPr>
      </w:pPr>
      <w:r w:rsidRPr="003C250D">
        <w:rPr>
          <w:lang w:val="fr-CA"/>
        </w:rPr>
        <w:tab/>
        <w:t xml:space="preserve">Procureur de l’intervenant le </w:t>
      </w:r>
      <w:r w:rsidR="00A602B3" w:rsidRPr="003C250D">
        <w:rPr>
          <w:lang w:val="fr-CA"/>
        </w:rPr>
        <w:t>p</w:t>
      </w:r>
      <w:r w:rsidRPr="003C250D">
        <w:rPr>
          <w:lang w:val="fr-CA"/>
        </w:rPr>
        <w:t>rocureur général de l’Ontario</w:t>
      </w:r>
      <w:r w:rsidR="00413D29">
        <w:rPr>
          <w:lang w:val="fr-CA"/>
        </w:rPr>
        <w:t> : </w:t>
      </w:r>
      <w:r w:rsidRPr="003C250D">
        <w:rPr>
          <w:lang w:val="fr-CA"/>
        </w:rPr>
        <w:t>Procureur général de l’Ontario, Toronto.</w:t>
      </w:r>
    </w:p>
    <w:p w14:paraId="17EE8EAB" w14:textId="01BC8BA4" w:rsidR="00286683" w:rsidRPr="003C250D" w:rsidRDefault="00286683" w:rsidP="00413D29">
      <w:pPr>
        <w:pStyle w:val="SCCLawFirm"/>
        <w:spacing w:after="480"/>
        <w:rPr>
          <w:lang w:val="fr-CA"/>
        </w:rPr>
      </w:pPr>
      <w:r w:rsidRPr="003C250D">
        <w:rPr>
          <w:lang w:val="fr-CA"/>
        </w:rPr>
        <w:lastRenderedPageBreak/>
        <w:tab/>
        <w:t xml:space="preserve">Procureur de l’intervenante la </w:t>
      </w:r>
      <w:r w:rsidR="00A602B3" w:rsidRPr="003C250D">
        <w:rPr>
          <w:lang w:val="fr-CA"/>
        </w:rPr>
        <w:t>p</w:t>
      </w:r>
      <w:r w:rsidRPr="003C250D">
        <w:rPr>
          <w:lang w:val="fr-CA"/>
        </w:rPr>
        <w:t>rocureure générale du Québec</w:t>
      </w:r>
      <w:r w:rsidR="00413D29">
        <w:rPr>
          <w:lang w:val="fr-CA"/>
        </w:rPr>
        <w:t> : </w:t>
      </w:r>
      <w:r w:rsidRPr="003C250D">
        <w:rPr>
          <w:lang w:val="fr-CA"/>
        </w:rPr>
        <w:t>Procureure générale du Québec, Québec.</w:t>
      </w:r>
    </w:p>
    <w:p w14:paraId="06F21CD0" w14:textId="4330CB41" w:rsidR="00286683" w:rsidRPr="003C250D" w:rsidRDefault="00286683" w:rsidP="00413D29">
      <w:pPr>
        <w:pStyle w:val="SCCLawFirm"/>
        <w:spacing w:after="480"/>
        <w:rPr>
          <w:lang w:val="fr-CA"/>
        </w:rPr>
      </w:pPr>
      <w:r w:rsidRPr="003C250D">
        <w:rPr>
          <w:lang w:val="fr-CA"/>
        </w:rPr>
        <w:tab/>
        <w:t xml:space="preserve">Procureur de l’intervenant le </w:t>
      </w:r>
      <w:r w:rsidR="00A602B3" w:rsidRPr="003C250D">
        <w:rPr>
          <w:lang w:val="fr-CA"/>
        </w:rPr>
        <w:t>p</w:t>
      </w:r>
      <w:r w:rsidRPr="003C250D">
        <w:rPr>
          <w:lang w:val="fr-CA"/>
        </w:rPr>
        <w:t>rocureur général de la Saskatchewan</w:t>
      </w:r>
      <w:r w:rsidR="00413D29">
        <w:rPr>
          <w:lang w:val="fr-CA"/>
        </w:rPr>
        <w:t> : </w:t>
      </w:r>
      <w:r w:rsidRPr="003C250D">
        <w:rPr>
          <w:lang w:val="fr-CA"/>
        </w:rPr>
        <w:t>Procureur général de la Saskatchewan, Regina.</w:t>
      </w:r>
    </w:p>
    <w:p w14:paraId="1526E16F" w14:textId="08A0B52E" w:rsidR="00286683" w:rsidRPr="003C250D" w:rsidRDefault="00286683" w:rsidP="00413D29">
      <w:pPr>
        <w:pStyle w:val="SCCLawFirm"/>
        <w:spacing w:after="480"/>
        <w:rPr>
          <w:lang w:val="fr-CA"/>
        </w:rPr>
      </w:pPr>
      <w:r w:rsidRPr="003C250D">
        <w:rPr>
          <w:lang w:val="fr-CA"/>
        </w:rPr>
        <w:tab/>
        <w:t xml:space="preserve">Procureur de l’intervenant le </w:t>
      </w:r>
      <w:r w:rsidR="00A602B3" w:rsidRPr="003C250D">
        <w:rPr>
          <w:lang w:val="fr-CA"/>
        </w:rPr>
        <w:t>p</w:t>
      </w:r>
      <w:r w:rsidRPr="003C250D">
        <w:rPr>
          <w:lang w:val="fr-CA"/>
        </w:rPr>
        <w:t>rocureur général de l’Alberta</w:t>
      </w:r>
      <w:r w:rsidR="00413D29">
        <w:rPr>
          <w:lang w:val="fr-CA"/>
        </w:rPr>
        <w:t> : </w:t>
      </w:r>
      <w:r w:rsidRPr="003C250D">
        <w:rPr>
          <w:lang w:val="fr-CA"/>
        </w:rPr>
        <w:t>Procureur général de l’Alberta, Edmonton.</w:t>
      </w:r>
    </w:p>
    <w:p w14:paraId="01BB4A1E" w14:textId="4F4F6698" w:rsidR="00286683" w:rsidRPr="003C250D" w:rsidRDefault="00286683" w:rsidP="00413D29">
      <w:pPr>
        <w:pStyle w:val="SCCLawFirm"/>
        <w:spacing w:after="480"/>
        <w:rPr>
          <w:lang w:val="fr-CA"/>
        </w:rPr>
      </w:pPr>
      <w:r w:rsidRPr="003C250D">
        <w:rPr>
          <w:lang w:val="fr-CA"/>
        </w:rPr>
        <w:tab/>
        <w:t>Procureurs de l’intervenante l’Association canadienne des juges des cours supérieures</w:t>
      </w:r>
      <w:r w:rsidR="00413D29">
        <w:rPr>
          <w:lang w:val="fr-CA"/>
        </w:rPr>
        <w:t> : </w:t>
      </w:r>
      <w:r w:rsidRPr="003C250D">
        <w:rPr>
          <w:lang w:val="fr-CA"/>
        </w:rPr>
        <w:t>Norton Rose Fulbright Canada, Montréal.</w:t>
      </w:r>
    </w:p>
    <w:p w14:paraId="55E59381" w14:textId="3EA862D4" w:rsidR="00286683" w:rsidRPr="003C250D" w:rsidRDefault="00286683" w:rsidP="00413D29">
      <w:pPr>
        <w:pStyle w:val="SCCLawFirm"/>
        <w:spacing w:after="480"/>
        <w:rPr>
          <w:lang w:val="fr-CA"/>
        </w:rPr>
      </w:pPr>
      <w:r w:rsidRPr="003C250D">
        <w:rPr>
          <w:lang w:val="fr-CA"/>
        </w:rPr>
        <w:tab/>
        <w:t>Procureurs de l’intervenante l’Association du Barreau canadien</w:t>
      </w:r>
      <w:r w:rsidR="00413D29">
        <w:rPr>
          <w:lang w:val="fr-CA"/>
        </w:rPr>
        <w:t> : </w:t>
      </w:r>
      <w:r w:rsidRPr="003C250D">
        <w:rPr>
          <w:lang w:val="fr-CA"/>
        </w:rPr>
        <w:t>Borden Ladner Gervais, Toronto.</w:t>
      </w:r>
    </w:p>
    <w:p w14:paraId="5ABDF5AB" w14:textId="39E780EC" w:rsidR="00286683" w:rsidRPr="003C250D" w:rsidRDefault="00286683" w:rsidP="00413D29">
      <w:pPr>
        <w:pStyle w:val="SCCLawFirm"/>
        <w:spacing w:after="480"/>
        <w:rPr>
          <w:lang w:val="fr-CA"/>
        </w:rPr>
      </w:pPr>
      <w:r w:rsidRPr="003C250D">
        <w:rPr>
          <w:lang w:val="fr-CA"/>
        </w:rPr>
        <w:tab/>
        <w:t>Procureurs de l’intervenante l’Association canadienne des juges des cours provinciales</w:t>
      </w:r>
      <w:r w:rsidR="00413D29">
        <w:rPr>
          <w:lang w:val="fr-CA"/>
        </w:rPr>
        <w:t> : </w:t>
      </w:r>
      <w:r w:rsidRPr="003C250D">
        <w:rPr>
          <w:lang w:val="fr-CA"/>
        </w:rPr>
        <w:t>Goldblatt Partners, Toronto.</w:t>
      </w:r>
    </w:p>
    <w:p w14:paraId="7644BFBE" w14:textId="0270A6F6" w:rsidR="00286683" w:rsidRPr="003C250D" w:rsidRDefault="00286683" w:rsidP="00413D29">
      <w:pPr>
        <w:pStyle w:val="SCCLawFirm"/>
        <w:spacing w:after="480"/>
        <w:rPr>
          <w:lang w:val="fr-CA"/>
        </w:rPr>
      </w:pPr>
      <w:r w:rsidRPr="003C250D">
        <w:rPr>
          <w:lang w:val="fr-CA"/>
        </w:rPr>
        <w:tab/>
        <w:t>Procureurs de l’intervenante la Fédération canadienne des contribuables</w:t>
      </w:r>
      <w:r w:rsidR="00413D29">
        <w:rPr>
          <w:lang w:val="fr-CA"/>
        </w:rPr>
        <w:t> : </w:t>
      </w:r>
      <w:r w:rsidRPr="003C250D">
        <w:rPr>
          <w:lang w:val="fr-CA"/>
        </w:rPr>
        <w:t>McCarthy Tétrault, Toronto.</w:t>
      </w:r>
    </w:p>
    <w:p w14:paraId="3E9AF482" w14:textId="44ABF75E" w:rsidR="00286683" w:rsidRPr="003C250D" w:rsidRDefault="00286683" w:rsidP="00286683">
      <w:pPr>
        <w:pStyle w:val="SCCLawFirm"/>
        <w:rPr>
          <w:lang w:val="fr-CA"/>
        </w:rPr>
      </w:pPr>
      <w:r w:rsidRPr="003C250D">
        <w:rPr>
          <w:lang w:val="fr-CA"/>
        </w:rPr>
        <w:tab/>
        <w:t>Procureurs de l’intervenante l’</w:t>
      </w:r>
      <w:r w:rsidR="005D7AC4" w:rsidRPr="003C250D">
        <w:rPr>
          <w:lang w:val="fr-CA"/>
        </w:rPr>
        <w:t>Association canadienne des libertés c</w:t>
      </w:r>
      <w:r w:rsidR="00744F01" w:rsidRPr="003C250D">
        <w:rPr>
          <w:lang w:val="fr-CA"/>
        </w:rPr>
        <w:t>iviles</w:t>
      </w:r>
      <w:r w:rsidR="00413D29">
        <w:rPr>
          <w:lang w:val="fr-CA"/>
        </w:rPr>
        <w:t> : </w:t>
      </w:r>
      <w:r w:rsidR="00744F01" w:rsidRPr="003C250D">
        <w:rPr>
          <w:lang w:val="fr-CA"/>
        </w:rPr>
        <w:t>Paliare Roland Rosenberg</w:t>
      </w:r>
      <w:r w:rsidRPr="003C250D">
        <w:rPr>
          <w:lang w:val="fr-CA"/>
        </w:rPr>
        <w:t xml:space="preserve"> Rothstein, Toronto.</w:t>
      </w:r>
    </w:p>
    <w:sectPr w:rsidR="00286683" w:rsidRPr="003C250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755F" w14:textId="77777777" w:rsidR="00F46C4C" w:rsidRDefault="00F46C4C">
      <w:r>
        <w:separator/>
      </w:r>
    </w:p>
  </w:endnote>
  <w:endnote w:type="continuationSeparator" w:id="0">
    <w:p w14:paraId="3A1F1CF4" w14:textId="77777777" w:rsidR="00F46C4C" w:rsidRDefault="00F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A2FC" w14:textId="77777777" w:rsidR="008F6A22" w:rsidRDefault="008F6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9D42" w14:textId="77777777" w:rsidR="008F6A22" w:rsidRDefault="008F6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8B67" w14:textId="77777777" w:rsidR="008F6A22" w:rsidRDefault="008F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709E" w14:textId="77777777" w:rsidR="00F46C4C" w:rsidRDefault="00F46C4C">
      <w:r>
        <w:separator/>
      </w:r>
    </w:p>
  </w:footnote>
  <w:footnote w:type="continuationSeparator" w:id="0">
    <w:p w14:paraId="75A93B9F" w14:textId="77777777" w:rsidR="00F46C4C" w:rsidRDefault="00F46C4C">
      <w:r>
        <w:continuationSeparator/>
      </w:r>
    </w:p>
  </w:footnote>
  <w:footnote w:id="1">
    <w:p w14:paraId="11CC6EE7" w14:textId="77777777" w:rsidR="002C65EF" w:rsidRPr="002C2C69" w:rsidRDefault="002C65EF" w:rsidP="00BF3C81">
      <w:pPr>
        <w:ind w:left="115" w:hanging="115"/>
        <w:jc w:val="both"/>
        <w:rPr>
          <w:sz w:val="20"/>
          <w:lang w:val="fr-FR"/>
        </w:rPr>
      </w:pPr>
      <w:r w:rsidRPr="002C2C69">
        <w:rPr>
          <w:rStyle w:val="FootnoteReference"/>
          <w:sz w:val="20"/>
          <w:lang w:val="fr-CA"/>
        </w:rPr>
        <w:footnoteRef/>
      </w:r>
      <w:r>
        <w:rPr>
          <w:sz w:val="20"/>
          <w:lang w:val="fr-CA"/>
        </w:rPr>
        <w:t xml:space="preserve"> </w:t>
      </w:r>
      <w:r w:rsidRPr="00E3350C">
        <w:rPr>
          <w:bCs/>
          <w:i/>
          <w:sz w:val="20"/>
          <w:lang w:val="fr-FR"/>
        </w:rPr>
        <w:t>Assoc. des juges de la Cour provinciale du Nouveau</w:t>
      </w:r>
      <w:r w:rsidRPr="00E3350C">
        <w:rPr>
          <w:bCs/>
          <w:i/>
          <w:sz w:val="20"/>
          <w:lang w:val="fr-FR"/>
        </w:rPr>
        <w:noBreakHyphen/>
        <w:t xml:space="preserve">Brunswick </w:t>
      </w:r>
      <w:r w:rsidRPr="00E3350C">
        <w:rPr>
          <w:bCs/>
          <w:i/>
          <w:iCs/>
          <w:sz w:val="20"/>
          <w:lang w:val="fr-FR"/>
        </w:rPr>
        <w:t>c.</w:t>
      </w:r>
      <w:r w:rsidRPr="00E3350C">
        <w:rPr>
          <w:bCs/>
          <w:i/>
          <w:sz w:val="20"/>
          <w:lang w:val="fr-FR"/>
        </w:rPr>
        <w:t xml:space="preserve"> Nouveau</w:t>
      </w:r>
      <w:r w:rsidRPr="00E3350C">
        <w:rPr>
          <w:bCs/>
          <w:i/>
          <w:sz w:val="20"/>
          <w:lang w:val="fr-FR"/>
        </w:rPr>
        <w:noBreakHyphen/>
        <w:t>Brunswick (Ministre de la Justice); Assoc. des juges de l</w:t>
      </w:r>
      <w:r>
        <w:rPr>
          <w:bCs/>
          <w:i/>
          <w:sz w:val="20"/>
          <w:lang w:val="fr-FR"/>
        </w:rPr>
        <w:t>’</w:t>
      </w:r>
      <w:r w:rsidRPr="00E3350C">
        <w:rPr>
          <w:bCs/>
          <w:i/>
          <w:sz w:val="20"/>
          <w:lang w:val="fr-FR"/>
        </w:rPr>
        <w:t xml:space="preserve">Ontario </w:t>
      </w:r>
      <w:r w:rsidRPr="00E3350C">
        <w:rPr>
          <w:bCs/>
          <w:i/>
          <w:iCs/>
          <w:sz w:val="20"/>
          <w:lang w:val="fr-FR"/>
        </w:rPr>
        <w:t>c.</w:t>
      </w:r>
      <w:r w:rsidRPr="00E3350C">
        <w:rPr>
          <w:bCs/>
          <w:i/>
          <w:sz w:val="20"/>
          <w:lang w:val="fr-FR"/>
        </w:rPr>
        <w:t xml:space="preserve"> Ontario (Conseil de gestion); Bodner </w:t>
      </w:r>
      <w:r w:rsidRPr="00E3350C">
        <w:rPr>
          <w:bCs/>
          <w:i/>
          <w:iCs/>
          <w:sz w:val="20"/>
          <w:lang w:val="fr-FR"/>
        </w:rPr>
        <w:t>c.</w:t>
      </w:r>
      <w:r w:rsidRPr="00E3350C">
        <w:rPr>
          <w:bCs/>
          <w:i/>
          <w:sz w:val="20"/>
          <w:lang w:val="fr-FR"/>
        </w:rPr>
        <w:t xml:space="preserve"> Alberta; Conférence des juges du Québec </w:t>
      </w:r>
      <w:r w:rsidRPr="00E3350C">
        <w:rPr>
          <w:bCs/>
          <w:i/>
          <w:iCs/>
          <w:sz w:val="20"/>
          <w:lang w:val="fr-FR"/>
        </w:rPr>
        <w:t>c.</w:t>
      </w:r>
      <w:r w:rsidRPr="00E3350C">
        <w:rPr>
          <w:bCs/>
          <w:i/>
          <w:sz w:val="20"/>
          <w:lang w:val="fr-FR"/>
        </w:rPr>
        <w:t xml:space="preserve"> Québec (Procureur général); Minc </w:t>
      </w:r>
      <w:r w:rsidRPr="00E3350C">
        <w:rPr>
          <w:bCs/>
          <w:i/>
          <w:iCs/>
          <w:sz w:val="20"/>
          <w:lang w:val="fr-FR"/>
        </w:rPr>
        <w:t>c.</w:t>
      </w:r>
      <w:r w:rsidRPr="00E3350C">
        <w:rPr>
          <w:bCs/>
          <w:i/>
          <w:sz w:val="20"/>
          <w:lang w:val="fr-FR"/>
        </w:rPr>
        <w:t xml:space="preserve"> Québec (Procureur général)</w:t>
      </w:r>
      <w:r w:rsidRPr="002C2C69">
        <w:rPr>
          <w:sz w:val="20"/>
          <w:lang w:val="fr-CA"/>
        </w:rPr>
        <w:t>, 2005 CSC 44, [2005] 2 R.C.S. 286 (</w:t>
      </w:r>
      <w:r w:rsidRPr="002C2C69">
        <w:rPr>
          <w:i/>
          <w:sz w:val="20"/>
          <w:lang w:val="fr-CA"/>
        </w:rPr>
        <w:t>Bodner</w:t>
      </w:r>
      <w:r w:rsidRPr="002C2C69">
        <w:rPr>
          <w:sz w:val="20"/>
          <w:lang w:val="fr-CA"/>
        </w:rPr>
        <w:t>).</w:t>
      </w:r>
    </w:p>
  </w:footnote>
  <w:footnote w:id="2">
    <w:p w14:paraId="6AC74E23" w14:textId="6CA19BF5" w:rsidR="002C65EF" w:rsidRPr="00B47F2F" w:rsidRDefault="002C65EF" w:rsidP="00B509B2">
      <w:pPr>
        <w:pStyle w:val="FootnoteText"/>
        <w:tabs>
          <w:tab w:val="clear" w:pos="180"/>
          <w:tab w:val="left" w:pos="0"/>
        </w:tabs>
        <w:ind w:left="130" w:hanging="130"/>
        <w:rPr>
          <w:lang w:val="fr-CA"/>
        </w:rPr>
      </w:pPr>
      <w:r>
        <w:rPr>
          <w:rStyle w:val="FootnoteReference"/>
        </w:rPr>
        <w:footnoteRef/>
      </w:r>
      <w:r>
        <w:rPr>
          <w:lang w:val="fr-CA"/>
        </w:rPr>
        <w:t xml:space="preserve"> Le procureur général est le ministre responsable de la </w:t>
      </w:r>
      <w:r w:rsidRPr="00E42DC4">
        <w:rPr>
          <w:i/>
          <w:lang w:val="fr-CA"/>
        </w:rPr>
        <w:t>Judicial Compensation Act</w:t>
      </w:r>
      <w:r>
        <w:rPr>
          <w:lang w:val="fr-CA"/>
        </w:rPr>
        <w:t xml:space="preserve"> en v</w:t>
      </w:r>
      <w:r w:rsidR="00B509B2">
        <w:rPr>
          <w:lang w:val="fr-CA"/>
        </w:rPr>
        <w:t>ertu du décret 213/2017, ann. B</w:t>
      </w:r>
      <w:r>
        <w:rPr>
          <w:lang w:val="fr-CA"/>
        </w:rPr>
        <w:t xml:space="preserve">; voir aussi la </w:t>
      </w:r>
      <w:r w:rsidRPr="00E42DC4">
        <w:rPr>
          <w:i/>
          <w:lang w:val="fr-CA"/>
        </w:rPr>
        <w:t>Attorney General Act</w:t>
      </w:r>
      <w:r>
        <w:rPr>
          <w:lang w:val="fr-CA"/>
        </w:rPr>
        <w:t>, R.S.B.C. 1996, c. 22, al. 2</w:t>
      </w:r>
      <w:r w:rsidR="00B509B2">
        <w:rPr>
          <w:lang w:val="fr-CA"/>
        </w:rPr>
        <w:t>(</w:t>
      </w:r>
      <w:r>
        <w:rPr>
          <w:lang w:val="fr-CA"/>
        </w:rPr>
        <w:t xml:space="preserve">j); </w:t>
      </w:r>
      <w:r w:rsidRPr="00E42DC4">
        <w:rPr>
          <w:i/>
          <w:lang w:val="fr-CA"/>
        </w:rPr>
        <w:t>Constitution Act</w:t>
      </w:r>
      <w:r>
        <w:rPr>
          <w:lang w:val="fr-CA"/>
        </w:rPr>
        <w:t>, R.S.B.C. 1996, c. 66, par. 10(3).</w:t>
      </w:r>
    </w:p>
  </w:footnote>
  <w:footnote w:id="3">
    <w:p w14:paraId="7B0D73B8" w14:textId="7A91CABD" w:rsidR="002C65EF" w:rsidRPr="00916E63" w:rsidRDefault="002C65EF" w:rsidP="00B509B2">
      <w:pPr>
        <w:pStyle w:val="FootnoteText"/>
        <w:tabs>
          <w:tab w:val="clear" w:pos="180"/>
          <w:tab w:val="left" w:pos="0"/>
        </w:tabs>
        <w:ind w:left="115" w:hanging="115"/>
        <w:rPr>
          <w:lang w:val="fr-CA"/>
        </w:rPr>
      </w:pPr>
      <w:r w:rsidRPr="00916E63">
        <w:rPr>
          <w:rStyle w:val="FootnoteReference"/>
          <w:lang w:val="fr-CA"/>
        </w:rPr>
        <w:footnoteRef/>
      </w:r>
      <w:r>
        <w:rPr>
          <w:lang w:val="fr-CA"/>
        </w:rPr>
        <w:t xml:space="preserve"> </w:t>
      </w:r>
      <w:r w:rsidRPr="00E42DC4">
        <w:rPr>
          <w:lang w:val="fr-CA"/>
        </w:rPr>
        <w:t xml:space="preserve">Le </w:t>
      </w:r>
      <w:r>
        <w:rPr>
          <w:lang w:val="fr-CA"/>
        </w:rPr>
        <w:t>salaire de base utilisé par la c</w:t>
      </w:r>
      <w:r w:rsidRPr="00E42DC4">
        <w:rPr>
          <w:lang w:val="fr-CA"/>
        </w:rPr>
        <w:t>ommission aux fins de ses recommandations s</w:t>
      </w:r>
      <w:r>
        <w:rPr>
          <w:lang w:val="fr-CA"/>
        </w:rPr>
        <w:t>’</w:t>
      </w:r>
      <w:r w:rsidRPr="00E42DC4">
        <w:rPr>
          <w:lang w:val="fr-CA"/>
        </w:rPr>
        <w:t>établissait à 244 112 $ pour l</w:t>
      </w:r>
      <w:r>
        <w:rPr>
          <w:lang w:val="fr-CA"/>
        </w:rPr>
        <w:t>’</w:t>
      </w:r>
      <w:r w:rsidRPr="00E42DC4">
        <w:rPr>
          <w:lang w:val="fr-CA"/>
        </w:rPr>
        <w:t>exercice financier</w:t>
      </w:r>
      <w:r>
        <w:rPr>
          <w:lang w:val="fr-CA"/>
        </w:rPr>
        <w:t xml:space="preserve"> 2016</w:t>
      </w:r>
      <w:r>
        <w:rPr>
          <w:lang w:val="fr-CA"/>
        </w:rPr>
        <w:noBreakHyphen/>
      </w:r>
      <w:r w:rsidRPr="00E42DC4">
        <w:rPr>
          <w:lang w:val="fr-CA"/>
        </w:rPr>
        <w:t>2017. Cependant, par la suite, l</w:t>
      </w:r>
      <w:r>
        <w:rPr>
          <w:lang w:val="fr-CA"/>
        </w:rPr>
        <w:t>’</w:t>
      </w:r>
      <w:r w:rsidRPr="00E42DC4">
        <w:rPr>
          <w:lang w:val="fr-CA"/>
        </w:rPr>
        <w:t>Assemblée législative a appl</w:t>
      </w:r>
      <w:r>
        <w:rPr>
          <w:lang w:val="fr-CA"/>
        </w:rPr>
        <w:t>iqué au salaire de base de 2016</w:t>
      </w:r>
      <w:r>
        <w:rPr>
          <w:lang w:val="fr-CA"/>
        </w:rPr>
        <w:noBreakHyphen/>
      </w:r>
      <w:r w:rsidRPr="00E42DC4">
        <w:rPr>
          <w:lang w:val="fr-CA"/>
        </w:rPr>
        <w:t>2017 une hausse rétroactive de 3,4 </w:t>
      </w:r>
      <w:r>
        <w:rPr>
          <w:lang w:val="fr-CA"/>
        </w:rPr>
        <w:t xml:space="preserve">pour </w:t>
      </w:r>
      <w:r w:rsidR="008B587B">
        <w:rPr>
          <w:lang w:val="fr-CA"/>
        </w:rPr>
        <w:t>100</w:t>
      </w:r>
      <w:r w:rsidRPr="00E42DC4">
        <w:rPr>
          <w:lang w:val="fr-CA"/>
        </w:rPr>
        <w:t>, le portant ainsi à 252 290 $, ce qui a eu pour conséquence d</w:t>
      </w:r>
      <w:r>
        <w:rPr>
          <w:lang w:val="fr-CA"/>
        </w:rPr>
        <w:t>’</w:t>
      </w:r>
      <w:r w:rsidRPr="00E42DC4">
        <w:rPr>
          <w:lang w:val="fr-CA"/>
        </w:rPr>
        <w:t>atténuer les effets de l</w:t>
      </w:r>
      <w:r>
        <w:rPr>
          <w:lang w:val="fr-CA"/>
        </w:rPr>
        <w:t>’</w:t>
      </w:r>
      <w:r w:rsidRPr="00E42DC4">
        <w:rPr>
          <w:lang w:val="fr-CA"/>
        </w:rPr>
        <w:t>augmentation recommandée par la commission pour la période</w:t>
      </w:r>
      <w:r>
        <w:rPr>
          <w:lang w:val="fr-CA"/>
        </w:rPr>
        <w:t xml:space="preserve"> 2017</w:t>
      </w:r>
      <w:r>
        <w:rPr>
          <w:lang w:val="fr-CA"/>
        </w:rPr>
        <w:noBreakHyphen/>
        <w:t>2020.</w:t>
      </w:r>
    </w:p>
  </w:footnote>
  <w:footnote w:id="4">
    <w:p w14:paraId="4E1D6655" w14:textId="77777777" w:rsidR="002C65EF" w:rsidRPr="0005659F" w:rsidRDefault="002C65EF" w:rsidP="00B91D3B">
      <w:pPr>
        <w:pStyle w:val="FootnoteText"/>
        <w:tabs>
          <w:tab w:val="clear" w:pos="180"/>
          <w:tab w:val="left" w:pos="0"/>
        </w:tabs>
        <w:ind w:left="130" w:hanging="130"/>
        <w:rPr>
          <w:lang w:val="fr-CA"/>
        </w:rPr>
      </w:pPr>
      <w:r>
        <w:rPr>
          <w:rStyle w:val="FootnoteReference"/>
        </w:rPr>
        <w:footnoteRef/>
      </w:r>
      <w:r>
        <w:rPr>
          <w:lang w:val="fr-CA"/>
        </w:rPr>
        <w:t xml:space="preserve"> </w:t>
      </w:r>
      <w:r w:rsidRPr="00E42DC4">
        <w:rPr>
          <w:lang w:val="fr-CA"/>
        </w:rPr>
        <w:t>L</w:t>
      </w:r>
      <w:r>
        <w:rPr>
          <w:lang w:val="fr-CA"/>
        </w:rPr>
        <w:t>’</w:t>
      </w:r>
      <w:r w:rsidRPr="00E42DC4">
        <w:rPr>
          <w:lang w:val="fr-CA"/>
        </w:rPr>
        <w:t>augmentation salariale rétrospective pour la période</w:t>
      </w:r>
      <w:r>
        <w:rPr>
          <w:lang w:val="fr-CA"/>
        </w:rPr>
        <w:t xml:space="preserve"> 2016</w:t>
      </w:r>
      <w:r>
        <w:rPr>
          <w:lang w:val="fr-CA"/>
        </w:rPr>
        <w:noBreakHyphen/>
      </w:r>
      <w:r w:rsidRPr="00E42DC4">
        <w:rPr>
          <w:lang w:val="fr-CA"/>
        </w:rPr>
        <w:t>2017 réduit de la même façon l</w:t>
      </w:r>
      <w:r>
        <w:rPr>
          <w:lang w:val="fr-CA"/>
        </w:rPr>
        <w:t>’</w:t>
      </w:r>
      <w:r w:rsidRPr="00E42DC4">
        <w:rPr>
          <w:lang w:val="fr-CA"/>
        </w:rPr>
        <w:t>effet de l</w:t>
      </w:r>
      <w:r>
        <w:rPr>
          <w:lang w:val="fr-CA"/>
        </w:rPr>
        <w:t>’</w:t>
      </w:r>
      <w:r w:rsidRPr="00E42DC4">
        <w:rPr>
          <w:lang w:val="fr-CA"/>
        </w:rPr>
        <w:t>augmentation adoptée par l</w:t>
      </w:r>
      <w:r>
        <w:rPr>
          <w:lang w:val="fr-CA"/>
        </w:rPr>
        <w:t>’</w:t>
      </w:r>
      <w:r w:rsidRPr="00E42DC4">
        <w:rPr>
          <w:lang w:val="fr-CA"/>
        </w:rPr>
        <w:t>Assemblée législative pour la période</w:t>
      </w:r>
      <w:r>
        <w:rPr>
          <w:lang w:val="fr-CA"/>
        </w:rPr>
        <w:t xml:space="preserve"> 2017</w:t>
      </w:r>
      <w:r>
        <w:rPr>
          <w:lang w:val="fr-CA"/>
        </w:rPr>
        <w:noBreakHyphen/>
      </w:r>
      <w:r w:rsidRPr="00E42DC4">
        <w:rPr>
          <w:lang w:val="fr-CA"/>
        </w:rPr>
        <w:t>2020.</w:t>
      </w:r>
    </w:p>
  </w:footnote>
  <w:footnote w:id="5">
    <w:p w14:paraId="58EBBAE5" w14:textId="77777777" w:rsidR="002C65EF" w:rsidRPr="008D4B77" w:rsidRDefault="002C65EF" w:rsidP="002C65EF">
      <w:pPr>
        <w:pStyle w:val="FootnoteText"/>
        <w:tabs>
          <w:tab w:val="clear" w:pos="180"/>
          <w:tab w:val="left" w:pos="0"/>
        </w:tabs>
        <w:ind w:left="0" w:firstLine="0"/>
        <w:rPr>
          <w:lang w:val="fr-CA"/>
        </w:rPr>
      </w:pPr>
      <w:r>
        <w:rPr>
          <w:rStyle w:val="FootnoteReference"/>
        </w:rPr>
        <w:footnoteRef/>
      </w:r>
      <w:r>
        <w:rPr>
          <w:lang w:val="fr-CA"/>
        </w:rPr>
        <w:t xml:space="preserve"> </w:t>
      </w:r>
      <w:r w:rsidRPr="00E42DC4">
        <w:rPr>
          <w:lang w:val="fr-CA"/>
        </w:rPr>
        <w:t xml:space="preserve">Voir la </w:t>
      </w:r>
      <w:r w:rsidRPr="00E42DC4">
        <w:rPr>
          <w:i/>
          <w:lang w:val="fr-CA"/>
        </w:rPr>
        <w:t>Loi constitutionnelle de 1867</w:t>
      </w:r>
      <w:r w:rsidRPr="00E42DC4">
        <w:rPr>
          <w:lang w:val="fr-CA"/>
        </w:rPr>
        <w:t>, art. 54, 90 à 92, 100 à 102, 106 et 126.</w:t>
      </w:r>
    </w:p>
  </w:footnote>
  <w:footnote w:id="6">
    <w:p w14:paraId="666DD23C" w14:textId="77777777" w:rsidR="002C65EF" w:rsidRPr="00916E63" w:rsidRDefault="002C65EF" w:rsidP="009C1891">
      <w:pPr>
        <w:pStyle w:val="FootnoteText"/>
        <w:tabs>
          <w:tab w:val="clear" w:pos="180"/>
          <w:tab w:val="left" w:pos="0"/>
        </w:tabs>
        <w:ind w:left="115" w:hanging="115"/>
        <w:rPr>
          <w:lang w:val="fr-CA"/>
        </w:rPr>
      </w:pPr>
      <w:r w:rsidRPr="00E42DC4">
        <w:rPr>
          <w:rStyle w:val="FootnoteReference"/>
          <w:lang w:val="fr-CA"/>
        </w:rPr>
        <w:footnoteRef/>
      </w:r>
      <w:r>
        <w:rPr>
          <w:lang w:val="fr-CA"/>
        </w:rPr>
        <w:t xml:space="preserve"> </w:t>
      </w:r>
      <w:r w:rsidRPr="00E42DC4">
        <w:rPr>
          <w:lang w:val="fr-CA"/>
        </w:rPr>
        <w:t>Bien que le Conseil privé de la Reine pour le Canada, établi par l</w:t>
      </w:r>
      <w:r>
        <w:rPr>
          <w:lang w:val="fr-CA"/>
        </w:rPr>
        <w:t>’</w:t>
      </w:r>
      <w:r w:rsidRPr="00E42DC4">
        <w:rPr>
          <w:lang w:val="fr-CA"/>
        </w:rPr>
        <w:t xml:space="preserve">art. 11 de la </w:t>
      </w:r>
      <w:r w:rsidRPr="00E42DC4">
        <w:rPr>
          <w:i/>
          <w:lang w:val="fr-CA"/>
        </w:rPr>
        <w:t>Loi constitutionnelle de 1867</w:t>
      </w:r>
      <w:r w:rsidRPr="00E42DC4">
        <w:rPr>
          <w:lang w:val="fr-CA"/>
        </w:rPr>
        <w:t>, compren</w:t>
      </w:r>
      <w:r>
        <w:rPr>
          <w:lang w:val="fr-CA"/>
        </w:rPr>
        <w:t>d</w:t>
      </w:r>
      <w:r w:rsidRPr="00E42DC4">
        <w:rPr>
          <w:lang w:val="fr-CA"/>
        </w:rPr>
        <w:t xml:space="preserve"> des membres autres que les ministres, le principe de confidentialité s</w:t>
      </w:r>
      <w:r>
        <w:rPr>
          <w:lang w:val="fr-CA"/>
        </w:rPr>
        <w:t>’</w:t>
      </w:r>
      <w:r w:rsidRPr="00E42DC4">
        <w:rPr>
          <w:lang w:val="fr-CA"/>
        </w:rPr>
        <w:t>applique également à ses délibérations.</w:t>
      </w:r>
    </w:p>
  </w:footnote>
  <w:footnote w:id="7">
    <w:p w14:paraId="1E2728FB" w14:textId="69BD5745" w:rsidR="002C65EF" w:rsidRPr="007219E9" w:rsidRDefault="002C65EF" w:rsidP="004753FC">
      <w:pPr>
        <w:ind w:left="173" w:hanging="173"/>
        <w:jc w:val="both"/>
        <w:rPr>
          <w:sz w:val="20"/>
          <w:lang w:val="fr-CA"/>
        </w:rPr>
      </w:pPr>
      <w:r w:rsidRPr="00E42DC4">
        <w:rPr>
          <w:rStyle w:val="FootnoteReference"/>
          <w:sz w:val="20"/>
          <w:lang w:val="fr-CA"/>
        </w:rPr>
        <w:footnoteRef/>
      </w:r>
      <w:r>
        <w:rPr>
          <w:sz w:val="20"/>
          <w:lang w:val="fr-CA"/>
        </w:rPr>
        <w:t xml:space="preserve"> </w:t>
      </w:r>
      <w:r w:rsidRPr="00E42DC4">
        <w:rPr>
          <w:sz w:val="20"/>
          <w:lang w:val="fr-CA"/>
        </w:rPr>
        <w:t xml:space="preserve">Les </w:t>
      </w:r>
      <w:r>
        <w:rPr>
          <w:sz w:val="20"/>
          <w:lang w:val="fr-CA"/>
        </w:rPr>
        <w:t>législatures</w:t>
      </w:r>
      <w:r w:rsidRPr="00E42DC4">
        <w:rPr>
          <w:sz w:val="20"/>
          <w:lang w:val="fr-CA"/>
        </w:rPr>
        <w:t xml:space="preserve"> ont généralement maintenu l</w:t>
      </w:r>
      <w:r>
        <w:rPr>
          <w:sz w:val="20"/>
          <w:lang w:val="fr-CA"/>
        </w:rPr>
        <w:t>’</w:t>
      </w:r>
      <w:r w:rsidRPr="00E42DC4">
        <w:rPr>
          <w:sz w:val="20"/>
          <w:lang w:val="fr-CA"/>
        </w:rPr>
        <w:t>immunité d</w:t>
      </w:r>
      <w:r>
        <w:rPr>
          <w:sz w:val="20"/>
          <w:lang w:val="fr-CA"/>
        </w:rPr>
        <w:t>’</w:t>
      </w:r>
      <w:r w:rsidRPr="00E42DC4">
        <w:rPr>
          <w:sz w:val="20"/>
          <w:lang w:val="fr-CA"/>
        </w:rPr>
        <w:t xml:space="preserve">intérêt public : voir, p. ex., </w:t>
      </w:r>
      <w:r w:rsidRPr="00E42DC4">
        <w:rPr>
          <w:i/>
          <w:sz w:val="20"/>
          <w:lang w:val="fr-CA"/>
        </w:rPr>
        <w:t>Code de procédure civile</w:t>
      </w:r>
      <w:r w:rsidR="004753FC">
        <w:rPr>
          <w:sz w:val="20"/>
          <w:lang w:val="fr-CA"/>
        </w:rPr>
        <w:t>, RLRQ</w:t>
      </w:r>
      <w:r w:rsidRPr="00E42DC4">
        <w:rPr>
          <w:sz w:val="20"/>
          <w:lang w:val="fr-CA"/>
        </w:rPr>
        <w:t>, c. C</w:t>
      </w:r>
      <w:r>
        <w:rPr>
          <w:sz w:val="20"/>
          <w:lang w:val="fr-CA"/>
        </w:rPr>
        <w:noBreakHyphen/>
      </w:r>
      <w:r w:rsidRPr="00E42DC4">
        <w:rPr>
          <w:sz w:val="20"/>
          <w:lang w:val="fr-CA"/>
        </w:rPr>
        <w:t xml:space="preserve">25.01, art. 283; </w:t>
      </w:r>
      <w:r w:rsidRPr="00E42DC4">
        <w:rPr>
          <w:i/>
          <w:sz w:val="20"/>
          <w:lang w:val="fr-CA"/>
        </w:rPr>
        <w:t>Loi de 2019 sur la responsabilité de la Couronne et les instances l</w:t>
      </w:r>
      <w:r>
        <w:rPr>
          <w:i/>
          <w:sz w:val="20"/>
          <w:lang w:val="fr-CA"/>
        </w:rPr>
        <w:t>’</w:t>
      </w:r>
      <w:r w:rsidRPr="00E42DC4">
        <w:rPr>
          <w:i/>
          <w:sz w:val="20"/>
          <w:lang w:val="fr-CA"/>
        </w:rPr>
        <w:t>intéressant</w:t>
      </w:r>
      <w:r w:rsidRPr="00E42DC4">
        <w:rPr>
          <w:sz w:val="20"/>
          <w:lang w:val="fr-CA"/>
        </w:rPr>
        <w:t>, L.O.</w:t>
      </w:r>
      <w:r>
        <w:rPr>
          <w:sz w:val="20"/>
          <w:lang w:val="fr-CA"/>
        </w:rPr>
        <w:t> </w:t>
      </w:r>
      <w:r w:rsidRPr="00E42DC4">
        <w:rPr>
          <w:sz w:val="20"/>
          <w:lang w:val="fr-CA"/>
        </w:rPr>
        <w:t>2019, c.</w:t>
      </w:r>
      <w:r>
        <w:rPr>
          <w:sz w:val="20"/>
          <w:lang w:val="fr-CA"/>
        </w:rPr>
        <w:t> </w:t>
      </w:r>
      <w:r w:rsidRPr="00E42DC4">
        <w:rPr>
          <w:sz w:val="20"/>
          <w:lang w:val="fr-CA"/>
        </w:rPr>
        <w:t xml:space="preserve">7, ann. 17, par. 13(2); </w:t>
      </w:r>
      <w:r w:rsidRPr="00E42DC4">
        <w:rPr>
          <w:i/>
          <w:sz w:val="20"/>
          <w:lang w:val="fr-CA"/>
        </w:rPr>
        <w:t>Crown Proceeding Act</w:t>
      </w:r>
      <w:r w:rsidRPr="00E42DC4">
        <w:rPr>
          <w:sz w:val="20"/>
          <w:lang w:val="fr-CA"/>
        </w:rPr>
        <w:t>, R.S.B.C.</w:t>
      </w:r>
      <w:r>
        <w:rPr>
          <w:sz w:val="20"/>
          <w:lang w:val="fr-CA"/>
        </w:rPr>
        <w:t> </w:t>
      </w:r>
      <w:r w:rsidRPr="00E42DC4">
        <w:rPr>
          <w:sz w:val="20"/>
          <w:lang w:val="fr-CA"/>
        </w:rPr>
        <w:t xml:space="preserve">1996, c. 89, art. 9; </w:t>
      </w:r>
      <w:r w:rsidR="004753FC">
        <w:rPr>
          <w:i/>
          <w:sz w:val="20"/>
          <w:lang w:val="fr-CA"/>
        </w:rPr>
        <w:t>Proceedings a</w:t>
      </w:r>
      <w:r w:rsidRPr="00E42DC4">
        <w:rPr>
          <w:i/>
          <w:sz w:val="20"/>
          <w:lang w:val="fr-CA"/>
        </w:rPr>
        <w:t>gainst the Crown Act</w:t>
      </w:r>
      <w:r w:rsidRPr="00E42DC4">
        <w:rPr>
          <w:sz w:val="20"/>
          <w:lang w:val="fr-CA"/>
        </w:rPr>
        <w:t>, R.S.N.S.</w:t>
      </w:r>
      <w:r>
        <w:rPr>
          <w:sz w:val="20"/>
          <w:lang w:val="fr-CA"/>
        </w:rPr>
        <w:t> </w:t>
      </w:r>
      <w:r w:rsidRPr="00E42DC4">
        <w:rPr>
          <w:sz w:val="20"/>
          <w:lang w:val="fr-CA"/>
        </w:rPr>
        <w:t xml:space="preserve">1989, c. 360, art. 11. En revanche, le Parlement a </w:t>
      </w:r>
      <w:r w:rsidRPr="00817B51">
        <w:rPr>
          <w:sz w:val="20"/>
          <w:lang w:val="fr-CA"/>
        </w:rPr>
        <w:t>partiellement modifié cette immunité</w:t>
      </w:r>
      <w:r w:rsidRPr="00E42DC4">
        <w:rPr>
          <w:sz w:val="20"/>
          <w:lang w:val="fr-CA"/>
        </w:rPr>
        <w:t xml:space="preserve"> d</w:t>
      </w:r>
      <w:r>
        <w:rPr>
          <w:sz w:val="20"/>
          <w:lang w:val="fr-CA"/>
        </w:rPr>
        <w:t>’</w:t>
      </w:r>
      <w:r w:rsidRPr="00E42DC4">
        <w:rPr>
          <w:sz w:val="20"/>
          <w:lang w:val="fr-CA"/>
        </w:rPr>
        <w:t>intérêt public aux</w:t>
      </w:r>
      <w:r>
        <w:rPr>
          <w:sz w:val="20"/>
          <w:lang w:val="fr-CA"/>
        </w:rPr>
        <w:t xml:space="preserve"> art. 37 à </w:t>
      </w:r>
      <w:r w:rsidRPr="00E42DC4">
        <w:rPr>
          <w:sz w:val="20"/>
          <w:lang w:val="fr-CA"/>
        </w:rPr>
        <w:t xml:space="preserve">39 de la </w:t>
      </w:r>
      <w:r w:rsidRPr="00E42DC4">
        <w:rPr>
          <w:i/>
          <w:sz w:val="20"/>
          <w:lang w:val="fr-CA"/>
        </w:rPr>
        <w:t>Loi sur la preuve au Canada</w:t>
      </w:r>
      <w:r w:rsidRPr="00E42DC4">
        <w:rPr>
          <w:sz w:val="20"/>
          <w:lang w:val="fr-CA"/>
        </w:rPr>
        <w:t>, L.R.C.</w:t>
      </w:r>
      <w:r>
        <w:rPr>
          <w:sz w:val="20"/>
          <w:lang w:val="fr-CA"/>
        </w:rPr>
        <w:t> 1985, c. C</w:t>
      </w:r>
      <w:r>
        <w:rPr>
          <w:sz w:val="20"/>
          <w:lang w:val="fr-CA"/>
        </w:rPr>
        <w:noBreakHyphen/>
      </w:r>
      <w:r w:rsidRPr="00E42DC4">
        <w:rPr>
          <w:sz w:val="20"/>
          <w:lang w:val="fr-CA"/>
        </w:rPr>
        <w:t xml:space="preserve">5 : voir </w:t>
      </w:r>
      <w:r w:rsidRPr="00E42DC4">
        <w:rPr>
          <w:i/>
          <w:sz w:val="20"/>
          <w:lang w:val="fr-CA"/>
        </w:rPr>
        <w:t>Babcock</w:t>
      </w:r>
      <w:r w:rsidRPr="00E42DC4">
        <w:rPr>
          <w:sz w:val="20"/>
          <w:lang w:val="fr-CA"/>
        </w:rPr>
        <w:t xml:space="preserve">, par. 21 et suiv.; </w:t>
      </w:r>
      <w:r w:rsidRPr="00E42DC4">
        <w:rPr>
          <w:i/>
          <w:sz w:val="20"/>
          <w:lang w:val="fr-CA"/>
        </w:rPr>
        <w:t>R. c. Ahmad</w:t>
      </w:r>
      <w:r w:rsidRPr="00E42DC4">
        <w:rPr>
          <w:sz w:val="20"/>
          <w:lang w:val="fr-CA"/>
        </w:rPr>
        <w:t>, 2011 CSC</w:t>
      </w:r>
      <w:r>
        <w:rPr>
          <w:sz w:val="20"/>
          <w:lang w:val="fr-CA"/>
        </w:rPr>
        <w:t> </w:t>
      </w:r>
      <w:r w:rsidRPr="00E42DC4">
        <w:rPr>
          <w:sz w:val="20"/>
          <w:lang w:val="fr-CA"/>
        </w:rPr>
        <w:t>6, [2011] 1 R.C.S.</w:t>
      </w:r>
      <w:r>
        <w:rPr>
          <w:sz w:val="20"/>
          <w:lang w:val="fr-CA"/>
        </w:rPr>
        <w:t> </w:t>
      </w:r>
      <w:r w:rsidRPr="00E42DC4">
        <w:rPr>
          <w:sz w:val="20"/>
          <w:lang w:val="fr-CA"/>
        </w:rPr>
        <w:t>110.</w:t>
      </w:r>
    </w:p>
  </w:footnote>
  <w:footnote w:id="8">
    <w:p w14:paraId="5F5BEF36" w14:textId="41C5E417" w:rsidR="002C65EF" w:rsidRPr="00916E63" w:rsidRDefault="002C65EF" w:rsidP="004753FC">
      <w:pPr>
        <w:pStyle w:val="FootnoteText"/>
        <w:tabs>
          <w:tab w:val="clear" w:pos="180"/>
          <w:tab w:val="left" w:pos="0"/>
        </w:tabs>
        <w:ind w:left="158" w:hanging="158"/>
        <w:rPr>
          <w:lang w:val="fr-CA"/>
        </w:rPr>
      </w:pPr>
      <w:r w:rsidRPr="00916E63">
        <w:rPr>
          <w:rStyle w:val="FootnoteReference"/>
          <w:lang w:val="fr-CA"/>
        </w:rPr>
        <w:footnoteRef/>
      </w:r>
      <w:r w:rsidR="004753FC">
        <w:rPr>
          <w:lang w:val="fr-CA"/>
        </w:rPr>
        <w:t xml:space="preserve"> </w:t>
      </w:r>
      <w:r w:rsidRPr="00916E63">
        <w:rPr>
          <w:lang w:val="fr-CA"/>
        </w:rPr>
        <w:t>Les mêmes considérations s</w:t>
      </w:r>
      <w:r>
        <w:rPr>
          <w:lang w:val="fr-CA"/>
        </w:rPr>
        <w:t>’</w:t>
      </w:r>
      <w:r w:rsidRPr="00916E63">
        <w:rPr>
          <w:lang w:val="fr-CA"/>
        </w:rPr>
        <w:t xml:space="preserve">appliquent généralement aux témoignages. </w:t>
      </w:r>
      <w:r>
        <w:rPr>
          <w:lang w:val="fr-CA"/>
        </w:rPr>
        <w:t>Toutefois, les ministres</w:t>
      </w:r>
      <w:r w:rsidRPr="00916E63">
        <w:rPr>
          <w:lang w:val="fr-CA"/>
        </w:rPr>
        <w:t xml:space="preserve">, </w:t>
      </w:r>
      <w:r>
        <w:rPr>
          <w:lang w:val="fr-CA"/>
        </w:rPr>
        <w:t xml:space="preserve">actuels et anciens, qui siègent comme membres du Sénat, de la Chambre des communes ou d’une </w:t>
      </w:r>
      <w:r w:rsidRPr="00E42DC4">
        <w:rPr>
          <w:lang w:val="fr-CA"/>
        </w:rPr>
        <w:t>assemblée législative bénéficient d</w:t>
      </w:r>
      <w:r>
        <w:rPr>
          <w:lang w:val="fr-CA"/>
        </w:rPr>
        <w:t>’</w:t>
      </w:r>
      <w:r w:rsidRPr="00E42DC4">
        <w:rPr>
          <w:lang w:val="fr-CA"/>
        </w:rPr>
        <w:t>une forme limitée d</w:t>
      </w:r>
      <w:r>
        <w:rPr>
          <w:lang w:val="fr-CA"/>
        </w:rPr>
        <w:t>’</w:t>
      </w:r>
      <w:r w:rsidRPr="00E42DC4">
        <w:rPr>
          <w:lang w:val="fr-CA"/>
        </w:rPr>
        <w:t xml:space="preserve">immunité testimoniale qui relève du privilège parlementaire : voir </w:t>
      </w:r>
      <w:r w:rsidRPr="00E42DC4">
        <w:rPr>
          <w:i/>
          <w:lang w:val="fr-CA"/>
        </w:rPr>
        <w:t>Vaid</w:t>
      </w:r>
      <w:r w:rsidRPr="00E42DC4">
        <w:rPr>
          <w:lang w:val="fr-CA"/>
        </w:rPr>
        <w:t xml:space="preserve">, par, 29; </w:t>
      </w:r>
      <w:r w:rsidRPr="00E42DC4">
        <w:rPr>
          <w:i/>
          <w:lang w:val="fr-CA"/>
        </w:rPr>
        <w:t>Ainsworth Lumber Co. c. Canada (Attorney General)</w:t>
      </w:r>
      <w:r w:rsidRPr="00E42DC4">
        <w:rPr>
          <w:lang w:val="fr-CA"/>
        </w:rPr>
        <w:t>, 2003 BCCA</w:t>
      </w:r>
      <w:r>
        <w:rPr>
          <w:lang w:val="fr-CA"/>
        </w:rPr>
        <w:t> </w:t>
      </w:r>
      <w:r w:rsidRPr="00E42DC4">
        <w:rPr>
          <w:lang w:val="fr-CA"/>
        </w:rPr>
        <w:t xml:space="preserve">239, 14 B.C.L.R. (4th) 302; </w:t>
      </w:r>
      <w:r w:rsidRPr="00E42DC4">
        <w:rPr>
          <w:i/>
          <w:lang w:val="fr-CA"/>
        </w:rPr>
        <w:t>Telezone Inc. c. Canada (Attorney General)</w:t>
      </w:r>
      <w:r w:rsidRPr="00E42DC4">
        <w:rPr>
          <w:lang w:val="fr-CA"/>
        </w:rPr>
        <w:t xml:space="preserve"> (2004), 69 O.R. (3d) 161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6AB5D" w14:textId="77777777" w:rsidR="008F6A22" w:rsidRDefault="008F6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C840"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7349" w14:textId="77777777" w:rsidR="008F6A22" w:rsidRDefault="008F6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016C88"/>
    <w:multiLevelType w:val="hybridMultilevel"/>
    <w:tmpl w:val="A5E83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135CC3"/>
    <w:multiLevelType w:val="hybridMultilevel"/>
    <w:tmpl w:val="C9C41056"/>
    <w:lvl w:ilvl="0" w:tplc="916657C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9C476C"/>
    <w:multiLevelType w:val="hybridMultilevel"/>
    <w:tmpl w:val="918644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283EE8"/>
    <w:multiLevelType w:val="multilevel"/>
    <w:tmpl w:val="70F0436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pStyle w:val="Style1"/>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C36AF8"/>
    <w:multiLevelType w:val="hybridMultilevel"/>
    <w:tmpl w:val="0F1AD724"/>
    <w:lvl w:ilvl="0" w:tplc="4BAC643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797922"/>
    <w:multiLevelType w:val="hybridMultilevel"/>
    <w:tmpl w:val="AD8ECB70"/>
    <w:lvl w:ilvl="0" w:tplc="4BAC643C">
      <w:start w:val="1"/>
      <w:numFmt w:val="decimal"/>
      <w:lvlText w:val="(%1)"/>
      <w:lvlJc w:val="left"/>
      <w:pPr>
        <w:ind w:left="2160" w:hanging="360"/>
      </w:pPr>
      <w:rPr>
        <w:rFonts w:hint="default"/>
      </w:r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10"/>
  </w:num>
  <w:num w:numId="2">
    <w:abstractNumId w:val="1"/>
  </w:num>
  <w:num w:numId="3">
    <w:abstractNumId w:val="0"/>
  </w:num>
  <w:num w:numId="4">
    <w:abstractNumId w:val="5"/>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4458"/>
    <w:rsid w:val="000578A3"/>
    <w:rsid w:val="000648CC"/>
    <w:rsid w:val="000A18A1"/>
    <w:rsid w:val="000A3C21"/>
    <w:rsid w:val="000C59B8"/>
    <w:rsid w:val="000C6AF0"/>
    <w:rsid w:val="000D0A77"/>
    <w:rsid w:val="000E7024"/>
    <w:rsid w:val="000F7993"/>
    <w:rsid w:val="00100AED"/>
    <w:rsid w:val="00104F33"/>
    <w:rsid w:val="00111DE2"/>
    <w:rsid w:val="00116B38"/>
    <w:rsid w:val="00135406"/>
    <w:rsid w:val="00135972"/>
    <w:rsid w:val="001426A9"/>
    <w:rsid w:val="00144D17"/>
    <w:rsid w:val="00154D7C"/>
    <w:rsid w:val="001570B0"/>
    <w:rsid w:val="0015752C"/>
    <w:rsid w:val="00157737"/>
    <w:rsid w:val="00165277"/>
    <w:rsid w:val="00170592"/>
    <w:rsid w:val="001720F7"/>
    <w:rsid w:val="00184B82"/>
    <w:rsid w:val="00195D83"/>
    <w:rsid w:val="001A00C1"/>
    <w:rsid w:val="001A1F99"/>
    <w:rsid w:val="001A6CEE"/>
    <w:rsid w:val="001B33E0"/>
    <w:rsid w:val="001B4573"/>
    <w:rsid w:val="001C779F"/>
    <w:rsid w:val="001D2AC1"/>
    <w:rsid w:val="001D4E88"/>
    <w:rsid w:val="001E463C"/>
    <w:rsid w:val="001F54C8"/>
    <w:rsid w:val="0020172A"/>
    <w:rsid w:val="00220FC2"/>
    <w:rsid w:val="002222F4"/>
    <w:rsid w:val="00224FC0"/>
    <w:rsid w:val="00225EA4"/>
    <w:rsid w:val="00226EAF"/>
    <w:rsid w:val="00231F3A"/>
    <w:rsid w:val="002406EE"/>
    <w:rsid w:val="00243EC8"/>
    <w:rsid w:val="00270D93"/>
    <w:rsid w:val="002745CC"/>
    <w:rsid w:val="00286683"/>
    <w:rsid w:val="00286E43"/>
    <w:rsid w:val="00296419"/>
    <w:rsid w:val="002B6FBE"/>
    <w:rsid w:val="002B7924"/>
    <w:rsid w:val="002C10A6"/>
    <w:rsid w:val="002C48BE"/>
    <w:rsid w:val="002C65EF"/>
    <w:rsid w:val="002D28C3"/>
    <w:rsid w:val="002D39A4"/>
    <w:rsid w:val="002E6705"/>
    <w:rsid w:val="0030329A"/>
    <w:rsid w:val="00306559"/>
    <w:rsid w:val="00307405"/>
    <w:rsid w:val="00310747"/>
    <w:rsid w:val="0031086F"/>
    <w:rsid w:val="0031414C"/>
    <w:rsid w:val="00314E01"/>
    <w:rsid w:val="0032089D"/>
    <w:rsid w:val="003310DE"/>
    <w:rsid w:val="003323B0"/>
    <w:rsid w:val="00337F71"/>
    <w:rsid w:val="00340A49"/>
    <w:rsid w:val="00342FC9"/>
    <w:rsid w:val="00345490"/>
    <w:rsid w:val="0035169A"/>
    <w:rsid w:val="0035259D"/>
    <w:rsid w:val="003628C3"/>
    <w:rsid w:val="00364B04"/>
    <w:rsid w:val="00364B18"/>
    <w:rsid w:val="00371440"/>
    <w:rsid w:val="0039574D"/>
    <w:rsid w:val="0039601F"/>
    <w:rsid w:val="003A125D"/>
    <w:rsid w:val="003A4C70"/>
    <w:rsid w:val="003B215F"/>
    <w:rsid w:val="003C250D"/>
    <w:rsid w:val="003C799C"/>
    <w:rsid w:val="003D0399"/>
    <w:rsid w:val="003E1C71"/>
    <w:rsid w:val="003F327B"/>
    <w:rsid w:val="0040100A"/>
    <w:rsid w:val="00406166"/>
    <w:rsid w:val="0040704B"/>
    <w:rsid w:val="00410A55"/>
    <w:rsid w:val="00411300"/>
    <w:rsid w:val="00413D29"/>
    <w:rsid w:val="00413F17"/>
    <w:rsid w:val="00415417"/>
    <w:rsid w:val="00426659"/>
    <w:rsid w:val="00432E0E"/>
    <w:rsid w:val="00437E60"/>
    <w:rsid w:val="00450352"/>
    <w:rsid w:val="00454BDB"/>
    <w:rsid w:val="00465132"/>
    <w:rsid w:val="00466060"/>
    <w:rsid w:val="00473F44"/>
    <w:rsid w:val="004753FC"/>
    <w:rsid w:val="00480A52"/>
    <w:rsid w:val="00480C90"/>
    <w:rsid w:val="0048396F"/>
    <w:rsid w:val="00490D06"/>
    <w:rsid w:val="00493C18"/>
    <w:rsid w:val="004A600C"/>
    <w:rsid w:val="004A6118"/>
    <w:rsid w:val="004C2E9B"/>
    <w:rsid w:val="004C478D"/>
    <w:rsid w:val="004C5981"/>
    <w:rsid w:val="004D4F1B"/>
    <w:rsid w:val="004D7D95"/>
    <w:rsid w:val="004E2C26"/>
    <w:rsid w:val="004F4E57"/>
    <w:rsid w:val="005125A8"/>
    <w:rsid w:val="00516D17"/>
    <w:rsid w:val="00517549"/>
    <w:rsid w:val="00520ABC"/>
    <w:rsid w:val="00521AE8"/>
    <w:rsid w:val="00527180"/>
    <w:rsid w:val="00540A77"/>
    <w:rsid w:val="00554EE8"/>
    <w:rsid w:val="00555291"/>
    <w:rsid w:val="00566AD1"/>
    <w:rsid w:val="00583EDE"/>
    <w:rsid w:val="00587314"/>
    <w:rsid w:val="00590835"/>
    <w:rsid w:val="005A6079"/>
    <w:rsid w:val="005D7AC4"/>
    <w:rsid w:val="005E4698"/>
    <w:rsid w:val="005F153B"/>
    <w:rsid w:val="00603924"/>
    <w:rsid w:val="00610539"/>
    <w:rsid w:val="00613969"/>
    <w:rsid w:val="00615C82"/>
    <w:rsid w:val="00625C35"/>
    <w:rsid w:val="00646523"/>
    <w:rsid w:val="00647E49"/>
    <w:rsid w:val="00656313"/>
    <w:rsid w:val="006565F4"/>
    <w:rsid w:val="00656AFE"/>
    <w:rsid w:val="006746A3"/>
    <w:rsid w:val="00684A78"/>
    <w:rsid w:val="00684EEA"/>
    <w:rsid w:val="006852F9"/>
    <w:rsid w:val="0069689B"/>
    <w:rsid w:val="006B5FF5"/>
    <w:rsid w:val="006C48EC"/>
    <w:rsid w:val="006F30AF"/>
    <w:rsid w:val="006F5403"/>
    <w:rsid w:val="00701759"/>
    <w:rsid w:val="00705C15"/>
    <w:rsid w:val="007110F6"/>
    <w:rsid w:val="007208D1"/>
    <w:rsid w:val="00744518"/>
    <w:rsid w:val="00744F01"/>
    <w:rsid w:val="00747288"/>
    <w:rsid w:val="00747DD3"/>
    <w:rsid w:val="007549C8"/>
    <w:rsid w:val="00766D14"/>
    <w:rsid w:val="00767A0F"/>
    <w:rsid w:val="00784C41"/>
    <w:rsid w:val="00787376"/>
    <w:rsid w:val="00791272"/>
    <w:rsid w:val="007A05F6"/>
    <w:rsid w:val="007B6F4A"/>
    <w:rsid w:val="007E1C47"/>
    <w:rsid w:val="007E261E"/>
    <w:rsid w:val="007E337A"/>
    <w:rsid w:val="007E5C70"/>
    <w:rsid w:val="007F2FF5"/>
    <w:rsid w:val="007F3F08"/>
    <w:rsid w:val="00804CC6"/>
    <w:rsid w:val="00817190"/>
    <w:rsid w:val="008260E2"/>
    <w:rsid w:val="008322BD"/>
    <w:rsid w:val="00834F73"/>
    <w:rsid w:val="0084012A"/>
    <w:rsid w:val="00846D01"/>
    <w:rsid w:val="00854BCE"/>
    <w:rsid w:val="00864C8A"/>
    <w:rsid w:val="00864CF8"/>
    <w:rsid w:val="00865E4B"/>
    <w:rsid w:val="00874914"/>
    <w:rsid w:val="008757FB"/>
    <w:rsid w:val="00891422"/>
    <w:rsid w:val="00892E1A"/>
    <w:rsid w:val="008A5DA7"/>
    <w:rsid w:val="008A601B"/>
    <w:rsid w:val="008B587B"/>
    <w:rsid w:val="008B660A"/>
    <w:rsid w:val="008C01DA"/>
    <w:rsid w:val="008C13FD"/>
    <w:rsid w:val="008C2794"/>
    <w:rsid w:val="008F2674"/>
    <w:rsid w:val="008F6A22"/>
    <w:rsid w:val="008F78E9"/>
    <w:rsid w:val="00902FD4"/>
    <w:rsid w:val="0090613E"/>
    <w:rsid w:val="009179F9"/>
    <w:rsid w:val="00917C7A"/>
    <w:rsid w:val="00930D3C"/>
    <w:rsid w:val="00933E5E"/>
    <w:rsid w:val="00935218"/>
    <w:rsid w:val="0093567A"/>
    <w:rsid w:val="00937C52"/>
    <w:rsid w:val="009403F3"/>
    <w:rsid w:val="009446D9"/>
    <w:rsid w:val="00951816"/>
    <w:rsid w:val="009555B7"/>
    <w:rsid w:val="009567AA"/>
    <w:rsid w:val="009602C9"/>
    <w:rsid w:val="00967374"/>
    <w:rsid w:val="00990677"/>
    <w:rsid w:val="009A343A"/>
    <w:rsid w:val="009A68D6"/>
    <w:rsid w:val="009B2F23"/>
    <w:rsid w:val="009B57B3"/>
    <w:rsid w:val="009B7B8B"/>
    <w:rsid w:val="009C1891"/>
    <w:rsid w:val="009C512B"/>
    <w:rsid w:val="009C68E8"/>
    <w:rsid w:val="009D2920"/>
    <w:rsid w:val="009D5AEB"/>
    <w:rsid w:val="009F0377"/>
    <w:rsid w:val="009F0E33"/>
    <w:rsid w:val="00A1359B"/>
    <w:rsid w:val="00A149DF"/>
    <w:rsid w:val="00A1755C"/>
    <w:rsid w:val="00A21B90"/>
    <w:rsid w:val="00A22AAC"/>
    <w:rsid w:val="00A41805"/>
    <w:rsid w:val="00A51882"/>
    <w:rsid w:val="00A52AFB"/>
    <w:rsid w:val="00A548CB"/>
    <w:rsid w:val="00A5521C"/>
    <w:rsid w:val="00A565A5"/>
    <w:rsid w:val="00A602B3"/>
    <w:rsid w:val="00A643E7"/>
    <w:rsid w:val="00A73C38"/>
    <w:rsid w:val="00A86840"/>
    <w:rsid w:val="00A914C4"/>
    <w:rsid w:val="00A921A7"/>
    <w:rsid w:val="00A933B5"/>
    <w:rsid w:val="00A9708B"/>
    <w:rsid w:val="00AA511B"/>
    <w:rsid w:val="00AB2445"/>
    <w:rsid w:val="00AB670D"/>
    <w:rsid w:val="00AE304F"/>
    <w:rsid w:val="00AF03C5"/>
    <w:rsid w:val="00AF1C12"/>
    <w:rsid w:val="00B000D8"/>
    <w:rsid w:val="00B00F75"/>
    <w:rsid w:val="00B145B6"/>
    <w:rsid w:val="00B14C5E"/>
    <w:rsid w:val="00B279EB"/>
    <w:rsid w:val="00B509B2"/>
    <w:rsid w:val="00B50C81"/>
    <w:rsid w:val="00B5342D"/>
    <w:rsid w:val="00B557F8"/>
    <w:rsid w:val="00B60441"/>
    <w:rsid w:val="00B815FC"/>
    <w:rsid w:val="00B91D3B"/>
    <w:rsid w:val="00B93FBC"/>
    <w:rsid w:val="00BA7DA0"/>
    <w:rsid w:val="00BB2EE4"/>
    <w:rsid w:val="00BB4B8F"/>
    <w:rsid w:val="00BB4C92"/>
    <w:rsid w:val="00BC2108"/>
    <w:rsid w:val="00BD0E9E"/>
    <w:rsid w:val="00BD1BEC"/>
    <w:rsid w:val="00BD32FF"/>
    <w:rsid w:val="00BF3C81"/>
    <w:rsid w:val="00BF6FE9"/>
    <w:rsid w:val="00C02092"/>
    <w:rsid w:val="00C06D61"/>
    <w:rsid w:val="00C06E3F"/>
    <w:rsid w:val="00C11947"/>
    <w:rsid w:val="00C20F5A"/>
    <w:rsid w:val="00C24D91"/>
    <w:rsid w:val="00C26DB2"/>
    <w:rsid w:val="00C425DB"/>
    <w:rsid w:val="00C53F14"/>
    <w:rsid w:val="00C600CF"/>
    <w:rsid w:val="00C6084F"/>
    <w:rsid w:val="00C62A66"/>
    <w:rsid w:val="00C66359"/>
    <w:rsid w:val="00C71458"/>
    <w:rsid w:val="00C77613"/>
    <w:rsid w:val="00C828E7"/>
    <w:rsid w:val="00C86719"/>
    <w:rsid w:val="00C921DD"/>
    <w:rsid w:val="00CA6391"/>
    <w:rsid w:val="00CB5112"/>
    <w:rsid w:val="00CD56B5"/>
    <w:rsid w:val="00CE036E"/>
    <w:rsid w:val="00CE1C36"/>
    <w:rsid w:val="00CE3171"/>
    <w:rsid w:val="00CF1601"/>
    <w:rsid w:val="00D0172F"/>
    <w:rsid w:val="00D01E33"/>
    <w:rsid w:val="00D068A7"/>
    <w:rsid w:val="00D1571C"/>
    <w:rsid w:val="00D17476"/>
    <w:rsid w:val="00D17B0E"/>
    <w:rsid w:val="00D30A9B"/>
    <w:rsid w:val="00D32086"/>
    <w:rsid w:val="00D37A3F"/>
    <w:rsid w:val="00D4431D"/>
    <w:rsid w:val="00D4667A"/>
    <w:rsid w:val="00D638A8"/>
    <w:rsid w:val="00D63A1C"/>
    <w:rsid w:val="00D7516F"/>
    <w:rsid w:val="00D93FA0"/>
    <w:rsid w:val="00D95F8E"/>
    <w:rsid w:val="00D970D4"/>
    <w:rsid w:val="00DA0590"/>
    <w:rsid w:val="00DC1739"/>
    <w:rsid w:val="00DC1788"/>
    <w:rsid w:val="00DE319C"/>
    <w:rsid w:val="00DF0CA8"/>
    <w:rsid w:val="00DF2B48"/>
    <w:rsid w:val="00DF49A7"/>
    <w:rsid w:val="00E07EE2"/>
    <w:rsid w:val="00E07FD1"/>
    <w:rsid w:val="00E16448"/>
    <w:rsid w:val="00E24573"/>
    <w:rsid w:val="00E25E1E"/>
    <w:rsid w:val="00E27EE7"/>
    <w:rsid w:val="00E35404"/>
    <w:rsid w:val="00E37564"/>
    <w:rsid w:val="00E40AC6"/>
    <w:rsid w:val="00E447B6"/>
    <w:rsid w:val="00E45109"/>
    <w:rsid w:val="00E47B7A"/>
    <w:rsid w:val="00E56A44"/>
    <w:rsid w:val="00E57964"/>
    <w:rsid w:val="00E60269"/>
    <w:rsid w:val="00E679D3"/>
    <w:rsid w:val="00E97830"/>
    <w:rsid w:val="00EE0830"/>
    <w:rsid w:val="00EE6CB8"/>
    <w:rsid w:val="00EF0683"/>
    <w:rsid w:val="00F0070C"/>
    <w:rsid w:val="00F00EB7"/>
    <w:rsid w:val="00F061D2"/>
    <w:rsid w:val="00F12FF4"/>
    <w:rsid w:val="00F142A6"/>
    <w:rsid w:val="00F36AB6"/>
    <w:rsid w:val="00F37367"/>
    <w:rsid w:val="00F37A09"/>
    <w:rsid w:val="00F409CE"/>
    <w:rsid w:val="00F4379D"/>
    <w:rsid w:val="00F46C4C"/>
    <w:rsid w:val="00F50D2D"/>
    <w:rsid w:val="00F56C8B"/>
    <w:rsid w:val="00F62639"/>
    <w:rsid w:val="00F66810"/>
    <w:rsid w:val="00F84DF4"/>
    <w:rsid w:val="00F85C97"/>
    <w:rsid w:val="00FB37D2"/>
    <w:rsid w:val="00FC3E09"/>
    <w:rsid w:val="00FC4EFB"/>
    <w:rsid w:val="00FD068D"/>
    <w:rsid w:val="00FD4F28"/>
    <w:rsid w:val="00FD661F"/>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5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E37564"/>
    <w:rPr>
      <w:sz w:val="16"/>
      <w:szCs w:val="16"/>
    </w:rPr>
  </w:style>
  <w:style w:type="paragraph" w:styleId="CommentText">
    <w:name w:val="annotation text"/>
    <w:basedOn w:val="Normal"/>
    <w:link w:val="CommentTextChar"/>
    <w:uiPriority w:val="99"/>
    <w:unhideWhenUsed/>
    <w:rsid w:val="00E37564"/>
    <w:rPr>
      <w:sz w:val="20"/>
    </w:rPr>
  </w:style>
  <w:style w:type="character" w:customStyle="1" w:styleId="CommentTextChar">
    <w:name w:val="Comment Text Char"/>
    <w:basedOn w:val="DefaultParagraphFont"/>
    <w:link w:val="CommentText"/>
    <w:uiPriority w:val="99"/>
    <w:rsid w:val="00E37564"/>
  </w:style>
  <w:style w:type="paragraph" w:styleId="FootnoteText">
    <w:name w:val="footnote text"/>
    <w:basedOn w:val="Normal"/>
    <w:link w:val="FootnoteTextChar"/>
    <w:uiPriority w:val="99"/>
    <w:unhideWhenUsed/>
    <w:rsid w:val="00286E4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86E43"/>
  </w:style>
  <w:style w:type="paragraph" w:styleId="CommentSubject">
    <w:name w:val="annotation subject"/>
    <w:basedOn w:val="CommentText"/>
    <w:next w:val="CommentText"/>
    <w:link w:val="CommentSubjectChar"/>
    <w:uiPriority w:val="99"/>
    <w:semiHidden/>
    <w:unhideWhenUsed/>
    <w:rsid w:val="00D93FA0"/>
    <w:rPr>
      <w:b/>
      <w:bCs/>
    </w:rPr>
  </w:style>
  <w:style w:type="character" w:customStyle="1" w:styleId="CommentSubjectChar">
    <w:name w:val="Comment Subject Char"/>
    <w:basedOn w:val="CommentTextChar"/>
    <w:link w:val="CommentSubject"/>
    <w:uiPriority w:val="99"/>
    <w:semiHidden/>
    <w:rsid w:val="00D93FA0"/>
    <w:rPr>
      <w:b/>
      <w:bCs/>
    </w:rPr>
  </w:style>
  <w:style w:type="paragraph" w:customStyle="1" w:styleId="SCCLsocOtherPartyRoleSeparator">
    <w:name w:val="SCC.Lsoc.OtherPartyRoleSeparator"/>
    <w:basedOn w:val="Normal"/>
    <w:next w:val="Normal"/>
    <w:link w:val="SCCLsocOtherPartyRoleSeparatorChar"/>
    <w:rsid w:val="002C65EF"/>
    <w:pPr>
      <w:spacing w:after="480"/>
    </w:pPr>
    <w:rPr>
      <w:rFonts w:eastAsiaTheme="minorHAnsi" w:cstheme="minorBidi"/>
      <w:szCs w:val="22"/>
      <w:lang w:eastAsia="en-US"/>
    </w:rPr>
  </w:style>
  <w:style w:type="paragraph" w:customStyle="1" w:styleId="SCCCoram">
    <w:name w:val="SCC.Coram"/>
    <w:basedOn w:val="Normal"/>
    <w:next w:val="Normal"/>
    <w:link w:val="SCCCoramChar"/>
    <w:rsid w:val="002C65E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C65E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C65EF"/>
    <w:rPr>
      <w:rFonts w:eastAsiaTheme="minorHAnsi" w:cstheme="minorBidi"/>
      <w:sz w:val="24"/>
      <w:szCs w:val="22"/>
      <w:lang w:eastAsia="en-US"/>
    </w:rPr>
  </w:style>
  <w:style w:type="character" w:customStyle="1" w:styleId="SCCBanSummaryChar">
    <w:name w:val="SCC.BanSummary Char"/>
    <w:basedOn w:val="DefaultParagraphFont"/>
    <w:link w:val="SCCBanSummary"/>
    <w:rsid w:val="002C65EF"/>
    <w:rPr>
      <w:b/>
      <w:sz w:val="24"/>
    </w:rPr>
  </w:style>
  <w:style w:type="table" w:styleId="TableGrid">
    <w:name w:val="Table Grid"/>
    <w:basedOn w:val="TableNormal"/>
    <w:uiPriority w:val="59"/>
    <w:rsid w:val="002C65E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C65E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C65E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C65EF"/>
    <w:pPr>
      <w:tabs>
        <w:tab w:val="left" w:pos="1166"/>
      </w:tabs>
      <w:spacing w:after="480" w:line="480" w:lineRule="auto"/>
    </w:pPr>
    <w:rPr>
      <w:smallCaps/>
      <w:sz w:val="24"/>
      <w:szCs w:val="24"/>
    </w:rPr>
  </w:style>
  <w:style w:type="paragraph" w:customStyle="1" w:styleId="ParaNoNdepar-AltN">
    <w:name w:val="Para. No. / Nº de par. - Alt N"/>
    <w:qFormat/>
    <w:rsid w:val="002C65E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C65E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C65E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C65EF"/>
    <w:pPr>
      <w:numPr>
        <w:ilvl w:val="2"/>
      </w:numPr>
      <w:outlineLvl w:val="2"/>
    </w:pPr>
  </w:style>
  <w:style w:type="paragraph" w:customStyle="1" w:styleId="Title4LevelTitre4Niveau">
    <w:name w:val="Title 4 Level / Titre 4 Niveau"/>
    <w:basedOn w:val="Title3LevelTitre3Niveau"/>
    <w:next w:val="ParaNoNdepar-AltN"/>
    <w:uiPriority w:val="4"/>
    <w:qFormat/>
    <w:rsid w:val="002C65E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C65EF"/>
    <w:pPr>
      <w:numPr>
        <w:ilvl w:val="4"/>
      </w:numPr>
      <w:outlineLvl w:val="4"/>
    </w:pPr>
  </w:style>
  <w:style w:type="paragraph" w:styleId="TOC1">
    <w:name w:val="toc 1"/>
    <w:basedOn w:val="Normal"/>
    <w:next w:val="Normal"/>
    <w:autoRedefine/>
    <w:uiPriority w:val="39"/>
    <w:unhideWhenUsed/>
    <w:rsid w:val="002C65E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C65E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C65E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C65E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C65E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C65EF"/>
    <w:pPr>
      <w:tabs>
        <w:tab w:val="left" w:pos="2160"/>
        <w:tab w:val="right" w:leader="dot" w:pos="8270"/>
      </w:tabs>
      <w:spacing w:after="100"/>
      <w:ind w:left="1800"/>
    </w:pPr>
    <w:rPr>
      <w:noProof/>
    </w:rPr>
  </w:style>
  <w:style w:type="table" w:customStyle="1" w:styleId="TableGrid1">
    <w:name w:val="Table Grid1"/>
    <w:basedOn w:val="TableNormal"/>
    <w:uiPriority w:val="59"/>
    <w:rsid w:val="002C65E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C65E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C65EF"/>
    <w:pPr>
      <w:numPr>
        <w:ilvl w:val="5"/>
      </w:numPr>
      <w:outlineLvl w:val="5"/>
    </w:pPr>
    <w:rPr>
      <w:i/>
      <w:u w:val="none"/>
    </w:rPr>
  </w:style>
  <w:style w:type="character" w:styleId="FootnoteReference">
    <w:name w:val="footnote reference"/>
    <w:basedOn w:val="DefaultParagraphFont"/>
    <w:uiPriority w:val="99"/>
    <w:semiHidden/>
    <w:unhideWhenUsed/>
    <w:rsid w:val="002C65EF"/>
    <w:rPr>
      <w:vertAlign w:val="superscript"/>
    </w:rPr>
  </w:style>
  <w:style w:type="paragraph" w:styleId="Revision">
    <w:name w:val="Revision"/>
    <w:hidden/>
    <w:uiPriority w:val="99"/>
    <w:semiHidden/>
    <w:rsid w:val="002C65EF"/>
    <w:rPr>
      <w:sz w:val="24"/>
      <w:szCs w:val="24"/>
    </w:rPr>
  </w:style>
  <w:style w:type="paragraph" w:styleId="ListParagraph">
    <w:name w:val="List Paragraph"/>
    <w:basedOn w:val="Normal"/>
    <w:uiPriority w:val="34"/>
    <w:rsid w:val="002C65EF"/>
    <w:pPr>
      <w:ind w:left="720"/>
      <w:contextualSpacing/>
    </w:pPr>
    <w:rPr>
      <w:szCs w:val="24"/>
    </w:rPr>
  </w:style>
  <w:style w:type="paragraph" w:customStyle="1" w:styleId="Style1">
    <w:name w:val="Style1"/>
    <w:basedOn w:val="ParaNoNdepar-AltN"/>
    <w:uiPriority w:val="5"/>
    <w:qFormat/>
    <w:rsid w:val="002C65EF"/>
    <w:pPr>
      <w:numPr>
        <w:ilvl w:val="1"/>
      </w:numPr>
      <w:spacing w:line="240" w:lineRule="auto"/>
    </w:pPr>
    <w:rPr>
      <w:lang w:val="fr-CA"/>
    </w:rPr>
  </w:style>
  <w:style w:type="paragraph" w:styleId="EndnoteText">
    <w:name w:val="endnote text"/>
    <w:basedOn w:val="Normal"/>
    <w:link w:val="EndnoteTextChar"/>
    <w:uiPriority w:val="99"/>
    <w:semiHidden/>
    <w:unhideWhenUsed/>
    <w:rsid w:val="002C65EF"/>
    <w:rPr>
      <w:sz w:val="20"/>
    </w:rPr>
  </w:style>
  <w:style w:type="character" w:customStyle="1" w:styleId="EndnoteTextChar">
    <w:name w:val="Endnote Text Char"/>
    <w:basedOn w:val="DefaultParagraphFont"/>
    <w:link w:val="EndnoteText"/>
    <w:uiPriority w:val="99"/>
    <w:semiHidden/>
    <w:rsid w:val="002C65EF"/>
  </w:style>
  <w:style w:type="character" w:styleId="EndnoteReference">
    <w:name w:val="endnote reference"/>
    <w:basedOn w:val="DefaultParagraphFont"/>
    <w:uiPriority w:val="99"/>
    <w:semiHidden/>
    <w:unhideWhenUsed/>
    <w:rsid w:val="002C65EF"/>
    <w:rPr>
      <w:vertAlign w:val="superscript"/>
    </w:rPr>
  </w:style>
  <w:style w:type="table" w:customStyle="1" w:styleId="TableGrid2">
    <w:name w:val="Table Grid2"/>
    <w:basedOn w:val="TableNormal"/>
    <w:next w:val="TableGrid"/>
    <w:uiPriority w:val="59"/>
    <w:rsid w:val="002C65E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34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E49B-594B-434F-A14E-C414C44D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16369</Words>
  <Characters>90033</Characters>
  <Application>Microsoft Office Word</Application>
  <DocSecurity>0</DocSecurity>
  <Lines>750</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2021-05-19T12:03:00Z</dcterms:created>
  <dcterms:modified xsi:type="dcterms:W3CDTF">2023-03-14T17:40:00Z</dcterms:modified>
</cp:coreProperties>
</file>