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265B9" w14:textId="77777777" w:rsidR="00D0149E" w:rsidRPr="00B3086A" w:rsidRDefault="00D0149E" w:rsidP="00D0149E">
      <w:pPr>
        <w:tabs>
          <w:tab w:val="center" w:pos="4680"/>
          <w:tab w:val="right" w:pos="9360"/>
        </w:tabs>
        <w:jc w:val="center"/>
        <w:rPr>
          <w:rFonts w:eastAsiaTheme="minorHAnsi" w:cstheme="minorBidi"/>
          <w:szCs w:val="24"/>
          <w:lang w:val="fr-CA" w:eastAsia="en-US"/>
        </w:rPr>
      </w:pPr>
      <w:r w:rsidRPr="00B3086A">
        <w:rPr>
          <w:rFonts w:eastAsiaTheme="minorHAnsi" w:cstheme="minorBidi"/>
          <w:szCs w:val="24"/>
          <w:lang w:val="fr-CA" w:eastAsia="en-US"/>
        </w:rPr>
        <w:ptab w:relativeTo="margin" w:alignment="center" w:leader="none"/>
      </w:r>
      <w:r w:rsidRPr="00B3086A">
        <w:rPr>
          <w:rFonts w:eastAsiaTheme="minorHAnsi" w:cstheme="minorBidi"/>
          <w:szCs w:val="24"/>
          <w:lang w:val="fr-CA" w:eastAsia="en-US"/>
        </w:rPr>
        <w:t xml:space="preserve"> </w:t>
      </w:r>
      <w:r w:rsidRPr="00B3086A">
        <w:rPr>
          <w:rFonts w:eastAsiaTheme="minorHAnsi" w:cstheme="minorBidi"/>
          <w:szCs w:val="24"/>
          <w:lang w:val="fr-CA" w:eastAsia="en-US"/>
        </w:rPr>
        <w:object w:dxaOrig="1365" w:dyaOrig="1440" w14:anchorId="264AB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05pt" o:ole="">
            <v:imagedata r:id="rId7" o:title=""/>
          </v:shape>
          <o:OLEObject Type="Embed" ProgID="Presentations.Drawing.13" ShapeID="_x0000_i1025" DrawAspect="Content" ObjectID="_1740310533" r:id="rId8"/>
        </w:object>
      </w:r>
      <w:r w:rsidRPr="00B3086A">
        <w:rPr>
          <w:rFonts w:eastAsiaTheme="minorHAnsi" w:cstheme="minorBidi"/>
          <w:szCs w:val="24"/>
          <w:lang w:val="fr-CA" w:eastAsia="en-US"/>
        </w:rPr>
        <w:t xml:space="preserve"> </w:t>
      </w:r>
      <w:r w:rsidRPr="00B3086A">
        <w:rPr>
          <w:rFonts w:eastAsiaTheme="minorHAnsi" w:cstheme="minorBidi"/>
          <w:szCs w:val="24"/>
          <w:lang w:val="fr-CA" w:eastAsia="en-US"/>
        </w:rPr>
        <w:ptab w:relativeTo="margin" w:alignment="right" w:leader="none"/>
      </w:r>
    </w:p>
    <w:p w14:paraId="17851B23" w14:textId="77777777" w:rsidR="00D0149E" w:rsidRPr="00B3086A" w:rsidRDefault="00D0149E" w:rsidP="00D0149E">
      <w:pPr>
        <w:tabs>
          <w:tab w:val="center" w:pos="4680"/>
          <w:tab w:val="right" w:pos="9360"/>
        </w:tabs>
        <w:rPr>
          <w:rFonts w:eastAsiaTheme="minorHAnsi" w:cstheme="minorBidi"/>
          <w:szCs w:val="24"/>
          <w:lang w:val="fr-CA" w:eastAsia="en-US"/>
        </w:rPr>
      </w:pPr>
    </w:p>
    <w:p w14:paraId="686ED8A4" w14:textId="77777777" w:rsidR="00D0149E" w:rsidRPr="00B3086A" w:rsidRDefault="00D0149E" w:rsidP="00D0149E">
      <w:pPr>
        <w:jc w:val="center"/>
        <w:rPr>
          <w:rFonts w:eastAsiaTheme="minorHAnsi" w:cstheme="minorBidi"/>
          <w:b/>
          <w:szCs w:val="24"/>
          <w:lang w:val="fr-CA" w:eastAsia="en-US"/>
        </w:rPr>
      </w:pPr>
      <w:r w:rsidRPr="00B3086A">
        <w:rPr>
          <w:rFonts w:eastAsiaTheme="minorHAnsi" w:cstheme="minorBidi"/>
          <w:b/>
          <w:szCs w:val="24"/>
          <w:lang w:val="fr-CA" w:eastAsia="en-US"/>
        </w:rPr>
        <w:t>COUR SUPRÊME DU CANADA</w:t>
      </w:r>
    </w:p>
    <w:p w14:paraId="7F79FDFD" w14:textId="77777777" w:rsidR="00D0149E" w:rsidRPr="00B3086A" w:rsidRDefault="00D0149E" w:rsidP="00D0149E">
      <w:pPr>
        <w:rPr>
          <w:rFonts w:eastAsiaTheme="minorHAnsi" w:cstheme="minorBid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D0149E" w:rsidRPr="00B3086A" w14:paraId="490E0686" w14:textId="77777777" w:rsidTr="00CA22EA">
        <w:trPr>
          <w:cantSplit/>
        </w:trPr>
        <w:tc>
          <w:tcPr>
            <w:tcW w:w="5940" w:type="dxa"/>
          </w:tcPr>
          <w:p w14:paraId="0611E121" w14:textId="0BA83679" w:rsidR="00D0149E" w:rsidRPr="00B3086A" w:rsidRDefault="00D0149E" w:rsidP="00CA22EA">
            <w:r w:rsidRPr="00B3086A">
              <w:rPr>
                <w:b/>
                <w:smallCaps/>
              </w:rPr>
              <w:t>Référence :</w:t>
            </w:r>
            <w:r w:rsidRPr="00B3086A">
              <w:t xml:space="preserve"> </w:t>
            </w:r>
            <w:r w:rsidRPr="007030AB">
              <w:t xml:space="preserve">Nouvelle-Écosse (Procureur général) </w:t>
            </w:r>
            <w:r w:rsidRPr="007030AB">
              <w:rPr>
                <w:i/>
              </w:rPr>
              <w:t>c.</w:t>
            </w:r>
            <w:r w:rsidRPr="007030AB">
              <w:t xml:space="preserve"> Judges of the Provincial Court and Family Court of Nova Scotia, 2020 CSC 21</w:t>
            </w:r>
            <w:r w:rsidR="000264B9">
              <w:t>, [2020] 2 R.C.S. 556</w:t>
            </w:r>
          </w:p>
        </w:tc>
        <w:tc>
          <w:tcPr>
            <w:tcW w:w="3636" w:type="dxa"/>
          </w:tcPr>
          <w:p w14:paraId="76F6592B" w14:textId="77777777" w:rsidR="00D0149E" w:rsidRPr="00B3086A" w:rsidRDefault="00D0149E" w:rsidP="00CA22EA">
            <w:pPr>
              <w:rPr>
                <w:lang w:val="fr-CA"/>
              </w:rPr>
            </w:pPr>
            <w:r w:rsidRPr="00B3086A">
              <w:rPr>
                <w:b/>
                <w:smallCaps/>
                <w:lang w:val="fr-CA"/>
              </w:rPr>
              <w:t xml:space="preserve">Appel entendu : </w:t>
            </w:r>
            <w:r w:rsidRPr="00B3086A">
              <w:rPr>
                <w:lang w:val="fr-CA"/>
              </w:rPr>
              <w:t>9 décembre 2019</w:t>
            </w:r>
          </w:p>
          <w:p w14:paraId="63C7D0F0" w14:textId="77777777" w:rsidR="00D0149E" w:rsidRPr="00B3086A" w:rsidRDefault="00D0149E" w:rsidP="00CA22EA">
            <w:pPr>
              <w:rPr>
                <w:lang w:val="fr-CA"/>
              </w:rPr>
            </w:pPr>
            <w:r w:rsidRPr="00B3086A">
              <w:rPr>
                <w:b/>
                <w:smallCaps/>
                <w:lang w:val="fr-CA"/>
              </w:rPr>
              <w:t>Jugement rendu :</w:t>
            </w:r>
            <w:r w:rsidRPr="00B3086A">
              <w:rPr>
                <w:lang w:val="fr-CA"/>
              </w:rPr>
              <w:t xml:space="preserve"> 31 juillet 2020</w:t>
            </w:r>
          </w:p>
          <w:p w14:paraId="03A76D05" w14:textId="77777777" w:rsidR="00D0149E" w:rsidRPr="00B3086A" w:rsidRDefault="00D0149E" w:rsidP="00CA22EA">
            <w:pPr>
              <w:rPr>
                <w:lang w:val="fr-CA"/>
              </w:rPr>
            </w:pPr>
            <w:r w:rsidRPr="00B3086A">
              <w:rPr>
                <w:b/>
                <w:smallCaps/>
                <w:lang w:val="fr-CA"/>
              </w:rPr>
              <w:t>Dossier :</w:t>
            </w:r>
            <w:r w:rsidRPr="00B3086A">
              <w:rPr>
                <w:lang w:val="fr-CA"/>
              </w:rPr>
              <w:t xml:space="preserve"> 38459</w:t>
            </w:r>
          </w:p>
        </w:tc>
      </w:tr>
    </w:tbl>
    <w:p w14:paraId="3A1D14E0" w14:textId="77777777" w:rsidR="00D0149E" w:rsidRPr="00B3086A" w:rsidRDefault="00D0149E" w:rsidP="00D0149E">
      <w:pPr>
        <w:rPr>
          <w:rFonts w:eastAsiaTheme="minorHAnsi" w:cstheme="minorBidi"/>
          <w:szCs w:val="24"/>
          <w:lang w:val="fr-CA" w:eastAsia="en-US"/>
        </w:rPr>
      </w:pPr>
    </w:p>
    <w:p w14:paraId="08B6B92F" w14:textId="77777777" w:rsidR="00D0149E" w:rsidRPr="00B3086A" w:rsidRDefault="00D0149E" w:rsidP="00D0149E">
      <w:pPr>
        <w:rPr>
          <w:rFonts w:eastAsiaTheme="minorHAnsi" w:cstheme="minorBidi"/>
          <w:b/>
          <w:smallCaps/>
          <w:szCs w:val="24"/>
          <w:lang w:val="fr-CA" w:eastAsia="en-US"/>
        </w:rPr>
      </w:pPr>
      <w:r w:rsidRPr="00B3086A">
        <w:rPr>
          <w:rFonts w:eastAsiaTheme="minorHAnsi" w:cstheme="minorBidi"/>
          <w:b/>
          <w:smallCaps/>
          <w:szCs w:val="24"/>
          <w:lang w:val="fr-CA" w:eastAsia="en-US"/>
        </w:rPr>
        <w:t>Entre :</w:t>
      </w:r>
    </w:p>
    <w:p w14:paraId="64EAF173" w14:textId="77777777" w:rsidR="00D0149E" w:rsidRPr="00B3086A" w:rsidRDefault="00D0149E" w:rsidP="00D0149E">
      <w:pPr>
        <w:jc w:val="center"/>
        <w:rPr>
          <w:rFonts w:eastAsiaTheme="minorHAnsi" w:cstheme="minorBidi"/>
          <w:b/>
          <w:szCs w:val="24"/>
          <w:lang w:val="fr-CA" w:eastAsia="en-US"/>
        </w:rPr>
      </w:pPr>
    </w:p>
    <w:p w14:paraId="243DBD85" w14:textId="77777777" w:rsidR="00D0149E" w:rsidRPr="00B3086A" w:rsidRDefault="00D0149E" w:rsidP="00D0149E">
      <w:pPr>
        <w:jc w:val="center"/>
        <w:rPr>
          <w:rFonts w:eastAsiaTheme="minorHAnsi" w:cstheme="minorBidi"/>
          <w:b/>
          <w:szCs w:val="24"/>
          <w:lang w:val="fr-CA" w:eastAsia="en-US"/>
        </w:rPr>
      </w:pPr>
      <w:r w:rsidRPr="00B3086A">
        <w:rPr>
          <w:rFonts w:eastAsiaTheme="minorHAnsi" w:cstheme="minorBidi"/>
          <w:b/>
          <w:szCs w:val="24"/>
          <w:lang w:val="fr-CA" w:eastAsia="en-US"/>
        </w:rPr>
        <w:t>Procureur général de la Nouvelle-Écosse représentant Sa Majesté la Reine du chef de la province de la Nouvelle-Écosse et gouverneur en conseil</w:t>
      </w:r>
    </w:p>
    <w:p w14:paraId="6F9C4AA4" w14:textId="77777777" w:rsidR="00D0149E" w:rsidRPr="00B3086A" w:rsidRDefault="00D0149E" w:rsidP="00D0149E">
      <w:pPr>
        <w:jc w:val="center"/>
        <w:rPr>
          <w:rFonts w:eastAsiaTheme="minorHAnsi" w:cstheme="minorBidi"/>
          <w:szCs w:val="24"/>
          <w:lang w:val="fr-CA" w:eastAsia="en-US"/>
        </w:rPr>
      </w:pPr>
      <w:r w:rsidRPr="00B3086A">
        <w:rPr>
          <w:rFonts w:eastAsiaTheme="minorHAnsi" w:cstheme="minorBidi"/>
          <w:szCs w:val="24"/>
          <w:lang w:val="fr-CA" w:eastAsia="en-US"/>
        </w:rPr>
        <w:t>Appelants</w:t>
      </w:r>
    </w:p>
    <w:p w14:paraId="59E85FAD" w14:textId="77777777" w:rsidR="00D0149E" w:rsidRPr="00B3086A" w:rsidRDefault="00D0149E" w:rsidP="00D0149E">
      <w:pPr>
        <w:jc w:val="center"/>
        <w:rPr>
          <w:rFonts w:eastAsiaTheme="minorHAnsi" w:cstheme="minorBidi"/>
          <w:szCs w:val="24"/>
          <w:lang w:val="fr-CA" w:eastAsia="en-US"/>
        </w:rPr>
      </w:pPr>
    </w:p>
    <w:p w14:paraId="42AB517B" w14:textId="77777777" w:rsidR="00D0149E" w:rsidRPr="00B3086A" w:rsidRDefault="00D0149E" w:rsidP="00D0149E">
      <w:pPr>
        <w:jc w:val="center"/>
        <w:rPr>
          <w:rFonts w:eastAsiaTheme="minorHAnsi" w:cstheme="minorBidi"/>
          <w:szCs w:val="24"/>
          <w:lang w:val="fr-CA" w:eastAsia="en-US"/>
        </w:rPr>
      </w:pPr>
      <w:r w:rsidRPr="00B3086A">
        <w:rPr>
          <w:rFonts w:eastAsiaTheme="minorHAnsi" w:cstheme="minorBidi"/>
          <w:szCs w:val="24"/>
          <w:lang w:val="fr-CA" w:eastAsia="en-US"/>
        </w:rPr>
        <w:t>et</w:t>
      </w:r>
    </w:p>
    <w:p w14:paraId="4161A929" w14:textId="77777777" w:rsidR="00D0149E" w:rsidRPr="00B3086A" w:rsidRDefault="00D0149E" w:rsidP="00D0149E">
      <w:pPr>
        <w:jc w:val="center"/>
        <w:rPr>
          <w:rFonts w:eastAsiaTheme="minorHAnsi" w:cstheme="minorBidi"/>
          <w:b/>
          <w:szCs w:val="24"/>
          <w:lang w:val="fr-CA" w:eastAsia="en-US"/>
        </w:rPr>
      </w:pPr>
    </w:p>
    <w:p w14:paraId="5AA35CB0" w14:textId="77777777" w:rsidR="00D0149E" w:rsidRPr="00B3086A" w:rsidRDefault="00D0149E" w:rsidP="00D0149E">
      <w:pPr>
        <w:jc w:val="center"/>
        <w:rPr>
          <w:rFonts w:eastAsiaTheme="minorHAnsi" w:cstheme="minorBidi"/>
          <w:b/>
          <w:szCs w:val="24"/>
          <w:lang w:val="fr-CA" w:eastAsia="en-US"/>
        </w:rPr>
      </w:pPr>
      <w:r w:rsidRPr="00B3086A">
        <w:rPr>
          <w:rFonts w:eastAsiaTheme="minorHAnsi" w:cstheme="minorBidi"/>
          <w:b/>
          <w:szCs w:val="24"/>
          <w:lang w:val="fr-CA" w:eastAsia="en-US"/>
        </w:rPr>
        <w:t>Judges of the Provincial Court and Family Court of Nova Scotia, représentés par la Nova Scotia Provincial Judges’ Association</w:t>
      </w:r>
    </w:p>
    <w:p w14:paraId="4827C120" w14:textId="77777777" w:rsidR="00D0149E" w:rsidRPr="00B3086A" w:rsidRDefault="00D0149E" w:rsidP="00D0149E">
      <w:pPr>
        <w:jc w:val="center"/>
        <w:rPr>
          <w:rFonts w:eastAsiaTheme="minorHAnsi" w:cstheme="minorBidi"/>
          <w:szCs w:val="24"/>
          <w:lang w:val="fr-CA" w:eastAsia="en-US"/>
        </w:rPr>
      </w:pPr>
      <w:r w:rsidRPr="00B3086A">
        <w:rPr>
          <w:rFonts w:eastAsiaTheme="minorHAnsi" w:cstheme="minorBidi"/>
          <w:szCs w:val="24"/>
          <w:lang w:val="fr-CA" w:eastAsia="en-US"/>
        </w:rPr>
        <w:t>Intimés</w:t>
      </w:r>
    </w:p>
    <w:p w14:paraId="3828C5C3" w14:textId="77777777" w:rsidR="00D0149E" w:rsidRPr="00B3086A" w:rsidRDefault="00D0149E" w:rsidP="00D0149E">
      <w:pPr>
        <w:jc w:val="center"/>
        <w:rPr>
          <w:rFonts w:eastAsiaTheme="minorHAnsi" w:cstheme="minorBidi"/>
          <w:szCs w:val="24"/>
          <w:lang w:val="fr-CA" w:eastAsia="en-US"/>
        </w:rPr>
      </w:pPr>
    </w:p>
    <w:p w14:paraId="0F379B37" w14:textId="77777777" w:rsidR="00D0149E" w:rsidRPr="00B3086A" w:rsidRDefault="00D0149E" w:rsidP="00D0149E">
      <w:pPr>
        <w:jc w:val="center"/>
        <w:rPr>
          <w:rFonts w:eastAsiaTheme="minorHAnsi" w:cstheme="minorBidi"/>
          <w:szCs w:val="24"/>
          <w:lang w:val="fr-CA" w:eastAsia="en-US"/>
        </w:rPr>
      </w:pPr>
      <w:r w:rsidRPr="00B3086A">
        <w:rPr>
          <w:rFonts w:eastAsiaTheme="minorHAnsi" w:cstheme="minorBidi"/>
          <w:szCs w:val="24"/>
          <w:lang w:val="fr-CA" w:eastAsia="en-US"/>
        </w:rPr>
        <w:t>- et -</w:t>
      </w:r>
    </w:p>
    <w:p w14:paraId="634A4A7F" w14:textId="77777777" w:rsidR="00D0149E" w:rsidRPr="00B3086A" w:rsidRDefault="00D0149E" w:rsidP="00D0149E">
      <w:pPr>
        <w:jc w:val="center"/>
        <w:rPr>
          <w:rFonts w:eastAsiaTheme="minorHAnsi" w:cstheme="minorBidi"/>
          <w:b/>
          <w:szCs w:val="24"/>
          <w:lang w:val="fr-CA" w:eastAsia="en-US"/>
        </w:rPr>
      </w:pPr>
    </w:p>
    <w:p w14:paraId="3418C8D9" w14:textId="77777777" w:rsidR="00D0149E" w:rsidRPr="00B3086A" w:rsidRDefault="00D0149E" w:rsidP="00D0149E">
      <w:pPr>
        <w:jc w:val="center"/>
        <w:rPr>
          <w:rFonts w:eastAsiaTheme="minorHAnsi" w:cstheme="minorBidi"/>
          <w:b/>
          <w:szCs w:val="24"/>
          <w:lang w:val="fr-CA" w:eastAsia="en-US"/>
        </w:rPr>
      </w:pPr>
      <w:r w:rsidRPr="00B3086A">
        <w:rPr>
          <w:rFonts w:eastAsiaTheme="minorHAnsi" w:cstheme="minorBidi"/>
          <w:b/>
          <w:szCs w:val="24"/>
          <w:lang w:val="fr-CA" w:eastAsia="en-US"/>
        </w:rPr>
        <w:t>Procureur général du Canada, procureur général de l’Ontario, procureure générale du Québec, procureur général de la Saskatchewan, procureur général de l’Alberta, Association canadienne des juges des cours supérieures, Association du Barreau canadien, Association canadienne des juges des cours provinciales, Fédération canadienne des contribuables et Association canadienne des libertés civiles</w:t>
      </w:r>
    </w:p>
    <w:p w14:paraId="35DDF716" w14:textId="77777777" w:rsidR="00D0149E" w:rsidRPr="00B3086A" w:rsidRDefault="00D0149E" w:rsidP="00D0149E">
      <w:pPr>
        <w:jc w:val="center"/>
        <w:rPr>
          <w:rFonts w:eastAsiaTheme="minorHAnsi" w:cstheme="minorBidi"/>
          <w:szCs w:val="24"/>
          <w:lang w:val="fr-CA" w:eastAsia="en-US"/>
        </w:rPr>
      </w:pPr>
      <w:r w:rsidRPr="00B3086A">
        <w:rPr>
          <w:rFonts w:eastAsiaTheme="minorHAnsi" w:cstheme="minorBidi"/>
          <w:szCs w:val="24"/>
          <w:lang w:val="fr-CA" w:eastAsia="en-US"/>
        </w:rPr>
        <w:t>Intervenants</w:t>
      </w:r>
    </w:p>
    <w:p w14:paraId="1F5CE10F" w14:textId="77777777" w:rsidR="00D0149E" w:rsidRPr="00B3086A" w:rsidRDefault="00D0149E" w:rsidP="00D0149E">
      <w:pPr>
        <w:rPr>
          <w:rFonts w:eastAsiaTheme="minorHAnsi" w:cstheme="minorBidi"/>
          <w:szCs w:val="24"/>
          <w:lang w:val="fr-CA" w:eastAsia="en-US"/>
        </w:rPr>
      </w:pPr>
    </w:p>
    <w:p w14:paraId="4932BCAA" w14:textId="77777777" w:rsidR="00D0149E" w:rsidRPr="00B3086A" w:rsidRDefault="00D0149E" w:rsidP="00D0149E">
      <w:pPr>
        <w:rPr>
          <w:rFonts w:eastAsiaTheme="minorHAnsi" w:cstheme="minorBidi"/>
          <w:szCs w:val="24"/>
          <w:lang w:val="fr-CA" w:eastAsia="en-US"/>
        </w:rPr>
      </w:pPr>
    </w:p>
    <w:p w14:paraId="3A7C92C9" w14:textId="77777777" w:rsidR="00D0149E" w:rsidRPr="00B3086A" w:rsidRDefault="00D0149E" w:rsidP="00D0149E">
      <w:pPr>
        <w:jc w:val="center"/>
        <w:rPr>
          <w:rFonts w:eastAsiaTheme="minorHAnsi" w:cstheme="minorBidi"/>
          <w:b/>
          <w:smallCaps/>
          <w:szCs w:val="24"/>
          <w:lang w:val="fr-CA" w:eastAsia="en-US"/>
        </w:rPr>
      </w:pPr>
      <w:r w:rsidRPr="00B3086A">
        <w:rPr>
          <w:rFonts w:eastAsiaTheme="minorHAnsi" w:cstheme="minorBidi"/>
          <w:b/>
          <w:smallCaps/>
          <w:szCs w:val="24"/>
          <w:lang w:val="fr-CA" w:eastAsia="en-US"/>
        </w:rPr>
        <w:t>Traduction française officielle</w:t>
      </w:r>
    </w:p>
    <w:p w14:paraId="5817F85E" w14:textId="77777777" w:rsidR="00D0149E" w:rsidRPr="00B3086A" w:rsidRDefault="00D0149E" w:rsidP="00D0149E">
      <w:pPr>
        <w:rPr>
          <w:rFonts w:eastAsiaTheme="minorHAnsi" w:cstheme="minorBidi"/>
          <w:szCs w:val="24"/>
          <w:lang w:val="fr-CA" w:eastAsia="en-US"/>
        </w:rPr>
      </w:pPr>
    </w:p>
    <w:p w14:paraId="2AA015B3" w14:textId="77777777" w:rsidR="00D0149E" w:rsidRPr="00B3086A" w:rsidRDefault="00D0149E" w:rsidP="00D0149E">
      <w:pPr>
        <w:rPr>
          <w:rFonts w:eastAsiaTheme="minorHAnsi" w:cstheme="minorBidi"/>
          <w:szCs w:val="24"/>
          <w:lang w:val="fr-CA" w:eastAsia="en-US"/>
        </w:rPr>
      </w:pPr>
      <w:r w:rsidRPr="00B3086A">
        <w:rPr>
          <w:rFonts w:eastAsiaTheme="minorHAnsi" w:cstheme="minorBidi"/>
          <w:b/>
          <w:smallCaps/>
          <w:szCs w:val="24"/>
          <w:lang w:val="fr-CA" w:eastAsia="en-US"/>
        </w:rPr>
        <w:t>Coram :</w:t>
      </w:r>
      <w:r w:rsidRPr="00B3086A">
        <w:rPr>
          <w:rFonts w:eastAsiaTheme="minorHAnsi" w:cstheme="minorBidi"/>
          <w:szCs w:val="24"/>
          <w:lang w:val="fr-CA" w:eastAsia="en-US"/>
        </w:rPr>
        <w:t xml:space="preserve"> Le juge en chef Wagner et les juges Abella, Moldaver, Karakatsanis, Côté, Brown, Rowe, Martin et Kasirer</w:t>
      </w:r>
    </w:p>
    <w:p w14:paraId="5A6D4EEA" w14:textId="77777777" w:rsidR="00D0149E" w:rsidRPr="00B3086A" w:rsidRDefault="00D0149E" w:rsidP="00D0149E">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0149E" w:rsidRPr="000264B9" w14:paraId="4570FA41" w14:textId="77777777" w:rsidTr="00CA22EA">
        <w:trPr>
          <w:cantSplit/>
        </w:trPr>
        <w:tc>
          <w:tcPr>
            <w:tcW w:w="3618" w:type="dxa"/>
          </w:tcPr>
          <w:p w14:paraId="2E794D83" w14:textId="77777777" w:rsidR="00D0149E" w:rsidRPr="00B3086A" w:rsidRDefault="00D0149E" w:rsidP="00CA22EA">
            <w:pPr>
              <w:rPr>
                <w:b/>
                <w:smallCaps/>
                <w:lang w:val="fr-CA"/>
              </w:rPr>
            </w:pPr>
            <w:r w:rsidRPr="00B3086A">
              <w:rPr>
                <w:b/>
                <w:smallCaps/>
                <w:lang w:val="fr-CA"/>
              </w:rPr>
              <w:t>Motifs de jugement :</w:t>
            </w:r>
          </w:p>
          <w:p w14:paraId="7E9F60A5" w14:textId="77777777" w:rsidR="00D0149E" w:rsidRPr="00B3086A" w:rsidRDefault="00D0149E" w:rsidP="00CA22EA">
            <w:pPr>
              <w:rPr>
                <w:lang w:val="fr-CA"/>
              </w:rPr>
            </w:pPr>
            <w:r w:rsidRPr="00B3086A">
              <w:rPr>
                <w:lang w:val="fr-CA"/>
              </w:rPr>
              <w:t>(par. 1 à 73)</w:t>
            </w:r>
          </w:p>
        </w:tc>
        <w:tc>
          <w:tcPr>
            <w:tcW w:w="5958" w:type="dxa"/>
          </w:tcPr>
          <w:p w14:paraId="434B93C6" w14:textId="77777777" w:rsidR="00D0149E" w:rsidRPr="00B3086A" w:rsidRDefault="00D0149E" w:rsidP="00CA22EA">
            <w:pPr>
              <w:rPr>
                <w:lang w:val="fr-CA"/>
              </w:rPr>
            </w:pPr>
            <w:r w:rsidRPr="00B3086A">
              <w:rPr>
                <w:lang w:val="fr-CA"/>
              </w:rPr>
              <w:t>La juge Karakatsanis (avec l’accord du juge en chef Wagner et des juges Abella, Moldaver, Côté, Brown, Rowe, Martin et Kasirer)</w:t>
            </w:r>
          </w:p>
        </w:tc>
      </w:tr>
    </w:tbl>
    <w:p w14:paraId="1A3D7BF6" w14:textId="77777777" w:rsidR="00D0149E" w:rsidRPr="00B3086A" w:rsidRDefault="00D0149E" w:rsidP="00D0149E">
      <w:pPr>
        <w:rPr>
          <w:rFonts w:eastAsiaTheme="minorHAnsi" w:cstheme="minorBidi"/>
          <w:szCs w:val="24"/>
          <w:lang w:val="fr-CA" w:eastAsia="en-US"/>
        </w:rPr>
      </w:pPr>
    </w:p>
    <w:p w14:paraId="1E6327F3" w14:textId="77777777" w:rsidR="00D0149E" w:rsidRPr="00B3086A" w:rsidRDefault="00D0149E" w:rsidP="00D0149E">
      <w:pPr>
        <w:rPr>
          <w:rFonts w:eastAsiaTheme="minorHAnsi" w:cstheme="minorBidi"/>
          <w:szCs w:val="24"/>
          <w:lang w:val="fr-CA" w:eastAsia="en-US"/>
        </w:rPr>
      </w:pPr>
      <w:r w:rsidRPr="00B3086A">
        <w:rPr>
          <w:rFonts w:eastAsiaTheme="minorHAnsi" w:cstheme="minorBidi"/>
          <w:noProof/>
          <w:szCs w:val="24"/>
          <w:lang w:val="fr-CA" w:eastAsia="fr-CA"/>
        </w:rPr>
        <w:lastRenderedPageBreak/>
        <mc:AlternateContent>
          <mc:Choice Requires="wps">
            <w:drawing>
              <wp:anchor distT="0" distB="0" distL="114300" distR="114300" simplePos="0" relativeHeight="251659264" behindDoc="0" locked="0" layoutInCell="1" allowOverlap="1" wp14:anchorId="6F94DE8A" wp14:editId="3D2A534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D97D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5ED83C11" w14:textId="43CDEDD3" w:rsidR="003360B5" w:rsidRDefault="00337655">
      <w:pPr>
        <w:pStyle w:val="SCCLsocParty"/>
        <w:rPr>
          <w:lang w:val="fr-CA"/>
        </w:rPr>
      </w:pPr>
      <w:bookmarkStart w:id="0" w:name="_GoBack"/>
      <w:bookmarkEnd w:id="0"/>
      <w:r w:rsidRPr="003360B5">
        <w:rPr>
          <w:lang w:val="fr-CA"/>
        </w:rPr>
        <w:t>Procureur général de la Nouvelle</w:t>
      </w:r>
      <w:r w:rsidR="007745F6">
        <w:rPr>
          <w:lang w:val="fr-CA"/>
        </w:rPr>
        <w:noBreakHyphen/>
      </w:r>
      <w:r w:rsidRPr="003360B5">
        <w:rPr>
          <w:lang w:val="fr-CA"/>
        </w:rPr>
        <w:t xml:space="preserve">Écosse représentant Sa </w:t>
      </w:r>
    </w:p>
    <w:p w14:paraId="28852E0C" w14:textId="2BB10118" w:rsidR="00B12982" w:rsidRPr="00A14D52" w:rsidRDefault="00337655">
      <w:pPr>
        <w:pStyle w:val="SCCLsocParty"/>
        <w:rPr>
          <w:lang w:val="fr-CA"/>
        </w:rPr>
      </w:pPr>
      <w:r w:rsidRPr="00A14D52">
        <w:rPr>
          <w:lang w:val="fr-CA"/>
        </w:rPr>
        <w:t>Majesté la Reine du chef de la</w:t>
      </w:r>
      <w:r w:rsidR="003360B5" w:rsidRPr="00A14D52">
        <w:rPr>
          <w:lang w:val="fr-CA"/>
        </w:rPr>
        <w:t xml:space="preserve"> province de la Nouvelle</w:t>
      </w:r>
      <w:r w:rsidR="007745F6">
        <w:rPr>
          <w:lang w:val="fr-CA"/>
        </w:rPr>
        <w:noBreakHyphen/>
      </w:r>
      <w:r w:rsidR="003360B5" w:rsidRPr="00A14D52">
        <w:rPr>
          <w:lang w:val="fr-CA"/>
        </w:rPr>
        <w:t>Écosse et</w:t>
      </w:r>
    </w:p>
    <w:p w14:paraId="18443BFB" w14:textId="77777777" w:rsidR="00B12982" w:rsidRPr="003360B5" w:rsidRDefault="007025F2" w:rsidP="0090156C">
      <w:pPr>
        <w:pStyle w:val="SCCLsocLastPartyInRole"/>
        <w:rPr>
          <w:lang w:val="fr-CA"/>
        </w:rPr>
      </w:pPr>
      <w:r w:rsidRPr="00C73440">
        <w:rPr>
          <w:lang w:val="fr-CA"/>
        </w:rPr>
        <w:t>g</w:t>
      </w:r>
      <w:r w:rsidR="00337655" w:rsidRPr="00C73440">
        <w:rPr>
          <w:lang w:val="fr-CA"/>
        </w:rPr>
        <w:t>o</w:t>
      </w:r>
      <w:r w:rsidR="00337655" w:rsidRPr="00A14D52">
        <w:rPr>
          <w:lang w:val="fr-CA"/>
        </w:rPr>
        <w:t>uverneur en conseil</w:t>
      </w:r>
      <w:r w:rsidR="00A7794D" w:rsidRPr="00A14D52">
        <w:rPr>
          <w:rStyle w:val="SCCLsocPartyRole"/>
          <w:lang w:val="fr-CA"/>
        </w:rPr>
        <w:tab/>
        <w:t>Appelant</w:t>
      </w:r>
      <w:r w:rsidR="005E5CB2" w:rsidRPr="00A14D52">
        <w:rPr>
          <w:rStyle w:val="SCCLsocPartyRole"/>
          <w:lang w:val="fr-CA"/>
        </w:rPr>
        <w:t>s</w:t>
      </w:r>
    </w:p>
    <w:p w14:paraId="0CBDD9D0" w14:textId="77777777" w:rsidR="00B12982" w:rsidRPr="00651779" w:rsidRDefault="00337655" w:rsidP="0090156C">
      <w:pPr>
        <w:pStyle w:val="SCCLsocVersus"/>
        <w:rPr>
          <w:lang w:val="fr-CA"/>
        </w:rPr>
      </w:pPr>
      <w:r w:rsidRPr="00651779">
        <w:rPr>
          <w:lang w:val="fr-CA"/>
        </w:rPr>
        <w:t>c.</w:t>
      </w:r>
    </w:p>
    <w:p w14:paraId="6A59BAEE" w14:textId="7A5BBD8D" w:rsidR="00B12982" w:rsidRPr="0089562D" w:rsidRDefault="00337655" w:rsidP="0090156C">
      <w:pPr>
        <w:pStyle w:val="SCCLsocLastPartyInRole"/>
        <w:rPr>
          <w:lang w:val="en-US"/>
        </w:rPr>
      </w:pPr>
      <w:r w:rsidRPr="0089562D">
        <w:rPr>
          <w:lang w:val="en-US"/>
        </w:rPr>
        <w:t xml:space="preserve">Judges of the Provincial Court and Family Court of Nova Scotia, </w:t>
      </w:r>
      <w:r w:rsidRPr="0089562D">
        <w:rPr>
          <w:lang w:val="en-US"/>
        </w:rPr>
        <w:br/>
        <w:t>représentés par la Nova Scotia Provincial Judges</w:t>
      </w:r>
      <w:r w:rsidR="006709B9">
        <w:rPr>
          <w:lang w:val="en-US"/>
        </w:rPr>
        <w:t>’</w:t>
      </w:r>
      <w:r w:rsidRPr="0089562D">
        <w:rPr>
          <w:lang w:val="en-US"/>
        </w:rPr>
        <w:t xml:space="preserve"> Association</w:t>
      </w:r>
      <w:r w:rsidRPr="0089562D">
        <w:rPr>
          <w:rStyle w:val="SCCLsocPartyRole"/>
          <w:lang w:val="en-US"/>
        </w:rPr>
        <w:tab/>
        <w:t>Intimé</w:t>
      </w:r>
      <w:r w:rsidR="004943DD" w:rsidRPr="0089562D">
        <w:rPr>
          <w:rStyle w:val="SCCLsocPartyRole"/>
          <w:lang w:val="en-US"/>
        </w:rPr>
        <w:t>s</w:t>
      </w:r>
    </w:p>
    <w:p w14:paraId="0F652969" w14:textId="77777777" w:rsidR="00B12982" w:rsidRPr="003360B5" w:rsidRDefault="00337655" w:rsidP="0090156C">
      <w:pPr>
        <w:pStyle w:val="SCCLsocOtherPartySeparator"/>
        <w:rPr>
          <w:lang w:val="fr-CA"/>
        </w:rPr>
      </w:pPr>
      <w:r w:rsidRPr="003360B5">
        <w:rPr>
          <w:lang w:val="fr-CA"/>
        </w:rPr>
        <w:t>et</w:t>
      </w:r>
    </w:p>
    <w:p w14:paraId="36F258AB" w14:textId="77777777" w:rsidR="00B12982" w:rsidRPr="003360B5" w:rsidRDefault="00337655">
      <w:pPr>
        <w:pStyle w:val="SCCLsocParty"/>
        <w:rPr>
          <w:lang w:val="fr-CA"/>
        </w:rPr>
      </w:pPr>
      <w:r w:rsidRPr="003360B5">
        <w:rPr>
          <w:lang w:val="fr-CA"/>
        </w:rPr>
        <w:t>Procureur général du Canada,</w:t>
      </w:r>
    </w:p>
    <w:p w14:paraId="0A406274" w14:textId="55D45689" w:rsidR="00B12982" w:rsidRPr="003360B5" w:rsidRDefault="00337655">
      <w:pPr>
        <w:pStyle w:val="SCCLsocParty"/>
        <w:rPr>
          <w:lang w:val="fr-CA"/>
        </w:rPr>
      </w:pPr>
      <w:r>
        <w:rPr>
          <w:lang w:val="fr-CA"/>
        </w:rPr>
        <w:t>p</w:t>
      </w:r>
      <w:r w:rsidRPr="003360B5">
        <w:rPr>
          <w:lang w:val="fr-CA"/>
        </w:rPr>
        <w:t>rocureur général de l</w:t>
      </w:r>
      <w:r w:rsidR="006709B9">
        <w:rPr>
          <w:lang w:val="fr-CA"/>
        </w:rPr>
        <w:t>’</w:t>
      </w:r>
      <w:r w:rsidRPr="003360B5">
        <w:rPr>
          <w:lang w:val="fr-CA"/>
        </w:rPr>
        <w:t>Ontario,</w:t>
      </w:r>
    </w:p>
    <w:p w14:paraId="630DB6CF" w14:textId="77777777" w:rsidR="00B12982" w:rsidRPr="003360B5" w:rsidRDefault="00337655">
      <w:pPr>
        <w:pStyle w:val="SCCLsocParty"/>
        <w:rPr>
          <w:lang w:val="fr-CA"/>
        </w:rPr>
      </w:pPr>
      <w:r>
        <w:rPr>
          <w:lang w:val="fr-CA"/>
        </w:rPr>
        <w:t>p</w:t>
      </w:r>
      <w:r w:rsidRPr="003360B5">
        <w:rPr>
          <w:lang w:val="fr-CA"/>
        </w:rPr>
        <w:t>rocureur</w:t>
      </w:r>
      <w:r w:rsidR="004943DD">
        <w:rPr>
          <w:lang w:val="fr-CA"/>
        </w:rPr>
        <w:t>e</w:t>
      </w:r>
      <w:r w:rsidRPr="003360B5">
        <w:rPr>
          <w:lang w:val="fr-CA"/>
        </w:rPr>
        <w:t xml:space="preserve"> général</w:t>
      </w:r>
      <w:r w:rsidR="004943DD">
        <w:rPr>
          <w:lang w:val="fr-CA"/>
        </w:rPr>
        <w:t>e</w:t>
      </w:r>
      <w:r w:rsidRPr="003360B5">
        <w:rPr>
          <w:lang w:val="fr-CA"/>
        </w:rPr>
        <w:t xml:space="preserve"> du Québec,</w:t>
      </w:r>
    </w:p>
    <w:p w14:paraId="202B05A8" w14:textId="77777777" w:rsidR="00B12982" w:rsidRPr="003360B5" w:rsidRDefault="00337655">
      <w:pPr>
        <w:pStyle w:val="SCCLsocParty"/>
        <w:rPr>
          <w:lang w:val="fr-CA"/>
        </w:rPr>
      </w:pPr>
      <w:r>
        <w:rPr>
          <w:lang w:val="fr-CA"/>
        </w:rPr>
        <w:t>p</w:t>
      </w:r>
      <w:r w:rsidRPr="003360B5">
        <w:rPr>
          <w:lang w:val="fr-CA"/>
        </w:rPr>
        <w:t>rocureur général de la Saskatchewan,</w:t>
      </w:r>
    </w:p>
    <w:p w14:paraId="2D84CB6F" w14:textId="3C9ACCF0" w:rsidR="00B12982" w:rsidRPr="003360B5" w:rsidRDefault="00337655">
      <w:pPr>
        <w:pStyle w:val="SCCLsocParty"/>
        <w:rPr>
          <w:lang w:val="fr-CA"/>
        </w:rPr>
      </w:pPr>
      <w:r>
        <w:rPr>
          <w:lang w:val="fr-CA"/>
        </w:rPr>
        <w:t>p</w:t>
      </w:r>
      <w:r w:rsidRPr="003360B5">
        <w:rPr>
          <w:lang w:val="fr-CA"/>
        </w:rPr>
        <w:t>rocureur général de l</w:t>
      </w:r>
      <w:r w:rsidR="006709B9">
        <w:rPr>
          <w:lang w:val="fr-CA"/>
        </w:rPr>
        <w:t>’</w:t>
      </w:r>
      <w:r w:rsidRPr="003360B5">
        <w:rPr>
          <w:lang w:val="fr-CA"/>
        </w:rPr>
        <w:t>Alberta,</w:t>
      </w:r>
    </w:p>
    <w:p w14:paraId="5A7D2D26" w14:textId="77777777" w:rsidR="00B12982" w:rsidRPr="003360B5" w:rsidRDefault="00337655">
      <w:pPr>
        <w:pStyle w:val="SCCLsocParty"/>
        <w:rPr>
          <w:lang w:val="fr-CA"/>
        </w:rPr>
      </w:pPr>
      <w:r w:rsidRPr="003360B5">
        <w:rPr>
          <w:lang w:val="fr-CA"/>
        </w:rPr>
        <w:t>Association canadienne des juges des cours supérieures,</w:t>
      </w:r>
    </w:p>
    <w:p w14:paraId="0F3A041E" w14:textId="77777777" w:rsidR="00B12982" w:rsidRPr="003360B5" w:rsidRDefault="00337655">
      <w:pPr>
        <w:pStyle w:val="SCCLsocParty"/>
        <w:rPr>
          <w:lang w:val="fr-CA"/>
        </w:rPr>
      </w:pPr>
      <w:r w:rsidRPr="003360B5">
        <w:rPr>
          <w:lang w:val="fr-CA"/>
        </w:rPr>
        <w:t>Association du Barreau canadien,</w:t>
      </w:r>
    </w:p>
    <w:p w14:paraId="3FBCA94C" w14:textId="77777777" w:rsidR="00B12982" w:rsidRPr="00210F70" w:rsidRDefault="00337655">
      <w:pPr>
        <w:pStyle w:val="SCCLsocParty"/>
        <w:rPr>
          <w:lang w:val="fr-CA"/>
        </w:rPr>
      </w:pPr>
      <w:r w:rsidRPr="001F0C3A">
        <w:rPr>
          <w:lang w:val="fr-CA"/>
        </w:rPr>
        <w:t>Associat</w:t>
      </w:r>
      <w:r w:rsidRPr="003360B5">
        <w:rPr>
          <w:lang w:val="fr-CA"/>
        </w:rPr>
        <w:t xml:space="preserve">ion </w:t>
      </w:r>
      <w:r w:rsidRPr="00210F70">
        <w:rPr>
          <w:lang w:val="fr-CA"/>
        </w:rPr>
        <w:t>canadienne des juges des cours provinciales,</w:t>
      </w:r>
    </w:p>
    <w:p w14:paraId="43B79D81" w14:textId="77777777" w:rsidR="00B12982" w:rsidRPr="00210F70" w:rsidRDefault="00337655">
      <w:pPr>
        <w:pStyle w:val="SCCLsocParty"/>
        <w:rPr>
          <w:lang w:val="fr-CA"/>
        </w:rPr>
      </w:pPr>
      <w:r w:rsidRPr="00210F70">
        <w:rPr>
          <w:lang w:val="fr-CA"/>
        </w:rPr>
        <w:t>Fédérati</w:t>
      </w:r>
      <w:r w:rsidR="00651779" w:rsidRPr="00210F70">
        <w:rPr>
          <w:lang w:val="fr-CA"/>
        </w:rPr>
        <w:t>on canadienne des contribuables et</w:t>
      </w:r>
    </w:p>
    <w:p w14:paraId="76222FFB" w14:textId="77777777" w:rsidR="00B12982" w:rsidRPr="003360B5" w:rsidRDefault="00337655" w:rsidP="0090156C">
      <w:pPr>
        <w:pStyle w:val="SCCLsocLastPartyInRole"/>
        <w:rPr>
          <w:lang w:val="fr-CA"/>
        </w:rPr>
      </w:pPr>
      <w:r w:rsidRPr="00210F70">
        <w:rPr>
          <w:lang w:val="fr-CA"/>
        </w:rPr>
        <w:t>Associ</w:t>
      </w:r>
      <w:r w:rsidR="00257A27" w:rsidRPr="00210F70">
        <w:rPr>
          <w:lang w:val="fr-CA"/>
        </w:rPr>
        <w:t>ation canadienne des libertés c</w:t>
      </w:r>
      <w:r w:rsidRPr="00210F70">
        <w:rPr>
          <w:lang w:val="fr-CA"/>
        </w:rPr>
        <w:t>iviles</w:t>
      </w:r>
      <w:r>
        <w:rPr>
          <w:rStyle w:val="SCCLsocPartyRole"/>
          <w:lang w:val="fr-CA"/>
        </w:rPr>
        <w:tab/>
        <w:t>Intervenant</w:t>
      </w:r>
      <w:r w:rsidRPr="003360B5">
        <w:rPr>
          <w:rStyle w:val="SCCLsocPartyRole"/>
          <w:lang w:val="fr-CA"/>
        </w:rPr>
        <w:t>s</w:t>
      </w:r>
    </w:p>
    <w:p w14:paraId="4ABCF789" w14:textId="2BDFA36B" w:rsidR="0038179A" w:rsidRPr="0038179A" w:rsidRDefault="00337655" w:rsidP="0090156C">
      <w:pPr>
        <w:spacing w:after="720"/>
        <w:jc w:val="both"/>
        <w:rPr>
          <w:b/>
          <w:lang w:val="en-US"/>
        </w:rPr>
      </w:pPr>
      <w:r w:rsidRPr="0038179A">
        <w:rPr>
          <w:b/>
          <w:lang w:val="en-US"/>
        </w:rPr>
        <w:t>Répertorié</w:t>
      </w:r>
      <w:r w:rsidR="007745F6">
        <w:rPr>
          <w:b/>
          <w:lang w:val="en-US"/>
        </w:rPr>
        <w:t> :</w:t>
      </w:r>
      <w:r w:rsidRPr="0038179A">
        <w:rPr>
          <w:b/>
          <w:lang w:val="en-US"/>
        </w:rPr>
        <w:t> Nouvelle</w:t>
      </w:r>
      <w:r w:rsidR="007745F6">
        <w:rPr>
          <w:b/>
          <w:lang w:val="en-US"/>
        </w:rPr>
        <w:noBreakHyphen/>
      </w:r>
      <w:r w:rsidRPr="0038179A">
        <w:rPr>
          <w:b/>
          <w:lang w:val="en-US"/>
        </w:rPr>
        <w:t>Écosse (</w:t>
      </w:r>
      <w:r w:rsidR="004D7D95" w:rsidRPr="0038179A">
        <w:rPr>
          <w:rStyle w:val="SCCAppellantForIndexChar"/>
          <w:lang w:val="en-US"/>
        </w:rPr>
        <w:t>Procureur général</w:t>
      </w:r>
      <w:r w:rsidRPr="0038179A">
        <w:rPr>
          <w:rStyle w:val="SCCAppellantForIndexChar"/>
          <w:lang w:val="en-US"/>
        </w:rPr>
        <w:t>)</w:t>
      </w:r>
      <w:r w:rsidR="004D7D95" w:rsidRPr="0038179A">
        <w:rPr>
          <w:b/>
          <w:lang w:val="en-US"/>
        </w:rPr>
        <w:t xml:space="preserve"> </w:t>
      </w:r>
      <w:r w:rsidR="004D7D95" w:rsidRPr="0038179A">
        <w:rPr>
          <w:b/>
          <w:i/>
          <w:lang w:val="en-US"/>
        </w:rPr>
        <w:t>c.</w:t>
      </w:r>
      <w:r w:rsidR="004D7D95" w:rsidRPr="0038179A">
        <w:rPr>
          <w:b/>
          <w:lang w:val="en-US"/>
        </w:rPr>
        <w:t xml:space="preserve"> </w:t>
      </w:r>
      <w:r w:rsidR="0038179A" w:rsidRPr="0038179A">
        <w:rPr>
          <w:b/>
          <w:lang w:val="en-US"/>
        </w:rPr>
        <w:t>Judges of the Provincial Court and Family Court of Nova Scotia</w:t>
      </w:r>
    </w:p>
    <w:p w14:paraId="6FD7F79A" w14:textId="77777777" w:rsidR="004D7D95" w:rsidRPr="003360B5" w:rsidRDefault="00D17B0E" w:rsidP="0090156C">
      <w:pPr>
        <w:pStyle w:val="SCCSystemYear"/>
        <w:spacing w:after="720"/>
        <w:jc w:val="both"/>
        <w:rPr>
          <w:lang w:val="fr-CA"/>
        </w:rPr>
      </w:pPr>
      <w:r w:rsidRPr="003360B5">
        <w:rPr>
          <w:lang w:val="fr-CA"/>
        </w:rPr>
        <w:t>2020</w:t>
      </w:r>
      <w:r w:rsidR="004D7D95" w:rsidRPr="003360B5">
        <w:rPr>
          <w:lang w:val="fr-CA"/>
        </w:rPr>
        <w:t xml:space="preserve"> CSC </w:t>
      </w:r>
      <w:r w:rsidR="00F147EB">
        <w:rPr>
          <w:lang w:val="fr-CA"/>
        </w:rPr>
        <w:t>21</w:t>
      </w:r>
    </w:p>
    <w:p w14:paraId="1520885C" w14:textId="6534F9EC" w:rsidR="004D7D95" w:rsidRPr="003360B5" w:rsidRDefault="004D7D95" w:rsidP="0090156C">
      <w:pPr>
        <w:spacing w:after="720"/>
        <w:jc w:val="both"/>
        <w:rPr>
          <w:lang w:val="fr-CA"/>
        </w:rPr>
      </w:pPr>
      <w:r w:rsidRPr="003360B5">
        <w:rPr>
          <w:lang w:val="fr-CA"/>
        </w:rPr>
        <w:t>N</w:t>
      </w:r>
      <w:r w:rsidRPr="003360B5">
        <w:rPr>
          <w:vertAlign w:val="superscript"/>
          <w:lang w:val="fr-CA"/>
        </w:rPr>
        <w:t>o</w:t>
      </w:r>
      <w:r w:rsidRPr="003360B5">
        <w:rPr>
          <w:lang w:val="fr-CA"/>
        </w:rPr>
        <w:t xml:space="preserve"> du greffe</w:t>
      </w:r>
      <w:r w:rsidR="007745F6">
        <w:rPr>
          <w:lang w:val="fr-CA"/>
        </w:rPr>
        <w:t> :</w:t>
      </w:r>
      <w:r w:rsidRPr="003360B5">
        <w:rPr>
          <w:lang w:val="fr-CA"/>
        </w:rPr>
        <w:t> 38459.</w:t>
      </w:r>
    </w:p>
    <w:p w14:paraId="44A6464A" w14:textId="65D446D4" w:rsidR="004D7D95" w:rsidRPr="003360B5" w:rsidRDefault="00D17B0E" w:rsidP="0090156C">
      <w:pPr>
        <w:spacing w:after="720"/>
        <w:jc w:val="both"/>
        <w:rPr>
          <w:lang w:val="fr-CA"/>
        </w:rPr>
      </w:pPr>
      <w:r w:rsidRPr="003360B5">
        <w:rPr>
          <w:lang w:val="fr-CA"/>
        </w:rPr>
        <w:t>2019</w:t>
      </w:r>
      <w:r w:rsidR="007745F6">
        <w:rPr>
          <w:lang w:val="fr-CA"/>
        </w:rPr>
        <w:t> :</w:t>
      </w:r>
      <w:r w:rsidR="00364D7F">
        <w:rPr>
          <w:lang w:val="fr-CA"/>
        </w:rPr>
        <w:t> 9 </w:t>
      </w:r>
      <w:r w:rsidRPr="003360B5">
        <w:rPr>
          <w:lang w:val="fr-CA"/>
        </w:rPr>
        <w:t>déce</w:t>
      </w:r>
      <w:r w:rsidRPr="006F2B02">
        <w:rPr>
          <w:lang w:val="fr-CA"/>
        </w:rPr>
        <w:t>mbre</w:t>
      </w:r>
      <w:r w:rsidR="004D7D95" w:rsidRPr="006F2B02">
        <w:rPr>
          <w:lang w:val="fr-CA"/>
        </w:rPr>
        <w:t xml:space="preserve">; </w:t>
      </w:r>
      <w:r w:rsidR="009F77BD" w:rsidRPr="006F2B02">
        <w:rPr>
          <w:lang w:val="fr-CA"/>
        </w:rPr>
        <w:t>2020</w:t>
      </w:r>
      <w:r w:rsidR="007745F6">
        <w:rPr>
          <w:lang w:val="fr-CA"/>
        </w:rPr>
        <w:t> :</w:t>
      </w:r>
      <w:r w:rsidR="00364D7F">
        <w:rPr>
          <w:lang w:val="fr-CA"/>
        </w:rPr>
        <w:t> 31 </w:t>
      </w:r>
      <w:r w:rsidR="009F77BD" w:rsidRPr="006F2B02">
        <w:rPr>
          <w:lang w:val="fr-CA"/>
        </w:rPr>
        <w:t>juillet.</w:t>
      </w:r>
      <w:r w:rsidR="009F77BD">
        <w:rPr>
          <w:lang w:val="fr-CA"/>
        </w:rPr>
        <w:t xml:space="preserve"> </w:t>
      </w:r>
    </w:p>
    <w:p w14:paraId="3291BB2B" w14:textId="7AA0891A" w:rsidR="004D7D95" w:rsidRPr="003360B5" w:rsidRDefault="004D7D95" w:rsidP="0090156C">
      <w:pPr>
        <w:spacing w:after="720"/>
        <w:jc w:val="both"/>
        <w:rPr>
          <w:lang w:val="fr-CA"/>
        </w:rPr>
      </w:pPr>
      <w:r w:rsidRPr="003360B5">
        <w:rPr>
          <w:lang w:val="fr-CA"/>
        </w:rPr>
        <w:t>Présents</w:t>
      </w:r>
      <w:r w:rsidR="007745F6">
        <w:rPr>
          <w:lang w:val="fr-CA"/>
        </w:rPr>
        <w:t> :</w:t>
      </w:r>
      <w:r w:rsidRPr="003360B5">
        <w:rPr>
          <w:lang w:val="fr-CA"/>
        </w:rPr>
        <w:t> Le juge en chef Wagner et les juges Abella, Moldaver, Karakatsanis, Côté, Brown, Rowe, Martin et Kasirer.</w:t>
      </w:r>
    </w:p>
    <w:p w14:paraId="510E29DA" w14:textId="4CFE96D4" w:rsidR="004D7D95" w:rsidRPr="00337655" w:rsidRDefault="004D7D95" w:rsidP="0090156C">
      <w:pPr>
        <w:spacing w:after="720"/>
        <w:jc w:val="both"/>
        <w:rPr>
          <w:smallCaps/>
          <w:lang w:val="fr-CA"/>
        </w:rPr>
      </w:pPr>
      <w:r w:rsidRPr="00337655">
        <w:rPr>
          <w:smallCaps/>
          <w:lang w:val="fr-CA"/>
        </w:rPr>
        <w:t>en appel de la cour d</w:t>
      </w:r>
      <w:r w:rsidR="006709B9">
        <w:rPr>
          <w:smallCaps/>
          <w:lang w:val="fr-CA"/>
        </w:rPr>
        <w:t>’</w:t>
      </w:r>
      <w:r w:rsidRPr="00337655">
        <w:rPr>
          <w:smallCaps/>
          <w:lang w:val="fr-CA"/>
        </w:rPr>
        <w:t>appel de la nouvelle</w:t>
      </w:r>
      <w:r w:rsidR="007745F6">
        <w:rPr>
          <w:smallCaps/>
          <w:lang w:val="fr-CA"/>
        </w:rPr>
        <w:noBreakHyphen/>
      </w:r>
      <w:r w:rsidRPr="00337655">
        <w:rPr>
          <w:smallCaps/>
          <w:lang w:val="fr-CA"/>
        </w:rPr>
        <w:t>écosse</w:t>
      </w:r>
    </w:p>
    <w:p w14:paraId="2B49E504" w14:textId="41EA7B02" w:rsidR="00CD2452" w:rsidRPr="00433672" w:rsidRDefault="004D7D95" w:rsidP="0090156C">
      <w:pPr>
        <w:pStyle w:val="SCCNormalDoubleSpacing"/>
        <w:spacing w:after="480"/>
        <w:rPr>
          <w:lang w:val="fr-CA"/>
        </w:rPr>
      </w:pPr>
      <w:r w:rsidRPr="00BB4C92">
        <w:rPr>
          <w:lang w:val="fr-CA"/>
        </w:rPr>
        <w:tab/>
      </w:r>
      <w:r w:rsidR="00500A99" w:rsidRPr="00500A99">
        <w:rPr>
          <w:i/>
          <w:lang w:val="fr-CA"/>
        </w:rPr>
        <w:t>Droit constitutionnel</w:t>
      </w:r>
      <w:r w:rsidR="00CD2452" w:rsidRPr="00500A99">
        <w:rPr>
          <w:i/>
          <w:lang w:val="fr-CA"/>
        </w:rPr>
        <w:t xml:space="preserve"> — </w:t>
      </w:r>
      <w:r w:rsidR="00500A99" w:rsidRPr="00500A99">
        <w:rPr>
          <w:i/>
          <w:lang w:val="fr-CA"/>
        </w:rPr>
        <w:t>Indépendance judiciaire</w:t>
      </w:r>
      <w:r w:rsidR="00CD2452" w:rsidRPr="00500A99">
        <w:rPr>
          <w:i/>
          <w:lang w:val="fr-CA"/>
        </w:rPr>
        <w:t xml:space="preserve"> </w:t>
      </w:r>
      <w:r w:rsidR="00CD2452" w:rsidRPr="00310040">
        <w:rPr>
          <w:i/>
          <w:lang w:val="fr-CA"/>
        </w:rPr>
        <w:t xml:space="preserve">— </w:t>
      </w:r>
      <w:r w:rsidR="00500A99" w:rsidRPr="00310040">
        <w:rPr>
          <w:i/>
          <w:lang w:val="fr-CA"/>
        </w:rPr>
        <w:t>Rémunération des juges</w:t>
      </w:r>
      <w:r w:rsidR="00CD2452" w:rsidRPr="00310040">
        <w:rPr>
          <w:i/>
          <w:lang w:val="fr-CA"/>
        </w:rPr>
        <w:t xml:space="preserve"> — </w:t>
      </w:r>
      <w:r w:rsidR="00076BAB">
        <w:rPr>
          <w:i/>
          <w:lang w:val="fr-CA"/>
        </w:rPr>
        <w:t xml:space="preserve">Présentation au gouvernement de la province par </w:t>
      </w:r>
      <w:r w:rsidR="00500A99" w:rsidRPr="00310040">
        <w:rPr>
          <w:i/>
          <w:lang w:val="fr-CA"/>
        </w:rPr>
        <w:t>une commission d</w:t>
      </w:r>
      <w:r w:rsidR="006709B9">
        <w:rPr>
          <w:i/>
          <w:lang w:val="fr-CA"/>
        </w:rPr>
        <w:t>’</w:t>
      </w:r>
      <w:r w:rsidR="00500A99" w:rsidRPr="00310040">
        <w:rPr>
          <w:i/>
          <w:lang w:val="fr-CA"/>
        </w:rPr>
        <w:t xml:space="preserve">examen de la rémunération des juges </w:t>
      </w:r>
      <w:r w:rsidR="00076BAB">
        <w:rPr>
          <w:i/>
          <w:lang w:val="fr-CA"/>
        </w:rPr>
        <w:t>de r</w:t>
      </w:r>
      <w:r w:rsidR="00076BAB" w:rsidRPr="00310040">
        <w:rPr>
          <w:i/>
          <w:lang w:val="fr-CA"/>
        </w:rPr>
        <w:t>ecomm</w:t>
      </w:r>
      <w:r w:rsidR="00076BAB" w:rsidRPr="001F468F">
        <w:rPr>
          <w:i/>
          <w:lang w:val="fr-CA"/>
        </w:rPr>
        <w:t xml:space="preserve">andations </w:t>
      </w:r>
      <w:r w:rsidR="00500A99" w:rsidRPr="001F468F">
        <w:rPr>
          <w:i/>
          <w:lang w:val="fr-CA"/>
        </w:rPr>
        <w:t xml:space="preserve">concernant les traitements, les avantages et les pensions des juges </w:t>
      </w:r>
      <w:r w:rsidR="00A72FBD">
        <w:rPr>
          <w:i/>
          <w:lang w:val="fr-CA"/>
        </w:rPr>
        <w:t>pr</w:t>
      </w:r>
      <w:r w:rsidR="00500A99" w:rsidRPr="001F468F">
        <w:rPr>
          <w:i/>
          <w:lang w:val="fr-CA"/>
        </w:rPr>
        <w:t>ovinci</w:t>
      </w:r>
      <w:r w:rsidR="00A72FBD">
        <w:rPr>
          <w:i/>
          <w:lang w:val="fr-CA"/>
        </w:rPr>
        <w:t>aux</w:t>
      </w:r>
      <w:r w:rsidR="00CD2452" w:rsidRPr="001F468F">
        <w:rPr>
          <w:i/>
          <w:lang w:val="fr-CA"/>
        </w:rPr>
        <w:t xml:space="preserve"> — </w:t>
      </w:r>
      <w:r w:rsidR="00500A99" w:rsidRPr="001F468F">
        <w:rPr>
          <w:i/>
          <w:lang w:val="fr-CA"/>
        </w:rPr>
        <w:t xml:space="preserve">Remise au Cabinet </w:t>
      </w:r>
      <w:r w:rsidR="00076BAB" w:rsidRPr="001F468F">
        <w:rPr>
          <w:i/>
          <w:lang w:val="fr-CA"/>
        </w:rPr>
        <w:t xml:space="preserve">par la procureure générale </w:t>
      </w:r>
      <w:r w:rsidR="00500A99" w:rsidRPr="001F468F">
        <w:rPr>
          <w:i/>
          <w:lang w:val="fr-CA"/>
        </w:rPr>
        <w:t>d</w:t>
      </w:r>
      <w:r w:rsidR="006709B9">
        <w:rPr>
          <w:i/>
          <w:lang w:val="fr-CA"/>
        </w:rPr>
        <w:t>’</w:t>
      </w:r>
      <w:r w:rsidR="00500A99" w:rsidRPr="001F468F">
        <w:rPr>
          <w:i/>
          <w:lang w:val="fr-CA"/>
        </w:rPr>
        <w:t xml:space="preserve">un rapport </w:t>
      </w:r>
      <w:r w:rsidR="00310040" w:rsidRPr="001F468F">
        <w:rPr>
          <w:i/>
          <w:lang w:val="fr-CA"/>
        </w:rPr>
        <w:t>concernant</w:t>
      </w:r>
      <w:r w:rsidR="00500A99" w:rsidRPr="001F468F">
        <w:rPr>
          <w:i/>
          <w:lang w:val="fr-CA"/>
        </w:rPr>
        <w:t xml:space="preserve"> </w:t>
      </w:r>
      <w:r w:rsidR="00076BAB" w:rsidRPr="001F468F">
        <w:rPr>
          <w:i/>
          <w:lang w:val="fr-CA"/>
        </w:rPr>
        <w:t>ces recommandations</w:t>
      </w:r>
      <w:r w:rsidR="00500A99" w:rsidRPr="001F468F">
        <w:rPr>
          <w:i/>
          <w:lang w:val="fr-CA"/>
        </w:rPr>
        <w:t xml:space="preserve"> </w:t>
      </w:r>
      <w:r w:rsidR="00CD2452" w:rsidRPr="001F468F">
        <w:rPr>
          <w:i/>
          <w:lang w:val="fr-CA"/>
        </w:rPr>
        <w:t xml:space="preserve">— </w:t>
      </w:r>
      <w:r w:rsidR="00076BAB" w:rsidRPr="001F468F">
        <w:rPr>
          <w:i/>
          <w:lang w:val="fr-CA"/>
        </w:rPr>
        <w:t xml:space="preserve">Modification par </w:t>
      </w:r>
      <w:r w:rsidR="001F468F" w:rsidRPr="001F468F">
        <w:rPr>
          <w:i/>
          <w:lang w:val="fr-CA"/>
        </w:rPr>
        <w:t>voie de</w:t>
      </w:r>
      <w:r w:rsidR="00076BAB" w:rsidRPr="001F468F">
        <w:rPr>
          <w:i/>
          <w:lang w:val="fr-CA"/>
        </w:rPr>
        <w:t xml:space="preserve"> décret de la r</w:t>
      </w:r>
      <w:r w:rsidR="00500A99" w:rsidRPr="001F468F">
        <w:rPr>
          <w:i/>
          <w:lang w:val="fr-CA"/>
        </w:rPr>
        <w:t>ecommandation de</w:t>
      </w:r>
      <w:r w:rsidR="00500A99">
        <w:rPr>
          <w:i/>
          <w:lang w:val="fr-CA"/>
        </w:rPr>
        <w:t xml:space="preserve"> la commission relative aux traitements des juges </w:t>
      </w:r>
      <w:r w:rsidR="00CD2452" w:rsidRPr="00500A99">
        <w:rPr>
          <w:i/>
          <w:lang w:val="fr-CA"/>
        </w:rPr>
        <w:t xml:space="preserve">— </w:t>
      </w:r>
      <w:r w:rsidR="00076BAB">
        <w:rPr>
          <w:i/>
          <w:lang w:val="fr-CA"/>
        </w:rPr>
        <w:t>Dépôt par les juges d</w:t>
      </w:r>
      <w:r w:rsidR="006709B9">
        <w:rPr>
          <w:i/>
          <w:lang w:val="fr-CA"/>
        </w:rPr>
        <w:t>’</w:t>
      </w:r>
      <w:r w:rsidR="00076BAB">
        <w:rPr>
          <w:i/>
          <w:lang w:val="fr-CA"/>
        </w:rPr>
        <w:t>une d</w:t>
      </w:r>
      <w:r w:rsidR="00433672">
        <w:rPr>
          <w:i/>
          <w:lang w:val="fr-CA"/>
        </w:rPr>
        <w:t xml:space="preserve">emande de contrôle judiciaire du </w:t>
      </w:r>
      <w:r w:rsidR="00E842F9">
        <w:rPr>
          <w:i/>
          <w:lang w:val="fr-CA"/>
        </w:rPr>
        <w:t>décret</w:t>
      </w:r>
      <w:r w:rsidR="00433672">
        <w:rPr>
          <w:i/>
          <w:lang w:val="fr-CA"/>
        </w:rPr>
        <w:t xml:space="preserve"> — Le rapport d</w:t>
      </w:r>
      <w:r w:rsidR="00310040">
        <w:rPr>
          <w:i/>
          <w:lang w:val="fr-CA"/>
        </w:rPr>
        <w:t>e la</w:t>
      </w:r>
      <w:r w:rsidR="00433672">
        <w:rPr>
          <w:i/>
          <w:lang w:val="fr-CA"/>
        </w:rPr>
        <w:t xml:space="preserve"> procureur</w:t>
      </w:r>
      <w:r w:rsidR="00310040">
        <w:rPr>
          <w:i/>
          <w:lang w:val="fr-CA"/>
        </w:rPr>
        <w:t>e</w:t>
      </w:r>
      <w:r w:rsidR="00433672">
        <w:rPr>
          <w:i/>
          <w:lang w:val="fr-CA"/>
        </w:rPr>
        <w:t xml:space="preserve"> général</w:t>
      </w:r>
      <w:r w:rsidR="00310040">
        <w:rPr>
          <w:i/>
          <w:lang w:val="fr-CA"/>
        </w:rPr>
        <w:t>e</w:t>
      </w:r>
      <w:r w:rsidR="00433672">
        <w:rPr>
          <w:i/>
          <w:lang w:val="fr-CA"/>
        </w:rPr>
        <w:t xml:space="preserve"> devrait</w:t>
      </w:r>
      <w:r w:rsidR="007745F6">
        <w:rPr>
          <w:i/>
          <w:lang w:val="fr-CA"/>
        </w:rPr>
        <w:noBreakHyphen/>
      </w:r>
      <w:r w:rsidR="00433672">
        <w:rPr>
          <w:i/>
          <w:lang w:val="fr-CA"/>
        </w:rPr>
        <w:t xml:space="preserve">il faire partie du dossier </w:t>
      </w:r>
      <w:r w:rsidR="001F468F">
        <w:rPr>
          <w:i/>
          <w:lang w:val="fr-CA"/>
        </w:rPr>
        <w:t xml:space="preserve">lors </w:t>
      </w:r>
      <w:r w:rsidR="00433672">
        <w:rPr>
          <w:i/>
          <w:lang w:val="fr-CA"/>
        </w:rPr>
        <w:t>d</w:t>
      </w:r>
      <w:r w:rsidR="00076BAB">
        <w:rPr>
          <w:i/>
          <w:lang w:val="fr-CA"/>
        </w:rPr>
        <w:t>u</w:t>
      </w:r>
      <w:r w:rsidR="006709B9">
        <w:rPr>
          <w:i/>
          <w:lang w:val="fr-CA"/>
        </w:rPr>
        <w:t xml:space="preserve"> contrôle judiciaire</w:t>
      </w:r>
      <w:r w:rsidR="00433672">
        <w:rPr>
          <w:i/>
          <w:lang w:val="fr-CA"/>
        </w:rPr>
        <w:t>?</w:t>
      </w:r>
      <w:r w:rsidR="00CD2452" w:rsidRPr="00500A99">
        <w:rPr>
          <w:i/>
          <w:lang w:val="fr-CA"/>
        </w:rPr>
        <w:t xml:space="preserve"> — </w:t>
      </w:r>
      <w:r w:rsidR="00433672">
        <w:rPr>
          <w:i/>
          <w:lang w:val="fr-CA"/>
        </w:rPr>
        <w:t>L</w:t>
      </w:r>
      <w:r w:rsidR="006709B9">
        <w:rPr>
          <w:i/>
          <w:lang w:val="fr-CA"/>
        </w:rPr>
        <w:t>’</w:t>
      </w:r>
      <w:r w:rsidR="00433672">
        <w:rPr>
          <w:i/>
          <w:lang w:val="fr-CA"/>
        </w:rPr>
        <w:t>immunité d</w:t>
      </w:r>
      <w:r w:rsidR="006709B9">
        <w:rPr>
          <w:i/>
          <w:lang w:val="fr-CA"/>
        </w:rPr>
        <w:t>’</w:t>
      </w:r>
      <w:r w:rsidR="00433672">
        <w:rPr>
          <w:i/>
          <w:lang w:val="fr-CA"/>
        </w:rPr>
        <w:t xml:space="preserve">intérêt public </w:t>
      </w:r>
      <w:r w:rsidR="00076BAB">
        <w:rPr>
          <w:i/>
          <w:lang w:val="fr-CA"/>
        </w:rPr>
        <w:t xml:space="preserve">fait-elle obstacle à </w:t>
      </w:r>
      <w:r w:rsidR="001F468F">
        <w:rPr>
          <w:i/>
          <w:lang w:val="fr-CA"/>
        </w:rPr>
        <w:t>la production du rapport</w:t>
      </w:r>
      <w:r w:rsidR="00433672">
        <w:rPr>
          <w:i/>
          <w:lang w:val="fr-CA"/>
        </w:rPr>
        <w:t>?</w:t>
      </w:r>
    </w:p>
    <w:p w14:paraId="252B855A" w14:textId="2EC39BF9" w:rsidR="00AB718B" w:rsidRDefault="00CD2452" w:rsidP="0090156C">
      <w:pPr>
        <w:pStyle w:val="SCCNormalDoubleSpacing"/>
        <w:spacing w:after="480"/>
        <w:rPr>
          <w:lang w:val="fr-CA"/>
        </w:rPr>
      </w:pPr>
      <w:r w:rsidRPr="00433672">
        <w:rPr>
          <w:lang w:val="fr-CA"/>
        </w:rPr>
        <w:tab/>
      </w:r>
      <w:r w:rsidR="001C1346">
        <w:rPr>
          <w:lang w:val="fr-CA"/>
        </w:rPr>
        <w:t xml:space="preserve">En </w:t>
      </w:r>
      <w:r w:rsidR="00AB718B" w:rsidRPr="00AB718B">
        <w:rPr>
          <w:lang w:val="fr-CA"/>
        </w:rPr>
        <w:t xml:space="preserve">novembre 2016, la commission sur la </w:t>
      </w:r>
      <w:r w:rsidR="00AB718B">
        <w:rPr>
          <w:lang w:val="fr-CA"/>
        </w:rPr>
        <w:t>rémuné</w:t>
      </w:r>
      <w:r w:rsidR="00AB718B" w:rsidRPr="00AB718B">
        <w:rPr>
          <w:lang w:val="fr-CA"/>
        </w:rPr>
        <w:t>ration des juges de la Nouvelle</w:t>
      </w:r>
      <w:r w:rsidR="007745F6">
        <w:rPr>
          <w:lang w:val="fr-CA"/>
        </w:rPr>
        <w:noBreakHyphen/>
      </w:r>
      <w:r w:rsidR="00AB718B" w:rsidRPr="00AB718B">
        <w:rPr>
          <w:lang w:val="fr-CA"/>
        </w:rPr>
        <w:t xml:space="preserve">Écosse a </w:t>
      </w:r>
      <w:r w:rsidR="00AB718B">
        <w:rPr>
          <w:lang w:val="fr-CA"/>
        </w:rPr>
        <w:t>recomma</w:t>
      </w:r>
      <w:r w:rsidR="00AB718B" w:rsidRPr="00AB718B">
        <w:rPr>
          <w:lang w:val="fr-CA"/>
        </w:rPr>
        <w:t>nd</w:t>
      </w:r>
      <w:r w:rsidR="00AB718B">
        <w:rPr>
          <w:lang w:val="fr-CA"/>
        </w:rPr>
        <w:t xml:space="preserve">é </w:t>
      </w:r>
      <w:r w:rsidR="00AB718B" w:rsidRPr="00F80684">
        <w:rPr>
          <w:lang w:val="fr-CA"/>
        </w:rPr>
        <w:t>une augmentation d</w:t>
      </w:r>
      <w:r w:rsidR="006709B9">
        <w:rPr>
          <w:lang w:val="fr-CA"/>
        </w:rPr>
        <w:t>’</w:t>
      </w:r>
      <w:r w:rsidR="00AB718B" w:rsidRPr="00F80684">
        <w:rPr>
          <w:lang w:val="fr-CA"/>
        </w:rPr>
        <w:t xml:space="preserve">environ 5,5 </w:t>
      </w:r>
      <w:r w:rsidR="00E45F84">
        <w:rPr>
          <w:lang w:val="fr-CA"/>
        </w:rPr>
        <w:t>p. 100</w:t>
      </w:r>
      <w:r w:rsidR="00AB718B" w:rsidRPr="00F80684">
        <w:rPr>
          <w:lang w:val="fr-CA"/>
        </w:rPr>
        <w:t xml:space="preserve"> des traitements </w:t>
      </w:r>
      <w:r w:rsidR="00A72FBD">
        <w:rPr>
          <w:lang w:val="fr-CA"/>
        </w:rPr>
        <w:t>des juges provinciaux</w:t>
      </w:r>
      <w:r w:rsidR="00AB718B" w:rsidRPr="00F80684">
        <w:rPr>
          <w:lang w:val="fr-CA"/>
        </w:rPr>
        <w:t xml:space="preserve"> </w:t>
      </w:r>
      <w:r w:rsidR="00AB718B">
        <w:rPr>
          <w:lang w:val="fr-CA"/>
        </w:rPr>
        <w:t xml:space="preserve">pour </w:t>
      </w:r>
      <w:r w:rsidR="00AB718B" w:rsidRPr="00F80684">
        <w:rPr>
          <w:lang w:val="fr-CA"/>
        </w:rPr>
        <w:t>l</w:t>
      </w:r>
      <w:r w:rsidR="006709B9">
        <w:rPr>
          <w:lang w:val="fr-CA"/>
        </w:rPr>
        <w:t>’</w:t>
      </w:r>
      <w:r w:rsidR="00AB718B" w:rsidRPr="00F80684">
        <w:rPr>
          <w:lang w:val="fr-CA"/>
        </w:rPr>
        <w:t>exercice financier 2017</w:t>
      </w:r>
      <w:r w:rsidR="007745F6">
        <w:rPr>
          <w:lang w:val="fr-CA"/>
        </w:rPr>
        <w:noBreakHyphen/>
      </w:r>
      <w:r w:rsidR="00AB718B" w:rsidRPr="00F80684">
        <w:rPr>
          <w:lang w:val="fr-CA"/>
        </w:rPr>
        <w:t>2018</w:t>
      </w:r>
      <w:r w:rsidR="00AB718B">
        <w:rPr>
          <w:lang w:val="fr-CA"/>
        </w:rPr>
        <w:t>,</w:t>
      </w:r>
      <w:r w:rsidR="00AB718B" w:rsidRPr="00AB718B">
        <w:rPr>
          <w:lang w:val="fr-CA"/>
        </w:rPr>
        <w:t xml:space="preserve"> </w:t>
      </w:r>
      <w:r w:rsidR="00AB718B">
        <w:rPr>
          <w:lang w:val="fr-CA"/>
        </w:rPr>
        <w:t xml:space="preserve">de même que des </w:t>
      </w:r>
      <w:r w:rsidR="00AB718B" w:rsidRPr="000A480E">
        <w:rPr>
          <w:lang w:val="fr-CA"/>
        </w:rPr>
        <w:t>augmentation</w:t>
      </w:r>
      <w:r w:rsidR="00AB718B">
        <w:rPr>
          <w:lang w:val="fr-CA"/>
        </w:rPr>
        <w:t>s</w:t>
      </w:r>
      <w:r w:rsidR="00AB718B" w:rsidRPr="000A480E">
        <w:rPr>
          <w:lang w:val="fr-CA"/>
        </w:rPr>
        <w:t xml:space="preserve"> de 1,2 </w:t>
      </w:r>
      <w:r w:rsidR="00E45F84">
        <w:rPr>
          <w:lang w:val="fr-CA"/>
        </w:rPr>
        <w:t>p. 100</w:t>
      </w:r>
      <w:r w:rsidR="00AB718B" w:rsidRPr="000A480E">
        <w:rPr>
          <w:lang w:val="fr-CA"/>
        </w:rPr>
        <w:t xml:space="preserve"> en 2018</w:t>
      </w:r>
      <w:r w:rsidR="007745F6">
        <w:rPr>
          <w:lang w:val="fr-CA"/>
        </w:rPr>
        <w:noBreakHyphen/>
      </w:r>
      <w:r w:rsidR="00AB718B" w:rsidRPr="000A480E">
        <w:rPr>
          <w:lang w:val="fr-CA"/>
        </w:rPr>
        <w:t>2019</w:t>
      </w:r>
      <w:r w:rsidR="00AB718B">
        <w:rPr>
          <w:lang w:val="fr-CA"/>
        </w:rPr>
        <w:t xml:space="preserve"> et de </w:t>
      </w:r>
      <w:r w:rsidR="00AB718B" w:rsidRPr="000A480E">
        <w:rPr>
          <w:lang w:val="fr-CA"/>
        </w:rPr>
        <w:t>2</w:t>
      </w:r>
      <w:r w:rsidR="00AB718B">
        <w:rPr>
          <w:lang w:val="fr-CA"/>
        </w:rPr>
        <w:t>,</w:t>
      </w:r>
      <w:r w:rsidR="00AB718B" w:rsidRPr="000A480E">
        <w:rPr>
          <w:lang w:val="fr-CA"/>
        </w:rPr>
        <w:t xml:space="preserve">2 </w:t>
      </w:r>
      <w:r w:rsidR="00E45F84">
        <w:rPr>
          <w:lang w:val="fr-CA"/>
        </w:rPr>
        <w:t>p. 100</w:t>
      </w:r>
      <w:r w:rsidR="00AB718B">
        <w:rPr>
          <w:lang w:val="fr-CA"/>
        </w:rPr>
        <w:t xml:space="preserve"> en </w:t>
      </w:r>
      <w:r w:rsidR="00AB718B" w:rsidRPr="000A480E">
        <w:rPr>
          <w:lang w:val="fr-CA"/>
        </w:rPr>
        <w:t>2019</w:t>
      </w:r>
      <w:r w:rsidR="007745F6">
        <w:rPr>
          <w:lang w:val="fr-CA"/>
        </w:rPr>
        <w:noBreakHyphen/>
      </w:r>
      <w:r w:rsidR="00AB718B">
        <w:rPr>
          <w:lang w:val="fr-CA"/>
        </w:rPr>
        <w:t>20</w:t>
      </w:r>
      <w:r w:rsidR="00AB718B" w:rsidRPr="000A480E">
        <w:rPr>
          <w:lang w:val="fr-CA"/>
        </w:rPr>
        <w:t>20</w:t>
      </w:r>
      <w:r w:rsidR="00AB718B">
        <w:rPr>
          <w:lang w:val="fr-CA"/>
        </w:rPr>
        <w:t>. L</w:t>
      </w:r>
      <w:r w:rsidR="00AB718B" w:rsidRPr="00050412">
        <w:rPr>
          <w:lang w:val="fr-CA"/>
        </w:rPr>
        <w:t xml:space="preserve">a procureure générale </w:t>
      </w:r>
      <w:r w:rsidR="00AB718B">
        <w:rPr>
          <w:lang w:val="fr-CA"/>
        </w:rPr>
        <w:t xml:space="preserve">de la province </w:t>
      </w:r>
      <w:r w:rsidR="00AB718B" w:rsidRPr="00050412">
        <w:rPr>
          <w:lang w:val="fr-CA"/>
        </w:rPr>
        <w:t>a r</w:t>
      </w:r>
      <w:r w:rsidR="00AB718B" w:rsidRPr="00D64106">
        <w:rPr>
          <w:lang w:val="fr-CA"/>
        </w:rPr>
        <w:t>emis au Cabinet un rapport au sujet des recommandations de la commission</w:t>
      </w:r>
      <w:r w:rsidR="00AB718B">
        <w:rPr>
          <w:lang w:val="fr-CA"/>
        </w:rPr>
        <w:t>. L</w:t>
      </w:r>
      <w:r w:rsidR="00AB718B" w:rsidRPr="00744599">
        <w:rPr>
          <w:lang w:val="fr-CA"/>
        </w:rPr>
        <w:t>e lieutenant</w:t>
      </w:r>
      <w:r w:rsidR="007745F6">
        <w:rPr>
          <w:lang w:val="fr-CA"/>
        </w:rPr>
        <w:noBreakHyphen/>
      </w:r>
      <w:r w:rsidR="00AB718B" w:rsidRPr="00744599">
        <w:rPr>
          <w:lang w:val="fr-CA"/>
        </w:rPr>
        <w:t xml:space="preserve">gouverneur en conseil a </w:t>
      </w:r>
      <w:r w:rsidR="00AB718B">
        <w:rPr>
          <w:lang w:val="fr-CA"/>
        </w:rPr>
        <w:t xml:space="preserve">ensuite </w:t>
      </w:r>
      <w:r w:rsidR="00AB718B" w:rsidRPr="00744599">
        <w:rPr>
          <w:lang w:val="fr-CA"/>
        </w:rPr>
        <w:t>pris</w:t>
      </w:r>
      <w:r w:rsidR="001C1346">
        <w:rPr>
          <w:lang w:val="fr-CA"/>
        </w:rPr>
        <w:t xml:space="preserve">, sur la base du </w:t>
      </w:r>
      <w:r w:rsidR="00AB718B" w:rsidRPr="00050412">
        <w:rPr>
          <w:lang w:val="fr-CA"/>
        </w:rPr>
        <w:t xml:space="preserve">rapport et </w:t>
      </w:r>
      <w:r w:rsidR="001C1346">
        <w:rPr>
          <w:lang w:val="fr-CA"/>
        </w:rPr>
        <w:t xml:space="preserve">de </w:t>
      </w:r>
      <w:r w:rsidR="00310040">
        <w:rPr>
          <w:lang w:val="fr-CA"/>
        </w:rPr>
        <w:t xml:space="preserve">la </w:t>
      </w:r>
      <w:r w:rsidR="00AB718B" w:rsidRPr="00050412">
        <w:rPr>
          <w:lang w:val="fr-CA"/>
        </w:rPr>
        <w:t>recommandation de la procureure générale</w:t>
      </w:r>
      <w:r w:rsidR="001C1346">
        <w:rPr>
          <w:lang w:val="fr-CA"/>
        </w:rPr>
        <w:t>, un décret</w:t>
      </w:r>
      <w:r w:rsidR="00AB718B" w:rsidRPr="00050412">
        <w:rPr>
          <w:lang w:val="fr-CA"/>
        </w:rPr>
        <w:t xml:space="preserve"> </w:t>
      </w:r>
      <w:r w:rsidR="00AB718B" w:rsidRPr="00885E85">
        <w:rPr>
          <w:lang w:val="fr-CA"/>
        </w:rPr>
        <w:t>rédui</w:t>
      </w:r>
      <w:r w:rsidR="00AB718B">
        <w:rPr>
          <w:lang w:val="fr-CA"/>
        </w:rPr>
        <w:t>san</w:t>
      </w:r>
      <w:r w:rsidR="00AB718B" w:rsidRPr="00885E85">
        <w:rPr>
          <w:lang w:val="fr-CA"/>
        </w:rPr>
        <w:t xml:space="preserve">t </w:t>
      </w:r>
      <w:r w:rsidR="00AB718B">
        <w:rPr>
          <w:lang w:val="fr-CA"/>
        </w:rPr>
        <w:t xml:space="preserve">à zéro </w:t>
      </w:r>
      <w:r w:rsidR="00AB718B" w:rsidRPr="00885E85">
        <w:rPr>
          <w:lang w:val="fr-CA"/>
        </w:rPr>
        <w:t>le taux d</w:t>
      </w:r>
      <w:r w:rsidR="006709B9">
        <w:rPr>
          <w:lang w:val="fr-CA"/>
        </w:rPr>
        <w:t>’</w:t>
      </w:r>
      <w:r w:rsidR="00AB718B" w:rsidRPr="00885E85">
        <w:rPr>
          <w:lang w:val="fr-CA"/>
        </w:rPr>
        <w:t xml:space="preserve">augmentation salariale </w:t>
      </w:r>
      <w:r w:rsidR="00AB718B">
        <w:rPr>
          <w:lang w:val="fr-CA"/>
        </w:rPr>
        <w:t xml:space="preserve">pour </w:t>
      </w:r>
      <w:r w:rsidR="00AB718B" w:rsidRPr="00885E85">
        <w:rPr>
          <w:lang w:val="fr-CA"/>
        </w:rPr>
        <w:t>les exercices financiers 2017</w:t>
      </w:r>
      <w:r w:rsidR="007745F6">
        <w:rPr>
          <w:lang w:val="fr-CA"/>
        </w:rPr>
        <w:noBreakHyphen/>
      </w:r>
      <w:r w:rsidR="00AB718B">
        <w:rPr>
          <w:lang w:val="fr-CA"/>
        </w:rPr>
        <w:t>20</w:t>
      </w:r>
      <w:r w:rsidR="00AB718B" w:rsidRPr="00885E85">
        <w:rPr>
          <w:lang w:val="fr-CA"/>
        </w:rPr>
        <w:t xml:space="preserve">18 </w:t>
      </w:r>
      <w:r w:rsidR="00AB718B">
        <w:rPr>
          <w:lang w:val="fr-CA"/>
        </w:rPr>
        <w:t>et</w:t>
      </w:r>
      <w:r w:rsidR="00AB718B" w:rsidRPr="00885E85">
        <w:rPr>
          <w:lang w:val="fr-CA"/>
        </w:rPr>
        <w:t xml:space="preserve"> 2018</w:t>
      </w:r>
      <w:r w:rsidR="007745F6">
        <w:rPr>
          <w:lang w:val="fr-CA"/>
        </w:rPr>
        <w:noBreakHyphen/>
      </w:r>
      <w:r w:rsidR="00AB718B">
        <w:rPr>
          <w:lang w:val="fr-CA"/>
        </w:rPr>
        <w:t>20</w:t>
      </w:r>
      <w:r w:rsidR="00AB718B" w:rsidRPr="00885E85">
        <w:rPr>
          <w:lang w:val="fr-CA"/>
        </w:rPr>
        <w:t xml:space="preserve">19 </w:t>
      </w:r>
      <w:r w:rsidR="00AB718B">
        <w:rPr>
          <w:lang w:val="fr-CA"/>
        </w:rPr>
        <w:t>et à un pour cent pour l</w:t>
      </w:r>
      <w:r w:rsidR="006709B9">
        <w:rPr>
          <w:lang w:val="fr-CA"/>
        </w:rPr>
        <w:t>’</w:t>
      </w:r>
      <w:r w:rsidR="00AB718B">
        <w:rPr>
          <w:lang w:val="fr-CA"/>
        </w:rPr>
        <w:t xml:space="preserve">exercice </w:t>
      </w:r>
      <w:r w:rsidR="00AB718B" w:rsidRPr="00885E85">
        <w:rPr>
          <w:lang w:val="fr-CA"/>
        </w:rPr>
        <w:t>2019</w:t>
      </w:r>
      <w:r w:rsidR="007745F6">
        <w:rPr>
          <w:lang w:val="fr-CA"/>
        </w:rPr>
        <w:noBreakHyphen/>
      </w:r>
      <w:r w:rsidR="00AB718B">
        <w:rPr>
          <w:lang w:val="fr-CA"/>
        </w:rPr>
        <w:t>20</w:t>
      </w:r>
      <w:r w:rsidR="00AB718B" w:rsidRPr="00885E85">
        <w:rPr>
          <w:lang w:val="fr-CA"/>
        </w:rPr>
        <w:t>20.</w:t>
      </w:r>
      <w:r w:rsidR="00AB718B">
        <w:rPr>
          <w:lang w:val="fr-CA"/>
        </w:rPr>
        <w:t xml:space="preserve"> La</w:t>
      </w:r>
      <w:r w:rsidR="00AB718B" w:rsidRPr="00050412">
        <w:rPr>
          <w:lang w:val="fr-CA"/>
        </w:rPr>
        <w:t xml:space="preserve"> </w:t>
      </w:r>
      <w:r w:rsidR="001D1607">
        <w:rPr>
          <w:lang w:val="fr-CA"/>
        </w:rPr>
        <w:t xml:space="preserve">Provincial </w:t>
      </w:r>
      <w:r w:rsidR="00AB718B" w:rsidRPr="00744599">
        <w:rPr>
          <w:lang w:val="fr-CA"/>
        </w:rPr>
        <w:t>Judges</w:t>
      </w:r>
      <w:r w:rsidR="006709B9">
        <w:rPr>
          <w:lang w:val="fr-CA"/>
        </w:rPr>
        <w:t>’</w:t>
      </w:r>
      <w:r w:rsidR="00AB718B" w:rsidRPr="00744599">
        <w:rPr>
          <w:lang w:val="fr-CA"/>
        </w:rPr>
        <w:t xml:space="preserve"> Association</w:t>
      </w:r>
      <w:r w:rsidR="00AB718B">
        <w:rPr>
          <w:lang w:val="fr-CA"/>
        </w:rPr>
        <w:t xml:space="preserve"> a</w:t>
      </w:r>
      <w:r w:rsidR="00AB718B" w:rsidRPr="00744599">
        <w:rPr>
          <w:lang w:val="fr-CA"/>
        </w:rPr>
        <w:t xml:space="preserve"> demandé le contrôle judiciaire du décret </w:t>
      </w:r>
      <w:r w:rsidR="00AB718B">
        <w:rPr>
          <w:lang w:val="fr-CA"/>
        </w:rPr>
        <w:t>ainsi qu</w:t>
      </w:r>
      <w:r w:rsidR="006709B9">
        <w:rPr>
          <w:lang w:val="fr-CA"/>
        </w:rPr>
        <w:t>’</w:t>
      </w:r>
      <w:r w:rsidR="00AB718B" w:rsidRPr="00610DFC">
        <w:rPr>
          <w:lang w:val="fr-CA"/>
        </w:rPr>
        <w:t>un jugement</w:t>
      </w:r>
      <w:r w:rsidR="00AB718B">
        <w:rPr>
          <w:lang w:val="fr-CA"/>
        </w:rPr>
        <w:t xml:space="preserve"> déclarant que </w:t>
      </w:r>
      <w:r w:rsidR="00AB718B" w:rsidRPr="00610DFC">
        <w:rPr>
          <w:lang w:val="fr-CA"/>
        </w:rPr>
        <w:t xml:space="preserve">le rapport </w:t>
      </w:r>
      <w:r w:rsidR="00AB718B">
        <w:rPr>
          <w:lang w:val="fr-CA"/>
        </w:rPr>
        <w:t xml:space="preserve">de la procureure générale devrait faire </w:t>
      </w:r>
      <w:r w:rsidR="00AB718B" w:rsidRPr="00610DFC">
        <w:rPr>
          <w:lang w:val="fr-CA"/>
        </w:rPr>
        <w:t>partie du dossier</w:t>
      </w:r>
      <w:r w:rsidR="00AB718B">
        <w:rPr>
          <w:lang w:val="fr-CA"/>
        </w:rPr>
        <w:t xml:space="preserve"> d</w:t>
      </w:r>
      <w:r w:rsidR="001C1346">
        <w:rPr>
          <w:lang w:val="fr-CA"/>
        </w:rPr>
        <w:t>u</w:t>
      </w:r>
      <w:r w:rsidR="00AB718B">
        <w:rPr>
          <w:lang w:val="fr-CA"/>
        </w:rPr>
        <w:t xml:space="preserve"> contrôle judiciaire. La juge des requêtes </w:t>
      </w:r>
      <w:r w:rsidR="00AB718B" w:rsidRPr="00050412">
        <w:rPr>
          <w:lang w:val="fr-CA"/>
        </w:rPr>
        <w:t>a accordé en partie le jugement déclaratoire</w:t>
      </w:r>
      <w:r w:rsidR="001C1346">
        <w:rPr>
          <w:lang w:val="fr-CA"/>
        </w:rPr>
        <w:t xml:space="preserve">, concluant </w:t>
      </w:r>
      <w:r w:rsidR="002578B0" w:rsidRPr="00744599">
        <w:rPr>
          <w:lang w:val="fr-CA"/>
        </w:rPr>
        <w:t>que toutes les parties</w:t>
      </w:r>
      <w:r w:rsidR="002578B0" w:rsidRPr="004B442F">
        <w:rPr>
          <w:lang w:val="fr-CA"/>
        </w:rPr>
        <w:t xml:space="preserve"> du rapport, sauf les portions protégées</w:t>
      </w:r>
      <w:r w:rsidR="002578B0">
        <w:rPr>
          <w:lang w:val="fr-CA"/>
        </w:rPr>
        <w:t xml:space="preserve"> par le secret professionnel de l</w:t>
      </w:r>
      <w:r w:rsidR="006709B9">
        <w:rPr>
          <w:lang w:val="fr-CA"/>
        </w:rPr>
        <w:t>’</w:t>
      </w:r>
      <w:r w:rsidR="002578B0">
        <w:rPr>
          <w:lang w:val="fr-CA"/>
        </w:rPr>
        <w:t>avocat</w:t>
      </w:r>
      <w:r w:rsidR="002578B0" w:rsidRPr="004B442F">
        <w:rPr>
          <w:lang w:val="fr-CA"/>
        </w:rPr>
        <w:t>, devaient faire partie du</w:t>
      </w:r>
      <w:r w:rsidR="002578B0">
        <w:rPr>
          <w:lang w:val="fr-CA"/>
        </w:rPr>
        <w:t xml:space="preserve"> d</w:t>
      </w:r>
      <w:r w:rsidR="002578B0" w:rsidRPr="001C1346">
        <w:rPr>
          <w:lang w:val="fr-CA"/>
        </w:rPr>
        <w:t>ossier du contrôle judiciaire. La Cour d</w:t>
      </w:r>
      <w:r w:rsidR="006709B9">
        <w:rPr>
          <w:lang w:val="fr-CA"/>
        </w:rPr>
        <w:t>’</w:t>
      </w:r>
      <w:r w:rsidR="002578B0" w:rsidRPr="001C1346">
        <w:rPr>
          <w:lang w:val="fr-CA"/>
        </w:rPr>
        <w:t>appel a rejeté le pourvoi d</w:t>
      </w:r>
      <w:r w:rsidR="001C1346" w:rsidRPr="001C1346">
        <w:rPr>
          <w:lang w:val="fr-CA"/>
        </w:rPr>
        <w:t xml:space="preserve">u </w:t>
      </w:r>
      <w:r w:rsidR="002578B0" w:rsidRPr="001C1346">
        <w:rPr>
          <w:lang w:val="fr-CA"/>
        </w:rPr>
        <w:t>procureur général.</w:t>
      </w:r>
    </w:p>
    <w:p w14:paraId="4CE3930F" w14:textId="5AD6E789" w:rsidR="00CD2452" w:rsidRPr="000613BD" w:rsidRDefault="002578B0" w:rsidP="0090156C">
      <w:pPr>
        <w:pStyle w:val="SCCNormalDoubleSpacing"/>
        <w:spacing w:after="480"/>
        <w:rPr>
          <w:lang w:val="fr-CA"/>
        </w:rPr>
      </w:pPr>
      <w:r w:rsidRPr="00A83F5E">
        <w:rPr>
          <w:lang w:val="fr-CA"/>
        </w:rPr>
        <w:tab/>
      </w:r>
      <w:r w:rsidRPr="000613BD">
        <w:rPr>
          <w:i/>
          <w:lang w:val="fr-CA"/>
        </w:rPr>
        <w:t>Arrêt</w:t>
      </w:r>
      <w:r w:rsidR="007745F6">
        <w:rPr>
          <w:i/>
          <w:lang w:val="fr-CA"/>
        </w:rPr>
        <w:t> </w:t>
      </w:r>
      <w:r w:rsidR="007745F6" w:rsidRPr="00A72FBD">
        <w:rPr>
          <w:lang w:val="fr-CA"/>
        </w:rPr>
        <w:t>:</w:t>
      </w:r>
      <w:r w:rsidRPr="000613BD">
        <w:rPr>
          <w:i/>
          <w:lang w:val="fr-CA"/>
        </w:rPr>
        <w:t xml:space="preserve"> </w:t>
      </w:r>
      <w:r w:rsidR="000613BD" w:rsidRPr="000613BD">
        <w:rPr>
          <w:lang w:val="fr-CA"/>
        </w:rPr>
        <w:t>L</w:t>
      </w:r>
      <w:r w:rsidR="006709B9">
        <w:rPr>
          <w:lang w:val="fr-CA"/>
        </w:rPr>
        <w:t>’</w:t>
      </w:r>
      <w:r w:rsidR="000613BD" w:rsidRPr="000613BD">
        <w:rPr>
          <w:lang w:val="fr-CA"/>
        </w:rPr>
        <w:t>appel est accueilli en partie et le jugement déclaratoire de la juge des requ</w:t>
      </w:r>
      <w:r w:rsidR="000613BD">
        <w:rPr>
          <w:lang w:val="fr-CA"/>
        </w:rPr>
        <w:t xml:space="preserve">êtes est modifié de </w:t>
      </w:r>
      <w:r w:rsidR="001F468F">
        <w:rPr>
          <w:lang w:val="fr-CA"/>
        </w:rPr>
        <w:t xml:space="preserve">façon à indiquer </w:t>
      </w:r>
      <w:r w:rsidR="000613BD">
        <w:rPr>
          <w:lang w:val="fr-CA"/>
        </w:rPr>
        <w:t>que seul</w:t>
      </w:r>
      <w:r w:rsidR="001C1346">
        <w:rPr>
          <w:lang w:val="fr-CA"/>
        </w:rPr>
        <w:t xml:space="preserve">ement </w:t>
      </w:r>
      <w:r w:rsidR="00A72FBD">
        <w:rPr>
          <w:lang w:val="fr-CA"/>
        </w:rPr>
        <w:t>l’</w:t>
      </w:r>
      <w:r w:rsidR="001C1346">
        <w:rPr>
          <w:lang w:val="fr-CA"/>
        </w:rPr>
        <w:t xml:space="preserve">analyse </w:t>
      </w:r>
      <w:r w:rsidR="000B4456">
        <w:rPr>
          <w:lang w:val="fr-CA"/>
        </w:rPr>
        <w:t>des implications à l</w:t>
      </w:r>
      <w:r w:rsidR="006709B9">
        <w:rPr>
          <w:lang w:val="fr-CA"/>
        </w:rPr>
        <w:t>’</w:t>
      </w:r>
      <w:r w:rsidR="000B4456">
        <w:rPr>
          <w:lang w:val="fr-CA"/>
        </w:rPr>
        <w:t xml:space="preserve">échelle gouvernementale </w:t>
      </w:r>
      <w:r w:rsidR="00FE5D64">
        <w:rPr>
          <w:lang w:val="fr-CA"/>
        </w:rPr>
        <w:t>figurant dans le rapport de la</w:t>
      </w:r>
      <w:r w:rsidR="00A72FBD">
        <w:rPr>
          <w:lang w:val="fr-CA"/>
        </w:rPr>
        <w:t xml:space="preserve"> procureur</w:t>
      </w:r>
      <w:r w:rsidR="00FE5D64">
        <w:rPr>
          <w:lang w:val="fr-CA"/>
        </w:rPr>
        <w:t>e</w:t>
      </w:r>
      <w:r w:rsidR="00A72FBD">
        <w:rPr>
          <w:lang w:val="fr-CA"/>
        </w:rPr>
        <w:t xml:space="preserve"> général</w:t>
      </w:r>
      <w:r w:rsidR="00FE5D64">
        <w:rPr>
          <w:lang w:val="fr-CA"/>
        </w:rPr>
        <w:t>e</w:t>
      </w:r>
      <w:r w:rsidR="00A72FBD">
        <w:rPr>
          <w:lang w:val="fr-CA"/>
        </w:rPr>
        <w:t xml:space="preserve"> </w:t>
      </w:r>
      <w:r w:rsidR="000B4456">
        <w:rPr>
          <w:lang w:val="fr-CA"/>
        </w:rPr>
        <w:t xml:space="preserve">ainsi que </w:t>
      </w:r>
      <w:r w:rsidR="000613BD">
        <w:rPr>
          <w:lang w:val="fr-CA"/>
        </w:rPr>
        <w:t>le plan de communication</w:t>
      </w:r>
      <w:r w:rsidR="001F468F">
        <w:rPr>
          <w:lang w:val="fr-CA"/>
        </w:rPr>
        <w:t>s</w:t>
      </w:r>
      <w:r w:rsidR="000613BD">
        <w:rPr>
          <w:lang w:val="fr-CA"/>
        </w:rPr>
        <w:t xml:space="preserve"> doivent être versés au dossier.</w:t>
      </w:r>
    </w:p>
    <w:p w14:paraId="6B337D10" w14:textId="0FE4D411" w:rsidR="000613BD" w:rsidRPr="008C030A" w:rsidRDefault="00CD2452" w:rsidP="0090156C">
      <w:pPr>
        <w:pStyle w:val="SCCNormalDoubleSpacing"/>
        <w:spacing w:after="480"/>
        <w:rPr>
          <w:lang w:val="fr-CA"/>
        </w:rPr>
      </w:pPr>
      <w:r w:rsidRPr="000613BD">
        <w:rPr>
          <w:lang w:val="fr-CA"/>
        </w:rPr>
        <w:tab/>
      </w:r>
      <w:r w:rsidR="008C030A">
        <w:rPr>
          <w:lang w:val="fr-CA"/>
        </w:rPr>
        <w:t xml:space="preserve">Le cadre </w:t>
      </w:r>
      <w:r w:rsidR="00A72FBD">
        <w:rPr>
          <w:lang w:val="fr-CA"/>
        </w:rPr>
        <w:t xml:space="preserve">d’analyse </w:t>
      </w:r>
      <w:r w:rsidR="008C030A">
        <w:rPr>
          <w:lang w:val="fr-CA"/>
        </w:rPr>
        <w:t>qui</w:t>
      </w:r>
      <w:r w:rsidR="008C030A" w:rsidRPr="00AA4E7F">
        <w:rPr>
          <w:lang w:val="fr-CA"/>
        </w:rPr>
        <w:t xml:space="preserve"> </w:t>
      </w:r>
      <w:r w:rsidR="008C030A">
        <w:rPr>
          <w:lang w:val="fr-CA"/>
        </w:rPr>
        <w:t xml:space="preserve">permet de </w:t>
      </w:r>
      <w:r w:rsidR="008C030A" w:rsidRPr="00AA4E7F">
        <w:rPr>
          <w:lang w:val="fr-CA"/>
        </w:rPr>
        <w:t>déterminer si des documents confidentiels du Cabinet peuvent faire partie du dossier lors d</w:t>
      </w:r>
      <w:r w:rsidR="006709B9">
        <w:rPr>
          <w:lang w:val="fr-CA"/>
        </w:rPr>
        <w:t>’</w:t>
      </w:r>
      <w:r w:rsidR="008C030A" w:rsidRPr="00AA4E7F">
        <w:rPr>
          <w:lang w:val="fr-CA"/>
        </w:rPr>
        <w:t>un contr</w:t>
      </w:r>
      <w:r w:rsidR="008C030A">
        <w:rPr>
          <w:lang w:val="fr-CA"/>
        </w:rPr>
        <w:t>ôle conforme à l</w:t>
      </w:r>
      <w:r w:rsidR="006709B9">
        <w:rPr>
          <w:lang w:val="fr-CA"/>
        </w:rPr>
        <w:t>’</w:t>
      </w:r>
      <w:r w:rsidR="008C030A">
        <w:rPr>
          <w:lang w:val="fr-CA"/>
        </w:rPr>
        <w:t xml:space="preserve">arrêt </w:t>
      </w:r>
      <w:r w:rsidR="008C030A" w:rsidRPr="008C030A">
        <w:rPr>
          <w:i/>
          <w:lang w:val="fr-CA"/>
        </w:rPr>
        <w:t>Bodner c. Alberta</w:t>
      </w:r>
      <w:r w:rsidR="008C030A">
        <w:rPr>
          <w:lang w:val="fr-CA"/>
        </w:rPr>
        <w:t>, 2005 CSC 4, [2005] 2 R.C.S. 286</w:t>
      </w:r>
      <w:r w:rsidR="00310040">
        <w:rPr>
          <w:lang w:val="fr-CA"/>
        </w:rPr>
        <w:t>,</w:t>
      </w:r>
      <w:r w:rsidR="008C030A">
        <w:rPr>
          <w:lang w:val="fr-CA"/>
        </w:rPr>
        <w:t xml:space="preserve"> a été </w:t>
      </w:r>
      <w:r w:rsidR="008C030A" w:rsidRPr="00AA4E7F">
        <w:rPr>
          <w:lang w:val="fr-CA"/>
        </w:rPr>
        <w:t>élaboré dans le pourvoi connexe</w:t>
      </w:r>
      <w:r w:rsidR="008C030A">
        <w:rPr>
          <w:lang w:val="fr-CA"/>
        </w:rPr>
        <w:t xml:space="preserve"> </w:t>
      </w:r>
      <w:r w:rsidR="008C030A">
        <w:rPr>
          <w:i/>
          <w:lang w:val="fr-CA"/>
        </w:rPr>
        <w:t>Colombie</w:t>
      </w:r>
      <w:r w:rsidR="007745F6">
        <w:rPr>
          <w:i/>
          <w:lang w:val="fr-CA"/>
        </w:rPr>
        <w:noBreakHyphen/>
      </w:r>
      <w:r w:rsidR="008C030A">
        <w:rPr>
          <w:i/>
          <w:lang w:val="fr-CA"/>
        </w:rPr>
        <w:t>Britannique (</w:t>
      </w:r>
      <w:r w:rsidR="00A72FBD">
        <w:rPr>
          <w:i/>
          <w:lang w:val="fr-CA"/>
        </w:rPr>
        <w:t>P</w:t>
      </w:r>
      <w:r w:rsidR="008C030A">
        <w:rPr>
          <w:i/>
          <w:lang w:val="fr-CA"/>
        </w:rPr>
        <w:t>rocureur général) c</w:t>
      </w:r>
      <w:r w:rsidR="008C030A" w:rsidRPr="008C030A">
        <w:rPr>
          <w:i/>
          <w:lang w:val="fr-CA"/>
        </w:rPr>
        <w:t>. Provincial Court Judges</w:t>
      </w:r>
      <w:r w:rsidR="006709B9">
        <w:rPr>
          <w:i/>
          <w:lang w:val="fr-CA"/>
        </w:rPr>
        <w:t>’</w:t>
      </w:r>
      <w:r w:rsidR="008C030A" w:rsidRPr="008C030A">
        <w:rPr>
          <w:i/>
          <w:lang w:val="fr-CA"/>
        </w:rPr>
        <w:t xml:space="preserve"> Association of British Columbia</w:t>
      </w:r>
      <w:r w:rsidR="008C030A" w:rsidRPr="008C030A">
        <w:rPr>
          <w:lang w:val="fr-CA"/>
        </w:rPr>
        <w:t xml:space="preserve">, 2020 </w:t>
      </w:r>
      <w:r w:rsidR="008C030A">
        <w:rPr>
          <w:lang w:val="fr-CA"/>
        </w:rPr>
        <w:t>CSC</w:t>
      </w:r>
      <w:r w:rsidR="008C030A" w:rsidRPr="008C030A">
        <w:rPr>
          <w:lang w:val="fr-CA"/>
        </w:rPr>
        <w:t xml:space="preserve"> 20</w:t>
      </w:r>
      <w:r w:rsidR="001D1607">
        <w:rPr>
          <w:lang w:val="fr-CA"/>
        </w:rPr>
        <w:t xml:space="preserve">, [2020] </w:t>
      </w:r>
      <w:r w:rsidR="00C84F4A">
        <w:rPr>
          <w:lang w:val="fr-CA"/>
        </w:rPr>
        <w:t>2</w:t>
      </w:r>
      <w:r w:rsidR="001D1607">
        <w:rPr>
          <w:lang w:val="fr-CA"/>
        </w:rPr>
        <w:t xml:space="preserve"> R.C.S. </w:t>
      </w:r>
      <w:r w:rsidR="005335AD">
        <w:rPr>
          <w:lang w:val="fr-CA"/>
        </w:rPr>
        <w:t>506</w:t>
      </w:r>
      <w:r w:rsidR="008C030A" w:rsidRPr="00310040">
        <w:rPr>
          <w:lang w:val="fr-CA"/>
        </w:rPr>
        <w:t>.</w:t>
      </w:r>
      <w:r w:rsidR="00A56AE2" w:rsidRPr="00310040">
        <w:rPr>
          <w:lang w:val="fr-CA"/>
        </w:rPr>
        <w:t xml:space="preserve"> </w:t>
      </w:r>
      <w:r w:rsidR="00972AA0" w:rsidRPr="00310040">
        <w:rPr>
          <w:lang w:val="fr-CA"/>
        </w:rPr>
        <w:t>L</w:t>
      </w:r>
      <w:r w:rsidR="006709B9">
        <w:rPr>
          <w:lang w:val="fr-CA"/>
        </w:rPr>
        <w:t>’</w:t>
      </w:r>
      <w:r w:rsidR="000B4456">
        <w:rPr>
          <w:lang w:val="fr-CA"/>
        </w:rPr>
        <w:t xml:space="preserve">application de </w:t>
      </w:r>
      <w:r w:rsidR="00A56AE2" w:rsidRPr="00310040">
        <w:rPr>
          <w:lang w:val="fr-CA"/>
        </w:rPr>
        <w:t>ce cadre d</w:t>
      </w:r>
      <w:r w:rsidR="006709B9">
        <w:rPr>
          <w:lang w:val="fr-CA"/>
        </w:rPr>
        <w:t>’</w:t>
      </w:r>
      <w:r w:rsidR="00A56AE2" w:rsidRPr="00310040">
        <w:rPr>
          <w:lang w:val="fr-CA"/>
        </w:rPr>
        <w:t>analyse</w:t>
      </w:r>
      <w:r w:rsidR="00972AA0" w:rsidRPr="00310040">
        <w:rPr>
          <w:lang w:val="fr-CA"/>
        </w:rPr>
        <w:t xml:space="preserve"> au présent appel</w:t>
      </w:r>
      <w:r w:rsidR="000B4456">
        <w:rPr>
          <w:lang w:val="fr-CA"/>
        </w:rPr>
        <w:t xml:space="preserve"> </w:t>
      </w:r>
      <w:r w:rsidR="00A72FBD">
        <w:rPr>
          <w:lang w:val="fr-CA"/>
        </w:rPr>
        <w:t>révèle</w:t>
      </w:r>
      <w:r w:rsidR="000B4456">
        <w:rPr>
          <w:lang w:val="fr-CA"/>
        </w:rPr>
        <w:t xml:space="preserve"> </w:t>
      </w:r>
      <w:r w:rsidR="00972AA0" w:rsidRPr="00310040">
        <w:rPr>
          <w:lang w:val="fr-CA"/>
        </w:rPr>
        <w:t>qu</w:t>
      </w:r>
      <w:r w:rsidR="006709B9">
        <w:rPr>
          <w:lang w:val="fr-CA"/>
        </w:rPr>
        <w:t>’</w:t>
      </w:r>
      <w:r w:rsidR="00A56AE2" w:rsidRPr="00310040">
        <w:rPr>
          <w:lang w:val="fr-CA"/>
        </w:rPr>
        <w:t xml:space="preserve">il existe des raisons de croire que </w:t>
      </w:r>
      <w:r w:rsidR="00972AA0" w:rsidRPr="00310040">
        <w:rPr>
          <w:lang w:val="fr-CA"/>
        </w:rPr>
        <w:t>certaines portions du</w:t>
      </w:r>
      <w:r w:rsidR="00A56AE2" w:rsidRPr="00310040">
        <w:rPr>
          <w:lang w:val="fr-CA"/>
        </w:rPr>
        <w:t xml:space="preserve"> rapport de la procureure générale </w:t>
      </w:r>
      <w:r w:rsidR="00972AA0" w:rsidRPr="00310040">
        <w:rPr>
          <w:lang w:val="fr-CA"/>
        </w:rPr>
        <w:t>—</w:t>
      </w:r>
      <w:r w:rsidR="00364D7F">
        <w:rPr>
          <w:lang w:val="fr-CA"/>
        </w:rPr>
        <w:t xml:space="preserve"> </w:t>
      </w:r>
      <w:r w:rsidR="00972AA0" w:rsidRPr="00310040">
        <w:rPr>
          <w:lang w:val="fr-CA"/>
        </w:rPr>
        <w:t>l</w:t>
      </w:r>
      <w:r w:rsidR="006709B9">
        <w:rPr>
          <w:lang w:val="fr-CA"/>
        </w:rPr>
        <w:t>’</w:t>
      </w:r>
      <w:r w:rsidR="000B4456">
        <w:rPr>
          <w:lang w:val="fr-CA"/>
        </w:rPr>
        <w:t>analyse des</w:t>
      </w:r>
      <w:r w:rsidR="00972AA0">
        <w:rPr>
          <w:lang w:val="fr-CA"/>
        </w:rPr>
        <w:t xml:space="preserve"> implications à l</w:t>
      </w:r>
      <w:r w:rsidR="006709B9">
        <w:rPr>
          <w:lang w:val="fr-CA"/>
        </w:rPr>
        <w:t>’</w:t>
      </w:r>
      <w:r w:rsidR="00972AA0">
        <w:rPr>
          <w:lang w:val="fr-CA"/>
        </w:rPr>
        <w:t>échelle gouvernementale et le plan de communication</w:t>
      </w:r>
      <w:r w:rsidR="00310040">
        <w:rPr>
          <w:lang w:val="fr-CA"/>
        </w:rPr>
        <w:t>s</w:t>
      </w:r>
      <w:r w:rsidR="00364D7F">
        <w:rPr>
          <w:lang w:val="fr-CA"/>
        </w:rPr>
        <w:t xml:space="preserve"> </w:t>
      </w:r>
      <w:r w:rsidR="00972AA0">
        <w:rPr>
          <w:lang w:val="fr-CA"/>
        </w:rPr>
        <w:t xml:space="preserve">— </w:t>
      </w:r>
      <w:r w:rsidR="00A56AE2" w:rsidRPr="00F5093E">
        <w:rPr>
          <w:lang w:val="fr-CA"/>
        </w:rPr>
        <w:t>pour</w:t>
      </w:r>
      <w:r w:rsidR="00A56AE2">
        <w:rPr>
          <w:lang w:val="fr-CA"/>
        </w:rPr>
        <w:t>rai</w:t>
      </w:r>
      <w:r w:rsidR="00972AA0">
        <w:rPr>
          <w:lang w:val="fr-CA"/>
        </w:rPr>
        <w:t>en</w:t>
      </w:r>
      <w:r w:rsidR="00A56AE2">
        <w:rPr>
          <w:lang w:val="fr-CA"/>
        </w:rPr>
        <w:t xml:space="preserve">t contenir </w:t>
      </w:r>
      <w:r w:rsidR="00A56AE2" w:rsidRPr="00875A7B">
        <w:rPr>
          <w:lang w:val="fr-CA"/>
        </w:rPr>
        <w:t xml:space="preserve">des éléments de preuve tendant </w:t>
      </w:r>
      <w:r w:rsidR="00A56AE2">
        <w:rPr>
          <w:lang w:val="fr-CA"/>
        </w:rPr>
        <w:t>à démontrer que le gouvernement n</w:t>
      </w:r>
      <w:r w:rsidR="006709B9">
        <w:rPr>
          <w:lang w:val="fr-CA"/>
        </w:rPr>
        <w:t>’</w:t>
      </w:r>
      <w:r w:rsidR="00A56AE2">
        <w:rPr>
          <w:lang w:val="fr-CA"/>
        </w:rPr>
        <w:t>a pas satisfait à une exigence de l</w:t>
      </w:r>
      <w:r w:rsidR="006709B9">
        <w:rPr>
          <w:lang w:val="fr-CA"/>
        </w:rPr>
        <w:t>’</w:t>
      </w:r>
      <w:r w:rsidR="00A56AE2">
        <w:rPr>
          <w:lang w:val="fr-CA"/>
        </w:rPr>
        <w:t>analyse établie dan</w:t>
      </w:r>
      <w:r w:rsidR="00A56AE2" w:rsidRPr="00122A45">
        <w:rPr>
          <w:lang w:val="fr-CA"/>
        </w:rPr>
        <w:t>s l</w:t>
      </w:r>
      <w:r w:rsidR="006709B9">
        <w:rPr>
          <w:lang w:val="fr-CA"/>
        </w:rPr>
        <w:t>’</w:t>
      </w:r>
      <w:r w:rsidR="00A56AE2" w:rsidRPr="00122A45">
        <w:rPr>
          <w:lang w:val="fr-CA"/>
        </w:rPr>
        <w:t xml:space="preserve">arrêt </w:t>
      </w:r>
      <w:r w:rsidR="00A56AE2" w:rsidRPr="00122A45">
        <w:rPr>
          <w:i/>
          <w:lang w:val="fr-CA"/>
        </w:rPr>
        <w:t>Bodner</w:t>
      </w:r>
      <w:r w:rsidR="00A56AE2" w:rsidRPr="00122A45">
        <w:rPr>
          <w:lang w:val="fr-CA"/>
        </w:rPr>
        <w:t>.</w:t>
      </w:r>
      <w:r w:rsidR="00972AA0">
        <w:rPr>
          <w:lang w:val="fr-CA"/>
        </w:rPr>
        <w:t xml:space="preserve"> </w:t>
      </w:r>
      <w:r w:rsidR="000B4456">
        <w:rPr>
          <w:lang w:val="fr-CA"/>
        </w:rPr>
        <w:t xml:space="preserve">Aucune </w:t>
      </w:r>
      <w:r w:rsidR="00972AA0" w:rsidRPr="00122A45">
        <w:rPr>
          <w:lang w:val="fr-CA"/>
        </w:rPr>
        <w:t>raison liée</w:t>
      </w:r>
      <w:r w:rsidR="000B4456">
        <w:rPr>
          <w:lang w:val="fr-CA"/>
        </w:rPr>
        <w:t xml:space="preserve"> </w:t>
      </w:r>
      <w:r w:rsidR="00972AA0" w:rsidRPr="00122A45">
        <w:rPr>
          <w:lang w:val="fr-CA"/>
        </w:rPr>
        <w:t>à l</w:t>
      </w:r>
      <w:r w:rsidR="006709B9">
        <w:rPr>
          <w:lang w:val="fr-CA"/>
        </w:rPr>
        <w:t>’</w:t>
      </w:r>
      <w:r w:rsidR="00972AA0" w:rsidRPr="00122A45">
        <w:rPr>
          <w:lang w:val="fr-CA"/>
        </w:rPr>
        <w:t>immunité d</w:t>
      </w:r>
      <w:r w:rsidR="006709B9">
        <w:rPr>
          <w:lang w:val="fr-CA"/>
        </w:rPr>
        <w:t>’</w:t>
      </w:r>
      <w:r w:rsidR="00972AA0">
        <w:rPr>
          <w:lang w:val="fr-CA"/>
        </w:rPr>
        <w:t xml:space="preserve">intérêt public </w:t>
      </w:r>
      <w:r w:rsidR="000B4456">
        <w:rPr>
          <w:lang w:val="fr-CA"/>
        </w:rPr>
        <w:t xml:space="preserve">ne fait obstacle à la </w:t>
      </w:r>
      <w:r w:rsidR="000B4456" w:rsidRPr="00122A45">
        <w:rPr>
          <w:lang w:val="fr-CA"/>
        </w:rPr>
        <w:t xml:space="preserve">production </w:t>
      </w:r>
      <w:r w:rsidR="000B4456">
        <w:rPr>
          <w:lang w:val="fr-CA"/>
        </w:rPr>
        <w:t xml:space="preserve">de ces portions du rapport, étant donné que </w:t>
      </w:r>
      <w:r w:rsidR="00972AA0" w:rsidRPr="00F5093E">
        <w:rPr>
          <w:lang w:val="fr-CA"/>
        </w:rPr>
        <w:t>l</w:t>
      </w:r>
      <w:r w:rsidR="006709B9">
        <w:rPr>
          <w:lang w:val="fr-CA"/>
        </w:rPr>
        <w:t>’</w:t>
      </w:r>
      <w:r w:rsidR="00972AA0" w:rsidRPr="00F5093E">
        <w:rPr>
          <w:lang w:val="fr-CA"/>
        </w:rPr>
        <w:t>intérêt du public à ce que ces p</w:t>
      </w:r>
      <w:r w:rsidR="000B4456">
        <w:rPr>
          <w:lang w:val="fr-CA"/>
        </w:rPr>
        <w:t xml:space="preserve">ortions </w:t>
      </w:r>
      <w:r w:rsidR="00972AA0">
        <w:rPr>
          <w:lang w:val="fr-CA"/>
        </w:rPr>
        <w:t>demeurent confidentiel</w:t>
      </w:r>
      <w:r w:rsidR="000B4456">
        <w:rPr>
          <w:lang w:val="fr-CA"/>
        </w:rPr>
        <w:t>le</w:t>
      </w:r>
      <w:r w:rsidR="00972AA0" w:rsidRPr="00F5093E">
        <w:rPr>
          <w:lang w:val="fr-CA"/>
        </w:rPr>
        <w:t>s est supplanté par l</w:t>
      </w:r>
      <w:r w:rsidR="006709B9">
        <w:rPr>
          <w:lang w:val="fr-CA"/>
        </w:rPr>
        <w:t>’</w:t>
      </w:r>
      <w:r w:rsidR="00972AA0" w:rsidRPr="00F5093E">
        <w:rPr>
          <w:lang w:val="fr-CA"/>
        </w:rPr>
        <w:t>intérêt du public à ce qu</w:t>
      </w:r>
      <w:r w:rsidR="006709B9">
        <w:rPr>
          <w:lang w:val="fr-CA"/>
        </w:rPr>
        <w:t>’</w:t>
      </w:r>
      <w:r w:rsidR="000B4456">
        <w:rPr>
          <w:lang w:val="fr-CA"/>
        </w:rPr>
        <w:t>elles</w:t>
      </w:r>
      <w:r w:rsidR="00972AA0" w:rsidRPr="00F5093E">
        <w:rPr>
          <w:lang w:val="fr-CA"/>
        </w:rPr>
        <w:t xml:space="preserve"> soient divulgué</w:t>
      </w:r>
      <w:r w:rsidR="000B4456">
        <w:rPr>
          <w:lang w:val="fr-CA"/>
        </w:rPr>
        <w:t>e</w:t>
      </w:r>
      <w:r w:rsidR="00972AA0" w:rsidRPr="00F5093E">
        <w:rPr>
          <w:lang w:val="fr-CA"/>
        </w:rPr>
        <w:t>s.</w:t>
      </w:r>
    </w:p>
    <w:p w14:paraId="263AFA6E" w14:textId="76A23C86" w:rsidR="00CD2452" w:rsidRDefault="00972AA0" w:rsidP="0090156C">
      <w:pPr>
        <w:pStyle w:val="SCCNormalDoubleSpacing"/>
        <w:spacing w:after="480"/>
        <w:rPr>
          <w:lang w:val="fr-CA"/>
        </w:rPr>
      </w:pPr>
      <w:r>
        <w:rPr>
          <w:lang w:val="fr-CA"/>
        </w:rPr>
        <w:tab/>
        <w:t>L</w:t>
      </w:r>
      <w:r w:rsidRPr="00E039D2">
        <w:rPr>
          <w:lang w:val="fr-CA"/>
        </w:rPr>
        <w:t xml:space="preserve">a partie qui </w:t>
      </w:r>
      <w:r>
        <w:rPr>
          <w:lang w:val="fr-CA"/>
        </w:rPr>
        <w:t>demande la production d</w:t>
      </w:r>
      <w:r w:rsidR="006709B9">
        <w:rPr>
          <w:lang w:val="fr-CA"/>
        </w:rPr>
        <w:t>’</w:t>
      </w:r>
      <w:r>
        <w:rPr>
          <w:lang w:val="fr-CA"/>
        </w:rPr>
        <w:t>un</w:t>
      </w:r>
      <w:r w:rsidRPr="00E039D2">
        <w:rPr>
          <w:lang w:val="fr-CA"/>
        </w:rPr>
        <w:t xml:space="preserve"> document confidentiel du Cabinet doit </w:t>
      </w:r>
      <w:r>
        <w:rPr>
          <w:lang w:val="fr-CA"/>
        </w:rPr>
        <w:t>d</w:t>
      </w:r>
      <w:r w:rsidR="006709B9">
        <w:rPr>
          <w:lang w:val="fr-CA"/>
        </w:rPr>
        <w:t>’</w:t>
      </w:r>
      <w:r>
        <w:rPr>
          <w:lang w:val="fr-CA"/>
        </w:rPr>
        <w:t xml:space="preserve">abord </w:t>
      </w:r>
      <w:r w:rsidRPr="00E039D2">
        <w:rPr>
          <w:lang w:val="fr-CA"/>
        </w:rPr>
        <w:t>établir qu</w:t>
      </w:r>
      <w:r w:rsidR="006709B9">
        <w:rPr>
          <w:lang w:val="fr-CA"/>
        </w:rPr>
        <w:t>’</w:t>
      </w:r>
      <w:r w:rsidRPr="00E039D2">
        <w:rPr>
          <w:lang w:val="fr-CA"/>
        </w:rPr>
        <w:t xml:space="preserve">il </w:t>
      </w:r>
      <w:r>
        <w:rPr>
          <w:lang w:val="fr-CA"/>
        </w:rPr>
        <w:t xml:space="preserve">existe </w:t>
      </w:r>
      <w:r w:rsidRPr="00E039D2">
        <w:rPr>
          <w:lang w:val="fr-CA"/>
        </w:rPr>
        <w:t xml:space="preserve">des raisons de croire que </w:t>
      </w:r>
      <w:r>
        <w:rPr>
          <w:lang w:val="fr-CA"/>
        </w:rPr>
        <w:t>c</w:t>
      </w:r>
      <w:r w:rsidRPr="00E039D2">
        <w:rPr>
          <w:lang w:val="fr-CA"/>
        </w:rPr>
        <w:t xml:space="preserve">e document </w:t>
      </w:r>
      <w:r>
        <w:rPr>
          <w:lang w:val="fr-CA"/>
        </w:rPr>
        <w:t xml:space="preserve">pourrait contenir </w:t>
      </w:r>
      <w:r w:rsidRPr="00E039D2">
        <w:rPr>
          <w:lang w:val="fr-CA"/>
        </w:rPr>
        <w:t>des éléments de preuve tendant à démontrer que le go</w:t>
      </w:r>
      <w:r>
        <w:rPr>
          <w:lang w:val="fr-CA"/>
        </w:rPr>
        <w:t>uvernement n</w:t>
      </w:r>
      <w:r w:rsidR="006709B9">
        <w:rPr>
          <w:lang w:val="fr-CA"/>
        </w:rPr>
        <w:t>’</w:t>
      </w:r>
      <w:r>
        <w:rPr>
          <w:lang w:val="fr-CA"/>
        </w:rPr>
        <w:t>a pas satisfait à l</w:t>
      </w:r>
      <w:r w:rsidR="006709B9">
        <w:rPr>
          <w:lang w:val="fr-CA"/>
        </w:rPr>
        <w:t>’</w:t>
      </w:r>
      <w:r>
        <w:rPr>
          <w:lang w:val="fr-CA"/>
        </w:rPr>
        <w:t>une des exigences décrites dans l</w:t>
      </w:r>
      <w:r w:rsidR="006709B9">
        <w:rPr>
          <w:lang w:val="fr-CA"/>
        </w:rPr>
        <w:t>’</w:t>
      </w:r>
      <w:r>
        <w:rPr>
          <w:lang w:val="fr-CA"/>
        </w:rPr>
        <w:t xml:space="preserve">arrêt </w:t>
      </w:r>
      <w:r w:rsidRPr="00E039D2">
        <w:rPr>
          <w:i/>
          <w:lang w:val="fr-CA"/>
        </w:rPr>
        <w:t>Bodner</w:t>
      </w:r>
      <w:r>
        <w:rPr>
          <w:lang w:val="fr-CA"/>
        </w:rPr>
        <w:t>.</w:t>
      </w:r>
      <w:r w:rsidR="00CD2452" w:rsidRPr="00972AA0">
        <w:rPr>
          <w:lang w:val="fr-CA"/>
        </w:rPr>
        <w:t xml:space="preserve"> </w:t>
      </w:r>
      <w:r w:rsidR="005A5905">
        <w:rPr>
          <w:lang w:val="fr-CA"/>
        </w:rPr>
        <w:t>C</w:t>
      </w:r>
      <w:r w:rsidR="006709B9">
        <w:rPr>
          <w:lang w:val="fr-CA"/>
        </w:rPr>
        <w:t>’</w:t>
      </w:r>
      <w:r w:rsidR="005A5905">
        <w:rPr>
          <w:lang w:val="fr-CA"/>
        </w:rPr>
        <w:t xml:space="preserve">est </w:t>
      </w:r>
      <w:r w:rsidR="005A5905" w:rsidRPr="001644D0">
        <w:rPr>
          <w:lang w:val="fr-CA"/>
        </w:rPr>
        <w:t>uniquement dans ce cas que le gouvernement devra produire le document pour consultation par le tribunal</w:t>
      </w:r>
      <w:r w:rsidR="005A5905">
        <w:rPr>
          <w:lang w:val="fr-CA"/>
        </w:rPr>
        <w:t>.</w:t>
      </w:r>
    </w:p>
    <w:p w14:paraId="3FA61E0F" w14:textId="2FFC7A3C" w:rsidR="00CD2452" w:rsidRPr="005A5905" w:rsidRDefault="00CD2452" w:rsidP="0090156C">
      <w:pPr>
        <w:pStyle w:val="SCCNormalDoubleSpacing"/>
        <w:spacing w:after="480"/>
        <w:rPr>
          <w:lang w:val="fr-CA"/>
        </w:rPr>
      </w:pPr>
      <w:r w:rsidRPr="00972AA0">
        <w:rPr>
          <w:lang w:val="fr-CA"/>
        </w:rPr>
        <w:tab/>
      </w:r>
      <w:r w:rsidR="005A5905">
        <w:rPr>
          <w:lang w:val="fr-CA"/>
        </w:rPr>
        <w:t>En l</w:t>
      </w:r>
      <w:r w:rsidR="006709B9">
        <w:rPr>
          <w:lang w:val="fr-CA"/>
        </w:rPr>
        <w:t>’</w:t>
      </w:r>
      <w:r w:rsidR="005A5905">
        <w:rPr>
          <w:lang w:val="fr-CA"/>
        </w:rPr>
        <w:t xml:space="preserve">espèce, les motifs avancés par le gouvernement pour justifier </w:t>
      </w:r>
      <w:r w:rsidR="000B4456">
        <w:rPr>
          <w:lang w:val="fr-CA"/>
        </w:rPr>
        <w:t xml:space="preserve">la modification de </w:t>
      </w:r>
      <w:r w:rsidR="005A5905">
        <w:rPr>
          <w:lang w:val="fr-CA"/>
        </w:rPr>
        <w:t>la recommandation de la commission relative à l</w:t>
      </w:r>
      <w:r w:rsidR="006709B9">
        <w:rPr>
          <w:lang w:val="fr-CA"/>
        </w:rPr>
        <w:t>’</w:t>
      </w:r>
      <w:r w:rsidR="005A5905">
        <w:rPr>
          <w:lang w:val="fr-CA"/>
        </w:rPr>
        <w:t xml:space="preserve">augmentation </w:t>
      </w:r>
      <w:r w:rsidR="00310040" w:rsidRPr="00E842F9">
        <w:rPr>
          <w:lang w:val="fr-CA"/>
        </w:rPr>
        <w:t>d</w:t>
      </w:r>
      <w:r w:rsidR="00D50A59">
        <w:rPr>
          <w:lang w:val="fr-CA"/>
        </w:rPr>
        <w:t>es</w:t>
      </w:r>
      <w:r w:rsidR="005A5905" w:rsidRPr="00E842F9">
        <w:rPr>
          <w:lang w:val="fr-CA"/>
        </w:rPr>
        <w:t xml:space="preserve"> traitement</w:t>
      </w:r>
      <w:r w:rsidR="00D50A59">
        <w:rPr>
          <w:lang w:val="fr-CA"/>
        </w:rPr>
        <w:t>s</w:t>
      </w:r>
      <w:r w:rsidR="005A5905">
        <w:rPr>
          <w:lang w:val="fr-CA"/>
        </w:rPr>
        <w:t xml:space="preserve"> des juges </w:t>
      </w:r>
      <w:r w:rsidR="005A5905" w:rsidRPr="009C2213">
        <w:rPr>
          <w:lang w:val="fr-CA"/>
        </w:rPr>
        <w:t>peuvent faire craindre</w:t>
      </w:r>
      <w:r w:rsidR="005A5905" w:rsidRPr="006403A0">
        <w:rPr>
          <w:lang w:val="fr-CA"/>
        </w:rPr>
        <w:t xml:space="preserve"> que le gouvernement n</w:t>
      </w:r>
      <w:r w:rsidR="006709B9">
        <w:rPr>
          <w:lang w:val="fr-CA"/>
        </w:rPr>
        <w:t>’</w:t>
      </w:r>
      <w:r w:rsidR="005A5905" w:rsidRPr="006403A0">
        <w:rPr>
          <w:lang w:val="fr-CA"/>
        </w:rPr>
        <w:t xml:space="preserve">ait pas analysé </w:t>
      </w:r>
      <w:r w:rsidR="005A5905">
        <w:rPr>
          <w:lang w:val="fr-CA"/>
        </w:rPr>
        <w:t>de façon concrète</w:t>
      </w:r>
      <w:r w:rsidR="005A5905" w:rsidRPr="006403A0">
        <w:rPr>
          <w:lang w:val="fr-CA"/>
        </w:rPr>
        <w:t xml:space="preserve"> les recommandations de la commission, ni fait preuve de respect envers </w:t>
      </w:r>
      <w:r w:rsidR="005A5905">
        <w:rPr>
          <w:lang w:val="fr-CA"/>
        </w:rPr>
        <w:t>son</w:t>
      </w:r>
      <w:r w:rsidR="005A5905" w:rsidRPr="006403A0">
        <w:rPr>
          <w:lang w:val="fr-CA"/>
        </w:rPr>
        <w:t xml:space="preserve"> mécanisme d</w:t>
      </w:r>
      <w:r w:rsidR="006709B9">
        <w:rPr>
          <w:lang w:val="fr-CA"/>
        </w:rPr>
        <w:t>’</w:t>
      </w:r>
      <w:r w:rsidR="005A5905" w:rsidRPr="006403A0">
        <w:rPr>
          <w:lang w:val="fr-CA"/>
        </w:rPr>
        <w:t>examen</w:t>
      </w:r>
      <w:r w:rsidRPr="005A5905">
        <w:rPr>
          <w:lang w:val="fr-CA"/>
        </w:rPr>
        <w:t xml:space="preserve">. </w:t>
      </w:r>
      <w:r w:rsidR="005A5905" w:rsidRPr="006403A0">
        <w:rPr>
          <w:lang w:val="fr-CA"/>
        </w:rPr>
        <w:t xml:space="preserve">De plus, le gouvernement semble avoir </w:t>
      </w:r>
      <w:r w:rsidR="005A5905">
        <w:rPr>
          <w:lang w:val="fr-CA"/>
        </w:rPr>
        <w:t xml:space="preserve">mis en œuvre précisément </w:t>
      </w:r>
      <w:r w:rsidR="005A5905" w:rsidRPr="006403A0">
        <w:rPr>
          <w:lang w:val="fr-CA"/>
        </w:rPr>
        <w:t>l</w:t>
      </w:r>
      <w:r w:rsidR="006709B9">
        <w:rPr>
          <w:lang w:val="fr-CA"/>
        </w:rPr>
        <w:t>’</w:t>
      </w:r>
      <w:r w:rsidR="005A5905" w:rsidRPr="006403A0">
        <w:rPr>
          <w:lang w:val="fr-CA"/>
        </w:rPr>
        <w:t>augmentation qu</w:t>
      </w:r>
      <w:r w:rsidR="006709B9">
        <w:rPr>
          <w:lang w:val="fr-CA"/>
        </w:rPr>
        <w:t>’</w:t>
      </w:r>
      <w:r w:rsidR="005A5905" w:rsidRPr="006403A0">
        <w:rPr>
          <w:lang w:val="fr-CA"/>
        </w:rPr>
        <w:t>il avait proposée dans ses observations à la commission, ce qui, une fois</w:t>
      </w:r>
      <w:r w:rsidR="005A5905">
        <w:rPr>
          <w:lang w:val="fr-CA"/>
        </w:rPr>
        <w:t xml:space="preserve"> de plus</w:t>
      </w:r>
      <w:r w:rsidR="005A5905" w:rsidRPr="006403A0">
        <w:rPr>
          <w:lang w:val="fr-CA"/>
        </w:rPr>
        <w:t>, soul</w:t>
      </w:r>
      <w:r w:rsidR="005A5905">
        <w:rPr>
          <w:lang w:val="fr-CA"/>
        </w:rPr>
        <w:t>ève la question de savoir s</w:t>
      </w:r>
      <w:r w:rsidR="006709B9">
        <w:rPr>
          <w:lang w:val="fr-CA"/>
        </w:rPr>
        <w:t>’</w:t>
      </w:r>
      <w:r w:rsidR="005A5905">
        <w:rPr>
          <w:lang w:val="fr-CA"/>
        </w:rPr>
        <w:t>il a respecté le mécanisme d</w:t>
      </w:r>
      <w:r w:rsidR="006709B9">
        <w:rPr>
          <w:lang w:val="fr-CA"/>
        </w:rPr>
        <w:t>’</w:t>
      </w:r>
      <w:r w:rsidR="005A5905">
        <w:rPr>
          <w:lang w:val="fr-CA"/>
        </w:rPr>
        <w:t>examen de la commission. </w:t>
      </w:r>
      <w:r w:rsidR="005A5905" w:rsidRPr="00822B6D">
        <w:rPr>
          <w:lang w:val="fr-CA"/>
        </w:rPr>
        <w:t xml:space="preserve">Enfin, il y a aussi une mention du </w:t>
      </w:r>
      <w:r w:rsidR="005A5905" w:rsidRPr="00E842F9">
        <w:rPr>
          <w:lang w:val="fr-CA"/>
        </w:rPr>
        <w:t>rapport d</w:t>
      </w:r>
      <w:r w:rsidR="00D50A59">
        <w:rPr>
          <w:lang w:val="fr-CA"/>
        </w:rPr>
        <w:t>e la procureure générale</w:t>
      </w:r>
      <w:r w:rsidR="005A5905" w:rsidRPr="00E842F9">
        <w:rPr>
          <w:lang w:val="fr-CA"/>
        </w:rPr>
        <w:t xml:space="preserve"> dans le préambule du décret qui </w:t>
      </w:r>
      <w:r w:rsidR="00310040" w:rsidRPr="00E842F9">
        <w:rPr>
          <w:lang w:val="fr-CA"/>
        </w:rPr>
        <w:t>énonce</w:t>
      </w:r>
      <w:r w:rsidR="005A5905" w:rsidRPr="00E842F9">
        <w:rPr>
          <w:lang w:val="fr-CA"/>
        </w:rPr>
        <w:t xml:space="preserve"> la réponse du gouvernement, ce qui indique qu</w:t>
      </w:r>
      <w:r w:rsidR="006709B9">
        <w:rPr>
          <w:lang w:val="fr-CA"/>
        </w:rPr>
        <w:t>’</w:t>
      </w:r>
      <w:r w:rsidR="005A5905" w:rsidRPr="00E842F9">
        <w:rPr>
          <w:lang w:val="fr-CA"/>
        </w:rPr>
        <w:t>il est possible que le lieutenant</w:t>
      </w:r>
      <w:r w:rsidR="007745F6">
        <w:rPr>
          <w:lang w:val="fr-CA"/>
        </w:rPr>
        <w:noBreakHyphen/>
      </w:r>
      <w:r w:rsidR="005A5905" w:rsidRPr="00E842F9">
        <w:rPr>
          <w:lang w:val="fr-CA"/>
        </w:rPr>
        <w:t>gouverneur en conseil se soit appu</w:t>
      </w:r>
      <w:r w:rsidR="005A5905" w:rsidRPr="00744599">
        <w:rPr>
          <w:lang w:val="fr-CA"/>
        </w:rPr>
        <w:t>yé s</w:t>
      </w:r>
      <w:r w:rsidR="00310040">
        <w:rPr>
          <w:lang w:val="fr-CA"/>
        </w:rPr>
        <w:t>ur l</w:t>
      </w:r>
      <w:r w:rsidR="005A5905" w:rsidRPr="00744599">
        <w:rPr>
          <w:lang w:val="fr-CA"/>
        </w:rPr>
        <w:t xml:space="preserve">e rapport pour formuler </w:t>
      </w:r>
      <w:r w:rsidR="00E842F9">
        <w:rPr>
          <w:lang w:val="fr-CA"/>
        </w:rPr>
        <w:t>s</w:t>
      </w:r>
      <w:r w:rsidR="005A5905" w:rsidRPr="00744599">
        <w:rPr>
          <w:lang w:val="fr-CA"/>
        </w:rPr>
        <w:t>a réponse</w:t>
      </w:r>
      <w:r w:rsidR="005A5905">
        <w:rPr>
          <w:lang w:val="fr-CA"/>
        </w:rPr>
        <w:t>. D</w:t>
      </w:r>
      <w:r w:rsidR="005A5905" w:rsidRPr="00744599">
        <w:rPr>
          <w:lang w:val="fr-CA"/>
        </w:rPr>
        <w:t>ans les circonstances, l</w:t>
      </w:r>
      <w:r w:rsidR="006709B9">
        <w:rPr>
          <w:lang w:val="fr-CA"/>
        </w:rPr>
        <w:t>’</w:t>
      </w:r>
      <w:r w:rsidR="005A5905" w:rsidRPr="00744599">
        <w:rPr>
          <w:lang w:val="fr-CA"/>
        </w:rPr>
        <w:t>Association a fait la démonstration préliminaire requise pour justifier</w:t>
      </w:r>
      <w:r w:rsidR="005A5905">
        <w:rPr>
          <w:lang w:val="fr-CA"/>
        </w:rPr>
        <w:t xml:space="preserve"> la consultation du document par un juge.</w:t>
      </w:r>
    </w:p>
    <w:p w14:paraId="62DC05F4" w14:textId="2B80B23E" w:rsidR="00CD2452" w:rsidRPr="005A5905" w:rsidRDefault="00364D7F" w:rsidP="0090156C">
      <w:pPr>
        <w:pStyle w:val="SCCNormalDoubleSpacing"/>
        <w:spacing w:after="480"/>
        <w:rPr>
          <w:lang w:val="fr-CA"/>
        </w:rPr>
      </w:pPr>
      <w:r>
        <w:rPr>
          <w:lang w:val="fr-CA"/>
        </w:rPr>
        <w:tab/>
      </w:r>
      <w:r w:rsidR="005A5905" w:rsidRPr="0003740F">
        <w:rPr>
          <w:lang w:val="fr-CA"/>
        </w:rPr>
        <w:t>La prochaine étape de l</w:t>
      </w:r>
      <w:r w:rsidR="006709B9">
        <w:rPr>
          <w:lang w:val="fr-CA"/>
        </w:rPr>
        <w:t>’</w:t>
      </w:r>
      <w:r w:rsidR="005A5905" w:rsidRPr="0003740F">
        <w:rPr>
          <w:lang w:val="fr-CA"/>
        </w:rPr>
        <w:t xml:space="preserve">analyse consiste à </w:t>
      </w:r>
      <w:r w:rsidR="005A5905">
        <w:rPr>
          <w:lang w:val="fr-CA"/>
        </w:rPr>
        <w:t xml:space="preserve">déterminer </w:t>
      </w:r>
      <w:r w:rsidR="005A5905" w:rsidRPr="0003740F">
        <w:rPr>
          <w:lang w:val="fr-CA"/>
        </w:rPr>
        <w:t>si le rapport d</w:t>
      </w:r>
      <w:r w:rsidR="005A5905">
        <w:rPr>
          <w:lang w:val="fr-CA"/>
        </w:rPr>
        <w:t xml:space="preserve">e la procureure </w:t>
      </w:r>
      <w:r w:rsidR="005A5905" w:rsidRPr="0003740F">
        <w:rPr>
          <w:lang w:val="fr-CA"/>
        </w:rPr>
        <w:t>général</w:t>
      </w:r>
      <w:r w:rsidR="005A5905">
        <w:rPr>
          <w:lang w:val="fr-CA"/>
        </w:rPr>
        <w:t>e</w:t>
      </w:r>
      <w:r w:rsidR="005A5905" w:rsidRPr="0003740F">
        <w:rPr>
          <w:lang w:val="fr-CA"/>
        </w:rPr>
        <w:t xml:space="preserve"> fournit effectivement certains éléments de preuve tendant à démontrer que la réponse du go</w:t>
      </w:r>
      <w:r w:rsidR="005A5905">
        <w:rPr>
          <w:lang w:val="fr-CA"/>
        </w:rPr>
        <w:t>u</w:t>
      </w:r>
      <w:r w:rsidR="005A5905" w:rsidRPr="0003740F">
        <w:rPr>
          <w:lang w:val="fr-CA"/>
        </w:rPr>
        <w:t>vern</w:t>
      </w:r>
      <w:r w:rsidR="005A5905">
        <w:rPr>
          <w:lang w:val="fr-CA"/>
        </w:rPr>
        <w:t>e</w:t>
      </w:r>
      <w:r w:rsidR="005A5905" w:rsidRPr="0003740F">
        <w:rPr>
          <w:lang w:val="fr-CA"/>
        </w:rPr>
        <w:t>ment</w:t>
      </w:r>
      <w:r w:rsidR="005A5905">
        <w:rPr>
          <w:lang w:val="fr-CA"/>
        </w:rPr>
        <w:t xml:space="preserve"> ne satisfait pas aux exigences énoncées dans l</w:t>
      </w:r>
      <w:r w:rsidR="006709B9">
        <w:rPr>
          <w:lang w:val="fr-CA"/>
        </w:rPr>
        <w:t>’</w:t>
      </w:r>
      <w:r w:rsidR="005A5905">
        <w:rPr>
          <w:lang w:val="fr-CA"/>
        </w:rPr>
        <w:t xml:space="preserve">arrêt </w:t>
      </w:r>
      <w:r w:rsidR="005A5905" w:rsidRPr="0003740F">
        <w:rPr>
          <w:i/>
          <w:lang w:val="fr-CA"/>
        </w:rPr>
        <w:t>Bodner</w:t>
      </w:r>
      <w:r w:rsidR="005A5905">
        <w:rPr>
          <w:lang w:val="fr-CA"/>
        </w:rPr>
        <w:t>.</w:t>
      </w:r>
      <w:r w:rsidR="003E71AB">
        <w:rPr>
          <w:lang w:val="fr-CA"/>
        </w:rPr>
        <w:t xml:space="preserve"> </w:t>
      </w:r>
      <w:r w:rsidR="003E71AB" w:rsidRPr="00E840D7">
        <w:rPr>
          <w:lang w:val="fr-CA"/>
        </w:rPr>
        <w:t xml:space="preserve">Le paragraphe </w:t>
      </w:r>
      <w:r w:rsidR="003E71AB">
        <w:rPr>
          <w:lang w:val="fr-CA"/>
        </w:rPr>
        <w:t xml:space="preserve">du rapport qui </w:t>
      </w:r>
      <w:r w:rsidR="006E7E01">
        <w:rPr>
          <w:lang w:val="fr-CA"/>
        </w:rPr>
        <w:t xml:space="preserve">analyse les </w:t>
      </w:r>
      <w:r w:rsidR="003E71AB">
        <w:rPr>
          <w:lang w:val="fr-CA"/>
        </w:rPr>
        <w:t xml:space="preserve">implications </w:t>
      </w:r>
      <w:r w:rsidR="003E71AB" w:rsidRPr="00E840D7">
        <w:rPr>
          <w:lang w:val="fr-CA"/>
        </w:rPr>
        <w:t>à l</w:t>
      </w:r>
      <w:r w:rsidR="006709B9">
        <w:rPr>
          <w:lang w:val="fr-CA"/>
        </w:rPr>
        <w:t>’</w:t>
      </w:r>
      <w:r w:rsidR="003E71AB" w:rsidRPr="00E840D7">
        <w:rPr>
          <w:lang w:val="fr-CA"/>
        </w:rPr>
        <w:t xml:space="preserve">échelle </w:t>
      </w:r>
      <w:r w:rsidR="003E71AB">
        <w:rPr>
          <w:lang w:val="fr-CA"/>
        </w:rPr>
        <w:t>g</w:t>
      </w:r>
      <w:r w:rsidR="003E71AB" w:rsidRPr="00E840D7">
        <w:rPr>
          <w:lang w:val="fr-CA"/>
        </w:rPr>
        <w:t>ouvernement</w:t>
      </w:r>
      <w:r w:rsidR="003E71AB">
        <w:rPr>
          <w:lang w:val="fr-CA"/>
        </w:rPr>
        <w:t xml:space="preserve">ale </w:t>
      </w:r>
      <w:r w:rsidR="00310040">
        <w:rPr>
          <w:lang w:val="fr-CA"/>
        </w:rPr>
        <w:t>de même que le</w:t>
      </w:r>
      <w:r w:rsidR="003E71AB">
        <w:rPr>
          <w:lang w:val="fr-CA"/>
        </w:rPr>
        <w:t xml:space="preserve"> </w:t>
      </w:r>
      <w:r w:rsidR="003E71AB" w:rsidRPr="002B5A39">
        <w:rPr>
          <w:lang w:val="fr-CA"/>
        </w:rPr>
        <w:t>plan de communication</w:t>
      </w:r>
      <w:r w:rsidR="003E71AB">
        <w:rPr>
          <w:lang w:val="fr-CA"/>
        </w:rPr>
        <w:t xml:space="preserve">s </w:t>
      </w:r>
      <w:r w:rsidR="00D50A59">
        <w:rPr>
          <w:lang w:val="fr-CA"/>
        </w:rPr>
        <w:t xml:space="preserve">en </w:t>
      </w:r>
      <w:r w:rsidR="003E71AB">
        <w:rPr>
          <w:lang w:val="fr-CA"/>
        </w:rPr>
        <w:t>annex</w:t>
      </w:r>
      <w:r w:rsidR="00D50A59">
        <w:rPr>
          <w:lang w:val="fr-CA"/>
        </w:rPr>
        <w:t>e</w:t>
      </w:r>
      <w:r w:rsidR="00310040">
        <w:rPr>
          <w:lang w:val="fr-CA"/>
        </w:rPr>
        <w:t xml:space="preserve"> </w:t>
      </w:r>
      <w:r w:rsidR="003E71AB">
        <w:rPr>
          <w:lang w:val="fr-CA"/>
        </w:rPr>
        <w:t>mentionnent</w:t>
      </w:r>
      <w:r w:rsidR="00310040">
        <w:rPr>
          <w:lang w:val="fr-CA"/>
        </w:rPr>
        <w:t xml:space="preserve"> l</w:t>
      </w:r>
      <w:r w:rsidR="003E71AB">
        <w:rPr>
          <w:lang w:val="fr-CA"/>
        </w:rPr>
        <w:t xml:space="preserve">es raisons </w:t>
      </w:r>
      <w:r w:rsidR="003E71AB" w:rsidRPr="00C91C1B">
        <w:rPr>
          <w:lang w:val="fr-CA"/>
        </w:rPr>
        <w:t>pour lesquel</w:t>
      </w:r>
      <w:r w:rsidR="003E71AB">
        <w:rPr>
          <w:lang w:val="fr-CA"/>
        </w:rPr>
        <w:t>le</w:t>
      </w:r>
      <w:r w:rsidR="003E71AB" w:rsidRPr="00C91C1B">
        <w:rPr>
          <w:lang w:val="fr-CA"/>
        </w:rPr>
        <w:t>s la décision d</w:t>
      </w:r>
      <w:r w:rsidR="006709B9">
        <w:rPr>
          <w:lang w:val="fr-CA"/>
        </w:rPr>
        <w:t>’</w:t>
      </w:r>
      <w:r w:rsidR="003E71AB" w:rsidRPr="00C91C1B">
        <w:rPr>
          <w:lang w:val="fr-CA"/>
        </w:rPr>
        <w:t xml:space="preserve">accepter ou de modifier </w:t>
      </w:r>
      <w:r w:rsidR="00310040" w:rsidRPr="00310040">
        <w:rPr>
          <w:lang w:val="fr-CA"/>
        </w:rPr>
        <w:t>l</w:t>
      </w:r>
      <w:r w:rsidR="003E71AB" w:rsidRPr="00310040">
        <w:rPr>
          <w:lang w:val="fr-CA"/>
        </w:rPr>
        <w:t>es recommandations</w:t>
      </w:r>
      <w:r w:rsidR="003E71AB" w:rsidRPr="00C91C1B">
        <w:rPr>
          <w:lang w:val="fr-CA"/>
        </w:rPr>
        <w:t xml:space="preserve"> </w:t>
      </w:r>
      <w:r w:rsidR="00310040">
        <w:rPr>
          <w:lang w:val="fr-CA"/>
        </w:rPr>
        <w:t xml:space="preserve">de la commission </w:t>
      </w:r>
      <w:r w:rsidR="003E71AB">
        <w:rPr>
          <w:lang w:val="fr-CA"/>
        </w:rPr>
        <w:t xml:space="preserve">pourrait être critiquée </w:t>
      </w:r>
      <w:r w:rsidR="003E71AB" w:rsidRPr="00C91C1B">
        <w:rPr>
          <w:lang w:val="fr-CA"/>
        </w:rPr>
        <w:t>ainsi que des considérations politiques connexes</w:t>
      </w:r>
      <w:r w:rsidR="003E71AB">
        <w:rPr>
          <w:lang w:val="fr-CA"/>
        </w:rPr>
        <w:t>, y compris l</w:t>
      </w:r>
      <w:r w:rsidR="006709B9">
        <w:rPr>
          <w:lang w:val="fr-CA"/>
        </w:rPr>
        <w:t>’</w:t>
      </w:r>
      <w:r w:rsidR="003E71AB">
        <w:rPr>
          <w:lang w:val="fr-CA"/>
        </w:rPr>
        <w:t>incidence d</w:t>
      </w:r>
      <w:r w:rsidR="006709B9">
        <w:rPr>
          <w:lang w:val="fr-CA"/>
        </w:rPr>
        <w:t>’</w:t>
      </w:r>
      <w:r w:rsidR="003E71AB">
        <w:rPr>
          <w:lang w:val="fr-CA"/>
        </w:rPr>
        <w:t>augmentation</w:t>
      </w:r>
      <w:r w:rsidR="00310040">
        <w:rPr>
          <w:lang w:val="fr-CA"/>
        </w:rPr>
        <w:t>s</w:t>
      </w:r>
      <w:r w:rsidR="003E71AB">
        <w:rPr>
          <w:lang w:val="fr-CA"/>
        </w:rPr>
        <w:t xml:space="preserve"> d</w:t>
      </w:r>
      <w:r w:rsidR="00D50A59">
        <w:rPr>
          <w:lang w:val="fr-CA"/>
        </w:rPr>
        <w:t>es</w:t>
      </w:r>
      <w:r w:rsidR="00310040">
        <w:rPr>
          <w:lang w:val="fr-CA"/>
        </w:rPr>
        <w:t xml:space="preserve"> </w:t>
      </w:r>
      <w:r w:rsidR="003E71AB">
        <w:rPr>
          <w:lang w:val="fr-CA"/>
        </w:rPr>
        <w:t>traitement</w:t>
      </w:r>
      <w:r w:rsidR="00D50A59">
        <w:rPr>
          <w:lang w:val="fr-CA"/>
        </w:rPr>
        <w:t>s</w:t>
      </w:r>
      <w:r w:rsidR="003E71AB">
        <w:rPr>
          <w:lang w:val="fr-CA"/>
        </w:rPr>
        <w:t xml:space="preserve"> des juges sur les négociations collectives avec les syndicats du secteur public. L</w:t>
      </w:r>
      <w:r w:rsidR="006709B9">
        <w:rPr>
          <w:lang w:val="fr-CA"/>
        </w:rPr>
        <w:t>’</w:t>
      </w:r>
      <w:r w:rsidR="003E71AB" w:rsidRPr="00087350">
        <w:rPr>
          <w:lang w:val="fr-CA"/>
        </w:rPr>
        <w:t xml:space="preserve">inclusion de ces considérations </w:t>
      </w:r>
      <w:r w:rsidR="003E71AB">
        <w:rPr>
          <w:lang w:val="fr-CA"/>
        </w:rPr>
        <w:t xml:space="preserve">appuie dans une certaine mesure </w:t>
      </w:r>
      <w:r w:rsidR="003E71AB" w:rsidRPr="00087350">
        <w:rPr>
          <w:lang w:val="fr-CA"/>
        </w:rPr>
        <w:t>la prétention selon laquelle la réponse du gouvernement ne satisfaisait pas</w:t>
      </w:r>
      <w:r w:rsidR="003E71AB">
        <w:rPr>
          <w:lang w:val="fr-CA"/>
        </w:rPr>
        <w:t xml:space="preserve"> aux exigences constitutionnelles et </w:t>
      </w:r>
      <w:r w:rsidR="003E71AB" w:rsidRPr="00087350">
        <w:rPr>
          <w:lang w:val="fr-CA"/>
        </w:rPr>
        <w:t xml:space="preserve">pourrait </w:t>
      </w:r>
      <w:r w:rsidR="003E71AB">
        <w:rPr>
          <w:lang w:val="fr-CA"/>
        </w:rPr>
        <w:t>aider</w:t>
      </w:r>
      <w:r w:rsidR="003E71AB" w:rsidRPr="00087350">
        <w:rPr>
          <w:lang w:val="fr-CA"/>
        </w:rPr>
        <w:t xml:space="preserve"> </w:t>
      </w:r>
      <w:r w:rsidR="003E71AB">
        <w:rPr>
          <w:lang w:val="fr-CA"/>
        </w:rPr>
        <w:t>l</w:t>
      </w:r>
      <w:r w:rsidR="006709B9">
        <w:rPr>
          <w:lang w:val="fr-CA"/>
        </w:rPr>
        <w:t>’</w:t>
      </w:r>
      <w:r w:rsidR="003E71AB">
        <w:rPr>
          <w:lang w:val="fr-CA"/>
        </w:rPr>
        <w:t xml:space="preserve">Association à </w:t>
      </w:r>
      <w:r w:rsidR="003E71AB" w:rsidRPr="00087350">
        <w:rPr>
          <w:lang w:val="fr-CA"/>
        </w:rPr>
        <w:t xml:space="preserve">mettre en </w:t>
      </w:r>
      <w:r w:rsidR="003E71AB">
        <w:rPr>
          <w:lang w:val="fr-CA"/>
        </w:rPr>
        <w:t xml:space="preserve">doute </w:t>
      </w:r>
      <w:r w:rsidR="003E71AB" w:rsidRPr="00087350">
        <w:rPr>
          <w:lang w:val="fr-CA"/>
        </w:rPr>
        <w:t xml:space="preserve">le respect </w:t>
      </w:r>
      <w:r w:rsidR="003E71AB">
        <w:rPr>
          <w:lang w:val="fr-CA"/>
        </w:rPr>
        <w:t xml:space="preserve">manifesté par </w:t>
      </w:r>
      <w:r w:rsidR="003E71AB" w:rsidRPr="00087350">
        <w:rPr>
          <w:lang w:val="fr-CA"/>
        </w:rPr>
        <w:t xml:space="preserve">le gouvernement </w:t>
      </w:r>
      <w:r w:rsidR="003E71AB">
        <w:rPr>
          <w:lang w:val="fr-CA"/>
        </w:rPr>
        <w:t>à l</w:t>
      </w:r>
      <w:r w:rsidR="006709B9">
        <w:rPr>
          <w:lang w:val="fr-CA"/>
        </w:rPr>
        <w:t>’</w:t>
      </w:r>
      <w:r w:rsidR="003E71AB">
        <w:rPr>
          <w:lang w:val="fr-CA"/>
        </w:rPr>
        <w:t>égard du</w:t>
      </w:r>
      <w:r w:rsidR="003E71AB" w:rsidRPr="00087350">
        <w:rPr>
          <w:lang w:val="fr-CA"/>
        </w:rPr>
        <w:t xml:space="preserve"> méca</w:t>
      </w:r>
      <w:r w:rsidR="003E71AB">
        <w:rPr>
          <w:lang w:val="fr-CA"/>
        </w:rPr>
        <w:t>nisme d</w:t>
      </w:r>
      <w:r w:rsidR="006709B9">
        <w:rPr>
          <w:lang w:val="fr-CA"/>
        </w:rPr>
        <w:t>’</w:t>
      </w:r>
      <w:r w:rsidR="003E71AB">
        <w:rPr>
          <w:lang w:val="fr-CA"/>
        </w:rPr>
        <w:t xml:space="preserve">examen de la commission, ainsi que </w:t>
      </w:r>
      <w:r w:rsidR="003E71AB" w:rsidRPr="00FA43C1">
        <w:rPr>
          <w:lang w:val="fr-CA"/>
        </w:rPr>
        <w:t>la légitimité des motifs avancés par le gouvernement pour rejeter les recommandations de celle</w:t>
      </w:r>
      <w:r w:rsidR="007745F6">
        <w:rPr>
          <w:lang w:val="fr-CA"/>
        </w:rPr>
        <w:noBreakHyphen/>
      </w:r>
      <w:r w:rsidR="003E71AB" w:rsidRPr="00FA43C1">
        <w:rPr>
          <w:lang w:val="fr-CA"/>
        </w:rPr>
        <w:t>ci.</w:t>
      </w:r>
      <w:r w:rsidR="003E71AB">
        <w:rPr>
          <w:lang w:val="fr-CA"/>
        </w:rPr>
        <w:t xml:space="preserve"> En conséquence</w:t>
      </w:r>
      <w:r w:rsidR="003E71AB" w:rsidRPr="00087350">
        <w:rPr>
          <w:lang w:val="fr-CA"/>
        </w:rPr>
        <w:t>, s</w:t>
      </w:r>
      <w:r w:rsidR="003E71AB">
        <w:rPr>
          <w:lang w:val="fr-CA"/>
        </w:rPr>
        <w:t>auf application d</w:t>
      </w:r>
      <w:r w:rsidR="003E71AB" w:rsidRPr="00432139">
        <w:rPr>
          <w:lang w:val="fr-CA"/>
        </w:rPr>
        <w:t xml:space="preserve">e </w:t>
      </w:r>
      <w:r w:rsidR="003E71AB">
        <w:rPr>
          <w:lang w:val="fr-CA"/>
        </w:rPr>
        <w:t xml:space="preserve">la règle de </w:t>
      </w:r>
      <w:r w:rsidR="003E71AB" w:rsidRPr="00432139">
        <w:rPr>
          <w:lang w:val="fr-CA"/>
        </w:rPr>
        <w:t>l</w:t>
      </w:r>
      <w:r w:rsidR="006709B9">
        <w:rPr>
          <w:lang w:val="fr-CA"/>
        </w:rPr>
        <w:t>’</w:t>
      </w:r>
      <w:r w:rsidR="003E71AB" w:rsidRPr="00432139">
        <w:rPr>
          <w:lang w:val="fr-CA"/>
        </w:rPr>
        <w:t>immunité d</w:t>
      </w:r>
      <w:r w:rsidR="006709B9">
        <w:rPr>
          <w:lang w:val="fr-CA"/>
        </w:rPr>
        <w:t>’</w:t>
      </w:r>
      <w:r w:rsidR="003E71AB" w:rsidRPr="00432139">
        <w:rPr>
          <w:lang w:val="fr-CA"/>
        </w:rPr>
        <w:t>intérêt public,</w:t>
      </w:r>
      <w:r w:rsidR="003E71AB" w:rsidRPr="00087350">
        <w:rPr>
          <w:lang w:val="fr-CA"/>
        </w:rPr>
        <w:t xml:space="preserve"> </w:t>
      </w:r>
      <w:r w:rsidR="003E71AB">
        <w:rPr>
          <w:lang w:val="fr-CA"/>
        </w:rPr>
        <w:t>l</w:t>
      </w:r>
      <w:r w:rsidR="006709B9">
        <w:rPr>
          <w:lang w:val="fr-CA"/>
        </w:rPr>
        <w:t>’</w:t>
      </w:r>
      <w:r w:rsidR="009230A3">
        <w:rPr>
          <w:lang w:val="fr-CA"/>
        </w:rPr>
        <w:t xml:space="preserve">analyse des </w:t>
      </w:r>
      <w:r w:rsidR="003E71AB">
        <w:rPr>
          <w:lang w:val="fr-CA"/>
        </w:rPr>
        <w:t>implications à l</w:t>
      </w:r>
      <w:r w:rsidR="006709B9">
        <w:rPr>
          <w:lang w:val="fr-CA"/>
        </w:rPr>
        <w:t>’</w:t>
      </w:r>
      <w:r w:rsidR="003E71AB">
        <w:rPr>
          <w:lang w:val="fr-CA"/>
        </w:rPr>
        <w:t xml:space="preserve">échelle gouvernementale </w:t>
      </w:r>
      <w:r w:rsidR="009230A3">
        <w:rPr>
          <w:lang w:val="fr-CA"/>
        </w:rPr>
        <w:t>figurant dans le r</w:t>
      </w:r>
      <w:r w:rsidR="009230A3" w:rsidRPr="000D515F">
        <w:rPr>
          <w:lang w:val="fr-CA"/>
        </w:rPr>
        <w:t xml:space="preserve">apport </w:t>
      </w:r>
      <w:r w:rsidR="009230A3">
        <w:rPr>
          <w:lang w:val="fr-CA"/>
        </w:rPr>
        <w:t xml:space="preserve">de la </w:t>
      </w:r>
      <w:r w:rsidR="009230A3" w:rsidRPr="000D515F">
        <w:rPr>
          <w:lang w:val="fr-CA"/>
        </w:rPr>
        <w:t>procureur</w:t>
      </w:r>
      <w:r w:rsidR="009230A3">
        <w:rPr>
          <w:lang w:val="fr-CA"/>
        </w:rPr>
        <w:t>e</w:t>
      </w:r>
      <w:r w:rsidR="009230A3" w:rsidRPr="000D515F">
        <w:rPr>
          <w:lang w:val="fr-CA"/>
        </w:rPr>
        <w:t xml:space="preserve"> général</w:t>
      </w:r>
      <w:r w:rsidR="009230A3">
        <w:rPr>
          <w:lang w:val="fr-CA"/>
        </w:rPr>
        <w:t xml:space="preserve">e ainsi que </w:t>
      </w:r>
      <w:r w:rsidR="003E71AB">
        <w:rPr>
          <w:lang w:val="fr-CA"/>
        </w:rPr>
        <w:t xml:space="preserve">le plan de communications </w:t>
      </w:r>
      <w:r w:rsidR="009230A3">
        <w:rPr>
          <w:lang w:val="fr-CA"/>
        </w:rPr>
        <w:t xml:space="preserve">en </w:t>
      </w:r>
      <w:r w:rsidR="003E71AB">
        <w:rPr>
          <w:lang w:val="fr-CA"/>
        </w:rPr>
        <w:t>annex</w:t>
      </w:r>
      <w:r w:rsidR="009230A3">
        <w:rPr>
          <w:lang w:val="fr-CA"/>
        </w:rPr>
        <w:t xml:space="preserve">e </w:t>
      </w:r>
      <w:r w:rsidR="003E71AB" w:rsidRPr="00432139">
        <w:rPr>
          <w:lang w:val="fr-CA"/>
        </w:rPr>
        <w:t>devraient être versés au dossier.</w:t>
      </w:r>
    </w:p>
    <w:p w14:paraId="2DDD600C" w14:textId="54B63AE9" w:rsidR="00CD2452" w:rsidRPr="00E72C7C" w:rsidRDefault="00CD2452" w:rsidP="0090156C">
      <w:pPr>
        <w:pStyle w:val="SCCNormalDoubleSpacing"/>
        <w:spacing w:after="480"/>
        <w:rPr>
          <w:lang w:val="fr-CA"/>
        </w:rPr>
      </w:pPr>
      <w:r w:rsidRPr="005A5905">
        <w:rPr>
          <w:lang w:val="fr-CA"/>
        </w:rPr>
        <w:tab/>
      </w:r>
      <w:r w:rsidR="00E72C7C" w:rsidRPr="00432139">
        <w:rPr>
          <w:lang w:val="fr-CA"/>
        </w:rPr>
        <w:t>L</w:t>
      </w:r>
      <w:r w:rsidR="006709B9">
        <w:rPr>
          <w:lang w:val="fr-CA"/>
        </w:rPr>
        <w:t>’</w:t>
      </w:r>
      <w:r w:rsidR="00E72C7C" w:rsidRPr="00432139">
        <w:rPr>
          <w:lang w:val="fr-CA"/>
        </w:rPr>
        <w:t>immunité d</w:t>
      </w:r>
      <w:r w:rsidR="006709B9">
        <w:rPr>
          <w:lang w:val="fr-CA"/>
        </w:rPr>
        <w:t>’</w:t>
      </w:r>
      <w:r w:rsidR="00E72C7C" w:rsidRPr="00432139">
        <w:rPr>
          <w:lang w:val="fr-CA"/>
        </w:rPr>
        <w:t>intérêt public protège la confidentialité des délibérations du Cabinet</w:t>
      </w:r>
      <w:r w:rsidR="00E72C7C">
        <w:rPr>
          <w:lang w:val="fr-CA"/>
        </w:rPr>
        <w:t xml:space="preserve"> si </w:t>
      </w:r>
      <w:r w:rsidR="00E72C7C" w:rsidRPr="00087350">
        <w:rPr>
          <w:lang w:val="fr-CA"/>
        </w:rPr>
        <w:t>l</w:t>
      </w:r>
      <w:r w:rsidR="006709B9">
        <w:rPr>
          <w:lang w:val="fr-CA"/>
        </w:rPr>
        <w:t>’</w:t>
      </w:r>
      <w:r w:rsidR="00E72C7C" w:rsidRPr="00087350">
        <w:rPr>
          <w:lang w:val="fr-CA"/>
        </w:rPr>
        <w:t xml:space="preserve">intérêt </w:t>
      </w:r>
      <w:r w:rsidR="00E72C7C">
        <w:rPr>
          <w:lang w:val="fr-CA"/>
        </w:rPr>
        <w:t xml:space="preserve">du </w:t>
      </w:r>
      <w:r w:rsidR="00E72C7C" w:rsidRPr="00087350">
        <w:rPr>
          <w:lang w:val="fr-CA"/>
        </w:rPr>
        <w:t xml:space="preserve">public dans </w:t>
      </w:r>
      <w:r w:rsidR="00E72C7C">
        <w:rPr>
          <w:lang w:val="fr-CA"/>
        </w:rPr>
        <w:t xml:space="preserve">le maintien de </w:t>
      </w:r>
      <w:r w:rsidR="00E72C7C" w:rsidRPr="00087350">
        <w:rPr>
          <w:lang w:val="fr-CA"/>
        </w:rPr>
        <w:t>la confidentialité d</w:t>
      </w:r>
      <w:r w:rsidR="006709B9">
        <w:rPr>
          <w:lang w:val="fr-CA"/>
        </w:rPr>
        <w:t>’</w:t>
      </w:r>
      <w:r w:rsidR="009230A3">
        <w:rPr>
          <w:lang w:val="fr-CA"/>
        </w:rPr>
        <w:t xml:space="preserve">un </w:t>
      </w:r>
      <w:r w:rsidR="00E72C7C" w:rsidRPr="00087350">
        <w:rPr>
          <w:lang w:val="fr-CA"/>
        </w:rPr>
        <w:t>document l</w:t>
      </w:r>
      <w:r w:rsidR="006709B9">
        <w:rPr>
          <w:lang w:val="fr-CA"/>
        </w:rPr>
        <w:t>’</w:t>
      </w:r>
      <w:r w:rsidR="00E72C7C" w:rsidRPr="00087350">
        <w:rPr>
          <w:lang w:val="fr-CA"/>
        </w:rPr>
        <w:t>emporte</w:t>
      </w:r>
      <w:r w:rsidR="00E72C7C">
        <w:rPr>
          <w:lang w:val="fr-CA"/>
        </w:rPr>
        <w:t xml:space="preserve"> sur l</w:t>
      </w:r>
      <w:r w:rsidR="006709B9">
        <w:rPr>
          <w:lang w:val="fr-CA"/>
        </w:rPr>
        <w:t>’</w:t>
      </w:r>
      <w:r w:rsidR="00E72C7C">
        <w:rPr>
          <w:lang w:val="fr-CA"/>
        </w:rPr>
        <w:t xml:space="preserve">intérêt du public dans sa </w:t>
      </w:r>
      <w:r w:rsidR="00E72C7C" w:rsidRPr="00087350">
        <w:rPr>
          <w:lang w:val="fr-CA"/>
        </w:rPr>
        <w:t>divulgation</w:t>
      </w:r>
      <w:r w:rsidRPr="00E72C7C">
        <w:rPr>
          <w:lang w:val="fr-CA"/>
        </w:rPr>
        <w:t>.</w:t>
      </w:r>
      <w:r w:rsidR="00E72C7C">
        <w:rPr>
          <w:lang w:val="fr-CA"/>
        </w:rPr>
        <w:t xml:space="preserve"> L</w:t>
      </w:r>
      <w:r w:rsidR="00E72C7C" w:rsidRPr="00432139">
        <w:rPr>
          <w:lang w:val="fr-CA"/>
        </w:rPr>
        <w:t xml:space="preserve">e pourvoi connexe </w:t>
      </w:r>
      <w:r w:rsidR="00E72C7C">
        <w:rPr>
          <w:lang w:val="fr-CA"/>
        </w:rPr>
        <w:t xml:space="preserve">énonce les </w:t>
      </w:r>
      <w:r w:rsidR="00E72C7C" w:rsidRPr="00432139">
        <w:rPr>
          <w:lang w:val="fr-CA"/>
        </w:rPr>
        <w:t xml:space="preserve">principaux facteurs pertinents pour soupeser ces intérêts </w:t>
      </w:r>
      <w:r w:rsidR="00E72C7C">
        <w:rPr>
          <w:lang w:val="fr-CA"/>
        </w:rPr>
        <w:t xml:space="preserve">et explique comment ils </w:t>
      </w:r>
      <w:r w:rsidR="00E72C7C" w:rsidRPr="00432139">
        <w:rPr>
          <w:lang w:val="fr-CA"/>
        </w:rPr>
        <w:t>s</w:t>
      </w:r>
      <w:r w:rsidR="006709B9">
        <w:rPr>
          <w:lang w:val="fr-CA"/>
        </w:rPr>
        <w:t>’</w:t>
      </w:r>
      <w:r w:rsidR="00E72C7C" w:rsidRPr="00432139">
        <w:rPr>
          <w:lang w:val="fr-CA"/>
        </w:rPr>
        <w:t>appliquent dans le contexte d</w:t>
      </w:r>
      <w:r w:rsidR="006709B9">
        <w:rPr>
          <w:lang w:val="fr-CA"/>
        </w:rPr>
        <w:t>’</w:t>
      </w:r>
      <w:r w:rsidR="00E72C7C" w:rsidRPr="00432139">
        <w:rPr>
          <w:lang w:val="fr-CA"/>
        </w:rPr>
        <w:t xml:space="preserve">un contrôle de type </w:t>
      </w:r>
      <w:r w:rsidR="00E72C7C" w:rsidRPr="00432139">
        <w:rPr>
          <w:i/>
          <w:lang w:val="fr-CA"/>
        </w:rPr>
        <w:t>Bodner</w:t>
      </w:r>
      <w:r w:rsidR="00310040">
        <w:rPr>
          <w:lang w:val="fr-CA"/>
        </w:rPr>
        <w:t>.</w:t>
      </w:r>
      <w:r w:rsidR="00E72C7C">
        <w:rPr>
          <w:lang w:val="fr-CA"/>
        </w:rPr>
        <w:t> </w:t>
      </w:r>
    </w:p>
    <w:p w14:paraId="20BA703F" w14:textId="18DCCEF8" w:rsidR="00CD2452" w:rsidRPr="00E72C7C" w:rsidRDefault="00CD2452" w:rsidP="0090156C">
      <w:pPr>
        <w:pStyle w:val="SCCNormalDoubleSpacing"/>
        <w:spacing w:after="480"/>
        <w:rPr>
          <w:lang w:val="fr-CA"/>
        </w:rPr>
      </w:pPr>
      <w:r w:rsidRPr="00E72C7C">
        <w:rPr>
          <w:lang w:val="fr-CA"/>
        </w:rPr>
        <w:tab/>
      </w:r>
      <w:r w:rsidR="009230A3">
        <w:rPr>
          <w:lang w:val="fr-CA"/>
        </w:rPr>
        <w:t>Dans la présente affaire</w:t>
      </w:r>
      <w:r w:rsidR="00E72C7C">
        <w:rPr>
          <w:lang w:val="fr-CA"/>
        </w:rPr>
        <w:t xml:space="preserve">, </w:t>
      </w:r>
      <w:r w:rsidR="00E72C7C" w:rsidRPr="00D13A4E">
        <w:rPr>
          <w:lang w:val="fr-CA"/>
        </w:rPr>
        <w:t>plusieurs facteurs militent en faveur du maintien de la confidentialité de l</w:t>
      </w:r>
      <w:r w:rsidR="006709B9">
        <w:rPr>
          <w:lang w:val="fr-CA"/>
        </w:rPr>
        <w:t>’</w:t>
      </w:r>
      <w:r w:rsidR="00E72C7C" w:rsidRPr="00D13A4E">
        <w:rPr>
          <w:lang w:val="fr-CA"/>
        </w:rPr>
        <w:t>analyse des implications à l</w:t>
      </w:r>
      <w:r w:rsidR="006709B9">
        <w:rPr>
          <w:lang w:val="fr-CA"/>
        </w:rPr>
        <w:t>’</w:t>
      </w:r>
      <w:r w:rsidR="00E72C7C" w:rsidRPr="00D13A4E">
        <w:rPr>
          <w:lang w:val="fr-CA"/>
        </w:rPr>
        <w:t>échelle gouvernementale et du plan de communications.</w:t>
      </w:r>
      <w:r w:rsidRPr="00E72C7C">
        <w:rPr>
          <w:lang w:val="fr-CA"/>
        </w:rPr>
        <w:t xml:space="preserve"> </w:t>
      </w:r>
      <w:r w:rsidR="00E72C7C">
        <w:rPr>
          <w:lang w:val="fr-CA"/>
        </w:rPr>
        <w:t>Ces portions du rapport d</w:t>
      </w:r>
      <w:r w:rsidR="00310040">
        <w:rPr>
          <w:lang w:val="fr-CA"/>
        </w:rPr>
        <w:t>e la</w:t>
      </w:r>
      <w:r w:rsidR="00E72C7C">
        <w:rPr>
          <w:lang w:val="fr-CA"/>
        </w:rPr>
        <w:t xml:space="preserve"> procureur</w:t>
      </w:r>
      <w:r w:rsidR="00310040">
        <w:rPr>
          <w:lang w:val="fr-CA"/>
        </w:rPr>
        <w:t>e</w:t>
      </w:r>
      <w:r w:rsidR="00E72C7C">
        <w:rPr>
          <w:lang w:val="fr-CA"/>
        </w:rPr>
        <w:t xml:space="preserve"> général</w:t>
      </w:r>
      <w:r w:rsidR="00310040">
        <w:rPr>
          <w:lang w:val="fr-CA"/>
        </w:rPr>
        <w:t>e</w:t>
      </w:r>
      <w:r w:rsidR="00E72C7C">
        <w:rPr>
          <w:lang w:val="fr-CA"/>
        </w:rPr>
        <w:t xml:space="preserve"> </w:t>
      </w:r>
      <w:r w:rsidR="00E72C7C" w:rsidRPr="00D13A4E">
        <w:rPr>
          <w:lang w:val="fr-CA"/>
        </w:rPr>
        <w:t>se rapporte</w:t>
      </w:r>
      <w:r w:rsidR="00E72C7C">
        <w:rPr>
          <w:lang w:val="fr-CA"/>
        </w:rPr>
        <w:t xml:space="preserve">nt à </w:t>
      </w:r>
      <w:r w:rsidR="00E72C7C" w:rsidRPr="00087350">
        <w:rPr>
          <w:lang w:val="fr-CA"/>
        </w:rPr>
        <w:t xml:space="preserve">une décision </w:t>
      </w:r>
      <w:r w:rsidR="00E72C7C">
        <w:rPr>
          <w:lang w:val="fr-CA"/>
        </w:rPr>
        <w:t xml:space="preserve">prise au plus haut palier de </w:t>
      </w:r>
      <w:r w:rsidR="00E72C7C" w:rsidRPr="00087350">
        <w:rPr>
          <w:lang w:val="fr-CA"/>
        </w:rPr>
        <w:t>l</w:t>
      </w:r>
      <w:r w:rsidR="006709B9">
        <w:rPr>
          <w:lang w:val="fr-CA"/>
        </w:rPr>
        <w:t>’</w:t>
      </w:r>
      <w:r w:rsidR="00E72C7C" w:rsidRPr="00087350">
        <w:rPr>
          <w:lang w:val="fr-CA"/>
        </w:rPr>
        <w:t>exécutif</w:t>
      </w:r>
      <w:r w:rsidR="00E72C7C">
        <w:rPr>
          <w:lang w:val="fr-CA"/>
        </w:rPr>
        <w:t xml:space="preserve">. </w:t>
      </w:r>
      <w:r w:rsidR="00E72C7C" w:rsidRPr="00087350">
        <w:rPr>
          <w:lang w:val="fr-CA"/>
        </w:rPr>
        <w:t>La réponse du gouvernement à l</w:t>
      </w:r>
      <w:r w:rsidR="006709B9">
        <w:rPr>
          <w:lang w:val="fr-CA"/>
        </w:rPr>
        <w:t>’</w:t>
      </w:r>
      <w:r w:rsidR="00E72C7C" w:rsidRPr="00087350">
        <w:rPr>
          <w:lang w:val="fr-CA"/>
        </w:rPr>
        <w:t>égard des recommandations d</w:t>
      </w:r>
      <w:r w:rsidR="00E72C7C">
        <w:rPr>
          <w:lang w:val="fr-CA"/>
        </w:rPr>
        <w:t>e la</w:t>
      </w:r>
      <w:r w:rsidR="00E72C7C" w:rsidRPr="00087350">
        <w:rPr>
          <w:lang w:val="fr-CA"/>
        </w:rPr>
        <w:t xml:space="preserve"> commission </w:t>
      </w:r>
      <w:r w:rsidR="00E72C7C">
        <w:rPr>
          <w:lang w:val="fr-CA"/>
        </w:rPr>
        <w:t xml:space="preserve">implique </w:t>
      </w:r>
      <w:r w:rsidR="00E72C7C" w:rsidRPr="00087350">
        <w:rPr>
          <w:lang w:val="fr-CA"/>
        </w:rPr>
        <w:t>d</w:t>
      </w:r>
      <w:r w:rsidR="006709B9">
        <w:rPr>
          <w:lang w:val="fr-CA"/>
        </w:rPr>
        <w:t>’</w:t>
      </w:r>
      <w:r w:rsidR="00E72C7C" w:rsidRPr="00087350">
        <w:rPr>
          <w:lang w:val="fr-CA"/>
        </w:rPr>
        <w:t>importantes décisions de politique générale</w:t>
      </w:r>
      <w:r w:rsidR="00E72C7C">
        <w:rPr>
          <w:lang w:val="fr-CA"/>
        </w:rPr>
        <w:t>. En ce qui</w:t>
      </w:r>
      <w:r w:rsidR="0090156C">
        <w:rPr>
          <w:lang w:val="fr-CA"/>
        </w:rPr>
        <w:t xml:space="preserve"> </w:t>
      </w:r>
      <w:r w:rsidR="00602746">
        <w:rPr>
          <w:lang w:val="fr-CA"/>
        </w:rPr>
        <w:t xml:space="preserve">a </w:t>
      </w:r>
      <w:r w:rsidR="00E72C7C">
        <w:rPr>
          <w:lang w:val="fr-CA"/>
        </w:rPr>
        <w:t>trait au moment de la divulgation, bien que la</w:t>
      </w:r>
      <w:r w:rsidR="00E72C7C" w:rsidRPr="00087350">
        <w:rPr>
          <w:lang w:val="fr-CA"/>
        </w:rPr>
        <w:t xml:space="preserve"> décision </w:t>
      </w:r>
      <w:r w:rsidR="00E72C7C">
        <w:rPr>
          <w:lang w:val="fr-CA"/>
        </w:rPr>
        <w:t>de modifier</w:t>
      </w:r>
      <w:r w:rsidR="00E72C7C" w:rsidRPr="00087350">
        <w:rPr>
          <w:lang w:val="fr-CA"/>
        </w:rPr>
        <w:t xml:space="preserve"> la hausse de rémunération des juges recommandée par la commission a</w:t>
      </w:r>
      <w:r w:rsidR="00E72C7C">
        <w:rPr>
          <w:lang w:val="fr-CA"/>
        </w:rPr>
        <w:t>it</w:t>
      </w:r>
      <w:r w:rsidR="00E72C7C" w:rsidRPr="00087350">
        <w:rPr>
          <w:lang w:val="fr-CA"/>
        </w:rPr>
        <w:t xml:space="preserve"> </w:t>
      </w:r>
      <w:r w:rsidR="00E72C7C">
        <w:rPr>
          <w:lang w:val="fr-CA"/>
        </w:rPr>
        <w:t xml:space="preserve">déjà </w:t>
      </w:r>
      <w:r w:rsidR="00E72C7C" w:rsidRPr="00087350">
        <w:rPr>
          <w:lang w:val="fr-CA"/>
        </w:rPr>
        <w:t>ét</w:t>
      </w:r>
      <w:r w:rsidR="00E72C7C" w:rsidRPr="00417BBC">
        <w:rPr>
          <w:lang w:val="fr-CA"/>
        </w:rPr>
        <w:t>é prise, puis an</w:t>
      </w:r>
      <w:r w:rsidR="00E72C7C" w:rsidRPr="00087350">
        <w:rPr>
          <w:lang w:val="fr-CA"/>
        </w:rPr>
        <w:t xml:space="preserve">noncée publiquement, </w:t>
      </w:r>
      <w:r w:rsidR="00E72C7C">
        <w:rPr>
          <w:lang w:val="fr-CA"/>
        </w:rPr>
        <w:t xml:space="preserve">le détail des </w:t>
      </w:r>
      <w:r w:rsidR="00E72C7C" w:rsidRPr="00087350">
        <w:rPr>
          <w:lang w:val="fr-CA"/>
        </w:rPr>
        <w:t>considérations</w:t>
      </w:r>
      <w:r w:rsidR="00E72C7C">
        <w:rPr>
          <w:lang w:val="fr-CA"/>
        </w:rPr>
        <w:t xml:space="preserve"> soumises au Cabinet </w:t>
      </w:r>
      <w:r w:rsidR="00E72C7C" w:rsidRPr="00087350">
        <w:rPr>
          <w:lang w:val="fr-CA"/>
        </w:rPr>
        <w:t>n</w:t>
      </w:r>
      <w:r w:rsidR="006709B9">
        <w:rPr>
          <w:lang w:val="fr-CA"/>
        </w:rPr>
        <w:t>’</w:t>
      </w:r>
      <w:r w:rsidR="00E72C7C">
        <w:rPr>
          <w:lang w:val="fr-CA"/>
        </w:rPr>
        <w:t xml:space="preserve">a </w:t>
      </w:r>
      <w:r w:rsidR="00E72C7C" w:rsidRPr="00087350">
        <w:rPr>
          <w:lang w:val="fr-CA"/>
        </w:rPr>
        <w:t xml:space="preserve">pas </w:t>
      </w:r>
      <w:r w:rsidR="00E72C7C">
        <w:rPr>
          <w:lang w:val="fr-CA"/>
        </w:rPr>
        <w:t xml:space="preserve">encore </w:t>
      </w:r>
      <w:r w:rsidR="00E72C7C" w:rsidRPr="00087350">
        <w:rPr>
          <w:lang w:val="fr-CA"/>
        </w:rPr>
        <w:t>été rendu publi</w:t>
      </w:r>
      <w:r w:rsidR="00E72C7C">
        <w:rPr>
          <w:lang w:val="fr-CA"/>
        </w:rPr>
        <w:t>c et il est permis de s</w:t>
      </w:r>
      <w:r w:rsidR="006709B9">
        <w:rPr>
          <w:lang w:val="fr-CA"/>
        </w:rPr>
        <w:t>’</w:t>
      </w:r>
      <w:r w:rsidR="00E72C7C">
        <w:rPr>
          <w:lang w:val="fr-CA"/>
        </w:rPr>
        <w:t xml:space="preserve">attendre à </w:t>
      </w:r>
      <w:r w:rsidR="00310040">
        <w:rPr>
          <w:lang w:val="fr-CA"/>
        </w:rPr>
        <w:t xml:space="preserve">ce que </w:t>
      </w:r>
      <w:r w:rsidR="00E72C7C">
        <w:rPr>
          <w:lang w:val="fr-CA"/>
        </w:rPr>
        <w:t>ces renseignements demeurent confidentiels. De même, le</w:t>
      </w:r>
      <w:r w:rsidR="00E72C7C" w:rsidRPr="00087350">
        <w:rPr>
          <w:lang w:val="fr-CA"/>
        </w:rPr>
        <w:t xml:space="preserve"> contenu </w:t>
      </w:r>
      <w:r w:rsidR="00E72C7C">
        <w:rPr>
          <w:lang w:val="fr-CA"/>
        </w:rPr>
        <w:t>d</w:t>
      </w:r>
      <w:r w:rsidR="00310040">
        <w:rPr>
          <w:lang w:val="fr-CA"/>
        </w:rPr>
        <w:t>es</w:t>
      </w:r>
      <w:r w:rsidR="00E72C7C">
        <w:rPr>
          <w:lang w:val="fr-CA"/>
        </w:rPr>
        <w:t xml:space="preserve"> document</w:t>
      </w:r>
      <w:r w:rsidR="00310040">
        <w:rPr>
          <w:lang w:val="fr-CA"/>
        </w:rPr>
        <w:t>s</w:t>
      </w:r>
      <w:r w:rsidR="00E72C7C">
        <w:rPr>
          <w:lang w:val="fr-CA"/>
        </w:rPr>
        <w:t xml:space="preserve"> est susceptible de </w:t>
      </w:r>
      <w:r w:rsidR="00E72C7C" w:rsidRPr="00087350">
        <w:rPr>
          <w:lang w:val="fr-CA"/>
        </w:rPr>
        <w:t xml:space="preserve">révéler des questions qui ont </w:t>
      </w:r>
      <w:r w:rsidR="00E72C7C">
        <w:rPr>
          <w:lang w:val="fr-CA"/>
        </w:rPr>
        <w:t xml:space="preserve">été discutées au sein du </w:t>
      </w:r>
      <w:r w:rsidR="00E72C7C" w:rsidRPr="00087350">
        <w:rPr>
          <w:lang w:val="fr-CA"/>
        </w:rPr>
        <w:t>Cabinet</w:t>
      </w:r>
      <w:r w:rsidR="00122193">
        <w:rPr>
          <w:lang w:val="fr-CA"/>
        </w:rPr>
        <w:t xml:space="preserve"> et il</w:t>
      </w:r>
      <w:r w:rsidR="00E72C7C">
        <w:rPr>
          <w:lang w:val="fr-CA"/>
        </w:rPr>
        <w:t xml:space="preserve"> est permis de s</w:t>
      </w:r>
      <w:r w:rsidR="006709B9">
        <w:rPr>
          <w:lang w:val="fr-CA"/>
        </w:rPr>
        <w:t>’</w:t>
      </w:r>
      <w:r w:rsidR="00E72C7C">
        <w:rPr>
          <w:lang w:val="fr-CA"/>
        </w:rPr>
        <w:t xml:space="preserve">attendre à ce </w:t>
      </w:r>
      <w:r w:rsidR="00310040">
        <w:rPr>
          <w:lang w:val="fr-CA"/>
        </w:rPr>
        <w:t>qu</w:t>
      </w:r>
      <w:r w:rsidR="006709B9">
        <w:rPr>
          <w:lang w:val="fr-CA"/>
        </w:rPr>
        <w:t>’</w:t>
      </w:r>
      <w:r w:rsidR="00310040">
        <w:rPr>
          <w:lang w:val="fr-CA"/>
        </w:rPr>
        <w:t xml:space="preserve">il </w:t>
      </w:r>
      <w:r w:rsidR="00E72C7C">
        <w:rPr>
          <w:lang w:val="fr-CA"/>
        </w:rPr>
        <w:t>demeure confidentiel</w:t>
      </w:r>
      <w:r w:rsidR="00E72C7C" w:rsidRPr="00087350">
        <w:rPr>
          <w:lang w:val="fr-CA"/>
        </w:rPr>
        <w:t>.</w:t>
      </w:r>
    </w:p>
    <w:p w14:paraId="2B70EA18" w14:textId="037F84E7" w:rsidR="00CD2452" w:rsidRPr="00122193" w:rsidRDefault="00CD2452" w:rsidP="0090156C">
      <w:pPr>
        <w:pStyle w:val="SCCNormalDoubleSpacing"/>
        <w:spacing w:after="480"/>
        <w:rPr>
          <w:lang w:val="fr-CA"/>
        </w:rPr>
      </w:pPr>
      <w:r w:rsidRPr="00E72C7C">
        <w:rPr>
          <w:lang w:val="fr-CA"/>
        </w:rPr>
        <w:tab/>
      </w:r>
      <w:r w:rsidR="00122193">
        <w:rPr>
          <w:lang w:val="fr-CA"/>
        </w:rPr>
        <w:t xml:space="preserve">Toutefois, </w:t>
      </w:r>
      <w:r w:rsidR="00761EA6">
        <w:rPr>
          <w:lang w:val="fr-CA"/>
        </w:rPr>
        <w:t>pour ce qui est des</w:t>
      </w:r>
      <w:r w:rsidR="00122193">
        <w:rPr>
          <w:lang w:val="fr-CA"/>
        </w:rPr>
        <w:t xml:space="preserve"> </w:t>
      </w:r>
      <w:r w:rsidR="00122193" w:rsidRPr="00087350">
        <w:rPr>
          <w:lang w:val="fr-CA"/>
        </w:rPr>
        <w:t>intérêt</w:t>
      </w:r>
      <w:r w:rsidR="00122193">
        <w:rPr>
          <w:lang w:val="fr-CA"/>
        </w:rPr>
        <w:t>s</w:t>
      </w:r>
      <w:r w:rsidR="00122193" w:rsidRPr="00087350">
        <w:rPr>
          <w:lang w:val="fr-CA"/>
        </w:rPr>
        <w:t xml:space="preserve"> </w:t>
      </w:r>
      <w:r w:rsidR="00122193">
        <w:rPr>
          <w:lang w:val="fr-CA"/>
        </w:rPr>
        <w:t xml:space="preserve">liés à </w:t>
      </w:r>
      <w:r w:rsidR="00122193" w:rsidRPr="00087350">
        <w:rPr>
          <w:lang w:val="fr-CA"/>
        </w:rPr>
        <w:t>l</w:t>
      </w:r>
      <w:r w:rsidR="006709B9">
        <w:rPr>
          <w:lang w:val="fr-CA"/>
        </w:rPr>
        <w:t>’</w:t>
      </w:r>
      <w:r w:rsidR="00122193">
        <w:rPr>
          <w:lang w:val="fr-CA"/>
        </w:rPr>
        <w:t>administration de la</w:t>
      </w:r>
      <w:r w:rsidR="00122193" w:rsidRPr="00087350">
        <w:rPr>
          <w:lang w:val="fr-CA"/>
        </w:rPr>
        <w:t xml:space="preserve"> justice</w:t>
      </w:r>
      <w:r w:rsidR="00761EA6">
        <w:rPr>
          <w:lang w:val="fr-CA"/>
        </w:rPr>
        <w:t>, ce facteur</w:t>
      </w:r>
      <w:r w:rsidRPr="00122193">
        <w:rPr>
          <w:lang w:val="fr-CA"/>
        </w:rPr>
        <w:t xml:space="preserve"> </w:t>
      </w:r>
      <w:r w:rsidR="00122193">
        <w:rPr>
          <w:lang w:val="fr-CA"/>
        </w:rPr>
        <w:t xml:space="preserve">milite en faveur de </w:t>
      </w:r>
      <w:r w:rsidR="00122193" w:rsidRPr="00087350">
        <w:rPr>
          <w:lang w:val="fr-CA"/>
        </w:rPr>
        <w:t>la divulgation de l</w:t>
      </w:r>
      <w:r w:rsidR="006709B9">
        <w:rPr>
          <w:lang w:val="fr-CA"/>
        </w:rPr>
        <w:t>’</w:t>
      </w:r>
      <w:r w:rsidR="00122193" w:rsidRPr="00087350">
        <w:rPr>
          <w:lang w:val="fr-CA"/>
        </w:rPr>
        <w:t>analyse des implications à l</w:t>
      </w:r>
      <w:r w:rsidR="006709B9">
        <w:rPr>
          <w:lang w:val="fr-CA"/>
        </w:rPr>
        <w:t>’</w:t>
      </w:r>
      <w:r w:rsidR="00122193" w:rsidRPr="00087350">
        <w:rPr>
          <w:lang w:val="fr-CA"/>
        </w:rPr>
        <w:t xml:space="preserve">échelle </w:t>
      </w:r>
      <w:r w:rsidR="00122193" w:rsidRPr="00FE56E3">
        <w:rPr>
          <w:lang w:val="fr-CA"/>
        </w:rPr>
        <w:t>gouvernementale figurant dans le rapport</w:t>
      </w:r>
      <w:r w:rsidR="00122193" w:rsidRPr="00FE56E3">
        <w:rPr>
          <w:color w:val="FF0000"/>
          <w:lang w:val="fr-CA"/>
        </w:rPr>
        <w:t xml:space="preserve"> </w:t>
      </w:r>
      <w:r w:rsidR="00122193" w:rsidRPr="000D515F">
        <w:rPr>
          <w:lang w:val="fr-CA"/>
        </w:rPr>
        <w:t>de la procureure générale, ainsi que du</w:t>
      </w:r>
      <w:r w:rsidR="00122193" w:rsidRPr="00FE56E3">
        <w:rPr>
          <w:lang w:val="fr-CA"/>
        </w:rPr>
        <w:t xml:space="preserve"> plan de communica</w:t>
      </w:r>
      <w:r w:rsidR="00122193" w:rsidRPr="00087350">
        <w:rPr>
          <w:lang w:val="fr-CA"/>
        </w:rPr>
        <w:t>tions</w:t>
      </w:r>
      <w:r w:rsidR="00122193">
        <w:rPr>
          <w:lang w:val="fr-CA"/>
        </w:rPr>
        <w:t xml:space="preserve"> </w:t>
      </w:r>
      <w:r w:rsidR="00761EA6">
        <w:rPr>
          <w:lang w:val="fr-CA"/>
        </w:rPr>
        <w:t xml:space="preserve">en </w:t>
      </w:r>
      <w:r w:rsidR="00122193">
        <w:rPr>
          <w:lang w:val="fr-CA"/>
        </w:rPr>
        <w:t>annex</w:t>
      </w:r>
      <w:r w:rsidR="00761EA6">
        <w:rPr>
          <w:lang w:val="fr-CA"/>
        </w:rPr>
        <w:t>e</w:t>
      </w:r>
      <w:r w:rsidR="00122193" w:rsidRPr="00087350">
        <w:rPr>
          <w:lang w:val="fr-CA"/>
        </w:rPr>
        <w:t>.</w:t>
      </w:r>
      <w:r w:rsidR="00122193">
        <w:rPr>
          <w:lang w:val="fr-CA"/>
        </w:rPr>
        <w:t xml:space="preserve"> Certaines </w:t>
      </w:r>
      <w:r w:rsidR="00122193" w:rsidRPr="00087350">
        <w:rPr>
          <w:lang w:val="fr-CA"/>
        </w:rPr>
        <w:t>des considérations</w:t>
      </w:r>
      <w:r w:rsidR="00122193">
        <w:rPr>
          <w:lang w:val="fr-CA"/>
        </w:rPr>
        <w:t xml:space="preserve"> mentionnées</w:t>
      </w:r>
      <w:r w:rsidR="00122193" w:rsidRPr="00087350">
        <w:rPr>
          <w:lang w:val="fr-CA"/>
        </w:rPr>
        <w:t xml:space="preserve"> dans </w:t>
      </w:r>
      <w:r w:rsidR="00122193">
        <w:rPr>
          <w:lang w:val="fr-CA"/>
        </w:rPr>
        <w:t>ces portions du rapport</w:t>
      </w:r>
      <w:r w:rsidR="00122193" w:rsidRPr="00087350">
        <w:rPr>
          <w:lang w:val="fr-CA"/>
        </w:rPr>
        <w:t xml:space="preserve"> </w:t>
      </w:r>
      <w:r w:rsidR="00122193">
        <w:rPr>
          <w:lang w:val="fr-CA"/>
        </w:rPr>
        <w:t xml:space="preserve">ne constituaient pas des </w:t>
      </w:r>
      <w:r w:rsidR="00122193" w:rsidRPr="00087350">
        <w:rPr>
          <w:lang w:val="fr-CA"/>
        </w:rPr>
        <w:t>fondement</w:t>
      </w:r>
      <w:r w:rsidR="00122193">
        <w:rPr>
          <w:lang w:val="fr-CA"/>
        </w:rPr>
        <w:t>s</w:t>
      </w:r>
      <w:r w:rsidR="00122193" w:rsidRPr="00087350">
        <w:rPr>
          <w:lang w:val="fr-CA"/>
        </w:rPr>
        <w:t xml:space="preserve"> rationnel</w:t>
      </w:r>
      <w:r w:rsidR="00122193">
        <w:rPr>
          <w:lang w:val="fr-CA"/>
        </w:rPr>
        <w:t>s</w:t>
      </w:r>
      <w:r w:rsidR="00122193" w:rsidRPr="00087350">
        <w:rPr>
          <w:lang w:val="fr-CA"/>
        </w:rPr>
        <w:t xml:space="preserve"> ou légitime</w:t>
      </w:r>
      <w:r w:rsidR="00122193">
        <w:rPr>
          <w:lang w:val="fr-CA"/>
        </w:rPr>
        <w:t>s</w:t>
      </w:r>
      <w:r w:rsidR="00122193" w:rsidRPr="00087350">
        <w:rPr>
          <w:lang w:val="fr-CA"/>
        </w:rPr>
        <w:t xml:space="preserve"> </w:t>
      </w:r>
      <w:r w:rsidR="00122193">
        <w:rPr>
          <w:lang w:val="fr-CA"/>
        </w:rPr>
        <w:t xml:space="preserve">justifiant de </w:t>
      </w:r>
      <w:r w:rsidR="00122193" w:rsidRPr="00087350">
        <w:rPr>
          <w:lang w:val="fr-CA"/>
        </w:rPr>
        <w:t>modifi</w:t>
      </w:r>
      <w:r w:rsidR="00122193">
        <w:rPr>
          <w:lang w:val="fr-CA"/>
        </w:rPr>
        <w:t xml:space="preserve">er </w:t>
      </w:r>
      <w:r w:rsidR="00122193" w:rsidRPr="00087350">
        <w:rPr>
          <w:lang w:val="fr-CA"/>
        </w:rPr>
        <w:t xml:space="preserve">ou </w:t>
      </w:r>
      <w:r w:rsidR="00122193">
        <w:rPr>
          <w:lang w:val="fr-CA"/>
        </w:rPr>
        <w:t xml:space="preserve">de </w:t>
      </w:r>
      <w:r w:rsidR="00122193" w:rsidRPr="00087350">
        <w:rPr>
          <w:lang w:val="fr-CA"/>
        </w:rPr>
        <w:t>rejet</w:t>
      </w:r>
      <w:r w:rsidR="00122193">
        <w:rPr>
          <w:lang w:val="fr-CA"/>
        </w:rPr>
        <w:t xml:space="preserve">er les </w:t>
      </w:r>
      <w:r w:rsidR="00122193" w:rsidRPr="00087350">
        <w:rPr>
          <w:lang w:val="fr-CA"/>
        </w:rPr>
        <w:t>recommandations de la commission.</w:t>
      </w:r>
      <w:r w:rsidR="00122193">
        <w:rPr>
          <w:lang w:val="fr-CA"/>
        </w:rPr>
        <w:t xml:space="preserve"> L</w:t>
      </w:r>
      <w:r w:rsidR="00310040">
        <w:rPr>
          <w:lang w:val="fr-CA"/>
        </w:rPr>
        <w:t xml:space="preserve">eur </w:t>
      </w:r>
      <w:r w:rsidR="00122193" w:rsidRPr="00087350">
        <w:rPr>
          <w:lang w:val="fr-CA"/>
        </w:rPr>
        <w:t xml:space="preserve">inclusion au dossier </w:t>
      </w:r>
      <w:r w:rsidR="00122193" w:rsidRPr="00FE56E3">
        <w:rPr>
          <w:lang w:val="fr-CA"/>
        </w:rPr>
        <w:t>aiderait le tribunal de révision à détermi</w:t>
      </w:r>
      <w:r w:rsidR="00122193" w:rsidRPr="00087350">
        <w:rPr>
          <w:lang w:val="fr-CA"/>
        </w:rPr>
        <w:t xml:space="preserve">ner si la réponse du gouvernement reposait sur un objectif </w:t>
      </w:r>
      <w:r w:rsidR="00122193" w:rsidRPr="009E6F5B">
        <w:rPr>
          <w:lang w:val="fr-CA"/>
        </w:rPr>
        <w:t>illégitime</w:t>
      </w:r>
      <w:r w:rsidR="00761EA6">
        <w:rPr>
          <w:lang w:val="fr-CA"/>
        </w:rPr>
        <w:t>,</w:t>
      </w:r>
      <w:r w:rsidR="00122193">
        <w:rPr>
          <w:lang w:val="fr-CA"/>
        </w:rPr>
        <w:t xml:space="preserve"> et </w:t>
      </w:r>
      <w:r w:rsidR="00122193" w:rsidRPr="00497D64">
        <w:rPr>
          <w:lang w:val="fr-CA"/>
        </w:rPr>
        <w:t>si le mécanisme d</w:t>
      </w:r>
      <w:r w:rsidR="006709B9">
        <w:rPr>
          <w:lang w:val="fr-CA"/>
        </w:rPr>
        <w:t>’</w:t>
      </w:r>
      <w:r w:rsidR="00122193" w:rsidRPr="00497D64">
        <w:rPr>
          <w:lang w:val="fr-CA"/>
        </w:rPr>
        <w:t>examen par la commission a été respecté</w:t>
      </w:r>
      <w:r w:rsidR="00761EA6">
        <w:rPr>
          <w:lang w:val="fr-CA"/>
        </w:rPr>
        <w:t xml:space="preserve"> et l</w:t>
      </w:r>
      <w:r w:rsidR="00122193" w:rsidRPr="00497D64">
        <w:rPr>
          <w:lang w:val="fr-CA"/>
        </w:rPr>
        <w:t xml:space="preserve">es objectifs </w:t>
      </w:r>
      <w:r w:rsidR="00761EA6">
        <w:rPr>
          <w:lang w:val="fr-CA"/>
        </w:rPr>
        <w:t xml:space="preserve">de celui-ci </w:t>
      </w:r>
      <w:r w:rsidR="00122193" w:rsidRPr="00497D64">
        <w:rPr>
          <w:lang w:val="fr-CA"/>
        </w:rPr>
        <w:t>réalisés.</w:t>
      </w:r>
      <w:r w:rsidR="00122193">
        <w:rPr>
          <w:lang w:val="fr-CA"/>
        </w:rPr>
        <w:t xml:space="preserve"> En revanche, leur exclusion</w:t>
      </w:r>
      <w:r w:rsidR="00122193" w:rsidRPr="00FE56E3">
        <w:rPr>
          <w:lang w:val="fr-CA"/>
        </w:rPr>
        <w:t xml:space="preserve"> du dossier nuirait à la capacité du tribunal de révision à décider les questions centrales du contrôle de type </w:t>
      </w:r>
      <w:r w:rsidR="00122193" w:rsidRPr="00FE56E3">
        <w:rPr>
          <w:i/>
          <w:lang w:val="fr-CA"/>
        </w:rPr>
        <w:t>Bodner</w:t>
      </w:r>
      <w:r w:rsidR="00122193">
        <w:rPr>
          <w:lang w:val="fr-CA"/>
        </w:rPr>
        <w:t>. L</w:t>
      </w:r>
      <w:r w:rsidR="006709B9">
        <w:rPr>
          <w:lang w:val="fr-CA"/>
        </w:rPr>
        <w:t>’</w:t>
      </w:r>
      <w:r w:rsidR="00122193" w:rsidRPr="00087350">
        <w:rPr>
          <w:lang w:val="fr-CA"/>
        </w:rPr>
        <w:t xml:space="preserve">intérêt </w:t>
      </w:r>
      <w:r w:rsidR="00122193">
        <w:rPr>
          <w:lang w:val="fr-CA"/>
        </w:rPr>
        <w:t xml:space="preserve">du </w:t>
      </w:r>
      <w:r w:rsidR="00122193" w:rsidRPr="00087350">
        <w:rPr>
          <w:lang w:val="fr-CA"/>
        </w:rPr>
        <w:t>public dans leur divulgation l</w:t>
      </w:r>
      <w:r w:rsidR="006709B9">
        <w:rPr>
          <w:lang w:val="fr-CA"/>
        </w:rPr>
        <w:t>’</w:t>
      </w:r>
      <w:r w:rsidR="00122193" w:rsidRPr="00087350">
        <w:rPr>
          <w:lang w:val="fr-CA"/>
        </w:rPr>
        <w:t xml:space="preserve">emporte </w:t>
      </w:r>
      <w:r w:rsidR="00122193">
        <w:rPr>
          <w:lang w:val="fr-CA"/>
        </w:rPr>
        <w:t xml:space="preserve">donc </w:t>
      </w:r>
      <w:r w:rsidR="00122193" w:rsidRPr="00087350">
        <w:rPr>
          <w:lang w:val="fr-CA"/>
        </w:rPr>
        <w:t>sur l</w:t>
      </w:r>
      <w:r w:rsidR="006709B9">
        <w:rPr>
          <w:lang w:val="fr-CA"/>
        </w:rPr>
        <w:t>’</w:t>
      </w:r>
      <w:r w:rsidR="00122193" w:rsidRPr="00087350">
        <w:rPr>
          <w:lang w:val="fr-CA"/>
        </w:rPr>
        <w:t xml:space="preserve">intérêt </w:t>
      </w:r>
      <w:r w:rsidR="00122193">
        <w:rPr>
          <w:lang w:val="fr-CA"/>
        </w:rPr>
        <w:t xml:space="preserve">du </w:t>
      </w:r>
      <w:r w:rsidR="00122193" w:rsidRPr="00087350">
        <w:rPr>
          <w:lang w:val="fr-CA"/>
        </w:rPr>
        <w:t>public dans le maintien de leur confidentialité</w:t>
      </w:r>
      <w:r w:rsidR="00122193">
        <w:rPr>
          <w:lang w:val="fr-CA"/>
        </w:rPr>
        <w:t>.</w:t>
      </w:r>
    </w:p>
    <w:p w14:paraId="569B3D34" w14:textId="77777777" w:rsidR="004D7D95" w:rsidRPr="004D7D95" w:rsidRDefault="004D7D95" w:rsidP="00364D7F">
      <w:pPr>
        <w:pStyle w:val="SCCNormalDoubleSpacing"/>
        <w:spacing w:after="720" w:line="240" w:lineRule="auto"/>
        <w:rPr>
          <w:b/>
          <w:lang w:val="fr-CA"/>
        </w:rPr>
      </w:pPr>
      <w:r w:rsidRPr="004D7D95">
        <w:rPr>
          <w:b/>
          <w:lang w:val="fr-CA"/>
        </w:rPr>
        <w:t>Jurisprudence</w:t>
      </w:r>
    </w:p>
    <w:p w14:paraId="2457BCC1" w14:textId="49077D0C" w:rsidR="004D7D95" w:rsidRPr="00F05283" w:rsidRDefault="004D7D95" w:rsidP="00364D7F">
      <w:pPr>
        <w:pStyle w:val="SCCNormalDoubleSpacing"/>
        <w:spacing w:after="480"/>
        <w:rPr>
          <w:b/>
          <w:lang w:val="fr-CA"/>
        </w:rPr>
      </w:pPr>
      <w:r w:rsidRPr="004D7D95">
        <w:rPr>
          <w:lang w:val="fr-CA"/>
        </w:rPr>
        <w:tab/>
      </w:r>
      <w:r w:rsidRPr="00F05283">
        <w:rPr>
          <w:b/>
          <w:lang w:val="fr-CA"/>
        </w:rPr>
        <w:t>Arrêts</w:t>
      </w:r>
      <w:r w:rsidR="00602746">
        <w:rPr>
          <w:b/>
          <w:lang w:val="fr-CA"/>
        </w:rPr>
        <w:t xml:space="preserve"> appliqués : </w:t>
      </w:r>
      <w:r w:rsidR="00602746" w:rsidRPr="00473095">
        <w:rPr>
          <w:i/>
          <w:lang w:val="fr-CA"/>
        </w:rPr>
        <w:t>Colombie</w:t>
      </w:r>
      <w:r w:rsidR="00602746">
        <w:rPr>
          <w:i/>
          <w:lang w:val="fr-CA"/>
        </w:rPr>
        <w:noBreakHyphen/>
      </w:r>
      <w:r w:rsidR="00602746" w:rsidRPr="00473095">
        <w:rPr>
          <w:i/>
          <w:lang w:val="fr-CA"/>
        </w:rPr>
        <w:t>Britannique (Procureur général) c. Provincial Court Judges</w:t>
      </w:r>
      <w:r w:rsidR="00602746">
        <w:rPr>
          <w:i/>
          <w:lang w:val="fr-CA"/>
        </w:rPr>
        <w:t>’</w:t>
      </w:r>
      <w:r w:rsidR="00602746" w:rsidRPr="00473095">
        <w:rPr>
          <w:i/>
          <w:lang w:val="fr-CA"/>
        </w:rPr>
        <w:t xml:space="preserve"> Association of British Columbia</w:t>
      </w:r>
      <w:r w:rsidR="00602746" w:rsidRPr="00473095">
        <w:rPr>
          <w:lang w:val="fr-CA"/>
        </w:rPr>
        <w:t xml:space="preserve">, 2020 </w:t>
      </w:r>
      <w:r w:rsidR="00602746">
        <w:rPr>
          <w:lang w:val="fr-CA"/>
        </w:rPr>
        <w:t>CSC</w:t>
      </w:r>
      <w:r w:rsidR="00602746" w:rsidRPr="00473095">
        <w:rPr>
          <w:lang w:val="fr-CA"/>
        </w:rPr>
        <w:t xml:space="preserve"> </w:t>
      </w:r>
      <w:r w:rsidR="00602746">
        <w:rPr>
          <w:lang w:val="fr-CA"/>
        </w:rPr>
        <w:t>20</w:t>
      </w:r>
      <w:r w:rsidR="001D1607">
        <w:rPr>
          <w:lang w:val="fr-CA"/>
        </w:rPr>
        <w:t xml:space="preserve">, [2020] </w:t>
      </w:r>
      <w:r w:rsidR="00C84F4A">
        <w:rPr>
          <w:lang w:val="fr-CA"/>
        </w:rPr>
        <w:t>2</w:t>
      </w:r>
      <w:r w:rsidR="001D1607">
        <w:rPr>
          <w:lang w:val="fr-CA"/>
        </w:rPr>
        <w:t xml:space="preserve"> R.C.S. </w:t>
      </w:r>
      <w:r w:rsidR="005335AD">
        <w:rPr>
          <w:lang w:val="fr-CA"/>
        </w:rPr>
        <w:t>506</w:t>
      </w:r>
      <w:r w:rsidR="00602746">
        <w:rPr>
          <w:lang w:val="fr-CA"/>
        </w:rPr>
        <w:t>;</w:t>
      </w:r>
      <w:r w:rsidR="00602746" w:rsidRPr="00F05283">
        <w:rPr>
          <w:i/>
          <w:lang w:val="fr-CA"/>
        </w:rPr>
        <w:t xml:space="preserve"> Carey c. Ontario</w:t>
      </w:r>
      <w:r w:rsidR="00602746" w:rsidRPr="00F05283">
        <w:rPr>
          <w:lang w:val="fr-CA"/>
        </w:rPr>
        <w:t xml:space="preserve">, [1986] 2 R.C.S. 637; </w:t>
      </w:r>
      <w:r w:rsidR="00602746" w:rsidRPr="00602746">
        <w:rPr>
          <w:b/>
          <w:lang w:val="fr-CA"/>
        </w:rPr>
        <w:t>arrêt expliqué :</w:t>
      </w:r>
      <w:r w:rsidR="00602746">
        <w:rPr>
          <w:lang w:val="fr-CA"/>
        </w:rPr>
        <w:t xml:space="preserve"> </w:t>
      </w:r>
      <w:r w:rsidR="00F05283" w:rsidRPr="00F05283">
        <w:rPr>
          <w:i/>
          <w:lang w:val="fr-CA"/>
        </w:rPr>
        <w:t>Assoc. des juges de la Cour provinciale du Nouveau</w:t>
      </w:r>
      <w:r w:rsidR="007745F6">
        <w:rPr>
          <w:i/>
          <w:lang w:val="fr-CA"/>
        </w:rPr>
        <w:noBreakHyphen/>
      </w:r>
      <w:r w:rsidR="00F05283" w:rsidRPr="00F05283">
        <w:rPr>
          <w:i/>
          <w:lang w:val="fr-CA"/>
        </w:rPr>
        <w:t>Brunswick c. Nouveau</w:t>
      </w:r>
      <w:r w:rsidR="007745F6">
        <w:rPr>
          <w:i/>
          <w:lang w:val="fr-CA"/>
        </w:rPr>
        <w:noBreakHyphen/>
      </w:r>
      <w:r w:rsidR="009F77BD" w:rsidRPr="00F05283">
        <w:rPr>
          <w:i/>
          <w:lang w:val="fr-CA"/>
        </w:rPr>
        <w:t>Brunswick (</w:t>
      </w:r>
      <w:r w:rsidR="00F05283" w:rsidRPr="00F05283">
        <w:rPr>
          <w:i/>
          <w:lang w:val="fr-CA"/>
        </w:rPr>
        <w:t>Ministre de la</w:t>
      </w:r>
      <w:r w:rsidR="009F77BD" w:rsidRPr="00F05283">
        <w:rPr>
          <w:i/>
          <w:lang w:val="fr-CA"/>
        </w:rPr>
        <w:t xml:space="preserve"> Justice)</w:t>
      </w:r>
      <w:r w:rsidR="00CC225A">
        <w:rPr>
          <w:lang w:val="fr-CA"/>
        </w:rPr>
        <w:t>;</w:t>
      </w:r>
      <w:r w:rsidR="009F77BD" w:rsidRPr="00F05283">
        <w:rPr>
          <w:lang w:val="fr-CA"/>
        </w:rPr>
        <w:t xml:space="preserve"> </w:t>
      </w:r>
      <w:r w:rsidR="00E055B2">
        <w:rPr>
          <w:i/>
          <w:lang w:val="fr-CA"/>
        </w:rPr>
        <w:t>Assoc. d</w:t>
      </w:r>
      <w:r w:rsidR="00CC225A">
        <w:rPr>
          <w:i/>
          <w:lang w:val="fr-CA"/>
        </w:rPr>
        <w:t xml:space="preserve">es juges de </w:t>
      </w:r>
      <w:r w:rsidR="00CC225A" w:rsidRPr="0038179A">
        <w:rPr>
          <w:i/>
          <w:lang w:val="fr-CA"/>
        </w:rPr>
        <w:t>l</w:t>
      </w:r>
      <w:r w:rsidR="006709B9">
        <w:rPr>
          <w:i/>
          <w:lang w:val="fr-CA"/>
        </w:rPr>
        <w:t>’</w:t>
      </w:r>
      <w:r w:rsidR="00473095" w:rsidRPr="0038179A">
        <w:rPr>
          <w:i/>
          <w:lang w:val="fr-CA"/>
        </w:rPr>
        <w:t xml:space="preserve">Ontario </w:t>
      </w:r>
      <w:r w:rsidR="00CC225A" w:rsidRPr="0038179A">
        <w:rPr>
          <w:i/>
          <w:lang w:val="fr-CA"/>
        </w:rPr>
        <w:t xml:space="preserve">c. </w:t>
      </w:r>
      <w:r w:rsidR="00473095" w:rsidRPr="0038179A">
        <w:rPr>
          <w:i/>
          <w:lang w:val="fr-CA"/>
        </w:rPr>
        <w:t>Ontario (</w:t>
      </w:r>
      <w:r w:rsidR="00CC225A" w:rsidRPr="0038179A">
        <w:rPr>
          <w:i/>
          <w:lang w:val="fr-CA"/>
        </w:rPr>
        <w:t>Conseil de gestion); Bodner c</w:t>
      </w:r>
      <w:r w:rsidR="00473095" w:rsidRPr="0038179A">
        <w:rPr>
          <w:i/>
          <w:lang w:val="fr-CA"/>
        </w:rPr>
        <w:t xml:space="preserve">. Alberta; </w:t>
      </w:r>
      <w:r w:rsidR="00CC225A" w:rsidRPr="0038179A">
        <w:rPr>
          <w:i/>
          <w:lang w:val="fr-CA"/>
        </w:rPr>
        <w:t>Conférence des juges du Québec c. Québec (Procureur général</w:t>
      </w:r>
      <w:r w:rsidR="00473095" w:rsidRPr="0038179A">
        <w:rPr>
          <w:i/>
          <w:lang w:val="fr-CA"/>
        </w:rPr>
        <w:t xml:space="preserve">); Minc </w:t>
      </w:r>
      <w:r w:rsidR="00CC225A" w:rsidRPr="0038179A">
        <w:rPr>
          <w:i/>
          <w:lang w:val="fr-CA"/>
        </w:rPr>
        <w:t>c. Québec (Procureur général</w:t>
      </w:r>
      <w:r w:rsidR="00473095" w:rsidRPr="0038179A">
        <w:rPr>
          <w:i/>
          <w:lang w:val="fr-CA"/>
        </w:rPr>
        <w:t>)</w:t>
      </w:r>
      <w:r w:rsidR="00473095" w:rsidRPr="0038179A">
        <w:rPr>
          <w:lang w:val="fr-CA"/>
        </w:rPr>
        <w:t>,</w:t>
      </w:r>
      <w:r w:rsidR="00473095" w:rsidRPr="0038179A">
        <w:rPr>
          <w:i/>
          <w:lang w:val="fr-CA"/>
        </w:rPr>
        <w:t xml:space="preserve"> </w:t>
      </w:r>
      <w:r w:rsidR="009F77BD" w:rsidRPr="0038179A">
        <w:rPr>
          <w:lang w:val="fr-CA"/>
        </w:rPr>
        <w:t>2005</w:t>
      </w:r>
      <w:r w:rsidR="009F77BD" w:rsidRPr="00F05283">
        <w:rPr>
          <w:lang w:val="fr-CA"/>
        </w:rPr>
        <w:t xml:space="preserve"> </w:t>
      </w:r>
      <w:r w:rsidR="0068464E" w:rsidRPr="00F05283">
        <w:rPr>
          <w:lang w:val="fr-CA"/>
        </w:rPr>
        <w:t>CSC</w:t>
      </w:r>
      <w:r w:rsidR="009F77BD" w:rsidRPr="00F05283">
        <w:rPr>
          <w:lang w:val="fr-CA"/>
        </w:rPr>
        <w:t xml:space="preserve"> 44, [2005] 2 </w:t>
      </w:r>
      <w:r w:rsidR="0068464E" w:rsidRPr="00F05283">
        <w:rPr>
          <w:lang w:val="fr-CA"/>
        </w:rPr>
        <w:t>R.C.S.</w:t>
      </w:r>
      <w:r w:rsidR="009F77BD" w:rsidRPr="00F05283">
        <w:rPr>
          <w:lang w:val="fr-CA"/>
        </w:rPr>
        <w:t xml:space="preserve"> 286; </w:t>
      </w:r>
      <w:r w:rsidR="00602746">
        <w:rPr>
          <w:b/>
          <w:lang w:val="fr-CA"/>
        </w:rPr>
        <w:t xml:space="preserve">arrêts mentionnés : </w:t>
      </w:r>
      <w:r w:rsidR="00F05283" w:rsidRPr="00F05283">
        <w:rPr>
          <w:i/>
          <w:lang w:val="fr-CA"/>
        </w:rPr>
        <w:t xml:space="preserve">Renvoi relatif à la </w:t>
      </w:r>
      <w:r w:rsidR="00F05283" w:rsidRPr="002D6D9E">
        <w:rPr>
          <w:i/>
          <w:lang w:val="fr-CA"/>
        </w:rPr>
        <w:t>rémunération</w:t>
      </w:r>
      <w:r w:rsidR="00F05283" w:rsidRPr="00F05283">
        <w:rPr>
          <w:i/>
          <w:lang w:val="fr-CA"/>
        </w:rPr>
        <w:t xml:space="preserve"> des juges de la Cour </w:t>
      </w:r>
      <w:r w:rsidR="00F05283" w:rsidRPr="002D6D9E">
        <w:rPr>
          <w:i/>
          <w:lang w:val="fr-CA"/>
        </w:rPr>
        <w:t>provinciale</w:t>
      </w:r>
      <w:r w:rsidR="00F05283" w:rsidRPr="00F05283">
        <w:rPr>
          <w:i/>
          <w:lang w:val="fr-CA"/>
        </w:rPr>
        <w:t xml:space="preserve"> de l</w:t>
      </w:r>
      <w:r w:rsidR="006709B9">
        <w:rPr>
          <w:i/>
          <w:lang w:val="fr-CA"/>
        </w:rPr>
        <w:t>’</w:t>
      </w:r>
      <w:r w:rsidR="00F05283" w:rsidRPr="00F05283">
        <w:rPr>
          <w:i/>
          <w:lang w:val="fr-CA"/>
        </w:rPr>
        <w:t>Île</w:t>
      </w:r>
      <w:r w:rsidR="007745F6">
        <w:rPr>
          <w:i/>
          <w:lang w:val="fr-CA"/>
        </w:rPr>
        <w:noBreakHyphen/>
      </w:r>
      <w:r w:rsidR="00F05283" w:rsidRPr="00F05283">
        <w:rPr>
          <w:i/>
          <w:lang w:val="fr-CA"/>
        </w:rPr>
        <w:t>du</w:t>
      </w:r>
      <w:r w:rsidR="007745F6">
        <w:rPr>
          <w:i/>
          <w:lang w:val="fr-CA"/>
        </w:rPr>
        <w:noBreakHyphen/>
      </w:r>
      <w:r w:rsidR="00F05283" w:rsidRPr="002D6D9E">
        <w:rPr>
          <w:i/>
          <w:lang w:val="fr-CA"/>
        </w:rPr>
        <w:t>Prince</w:t>
      </w:r>
      <w:r w:rsidR="007745F6">
        <w:rPr>
          <w:i/>
          <w:lang w:val="fr-CA"/>
        </w:rPr>
        <w:noBreakHyphen/>
      </w:r>
      <w:r w:rsidR="00F05283" w:rsidRPr="00F05283">
        <w:rPr>
          <w:i/>
          <w:lang w:val="fr-CA"/>
        </w:rPr>
        <w:t>Édouard</w:t>
      </w:r>
      <w:r w:rsidR="009F77BD" w:rsidRPr="00F05283">
        <w:rPr>
          <w:lang w:val="fr-CA"/>
        </w:rPr>
        <w:t xml:space="preserve">, [1997] 3 </w:t>
      </w:r>
      <w:r w:rsidR="0068464E" w:rsidRPr="00F05283">
        <w:rPr>
          <w:lang w:val="fr-CA"/>
        </w:rPr>
        <w:t>R.C.S</w:t>
      </w:r>
      <w:r w:rsidR="009F77BD" w:rsidRPr="00F05283">
        <w:rPr>
          <w:lang w:val="fr-CA"/>
        </w:rPr>
        <w:t xml:space="preserve">. 3; </w:t>
      </w:r>
      <w:r w:rsidR="00F05283" w:rsidRPr="00F05283">
        <w:rPr>
          <w:rFonts w:ascii="TmsRmn 12pt" w:hAnsi="TmsRmn 12pt"/>
          <w:i/>
          <w:spacing w:val="-3"/>
          <w:lang w:val="fr-CA"/>
        </w:rPr>
        <w:t>Renvoi relatif au Régime d</w:t>
      </w:r>
      <w:r w:rsidR="006709B9">
        <w:rPr>
          <w:rFonts w:ascii="TmsRmn 12pt" w:hAnsi="TmsRmn 12pt"/>
          <w:i/>
          <w:spacing w:val="-3"/>
          <w:lang w:val="fr-CA"/>
        </w:rPr>
        <w:t>’</w:t>
      </w:r>
      <w:r w:rsidR="00F05283" w:rsidRPr="00F05283">
        <w:rPr>
          <w:rFonts w:ascii="TmsRmn 12pt" w:hAnsi="TmsRmn 12pt"/>
          <w:i/>
          <w:spacing w:val="-3"/>
          <w:lang w:val="fr-CA"/>
        </w:rPr>
        <w:t>assistance publique du Canada (C.</w:t>
      </w:r>
      <w:r w:rsidR="007745F6">
        <w:rPr>
          <w:rFonts w:ascii="TmsRmn 12pt" w:hAnsi="TmsRmn 12pt"/>
          <w:i/>
          <w:spacing w:val="-3"/>
          <w:lang w:val="fr-CA"/>
        </w:rPr>
        <w:noBreakHyphen/>
      </w:r>
      <w:r w:rsidR="00F05283" w:rsidRPr="00F05283">
        <w:rPr>
          <w:rFonts w:ascii="TmsRmn 12pt" w:hAnsi="TmsRmn 12pt"/>
          <w:i/>
          <w:spacing w:val="-3"/>
          <w:lang w:val="fr-CA"/>
        </w:rPr>
        <w:t>B.)</w:t>
      </w:r>
      <w:r w:rsidR="00F05283">
        <w:rPr>
          <w:rFonts w:ascii="TmsRmn 12pt" w:hAnsi="TmsRmn 12pt"/>
          <w:spacing w:val="-3"/>
          <w:lang w:val="fr-CA"/>
        </w:rPr>
        <w:t xml:space="preserve">, </w:t>
      </w:r>
      <w:r w:rsidR="009F77BD" w:rsidRPr="00F05283">
        <w:rPr>
          <w:lang w:val="fr-CA"/>
        </w:rPr>
        <w:t xml:space="preserve">[1991] 2 </w:t>
      </w:r>
      <w:r w:rsidR="0068464E" w:rsidRPr="00F05283">
        <w:rPr>
          <w:lang w:val="fr-CA"/>
        </w:rPr>
        <w:t>R.C.S.</w:t>
      </w:r>
      <w:r w:rsidR="009F77BD" w:rsidRPr="00F05283">
        <w:rPr>
          <w:lang w:val="fr-CA"/>
        </w:rPr>
        <w:t xml:space="preserve"> 525; </w:t>
      </w:r>
      <w:r w:rsidR="00F05283" w:rsidRPr="00F05283">
        <w:rPr>
          <w:i/>
          <w:lang w:val="fr-CA"/>
        </w:rPr>
        <w:t>Beauregard c</w:t>
      </w:r>
      <w:r w:rsidR="009F77BD" w:rsidRPr="00F05283">
        <w:rPr>
          <w:i/>
          <w:lang w:val="fr-CA"/>
        </w:rPr>
        <w:t>. Canada</w:t>
      </w:r>
      <w:r w:rsidR="009F77BD" w:rsidRPr="00F05283">
        <w:rPr>
          <w:lang w:val="fr-CA"/>
        </w:rPr>
        <w:t xml:space="preserve">, [1986] 2 </w:t>
      </w:r>
      <w:r w:rsidR="0068464E" w:rsidRPr="00F05283">
        <w:rPr>
          <w:lang w:val="fr-CA"/>
        </w:rPr>
        <w:t xml:space="preserve">R.C.S. </w:t>
      </w:r>
      <w:r w:rsidR="009F77BD" w:rsidRPr="00F05283">
        <w:rPr>
          <w:lang w:val="fr-CA"/>
        </w:rPr>
        <w:t xml:space="preserve">56; </w:t>
      </w:r>
      <w:r w:rsidR="009F77BD" w:rsidRPr="00F05283">
        <w:rPr>
          <w:i/>
          <w:lang w:val="fr-CA"/>
        </w:rPr>
        <w:t xml:space="preserve">Conférence des juges de paix magistrats du Québec </w:t>
      </w:r>
      <w:r w:rsidR="00F05283" w:rsidRPr="00F05283">
        <w:rPr>
          <w:i/>
          <w:lang w:val="fr-CA"/>
        </w:rPr>
        <w:t>c</w:t>
      </w:r>
      <w:r w:rsidR="009F77BD" w:rsidRPr="00F05283">
        <w:rPr>
          <w:i/>
          <w:lang w:val="fr-CA"/>
        </w:rPr>
        <w:t>. Qu</w:t>
      </w:r>
      <w:r w:rsidR="00F05283" w:rsidRPr="00F05283">
        <w:rPr>
          <w:i/>
          <w:lang w:val="fr-CA"/>
        </w:rPr>
        <w:t>é</w:t>
      </w:r>
      <w:r w:rsidR="009F77BD" w:rsidRPr="00F05283">
        <w:rPr>
          <w:i/>
          <w:lang w:val="fr-CA"/>
        </w:rPr>
        <w:t xml:space="preserve">bec </w:t>
      </w:r>
      <w:r w:rsidR="00F05283" w:rsidRPr="00F05283">
        <w:rPr>
          <w:i/>
          <w:lang w:val="fr-CA"/>
        </w:rPr>
        <w:t>(Procureur</w:t>
      </w:r>
      <w:r w:rsidR="00E45F84">
        <w:rPr>
          <w:i/>
          <w:lang w:val="fr-CA"/>
        </w:rPr>
        <w:t>e</w:t>
      </w:r>
      <w:r w:rsidR="00F05283" w:rsidRPr="00F05283">
        <w:rPr>
          <w:i/>
          <w:lang w:val="fr-CA"/>
        </w:rPr>
        <w:t xml:space="preserve"> général</w:t>
      </w:r>
      <w:r w:rsidR="00E45F84">
        <w:rPr>
          <w:i/>
          <w:lang w:val="fr-CA"/>
        </w:rPr>
        <w:t>e</w:t>
      </w:r>
      <w:r w:rsidR="00F05283" w:rsidRPr="00F05283">
        <w:rPr>
          <w:i/>
          <w:lang w:val="fr-CA"/>
        </w:rPr>
        <w:t>)</w:t>
      </w:r>
      <w:r w:rsidR="009F77BD" w:rsidRPr="00F05283">
        <w:rPr>
          <w:lang w:val="fr-CA"/>
        </w:rPr>
        <w:t xml:space="preserve">, 2016 </w:t>
      </w:r>
      <w:r w:rsidR="0068464E" w:rsidRPr="00F05283">
        <w:rPr>
          <w:lang w:val="fr-CA"/>
        </w:rPr>
        <w:t>CSC</w:t>
      </w:r>
      <w:r w:rsidR="009F77BD" w:rsidRPr="00F05283">
        <w:rPr>
          <w:lang w:val="fr-CA"/>
        </w:rPr>
        <w:t xml:space="preserve"> 39, [2016] 2 </w:t>
      </w:r>
      <w:r w:rsidR="0068464E" w:rsidRPr="00F05283">
        <w:rPr>
          <w:lang w:val="fr-CA"/>
        </w:rPr>
        <w:t>R.C.S.</w:t>
      </w:r>
      <w:r w:rsidR="009F77BD" w:rsidRPr="00F05283">
        <w:rPr>
          <w:lang w:val="fr-CA"/>
        </w:rPr>
        <w:t xml:space="preserve"> 116; </w:t>
      </w:r>
      <w:r w:rsidR="0068464E" w:rsidRPr="00F05283">
        <w:rPr>
          <w:i/>
          <w:lang w:val="fr-CA"/>
        </w:rPr>
        <w:t>Babcock c</w:t>
      </w:r>
      <w:r w:rsidR="009F77BD" w:rsidRPr="00F05283">
        <w:rPr>
          <w:i/>
          <w:lang w:val="fr-CA"/>
        </w:rPr>
        <w:t>. Canada (</w:t>
      </w:r>
      <w:r w:rsidR="0068464E" w:rsidRPr="00F05283">
        <w:rPr>
          <w:i/>
          <w:lang w:val="fr-CA"/>
        </w:rPr>
        <w:t>Procureur général</w:t>
      </w:r>
      <w:r w:rsidR="009F77BD" w:rsidRPr="00F05283">
        <w:rPr>
          <w:i/>
          <w:lang w:val="fr-CA"/>
        </w:rPr>
        <w:t>)</w:t>
      </w:r>
      <w:r w:rsidR="009F77BD" w:rsidRPr="00F05283">
        <w:rPr>
          <w:lang w:val="fr-CA"/>
        </w:rPr>
        <w:t xml:space="preserve">, 2002 </w:t>
      </w:r>
      <w:r w:rsidR="0068464E" w:rsidRPr="00F05283">
        <w:rPr>
          <w:lang w:val="fr-CA"/>
        </w:rPr>
        <w:t>CSC</w:t>
      </w:r>
      <w:r w:rsidR="009F77BD" w:rsidRPr="00F05283">
        <w:rPr>
          <w:lang w:val="fr-CA"/>
        </w:rPr>
        <w:t xml:space="preserve"> 57, [2002] 3 </w:t>
      </w:r>
      <w:r w:rsidR="0068464E" w:rsidRPr="00F05283">
        <w:rPr>
          <w:lang w:val="fr-CA"/>
        </w:rPr>
        <w:t>R.C.S</w:t>
      </w:r>
      <w:r w:rsidR="009F77BD" w:rsidRPr="00F05283">
        <w:rPr>
          <w:lang w:val="fr-CA"/>
        </w:rPr>
        <w:t>. 3.</w:t>
      </w:r>
    </w:p>
    <w:p w14:paraId="3A2BCA49" w14:textId="77777777" w:rsidR="004D7D95" w:rsidRPr="007F04CD" w:rsidRDefault="004D7D95" w:rsidP="0090156C">
      <w:pPr>
        <w:pStyle w:val="SCCNormalDoubleSpacing"/>
        <w:spacing w:after="720" w:line="240" w:lineRule="auto"/>
        <w:rPr>
          <w:b/>
          <w:lang w:val="en-US"/>
        </w:rPr>
      </w:pPr>
      <w:r w:rsidRPr="007F04CD">
        <w:rPr>
          <w:b/>
          <w:lang w:val="en-US"/>
        </w:rPr>
        <w:t>Lois et règlements cités</w:t>
      </w:r>
    </w:p>
    <w:p w14:paraId="311658E8" w14:textId="6B2E5369" w:rsidR="008374E8" w:rsidRPr="00946BB5" w:rsidRDefault="009F77BD" w:rsidP="007745F6">
      <w:pPr>
        <w:pStyle w:val="SCCNormalDoubleSpacing"/>
        <w:spacing w:after="240" w:line="240" w:lineRule="auto"/>
        <w:ind w:left="540" w:hanging="540"/>
        <w:rPr>
          <w:lang w:val="en-US"/>
        </w:rPr>
      </w:pPr>
      <w:r>
        <w:rPr>
          <w:i/>
        </w:rPr>
        <w:t>Act to Amend Chapter 238 of the Revised Statutes, 1989, the Provincial Court Act</w:t>
      </w:r>
      <w:r w:rsidR="00E009A6">
        <w:t xml:space="preserve">, S.N.S. 1998, </w:t>
      </w:r>
      <w:r w:rsidR="007745F6">
        <w:t>c. </w:t>
      </w:r>
      <w:r w:rsidR="00E009A6" w:rsidRPr="00946BB5">
        <w:t xml:space="preserve">7, </w:t>
      </w:r>
      <w:r w:rsidR="007745F6">
        <w:t>art. </w:t>
      </w:r>
      <w:r w:rsidRPr="00946BB5">
        <w:t>1</w:t>
      </w:r>
      <w:r w:rsidR="008374E8" w:rsidRPr="00946BB5">
        <w:t xml:space="preserve"> [</w:t>
      </w:r>
      <w:r w:rsidR="00C75822" w:rsidRPr="00946BB5">
        <w:t>ad</w:t>
      </w:r>
      <w:r w:rsidR="008374E8" w:rsidRPr="00946BB5">
        <w:t>.</w:t>
      </w:r>
      <w:r w:rsidR="007745F6">
        <w:rPr>
          <w:lang w:val="en-US"/>
        </w:rPr>
        <w:t xml:space="preserve"> 1989, c. </w:t>
      </w:r>
      <w:r w:rsidR="008374E8" w:rsidRPr="00946BB5">
        <w:rPr>
          <w:lang w:val="en-US"/>
        </w:rPr>
        <w:t xml:space="preserve">238, </w:t>
      </w:r>
      <w:r w:rsidR="007745F6">
        <w:rPr>
          <w:lang w:val="en-US"/>
        </w:rPr>
        <w:t>art. </w:t>
      </w:r>
      <w:r w:rsidR="008374E8" w:rsidRPr="00946BB5">
        <w:rPr>
          <w:lang w:val="en-US"/>
        </w:rPr>
        <w:t>21J, 21K].</w:t>
      </w:r>
    </w:p>
    <w:p w14:paraId="3B69968F" w14:textId="5ACB3C52" w:rsidR="009F77BD" w:rsidRPr="00946BB5" w:rsidRDefault="009F77BD" w:rsidP="007745F6">
      <w:pPr>
        <w:pStyle w:val="SCCNormalDoubleSpacing"/>
        <w:spacing w:after="240" w:line="240" w:lineRule="auto"/>
        <w:ind w:left="540" w:hanging="540"/>
        <w:rPr>
          <w:lang w:val="en-US"/>
        </w:rPr>
      </w:pPr>
      <w:r w:rsidRPr="00946BB5">
        <w:rPr>
          <w:i/>
        </w:rPr>
        <w:t>Financial Measures (2016) Act</w:t>
      </w:r>
      <w:r w:rsidR="00E009A6" w:rsidRPr="00946BB5">
        <w:t>, S.</w:t>
      </w:r>
      <w:r w:rsidR="007745F6">
        <w:t>N.S. 2016, c. </w:t>
      </w:r>
      <w:r w:rsidR="00E009A6" w:rsidRPr="00946BB5">
        <w:t xml:space="preserve">2, </w:t>
      </w:r>
      <w:r w:rsidR="007745F6">
        <w:t>art. </w:t>
      </w:r>
      <w:r w:rsidRPr="00946BB5">
        <w:t>9</w:t>
      </w:r>
      <w:r w:rsidR="001E32D2" w:rsidRPr="00946BB5">
        <w:t xml:space="preserve"> [abr. </w:t>
      </w:r>
      <w:r w:rsidR="00F802CC">
        <w:rPr>
          <w:lang w:val="en-US"/>
        </w:rPr>
        <w:t>&amp; rempl. 1989, c. </w:t>
      </w:r>
      <w:r w:rsidR="00E009A6" w:rsidRPr="00946BB5">
        <w:rPr>
          <w:lang w:val="en-US"/>
        </w:rPr>
        <w:t xml:space="preserve">238, </w:t>
      </w:r>
      <w:r w:rsidR="007745F6">
        <w:rPr>
          <w:lang w:val="en-US"/>
        </w:rPr>
        <w:t>art. </w:t>
      </w:r>
      <w:r w:rsidR="001E32D2" w:rsidRPr="00946BB5">
        <w:rPr>
          <w:lang w:val="en-US"/>
        </w:rPr>
        <w:t>21J, 21K]</w:t>
      </w:r>
      <w:r w:rsidRPr="00946BB5">
        <w:rPr>
          <w:lang w:val="en-US"/>
        </w:rPr>
        <w:t>.</w:t>
      </w:r>
    </w:p>
    <w:p w14:paraId="1054ED7D" w14:textId="7F01CBB2" w:rsidR="009F77BD" w:rsidRDefault="009F77BD" w:rsidP="007745F6">
      <w:pPr>
        <w:pStyle w:val="SCCNormalDoubleSpacing"/>
        <w:spacing w:after="240" w:line="240" w:lineRule="auto"/>
        <w:ind w:left="540" w:hanging="540"/>
        <w:rPr>
          <w:i/>
        </w:rPr>
      </w:pPr>
      <w:r w:rsidRPr="00946BB5">
        <w:rPr>
          <w:i/>
        </w:rPr>
        <w:t>Interpretation Act</w:t>
      </w:r>
      <w:r w:rsidR="007745F6">
        <w:t>, R.S.N.S. 1989, c. </w:t>
      </w:r>
      <w:r w:rsidR="00E009A6" w:rsidRPr="00946BB5">
        <w:t xml:space="preserve">235, </w:t>
      </w:r>
      <w:r w:rsidR="007745F6">
        <w:t>art. </w:t>
      </w:r>
      <w:r w:rsidRPr="00946BB5">
        <w:t>7(1)(q)</w:t>
      </w:r>
      <w:r w:rsidR="00674C47" w:rsidRPr="00946BB5">
        <w:t xml:space="preserve"> </w:t>
      </w:r>
      <w:r w:rsidR="00674C47" w:rsidRPr="00946BB5">
        <w:rPr>
          <w:lang w:val="en-US"/>
        </w:rPr>
        <w:t>« </w:t>
      </w:r>
      <w:r w:rsidR="00674C47" w:rsidRPr="00946BB5">
        <w:rPr>
          <w:i/>
        </w:rPr>
        <w:t>Lieutenant Governor in Council</w:t>
      </w:r>
      <w:r w:rsidR="00674C47" w:rsidRPr="00946BB5">
        <w:rPr>
          <w:lang w:val="en-US"/>
        </w:rPr>
        <w:t> »</w:t>
      </w:r>
      <w:r w:rsidRPr="00946BB5">
        <w:t>.</w:t>
      </w:r>
    </w:p>
    <w:p w14:paraId="7B74C007" w14:textId="083BF9CF" w:rsidR="009F77BD" w:rsidRPr="00CF54A8" w:rsidRDefault="004943DD" w:rsidP="007745F6">
      <w:pPr>
        <w:pStyle w:val="SCCNormalDoubleSpacing"/>
        <w:spacing w:after="240" w:line="240" w:lineRule="auto"/>
        <w:ind w:left="540" w:hanging="540"/>
        <w:rPr>
          <w:lang w:val="en-US"/>
        </w:rPr>
      </w:pPr>
      <w:r>
        <w:t>O.C. 2017</w:t>
      </w:r>
      <w:r w:rsidR="007745F6">
        <w:noBreakHyphen/>
      </w:r>
      <w:r>
        <w:t xml:space="preserve">24, </w:t>
      </w:r>
      <w:r w:rsidRPr="005578B7">
        <w:rPr>
          <w:lang w:val="en-US"/>
        </w:rPr>
        <w:t>pré</w:t>
      </w:r>
      <w:r w:rsidR="009F77BD" w:rsidRPr="005578B7">
        <w:rPr>
          <w:lang w:val="en-US"/>
        </w:rPr>
        <w:t>amb</w:t>
      </w:r>
      <w:r w:rsidR="00E009A6" w:rsidRPr="005578B7">
        <w:rPr>
          <w:lang w:val="en-US"/>
        </w:rPr>
        <w:t>u</w:t>
      </w:r>
      <w:r w:rsidR="009F77BD" w:rsidRPr="005578B7">
        <w:rPr>
          <w:lang w:val="en-US"/>
        </w:rPr>
        <w:t>le</w:t>
      </w:r>
      <w:r w:rsidR="009F77BD">
        <w:t>.</w:t>
      </w:r>
    </w:p>
    <w:p w14:paraId="62856F04" w14:textId="5C393782" w:rsidR="009F77BD" w:rsidRDefault="009F77BD" w:rsidP="007745F6">
      <w:pPr>
        <w:pStyle w:val="SCCNormalDoubleSpacing"/>
        <w:spacing w:after="240" w:line="240" w:lineRule="auto"/>
        <w:ind w:left="540" w:hanging="540"/>
      </w:pPr>
      <w:r>
        <w:rPr>
          <w:i/>
        </w:rPr>
        <w:t>Proceedings against the Crown Act</w:t>
      </w:r>
      <w:r w:rsidR="00364D7F">
        <w:t>, R.S.N.S. 1989, c. </w:t>
      </w:r>
      <w:r w:rsidR="004943DD">
        <w:t xml:space="preserve">360, </w:t>
      </w:r>
      <w:r w:rsidR="007745F6">
        <w:t>art. </w:t>
      </w:r>
      <w:r>
        <w:t>11.</w:t>
      </w:r>
    </w:p>
    <w:p w14:paraId="1E92C819" w14:textId="72102C8D" w:rsidR="009F77BD" w:rsidRDefault="009F77BD" w:rsidP="007745F6">
      <w:pPr>
        <w:pStyle w:val="SCCNormalDoubleSpacing"/>
        <w:spacing w:after="240" w:line="240" w:lineRule="auto"/>
        <w:ind w:left="540" w:hanging="540"/>
      </w:pPr>
      <w:r>
        <w:rPr>
          <w:i/>
        </w:rPr>
        <w:t>Provincial Court Act</w:t>
      </w:r>
      <w:r w:rsidR="00364D7F">
        <w:t>, R.S.N.S. 1989, c. </w:t>
      </w:r>
      <w:r>
        <w:t xml:space="preserve">238, </w:t>
      </w:r>
      <w:r w:rsidR="007745F6">
        <w:t>art. </w:t>
      </w:r>
      <w:r>
        <w:t>21E, 21H(2), 21J, 21K.</w:t>
      </w:r>
    </w:p>
    <w:p w14:paraId="7BEB23B5" w14:textId="36A6EE7E" w:rsidR="009F77BD" w:rsidRDefault="009F77BD" w:rsidP="007745F6">
      <w:pPr>
        <w:pStyle w:val="SCCNormalDoubleSpacing"/>
        <w:spacing w:after="240" w:line="240" w:lineRule="auto"/>
        <w:ind w:left="540" w:hanging="540"/>
      </w:pPr>
      <w:r>
        <w:rPr>
          <w:i/>
        </w:rPr>
        <w:t>Public Service Act</w:t>
      </w:r>
      <w:r w:rsidR="00364D7F">
        <w:t>, R.S.N.S</w:t>
      </w:r>
      <w:r w:rsidR="00156F65">
        <w:t>.</w:t>
      </w:r>
      <w:r w:rsidR="00364D7F">
        <w:t xml:space="preserve"> 1989, c. </w:t>
      </w:r>
      <w:r w:rsidR="004943DD">
        <w:t xml:space="preserve">376, </w:t>
      </w:r>
      <w:r w:rsidR="007745F6">
        <w:t>art. </w:t>
      </w:r>
      <w:r>
        <w:t>29.</w:t>
      </w:r>
    </w:p>
    <w:p w14:paraId="6DFCBE29" w14:textId="75B2A826" w:rsidR="009F77BD" w:rsidRPr="003A5081" w:rsidRDefault="003A5081" w:rsidP="0090156C">
      <w:pPr>
        <w:pStyle w:val="SCCNormalDoubleSpacing"/>
        <w:spacing w:after="720" w:line="240" w:lineRule="auto"/>
        <w:ind w:left="540" w:hanging="540"/>
        <w:rPr>
          <w:lang w:val="fr-CA"/>
        </w:rPr>
      </w:pPr>
      <w:r w:rsidRPr="00CC225A">
        <w:rPr>
          <w:i/>
          <w:iCs/>
          <w:lang w:val="fr-FR"/>
        </w:rPr>
        <w:t xml:space="preserve">Règles de procédure civile </w:t>
      </w:r>
      <w:r w:rsidR="00CC225A" w:rsidRPr="00CC225A">
        <w:rPr>
          <w:i/>
          <w:iCs/>
          <w:lang w:val="fr-FR"/>
        </w:rPr>
        <w:t xml:space="preserve">de la </w:t>
      </w:r>
      <w:r w:rsidR="002D6D9E" w:rsidRPr="00CC225A">
        <w:rPr>
          <w:i/>
          <w:iCs/>
          <w:lang w:val="fr-FR"/>
        </w:rPr>
        <w:t>Nouvelle</w:t>
      </w:r>
      <w:r w:rsidR="007745F6">
        <w:rPr>
          <w:i/>
          <w:iCs/>
          <w:lang w:val="fr-FR"/>
        </w:rPr>
        <w:noBreakHyphen/>
      </w:r>
      <w:r w:rsidR="002D6D9E" w:rsidRPr="00CC225A">
        <w:rPr>
          <w:i/>
          <w:iCs/>
          <w:lang w:val="fr-FR"/>
        </w:rPr>
        <w:t>Écosse</w:t>
      </w:r>
      <w:r w:rsidR="002D6D9E" w:rsidRPr="003A5081">
        <w:rPr>
          <w:lang w:val="fr-CA"/>
        </w:rPr>
        <w:t>,</w:t>
      </w:r>
      <w:r w:rsidR="002D6D9E" w:rsidRPr="003A5081">
        <w:rPr>
          <w:i/>
          <w:iCs/>
          <w:lang w:val="fr-CA"/>
        </w:rPr>
        <w:t xml:space="preserve"> </w:t>
      </w:r>
      <w:r w:rsidR="002D6D9E" w:rsidRPr="003A5081">
        <w:rPr>
          <w:lang w:val="fr-CA"/>
        </w:rPr>
        <w:t>règle 7.10(a).</w:t>
      </w:r>
    </w:p>
    <w:p w14:paraId="0035AC19" w14:textId="77777777" w:rsidR="00D848FA" w:rsidRPr="00473095" w:rsidRDefault="00D848FA" w:rsidP="0090156C">
      <w:pPr>
        <w:pStyle w:val="SCCNormalDoubleSpacing"/>
        <w:spacing w:after="720" w:line="240" w:lineRule="auto"/>
        <w:rPr>
          <w:b/>
          <w:lang w:val="fr-CA"/>
        </w:rPr>
      </w:pPr>
      <w:r w:rsidRPr="00473095">
        <w:rPr>
          <w:b/>
          <w:lang w:val="fr-CA"/>
        </w:rPr>
        <w:t>Doctrine et autres documents cités</w:t>
      </w:r>
    </w:p>
    <w:p w14:paraId="7E1F4184" w14:textId="74E5F504" w:rsidR="00D848FA" w:rsidRDefault="00D848FA" w:rsidP="0090156C">
      <w:pPr>
        <w:pStyle w:val="SCCNormalDoubleSpacing"/>
        <w:spacing w:after="720" w:line="240" w:lineRule="auto"/>
        <w:ind w:left="540" w:hanging="540"/>
        <w:rPr>
          <w:color w:val="000000"/>
          <w:lang w:val="en"/>
        </w:rPr>
      </w:pPr>
      <w:r w:rsidRPr="00D0149E">
        <w:rPr>
          <w:lang w:val="fr-CA"/>
        </w:rPr>
        <w:t>Nova Scotia Provincial Judges</w:t>
      </w:r>
      <w:r w:rsidR="006709B9" w:rsidRPr="00D0149E">
        <w:rPr>
          <w:lang w:val="fr-CA"/>
        </w:rPr>
        <w:t>’</w:t>
      </w:r>
      <w:r w:rsidRPr="00D0149E">
        <w:rPr>
          <w:lang w:val="fr-CA"/>
        </w:rPr>
        <w:t xml:space="preserve"> Salaries an</w:t>
      </w:r>
      <w:r w:rsidR="00845C60" w:rsidRPr="00D0149E">
        <w:rPr>
          <w:lang w:val="fr-CA"/>
        </w:rPr>
        <w:t>d Benefits Tribunal (2017</w:t>
      </w:r>
      <w:r w:rsidR="007745F6" w:rsidRPr="00D0149E">
        <w:rPr>
          <w:lang w:val="fr-CA"/>
        </w:rPr>
        <w:noBreakHyphen/>
      </w:r>
      <w:r w:rsidR="00845C60" w:rsidRPr="00D0149E">
        <w:rPr>
          <w:lang w:val="fr-CA"/>
        </w:rPr>
        <w:t>2020).</w:t>
      </w:r>
      <w:r w:rsidRPr="00D0149E">
        <w:rPr>
          <w:lang w:val="fr-CA"/>
        </w:rPr>
        <w:t xml:space="preserve"> </w:t>
      </w:r>
      <w:r w:rsidRPr="00683F91">
        <w:rPr>
          <w:i/>
        </w:rPr>
        <w:t>Report and Recommendations for the Period April 1, 2017 to March 31, 2020</w:t>
      </w:r>
      <w:r w:rsidR="00845C60">
        <w:t>,</w:t>
      </w:r>
      <w:r w:rsidR="004A573B">
        <w:t xml:space="preserve"> Halifax,</w:t>
      </w:r>
      <w:r w:rsidRPr="00683F91">
        <w:rPr>
          <w:i/>
        </w:rPr>
        <w:t xml:space="preserve"> </w:t>
      </w:r>
      <w:r w:rsidR="00E055B2">
        <w:t>November</w:t>
      </w:r>
      <w:r w:rsidR="00E055B2">
        <w:rPr>
          <w:color w:val="000000"/>
          <w:lang w:val="en"/>
        </w:rPr>
        <w:t> </w:t>
      </w:r>
      <w:r w:rsidR="00E055B2">
        <w:t>2016</w:t>
      </w:r>
      <w:r w:rsidR="00E055B2">
        <w:rPr>
          <w:color w:val="000000"/>
          <w:lang w:val="en"/>
        </w:rPr>
        <w:t> </w:t>
      </w:r>
      <w:r>
        <w:t>(</w:t>
      </w:r>
      <w:r w:rsidR="00E055B2">
        <w:t>en</w:t>
      </w:r>
      <w:r w:rsidR="00E055B2">
        <w:rPr>
          <w:color w:val="000000"/>
          <w:lang w:val="en"/>
        </w:rPr>
        <w:t> </w:t>
      </w:r>
      <w:r w:rsidR="00E055B2">
        <w:t>ligne</w:t>
      </w:r>
      <w:r w:rsidR="007745F6">
        <w:rPr>
          <w:color w:val="000000"/>
          <w:lang w:val="en"/>
        </w:rPr>
        <w:t> :</w:t>
      </w:r>
      <w:r w:rsidR="00E055B2">
        <w:rPr>
          <w:color w:val="000000"/>
          <w:lang w:val="en"/>
        </w:rPr>
        <w:t> </w:t>
      </w:r>
      <w:r w:rsidR="00CD5592" w:rsidRPr="00683F91">
        <w:rPr>
          <w:lang w:val="en"/>
        </w:rPr>
        <w:t>https://novascotia.ca/just/Court_Services/_docs/Judges-Salaries-2017-2020.pdf</w:t>
      </w:r>
      <w:r>
        <w:rPr>
          <w:lang w:val="en"/>
        </w:rPr>
        <w:t>;</w:t>
      </w:r>
      <w:r>
        <w:rPr>
          <w:color w:val="000000"/>
          <w:lang w:val="en"/>
        </w:rPr>
        <w:t xml:space="preserve"> version</w:t>
      </w:r>
      <w:r w:rsidR="00E055B2">
        <w:rPr>
          <w:color w:val="000000"/>
          <w:lang w:val="en"/>
        </w:rPr>
        <w:t xml:space="preserve"> archivée</w:t>
      </w:r>
      <w:r w:rsidR="007745F6">
        <w:rPr>
          <w:color w:val="000000"/>
          <w:lang w:val="en"/>
        </w:rPr>
        <w:t> :</w:t>
      </w:r>
      <w:r>
        <w:rPr>
          <w:color w:val="000000"/>
          <w:lang w:val="en"/>
        </w:rPr>
        <w:t> </w:t>
      </w:r>
      <w:r w:rsidR="005D434F" w:rsidRPr="0090666F">
        <w:rPr>
          <w:rStyle w:val="Hyperlink"/>
          <w:color w:val="auto"/>
          <w:u w:val="none"/>
          <w:lang w:val="en"/>
        </w:rPr>
        <w:t>https://www.scc-csc.ca/cso-dce/2020SCC-CSC21_1_eng.pdf</w:t>
      </w:r>
      <w:r>
        <w:rPr>
          <w:color w:val="000000"/>
          <w:lang w:val="en"/>
        </w:rPr>
        <w:t>).</w:t>
      </w:r>
    </w:p>
    <w:p w14:paraId="2F3E7F60" w14:textId="0B6B65B0" w:rsidR="00337655" w:rsidRPr="004D7D95" w:rsidRDefault="00337655" w:rsidP="0090156C">
      <w:pPr>
        <w:pStyle w:val="SCCNormalDoubleSpacing"/>
        <w:spacing w:after="480"/>
        <w:rPr>
          <w:lang w:val="fr-CA"/>
        </w:rPr>
      </w:pPr>
      <w:r w:rsidRPr="00D848FA">
        <w:rPr>
          <w:lang w:val="en-US"/>
        </w:rPr>
        <w:tab/>
      </w:r>
      <w:r w:rsidRPr="004D7D95">
        <w:rPr>
          <w:lang w:val="fr-CA"/>
        </w:rPr>
        <w:t xml:space="preserve">POURVOI contre un arrêt de la </w:t>
      </w:r>
      <w:r w:rsidRPr="00F427B7">
        <w:rPr>
          <w:lang w:val="fr-CA"/>
        </w:rPr>
        <w:t>Cour d</w:t>
      </w:r>
      <w:r w:rsidR="006709B9">
        <w:rPr>
          <w:lang w:val="fr-CA"/>
        </w:rPr>
        <w:t>’</w:t>
      </w:r>
      <w:r w:rsidRPr="00F427B7">
        <w:rPr>
          <w:lang w:val="fr-CA"/>
        </w:rPr>
        <w:t>appel de</w:t>
      </w:r>
      <w:r>
        <w:rPr>
          <w:lang w:val="fr-CA"/>
        </w:rPr>
        <w:t xml:space="preserve"> la Nouvelle</w:t>
      </w:r>
      <w:r w:rsidR="007745F6">
        <w:rPr>
          <w:lang w:val="fr-CA"/>
        </w:rPr>
        <w:noBreakHyphen/>
      </w:r>
      <w:r>
        <w:rPr>
          <w:lang w:val="fr-CA"/>
        </w:rPr>
        <w:t>Écosse</w:t>
      </w:r>
      <w:r w:rsidRPr="0091704B">
        <w:rPr>
          <w:lang w:val="fr-CA"/>
        </w:rPr>
        <w:t xml:space="preserve"> (</w:t>
      </w:r>
      <w:r>
        <w:rPr>
          <w:lang w:val="fr-CA"/>
        </w:rPr>
        <w:t xml:space="preserve">les juges </w:t>
      </w:r>
      <w:r w:rsidRPr="0091704B">
        <w:rPr>
          <w:lang w:val="fr-CA"/>
        </w:rPr>
        <w:t xml:space="preserve">Fichaud, Oland </w:t>
      </w:r>
      <w:r>
        <w:rPr>
          <w:lang w:val="fr-CA"/>
        </w:rPr>
        <w:t xml:space="preserve">et </w:t>
      </w:r>
      <w:r w:rsidRPr="0091704B">
        <w:rPr>
          <w:lang w:val="fr-CA"/>
        </w:rPr>
        <w:t xml:space="preserve">Beveridge), 2018 NSCA 83, </w:t>
      </w:r>
      <w:r w:rsidR="00473095" w:rsidRPr="0091704B">
        <w:rPr>
          <w:lang w:val="fr-CA"/>
        </w:rPr>
        <w:t>429 D.L.R. (4th) 359,</w:t>
      </w:r>
      <w:r w:rsidR="00473095">
        <w:rPr>
          <w:lang w:val="fr-CA"/>
        </w:rPr>
        <w:t xml:space="preserve"> </w:t>
      </w:r>
      <w:r w:rsidRPr="0091704B">
        <w:rPr>
          <w:lang w:val="fr-CA"/>
        </w:rPr>
        <w:t xml:space="preserve">30 C.P.C. (8th) 1, 48 Admin. L.R. (6th) 315, [2018] N.S.J. </w:t>
      </w:r>
      <w:r w:rsidR="007745F6">
        <w:rPr>
          <w:lang w:val="fr-CA"/>
        </w:rPr>
        <w:t>No. </w:t>
      </w:r>
      <w:r w:rsidRPr="0091704B">
        <w:rPr>
          <w:lang w:val="fr-CA"/>
        </w:rPr>
        <w:t>448 (QL), 2018 CarswellNS 814 (WL Can.), qui a confirmé une décision d</w:t>
      </w:r>
      <w:r w:rsidR="00013210">
        <w:rPr>
          <w:lang w:val="fr-CA"/>
        </w:rPr>
        <w:t xml:space="preserve">e la </w:t>
      </w:r>
      <w:r w:rsidRPr="0091704B">
        <w:rPr>
          <w:lang w:val="fr-CA"/>
        </w:rPr>
        <w:t xml:space="preserve">juge Smith, 2018 NSSC 13, </w:t>
      </w:r>
      <w:r w:rsidR="00473095" w:rsidRPr="0091704B">
        <w:rPr>
          <w:lang w:val="fr-CA"/>
        </w:rPr>
        <w:t xml:space="preserve">409 C.R.R. (2d) 117, </w:t>
      </w:r>
      <w:r w:rsidRPr="0091704B">
        <w:rPr>
          <w:lang w:val="fr-CA"/>
        </w:rPr>
        <w:t xml:space="preserve">20 C.P.C. (8th) 112, [2018] N.S.J. </w:t>
      </w:r>
      <w:r w:rsidR="007745F6">
        <w:rPr>
          <w:lang w:val="fr-CA"/>
        </w:rPr>
        <w:t>No. </w:t>
      </w:r>
      <w:r w:rsidRPr="0091704B">
        <w:rPr>
          <w:lang w:val="fr-CA"/>
        </w:rPr>
        <w:t>76 (QL), 2018 CarswellNS 154 (WL Can</w:t>
      </w:r>
      <w:r w:rsidRPr="00C30783">
        <w:rPr>
          <w:lang w:val="fr-CA"/>
        </w:rPr>
        <w:t>.). Pourvoi</w:t>
      </w:r>
      <w:r w:rsidR="00F05283" w:rsidRPr="00C30783">
        <w:rPr>
          <w:lang w:val="fr-CA"/>
        </w:rPr>
        <w:t xml:space="preserve"> accueilli en partie.</w:t>
      </w:r>
    </w:p>
    <w:p w14:paraId="7AC14D0C" w14:textId="0E578D0E" w:rsidR="00B12982" w:rsidRPr="003360B5" w:rsidRDefault="00156F65" w:rsidP="0090156C">
      <w:pPr>
        <w:pStyle w:val="SCCNormalDoubleSpacing"/>
        <w:spacing w:after="480"/>
        <w:rPr>
          <w:lang w:val="fr-CA"/>
        </w:rPr>
      </w:pPr>
      <w:r>
        <w:rPr>
          <w:lang w:val="fr-CA"/>
        </w:rPr>
        <w:tab/>
      </w:r>
      <w:r w:rsidR="00FF4912">
        <w:rPr>
          <w:rStyle w:val="SCCCounselNameChar"/>
          <w:lang w:val="fr-CA"/>
        </w:rPr>
        <w:t>Edward </w:t>
      </w:r>
      <w:r w:rsidR="00651779">
        <w:rPr>
          <w:rStyle w:val="SCCCounselNameChar"/>
          <w:lang w:val="fr-CA"/>
        </w:rPr>
        <w:t>A. Gores</w:t>
      </w:r>
      <w:r w:rsidR="00651779" w:rsidRPr="00207F59">
        <w:rPr>
          <w:rStyle w:val="SCCCounselNameChar"/>
          <w:i w:val="0"/>
          <w:lang w:val="fr-CA"/>
        </w:rPr>
        <w:t>,</w:t>
      </w:r>
      <w:r w:rsidR="00651779">
        <w:rPr>
          <w:rStyle w:val="SCCCounselNameChar"/>
          <w:lang w:val="fr-CA"/>
        </w:rPr>
        <w:t xml:space="preserve"> c.r.</w:t>
      </w:r>
      <w:r>
        <w:rPr>
          <w:rStyle w:val="SCCCounselNameChar"/>
          <w:i w:val="0"/>
          <w:lang w:val="fr-CA"/>
        </w:rPr>
        <w:t>,</w:t>
      </w:r>
      <w:r w:rsidR="00651779">
        <w:rPr>
          <w:rStyle w:val="SCCCounselNameChar"/>
          <w:lang w:val="fr-CA"/>
        </w:rPr>
        <w:t xml:space="preserve"> </w:t>
      </w:r>
      <w:r w:rsidR="00651779">
        <w:rPr>
          <w:rStyle w:val="SCCCounselNameChar"/>
          <w:i w:val="0"/>
          <w:lang w:val="fr-CA"/>
        </w:rPr>
        <w:t xml:space="preserve">et </w:t>
      </w:r>
      <w:r w:rsidR="00FF4912">
        <w:rPr>
          <w:rStyle w:val="SCCCounselNameChar"/>
          <w:lang w:val="fr-CA"/>
        </w:rPr>
        <w:t>Andrew </w:t>
      </w:r>
      <w:r w:rsidR="00337655" w:rsidRPr="0005284F">
        <w:rPr>
          <w:rStyle w:val="SCCCounselNameChar"/>
          <w:lang w:val="fr-CA"/>
        </w:rPr>
        <w:t>D. Taillon</w:t>
      </w:r>
      <w:r w:rsidR="00337655" w:rsidRPr="003360B5">
        <w:rPr>
          <w:rStyle w:val="SCCCounselPartyRoleChar"/>
          <w:lang w:val="fr-CA"/>
        </w:rPr>
        <w:t xml:space="preserve">, pour </w:t>
      </w:r>
      <w:r w:rsidR="00644D1D">
        <w:rPr>
          <w:rStyle w:val="SCCCounselPartyRoleChar"/>
          <w:lang w:val="fr-CA"/>
        </w:rPr>
        <w:t xml:space="preserve">les </w:t>
      </w:r>
      <w:r w:rsidR="005E5CB2">
        <w:rPr>
          <w:rStyle w:val="SCCCounselPartyRoleChar"/>
          <w:lang w:val="fr-CA"/>
        </w:rPr>
        <w:t>appelant</w:t>
      </w:r>
      <w:r w:rsidR="00644D1D">
        <w:rPr>
          <w:rStyle w:val="SCCCounselPartyRoleChar"/>
          <w:lang w:val="fr-CA"/>
        </w:rPr>
        <w:t>s</w:t>
      </w:r>
      <w:r w:rsidR="00337655" w:rsidRPr="003360B5">
        <w:rPr>
          <w:rStyle w:val="SCCCounselPartyRoleChar"/>
          <w:lang w:val="fr-CA"/>
        </w:rPr>
        <w:t>.</w:t>
      </w:r>
    </w:p>
    <w:p w14:paraId="2BAB3F99" w14:textId="77777777" w:rsidR="00B12982" w:rsidRPr="003360B5" w:rsidRDefault="00337655" w:rsidP="0090156C">
      <w:pPr>
        <w:pStyle w:val="SCCNormalDoubleSpacing"/>
        <w:spacing w:after="480"/>
        <w:rPr>
          <w:lang w:val="fr-CA"/>
        </w:rPr>
      </w:pPr>
      <w:r w:rsidRPr="003360B5">
        <w:rPr>
          <w:rStyle w:val="SCCCounselNameChar"/>
          <w:lang w:val="fr-CA"/>
        </w:rPr>
        <w:tab/>
        <w:t>Susan Dawes</w:t>
      </w:r>
      <w:r w:rsidRPr="003360B5">
        <w:rPr>
          <w:rStyle w:val="SCCCounselSeparatorChar"/>
          <w:lang w:val="fr-CA"/>
        </w:rPr>
        <w:t xml:space="preserve"> et </w:t>
      </w:r>
      <w:r w:rsidRPr="003360B5">
        <w:rPr>
          <w:rStyle w:val="SCCCounselNameChar"/>
          <w:lang w:val="fr-CA"/>
        </w:rPr>
        <w:t xml:space="preserve">Kristen </w:t>
      </w:r>
      <w:r w:rsidRPr="0038179A">
        <w:rPr>
          <w:rStyle w:val="SCCCounselNameChar"/>
          <w:lang w:val="fr-CA"/>
        </w:rPr>
        <w:t>Worbanski</w:t>
      </w:r>
      <w:r w:rsidRPr="0038179A">
        <w:rPr>
          <w:rStyle w:val="SCCCounselPartyRoleChar"/>
          <w:lang w:val="fr-CA"/>
        </w:rPr>
        <w:t>, pour l</w:t>
      </w:r>
      <w:r w:rsidR="00007E2F" w:rsidRPr="0038179A">
        <w:rPr>
          <w:rStyle w:val="SCCCounselPartyRoleChar"/>
          <w:lang w:val="fr-CA"/>
        </w:rPr>
        <w:t xml:space="preserve">es </w:t>
      </w:r>
      <w:r w:rsidRPr="0038179A">
        <w:rPr>
          <w:rStyle w:val="SCCCounselPartyRoleChar"/>
          <w:lang w:val="fr-CA"/>
        </w:rPr>
        <w:t>intimé</w:t>
      </w:r>
      <w:r w:rsidR="00007E2F" w:rsidRPr="0038179A">
        <w:rPr>
          <w:rStyle w:val="SCCCounselPartyRoleChar"/>
          <w:lang w:val="fr-CA"/>
        </w:rPr>
        <w:t>s</w:t>
      </w:r>
      <w:r w:rsidRPr="0038179A">
        <w:rPr>
          <w:rStyle w:val="SCCCounselPartyRoleChar"/>
          <w:lang w:val="fr-CA"/>
        </w:rPr>
        <w:t>.</w:t>
      </w:r>
    </w:p>
    <w:p w14:paraId="7A5C53EB" w14:textId="60F588D3" w:rsidR="00337655" w:rsidRPr="00F427B7" w:rsidRDefault="00FF4912" w:rsidP="0090156C">
      <w:pPr>
        <w:pStyle w:val="SCCNormalDoubleSpacing"/>
        <w:spacing w:after="480"/>
        <w:rPr>
          <w:lang w:val="fr-CA"/>
        </w:rPr>
      </w:pPr>
      <w:r>
        <w:rPr>
          <w:rStyle w:val="SCCCounselNameChar"/>
          <w:lang w:val="fr-CA"/>
        </w:rPr>
        <w:tab/>
        <w:t>Michael </w:t>
      </w:r>
      <w:r w:rsidR="00337655" w:rsidRPr="00F427B7">
        <w:rPr>
          <w:rStyle w:val="SCCCounselNameChar"/>
          <w:lang w:val="fr-CA"/>
        </w:rPr>
        <w:t>H. Morris</w:t>
      </w:r>
      <w:r w:rsidR="00337655" w:rsidRPr="00F427B7">
        <w:rPr>
          <w:rStyle w:val="SCCCounselSeparatorChar"/>
          <w:lang w:val="fr-CA"/>
        </w:rPr>
        <w:t xml:space="preserve"> et </w:t>
      </w:r>
      <w:r w:rsidR="00337655" w:rsidRPr="003F1AC6">
        <w:rPr>
          <w:rStyle w:val="SCCCounselNameChar"/>
          <w:lang w:val="fr-CA"/>
        </w:rPr>
        <w:t>Marilyn Venney</w:t>
      </w:r>
      <w:r w:rsidR="00337655" w:rsidRPr="00F427B7">
        <w:rPr>
          <w:rStyle w:val="SCCCounselPartyRoleChar"/>
          <w:lang w:val="fr-CA"/>
        </w:rPr>
        <w:t>, pour l</w:t>
      </w:r>
      <w:r w:rsidR="006709B9">
        <w:rPr>
          <w:rStyle w:val="SCCCounselPartyRoleChar"/>
          <w:lang w:val="fr-CA"/>
        </w:rPr>
        <w:t>’</w:t>
      </w:r>
      <w:r w:rsidR="00337655">
        <w:rPr>
          <w:rStyle w:val="SCCCounselPartyRoleChar"/>
          <w:lang w:val="fr-CA"/>
        </w:rPr>
        <w:t>intervenant le</w:t>
      </w:r>
      <w:r w:rsidR="00337655" w:rsidRPr="00F427B7">
        <w:rPr>
          <w:rStyle w:val="SCCCounselPartyRoleChar"/>
          <w:lang w:val="fr-CA"/>
        </w:rPr>
        <w:t xml:space="preserve"> </w:t>
      </w:r>
      <w:r w:rsidR="00946BB5">
        <w:rPr>
          <w:rStyle w:val="SCCCounselPartyRoleChar"/>
          <w:lang w:val="fr-CA"/>
        </w:rPr>
        <w:t>p</w:t>
      </w:r>
      <w:r w:rsidR="00337655" w:rsidRPr="00F427B7">
        <w:rPr>
          <w:rStyle w:val="SCCCounselPartyRoleChar"/>
          <w:lang w:val="fr-CA"/>
        </w:rPr>
        <w:t>rocureur général du Canada.</w:t>
      </w:r>
    </w:p>
    <w:p w14:paraId="4ADD3303" w14:textId="3D6454C1" w:rsidR="00337655" w:rsidRPr="00F427B7" w:rsidRDefault="00337655" w:rsidP="0090156C">
      <w:pPr>
        <w:pStyle w:val="SCCNormalDoubleSpacing"/>
        <w:spacing w:after="480"/>
        <w:rPr>
          <w:lang w:val="fr-CA"/>
        </w:rPr>
      </w:pPr>
      <w:r w:rsidRPr="00F427B7">
        <w:rPr>
          <w:rStyle w:val="SCCCounselNameChar"/>
          <w:lang w:val="fr-CA"/>
        </w:rPr>
        <w:tab/>
        <w:t>Sarah Kraicer</w:t>
      </w:r>
      <w:r w:rsidRPr="00F427B7">
        <w:rPr>
          <w:rStyle w:val="SCCCounselSeparatorChar"/>
          <w:lang w:val="fr-CA"/>
        </w:rPr>
        <w:t xml:space="preserve"> et </w:t>
      </w:r>
      <w:r w:rsidRPr="00F427B7">
        <w:rPr>
          <w:rStyle w:val="SCCCounselNameChar"/>
          <w:lang w:val="fr-CA"/>
        </w:rPr>
        <w:t>Andrea Bolieiro</w:t>
      </w:r>
      <w:r w:rsidRPr="00F427B7">
        <w:rPr>
          <w:rStyle w:val="SCCCounselPartyRoleChar"/>
          <w:lang w:val="fr-CA"/>
        </w:rPr>
        <w:t>, pour l</w:t>
      </w:r>
      <w:r w:rsidR="006709B9">
        <w:rPr>
          <w:rStyle w:val="SCCCounselPartyRoleChar"/>
          <w:lang w:val="fr-CA"/>
        </w:rPr>
        <w:t>’</w:t>
      </w:r>
      <w:r>
        <w:rPr>
          <w:rStyle w:val="SCCCounselPartyRoleChar"/>
          <w:lang w:val="fr-CA"/>
        </w:rPr>
        <w:t xml:space="preserve">intervenant le </w:t>
      </w:r>
      <w:r w:rsidR="00946BB5">
        <w:rPr>
          <w:rStyle w:val="SCCCounselPartyRoleChar"/>
          <w:lang w:val="fr-CA"/>
        </w:rPr>
        <w:t>pr</w:t>
      </w:r>
      <w:r w:rsidRPr="00F427B7">
        <w:rPr>
          <w:rStyle w:val="SCCCounselPartyRoleChar"/>
          <w:lang w:val="fr-CA"/>
        </w:rPr>
        <w:t>ocureur général de l</w:t>
      </w:r>
      <w:r w:rsidR="006709B9">
        <w:rPr>
          <w:rStyle w:val="SCCCounselPartyRoleChar"/>
          <w:lang w:val="fr-CA"/>
        </w:rPr>
        <w:t>’</w:t>
      </w:r>
      <w:r w:rsidRPr="00F427B7">
        <w:rPr>
          <w:rStyle w:val="SCCCounselPartyRoleChar"/>
          <w:lang w:val="fr-CA"/>
        </w:rPr>
        <w:t>Ontario.</w:t>
      </w:r>
    </w:p>
    <w:p w14:paraId="0A67D13C" w14:textId="20237345" w:rsidR="00337655" w:rsidRPr="00F427B7" w:rsidRDefault="00337655" w:rsidP="0090156C">
      <w:pPr>
        <w:pStyle w:val="SCCNormalDoubleSpacing"/>
        <w:spacing w:after="480"/>
        <w:rPr>
          <w:lang w:val="fr-CA"/>
        </w:rPr>
      </w:pPr>
      <w:r w:rsidRPr="00F427B7">
        <w:rPr>
          <w:rStyle w:val="SCCCounselNameChar"/>
          <w:lang w:val="fr-CA"/>
        </w:rPr>
        <w:tab/>
      </w:r>
      <w:r w:rsidR="00473095" w:rsidRPr="00473095">
        <w:rPr>
          <w:rStyle w:val="SCCCounselNameChar"/>
          <w:lang w:val="fr-CA"/>
        </w:rPr>
        <w:t xml:space="preserve">Brigitte Bussières </w:t>
      </w:r>
      <w:r w:rsidR="00473095">
        <w:rPr>
          <w:rStyle w:val="SCCCounselSeparatorChar"/>
          <w:lang w:val="fr-CA"/>
        </w:rPr>
        <w:t>et</w:t>
      </w:r>
      <w:r w:rsidR="00473095" w:rsidRPr="00473095">
        <w:rPr>
          <w:rStyle w:val="SCCCounselSeparatorChar"/>
          <w:lang w:val="fr-CA"/>
        </w:rPr>
        <w:t xml:space="preserve"> </w:t>
      </w:r>
      <w:r w:rsidR="00473095" w:rsidRPr="00473095">
        <w:rPr>
          <w:rStyle w:val="SCCCounselNameChar"/>
          <w:lang w:val="fr-CA"/>
        </w:rPr>
        <w:t>Robert Desroches</w:t>
      </w:r>
      <w:r w:rsidR="00473095" w:rsidRPr="00473095">
        <w:rPr>
          <w:rStyle w:val="SCCCounselPartyRoleChar"/>
          <w:lang w:val="fr-CA"/>
        </w:rPr>
        <w:t xml:space="preserve">, </w:t>
      </w:r>
      <w:r w:rsidRPr="00F427B7">
        <w:rPr>
          <w:rStyle w:val="SCCCounselPartyRoleChar"/>
          <w:lang w:val="fr-CA"/>
        </w:rPr>
        <w:t>pour l</w:t>
      </w:r>
      <w:r w:rsidR="006709B9">
        <w:rPr>
          <w:rStyle w:val="SCCCounselPartyRoleChar"/>
          <w:lang w:val="fr-CA"/>
        </w:rPr>
        <w:t>’</w:t>
      </w:r>
      <w:r>
        <w:rPr>
          <w:rStyle w:val="SCCCounselPartyRoleChar"/>
          <w:lang w:val="fr-CA"/>
        </w:rPr>
        <w:t>intervenante la</w:t>
      </w:r>
      <w:r w:rsidRPr="00F427B7">
        <w:rPr>
          <w:rStyle w:val="SCCCounselPartyRoleChar"/>
          <w:lang w:val="fr-CA"/>
        </w:rPr>
        <w:t xml:space="preserve"> </w:t>
      </w:r>
      <w:r w:rsidR="00946BB5">
        <w:rPr>
          <w:rStyle w:val="SCCCounselPartyRoleChar"/>
          <w:lang w:val="fr-CA"/>
        </w:rPr>
        <w:t>p</w:t>
      </w:r>
      <w:r w:rsidRPr="00F427B7">
        <w:rPr>
          <w:rStyle w:val="SCCCounselPartyRoleChar"/>
          <w:lang w:val="fr-CA"/>
        </w:rPr>
        <w:t>rocureure générale du Québec.</w:t>
      </w:r>
    </w:p>
    <w:p w14:paraId="68512925" w14:textId="14A9DCCC" w:rsidR="00337655" w:rsidRPr="00F427B7" w:rsidRDefault="00337655" w:rsidP="0090156C">
      <w:pPr>
        <w:pStyle w:val="SCCNormalDoubleSpacing"/>
        <w:spacing w:after="480"/>
        <w:rPr>
          <w:lang w:val="fr-CA"/>
        </w:rPr>
      </w:pPr>
      <w:r w:rsidRPr="00F427B7">
        <w:rPr>
          <w:rStyle w:val="SCCCounselNameChar"/>
          <w:lang w:val="fr-CA"/>
        </w:rPr>
        <w:tab/>
        <w:t>Thomson Irvine</w:t>
      </w:r>
      <w:r w:rsidRPr="00207F59">
        <w:rPr>
          <w:rStyle w:val="SCCCounselNameChar"/>
          <w:i w:val="0"/>
          <w:lang w:val="fr-CA"/>
        </w:rPr>
        <w:t>,</w:t>
      </w:r>
      <w:r w:rsidRPr="00F427B7">
        <w:rPr>
          <w:rStyle w:val="SCCCounselNameChar"/>
          <w:lang w:val="fr-CA"/>
        </w:rPr>
        <w:t xml:space="preserve"> </w:t>
      </w:r>
      <w:r>
        <w:rPr>
          <w:rStyle w:val="SCCCounselNameChar"/>
          <w:lang w:val="fr-CA"/>
        </w:rPr>
        <w:t>c.r</w:t>
      </w:r>
      <w:r w:rsidRPr="00F427B7">
        <w:rPr>
          <w:rStyle w:val="SCCCounselNameChar"/>
          <w:lang w:val="fr-CA"/>
        </w:rPr>
        <w:t>.</w:t>
      </w:r>
      <w:r w:rsidRPr="00F427B7">
        <w:rPr>
          <w:rStyle w:val="SCCCounselPartyRoleChar"/>
          <w:lang w:val="fr-CA"/>
        </w:rPr>
        <w:t>, pour l</w:t>
      </w:r>
      <w:r w:rsidR="006709B9">
        <w:rPr>
          <w:rStyle w:val="SCCCounselPartyRoleChar"/>
          <w:lang w:val="fr-CA"/>
        </w:rPr>
        <w:t>’</w:t>
      </w:r>
      <w:r>
        <w:rPr>
          <w:rStyle w:val="SCCCounselPartyRoleChar"/>
          <w:lang w:val="fr-CA"/>
        </w:rPr>
        <w:t>intervenant le</w:t>
      </w:r>
      <w:r w:rsidRPr="00F427B7">
        <w:rPr>
          <w:rStyle w:val="SCCCounselPartyRoleChar"/>
          <w:lang w:val="fr-CA"/>
        </w:rPr>
        <w:t xml:space="preserve"> </w:t>
      </w:r>
      <w:r w:rsidR="00946BB5">
        <w:rPr>
          <w:rStyle w:val="SCCCounselPartyRoleChar"/>
          <w:lang w:val="fr-CA"/>
        </w:rPr>
        <w:t>p</w:t>
      </w:r>
      <w:r w:rsidRPr="00F427B7">
        <w:rPr>
          <w:rStyle w:val="SCCCounselPartyRoleChar"/>
          <w:lang w:val="fr-CA"/>
        </w:rPr>
        <w:t>rocureur général de la Saskatchewan.</w:t>
      </w:r>
    </w:p>
    <w:p w14:paraId="196E738B" w14:textId="6FEA3D80" w:rsidR="00337655" w:rsidRPr="00F427B7" w:rsidRDefault="00FF4912" w:rsidP="0090156C">
      <w:pPr>
        <w:pStyle w:val="SCCNormalDoubleSpacing"/>
        <w:spacing w:after="480"/>
        <w:rPr>
          <w:lang w:val="fr-CA"/>
        </w:rPr>
      </w:pPr>
      <w:r>
        <w:rPr>
          <w:rStyle w:val="SCCCounselNameChar"/>
          <w:lang w:val="fr-CA"/>
        </w:rPr>
        <w:tab/>
        <w:t>Doreen </w:t>
      </w:r>
      <w:r w:rsidR="006F2B02">
        <w:rPr>
          <w:rStyle w:val="SCCCounselNameChar"/>
          <w:lang w:val="fr-CA"/>
        </w:rPr>
        <w:t xml:space="preserve">C. </w:t>
      </w:r>
      <w:r w:rsidR="00337655" w:rsidRPr="00F427B7">
        <w:rPr>
          <w:rStyle w:val="SCCCounselNameChar"/>
          <w:lang w:val="fr-CA"/>
        </w:rPr>
        <w:t>Mueller</w:t>
      </w:r>
      <w:r w:rsidR="00337655" w:rsidRPr="00F427B7">
        <w:rPr>
          <w:rStyle w:val="SCCCounselPartyRoleChar"/>
          <w:lang w:val="fr-CA"/>
        </w:rPr>
        <w:t>, pour l</w:t>
      </w:r>
      <w:r w:rsidR="006709B9">
        <w:rPr>
          <w:rStyle w:val="SCCCounselPartyRoleChar"/>
          <w:lang w:val="fr-CA"/>
        </w:rPr>
        <w:t>’</w:t>
      </w:r>
      <w:r w:rsidR="00337655">
        <w:rPr>
          <w:rStyle w:val="SCCCounselPartyRoleChar"/>
          <w:lang w:val="fr-CA"/>
        </w:rPr>
        <w:t xml:space="preserve">intervenant le </w:t>
      </w:r>
      <w:r w:rsidR="00946BB5">
        <w:rPr>
          <w:rStyle w:val="SCCCounselPartyRoleChar"/>
          <w:lang w:val="fr-CA"/>
        </w:rPr>
        <w:t>p</w:t>
      </w:r>
      <w:r w:rsidR="00337655" w:rsidRPr="00F427B7">
        <w:rPr>
          <w:rStyle w:val="SCCCounselPartyRoleChar"/>
          <w:lang w:val="fr-CA"/>
        </w:rPr>
        <w:t>rocureur général de l</w:t>
      </w:r>
      <w:r w:rsidR="006709B9">
        <w:rPr>
          <w:rStyle w:val="SCCCounselPartyRoleChar"/>
          <w:lang w:val="fr-CA"/>
        </w:rPr>
        <w:t>’</w:t>
      </w:r>
      <w:r w:rsidR="00337655" w:rsidRPr="00F427B7">
        <w:rPr>
          <w:rStyle w:val="SCCCounselPartyRoleChar"/>
          <w:lang w:val="fr-CA"/>
        </w:rPr>
        <w:t>Alberta.</w:t>
      </w:r>
    </w:p>
    <w:p w14:paraId="3F3D6150" w14:textId="1AA32F94" w:rsidR="00337655" w:rsidRPr="00F427B7" w:rsidRDefault="00337655" w:rsidP="0090156C">
      <w:pPr>
        <w:pStyle w:val="SCCNormalDoubleSpacing"/>
        <w:spacing w:after="480"/>
        <w:rPr>
          <w:lang w:val="fr-CA"/>
        </w:rPr>
      </w:pPr>
      <w:r w:rsidRPr="00F427B7">
        <w:rPr>
          <w:rStyle w:val="SCCCounselNameChar"/>
          <w:lang w:val="fr-CA"/>
        </w:rPr>
        <w:tab/>
        <w:t>Pierre Bienvenu</w:t>
      </w:r>
      <w:r w:rsidRPr="00F427B7">
        <w:rPr>
          <w:rStyle w:val="SCCCounselSeparatorChar"/>
          <w:lang w:val="fr-CA"/>
        </w:rPr>
        <w:t xml:space="preserve">, </w:t>
      </w:r>
      <w:r w:rsidRPr="00F427B7">
        <w:rPr>
          <w:rStyle w:val="SCCCounselNameChar"/>
          <w:lang w:val="fr-CA"/>
        </w:rPr>
        <w:t>Azim Hussain</w:t>
      </w:r>
      <w:r w:rsidRPr="00F427B7">
        <w:rPr>
          <w:rStyle w:val="SCCCounselSeparatorChar"/>
          <w:lang w:val="fr-CA"/>
        </w:rPr>
        <w:t xml:space="preserve"> et </w:t>
      </w:r>
      <w:r w:rsidRPr="00F427B7">
        <w:rPr>
          <w:rStyle w:val="SCCCounselNameChar"/>
          <w:lang w:val="fr-CA"/>
        </w:rPr>
        <w:t>Jean</w:t>
      </w:r>
      <w:r w:rsidR="007745F6">
        <w:rPr>
          <w:rStyle w:val="SCCCounselNameChar"/>
          <w:lang w:val="fr-CA"/>
        </w:rPr>
        <w:noBreakHyphen/>
      </w:r>
      <w:r w:rsidRPr="00F427B7">
        <w:rPr>
          <w:rStyle w:val="SCCCounselNameChar"/>
          <w:lang w:val="fr-CA"/>
        </w:rPr>
        <w:t>Simon Schoenholz</w:t>
      </w:r>
      <w:r w:rsidRPr="00F427B7">
        <w:rPr>
          <w:rStyle w:val="SCCCounselPartyRoleChar"/>
          <w:lang w:val="fr-CA"/>
        </w:rPr>
        <w:t>, pour l</w:t>
      </w:r>
      <w:r w:rsidR="006709B9">
        <w:rPr>
          <w:rStyle w:val="SCCCounselPartyRoleChar"/>
          <w:lang w:val="fr-CA"/>
        </w:rPr>
        <w:t>’</w:t>
      </w:r>
      <w:r>
        <w:rPr>
          <w:rStyle w:val="SCCCounselPartyRoleChar"/>
          <w:lang w:val="fr-CA"/>
        </w:rPr>
        <w:t>intervenante l</w:t>
      </w:r>
      <w:r w:rsidR="006709B9">
        <w:rPr>
          <w:rStyle w:val="SCCCounselPartyRoleChar"/>
          <w:lang w:val="fr-CA"/>
        </w:rPr>
        <w:t>’</w:t>
      </w:r>
      <w:r w:rsidRPr="00F427B7">
        <w:rPr>
          <w:rStyle w:val="SCCCounselPartyRoleChar"/>
          <w:lang w:val="fr-CA"/>
        </w:rPr>
        <w:t>Association canadienne des juges des cours supérieures.</w:t>
      </w:r>
    </w:p>
    <w:p w14:paraId="77911010" w14:textId="765CCC83" w:rsidR="00337655" w:rsidRPr="00F427B7" w:rsidRDefault="00FF4912" w:rsidP="0090156C">
      <w:pPr>
        <w:pStyle w:val="SCCNormalDoubleSpacing"/>
        <w:spacing w:after="480"/>
        <w:rPr>
          <w:lang w:val="fr-CA"/>
        </w:rPr>
      </w:pPr>
      <w:r>
        <w:rPr>
          <w:rStyle w:val="SCCCounselNameChar"/>
          <w:lang w:val="fr-CA"/>
        </w:rPr>
        <w:tab/>
        <w:t>Guy </w:t>
      </w:r>
      <w:r w:rsidR="00337655" w:rsidRPr="00F427B7">
        <w:rPr>
          <w:rStyle w:val="SCCCounselNameChar"/>
          <w:lang w:val="fr-CA"/>
        </w:rPr>
        <w:t>J. Pratte</w:t>
      </w:r>
      <w:r w:rsidR="00337655" w:rsidRPr="00F427B7">
        <w:rPr>
          <w:rStyle w:val="SCCCounselSeparatorChar"/>
          <w:lang w:val="fr-CA"/>
        </w:rPr>
        <w:t xml:space="preserve">, </w:t>
      </w:r>
      <w:r w:rsidR="00337655" w:rsidRPr="00F427B7">
        <w:rPr>
          <w:rStyle w:val="SCCCounselNameChar"/>
          <w:lang w:val="fr-CA"/>
        </w:rPr>
        <w:t>Ewa Krajewska</w:t>
      </w:r>
      <w:r w:rsidR="00337655" w:rsidRPr="00F427B7">
        <w:rPr>
          <w:rStyle w:val="SCCCounselSeparatorChar"/>
          <w:lang w:val="fr-CA"/>
        </w:rPr>
        <w:t xml:space="preserve"> et </w:t>
      </w:r>
      <w:r w:rsidR="00337655" w:rsidRPr="00F427B7">
        <w:rPr>
          <w:rStyle w:val="SCCCounselNameChar"/>
          <w:lang w:val="fr-CA"/>
        </w:rPr>
        <w:t>Neil Abraham</w:t>
      </w:r>
      <w:r w:rsidR="00337655" w:rsidRPr="00F427B7">
        <w:rPr>
          <w:rStyle w:val="SCCCounselPartyRoleChar"/>
          <w:lang w:val="fr-CA"/>
        </w:rPr>
        <w:t>, pour l</w:t>
      </w:r>
      <w:r w:rsidR="006709B9">
        <w:rPr>
          <w:rStyle w:val="SCCCounselPartyRoleChar"/>
          <w:lang w:val="fr-CA"/>
        </w:rPr>
        <w:t>’</w:t>
      </w:r>
      <w:r w:rsidR="00337655">
        <w:rPr>
          <w:rStyle w:val="SCCCounselPartyRoleChar"/>
          <w:lang w:val="fr-CA"/>
        </w:rPr>
        <w:t>intervenante l</w:t>
      </w:r>
      <w:r w:rsidR="006709B9">
        <w:rPr>
          <w:rStyle w:val="SCCCounselPartyRoleChar"/>
          <w:lang w:val="fr-CA"/>
        </w:rPr>
        <w:t>’</w:t>
      </w:r>
      <w:r w:rsidR="00337655" w:rsidRPr="00F427B7">
        <w:rPr>
          <w:rStyle w:val="SCCCounselPartyRoleChar"/>
          <w:lang w:val="fr-CA"/>
        </w:rPr>
        <w:t>Association du Barreau canadien.</w:t>
      </w:r>
    </w:p>
    <w:p w14:paraId="235C5F2B" w14:textId="31BE50CF" w:rsidR="00337655" w:rsidRPr="00F427B7" w:rsidRDefault="00337655" w:rsidP="0090156C">
      <w:pPr>
        <w:pStyle w:val="SCCNormalDoubleSpacing"/>
        <w:spacing w:after="480"/>
        <w:rPr>
          <w:lang w:val="fr-CA"/>
        </w:rPr>
      </w:pPr>
      <w:r w:rsidRPr="00F427B7">
        <w:rPr>
          <w:rStyle w:val="SCCCounselNameChar"/>
          <w:lang w:val="fr-CA"/>
        </w:rPr>
        <w:tab/>
        <w:t>Steven M. Barrett</w:t>
      </w:r>
      <w:r w:rsidRPr="00F427B7">
        <w:rPr>
          <w:rStyle w:val="SCCCounselSeparatorChar"/>
          <w:lang w:val="fr-CA"/>
        </w:rPr>
        <w:t xml:space="preserve"> et </w:t>
      </w:r>
      <w:r w:rsidRPr="00F427B7">
        <w:rPr>
          <w:rStyle w:val="SCCCounselNameChar"/>
          <w:lang w:val="fr-CA"/>
        </w:rPr>
        <w:t>Colleen Bauman</w:t>
      </w:r>
      <w:r w:rsidRPr="00F427B7">
        <w:rPr>
          <w:rStyle w:val="SCCCounselPartyRoleChar"/>
          <w:lang w:val="fr-CA"/>
        </w:rPr>
        <w:t>, pour l</w:t>
      </w:r>
      <w:r w:rsidR="006709B9">
        <w:rPr>
          <w:rStyle w:val="SCCCounselPartyRoleChar"/>
          <w:lang w:val="fr-CA"/>
        </w:rPr>
        <w:t>’</w:t>
      </w:r>
      <w:r>
        <w:rPr>
          <w:rStyle w:val="SCCCounselPartyRoleChar"/>
          <w:lang w:val="fr-CA"/>
        </w:rPr>
        <w:t>intervenante l</w:t>
      </w:r>
      <w:r w:rsidR="006709B9">
        <w:rPr>
          <w:rStyle w:val="SCCCounselPartyRoleChar"/>
          <w:lang w:val="fr-CA"/>
        </w:rPr>
        <w:t>’</w:t>
      </w:r>
      <w:r w:rsidRPr="00F427B7">
        <w:rPr>
          <w:rStyle w:val="SCCCounselPartyRoleChar"/>
          <w:lang w:val="fr-CA"/>
        </w:rPr>
        <w:t>Association canadienne des juges des cours provinciales.</w:t>
      </w:r>
    </w:p>
    <w:p w14:paraId="234B894B" w14:textId="3A25605E" w:rsidR="00337655" w:rsidRPr="00F427B7" w:rsidRDefault="00337655" w:rsidP="0090156C">
      <w:pPr>
        <w:pStyle w:val="SCCNormalDoubleSpacing"/>
        <w:spacing w:after="480"/>
        <w:rPr>
          <w:lang w:val="fr-CA"/>
        </w:rPr>
      </w:pPr>
      <w:r w:rsidRPr="00F427B7">
        <w:rPr>
          <w:rStyle w:val="SCCCounselNameChar"/>
          <w:lang w:val="fr-CA"/>
        </w:rPr>
        <w:tab/>
        <w:t>Adam Goldenberg</w:t>
      </w:r>
      <w:r w:rsidRPr="00F427B7">
        <w:rPr>
          <w:rStyle w:val="SCCCounselSeparatorChar"/>
          <w:lang w:val="fr-CA"/>
        </w:rPr>
        <w:t xml:space="preserve"> et </w:t>
      </w:r>
      <w:r w:rsidRPr="003F1AC6">
        <w:rPr>
          <w:rStyle w:val="SCCCounselNameChar"/>
          <w:lang w:val="fr-CA"/>
        </w:rPr>
        <w:t>Stephanie Willsey</w:t>
      </w:r>
      <w:r w:rsidRPr="00F427B7">
        <w:rPr>
          <w:rStyle w:val="SCCCounselPartyRoleChar"/>
          <w:lang w:val="fr-CA"/>
        </w:rPr>
        <w:t>, pour l</w:t>
      </w:r>
      <w:r w:rsidR="006709B9">
        <w:rPr>
          <w:rStyle w:val="SCCCounselPartyRoleChar"/>
          <w:lang w:val="fr-CA"/>
        </w:rPr>
        <w:t>’</w:t>
      </w:r>
      <w:r>
        <w:rPr>
          <w:rStyle w:val="SCCCounselPartyRoleChar"/>
          <w:lang w:val="fr-CA"/>
        </w:rPr>
        <w:t>intervenante la</w:t>
      </w:r>
      <w:r w:rsidRPr="00F427B7">
        <w:rPr>
          <w:rStyle w:val="SCCCounselPartyRoleChar"/>
          <w:lang w:val="fr-CA"/>
        </w:rPr>
        <w:t xml:space="preserve"> Fédération canadienne des contribuables.</w:t>
      </w:r>
    </w:p>
    <w:p w14:paraId="0D7552EE" w14:textId="2F29A349" w:rsidR="00B3086A" w:rsidRDefault="00FF4912" w:rsidP="00B3086A">
      <w:pPr>
        <w:pStyle w:val="SCCNormalDoubleSpacing"/>
        <w:spacing w:after="480"/>
        <w:rPr>
          <w:rStyle w:val="SCCCounselPartyRoleChar"/>
          <w:lang w:val="fr-CA"/>
        </w:rPr>
      </w:pPr>
      <w:r>
        <w:rPr>
          <w:rStyle w:val="SCCCounselNameChar"/>
          <w:lang w:val="fr-CA"/>
        </w:rPr>
        <w:tab/>
        <w:t>Andrew </w:t>
      </w:r>
      <w:r w:rsidR="00337655" w:rsidRPr="00F427B7">
        <w:rPr>
          <w:rStyle w:val="SCCCounselNameChar"/>
          <w:lang w:val="fr-CA"/>
        </w:rPr>
        <w:t>K. Lokan</w:t>
      </w:r>
      <w:r w:rsidR="00651779">
        <w:rPr>
          <w:rStyle w:val="SCCCounselNameChar"/>
          <w:lang w:val="fr-CA"/>
        </w:rPr>
        <w:t xml:space="preserve"> </w:t>
      </w:r>
      <w:r w:rsidR="00207F59">
        <w:rPr>
          <w:rStyle w:val="SCCCounselNameChar"/>
          <w:i w:val="0"/>
          <w:lang w:val="fr-CA"/>
        </w:rPr>
        <w:t>et</w:t>
      </w:r>
      <w:r w:rsidR="00651779" w:rsidRPr="004A464A">
        <w:rPr>
          <w:rStyle w:val="SCCCounselNameChar"/>
          <w:i w:val="0"/>
          <w:lang w:val="fr-CA"/>
        </w:rPr>
        <w:t xml:space="preserve"> </w:t>
      </w:r>
      <w:r w:rsidR="00651779" w:rsidRPr="004A464A">
        <w:rPr>
          <w:rStyle w:val="SCCCounselNameChar"/>
          <w:lang w:val="fr-CA"/>
        </w:rPr>
        <w:t>Lauren Pearce</w:t>
      </w:r>
      <w:r w:rsidR="00337655" w:rsidRPr="004A464A">
        <w:rPr>
          <w:rStyle w:val="SCCCounselPartyRoleChar"/>
          <w:lang w:val="fr-CA"/>
        </w:rPr>
        <w:t>, pour</w:t>
      </w:r>
      <w:r w:rsidR="00337655" w:rsidRPr="00F427B7">
        <w:rPr>
          <w:rStyle w:val="SCCCounselPartyRoleChar"/>
          <w:lang w:val="fr-CA"/>
        </w:rPr>
        <w:t xml:space="preserve"> l</w:t>
      </w:r>
      <w:r w:rsidR="006709B9">
        <w:rPr>
          <w:rStyle w:val="SCCCounselPartyRoleChar"/>
          <w:lang w:val="fr-CA"/>
        </w:rPr>
        <w:t>’</w:t>
      </w:r>
      <w:r w:rsidR="00337655">
        <w:rPr>
          <w:rStyle w:val="SCCCounselPartyRoleChar"/>
          <w:lang w:val="fr-CA"/>
        </w:rPr>
        <w:t>intervenante l</w:t>
      </w:r>
      <w:r w:rsidR="006709B9">
        <w:rPr>
          <w:rStyle w:val="SCCCounselPartyRoleChar"/>
          <w:lang w:val="fr-CA"/>
        </w:rPr>
        <w:t>’</w:t>
      </w:r>
      <w:r w:rsidR="00257A27">
        <w:rPr>
          <w:rStyle w:val="SCCCounselPartyRoleChar"/>
          <w:lang w:val="fr-CA"/>
        </w:rPr>
        <w:t xml:space="preserve">Association </w:t>
      </w:r>
      <w:r w:rsidR="00257A27" w:rsidRPr="006F2B02">
        <w:rPr>
          <w:rStyle w:val="SCCCounselPartyRoleChar"/>
          <w:lang w:val="fr-CA"/>
        </w:rPr>
        <w:t>canadienne des libertés c</w:t>
      </w:r>
      <w:r w:rsidR="00337655" w:rsidRPr="006F2B02">
        <w:rPr>
          <w:rStyle w:val="SCCCounselPartyRoleChar"/>
          <w:lang w:val="fr-CA"/>
        </w:rPr>
        <w:t>iviles.</w:t>
      </w:r>
    </w:p>
    <w:p w14:paraId="3F33FBAF" w14:textId="0B77DFEC" w:rsidR="00B3086A" w:rsidRPr="00417DDD" w:rsidRDefault="00B3086A" w:rsidP="00417DDD">
      <w:pPr>
        <w:spacing w:after="480"/>
        <w:ind w:left="1166"/>
        <w:rPr>
          <w:szCs w:val="24"/>
          <w:lang w:val="fr-CA"/>
        </w:rPr>
      </w:pPr>
      <w:r w:rsidRPr="007A51A0">
        <w:rPr>
          <w:szCs w:val="24"/>
          <w:lang w:val="fr-CA"/>
        </w:rPr>
        <w:t>Version française du jugement de la Cour rendu par</w:t>
      </w:r>
    </w:p>
    <w:p w14:paraId="484B3141" w14:textId="3F5CD05E" w:rsidR="00B3086A" w:rsidRPr="0054385F" w:rsidRDefault="00207F59" w:rsidP="00B3086A">
      <w:pPr>
        <w:pStyle w:val="ParaNoNdepar-AltN"/>
        <w:spacing w:before="0"/>
        <w:rPr>
          <w:rFonts w:cs="Times New Roman"/>
          <w:lang w:val="fr-CA"/>
        </w:rPr>
      </w:pPr>
      <w:r w:rsidRPr="00207F59">
        <w:rPr>
          <w:smallCaps/>
          <w:lang w:val="fr-CA"/>
        </w:rPr>
        <w:t>La juge Karakatsanis</w:t>
      </w:r>
      <w:r w:rsidRPr="00207F59">
        <w:rPr>
          <w:lang w:val="fr-CA"/>
        </w:rPr>
        <w:t xml:space="preserve"> — </w:t>
      </w:r>
      <w:r w:rsidR="00B3086A" w:rsidRPr="0054385F">
        <w:rPr>
          <w:rFonts w:cs="Times New Roman"/>
          <w:lang w:val="fr-CA"/>
        </w:rPr>
        <w:t xml:space="preserve">Le présent pourvoi, ainsi que le pourvoi connexe, </w:t>
      </w:r>
      <w:r w:rsidR="00B3086A" w:rsidRPr="0054385F">
        <w:rPr>
          <w:rFonts w:cs="Times New Roman"/>
          <w:i/>
          <w:lang w:val="fr-CA"/>
        </w:rPr>
        <w:t>Colombie</w:t>
      </w:r>
      <w:r w:rsidR="00B3086A" w:rsidRPr="0054385F">
        <w:rPr>
          <w:rFonts w:cs="Times New Roman"/>
          <w:i/>
          <w:lang w:val="fr-CA"/>
        </w:rPr>
        <w:noBreakHyphen/>
        <w:t>Britannique (Procureur général) c. Provincial Court Judges’ Association of British Columbia</w:t>
      </w:r>
      <w:r w:rsidR="00B3086A" w:rsidRPr="0054385F">
        <w:rPr>
          <w:rFonts w:cs="Times New Roman"/>
          <w:lang w:val="fr-CA"/>
        </w:rPr>
        <w:t xml:space="preserve">, </w:t>
      </w:r>
      <w:r w:rsidR="00B3086A">
        <w:rPr>
          <w:rFonts w:cs="Times New Roman"/>
          <w:lang w:val="fr-CA"/>
        </w:rPr>
        <w:t>2020 CSC </w:t>
      </w:r>
      <w:r w:rsidR="00B3086A" w:rsidRPr="0054385F">
        <w:rPr>
          <w:rFonts w:cs="Times New Roman"/>
          <w:lang w:val="fr-CA"/>
        </w:rPr>
        <w:t>20</w:t>
      </w:r>
      <w:r w:rsidR="00B80CCB">
        <w:rPr>
          <w:rFonts w:cs="Times New Roman"/>
          <w:lang w:val="fr-CA"/>
        </w:rPr>
        <w:t xml:space="preserve">, </w:t>
      </w:r>
      <w:r w:rsidR="00B80CCB">
        <w:rPr>
          <w:lang w:val="fr-CA"/>
        </w:rPr>
        <w:t>[2020] </w:t>
      </w:r>
      <w:r w:rsidR="00C84F4A">
        <w:rPr>
          <w:lang w:val="fr-CA"/>
        </w:rPr>
        <w:t>2</w:t>
      </w:r>
      <w:r w:rsidR="005335AD">
        <w:rPr>
          <w:lang w:val="fr-CA"/>
        </w:rPr>
        <w:t xml:space="preserve"> R.C.S. 506</w:t>
      </w:r>
      <w:r w:rsidR="00B3086A" w:rsidRPr="0054385F">
        <w:rPr>
          <w:rFonts w:cs="Times New Roman"/>
          <w:lang w:val="fr-CA"/>
        </w:rPr>
        <w:t>, requièrent de notre Cour qu’elle mette en équilibre plusieurs impératifs constitutionnels : la dimension financière de l’indépendance judiciaire, la responsabilité que partagent l’exécutif et le législatif quant à la prise de décisions concernant les deniers publics et l’intérêt du public à ce que l’exécutif puisse mener ses affaires internes confidentiellement.</w:t>
      </w:r>
    </w:p>
    <w:p w14:paraId="07AD6BCD" w14:textId="77777777" w:rsidR="00B3086A" w:rsidRPr="0054385F" w:rsidRDefault="00B3086A" w:rsidP="00B3086A">
      <w:pPr>
        <w:pStyle w:val="ParaNoNdepar-AltN"/>
        <w:spacing w:before="0"/>
        <w:rPr>
          <w:rFonts w:cs="Times New Roman"/>
          <w:lang w:val="fr-CA"/>
        </w:rPr>
      </w:pPr>
      <w:r w:rsidRPr="0054385F">
        <w:rPr>
          <w:rFonts w:cs="Times New Roman"/>
          <w:lang w:val="fr-CA"/>
        </w:rPr>
        <w:t>Les pourvois portent sur la question de savoir si un document confidentiel du Cabinet peut faire partie du dossier en cas de contrôle judiciaire de la réponse d’un gouvernement aux recommandations d’une commission d’examen de la rémunération des juges. Ils soulèvent en outre la question de savoir si la production d’un tel document du Cabinet est néanmoins interdite pour des raisons liées à l’immunité d’intérêt public.</w:t>
      </w:r>
    </w:p>
    <w:p w14:paraId="230D3B24" w14:textId="77777777" w:rsidR="00B3086A" w:rsidRPr="0054385F" w:rsidRDefault="00B3086A" w:rsidP="00B3086A">
      <w:pPr>
        <w:pStyle w:val="ParaNoNdepar-AltN"/>
        <w:spacing w:before="0"/>
        <w:rPr>
          <w:rFonts w:cs="Times New Roman"/>
          <w:lang w:val="fr-CA"/>
        </w:rPr>
      </w:pPr>
      <w:r w:rsidRPr="0054385F">
        <w:rPr>
          <w:rFonts w:cs="Times New Roman"/>
          <w:lang w:val="fr-CA"/>
        </w:rPr>
        <w:t>En l’espèce, les tribunaux de la Nouvelle</w:t>
      </w:r>
      <w:r w:rsidRPr="0054385F">
        <w:rPr>
          <w:rFonts w:cs="Times New Roman"/>
          <w:lang w:val="fr-CA"/>
        </w:rPr>
        <w:noBreakHyphen/>
        <w:t>Écosse ont examiné le rapport soumis au Cabinet par la procureure générale de l’époque en Nouvelle</w:t>
      </w:r>
      <w:r w:rsidRPr="0054385F">
        <w:rPr>
          <w:rFonts w:cs="Times New Roman"/>
          <w:lang w:val="fr-CA"/>
        </w:rPr>
        <w:noBreakHyphen/>
        <w:t>Écosse et ils ont jugé qu’il s’agissait d’un document pertinent et non protégé par l’immunité d’intérêt public. Les tribunaux ont déclaré que les portions du rapport non visées par le secret professionnel de l’avocat font partie du dossier du contrôle judiciaire et doivent être produites par le procureur général.</w:t>
      </w:r>
    </w:p>
    <w:p w14:paraId="4DA2993D" w14:textId="77777777" w:rsidR="00B3086A" w:rsidRPr="0054385F" w:rsidRDefault="00B3086A" w:rsidP="00B3086A">
      <w:pPr>
        <w:pStyle w:val="ParaNoNdepar-AltN"/>
        <w:rPr>
          <w:rFonts w:cs="Times New Roman"/>
          <w:lang w:val="fr-CA"/>
        </w:rPr>
      </w:pPr>
      <w:r w:rsidRPr="0054385F">
        <w:rPr>
          <w:rFonts w:cs="Times New Roman"/>
          <w:lang w:val="fr-CA"/>
        </w:rPr>
        <w:t xml:space="preserve">Le présent pourvoi doit être tranché conformément au cadre élaboré dans le pourvoi connexe. Ce cadre permet de déterminer si des documents confidentiels du Cabinet peuvent faire partie du dossier lors d’un contrôle conformément à l’arrêt </w:t>
      </w:r>
      <w:r w:rsidRPr="0054385F">
        <w:rPr>
          <w:rFonts w:cs="Times New Roman"/>
          <w:i/>
          <w:lang w:val="fr-CA"/>
        </w:rPr>
        <w:t>Bodner c. Alberta</w:t>
      </w:r>
      <w:r w:rsidRPr="0054385F">
        <w:rPr>
          <w:rFonts w:cs="Times New Roman"/>
          <w:lang w:val="fr-CA"/>
        </w:rPr>
        <w:t>, 2005 CSC 44, [2005] 2 R.C.S. 286</w:t>
      </w:r>
      <w:r w:rsidRPr="0073316E">
        <w:rPr>
          <w:rStyle w:val="Hyperlink"/>
          <w:vertAlign w:val="superscript"/>
        </w:rPr>
        <w:footnoteReference w:id="1"/>
      </w:r>
      <w:r w:rsidRPr="0054385F">
        <w:rPr>
          <w:rFonts w:cs="Times New Roman"/>
          <w:lang w:val="fr-CA"/>
        </w:rPr>
        <w:t>, une forme limitée de contrôle judiciaire appliquée à l’égard de la réponse d</w:t>
      </w:r>
      <w:r>
        <w:rPr>
          <w:rFonts w:cs="Times New Roman"/>
          <w:lang w:val="fr-CA"/>
        </w:rPr>
        <w:t>’un</w:t>
      </w:r>
      <w:r w:rsidRPr="0054385F">
        <w:rPr>
          <w:rFonts w:cs="Times New Roman"/>
          <w:lang w:val="fr-CA"/>
        </w:rPr>
        <w:t xml:space="preserve"> gouvernement aux recommandations d’une commission d’examen de la rémunération des juges.</w:t>
      </w:r>
    </w:p>
    <w:p w14:paraId="71DD85BC" w14:textId="77777777" w:rsidR="00B3086A" w:rsidRPr="0054385F" w:rsidRDefault="00B3086A" w:rsidP="00B3086A">
      <w:pPr>
        <w:pStyle w:val="ParaNoNdepar-AltN"/>
        <w:spacing w:before="0"/>
        <w:rPr>
          <w:rFonts w:cs="Times New Roman"/>
          <w:lang w:val="fr-CA"/>
        </w:rPr>
      </w:pPr>
      <w:r w:rsidRPr="0054385F">
        <w:rPr>
          <w:rFonts w:cs="Times New Roman"/>
          <w:lang w:val="fr-CA"/>
        </w:rPr>
        <w:t>Appliquant ce cadre d’analyse</w:t>
      </w:r>
      <w:r>
        <w:rPr>
          <w:rFonts w:cs="Times New Roman"/>
          <w:lang w:val="fr-CA"/>
        </w:rPr>
        <w:t xml:space="preserve"> au présent appel</w:t>
      </w:r>
      <w:r w:rsidRPr="0054385F">
        <w:rPr>
          <w:rFonts w:cs="Times New Roman"/>
          <w:lang w:val="fr-CA"/>
        </w:rPr>
        <w:t xml:space="preserve">, je conclus qu’il existe des raisons de croire que le rapport de la procureure générale pourrait contenir des éléments de preuve tendant à démontrer que le gouvernement n’a pas satisfait à une exigence de l’analyse établie dans l’arrêt </w:t>
      </w:r>
      <w:r w:rsidRPr="0054385F">
        <w:rPr>
          <w:rFonts w:cs="Times New Roman"/>
          <w:i/>
          <w:lang w:val="fr-CA"/>
        </w:rPr>
        <w:t>Bodner</w:t>
      </w:r>
      <w:r w:rsidRPr="0054385F">
        <w:rPr>
          <w:rFonts w:cs="Times New Roman"/>
          <w:lang w:val="fr-CA"/>
        </w:rPr>
        <w:t>. Les motifs avancés publiquement pour justifier la décision du gouvernement d’écarter la hausse de rémunération recommandée par la commission font naître des raisons de croire que le gouvernement pourrait s’être fondé sur des considérations illégitimes et ne pas avoir respecté le mécanisme d’examen de la commission.</w:t>
      </w:r>
    </w:p>
    <w:p w14:paraId="5A606F90" w14:textId="77777777" w:rsidR="00B3086A" w:rsidRPr="0054385F" w:rsidRDefault="00B3086A" w:rsidP="00B3086A">
      <w:pPr>
        <w:pStyle w:val="ParaNoNdepar-AltN"/>
        <w:spacing w:before="0"/>
        <w:rPr>
          <w:rFonts w:cs="Times New Roman"/>
          <w:lang w:val="fr-CA"/>
        </w:rPr>
      </w:pPr>
      <w:r w:rsidRPr="0054385F">
        <w:rPr>
          <w:rFonts w:cs="Times New Roman"/>
          <w:lang w:val="fr-CA"/>
        </w:rPr>
        <w:t>Après consultation du rapport de la procureure générale, j’arrive à la conclusion que seulement deux portions de celui</w:t>
      </w:r>
      <w:r w:rsidRPr="0054385F">
        <w:rPr>
          <w:rFonts w:cs="Times New Roman"/>
          <w:lang w:val="fr-CA"/>
        </w:rPr>
        <w:noBreakHyphen/>
        <w:t xml:space="preserve">ci — l’analyse des implications à l’échelle gouvernementale et le plan de communications — contiennent certains éléments de preuve indiquant que le gouvernement pourrait ne pas avoir satisfait à l’analyse établie dans </w:t>
      </w:r>
      <w:r w:rsidRPr="0054385F">
        <w:rPr>
          <w:rFonts w:cs="Times New Roman"/>
          <w:i/>
          <w:lang w:val="fr-CA"/>
        </w:rPr>
        <w:t>Bodner</w:t>
      </w:r>
      <w:r w:rsidRPr="0054385F">
        <w:rPr>
          <w:rFonts w:cs="Times New Roman"/>
          <w:lang w:val="fr-CA"/>
        </w:rPr>
        <w:t>. Pour ce qui est du reste du rapport, il est soit protégé par le secret professionnel de l’avocat, soit dénué d’éléments de preuve de ce genre, et il ne fera pas partie du dossier.</w:t>
      </w:r>
    </w:p>
    <w:p w14:paraId="40A4C14D" w14:textId="77777777" w:rsidR="00B3086A" w:rsidRPr="0054385F" w:rsidRDefault="00B3086A" w:rsidP="00B3086A">
      <w:pPr>
        <w:pStyle w:val="ParaNoNdepar-AltN"/>
        <w:spacing w:before="0"/>
        <w:rPr>
          <w:rFonts w:cs="Times New Roman"/>
          <w:lang w:val="fr-CA"/>
        </w:rPr>
      </w:pPr>
      <w:r w:rsidRPr="0054385F">
        <w:rPr>
          <w:rFonts w:cs="Times New Roman"/>
          <w:lang w:val="fr-CA"/>
        </w:rPr>
        <w:t>Comme l’analyse des implications à l’échelle gouvernementale et le plan de communications font état de questions susceptibles d’avoir été considérées par le Cabinet, je me penche finalement sur la question de l’immunité d’intérêt public, et je conclus que l’intérêt du public à ce que ces portions du rapport de la procureure générale demeurent confidentielles est supplanté par l’intérêt du public à ce qu’elles soient divulguées. Bien que plusieurs facteurs militent en faveur du maintien de la confidentialité de ces portions, ils sont supplantés par l’importance de celles</w:t>
      </w:r>
      <w:r w:rsidRPr="0054385F">
        <w:rPr>
          <w:rFonts w:cs="Times New Roman"/>
          <w:lang w:val="fr-CA"/>
        </w:rPr>
        <w:noBreakHyphen/>
        <w:t xml:space="preserve">ci pour permettre au tribunal de statuer au fond sur le contrôle de type </w:t>
      </w:r>
      <w:r w:rsidRPr="0054385F">
        <w:rPr>
          <w:rFonts w:cs="Times New Roman"/>
          <w:i/>
          <w:lang w:val="fr-CA"/>
        </w:rPr>
        <w:t>Bodner</w:t>
      </w:r>
      <w:r w:rsidRPr="0054385F">
        <w:rPr>
          <w:rFonts w:cs="Times New Roman"/>
          <w:lang w:val="fr-CA"/>
        </w:rPr>
        <w:t>.</w:t>
      </w:r>
    </w:p>
    <w:p w14:paraId="0B988696"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Par conséquent, seules certaines portions du rapport de la procureure générale — l’analyse des implications à l’échelle gouvernementale et le plan de communications — doivent être produites en preuve dans le cadre du contrôle de type </w:t>
      </w:r>
      <w:r w:rsidRPr="0054385F">
        <w:rPr>
          <w:rFonts w:cs="Times New Roman"/>
          <w:i/>
          <w:lang w:val="fr-CA"/>
        </w:rPr>
        <w:t>Bodner</w:t>
      </w:r>
      <w:r w:rsidRPr="0054385F">
        <w:rPr>
          <w:rFonts w:cs="Times New Roman"/>
          <w:lang w:val="fr-CA"/>
        </w:rPr>
        <w:t>. Cela dit, ces extraits ne sont que quelques</w:t>
      </w:r>
      <w:r w:rsidRPr="0054385F">
        <w:rPr>
          <w:rFonts w:cs="Times New Roman"/>
          <w:lang w:val="fr-CA"/>
        </w:rPr>
        <w:noBreakHyphen/>
        <w:t>uns des éléments de preuve qu’examinera la Cour suprême de la Nouvelle</w:t>
      </w:r>
      <w:r w:rsidRPr="0054385F">
        <w:rPr>
          <w:rFonts w:cs="Times New Roman"/>
          <w:lang w:val="fr-CA"/>
        </w:rPr>
        <w:noBreakHyphen/>
        <w:t>Écosse afin de se prononcer sur le fond du contrôle judiciaire de la réponse du gouvernement.</w:t>
      </w:r>
    </w:p>
    <w:p w14:paraId="756FD346" w14:textId="77777777" w:rsidR="00B3086A" w:rsidRPr="0054385F" w:rsidRDefault="00B3086A" w:rsidP="00B3086A">
      <w:pPr>
        <w:pStyle w:val="ParaNoNdepar-AltN"/>
        <w:spacing w:before="0"/>
        <w:rPr>
          <w:rFonts w:cs="Times New Roman"/>
          <w:lang w:val="fr-CA"/>
        </w:rPr>
      </w:pPr>
      <w:r w:rsidRPr="0054385F">
        <w:rPr>
          <w:rFonts w:cs="Times New Roman"/>
          <w:lang w:val="fr-CA"/>
        </w:rPr>
        <w:t>Pour les motifs qui suivent, je suis d’avis d’accueillir le pourvoi en partie.</w:t>
      </w:r>
    </w:p>
    <w:p w14:paraId="5E0919C4" w14:textId="77777777" w:rsidR="00B3086A" w:rsidRPr="0054385F" w:rsidRDefault="00B3086A" w:rsidP="00B3086A">
      <w:pPr>
        <w:pStyle w:val="Title1LevelTitre1Niveau-AltL"/>
        <w:spacing w:before="0"/>
        <w:rPr>
          <w:rFonts w:cs="Times New Roman"/>
        </w:rPr>
      </w:pPr>
      <w:r w:rsidRPr="0054385F">
        <w:rPr>
          <w:rFonts w:cs="Times New Roman"/>
          <w:lang w:val="fr-CA"/>
        </w:rPr>
        <w:t>Contexte</w:t>
      </w:r>
    </w:p>
    <w:p w14:paraId="1E2E5F6E" w14:textId="77777777" w:rsidR="00B3086A" w:rsidRPr="0054385F" w:rsidRDefault="00B3086A" w:rsidP="00B3086A">
      <w:pPr>
        <w:pStyle w:val="Title2LevelTitre2Niveau"/>
        <w:spacing w:before="0"/>
        <w:rPr>
          <w:rFonts w:cs="Times New Roman"/>
        </w:rPr>
      </w:pPr>
      <w:r w:rsidRPr="0054385F">
        <w:rPr>
          <w:rFonts w:cs="Times New Roman"/>
        </w:rPr>
        <w:t>Provincial Court Act, R.S.N.S. 1989, c. 238</w:t>
      </w:r>
    </w:p>
    <w:p w14:paraId="740FAFA9"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Dans le </w:t>
      </w:r>
      <w:r w:rsidRPr="0054385F">
        <w:rPr>
          <w:rFonts w:cs="Times New Roman"/>
          <w:i/>
          <w:lang w:val="fr-CA"/>
        </w:rPr>
        <w:t>Renvoi relatif à la rémunération des juges de la Cour provinciale de l’Île</w:t>
      </w:r>
      <w:r w:rsidRPr="0054385F">
        <w:rPr>
          <w:rFonts w:cs="Times New Roman"/>
          <w:i/>
          <w:lang w:val="fr-CA"/>
        </w:rPr>
        <w:noBreakHyphen/>
        <w:t>du</w:t>
      </w:r>
      <w:r w:rsidRPr="0054385F">
        <w:rPr>
          <w:rFonts w:cs="Times New Roman"/>
          <w:i/>
          <w:lang w:val="fr-CA"/>
        </w:rPr>
        <w:noBreakHyphen/>
        <w:t>Prince</w:t>
      </w:r>
      <w:r w:rsidRPr="0054385F">
        <w:rPr>
          <w:rFonts w:cs="Times New Roman"/>
          <w:i/>
          <w:lang w:val="fr-CA"/>
        </w:rPr>
        <w:noBreakHyphen/>
        <w:t>Édouard</w:t>
      </w:r>
      <w:r w:rsidRPr="0054385F">
        <w:rPr>
          <w:rFonts w:cs="Times New Roman"/>
          <w:lang w:val="fr-CA"/>
        </w:rPr>
        <w:t>, [1997] 3 R.C.S. 3 (</w:t>
      </w:r>
      <w:r w:rsidRPr="0054385F">
        <w:rPr>
          <w:rFonts w:cs="Times New Roman"/>
          <w:i/>
          <w:lang w:val="fr-CA"/>
        </w:rPr>
        <w:t>Renvoi relatif aux juges de la Cour provinciale</w:t>
      </w:r>
      <w:r w:rsidRPr="0054385F">
        <w:rPr>
          <w:rFonts w:cs="Times New Roman"/>
          <w:lang w:val="fr-CA"/>
        </w:rPr>
        <w:t xml:space="preserve">), notre Cour a énoncé les exigences constitutionnelles de base à respecter en vue de la modification de la rémunération des juges. La </w:t>
      </w:r>
      <w:r w:rsidRPr="0054385F">
        <w:rPr>
          <w:rFonts w:cs="Times New Roman"/>
          <w:i/>
          <w:lang w:val="fr-CA"/>
        </w:rPr>
        <w:t>Provincial Court Act</w:t>
      </w:r>
      <w:r w:rsidRPr="0054385F">
        <w:rPr>
          <w:rFonts w:cs="Times New Roman"/>
          <w:lang w:val="fr-CA"/>
        </w:rPr>
        <w:t xml:space="preserve"> met en œuvre ces exigences en Nouvelle</w:t>
      </w:r>
      <w:r w:rsidRPr="0054385F">
        <w:rPr>
          <w:rFonts w:cs="Times New Roman"/>
          <w:lang w:val="fr-CA"/>
        </w:rPr>
        <w:noBreakHyphen/>
        <w:t>Écosse.</w:t>
      </w:r>
    </w:p>
    <w:p w14:paraId="18D2E926" w14:textId="77777777" w:rsidR="00B3086A" w:rsidRPr="0054385F" w:rsidRDefault="00B3086A" w:rsidP="00B3086A">
      <w:pPr>
        <w:pStyle w:val="ParaNoNdepar-AltN"/>
        <w:spacing w:before="0"/>
        <w:rPr>
          <w:rFonts w:cs="Times New Roman"/>
          <w:lang w:val="fr-CA"/>
        </w:rPr>
      </w:pPr>
      <w:r w:rsidRPr="0054385F">
        <w:rPr>
          <w:rFonts w:cs="Times New Roman"/>
          <w:lang w:val="fr-CA"/>
        </w:rPr>
        <w:t>En Nouvelle</w:t>
      </w:r>
      <w:r w:rsidRPr="0054385F">
        <w:rPr>
          <w:rFonts w:cs="Times New Roman"/>
          <w:lang w:val="fr-CA"/>
        </w:rPr>
        <w:noBreakHyphen/>
        <w:t xml:space="preserve">Écosse, une commission triennale appelée </w:t>
      </w:r>
      <w:r>
        <w:rPr>
          <w:rFonts w:cs="Times New Roman"/>
          <w:lang w:val="fr-CA"/>
        </w:rPr>
        <w:t>Provincial Judges’ Salaries</w:t>
      </w:r>
      <w:r w:rsidRPr="0054385F">
        <w:rPr>
          <w:rFonts w:cs="Times New Roman"/>
          <w:lang w:val="fr-CA"/>
        </w:rPr>
        <w:t xml:space="preserve"> and Benefits Tribunal (commission) est chargée de formuler des recommandations à propos des traitements, avantages et pensions des juges de la Cour provinciale et du Tribunal de la famille sur la base des facteurs prescrits et des autres facteurs que la commission juge pertinents : </w:t>
      </w:r>
      <w:r w:rsidRPr="0054385F">
        <w:rPr>
          <w:rFonts w:cs="Times New Roman"/>
          <w:i/>
          <w:lang w:val="fr-CA"/>
        </w:rPr>
        <w:t>Provincial Court Act</w:t>
      </w:r>
      <w:r w:rsidRPr="0054385F">
        <w:rPr>
          <w:rFonts w:cs="Times New Roman"/>
          <w:lang w:val="fr-CA"/>
        </w:rPr>
        <w:t>, art. 21E. La commission présente ses recommandations dans un rapport adressé au ministre de la Justice, qui le transmet à son tour au lieutenant</w:t>
      </w:r>
      <w:r w:rsidRPr="0054385F">
        <w:rPr>
          <w:rFonts w:cs="Times New Roman"/>
          <w:lang w:val="fr-CA"/>
        </w:rPr>
        <w:noBreakHyphen/>
        <w:t>gouverneur en conseil : art. 21H(2) et 21K(1)</w:t>
      </w:r>
      <w:r w:rsidRPr="0073316E">
        <w:rPr>
          <w:rStyle w:val="Hyperlink"/>
          <w:vertAlign w:val="superscript"/>
        </w:rPr>
        <w:footnoteReference w:id="2"/>
      </w:r>
      <w:r w:rsidRPr="0054385F">
        <w:rPr>
          <w:rFonts w:cs="Times New Roman"/>
          <w:lang w:val="fr-CA"/>
        </w:rPr>
        <w:t>.</w:t>
      </w:r>
    </w:p>
    <w:p w14:paraId="6E4708EE"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Avant 2016, les recommandations de la commission avaient un caractère contraignant. Elles étaient automatiquement mises en œuvre, sauf si elles requéraient des modifications de nature législative. En pareils cas, le ministre de la Justice devait déposer le projet de loi nécessaire à l’Assemblée législative : voir </w:t>
      </w:r>
      <w:r w:rsidRPr="0054385F">
        <w:rPr>
          <w:rFonts w:cs="Times New Roman"/>
          <w:i/>
          <w:lang w:val="fr-CA"/>
        </w:rPr>
        <w:t>An Act to Amend Chapter 238 of the Revised Statutes, 1989, the Provincial Court Act</w:t>
      </w:r>
      <w:r w:rsidRPr="0054385F">
        <w:rPr>
          <w:rFonts w:cs="Times New Roman"/>
          <w:lang w:val="fr-CA"/>
        </w:rPr>
        <w:t xml:space="preserve">, S.N.S. 1998, c. 7, art. 1, qui édicte les art. 21J et 21K de la </w:t>
      </w:r>
      <w:r w:rsidRPr="0054385F">
        <w:rPr>
          <w:rFonts w:cs="Times New Roman"/>
          <w:i/>
          <w:lang w:val="fr-CA"/>
        </w:rPr>
        <w:t>Provincial Court Act</w:t>
      </w:r>
      <w:r w:rsidRPr="0054385F">
        <w:rPr>
          <w:rFonts w:cs="Times New Roman"/>
          <w:lang w:val="fr-CA"/>
        </w:rPr>
        <w:t>.</w:t>
      </w:r>
    </w:p>
    <w:p w14:paraId="362E8028" w14:textId="3290CA4E" w:rsidR="00B3086A" w:rsidRPr="0054385F" w:rsidRDefault="00B3086A" w:rsidP="00B3086A">
      <w:pPr>
        <w:pStyle w:val="ParaNoNdepar-AltN"/>
        <w:spacing w:before="0"/>
        <w:rPr>
          <w:rFonts w:cs="Times New Roman"/>
          <w:lang w:val="fr-CA"/>
        </w:rPr>
      </w:pPr>
      <w:r w:rsidRPr="0054385F">
        <w:rPr>
          <w:rFonts w:cs="Times New Roman"/>
          <w:lang w:val="fr-CA"/>
        </w:rPr>
        <w:t>En 2016, la législature de la Nouvelle</w:t>
      </w:r>
      <w:r w:rsidRPr="0054385F">
        <w:rPr>
          <w:rFonts w:cs="Times New Roman"/>
          <w:lang w:val="fr-CA"/>
        </w:rPr>
        <w:noBreakHyphen/>
        <w:t xml:space="preserve">Écosse a modifié la </w:t>
      </w:r>
      <w:r w:rsidRPr="0054385F">
        <w:rPr>
          <w:rFonts w:cs="Times New Roman"/>
          <w:i/>
          <w:lang w:val="fr-CA"/>
        </w:rPr>
        <w:t>Provincial Court Act</w:t>
      </w:r>
      <w:r w:rsidRPr="0054385F">
        <w:rPr>
          <w:rFonts w:cs="Times New Roman"/>
          <w:lang w:val="fr-CA"/>
        </w:rPr>
        <w:t xml:space="preserve"> pour accorder au lieutenant</w:t>
      </w:r>
      <w:r w:rsidRPr="0054385F">
        <w:rPr>
          <w:rFonts w:cs="Times New Roman"/>
          <w:lang w:val="fr-CA"/>
        </w:rPr>
        <w:noBreakHyphen/>
        <w:t xml:space="preserve">gouverneur en conseil le pouvoir de modifier ou de rejeter les recommandations de la commission : voir la </w:t>
      </w:r>
      <w:r w:rsidRPr="0054385F">
        <w:rPr>
          <w:rFonts w:cs="Times New Roman"/>
          <w:i/>
          <w:lang w:val="fr-CA"/>
        </w:rPr>
        <w:t>Financial Measures (2016) Act</w:t>
      </w:r>
      <w:r w:rsidRPr="0054385F">
        <w:rPr>
          <w:rFonts w:cs="Times New Roman"/>
          <w:lang w:val="fr-CA"/>
        </w:rPr>
        <w:t>, S.N.S. 2016, c. 2, art. 9, qui abroge</w:t>
      </w:r>
      <w:r w:rsidR="004F1C71">
        <w:rPr>
          <w:rFonts w:cs="Times New Roman"/>
          <w:lang w:val="fr-CA"/>
        </w:rPr>
        <w:t xml:space="preserve"> et remplace les art. 21J et 21</w:t>
      </w:r>
      <w:r w:rsidRPr="0054385F">
        <w:rPr>
          <w:rFonts w:cs="Times New Roman"/>
          <w:lang w:val="fr-CA"/>
        </w:rPr>
        <w:t xml:space="preserve">K de la </w:t>
      </w:r>
      <w:r w:rsidRPr="0054385F">
        <w:rPr>
          <w:rFonts w:cs="Times New Roman"/>
          <w:i/>
          <w:lang w:val="fr-CA"/>
        </w:rPr>
        <w:t>Provincial Court Act</w:t>
      </w:r>
      <w:r w:rsidRPr="0054385F">
        <w:rPr>
          <w:rFonts w:cs="Times New Roman"/>
          <w:lang w:val="fr-CA"/>
        </w:rPr>
        <w:t>.</w:t>
      </w:r>
    </w:p>
    <w:p w14:paraId="30F75560" w14:textId="77777777" w:rsidR="00B3086A" w:rsidRPr="0054385F" w:rsidRDefault="00B3086A" w:rsidP="00B3086A">
      <w:pPr>
        <w:pStyle w:val="ParaNoNdepar-AltN"/>
        <w:spacing w:before="0"/>
        <w:rPr>
          <w:rFonts w:cs="Times New Roman"/>
          <w:lang w:val="fr-CA"/>
        </w:rPr>
      </w:pPr>
      <w:r w:rsidRPr="0054385F">
        <w:rPr>
          <w:rFonts w:cs="Times New Roman"/>
          <w:lang w:val="fr-CA"/>
        </w:rPr>
        <w:t>Une fois qu’il reçoit le rapport de la commission, le lieutenant</w:t>
      </w:r>
      <w:r w:rsidRPr="0054385F">
        <w:rPr>
          <w:rFonts w:cs="Times New Roman"/>
          <w:lang w:val="fr-CA"/>
        </w:rPr>
        <w:noBreakHyphen/>
        <w:t>gouverneur en conseil [</w:t>
      </w:r>
      <w:r w:rsidRPr="0054385F">
        <w:rPr>
          <w:rFonts w:cs="Times New Roman"/>
          <w:smallCaps/>
          <w:lang w:val="fr-CA"/>
        </w:rPr>
        <w:t>traduction</w:t>
      </w:r>
      <w:r w:rsidRPr="0054385F">
        <w:rPr>
          <w:rFonts w:cs="Times New Roman"/>
          <w:lang w:val="fr-CA"/>
        </w:rPr>
        <w:t xml:space="preserve">] « doit, sans délai, confirmer, modifier ou rejeter chacune des recommandations » formulées par la commission : </w:t>
      </w:r>
      <w:r w:rsidRPr="0054385F">
        <w:rPr>
          <w:rFonts w:cs="Times New Roman"/>
          <w:i/>
          <w:lang w:val="fr-CA"/>
        </w:rPr>
        <w:t>Provincial Court Act</w:t>
      </w:r>
      <w:r w:rsidRPr="0054385F">
        <w:rPr>
          <w:rFonts w:cs="Times New Roman"/>
          <w:lang w:val="fr-CA"/>
        </w:rPr>
        <w:t>, art. 21K(2). En cas de modification ou de rejet d’une recommandation, cette décision doit être motivée : art. 21K(3). Le lieutenant</w:t>
      </w:r>
      <w:r w:rsidRPr="0054385F">
        <w:rPr>
          <w:rFonts w:cs="Times New Roman"/>
          <w:lang w:val="fr-CA"/>
        </w:rPr>
        <w:noBreakHyphen/>
        <w:t>gouverneur en conseil « doit, sans délai, faire mettre en œuvre les recommandations confirmées ou modifiées » : art. 21K(4).</w:t>
      </w:r>
    </w:p>
    <w:p w14:paraId="1B930B5C" w14:textId="77777777" w:rsidR="00B3086A" w:rsidRPr="0054385F" w:rsidRDefault="00B3086A" w:rsidP="00B3086A">
      <w:pPr>
        <w:pStyle w:val="Title2LevelTitre2Niveau"/>
        <w:spacing w:before="0"/>
        <w:rPr>
          <w:rFonts w:cs="Times New Roman"/>
        </w:rPr>
      </w:pPr>
      <w:r w:rsidRPr="0054385F">
        <w:rPr>
          <w:rFonts w:cs="Times New Roman"/>
        </w:rPr>
        <w:t>Réponse du gouvernement</w:t>
      </w:r>
    </w:p>
    <w:p w14:paraId="732786D6" w14:textId="77777777" w:rsidR="00B3086A" w:rsidRPr="0054385F" w:rsidRDefault="00B3086A" w:rsidP="00B3086A">
      <w:pPr>
        <w:pStyle w:val="ParaNoNdepar-AltN"/>
        <w:rPr>
          <w:rFonts w:cs="Times New Roman"/>
          <w:lang w:val="fr-CA"/>
        </w:rPr>
      </w:pPr>
      <w:r w:rsidRPr="0054385F">
        <w:rPr>
          <w:rFonts w:cs="Times New Roman"/>
          <w:lang w:val="fr-CA"/>
        </w:rPr>
        <w:t>Dans ses observations à la commission, le gouvernement de la Nouvelle</w:t>
      </w:r>
      <w:r w:rsidRPr="0054385F">
        <w:rPr>
          <w:rFonts w:cs="Times New Roman"/>
          <w:lang w:val="fr-CA"/>
        </w:rPr>
        <w:noBreakHyphen/>
        <w:t>Écosse a affirmé qu’une augmentation des traitements [</w:t>
      </w:r>
      <w:r w:rsidRPr="0054385F">
        <w:rPr>
          <w:rFonts w:cs="Times New Roman"/>
          <w:smallCaps/>
          <w:lang w:val="fr-CA"/>
        </w:rPr>
        <w:t>traduction</w:t>
      </w:r>
      <w:r w:rsidRPr="0054385F">
        <w:rPr>
          <w:rFonts w:cs="Times New Roman"/>
          <w:lang w:val="fr-CA"/>
        </w:rPr>
        <w:t xml:space="preserve">] « conforme aux prescriptions salariales applicables à la fonction publique » — à savoir aucune augmentation au cours des deux premières années et une augmentation d’un pour cent dans la dernière année — « serait convenable eu égard à l’ensemble des circonstances » : Nova Scotia Provincial Judges’ Salaries and Benefits Tribunal (2017-2020), </w:t>
      </w:r>
      <w:r w:rsidRPr="0054385F">
        <w:rPr>
          <w:rFonts w:cs="Times New Roman"/>
          <w:i/>
          <w:lang w:val="fr-CA"/>
        </w:rPr>
        <w:t>Report and Recommendations for the Period April 1, 2017 to March 31, 2020</w:t>
      </w:r>
      <w:r w:rsidRPr="0054385F">
        <w:rPr>
          <w:rFonts w:cs="Times New Roman"/>
          <w:lang w:val="fr-CA"/>
        </w:rPr>
        <w:t xml:space="preserve"> (novembre 2016) (en ligne), par. 39.</w:t>
      </w:r>
    </w:p>
    <w:p w14:paraId="4E6CA558" w14:textId="098E85DF" w:rsidR="00B3086A" w:rsidRPr="0054385F" w:rsidRDefault="00B3086A" w:rsidP="00B3086A">
      <w:pPr>
        <w:pStyle w:val="ParaNoNdepar-AltN"/>
        <w:spacing w:before="0"/>
        <w:rPr>
          <w:rFonts w:cs="Times New Roman"/>
          <w:lang w:val="fr-CA"/>
        </w:rPr>
      </w:pPr>
      <w:r w:rsidRPr="0054385F">
        <w:rPr>
          <w:rFonts w:cs="Times New Roman"/>
          <w:lang w:val="fr-CA"/>
        </w:rPr>
        <w:t>Dans son rapport de novembre 2016, la commission a signalé que le traitement versé aux juges de la Cour provinciale était inférieur à celui versé à leurs homologues dans les autres provinces et territoires, à l’exception de Terre</w:t>
      </w:r>
      <w:r w:rsidRPr="0054385F">
        <w:rPr>
          <w:rFonts w:cs="Times New Roman"/>
          <w:lang w:val="fr-CA"/>
        </w:rPr>
        <w:noBreakHyphen/>
        <w:t>Neuve</w:t>
      </w:r>
      <w:r w:rsidRPr="0054385F">
        <w:rPr>
          <w:rFonts w:cs="Times New Roman"/>
          <w:lang w:val="fr-CA"/>
        </w:rPr>
        <w:noBreakHyphen/>
        <w:t>et</w:t>
      </w:r>
      <w:r w:rsidRPr="0054385F">
        <w:rPr>
          <w:rFonts w:cs="Times New Roman"/>
          <w:lang w:val="fr-CA"/>
        </w:rPr>
        <w:noBreakHyphen/>
        <w:t xml:space="preserve">Labrador. Elle a recommandé une augmentation d’environ 5,5 </w:t>
      </w:r>
      <w:r w:rsidR="00E45F84">
        <w:rPr>
          <w:rFonts w:cs="Times New Roman"/>
          <w:lang w:val="fr-CA"/>
        </w:rPr>
        <w:t>p. 100</w:t>
      </w:r>
      <w:r w:rsidRPr="0054385F">
        <w:rPr>
          <w:rFonts w:cs="Times New Roman"/>
          <w:lang w:val="fr-CA"/>
        </w:rPr>
        <w:t xml:space="preserve"> des traitements des juges de la Cour provinciale pour l’exercice financier 2017</w:t>
      </w:r>
      <w:r w:rsidRPr="0054385F">
        <w:rPr>
          <w:rFonts w:cs="Times New Roman"/>
          <w:lang w:val="fr-CA"/>
        </w:rPr>
        <w:noBreakHyphen/>
        <w:t>2018, de même qu’une augmentation basée sur l’indice des prix à la consommation de Statistique Canada pour la Nouvelle</w:t>
      </w:r>
      <w:r w:rsidRPr="0054385F">
        <w:rPr>
          <w:rFonts w:cs="Times New Roman"/>
          <w:lang w:val="fr-CA"/>
        </w:rPr>
        <w:noBreakHyphen/>
        <w:t>Écosse en 2018</w:t>
      </w:r>
      <w:r w:rsidRPr="0054385F">
        <w:rPr>
          <w:rFonts w:cs="Times New Roman"/>
          <w:lang w:val="fr-CA"/>
        </w:rPr>
        <w:noBreakHyphen/>
        <w:t>2019 et 2019</w:t>
      </w:r>
      <w:r w:rsidRPr="0054385F">
        <w:rPr>
          <w:rFonts w:cs="Times New Roman"/>
          <w:lang w:val="fr-CA"/>
        </w:rPr>
        <w:noBreakHyphen/>
        <w:t xml:space="preserve">2020. Selon la méthodologie établie par la commission, cette recommandation aurait donné lieu à des augmentations de 1,2 </w:t>
      </w:r>
      <w:r w:rsidR="00E45F84">
        <w:rPr>
          <w:rFonts w:cs="Times New Roman"/>
          <w:lang w:val="fr-CA"/>
        </w:rPr>
        <w:t>p. 100</w:t>
      </w:r>
      <w:r w:rsidRPr="0054385F">
        <w:rPr>
          <w:rFonts w:cs="Times New Roman"/>
          <w:lang w:val="fr-CA"/>
        </w:rPr>
        <w:t xml:space="preserve"> en 2018</w:t>
      </w:r>
      <w:r w:rsidRPr="0054385F">
        <w:rPr>
          <w:rFonts w:cs="Times New Roman"/>
          <w:lang w:val="fr-CA"/>
        </w:rPr>
        <w:noBreakHyphen/>
        <w:t xml:space="preserve">2019 et de 2,2 </w:t>
      </w:r>
      <w:r w:rsidR="00E45F84">
        <w:rPr>
          <w:rFonts w:cs="Times New Roman"/>
          <w:lang w:val="fr-CA"/>
        </w:rPr>
        <w:t>p. 100</w:t>
      </w:r>
      <w:r w:rsidRPr="0054385F">
        <w:rPr>
          <w:rFonts w:cs="Times New Roman"/>
          <w:lang w:val="fr-CA"/>
        </w:rPr>
        <w:t xml:space="preserve"> en 2019</w:t>
      </w:r>
      <w:r w:rsidRPr="0054385F">
        <w:rPr>
          <w:rFonts w:cs="Times New Roman"/>
          <w:lang w:val="fr-CA"/>
        </w:rPr>
        <w:noBreakHyphen/>
        <w:t xml:space="preserve">2020, le tout aurait représenté une hausse totale d’environ 8,9 </w:t>
      </w:r>
      <w:r w:rsidR="00E45F84">
        <w:rPr>
          <w:rFonts w:cs="Times New Roman"/>
          <w:lang w:val="fr-CA"/>
        </w:rPr>
        <w:t>p. 100</w:t>
      </w:r>
      <w:r w:rsidRPr="0054385F">
        <w:rPr>
          <w:rFonts w:cs="Times New Roman"/>
          <w:lang w:val="fr-CA"/>
        </w:rPr>
        <w:t xml:space="preserve"> sur trois ans</w:t>
      </w:r>
      <w:r w:rsidRPr="0073316E">
        <w:rPr>
          <w:rStyle w:val="Hyperlink"/>
          <w:vertAlign w:val="superscript"/>
        </w:rPr>
        <w:footnoteReference w:id="3"/>
      </w:r>
      <w:r w:rsidRPr="0054385F">
        <w:rPr>
          <w:rFonts w:cs="Times New Roman"/>
          <w:lang w:val="fr-CA"/>
        </w:rPr>
        <w:t>.</w:t>
      </w:r>
    </w:p>
    <w:p w14:paraId="3910067F" w14:textId="77777777" w:rsidR="00B3086A" w:rsidRPr="0054385F" w:rsidRDefault="00B3086A" w:rsidP="00B3086A">
      <w:pPr>
        <w:pStyle w:val="ParaNoNdepar-AltN"/>
        <w:rPr>
          <w:rFonts w:cs="Times New Roman"/>
          <w:lang w:val="fr-CA"/>
        </w:rPr>
      </w:pPr>
      <w:r w:rsidRPr="0054385F">
        <w:rPr>
          <w:rFonts w:cs="Times New Roman"/>
          <w:lang w:val="fr-CA"/>
        </w:rPr>
        <w:t>En décembre 2016, la procureure générale de l’époque a remis au Cabinet un rapport au sujet des recommandations de la commission. Le rapport a été déposé sous scellés devant notre Cour, tout comme il l’avait été devant les juridictions inférieures. La Cour suprême de la Nouvelle</w:t>
      </w:r>
      <w:r w:rsidRPr="0054385F">
        <w:rPr>
          <w:rFonts w:cs="Times New Roman"/>
          <w:lang w:val="fr-CA"/>
        </w:rPr>
        <w:noBreakHyphen/>
        <w:t>Écosse a inséré un résumé détaillé du rapport dans ses motifs : 2018 NSSC 13, 409 C.R.R. (2d) 117, par. 146</w:t>
      </w:r>
      <w:r w:rsidRPr="0054385F">
        <w:rPr>
          <w:rFonts w:cs="Times New Roman"/>
          <w:lang w:val="fr-CA"/>
        </w:rPr>
        <w:noBreakHyphen/>
        <w:t>176.</w:t>
      </w:r>
    </w:p>
    <w:p w14:paraId="36D614B2" w14:textId="77777777" w:rsidR="00B3086A" w:rsidRPr="0054385F" w:rsidRDefault="00B3086A" w:rsidP="00B3086A">
      <w:pPr>
        <w:pStyle w:val="ParaNoNdepar-AltN"/>
        <w:spacing w:before="0"/>
        <w:rPr>
          <w:rFonts w:cs="Times New Roman"/>
          <w:lang w:val="fr-CA"/>
        </w:rPr>
      </w:pPr>
      <w:r w:rsidRPr="0054385F">
        <w:rPr>
          <w:rFonts w:cs="Times New Roman"/>
          <w:lang w:val="fr-CA"/>
        </w:rPr>
        <w:t>En février 2017, le lieutenant</w:t>
      </w:r>
      <w:r w:rsidRPr="0054385F">
        <w:rPr>
          <w:rFonts w:cs="Times New Roman"/>
          <w:lang w:val="fr-CA"/>
        </w:rPr>
        <w:noBreakHyphen/>
        <w:t>gouverneur en conseil a pris un décret modifiant la recommandation de la commission portant sur les traitements versés aux juges de la Cour provinciale : O.C. 2017</w:t>
      </w:r>
      <w:r w:rsidRPr="0054385F">
        <w:rPr>
          <w:rFonts w:cs="Times New Roman"/>
          <w:lang w:val="fr-CA"/>
        </w:rPr>
        <w:noBreakHyphen/>
        <w:t>24. Le décret réduit à zéro le taux d’augmentation salariale pour les exercices financiers 2017</w:t>
      </w:r>
      <w:r w:rsidRPr="0054385F">
        <w:rPr>
          <w:rFonts w:cs="Times New Roman"/>
          <w:lang w:val="fr-CA"/>
        </w:rPr>
        <w:noBreakHyphen/>
        <w:t>2018 et 2018</w:t>
      </w:r>
      <w:r w:rsidRPr="0054385F">
        <w:rPr>
          <w:rFonts w:cs="Times New Roman"/>
          <w:lang w:val="fr-CA"/>
        </w:rPr>
        <w:noBreakHyphen/>
        <w:t>2019, et à un pour cent pour l’exercice 2019</w:t>
      </w:r>
      <w:r w:rsidRPr="0054385F">
        <w:rPr>
          <w:rFonts w:cs="Times New Roman"/>
          <w:lang w:val="fr-CA"/>
        </w:rPr>
        <w:noBreakHyphen/>
        <w:t>2020. Aux termes du préambule du décret, celui</w:t>
      </w:r>
      <w:r w:rsidRPr="0054385F">
        <w:rPr>
          <w:rFonts w:cs="Times New Roman"/>
          <w:lang w:val="fr-CA"/>
        </w:rPr>
        <w:noBreakHyphen/>
        <w:t>ci est pris par le lieutenant</w:t>
      </w:r>
      <w:r w:rsidRPr="0054385F">
        <w:rPr>
          <w:rFonts w:cs="Times New Roman"/>
          <w:lang w:val="fr-CA"/>
        </w:rPr>
        <w:noBreakHyphen/>
        <w:t xml:space="preserve">gouverneur en conseil </w:t>
      </w:r>
      <w:r w:rsidRPr="0054385F">
        <w:rPr>
          <w:rFonts w:cs="Times New Roman"/>
          <w:smallCaps/>
          <w:lang w:val="fr-CA"/>
        </w:rPr>
        <w:t>[traduction</w:t>
      </w:r>
      <w:r w:rsidRPr="0054385F">
        <w:rPr>
          <w:rFonts w:cs="Times New Roman"/>
          <w:lang w:val="fr-CA"/>
        </w:rPr>
        <w:t>] « sur rapport et recommandation de la procureure générale et ministre de la Justice ».</w:t>
      </w:r>
    </w:p>
    <w:p w14:paraId="4DE4D358" w14:textId="6B61AF81" w:rsidR="00B3086A" w:rsidRPr="0054385F" w:rsidRDefault="00B3086A" w:rsidP="00B3086A">
      <w:pPr>
        <w:pStyle w:val="ParaNoNdepar-AltN"/>
        <w:spacing w:before="0"/>
        <w:rPr>
          <w:rFonts w:cs="Times New Roman"/>
          <w:lang w:val="fr-CA"/>
        </w:rPr>
      </w:pPr>
      <w:r>
        <w:rPr>
          <w:rFonts w:cs="Times New Roman"/>
          <w:lang w:val="fr-CA"/>
        </w:rPr>
        <w:t>Les intimés, l</w:t>
      </w:r>
      <w:r w:rsidRPr="0054385F">
        <w:rPr>
          <w:rFonts w:cs="Times New Roman"/>
          <w:lang w:val="fr-CA"/>
        </w:rPr>
        <w:t>es juges de la Cour provinciale et du Tribunal de la famille, représentés par l</w:t>
      </w:r>
      <w:r w:rsidR="00E45F84">
        <w:rPr>
          <w:rFonts w:cs="Times New Roman"/>
          <w:lang w:val="fr-CA"/>
        </w:rPr>
        <w:t xml:space="preserve">a Nova Scotia Provincial Judges’ </w:t>
      </w:r>
      <w:r w:rsidRPr="0054385F">
        <w:rPr>
          <w:rFonts w:cs="Times New Roman"/>
          <w:lang w:val="fr-CA"/>
        </w:rPr>
        <w:t>Association (Association), ont demandé le contrôle judiciaire du décret et sollicité une ordonnance cassant le décret, une ordonnance confirmant les recommandations de la commission ainsi qu’un jugement déclaratoire portant que le gouvernement a porté atteinte à l’indépendance judiciaire. Dans leur demande, les juges ont réclamé la production du rapport de la procureure générale mentionné dans le décret.</w:t>
      </w:r>
    </w:p>
    <w:p w14:paraId="5E8CB946" w14:textId="77777777" w:rsidR="00B3086A" w:rsidRPr="0054385F" w:rsidRDefault="00B3086A" w:rsidP="00B3086A">
      <w:pPr>
        <w:pStyle w:val="ParaNoNdepar-AltN"/>
        <w:spacing w:before="0"/>
        <w:rPr>
          <w:rFonts w:cs="Times New Roman"/>
          <w:lang w:val="fr-CA"/>
        </w:rPr>
      </w:pPr>
      <w:r w:rsidRPr="0054385F">
        <w:rPr>
          <w:rFonts w:cs="Times New Roman"/>
          <w:lang w:val="fr-CA"/>
        </w:rPr>
        <w:t>La procureure générale a déposé à la Cour suprême de la Nouvelle</w:t>
      </w:r>
      <w:r w:rsidRPr="0054385F">
        <w:rPr>
          <w:rFonts w:cs="Times New Roman"/>
          <w:lang w:val="fr-CA"/>
        </w:rPr>
        <w:noBreakHyphen/>
        <w:t xml:space="preserve">Écosse un dossier qui ne comprenait pas le rapport en question. L’Association a demandé par voie de requête, en vertu de l’al. 7.10(a) des </w:t>
      </w:r>
      <w:r>
        <w:rPr>
          <w:rFonts w:cs="Times New Roman"/>
          <w:i/>
          <w:lang w:val="fr-CA"/>
        </w:rPr>
        <w:t>Règles de procédure civile</w:t>
      </w:r>
      <w:r w:rsidRPr="0054385F">
        <w:rPr>
          <w:rFonts w:cs="Times New Roman"/>
          <w:lang w:val="fr-CA"/>
        </w:rPr>
        <w:t>, un jugement déclarant que le rapport fait partie du dossier du contrôle judiciaire.</w:t>
      </w:r>
    </w:p>
    <w:p w14:paraId="57AC9842" w14:textId="77777777" w:rsidR="00B3086A" w:rsidRPr="0054385F" w:rsidRDefault="00B3086A" w:rsidP="00B3086A">
      <w:pPr>
        <w:pStyle w:val="Title1LevelTitre1Niveau-AltL"/>
        <w:spacing w:before="0"/>
        <w:rPr>
          <w:rFonts w:cs="Times New Roman"/>
        </w:rPr>
      </w:pPr>
      <w:r w:rsidRPr="0054385F">
        <w:rPr>
          <w:rFonts w:cs="Times New Roman"/>
        </w:rPr>
        <w:t>Historique des procédures</w:t>
      </w:r>
    </w:p>
    <w:p w14:paraId="1359F00D" w14:textId="17095531" w:rsidR="00B3086A" w:rsidRPr="0054385F" w:rsidRDefault="00B3086A" w:rsidP="00B3086A">
      <w:pPr>
        <w:pStyle w:val="Title2LevelTitre2Niveau"/>
        <w:spacing w:before="0"/>
        <w:rPr>
          <w:rFonts w:cs="Times New Roman"/>
          <w:lang w:val="fr-CA"/>
        </w:rPr>
      </w:pPr>
      <w:r w:rsidRPr="0054385F">
        <w:rPr>
          <w:rFonts w:cs="Times New Roman"/>
          <w:lang w:val="fr-CA"/>
        </w:rPr>
        <w:t>Cour suprême de la Nouvelle</w:t>
      </w:r>
      <w:r w:rsidRPr="0054385F">
        <w:rPr>
          <w:rFonts w:cs="Times New Roman"/>
          <w:lang w:val="fr-CA"/>
        </w:rPr>
        <w:noBreakHyphen/>
        <w:t>Écosse, 2018 NSSC 13, 409 C.R.R. (2d) 117 (</w:t>
      </w:r>
      <w:r w:rsidR="00E45F84">
        <w:rPr>
          <w:rFonts w:cs="Times New Roman"/>
          <w:lang w:val="fr-CA"/>
        </w:rPr>
        <w:t>la j</w:t>
      </w:r>
      <w:r w:rsidRPr="0054385F">
        <w:rPr>
          <w:rFonts w:cs="Times New Roman"/>
          <w:lang w:val="fr-CA"/>
        </w:rPr>
        <w:t>uge Smith)</w:t>
      </w:r>
    </w:p>
    <w:p w14:paraId="7C5ACE8D" w14:textId="77777777" w:rsidR="00B3086A" w:rsidRPr="0054385F" w:rsidRDefault="00B3086A" w:rsidP="00B3086A">
      <w:pPr>
        <w:pStyle w:val="ParaNoNdepar-AltN"/>
        <w:spacing w:before="0"/>
        <w:rPr>
          <w:rFonts w:cs="Times New Roman"/>
          <w:lang w:val="fr-CA"/>
        </w:rPr>
      </w:pPr>
      <w:r w:rsidRPr="0054385F">
        <w:rPr>
          <w:rFonts w:cs="Times New Roman"/>
          <w:lang w:val="fr-CA"/>
        </w:rPr>
        <w:t>La Cour suprême de la Nouvelle</w:t>
      </w:r>
      <w:r w:rsidRPr="0054385F">
        <w:rPr>
          <w:rFonts w:cs="Times New Roman"/>
          <w:lang w:val="fr-CA"/>
        </w:rPr>
        <w:noBreakHyphen/>
        <w:t xml:space="preserve">Écosse a accordé en partie le jugement déclaratoire sollicité par l’Association. La juge Smith a expliqué que le contrôle envisagé par l’arrêt </w:t>
      </w:r>
      <w:r w:rsidRPr="0054385F">
        <w:rPr>
          <w:rFonts w:cs="Times New Roman"/>
          <w:i/>
          <w:lang w:val="fr-CA"/>
        </w:rPr>
        <w:t>Bodner</w:t>
      </w:r>
      <w:r w:rsidRPr="0054385F">
        <w:rPr>
          <w:rFonts w:cs="Times New Roman"/>
          <w:lang w:val="fr-CA"/>
        </w:rPr>
        <w:t xml:space="preserve"> requiert du tribunal de révision qu’il décide si, au regard du mécanisme dans sa totalité, la participation et la réponse du gouvernement témoignent de la bonne foi et de l’engagement concret de celui</w:t>
      </w:r>
      <w:r w:rsidRPr="0054385F">
        <w:rPr>
          <w:rFonts w:cs="Times New Roman"/>
          <w:lang w:val="fr-CA"/>
        </w:rPr>
        <w:noBreakHyphen/>
        <w:t>ci à ce processus. La cour a cité la règle générale selon laquelle, en cas de contrôle judiciaire, le dossier comprend tous les documents dont disposait le décideur et sur lesquels ce dernier s’est appuyé pour prendre sa décision, sous réserve des exceptions qui ont pour effet d’en soustraire des éléments, par exemple le secret des délibérations, exception qui ne s’applique pas en l’espèce.</w:t>
      </w:r>
    </w:p>
    <w:p w14:paraId="42B30164"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En ce qui concerne l’immunité d’intérêt public, la juge Smith a statué que, bien que le processus décisionnel se soit déroulé en très haut lieu, le reste des facteurs énoncés dans l’arrêt </w:t>
      </w:r>
      <w:r w:rsidRPr="0054385F">
        <w:rPr>
          <w:rFonts w:cs="Times New Roman"/>
          <w:i/>
          <w:lang w:val="fr-CA"/>
        </w:rPr>
        <w:t>Carey c. Ontario</w:t>
      </w:r>
      <w:r w:rsidRPr="0054385F">
        <w:rPr>
          <w:rFonts w:cs="Times New Roman"/>
          <w:lang w:val="fr-CA"/>
        </w:rPr>
        <w:t>, [1986] 2 R.C.S. 637, militaient en faveur de la divulgation. Elle a conclu que certaines portions du rapport renferment des avis juridiques de la procureure générale et sont, de ce fait, protégées par le secret professionnel de l’avocat. Elle a déclaré que toutes les parties du rapport, sauf les portions ainsi protégées, devaient faire partie du dossier du contrôle judiciaire, et elle a ordonné au procureur général de les produire.</w:t>
      </w:r>
    </w:p>
    <w:p w14:paraId="68493111" w14:textId="5C15F2F2" w:rsidR="00B3086A" w:rsidRPr="0054385F" w:rsidRDefault="00B3086A" w:rsidP="00B3086A">
      <w:pPr>
        <w:pStyle w:val="Title2LevelTitre2Niveau"/>
        <w:spacing w:before="0"/>
        <w:rPr>
          <w:rFonts w:cs="Times New Roman"/>
          <w:lang w:val="fr-CA"/>
        </w:rPr>
      </w:pPr>
      <w:r w:rsidRPr="0054385F">
        <w:rPr>
          <w:rFonts w:cs="Times New Roman"/>
          <w:lang w:val="fr-CA"/>
        </w:rPr>
        <w:t>Cour d’appel de la Nouvelle</w:t>
      </w:r>
      <w:r w:rsidRPr="0054385F">
        <w:rPr>
          <w:rFonts w:cs="Times New Roman"/>
          <w:lang w:val="fr-CA"/>
        </w:rPr>
        <w:noBreakHyphen/>
        <w:t>Écosse, 2018 NSCA 83, 429 D.L.R. (4th) 359 (</w:t>
      </w:r>
      <w:r w:rsidR="00E45F84">
        <w:rPr>
          <w:rFonts w:cs="Times New Roman"/>
          <w:lang w:val="fr-CA"/>
        </w:rPr>
        <w:t xml:space="preserve">les </w:t>
      </w:r>
      <w:r w:rsidRPr="0054385F">
        <w:rPr>
          <w:rFonts w:cs="Times New Roman"/>
          <w:lang w:val="fr-CA"/>
        </w:rPr>
        <w:t>juges Fichaud, Oland et Beveridge)</w:t>
      </w:r>
    </w:p>
    <w:p w14:paraId="5AEC4DEA" w14:textId="77777777" w:rsidR="00B3086A" w:rsidRPr="0054385F" w:rsidRDefault="00B3086A" w:rsidP="00B3086A">
      <w:pPr>
        <w:pStyle w:val="ParaNoNdepar-AltN"/>
        <w:spacing w:before="0"/>
        <w:rPr>
          <w:rFonts w:cs="Times New Roman"/>
          <w:lang w:val="fr-CA"/>
        </w:rPr>
      </w:pPr>
      <w:r w:rsidRPr="0054385F">
        <w:rPr>
          <w:rFonts w:cs="Times New Roman"/>
          <w:lang w:val="fr-CA"/>
        </w:rPr>
        <w:t>La Cour d’appel de la Nouvelle</w:t>
      </w:r>
      <w:r w:rsidRPr="0054385F">
        <w:rPr>
          <w:rFonts w:cs="Times New Roman"/>
          <w:lang w:val="fr-CA"/>
        </w:rPr>
        <w:noBreakHyphen/>
        <w:t>Écosse n’a relevé aucune erreur dans la conclusion du tribunal de révision portant que le rapport est pertinent, ni dans son analyse de l’immunité d’intérêt public. La cour a ajouté que la divulgation du rapport est dans l’intérêt du public, parce que le gouvernement savait que sa réponse aux recommandations de la commission ferait l’objet d’un contrôle judiciaire et parce</w:t>
      </w:r>
      <w:r>
        <w:rPr>
          <w:rFonts w:cs="Times New Roman"/>
          <w:lang w:val="fr-CA"/>
        </w:rPr>
        <w:t xml:space="preserve"> que</w:t>
      </w:r>
      <w:r w:rsidRPr="0054385F">
        <w:rPr>
          <w:rFonts w:cs="Times New Roman"/>
          <w:lang w:val="fr-CA"/>
        </w:rPr>
        <w:t xml:space="preserve"> le contrôle s’attacherait à des questions vitales pour l’administration de la j</w:t>
      </w:r>
      <w:r>
        <w:rPr>
          <w:rFonts w:cs="Times New Roman"/>
          <w:lang w:val="fr-CA"/>
        </w:rPr>
        <w:t xml:space="preserve">ustice et la relation entre </w:t>
      </w:r>
      <w:r w:rsidRPr="0054385F">
        <w:rPr>
          <w:rFonts w:cs="Times New Roman"/>
          <w:lang w:val="fr-CA"/>
        </w:rPr>
        <w:t>deux branches du gouvernement. Le juge d’appel Fichaud</w:t>
      </w:r>
      <w:r>
        <w:rPr>
          <w:rFonts w:cs="Times New Roman"/>
          <w:lang w:val="fr-CA"/>
        </w:rPr>
        <w:t>, qui a rédigé les motifs de la Cour d’appel,</w:t>
      </w:r>
      <w:r w:rsidRPr="0054385F">
        <w:rPr>
          <w:rFonts w:cs="Times New Roman"/>
          <w:lang w:val="fr-CA"/>
        </w:rPr>
        <w:t xml:space="preserve"> a confirmé la conclusion selon laquelle certaines portions du rapport sont protégées par le secret professionnel de l’avocat.</w:t>
      </w:r>
    </w:p>
    <w:p w14:paraId="3675E3B3" w14:textId="77777777" w:rsidR="00B3086A" w:rsidRPr="0054385F" w:rsidRDefault="00B3086A" w:rsidP="00B3086A">
      <w:pPr>
        <w:pStyle w:val="Title1LevelTitre1Niveau-AltL"/>
        <w:spacing w:before="0"/>
        <w:rPr>
          <w:rFonts w:cs="Times New Roman"/>
        </w:rPr>
      </w:pPr>
      <w:r w:rsidRPr="0054385F">
        <w:rPr>
          <w:rFonts w:cs="Times New Roman"/>
        </w:rPr>
        <w:t>Questions en litige</w:t>
      </w:r>
    </w:p>
    <w:p w14:paraId="63AD0DC3" w14:textId="77777777" w:rsidR="00B3086A" w:rsidRPr="0054385F" w:rsidRDefault="00B3086A" w:rsidP="00B3086A">
      <w:pPr>
        <w:pStyle w:val="ParaNoNdepar-AltN"/>
        <w:spacing w:before="0"/>
        <w:rPr>
          <w:rFonts w:cs="Times New Roman"/>
          <w:lang w:val="fr-CA"/>
        </w:rPr>
      </w:pPr>
      <w:r w:rsidRPr="0054385F">
        <w:rPr>
          <w:rFonts w:cs="Times New Roman"/>
          <w:lang w:val="fr-CA"/>
        </w:rPr>
        <w:t>Le présent pourvoi soulève deux questions : (a) Le rapport de la procureure générale devrait</w:t>
      </w:r>
      <w:r w:rsidRPr="0054385F">
        <w:rPr>
          <w:rFonts w:cs="Times New Roman"/>
          <w:lang w:val="fr-CA"/>
        </w:rPr>
        <w:noBreakHyphen/>
        <w:t xml:space="preserve">il faire partie du dossier lors du contrôle de type </w:t>
      </w:r>
      <w:r w:rsidRPr="0054385F">
        <w:rPr>
          <w:rFonts w:cs="Times New Roman"/>
          <w:i/>
          <w:lang w:val="fr-CA"/>
        </w:rPr>
        <w:t>Bodner</w:t>
      </w:r>
      <w:r w:rsidRPr="0054385F">
        <w:rPr>
          <w:rFonts w:cs="Times New Roman"/>
          <w:lang w:val="fr-CA"/>
        </w:rPr>
        <w:t xml:space="preserve">? (b) </w:t>
      </w:r>
      <w:r>
        <w:rPr>
          <w:rFonts w:cs="Times New Roman"/>
          <w:lang w:val="fr-CA"/>
        </w:rPr>
        <w:t>L</w:t>
      </w:r>
      <w:r w:rsidRPr="0054385F">
        <w:rPr>
          <w:rFonts w:cs="Times New Roman"/>
          <w:lang w:val="fr-CA"/>
        </w:rPr>
        <w:t>e rapport est</w:t>
      </w:r>
      <w:r w:rsidRPr="0054385F">
        <w:rPr>
          <w:rFonts w:cs="Times New Roman"/>
          <w:lang w:val="fr-CA"/>
        </w:rPr>
        <w:noBreakHyphen/>
        <w:t>il néanmoins protégé par l’immunité d’intérêt public, de sorte qu’il ne devrait pas être produit?</w:t>
      </w:r>
    </w:p>
    <w:p w14:paraId="00F5D37A" w14:textId="77777777" w:rsidR="00B3086A" w:rsidRPr="0054385F" w:rsidRDefault="00B3086A" w:rsidP="00B3086A">
      <w:pPr>
        <w:pStyle w:val="ParaNoNdepar-AltN"/>
        <w:rPr>
          <w:rFonts w:cs="Times New Roman"/>
          <w:lang w:val="fr-CA"/>
        </w:rPr>
      </w:pPr>
      <w:r w:rsidRPr="0054385F">
        <w:rPr>
          <w:rFonts w:cs="Times New Roman"/>
          <w:lang w:val="fr-CA"/>
        </w:rPr>
        <w:t>L’Association n’a pas formé de pourvoi incident contre les conclusions de la Cour d’appel portant que certaines portions du rapport sont visé</w:t>
      </w:r>
      <w:r>
        <w:rPr>
          <w:rFonts w:cs="Times New Roman"/>
          <w:lang w:val="fr-CA"/>
        </w:rPr>
        <w:t>e</w:t>
      </w:r>
      <w:r w:rsidRPr="0054385F">
        <w:rPr>
          <w:rFonts w:cs="Times New Roman"/>
          <w:lang w:val="fr-CA"/>
        </w:rPr>
        <w:t xml:space="preserve">s par le secret professionnel de l’avocat, qu’il n’y a pas eu de renonciation à ce privilège et que ces portions du rapport ne feront donc pas partie du dossier lors du contrôle de type </w:t>
      </w:r>
      <w:r w:rsidRPr="0054385F">
        <w:rPr>
          <w:rFonts w:cs="Times New Roman"/>
          <w:i/>
          <w:lang w:val="fr-CA"/>
        </w:rPr>
        <w:t>Bodner</w:t>
      </w:r>
      <w:r w:rsidRPr="0054385F">
        <w:rPr>
          <w:rFonts w:cs="Times New Roman"/>
          <w:lang w:val="fr-CA"/>
        </w:rPr>
        <w:t>. Par conséquent, les conclusions de la Cour d’appel sur ces points ne sont pas visées par le pourvoi devant notre Cour. Elles sont définitives.</w:t>
      </w:r>
    </w:p>
    <w:p w14:paraId="71BE966E" w14:textId="77777777" w:rsidR="00B3086A" w:rsidRPr="0054385F" w:rsidRDefault="00B3086A" w:rsidP="00B3086A">
      <w:pPr>
        <w:pStyle w:val="Title1LevelTitre1Niveau-AltL"/>
        <w:spacing w:before="0"/>
        <w:rPr>
          <w:rFonts w:cs="Times New Roman"/>
        </w:rPr>
      </w:pPr>
      <w:r w:rsidRPr="0054385F">
        <w:rPr>
          <w:rFonts w:cs="Times New Roman"/>
        </w:rPr>
        <w:t>Analyse</w:t>
      </w:r>
    </w:p>
    <w:p w14:paraId="379DF31F" w14:textId="77777777" w:rsidR="00B3086A" w:rsidRPr="0054385F" w:rsidRDefault="00B3086A" w:rsidP="00B3086A">
      <w:pPr>
        <w:pStyle w:val="ParaNoNdepar-AltN"/>
        <w:spacing w:before="0"/>
        <w:rPr>
          <w:rFonts w:cs="Times New Roman"/>
          <w:lang w:val="fr-CA"/>
        </w:rPr>
      </w:pPr>
      <w:r w:rsidRPr="0054385F">
        <w:rPr>
          <w:rFonts w:cs="Times New Roman"/>
          <w:lang w:val="fr-CA"/>
        </w:rPr>
        <w:t>Je ferai d’abord une remarque préliminaire. Bien que la réponse du gouvernement prenne la forme d’un décret pris par le lieutenant</w:t>
      </w:r>
      <w:r w:rsidRPr="0054385F">
        <w:rPr>
          <w:rFonts w:cs="Times New Roman"/>
          <w:lang w:val="fr-CA"/>
        </w:rPr>
        <w:noBreakHyphen/>
        <w:t xml:space="preserve">gouverneur </w:t>
      </w:r>
      <w:r>
        <w:rPr>
          <w:rFonts w:cs="Times New Roman"/>
          <w:lang w:val="fr-CA"/>
        </w:rPr>
        <w:t xml:space="preserve">en conseil </w:t>
      </w:r>
      <w:r w:rsidRPr="0054385F">
        <w:rPr>
          <w:rFonts w:cs="Times New Roman"/>
          <w:lang w:val="fr-CA"/>
        </w:rPr>
        <w:t xml:space="preserve">en vertu de la </w:t>
      </w:r>
      <w:r w:rsidRPr="0054385F">
        <w:rPr>
          <w:rFonts w:cs="Times New Roman"/>
          <w:i/>
          <w:lang w:val="fr-CA"/>
        </w:rPr>
        <w:t>Provincial Court Act</w:t>
      </w:r>
      <w:r w:rsidRPr="0054385F">
        <w:rPr>
          <w:rFonts w:cs="Times New Roman"/>
          <w:lang w:val="fr-CA"/>
        </w:rPr>
        <w:t>, ce décret repose sur un avis du Cabinet. Puisque l’avis du Cabinet est pratiquement toujours contraignant, c’est dans les faits le Cabinet qui détermine la décision que prendra le lieutenant</w:t>
      </w:r>
      <w:r w:rsidRPr="0054385F">
        <w:rPr>
          <w:rFonts w:cs="Times New Roman"/>
          <w:lang w:val="fr-CA"/>
        </w:rPr>
        <w:noBreakHyphen/>
        <w:t xml:space="preserve">gouverneur en conseil : voir le </w:t>
      </w:r>
      <w:r w:rsidRPr="0054385F">
        <w:rPr>
          <w:rFonts w:cs="Times New Roman"/>
          <w:i/>
          <w:lang w:val="fr-CA"/>
        </w:rPr>
        <w:t>Renvoi relatif au Régime d’assistance publique du Canada (C.</w:t>
      </w:r>
      <w:r w:rsidRPr="0054385F">
        <w:rPr>
          <w:rFonts w:cs="Times New Roman"/>
          <w:i/>
          <w:lang w:val="fr-CA"/>
        </w:rPr>
        <w:noBreakHyphen/>
        <w:t>B.)</w:t>
      </w:r>
      <w:r w:rsidRPr="0054385F">
        <w:rPr>
          <w:rFonts w:cs="Times New Roman"/>
          <w:lang w:val="fr-CA"/>
        </w:rPr>
        <w:t>, [1991] 2 R.C.S. 525, p. 546</w:t>
      </w:r>
      <w:r w:rsidRPr="0054385F">
        <w:rPr>
          <w:rFonts w:cs="Times New Roman"/>
          <w:lang w:val="fr-CA"/>
        </w:rPr>
        <w:noBreakHyphen/>
        <w:t>547. Le document en litige dans le présent pourvoi a trait au processus qu’a suivi le Cabinet pour arrêter son avis.</w:t>
      </w:r>
    </w:p>
    <w:p w14:paraId="4184C6B3"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Le présent pourvoi doit être tranché conformément au cadre établi dans le pourvoi connexe, </w:t>
      </w:r>
      <w:r w:rsidRPr="0054385F">
        <w:rPr>
          <w:rFonts w:cs="Times New Roman"/>
          <w:i/>
          <w:lang w:val="fr-CA"/>
        </w:rPr>
        <w:t>B.C. Provincial Court Judges</w:t>
      </w:r>
      <w:r w:rsidRPr="0054385F">
        <w:rPr>
          <w:rFonts w:cs="Times New Roman"/>
          <w:lang w:val="fr-CA"/>
        </w:rPr>
        <w:t xml:space="preserve">, cadre qui régit la production de documents confidentiels du Cabinet lors d’un contrôle de type </w:t>
      </w:r>
      <w:r w:rsidRPr="0054385F">
        <w:rPr>
          <w:rFonts w:cs="Times New Roman"/>
          <w:i/>
          <w:lang w:val="fr-CA"/>
        </w:rPr>
        <w:t>Bodner</w:t>
      </w:r>
      <w:r w:rsidRPr="0054385F">
        <w:rPr>
          <w:rFonts w:cs="Times New Roman"/>
          <w:lang w:val="fr-CA"/>
        </w:rPr>
        <w:t xml:space="preserve">. Bien que les parties au présent pourvoi aient affirmé que le débat portait sur la pertinence, comme je l’ai expliqué dans </w:t>
      </w:r>
      <w:r w:rsidRPr="0054385F">
        <w:rPr>
          <w:rFonts w:cs="Times New Roman"/>
          <w:i/>
          <w:lang w:val="fr-CA"/>
        </w:rPr>
        <w:t>B.C. Provincial Court Judges</w:t>
      </w:r>
      <w:r w:rsidRPr="0054385F">
        <w:rPr>
          <w:rFonts w:cs="Times New Roman"/>
          <w:lang w:val="fr-CA"/>
        </w:rPr>
        <w:t xml:space="preserve">, la pertinence ne permet pas à elle seule de réaliser le juste équilibre entre les intérêts constitutionnels opposés en jeu quand une partie sollicitant un contrôle de type </w:t>
      </w:r>
      <w:r w:rsidRPr="0054385F">
        <w:rPr>
          <w:rFonts w:cs="Times New Roman"/>
          <w:i/>
          <w:lang w:val="fr-CA"/>
        </w:rPr>
        <w:t xml:space="preserve">Bodner </w:t>
      </w:r>
      <w:r w:rsidRPr="0054385F">
        <w:rPr>
          <w:rFonts w:cs="Times New Roman"/>
          <w:lang w:val="fr-CA"/>
        </w:rPr>
        <w:t>demande la production d’un document confidentiel du Cabinet.</w:t>
      </w:r>
    </w:p>
    <w:p w14:paraId="1DC7A416"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En conséquence, la partie qui demande la production d’un document confidentiel du Cabinet doit d’abord établir qu’il existe des raisons de croire que ce document pourrait contenir des éléments de preuve tendant à démontrer que le gouvernement n’a pas satisfait à l’une des exigences décrites dans l’arrêt </w:t>
      </w:r>
      <w:r w:rsidRPr="0054385F">
        <w:rPr>
          <w:rFonts w:cs="Times New Roman"/>
          <w:i/>
          <w:lang w:val="fr-CA"/>
        </w:rPr>
        <w:t>Bodner</w:t>
      </w:r>
      <w:r w:rsidRPr="0054385F">
        <w:rPr>
          <w:rFonts w:cs="Times New Roman"/>
          <w:lang w:val="fr-CA"/>
        </w:rPr>
        <w:t xml:space="preserve">, interprétées, comme il se doit, comme ayant pour effet d’ajouter à l’arrêt </w:t>
      </w:r>
      <w:r w:rsidRPr="0054385F">
        <w:rPr>
          <w:rFonts w:cs="Times New Roman"/>
          <w:i/>
          <w:lang w:val="fr-CA"/>
        </w:rPr>
        <w:t>Beauregard c. Canada</w:t>
      </w:r>
      <w:r w:rsidRPr="0054385F">
        <w:rPr>
          <w:rFonts w:cs="Times New Roman"/>
          <w:lang w:val="fr-CA"/>
        </w:rPr>
        <w:t xml:space="preserve">, [1986] 2 R.C.S. 56, et au </w:t>
      </w:r>
      <w:r w:rsidRPr="0054385F">
        <w:rPr>
          <w:rFonts w:cs="Times New Roman"/>
          <w:i/>
          <w:lang w:val="fr-CA"/>
        </w:rPr>
        <w:t>Renvoi relatif aux juges de la</w:t>
      </w:r>
      <w:r w:rsidRPr="0054385F">
        <w:rPr>
          <w:rFonts w:cs="Times New Roman"/>
          <w:lang w:val="fr-CA"/>
        </w:rPr>
        <w:t xml:space="preserve"> </w:t>
      </w:r>
      <w:r w:rsidRPr="0054385F">
        <w:rPr>
          <w:rFonts w:cs="Times New Roman"/>
          <w:i/>
          <w:lang w:val="fr-CA"/>
        </w:rPr>
        <w:t>Cour provinciale</w:t>
      </w:r>
      <w:r w:rsidRPr="0054385F">
        <w:rPr>
          <w:rFonts w:cs="Times New Roman"/>
          <w:lang w:val="fr-CA"/>
        </w:rPr>
        <w:t xml:space="preserve">. C’est uniquement dans ce cas que le gouvernement devra produire le document pour consultation par le tribunal de révision. Après avoir consulté le document, le tribunal de révision décide s’il renferme en fait des éléments de preuve tendant à démontrer que le gouvernement ne s’est pas conformé à une exigence décrite dans l’arrêt </w:t>
      </w:r>
      <w:r w:rsidRPr="0054385F">
        <w:rPr>
          <w:rFonts w:cs="Times New Roman"/>
          <w:i/>
          <w:lang w:val="fr-CA"/>
        </w:rPr>
        <w:t>Bodner</w:t>
      </w:r>
      <w:r w:rsidRPr="0054385F">
        <w:rPr>
          <w:rFonts w:cs="Times New Roman"/>
          <w:lang w:val="fr-CA"/>
        </w:rPr>
        <w:t>. Si le document contient de tels éléments de preuve, le tribunal peut ordonner la production du document, en tant que partie du dossier, sous réserve de l’application de l’immunité d’intérêt public ou de toute autre règle de preuve</w:t>
      </w:r>
      <w:r>
        <w:rPr>
          <w:rFonts w:cs="Times New Roman"/>
          <w:lang w:val="fr-CA"/>
        </w:rPr>
        <w:t xml:space="preserve"> applicable</w:t>
      </w:r>
      <w:r w:rsidRPr="0054385F">
        <w:rPr>
          <w:rFonts w:cs="Times New Roman"/>
          <w:lang w:val="fr-CA"/>
        </w:rPr>
        <w:t xml:space="preserve"> invoquée par le gouvernement.</w:t>
      </w:r>
    </w:p>
    <w:p w14:paraId="0EEE986B" w14:textId="77777777" w:rsidR="00B3086A" w:rsidRPr="0054385F" w:rsidRDefault="00B3086A" w:rsidP="00B3086A">
      <w:pPr>
        <w:pStyle w:val="Title2LevelTitre2Niveau"/>
        <w:spacing w:before="0"/>
        <w:rPr>
          <w:rFonts w:cs="Times New Roman"/>
          <w:lang w:val="fr-CA"/>
        </w:rPr>
      </w:pPr>
      <w:r w:rsidRPr="0054385F">
        <w:rPr>
          <w:rFonts w:cs="Times New Roman"/>
          <w:lang w:val="fr-CA"/>
        </w:rPr>
        <w:t>Le rapport de la procureure générale devrait</w:t>
      </w:r>
      <w:r w:rsidRPr="0054385F">
        <w:rPr>
          <w:rFonts w:cs="Times New Roman"/>
          <w:lang w:val="fr-CA"/>
        </w:rPr>
        <w:noBreakHyphen/>
        <w:t>il faire partie du dossier lors du contrôle de type Bodner?</w:t>
      </w:r>
    </w:p>
    <w:p w14:paraId="7259EBBA"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Comme je l’ai rappelé dans le pourvoi connexe </w:t>
      </w:r>
      <w:r w:rsidRPr="0054385F">
        <w:rPr>
          <w:rFonts w:cs="Times New Roman"/>
          <w:i/>
          <w:lang w:val="fr-CA"/>
        </w:rPr>
        <w:t>B.C. Provincial Court Judges</w:t>
      </w:r>
      <w:r w:rsidRPr="0054385F">
        <w:rPr>
          <w:rFonts w:cs="Times New Roman"/>
          <w:lang w:val="fr-CA"/>
        </w:rPr>
        <w:t xml:space="preserve">, la sécurité financière constitue l’une des caractéristiques essentielles du principe constitutionnel de l’indépendance judiciaire : </w:t>
      </w:r>
      <w:r w:rsidRPr="0054385F">
        <w:rPr>
          <w:rFonts w:cs="Times New Roman"/>
          <w:i/>
          <w:lang w:val="fr-CA"/>
        </w:rPr>
        <w:t>Renvoi relatif aux juges de la Cour provinciale</w:t>
      </w:r>
      <w:r w:rsidRPr="0054385F">
        <w:rPr>
          <w:rFonts w:cs="Times New Roman"/>
          <w:lang w:val="fr-CA"/>
        </w:rPr>
        <w:t xml:space="preserve">, par. 118. Un aspect de la sécurité financière est qu’en l’absence de « crise financière exceptionnellement grave provoquée par des circonstances extraordinaires », le gouvernement ne peut modifier la rémunération des juges sans d’abord solliciter les recommandations d’une commission d’examen de la rémunération des juges : </w:t>
      </w:r>
      <w:r w:rsidRPr="0054385F">
        <w:rPr>
          <w:rFonts w:cs="Times New Roman"/>
          <w:i/>
          <w:lang w:val="fr-CA"/>
        </w:rPr>
        <w:t>Renvoi relatif aux juges de la Cour provinciale</w:t>
      </w:r>
      <w:r w:rsidRPr="0054385F">
        <w:rPr>
          <w:rFonts w:cs="Times New Roman"/>
          <w:lang w:val="fr-CA"/>
        </w:rPr>
        <w:t xml:space="preserve">, par. 133 et 137; </w:t>
      </w:r>
      <w:r w:rsidRPr="0054385F">
        <w:rPr>
          <w:rFonts w:cs="Times New Roman"/>
          <w:i/>
          <w:lang w:val="fr-CA"/>
        </w:rPr>
        <w:t>B.C. Provincial Court Judges</w:t>
      </w:r>
      <w:r w:rsidRPr="0054385F">
        <w:rPr>
          <w:rFonts w:cs="Times New Roman"/>
          <w:lang w:val="fr-CA"/>
        </w:rPr>
        <w:t xml:space="preserve">, par. 31. Pour que la commission fonctionne efficacement, ses recommandations doivent « avoir un effet concret sur la détermination des traitements des juges » : </w:t>
      </w:r>
      <w:r w:rsidRPr="0054385F">
        <w:rPr>
          <w:rFonts w:cs="Times New Roman"/>
          <w:i/>
          <w:lang w:val="fr-CA"/>
        </w:rPr>
        <w:t>Renvoi relatif aux juges de la Cour provinciale</w:t>
      </w:r>
      <w:r w:rsidRPr="0054385F">
        <w:rPr>
          <w:rFonts w:cs="Times New Roman"/>
          <w:lang w:val="fr-CA"/>
        </w:rPr>
        <w:t xml:space="preserve">, par. 175; voir également </w:t>
      </w:r>
      <w:r w:rsidRPr="0054385F">
        <w:rPr>
          <w:rFonts w:cs="Times New Roman"/>
          <w:i/>
          <w:lang w:val="fr-CA"/>
        </w:rPr>
        <w:t>Bodner</w:t>
      </w:r>
      <w:r w:rsidRPr="0054385F">
        <w:rPr>
          <w:rFonts w:cs="Times New Roman"/>
          <w:lang w:val="fr-CA"/>
        </w:rPr>
        <w:t>, par. 29</w:t>
      </w:r>
      <w:r>
        <w:rPr>
          <w:rFonts w:cs="Times New Roman"/>
          <w:lang w:val="fr-CA"/>
        </w:rPr>
        <w:t>,</w:t>
      </w:r>
      <w:r w:rsidRPr="0054385F">
        <w:rPr>
          <w:rFonts w:cs="Times New Roman"/>
          <w:lang w:val="fr-CA"/>
        </w:rPr>
        <w:t xml:space="preserve"> et </w:t>
      </w:r>
      <w:r w:rsidRPr="0054385F">
        <w:rPr>
          <w:rFonts w:cs="Times New Roman"/>
          <w:i/>
          <w:lang w:val="fr-CA"/>
        </w:rPr>
        <w:t>B.C. Provincial Court Judges</w:t>
      </w:r>
      <w:r w:rsidRPr="0054385F">
        <w:rPr>
          <w:rFonts w:cs="Times New Roman"/>
          <w:lang w:val="fr-CA"/>
        </w:rPr>
        <w:t>, par. 33.</w:t>
      </w:r>
    </w:p>
    <w:p w14:paraId="7EB53ADF" w14:textId="54EF4BE3" w:rsidR="00B3086A" w:rsidRPr="0054385F" w:rsidRDefault="00B3086A" w:rsidP="00B3086A">
      <w:pPr>
        <w:pStyle w:val="ParaNoNdepar-AltN"/>
        <w:spacing w:before="0"/>
        <w:rPr>
          <w:rFonts w:cs="Times New Roman"/>
          <w:lang w:val="fr-CA"/>
        </w:rPr>
      </w:pPr>
      <w:r w:rsidRPr="0054385F">
        <w:rPr>
          <w:rFonts w:cs="Times New Roman"/>
          <w:lang w:val="fr-CA"/>
        </w:rPr>
        <w:t xml:space="preserve">Le gouvernement doit répondre formellement au rapport de la commission et exposer des motifs précis justifiant tout écart par rapport aux recommandations de la commission : </w:t>
      </w:r>
      <w:r w:rsidRPr="0054385F">
        <w:rPr>
          <w:rFonts w:cs="Times New Roman"/>
          <w:i/>
          <w:lang w:val="fr-CA"/>
        </w:rPr>
        <w:t>Renvoi relatif aux juges de la Cour provinciale</w:t>
      </w:r>
      <w:r w:rsidR="00E45F84">
        <w:rPr>
          <w:rFonts w:cs="Times New Roman"/>
          <w:lang w:val="fr-CA"/>
        </w:rPr>
        <w:t>, par. 179-</w:t>
      </w:r>
      <w:r w:rsidRPr="0054385F">
        <w:rPr>
          <w:rFonts w:cs="Times New Roman"/>
          <w:lang w:val="fr-CA"/>
        </w:rPr>
        <w:t xml:space="preserve">180; </w:t>
      </w:r>
      <w:r w:rsidRPr="0054385F">
        <w:rPr>
          <w:rFonts w:cs="Times New Roman"/>
          <w:i/>
          <w:lang w:val="fr-CA"/>
        </w:rPr>
        <w:t>Bodner</w:t>
      </w:r>
      <w:r w:rsidRPr="0054385F">
        <w:rPr>
          <w:rFonts w:cs="Times New Roman"/>
          <w:lang w:val="fr-CA"/>
        </w:rPr>
        <w:t xml:space="preserve">, par. 18-22; </w:t>
      </w:r>
      <w:r w:rsidRPr="0054385F">
        <w:rPr>
          <w:rFonts w:cs="Times New Roman"/>
          <w:i/>
          <w:lang w:val="fr-CA"/>
        </w:rPr>
        <w:t>Conférence des juges de paix magistrats du Québec c. Québec (Procureur</w:t>
      </w:r>
      <w:r w:rsidR="00D57134">
        <w:rPr>
          <w:rFonts w:cs="Times New Roman"/>
          <w:i/>
          <w:lang w:val="fr-CA"/>
        </w:rPr>
        <w:t>e</w:t>
      </w:r>
      <w:r w:rsidRPr="0054385F">
        <w:rPr>
          <w:rFonts w:cs="Times New Roman"/>
          <w:i/>
          <w:lang w:val="fr-CA"/>
        </w:rPr>
        <w:t xml:space="preserve"> général</w:t>
      </w:r>
      <w:r w:rsidR="00D57134">
        <w:rPr>
          <w:rFonts w:cs="Times New Roman"/>
          <w:i/>
          <w:lang w:val="fr-CA"/>
        </w:rPr>
        <w:t>e</w:t>
      </w:r>
      <w:r w:rsidRPr="0054385F">
        <w:rPr>
          <w:rFonts w:cs="Times New Roman"/>
          <w:i/>
          <w:lang w:val="fr-CA"/>
        </w:rPr>
        <w:t>)</w:t>
      </w:r>
      <w:r w:rsidRPr="0054385F">
        <w:rPr>
          <w:rFonts w:cs="Times New Roman"/>
          <w:lang w:val="fr-CA"/>
        </w:rPr>
        <w:t xml:space="preserve">, 2016 CSC 39, [2016] 2 R.C.S. 116, par. 35; </w:t>
      </w:r>
      <w:r w:rsidRPr="0054385F">
        <w:rPr>
          <w:rFonts w:cs="Times New Roman"/>
          <w:i/>
          <w:lang w:val="fr-CA"/>
        </w:rPr>
        <w:t>B.C. Provincial Court Judges</w:t>
      </w:r>
      <w:r w:rsidRPr="0054385F">
        <w:rPr>
          <w:rFonts w:cs="Times New Roman"/>
          <w:lang w:val="fr-CA"/>
        </w:rPr>
        <w:t xml:space="preserve">, par. 34. La réponse du gouvernement est soumise à « une forme limitée de contrôle judiciaire » selon une norme de « rationalité » : </w:t>
      </w:r>
      <w:r w:rsidRPr="0054385F">
        <w:rPr>
          <w:rFonts w:cs="Times New Roman"/>
          <w:i/>
          <w:lang w:val="fr-CA"/>
        </w:rPr>
        <w:t>Renvoi relatif aux juges de la Cour provinciale</w:t>
      </w:r>
      <w:r w:rsidRPr="0054385F">
        <w:rPr>
          <w:rFonts w:cs="Times New Roman"/>
          <w:lang w:val="fr-CA"/>
        </w:rPr>
        <w:t>, par. 183</w:t>
      </w:r>
      <w:r w:rsidRPr="0054385F">
        <w:rPr>
          <w:rFonts w:cs="Times New Roman"/>
          <w:lang w:val="fr-CA"/>
        </w:rPr>
        <w:noBreakHyphen/>
        <w:t>184;</w:t>
      </w:r>
      <w:r w:rsidRPr="0054385F">
        <w:rPr>
          <w:rFonts w:cs="Times New Roman"/>
          <w:i/>
          <w:lang w:val="fr-CA"/>
        </w:rPr>
        <w:t xml:space="preserve"> Bodner</w:t>
      </w:r>
      <w:r w:rsidRPr="0054385F">
        <w:rPr>
          <w:rFonts w:cs="Times New Roman"/>
          <w:lang w:val="fr-CA"/>
        </w:rPr>
        <w:t xml:space="preserve">, par. 29 et 42; </w:t>
      </w:r>
      <w:r w:rsidRPr="0054385F">
        <w:rPr>
          <w:rFonts w:cs="Times New Roman"/>
          <w:i/>
          <w:lang w:val="fr-CA"/>
        </w:rPr>
        <w:t>B.C. Provincial Court Judges</w:t>
      </w:r>
      <w:r w:rsidRPr="0054385F">
        <w:rPr>
          <w:rFonts w:cs="Times New Roman"/>
          <w:lang w:val="fr-CA"/>
        </w:rPr>
        <w:t>, par. 35.</w:t>
      </w:r>
    </w:p>
    <w:p w14:paraId="09A08A68" w14:textId="77777777" w:rsidR="00B3086A" w:rsidRPr="0054385F" w:rsidRDefault="00B3086A" w:rsidP="00B3086A">
      <w:pPr>
        <w:pStyle w:val="ParaNoNdepar-AltN"/>
        <w:spacing w:before="0"/>
        <w:rPr>
          <w:rFonts w:cs="Times New Roman"/>
          <w:lang w:val="fr-CA"/>
        </w:rPr>
      </w:pPr>
      <w:r w:rsidRPr="0054385F">
        <w:rPr>
          <w:rFonts w:cs="Times New Roman"/>
          <w:lang w:val="fr-CA"/>
        </w:rPr>
        <w:t>L’analyse applicable pour décider si la réponse du gouvernement respecte la norme de la rationalité comporte trois étapes :</w:t>
      </w:r>
    </w:p>
    <w:p w14:paraId="6EEA61F7" w14:textId="77777777" w:rsidR="00B3086A" w:rsidRPr="0054385F" w:rsidRDefault="00B3086A" w:rsidP="00E7029A">
      <w:pPr>
        <w:pStyle w:val="Citation-AltC"/>
        <w:numPr>
          <w:ilvl w:val="0"/>
          <w:numId w:val="12"/>
        </w:numPr>
        <w:spacing w:after="480" w:line="480" w:lineRule="auto"/>
        <w:ind w:left="720" w:hanging="720"/>
        <w:contextualSpacing w:val="0"/>
        <w:rPr>
          <w:lang w:val="fr-CA"/>
        </w:rPr>
      </w:pPr>
      <w:r w:rsidRPr="0054385F">
        <w:rPr>
          <w:lang w:val="fr-FR"/>
        </w:rPr>
        <w:t>Le gouvernement a</w:t>
      </w:r>
      <w:r w:rsidRPr="0054385F">
        <w:rPr>
          <w:lang w:val="fr-FR"/>
        </w:rPr>
        <w:noBreakHyphen/>
        <w:t>t</w:t>
      </w:r>
      <w:r w:rsidRPr="0054385F">
        <w:rPr>
          <w:lang w:val="fr-FR"/>
        </w:rPr>
        <w:noBreakHyphen/>
        <w:t>il justifié par un motif légitime sa décision de s’écarter des recommandations de la commission</w:t>
      </w:r>
      <w:r w:rsidRPr="0054385F">
        <w:rPr>
          <w:lang w:val="fr-CA"/>
        </w:rPr>
        <w:t>?</w:t>
      </w:r>
    </w:p>
    <w:p w14:paraId="30BD24B0" w14:textId="77777777" w:rsidR="00B3086A" w:rsidRPr="0054385F" w:rsidRDefault="00B3086A" w:rsidP="00E7029A">
      <w:pPr>
        <w:pStyle w:val="Citation-AltC"/>
        <w:numPr>
          <w:ilvl w:val="0"/>
          <w:numId w:val="12"/>
        </w:numPr>
        <w:spacing w:after="480" w:line="480" w:lineRule="auto"/>
        <w:ind w:left="720" w:hanging="720"/>
        <w:contextualSpacing w:val="0"/>
        <w:rPr>
          <w:lang w:val="fr-CA"/>
        </w:rPr>
      </w:pPr>
      <w:r w:rsidRPr="0054385F">
        <w:rPr>
          <w:lang w:val="fr-FR"/>
        </w:rPr>
        <w:t>Les motifs invoqués par le gouvernement ont</w:t>
      </w:r>
      <w:r w:rsidRPr="0054385F">
        <w:rPr>
          <w:lang w:val="fr-FR"/>
        </w:rPr>
        <w:noBreakHyphen/>
        <w:t>ils un fondement factuel raisonnable</w:t>
      </w:r>
      <w:r w:rsidRPr="0054385F">
        <w:rPr>
          <w:lang w:val="fr-CA"/>
        </w:rPr>
        <w:t>?</w:t>
      </w:r>
    </w:p>
    <w:p w14:paraId="63353366" w14:textId="77777777" w:rsidR="00B3086A" w:rsidRPr="0054385F" w:rsidRDefault="00B3086A" w:rsidP="00E7029A">
      <w:pPr>
        <w:pStyle w:val="Citation-AltC"/>
        <w:numPr>
          <w:ilvl w:val="0"/>
          <w:numId w:val="12"/>
        </w:numPr>
        <w:spacing w:after="480" w:line="480" w:lineRule="auto"/>
        <w:ind w:left="720" w:hanging="720"/>
        <w:contextualSpacing w:val="0"/>
        <w:rPr>
          <w:lang w:val="fr-CA"/>
        </w:rPr>
      </w:pPr>
      <w:r w:rsidRPr="0054385F">
        <w:rPr>
          <w:lang w:val="fr-CA"/>
        </w:rPr>
        <w:t>Dans son</w:t>
      </w:r>
      <w:r w:rsidRPr="0054385F">
        <w:rPr>
          <w:lang w:val="fr-FR"/>
        </w:rPr>
        <w:t xml:space="preserve"> ensemble</w:t>
      </w:r>
      <w:r w:rsidRPr="0054385F">
        <w:rPr>
          <w:lang w:val="fr-CA"/>
        </w:rPr>
        <w:t xml:space="preserve">, </w:t>
      </w:r>
      <w:r w:rsidRPr="0054385F">
        <w:rPr>
          <w:lang w:val="fr-FR"/>
        </w:rPr>
        <w:t>le mécanisme d’examen par une commission a</w:t>
      </w:r>
      <w:r w:rsidRPr="0054385F">
        <w:rPr>
          <w:lang w:val="fr-FR"/>
        </w:rPr>
        <w:noBreakHyphen/>
        <w:t>t</w:t>
      </w:r>
      <w:r w:rsidRPr="0054385F">
        <w:rPr>
          <w:lang w:val="fr-FR"/>
        </w:rPr>
        <w:noBreakHyphen/>
        <w:t>il été respecté et les objectifs du recours à une commission, à savoir préserver l’indépendance de la magistrature et dépolitiser la fixation de la rémunération des juges, ont</w:t>
      </w:r>
      <w:r w:rsidRPr="0054385F">
        <w:rPr>
          <w:lang w:val="fr-FR"/>
        </w:rPr>
        <w:noBreakHyphen/>
        <w:t>ils été atteints</w:t>
      </w:r>
      <w:r w:rsidRPr="0054385F">
        <w:rPr>
          <w:lang w:val="fr-CA"/>
        </w:rPr>
        <w:t>?</w:t>
      </w:r>
    </w:p>
    <w:p w14:paraId="0B01CA7E" w14:textId="1B5A9B25" w:rsidR="00B3086A" w:rsidRPr="0054385F" w:rsidRDefault="00B3086A" w:rsidP="00D57134">
      <w:pPr>
        <w:pStyle w:val="Citation-AltC"/>
        <w:ind w:left="0"/>
        <w:contextualSpacing w:val="0"/>
        <w:rPr>
          <w:lang w:val="fr-CA"/>
        </w:rPr>
      </w:pPr>
      <w:r w:rsidRPr="0054385F">
        <w:rPr>
          <w:lang w:val="fr-CA"/>
        </w:rPr>
        <w:t>(</w:t>
      </w:r>
      <w:r w:rsidRPr="0054385F">
        <w:rPr>
          <w:i/>
          <w:lang w:val="fr-CA"/>
        </w:rPr>
        <w:t>Bodner</w:t>
      </w:r>
      <w:r w:rsidRPr="0054385F">
        <w:rPr>
          <w:lang w:val="fr-CA"/>
        </w:rPr>
        <w:t xml:space="preserve">, par. 31; </w:t>
      </w:r>
      <w:r w:rsidRPr="0054385F">
        <w:rPr>
          <w:i/>
          <w:lang w:val="fr-CA"/>
        </w:rPr>
        <w:t>B.C. Provincial Court Judges</w:t>
      </w:r>
      <w:r w:rsidRPr="0054385F">
        <w:rPr>
          <w:lang w:val="fr-CA"/>
        </w:rPr>
        <w:t>, par. 36)</w:t>
      </w:r>
    </w:p>
    <w:p w14:paraId="5EC1EF9B" w14:textId="7B3F3308" w:rsidR="00B3086A" w:rsidRPr="0054385F" w:rsidRDefault="00B3086A" w:rsidP="00B3086A">
      <w:pPr>
        <w:pStyle w:val="ParaNoNdepar-AltN"/>
        <w:spacing w:before="0"/>
        <w:rPr>
          <w:rFonts w:cs="Times New Roman"/>
          <w:lang w:val="fr-CA"/>
        </w:rPr>
      </w:pPr>
      <w:r w:rsidRPr="0054385F">
        <w:rPr>
          <w:rFonts w:cs="Times New Roman"/>
          <w:lang w:val="fr-CA"/>
        </w:rPr>
        <w:t xml:space="preserve">Comme je l’ai expliqué dans le pourvoi connexe, bien que l’analyse établie dans l’arrêt </w:t>
      </w:r>
      <w:r w:rsidRPr="0054385F">
        <w:rPr>
          <w:rFonts w:cs="Times New Roman"/>
          <w:i/>
          <w:lang w:val="fr-CA"/>
        </w:rPr>
        <w:t>Bodner</w:t>
      </w:r>
      <w:r w:rsidRPr="0054385F">
        <w:rPr>
          <w:rFonts w:cs="Times New Roman"/>
          <w:lang w:val="fr-CA"/>
        </w:rPr>
        <w:t xml:space="preserve"> soit axée sur la réponse du gouvernement, cela ne veut pas dire que le tribunal de révision peut faire abstraction du contexte général; en effet, il n’est pas nécessairement tenu de considérer uniquement la réponse du gouvernement : voir </w:t>
      </w:r>
      <w:r w:rsidRPr="0054385F">
        <w:rPr>
          <w:rFonts w:cs="Times New Roman"/>
          <w:i/>
          <w:lang w:val="fr-CA"/>
        </w:rPr>
        <w:t>B.C. Provincial Court Judges</w:t>
      </w:r>
      <w:r w:rsidRPr="0054385F">
        <w:rPr>
          <w:rFonts w:cs="Times New Roman"/>
          <w:lang w:val="fr-CA"/>
        </w:rPr>
        <w:t>, par. 40</w:t>
      </w:r>
      <w:r w:rsidRPr="0054385F">
        <w:rPr>
          <w:rFonts w:cs="Times New Roman"/>
          <w:lang w:val="fr-CA"/>
        </w:rPr>
        <w:noBreakHyphen/>
        <w:t xml:space="preserve">45. La troisième étape de l’analyse établie dans l’arrêt </w:t>
      </w:r>
      <w:r w:rsidRPr="0054385F">
        <w:rPr>
          <w:rFonts w:cs="Times New Roman"/>
          <w:i/>
          <w:lang w:val="fr-CA"/>
        </w:rPr>
        <w:t>Bodner</w:t>
      </w:r>
      <w:r w:rsidRPr="0054385F">
        <w:rPr>
          <w:rFonts w:cs="Times New Roman"/>
          <w:lang w:val="fr-CA"/>
        </w:rPr>
        <w:t xml:space="preserve"> consiste à déterminer si le gouvernement a respecté le mécanisme d’examen par une commission de façon à permettre la réalisation des objectifs du recours à ce mécanisme. Autre considération importante, la validité de la réponse du gouvernement ne saurait être confirmée s’il est démontré qu’elle repose sur un objectif illégitime ou déguisé (les qualificatifs « malhonnête ou spécieux » ont parfois été utilisés), principe qui témoigne d’un souci profondément ancré dans la jurisprudence de notre Cour relative à l’indépendance judiciaire et qui imprègne toute l’analyse établie dans l’arrêt </w:t>
      </w:r>
      <w:r w:rsidRPr="0054385F">
        <w:rPr>
          <w:rFonts w:cs="Times New Roman"/>
          <w:i/>
          <w:lang w:val="fr-CA"/>
        </w:rPr>
        <w:t>Bodner</w:t>
      </w:r>
      <w:r w:rsidRPr="0054385F">
        <w:rPr>
          <w:rFonts w:cs="Times New Roman"/>
          <w:lang w:val="fr-CA"/>
        </w:rPr>
        <w:t>. Dans cet arrêt, notre Cour s’est demandé si les motifs fournis par les gouvernements de l’Alberta, du Nouveau</w:t>
      </w:r>
      <w:r w:rsidRPr="0054385F">
        <w:rPr>
          <w:rFonts w:cs="Times New Roman"/>
          <w:lang w:val="fr-CA"/>
        </w:rPr>
        <w:noBreakHyphen/>
        <w:t>Brunswick, de l’Ontario et du Québec étaient « dictés par des considérations purement politiques », s’ils « </w:t>
      </w:r>
      <w:r w:rsidRPr="0054385F">
        <w:rPr>
          <w:rFonts w:cs="Times New Roman"/>
          <w:lang w:val="fr-FR"/>
        </w:rPr>
        <w:t>rév[élaient] qu’ils [étaient] dictés par des considérations politiques ou discriminatoires » ou s’ils « dénot[aient] l’existence d’un objectif politique illégitime [ou] une intention de manipuler ou d’influencer la magistrature</w:t>
      </w:r>
      <w:r w:rsidRPr="0054385F">
        <w:rPr>
          <w:rFonts w:cs="Times New Roman"/>
          <w:lang w:val="fr-CA"/>
        </w:rPr>
        <w:t xml:space="preserve"> » : </w:t>
      </w:r>
      <w:r w:rsidRPr="0054385F">
        <w:rPr>
          <w:rFonts w:cs="Times New Roman"/>
          <w:i/>
          <w:lang w:val="fr-CA"/>
        </w:rPr>
        <w:t>Bodner</w:t>
      </w:r>
      <w:r w:rsidRPr="0054385F">
        <w:rPr>
          <w:rFonts w:cs="Times New Roman"/>
          <w:lang w:val="fr-CA"/>
        </w:rPr>
        <w:t>, par. 66, 96 et 159; voir également les par. 68 et 123.</w:t>
      </w:r>
    </w:p>
    <w:p w14:paraId="5111F11D"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Quoique, dans le cadre d’un contrôle de type </w:t>
      </w:r>
      <w:r w:rsidRPr="0054385F">
        <w:rPr>
          <w:rFonts w:cs="Times New Roman"/>
          <w:i/>
          <w:lang w:val="fr-CA"/>
        </w:rPr>
        <w:t>Bodner</w:t>
      </w:r>
      <w:r w:rsidRPr="0054385F">
        <w:rPr>
          <w:rFonts w:cs="Times New Roman"/>
          <w:lang w:val="fr-CA"/>
        </w:rPr>
        <w:t>, le dossier se compose principalement des observations présentées à la commission, du rapport de celle</w:t>
      </w:r>
      <w:r w:rsidRPr="0054385F">
        <w:rPr>
          <w:rFonts w:cs="Times New Roman"/>
          <w:lang w:val="fr-CA"/>
        </w:rPr>
        <w:noBreakHyphen/>
        <w:t>ci et de la réponse du gouvernement, il peut également comprendre d’autres éléments de preuve pertinents à l’égard des questions à examiner lors d’un tel contrôle</w:t>
      </w:r>
      <w:r w:rsidRPr="0054385F">
        <w:rPr>
          <w:rFonts w:cs="Times New Roman"/>
          <w:i/>
          <w:lang w:val="fr-CA"/>
        </w:rPr>
        <w:t> </w:t>
      </w:r>
      <w:r w:rsidRPr="00E45F84">
        <w:rPr>
          <w:rFonts w:cs="Times New Roman"/>
          <w:lang w:val="fr-CA"/>
        </w:rPr>
        <w:t xml:space="preserve">: </w:t>
      </w:r>
      <w:r w:rsidRPr="0054385F">
        <w:rPr>
          <w:rFonts w:cs="Times New Roman"/>
          <w:i/>
          <w:lang w:val="fr-CA"/>
        </w:rPr>
        <w:t>B.C. Provincial Court Judges</w:t>
      </w:r>
      <w:r w:rsidRPr="0054385F">
        <w:rPr>
          <w:rFonts w:cs="Times New Roman"/>
          <w:lang w:val="fr-CA"/>
        </w:rPr>
        <w:t>, par. 53</w:t>
      </w:r>
      <w:r w:rsidRPr="0054385F">
        <w:rPr>
          <w:rFonts w:cs="Times New Roman"/>
          <w:lang w:val="fr-CA"/>
        </w:rPr>
        <w:noBreakHyphen/>
        <w:t>55.</w:t>
      </w:r>
    </w:p>
    <w:p w14:paraId="385BBD47"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Généralement, un contrôle de type </w:t>
      </w:r>
      <w:r w:rsidRPr="0054385F">
        <w:rPr>
          <w:rFonts w:cs="Times New Roman"/>
          <w:i/>
          <w:lang w:val="fr-CA"/>
        </w:rPr>
        <w:t>Bodner</w:t>
      </w:r>
      <w:r w:rsidRPr="0054385F">
        <w:rPr>
          <w:rFonts w:cs="Times New Roman"/>
          <w:lang w:val="fr-CA"/>
        </w:rPr>
        <w:t xml:space="preserve"> oppose deux branches de l’État : d’une part, l’exécutif, d’autre part, les membres de la magistrature qui contestent la réponse du gouvernement. La détermination de la pertinence d’éléments de preuve additionnels, lorsque celle</w:t>
      </w:r>
      <w:r w:rsidRPr="0054385F">
        <w:rPr>
          <w:rFonts w:cs="Times New Roman"/>
          <w:lang w:val="fr-CA"/>
        </w:rPr>
        <w:noBreakHyphen/>
        <w:t>ci est mise en question, peut, dans le cours normal des choses, requérir qu’un juge consulte les éléments de preuve proposés. Toute consultation d’un document confidentiel du Cabinet est susceptible de porter atteinte à la confidentialité des délibérations du Cabinet. Toutefois, étant donné que le pouvoir judiciaire a un intérêt direct dans le litige, la consultation par un de ses membres d’un</w:t>
      </w:r>
      <w:r>
        <w:rPr>
          <w:rFonts w:cs="Times New Roman"/>
          <w:lang w:val="fr-CA"/>
        </w:rPr>
        <w:t xml:space="preserve"> document confidentiel du Cabinet</w:t>
      </w:r>
      <w:r w:rsidRPr="0054385F">
        <w:rPr>
          <w:rFonts w:cs="Times New Roman"/>
          <w:lang w:val="fr-CA"/>
        </w:rPr>
        <w:t xml:space="preserve"> se rapportant à la réponse du gouvernement aux recommandations d’une commission d’examen de la rémunération des juges est susceptible d’entraîner une atteinte considérable : </w:t>
      </w:r>
      <w:r w:rsidRPr="0054385F">
        <w:rPr>
          <w:rFonts w:cs="Times New Roman"/>
          <w:i/>
          <w:lang w:val="fr-CA"/>
        </w:rPr>
        <w:t>B.C. Provincial Court Judges</w:t>
      </w:r>
      <w:r w:rsidRPr="0054385F">
        <w:rPr>
          <w:rFonts w:cs="Times New Roman"/>
          <w:lang w:val="fr-CA"/>
        </w:rPr>
        <w:t>, par. 70</w:t>
      </w:r>
      <w:r w:rsidRPr="0054385F">
        <w:rPr>
          <w:rFonts w:cs="Times New Roman"/>
          <w:lang w:val="fr-CA"/>
        </w:rPr>
        <w:noBreakHyphen/>
        <w:t xml:space="preserve">72. En raison de ces considérations, l’arrêt rendu dans le pourvoi connexe établit un ensemble particulier de règles qui s’appliquent lorsqu’une partie sollicitant un contrôle de type </w:t>
      </w:r>
      <w:r w:rsidRPr="0054385F">
        <w:rPr>
          <w:rFonts w:cs="Times New Roman"/>
          <w:i/>
          <w:lang w:val="fr-CA"/>
        </w:rPr>
        <w:t>Bodner</w:t>
      </w:r>
      <w:r w:rsidRPr="0054385F">
        <w:rPr>
          <w:rFonts w:cs="Times New Roman"/>
          <w:lang w:val="fr-CA"/>
        </w:rPr>
        <w:t xml:space="preserve"> demande la production d’un document confidentiel du Cabinet.</w:t>
      </w:r>
    </w:p>
    <w:p w14:paraId="32791B2B"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Avant que le tribunal ne consulte le document en question, la partie sollicitant le contrôle de type </w:t>
      </w:r>
      <w:r w:rsidRPr="0054385F">
        <w:rPr>
          <w:rFonts w:cs="Times New Roman"/>
          <w:i/>
          <w:lang w:val="fr-CA"/>
        </w:rPr>
        <w:t>Bodner</w:t>
      </w:r>
      <w:r w:rsidRPr="0054385F">
        <w:rPr>
          <w:rFonts w:cs="Times New Roman"/>
          <w:lang w:val="fr-CA"/>
        </w:rPr>
        <w:t xml:space="preserve"> doit d’abord démontrer l’existence de circonstances ou d’éléments de preuve appuyant sa prétention selon laquelle ce document pourrait tendre à démontrer que la réponse du gouvernement ne satisfait pas à l’une des étapes de l’analyse établie dans l’arrêt </w:t>
      </w:r>
      <w:r w:rsidRPr="0054385F">
        <w:rPr>
          <w:rFonts w:cs="Times New Roman"/>
          <w:i/>
          <w:lang w:val="fr-CA"/>
        </w:rPr>
        <w:t>Bodner</w:t>
      </w:r>
      <w:r w:rsidRPr="0054385F">
        <w:rPr>
          <w:rFonts w:cs="Times New Roman"/>
          <w:lang w:val="fr-CA"/>
        </w:rPr>
        <w:t xml:space="preserve"> : </w:t>
      </w:r>
      <w:r w:rsidRPr="0054385F">
        <w:rPr>
          <w:rFonts w:cs="Times New Roman"/>
          <w:i/>
          <w:lang w:val="fr-CA"/>
        </w:rPr>
        <w:t>B.C. Provincial Court Judges</w:t>
      </w:r>
      <w:r w:rsidRPr="0054385F">
        <w:rPr>
          <w:rFonts w:cs="Times New Roman"/>
          <w:lang w:val="fr-CA"/>
        </w:rPr>
        <w:t>, par. 75. Il n’est pas nécessaire, pour faire cette démonstration, que la partie connaisse le contenu du document confidentiel du Cabinet ou dispose de renseignements sur le contenu de celui</w:t>
      </w:r>
      <w:r w:rsidRPr="0054385F">
        <w:rPr>
          <w:rFonts w:cs="Times New Roman"/>
          <w:lang w:val="fr-CA"/>
        </w:rPr>
        <w:noBreakHyphen/>
        <w:t xml:space="preserve">ci. Comme je l’ai expliqué au par. 78 de l’arrêt </w:t>
      </w:r>
      <w:r w:rsidRPr="0054385F">
        <w:rPr>
          <w:rFonts w:cs="Times New Roman"/>
          <w:i/>
          <w:lang w:val="fr-CA"/>
        </w:rPr>
        <w:t>B.C. Provincial Court Judges</w:t>
      </w:r>
      <w:r w:rsidRPr="0054385F">
        <w:rPr>
          <w:rFonts w:cs="Times New Roman"/>
          <w:lang w:val="fr-CA"/>
        </w:rPr>
        <w:t>, la partie peut s’appuyer sur des déclarations faites par des ministres ou d’autres personnes, ainsi que sur des éléments concernant le contexte plus large, y compris de tendances se dégageant des réponses antérieures du gouvernement aux recommandations de la commission. Pour décider si les circonstances invoquées permettent de faire la démonstration préliminaire requise pour justifier la consultation du document par un membre de la magistrature, le tribunal peut considérer l’ensemble du dossier, notamment les observations que le gouvernement a présentées à la commission. Il est possible que la réponse du gouvernement elle</w:t>
      </w:r>
      <w:r w:rsidRPr="0054385F">
        <w:rPr>
          <w:rFonts w:cs="Times New Roman"/>
          <w:lang w:val="fr-CA"/>
        </w:rPr>
        <w:noBreakHyphen/>
        <w:t xml:space="preserve">même fournisse certaines raisons de croire que le document confidentiel du Cabinet pourrait contenir des éléments de preuve tendant à démontrer que le gouvernement n’a pas satisfait à une exigence décrite dans l’arrêt </w:t>
      </w:r>
      <w:r w:rsidRPr="0054385F">
        <w:rPr>
          <w:rFonts w:cs="Times New Roman"/>
          <w:i/>
          <w:lang w:val="fr-CA"/>
        </w:rPr>
        <w:t>Bodner</w:t>
      </w:r>
      <w:r w:rsidRPr="0054385F">
        <w:rPr>
          <w:rFonts w:cs="Times New Roman"/>
          <w:lang w:val="fr-CA"/>
        </w:rPr>
        <w:t>.</w:t>
      </w:r>
    </w:p>
    <w:p w14:paraId="6B141A4F" w14:textId="380F85FB" w:rsidR="00B3086A" w:rsidRPr="0054385F" w:rsidRDefault="00B3086A" w:rsidP="00B3086A">
      <w:pPr>
        <w:pStyle w:val="ParaNoNdepar-AltN"/>
        <w:spacing w:before="0"/>
        <w:rPr>
          <w:rFonts w:cs="Times New Roman"/>
          <w:lang w:val="fr-CA"/>
        </w:rPr>
      </w:pPr>
      <w:r w:rsidRPr="0054385F">
        <w:rPr>
          <w:rFonts w:cs="Times New Roman"/>
          <w:lang w:val="fr-CA"/>
        </w:rPr>
        <w:t xml:space="preserve">Dans son avis de demande, l’Association plaide que les motifs du gouvernement n’expliquent pas la décision de ce dernier de </w:t>
      </w:r>
      <w:r w:rsidRPr="0054385F">
        <w:rPr>
          <w:rFonts w:cs="Times New Roman"/>
          <w:i/>
          <w:lang w:val="fr-CA"/>
        </w:rPr>
        <w:t>s’écarter</w:t>
      </w:r>
      <w:r w:rsidRPr="0054385F">
        <w:rPr>
          <w:rFonts w:cs="Times New Roman"/>
          <w:lang w:val="fr-CA"/>
        </w:rPr>
        <w:t xml:space="preserve"> considérablement de la recommandation de la commission d’augmenter les traitements des juges de 8,9 </w:t>
      </w:r>
      <w:r w:rsidR="00E45F84">
        <w:rPr>
          <w:rFonts w:cs="Times New Roman"/>
          <w:lang w:val="fr-CA"/>
        </w:rPr>
        <w:t>p. 100</w:t>
      </w:r>
      <w:r w:rsidRPr="0054385F">
        <w:rPr>
          <w:rFonts w:cs="Times New Roman"/>
          <w:lang w:val="fr-CA"/>
        </w:rPr>
        <w:t xml:space="preserve"> sur trois ans dans le but de les faire concorder davantage avec les traitements versés dans les autres provinces. De l’avis des intimés, les motifs ne justifient pas la décision du gouvernement de limiter l’augmentation à un pour cent pour la dernière année d’un cycle triennal.</w:t>
      </w:r>
    </w:p>
    <w:p w14:paraId="7D4232CB" w14:textId="0598A215" w:rsidR="00B3086A" w:rsidRPr="0054385F" w:rsidRDefault="00B3086A" w:rsidP="00B3086A">
      <w:pPr>
        <w:pStyle w:val="ParaNoNdepar-AltN"/>
        <w:spacing w:before="0"/>
        <w:rPr>
          <w:rFonts w:cs="Times New Roman"/>
          <w:lang w:val="fr-CA"/>
        </w:rPr>
      </w:pPr>
      <w:r w:rsidRPr="0054385F">
        <w:rPr>
          <w:rFonts w:cs="Times New Roman"/>
          <w:lang w:val="fr-CA"/>
        </w:rPr>
        <w:t>Pour leur part, les motifs avancés par le gouvernement critiquent de façon répétée et en termes sévères les recommandations de la commission et le mécanisme d’examen par une commission. Selon ces motifs, la commission a procédé [</w:t>
      </w:r>
      <w:r w:rsidRPr="0054385F">
        <w:rPr>
          <w:rFonts w:cs="Times New Roman"/>
          <w:smallCaps/>
          <w:lang w:val="fr-CA"/>
        </w:rPr>
        <w:t>traduction</w:t>
      </w:r>
      <w:r w:rsidRPr="0054385F">
        <w:rPr>
          <w:rFonts w:cs="Times New Roman"/>
          <w:lang w:val="fr-CA"/>
        </w:rPr>
        <w:t>] « suivant une formule axée sur les résultats en vue d’arriver à une conclusion donnée », ajoutant qu’il n’existait « aucun fondement rationnel étayant sa conclusion » : d.a., vol. 2, p. 8</w:t>
      </w:r>
      <w:r w:rsidRPr="0054385F">
        <w:rPr>
          <w:rFonts w:cs="Times New Roman"/>
          <w:lang w:val="fr-CA"/>
        </w:rPr>
        <w:noBreakHyphen/>
        <w:t>10. Les motifs reprochent aussi à la commission</w:t>
      </w:r>
      <w:r w:rsidR="00E45F84">
        <w:rPr>
          <w:rFonts w:cs="Times New Roman"/>
          <w:lang w:val="fr-CA"/>
        </w:rPr>
        <w:t xml:space="preserve"> d’avoir recouru à une forme </w:t>
      </w:r>
      <w:r w:rsidRPr="0054385F">
        <w:rPr>
          <w:rFonts w:cs="Times New Roman"/>
          <w:lang w:val="fr-CA"/>
        </w:rPr>
        <w:t>« </w:t>
      </w:r>
      <w:r w:rsidR="00E45F84">
        <w:rPr>
          <w:rFonts w:cs="Times New Roman"/>
          <w:lang w:val="fr-CA"/>
        </w:rPr>
        <w:t>[d’]</w:t>
      </w:r>
      <w:r w:rsidRPr="0054385F">
        <w:rPr>
          <w:rFonts w:cs="Times New Roman"/>
          <w:lang w:val="fr-CA"/>
        </w:rPr>
        <w:t>arbitrage antagoniste entre intérêts opposés », basée sur le modèle de la négociation collective, prévenant qu’« en conséquence », « la confiance du public dans l’indépendance, l’objectivité et l’efficacité — réelles et perçues — [de la commission] pourraient être mises en doute » : d.a., vol. 2, p. 12</w:t>
      </w:r>
      <w:r w:rsidRPr="0054385F">
        <w:rPr>
          <w:rFonts w:cs="Times New Roman"/>
          <w:lang w:val="fr-CA"/>
        </w:rPr>
        <w:noBreakHyphen/>
        <w:t>13.</w:t>
      </w:r>
    </w:p>
    <w:p w14:paraId="6FA39DBD" w14:textId="77777777" w:rsidR="00B3086A" w:rsidRPr="0054385F" w:rsidRDefault="00B3086A" w:rsidP="00B3086A">
      <w:pPr>
        <w:pStyle w:val="ParaNoNdepar-AltN"/>
        <w:spacing w:before="0"/>
        <w:rPr>
          <w:rFonts w:cs="Times New Roman"/>
          <w:lang w:val="fr-CA"/>
        </w:rPr>
      </w:pPr>
      <w:r w:rsidRPr="0054385F">
        <w:rPr>
          <w:rFonts w:cs="Times New Roman"/>
          <w:lang w:val="fr-CA"/>
        </w:rPr>
        <w:t>Bien que le gouvernement reconnaisse qu’il aurait été possible à la commission de fournir des motifs valables sur le plan constitutionnel pour justifier sa décision de déborder du cadre budgétaire de la province, le gouvernement conclut que la commission a soit fait erreur soit outrepassé sa compétence en dérogeant à ce cadre et qu’elle [</w:t>
      </w:r>
      <w:r w:rsidRPr="0054385F">
        <w:rPr>
          <w:rFonts w:cs="Times New Roman"/>
          <w:smallCaps/>
          <w:lang w:val="fr-CA"/>
        </w:rPr>
        <w:t>traduction</w:t>
      </w:r>
      <w:r w:rsidRPr="0054385F">
        <w:rPr>
          <w:rFonts w:cs="Times New Roman"/>
          <w:lang w:val="fr-CA"/>
        </w:rPr>
        <w:t>] « a choisi, dans les faits, d’</w:t>
      </w:r>
      <w:r w:rsidRPr="0054385F">
        <w:rPr>
          <w:rFonts w:cs="Times New Roman"/>
          <w:u w:val="single"/>
          <w:lang w:val="fr-CA"/>
        </w:rPr>
        <w:t>usurper</w:t>
      </w:r>
      <w:r w:rsidRPr="0054385F">
        <w:rPr>
          <w:rFonts w:cs="Times New Roman"/>
          <w:lang w:val="fr-CA"/>
        </w:rPr>
        <w:t xml:space="preserve"> le pouvoir conféré par la loi au ministre des Finances</w:t>
      </w:r>
      <w:r>
        <w:rPr>
          <w:rFonts w:cs="Times New Roman"/>
          <w:lang w:val="fr-CA"/>
        </w:rPr>
        <w:t xml:space="preserve"> </w:t>
      </w:r>
      <w:r w:rsidRPr="0054385F">
        <w:rPr>
          <w:rFonts w:cs="Times New Roman"/>
          <w:lang w:val="fr-CA"/>
        </w:rPr>
        <w:t>» : d.a., vol. 2, p. 15 (je souligne).</w:t>
      </w:r>
    </w:p>
    <w:p w14:paraId="72E74F92" w14:textId="77777777" w:rsidR="00B3086A" w:rsidRPr="0054385F" w:rsidRDefault="00B3086A" w:rsidP="00B3086A">
      <w:pPr>
        <w:pStyle w:val="ParaNoNdepar-AltN"/>
        <w:spacing w:before="0"/>
        <w:rPr>
          <w:rFonts w:cs="Times New Roman"/>
          <w:lang w:val="fr-CA"/>
        </w:rPr>
      </w:pPr>
      <w:r w:rsidRPr="0054385F">
        <w:rPr>
          <w:rFonts w:cs="Times New Roman"/>
          <w:lang w:val="fr-CA"/>
        </w:rPr>
        <w:t>En définitive, le gouvernement a modifié considérablement la recommandation de la commission, gelant les traitements des juges pour les exercices 2017</w:t>
      </w:r>
      <w:r w:rsidRPr="0054385F">
        <w:rPr>
          <w:rFonts w:cs="Times New Roman"/>
          <w:lang w:val="fr-CA"/>
        </w:rPr>
        <w:noBreakHyphen/>
        <w:t>2018 et 2018</w:t>
      </w:r>
      <w:r w:rsidRPr="0054385F">
        <w:rPr>
          <w:rFonts w:cs="Times New Roman"/>
          <w:lang w:val="fr-CA"/>
        </w:rPr>
        <w:noBreakHyphen/>
        <w:t>2019 et décrétant une augmentation de leurs traitements d’un pour cent pour l’exercice 2019</w:t>
      </w:r>
      <w:r w:rsidRPr="0054385F">
        <w:rPr>
          <w:rFonts w:cs="Times New Roman"/>
          <w:lang w:val="fr-CA"/>
        </w:rPr>
        <w:noBreakHyphen/>
        <w:t xml:space="preserve">2020 </w:t>
      </w:r>
      <w:r w:rsidRPr="0054385F">
        <w:rPr>
          <w:rFonts w:cs="Times New Roman"/>
          <w:smallCaps/>
          <w:lang w:val="fr-CA"/>
        </w:rPr>
        <w:t>[traduction</w:t>
      </w:r>
      <w:r w:rsidRPr="0054385F">
        <w:rPr>
          <w:rFonts w:cs="Times New Roman"/>
          <w:lang w:val="fr-CA"/>
        </w:rPr>
        <w:t>] « afin qu’ils concordent avec le salaire déjà fixé pour les procureurs de la Couronne, l’augmentation de l’enveloppe destinée aux médecins et la hausse proposée à l’égard des autres personnes en Nouvelle</w:t>
      </w:r>
      <w:r w:rsidRPr="0054385F">
        <w:rPr>
          <w:rFonts w:cs="Times New Roman"/>
          <w:lang w:val="fr-CA"/>
        </w:rPr>
        <w:noBreakHyphen/>
        <w:t>Écosse qui sont rémunérées sur les fonds publics, y compris les députés de l’Assemblée législative » : d.a., vol. 2, p. 18</w:t>
      </w:r>
      <w:r w:rsidRPr="0054385F">
        <w:rPr>
          <w:rFonts w:cs="Times New Roman"/>
          <w:lang w:val="fr-CA"/>
        </w:rPr>
        <w:noBreakHyphen/>
        <w:t>19.</w:t>
      </w:r>
    </w:p>
    <w:p w14:paraId="2EE4943E" w14:textId="77777777" w:rsidR="00B3086A" w:rsidRPr="0054385F" w:rsidRDefault="00B3086A" w:rsidP="00B3086A">
      <w:pPr>
        <w:pStyle w:val="ParaNoNdepar-AltN"/>
        <w:spacing w:before="0"/>
        <w:rPr>
          <w:rFonts w:cs="Times New Roman"/>
          <w:lang w:val="fr-CA"/>
        </w:rPr>
      </w:pPr>
      <w:r w:rsidRPr="0054385F">
        <w:rPr>
          <w:rFonts w:cs="Times New Roman"/>
          <w:lang w:val="fr-CA"/>
        </w:rPr>
        <w:t>Il s’agit de décider si, dans le contexte plus large de la présente espèce, les motifs susmentionnés fournissent des raisons de croire que le rapport de la procureure générale pourrait contenir des éléments de preuve tendant à démontrer que le gouvernement ne s’est pas conformé à une de ses obligations constitutionnelles lorsqu’il a répondu aux recommandations de la commission.</w:t>
      </w:r>
    </w:p>
    <w:p w14:paraId="1217E046"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Il est loisible aux intimés de se fonder sur les motifs du gouvernement pour soutenir que ce dernier n’a pas tenu suffisamment compte de la nature distincte des fonctions judiciaires lorsqu’il a conclu que les traitements des juges devraient augmenter uniquement au même rythme que les salaires dans le reste du secteur public. Bien qu’il soit possible que des restrictions générales en matière d’augmentation salariale puissent être jugées rationnelles, notre Cour a formulé la mise en garde suivante : « l’indépendance de la magistrature peut être menacée par des mesures qui </w:t>
      </w:r>
      <w:r>
        <w:rPr>
          <w:rFonts w:cs="Times New Roman"/>
          <w:lang w:val="fr-CA"/>
        </w:rPr>
        <w:t xml:space="preserve">[…] </w:t>
      </w:r>
      <w:r w:rsidRPr="0054385F">
        <w:rPr>
          <w:rFonts w:cs="Times New Roman"/>
          <w:lang w:val="fr-CA"/>
        </w:rPr>
        <w:t xml:space="preserve">traitent les juges </w:t>
      </w:r>
      <w:r>
        <w:rPr>
          <w:rFonts w:cs="Times New Roman"/>
          <w:lang w:val="fr-CA"/>
        </w:rPr>
        <w:t xml:space="preserve">[et les] </w:t>
      </w:r>
      <w:r w:rsidRPr="0054385F">
        <w:rPr>
          <w:rFonts w:cs="Times New Roman"/>
          <w:lang w:val="fr-CA"/>
        </w:rPr>
        <w:t>autres personnes rémunérées sur les fonds publics</w:t>
      </w:r>
      <w:r>
        <w:rPr>
          <w:rFonts w:cs="Times New Roman"/>
          <w:lang w:val="fr-CA"/>
        </w:rPr>
        <w:t xml:space="preserve"> […]</w:t>
      </w:r>
      <w:r w:rsidRPr="0054385F">
        <w:rPr>
          <w:rFonts w:cs="Times New Roman"/>
          <w:lang w:val="fr-CA"/>
        </w:rPr>
        <w:t xml:space="preserve"> de façon identique » : </w:t>
      </w:r>
      <w:r w:rsidRPr="0054385F">
        <w:rPr>
          <w:rFonts w:cs="Times New Roman"/>
          <w:i/>
          <w:lang w:val="fr-CA"/>
        </w:rPr>
        <w:t>Renvoi relatif aux juges de la Cour provinciale</w:t>
      </w:r>
      <w:r w:rsidRPr="0054385F">
        <w:rPr>
          <w:rFonts w:cs="Times New Roman"/>
          <w:lang w:val="fr-CA"/>
        </w:rPr>
        <w:t xml:space="preserve">, par. 158 et 184. De même, quoique notre Cour ait accepté dans </w:t>
      </w:r>
      <w:r w:rsidRPr="0054385F">
        <w:rPr>
          <w:rFonts w:cs="Times New Roman"/>
          <w:i/>
          <w:lang w:val="fr-CA"/>
        </w:rPr>
        <w:t>Bodner</w:t>
      </w:r>
      <w:r w:rsidRPr="0054385F">
        <w:rPr>
          <w:rFonts w:cs="Times New Roman"/>
          <w:lang w:val="fr-CA"/>
        </w:rPr>
        <w:t xml:space="preserve"> que des comparaisons avec les salaires des fonctionnaires pourraient s’avérer opportunes, elle a également souligné que la réponse du gouverne</w:t>
      </w:r>
      <w:r>
        <w:rPr>
          <w:rFonts w:cs="Times New Roman"/>
          <w:lang w:val="fr-CA"/>
        </w:rPr>
        <w:t>ment</w:t>
      </w:r>
      <w:r w:rsidRPr="0054385F">
        <w:rPr>
          <w:rFonts w:cs="Times New Roman"/>
          <w:lang w:val="fr-CA"/>
        </w:rPr>
        <w:t xml:space="preserve"> doit </w:t>
      </w:r>
      <w:r w:rsidRPr="0054385F">
        <w:rPr>
          <w:rFonts w:cs="Times New Roman"/>
          <w:i/>
          <w:lang w:val="fr-CA"/>
        </w:rPr>
        <w:t>toujours</w:t>
      </w:r>
      <w:r w:rsidRPr="0054385F">
        <w:rPr>
          <w:rFonts w:cs="Times New Roman"/>
          <w:lang w:val="fr-CA"/>
        </w:rPr>
        <w:t xml:space="preserve"> tenir compte de la nature distincte des fonctions judiciaires : </w:t>
      </w:r>
      <w:r w:rsidRPr="0054385F">
        <w:rPr>
          <w:rFonts w:cs="Times New Roman"/>
          <w:i/>
          <w:lang w:val="fr-CA"/>
        </w:rPr>
        <w:t>Bodner</w:t>
      </w:r>
      <w:r w:rsidRPr="0054385F">
        <w:rPr>
          <w:rFonts w:cs="Times New Roman"/>
          <w:lang w:val="fr-CA"/>
        </w:rPr>
        <w:t>, par. 26, 75 et 123</w:t>
      </w:r>
      <w:r w:rsidRPr="0054385F">
        <w:rPr>
          <w:rFonts w:cs="Times New Roman"/>
          <w:lang w:val="fr-CA"/>
        </w:rPr>
        <w:noBreakHyphen/>
        <w:t>126.</w:t>
      </w:r>
    </w:p>
    <w:p w14:paraId="3903976D"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Comme l’a clairement indiqué notre Cour aux par. 23, 25 et 38 de l’arrêt </w:t>
      </w:r>
      <w:r w:rsidRPr="0054385F">
        <w:rPr>
          <w:rFonts w:cs="Times New Roman"/>
          <w:i/>
          <w:lang w:val="fr-CA"/>
        </w:rPr>
        <w:t>Bodner</w:t>
      </w:r>
      <w:r w:rsidRPr="0054385F">
        <w:rPr>
          <w:rFonts w:cs="Times New Roman"/>
          <w:lang w:val="fr-CA"/>
        </w:rPr>
        <w:t xml:space="preserve">, le gouvernement doit répondre aux recommandations de la commission, les prendre en compte et traiter concrètement des questions en jeu. Dans l’affaire </w:t>
      </w:r>
      <w:r w:rsidRPr="0054385F">
        <w:rPr>
          <w:rFonts w:cs="Times New Roman"/>
          <w:i/>
          <w:lang w:val="fr-CA"/>
        </w:rPr>
        <w:t xml:space="preserve">Bodner </w:t>
      </w:r>
      <w:r w:rsidRPr="0054385F">
        <w:rPr>
          <w:rFonts w:cs="Times New Roman"/>
          <w:lang w:val="fr-CA"/>
        </w:rPr>
        <w:t>elle</w:t>
      </w:r>
      <w:r w:rsidRPr="0054385F">
        <w:rPr>
          <w:rFonts w:cs="Times New Roman"/>
          <w:lang w:val="fr-CA"/>
        </w:rPr>
        <w:noBreakHyphen/>
        <w:t>même, l’omission du gouvernement du Québec de répondre à certains des principaux motifs justifiant les recommandations de la commission s’est révélée fatale à la rationalité de sa réponse : par. 159. En l’espèce, les motifs du gouvernement font état d’un certain nombre d’erreurs possibles dans la comparaison faite par la commission avec les salaires versés aux juges au Nouveau</w:t>
      </w:r>
      <w:r w:rsidRPr="0054385F">
        <w:rPr>
          <w:rFonts w:cs="Times New Roman"/>
          <w:lang w:val="fr-CA"/>
        </w:rPr>
        <w:noBreakHyphen/>
        <w:t xml:space="preserve">Brunswick. L’étude effectuée par le gouvernement sur les fondements factuels invoqués par la commission est appropriée et expressément envisagée dans l’arrêt </w:t>
      </w:r>
      <w:r w:rsidRPr="0054385F">
        <w:rPr>
          <w:rFonts w:cs="Times New Roman"/>
          <w:i/>
          <w:lang w:val="fr-CA"/>
        </w:rPr>
        <w:t>Bodner</w:t>
      </w:r>
      <w:r w:rsidRPr="0054385F">
        <w:rPr>
          <w:rFonts w:cs="Times New Roman"/>
          <w:lang w:val="fr-CA"/>
        </w:rPr>
        <w:t>, aux par. 26 et 36. Mais il est également possible de soutenir que le gouvernement ne s’est pas penché de manière concrète sur l’analyse réalisée par la commission en ce qui concerne la hausse du coût de la vie en Nouvelle</w:t>
      </w:r>
      <w:r w:rsidRPr="0054385F">
        <w:rPr>
          <w:rFonts w:cs="Times New Roman"/>
          <w:lang w:val="fr-CA"/>
        </w:rPr>
        <w:noBreakHyphen/>
        <w:t>Écosse ou sur la comparaison plus large effectuée par celle</w:t>
      </w:r>
      <w:r w:rsidRPr="0054385F">
        <w:rPr>
          <w:rFonts w:cs="Times New Roman"/>
          <w:lang w:val="fr-CA"/>
        </w:rPr>
        <w:noBreakHyphen/>
        <w:t>ci entre les traitements versés aux juges de la province et ceux versés aux juges dans le reste du pays, comparaison qui constitue la justification centrale de sa recommandation. La légitimité des motifs avancés par le gouvernement de la Nouvelle</w:t>
      </w:r>
      <w:r w:rsidRPr="0054385F">
        <w:rPr>
          <w:rFonts w:cs="Times New Roman"/>
          <w:lang w:val="fr-CA"/>
        </w:rPr>
        <w:noBreakHyphen/>
        <w:t>Écosse peut également être évaluée au regard de la mesure dans laquelle celui</w:t>
      </w:r>
      <w:r w:rsidRPr="0054385F">
        <w:rPr>
          <w:rFonts w:cs="Times New Roman"/>
          <w:lang w:val="fr-CA"/>
        </w:rPr>
        <w:noBreakHyphen/>
        <w:t>ci s’écarte de la recommandation de la commission.</w:t>
      </w:r>
    </w:p>
    <w:p w14:paraId="59D4FAB3"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Il est évidemment loisible au gouvernement de ne pas être d’accord avec la commission quant aux recommandations qu’elle a formulées et au raisonnement qu’elle a suivi. Cependant, on attend de lui qu’il fasse montre de respect envers le mécanisme d’examen par une commission de manière à permettre la réalisation des objectifs de ce mécanisme — la dépolitisation et l’indépendance de la magistrature : </w:t>
      </w:r>
      <w:r w:rsidRPr="0054385F">
        <w:rPr>
          <w:rFonts w:cs="Times New Roman"/>
          <w:i/>
          <w:lang w:val="fr-CA"/>
        </w:rPr>
        <w:t>Bodner</w:t>
      </w:r>
      <w:r w:rsidRPr="0054385F">
        <w:rPr>
          <w:rFonts w:cs="Times New Roman"/>
          <w:lang w:val="fr-CA"/>
        </w:rPr>
        <w:t>, par. 25</w:t>
      </w:r>
      <w:r w:rsidRPr="0054385F">
        <w:rPr>
          <w:rFonts w:cs="Times New Roman"/>
          <w:lang w:val="fr-CA"/>
        </w:rPr>
        <w:noBreakHyphen/>
        <w:t>26 et 30</w:t>
      </w:r>
      <w:r w:rsidRPr="0054385F">
        <w:rPr>
          <w:rFonts w:cs="Times New Roman"/>
          <w:lang w:val="fr-CA"/>
        </w:rPr>
        <w:noBreakHyphen/>
        <w:t>31. Ici, les motifs mêmes avancés par le gouvernement peuvent faire craindre que le gouvernement n’ait pas analysé de façon concrète les recommandations de la commission, ni fait preuve de respect envers son mécanisme d’examen.</w:t>
      </w:r>
    </w:p>
    <w:p w14:paraId="5AA29784"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De plus, le gouvernement semble en l’espèce avoir mis en œuvre précisément l’augmentation qu’il avait proposée dans ses observations à la commission, ce qui, une fois de plus, soulève la question de savoir s’il a respecté le mécanisme d’examen de la commission : voir </w:t>
      </w:r>
      <w:r w:rsidRPr="0054385F">
        <w:rPr>
          <w:rFonts w:cs="Times New Roman"/>
          <w:i/>
          <w:lang w:val="fr-CA"/>
        </w:rPr>
        <w:t>Bodner</w:t>
      </w:r>
      <w:r w:rsidRPr="0054385F">
        <w:rPr>
          <w:rFonts w:cs="Times New Roman"/>
          <w:lang w:val="fr-CA"/>
        </w:rPr>
        <w:t xml:space="preserve">, par. 23; </w:t>
      </w:r>
      <w:r w:rsidRPr="0054385F">
        <w:rPr>
          <w:rFonts w:cs="Times New Roman"/>
          <w:i/>
          <w:lang w:val="fr-CA"/>
        </w:rPr>
        <w:t>B.C. Provincial Court Judges</w:t>
      </w:r>
      <w:r w:rsidRPr="0054385F">
        <w:rPr>
          <w:rFonts w:cs="Times New Roman"/>
          <w:lang w:val="fr-CA"/>
        </w:rPr>
        <w:t xml:space="preserve">, par. 85. Ce faisant, à l’instar du gouvernement du Québec dans l’affaire </w:t>
      </w:r>
      <w:r w:rsidRPr="0054385F">
        <w:rPr>
          <w:rFonts w:cs="Times New Roman"/>
          <w:i/>
          <w:lang w:val="fr-CA"/>
        </w:rPr>
        <w:t>Bodner</w:t>
      </w:r>
      <w:r w:rsidRPr="0054385F">
        <w:rPr>
          <w:rFonts w:cs="Times New Roman"/>
          <w:lang w:val="fr-CA"/>
        </w:rPr>
        <w:t>, le gouvernement de la Nouvelle</w:t>
      </w:r>
      <w:r w:rsidRPr="0054385F">
        <w:rPr>
          <w:rFonts w:cs="Times New Roman"/>
          <w:lang w:val="fr-CA"/>
        </w:rPr>
        <w:noBreakHyphen/>
        <w:t>Écosse « semble s’être contenté de reformuler sa position initiale, sans opposer de réponse à certains des principaux motifs justifiant les recommandations [de la commission] » : par. 159. Il s’agit d’un facteur important à prendre en considération pour décider si la démonstration préliminaire requise a été faite.</w:t>
      </w:r>
    </w:p>
    <w:p w14:paraId="2A9B91C6" w14:textId="77777777" w:rsidR="00B3086A" w:rsidRPr="0054385F" w:rsidRDefault="00B3086A" w:rsidP="00B3086A">
      <w:pPr>
        <w:pStyle w:val="ParaNoNdepar-AltN"/>
        <w:spacing w:before="0"/>
        <w:rPr>
          <w:rFonts w:cs="Times New Roman"/>
          <w:lang w:val="fr-CA"/>
        </w:rPr>
      </w:pPr>
      <w:r w:rsidRPr="0054385F">
        <w:rPr>
          <w:rFonts w:cs="Times New Roman"/>
          <w:lang w:val="fr-CA"/>
        </w:rPr>
        <w:t>Enfin, je note qu’il y a aussi une mention du rapport de la procureure générale dans le préambule du décret qui forme la réponse du gouvernement. Bien que cette mention indique qu’il est possible que le lieutenant</w:t>
      </w:r>
      <w:r w:rsidRPr="0054385F">
        <w:rPr>
          <w:rFonts w:cs="Times New Roman"/>
          <w:lang w:val="fr-CA"/>
        </w:rPr>
        <w:noBreakHyphen/>
        <w:t>gouverneur en conseil se soit appuyé sur le rapport de la procureure générale pour formuler sa réponse, ce fait ne suffirait vraisemblablement pas à lui seul pour que la démonstration préliminaire requise soit réalisée. Il constitue simplement un facteur parmi d’autres à prendre en considération.</w:t>
      </w:r>
    </w:p>
    <w:p w14:paraId="2D342535" w14:textId="77777777" w:rsidR="00B3086A" w:rsidRPr="0054385F" w:rsidRDefault="00B3086A" w:rsidP="00B3086A">
      <w:pPr>
        <w:pStyle w:val="ParaNoNdepar-AltN"/>
        <w:spacing w:before="0"/>
        <w:rPr>
          <w:rFonts w:cs="Times New Roman"/>
          <w:lang w:val="fr-CA"/>
        </w:rPr>
      </w:pPr>
      <w:r w:rsidRPr="0054385F">
        <w:rPr>
          <w:rFonts w:cs="Times New Roman"/>
          <w:lang w:val="fr-CA"/>
        </w:rPr>
        <w:t>Je suis d’avis que, dans les circonstances, l’Association a fait la démonstration préliminaire requise pour justifier la consultation du document en question par un membre de la magistrature. Il existe certaines raisons de croire que le rapport de la procureure générale pourrait contenir des éléments de preuve tendant à démontrer que le gouvernement a dans les faits manqué aux obligations constitutionnelles qui lui incombent suivant la jurisprudence de notre Cour relative à l’indépendance judiciaire.</w:t>
      </w:r>
    </w:p>
    <w:p w14:paraId="448438A5"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La prochaine étape de l’analyse consiste donc à déterminer si le rapport de la procureure générale fournit effectivement certains éléments de preuve tendant à démontrer que la réponse du gouvernement ne satisfait pas aux exigences énoncées dans l’arrêt </w:t>
      </w:r>
      <w:r w:rsidRPr="0054385F">
        <w:rPr>
          <w:rFonts w:cs="Times New Roman"/>
          <w:i/>
          <w:lang w:val="fr-CA"/>
        </w:rPr>
        <w:t>Bodner</w:t>
      </w:r>
      <w:r w:rsidRPr="000553F5">
        <w:rPr>
          <w:rFonts w:cs="Times New Roman"/>
          <w:lang w:val="fr-CA"/>
        </w:rPr>
        <w:t> :</w:t>
      </w:r>
      <w:r w:rsidRPr="0054385F">
        <w:rPr>
          <w:rFonts w:cs="Times New Roman"/>
          <w:lang w:val="fr-CA"/>
        </w:rPr>
        <w:t xml:space="preserve"> </w:t>
      </w:r>
      <w:r w:rsidRPr="0054385F">
        <w:rPr>
          <w:rFonts w:cs="Times New Roman"/>
          <w:i/>
          <w:lang w:val="fr-CA"/>
        </w:rPr>
        <w:t>B.C. Provincial Court Judges</w:t>
      </w:r>
      <w:r w:rsidRPr="0054385F">
        <w:rPr>
          <w:rFonts w:cs="Times New Roman"/>
          <w:lang w:val="fr-CA"/>
        </w:rPr>
        <w:t>, par. 80.</w:t>
      </w:r>
    </w:p>
    <w:p w14:paraId="1F7DFC58" w14:textId="77777777" w:rsidR="00B3086A" w:rsidRPr="0054385F" w:rsidRDefault="00B3086A" w:rsidP="00B3086A">
      <w:pPr>
        <w:pStyle w:val="ParaNoNdepar-AltN"/>
        <w:spacing w:before="0"/>
        <w:rPr>
          <w:rFonts w:cs="Times New Roman"/>
          <w:lang w:val="fr-CA"/>
        </w:rPr>
      </w:pPr>
      <w:r w:rsidRPr="0054385F">
        <w:rPr>
          <w:rFonts w:cs="Times New Roman"/>
          <w:lang w:val="fr-CA"/>
        </w:rPr>
        <w:t>Le rapport a été déposé sous scellés</w:t>
      </w:r>
      <w:r>
        <w:rPr>
          <w:rFonts w:cs="Times New Roman"/>
          <w:lang w:val="fr-CA"/>
        </w:rPr>
        <w:t xml:space="preserve"> auprès de la Cour</w:t>
      </w:r>
      <w:r w:rsidRPr="0054385F">
        <w:rPr>
          <w:rFonts w:cs="Times New Roman"/>
          <w:lang w:val="fr-CA"/>
        </w:rPr>
        <w:t xml:space="preserve"> </w:t>
      </w:r>
      <w:r>
        <w:rPr>
          <w:rFonts w:cs="Times New Roman"/>
          <w:lang w:val="fr-CA"/>
        </w:rPr>
        <w:t xml:space="preserve">et est ainsi à notre disposition pour examen. </w:t>
      </w:r>
      <w:r w:rsidRPr="0054385F">
        <w:rPr>
          <w:rFonts w:cs="Times New Roman"/>
          <w:lang w:val="fr-CA"/>
        </w:rPr>
        <w:t>Nous sommes donc en mesure de le consulter afin de décider s’il doit être produit, et ainsi de donner des indications supplémentaires sur l’application de ce cadre. Tout comme les tribunaux de la Nouvelle</w:t>
      </w:r>
      <w:r w:rsidRPr="0054385F">
        <w:rPr>
          <w:rFonts w:cs="Times New Roman"/>
          <w:lang w:val="fr-CA"/>
        </w:rPr>
        <w:noBreakHyphen/>
        <w:t>Écosse, je vais m’abstenir de commenter les portions du rapport qui sont protégées par le secret professionnel de l’avocat et me concentrer uniquement sur les portions qui ne le sont pas.</w:t>
      </w:r>
    </w:p>
    <w:p w14:paraId="3F466CBF" w14:textId="77777777" w:rsidR="00B3086A" w:rsidRPr="0054385F" w:rsidRDefault="00B3086A" w:rsidP="00B3086A">
      <w:pPr>
        <w:pStyle w:val="ParaNoNdepar-AltN"/>
        <w:spacing w:before="0"/>
        <w:rPr>
          <w:rFonts w:cs="Times New Roman"/>
          <w:lang w:val="fr-CA"/>
        </w:rPr>
      </w:pPr>
      <w:r w:rsidRPr="0054385F">
        <w:rPr>
          <w:rFonts w:cs="Times New Roman"/>
          <w:lang w:val="fr-CA"/>
        </w:rPr>
        <w:t>Comme l’indique clairement le résumé du rapport que fait la Cour suprême de la Nouvelle</w:t>
      </w:r>
      <w:r w:rsidRPr="0054385F">
        <w:rPr>
          <w:rFonts w:cs="Times New Roman"/>
          <w:lang w:val="fr-CA"/>
        </w:rPr>
        <w:noBreakHyphen/>
        <w:t>Écosse, la plupart des portions du rapport non protégées par le secret professionnel de l’avocat fournissent des renseignements généraux qui visaient à exposer au lieutenant</w:t>
      </w:r>
      <w:r w:rsidRPr="0054385F">
        <w:rPr>
          <w:rFonts w:cs="Times New Roman"/>
          <w:lang w:val="fr-CA"/>
        </w:rPr>
        <w:noBreakHyphen/>
        <w:t xml:space="preserve">gouverneur en conseil le contexte de la décision qu’il devait prendre en vertu de la </w:t>
      </w:r>
      <w:r w:rsidRPr="0054385F">
        <w:rPr>
          <w:rFonts w:cs="Times New Roman"/>
          <w:i/>
          <w:lang w:val="fr-CA"/>
        </w:rPr>
        <w:t>Provincial Court Act</w:t>
      </w:r>
      <w:r w:rsidRPr="0054385F">
        <w:rPr>
          <w:rFonts w:cs="Times New Roman"/>
          <w:lang w:val="fr-CA"/>
        </w:rPr>
        <w:t xml:space="preserve">. Exception faite de l’analyse des implications à l’échelle gouvernementale et du plan de communications, le reste des portions non protégées du rapport ne fournissent aucun élément de preuve démontrant que la réponse du gouvernement ne satisfait pas aux exigences décrites dans l’arrêt </w:t>
      </w:r>
      <w:r w:rsidRPr="0054385F">
        <w:rPr>
          <w:rFonts w:cs="Times New Roman"/>
          <w:i/>
          <w:lang w:val="fr-CA"/>
        </w:rPr>
        <w:t>Bodner</w:t>
      </w:r>
      <w:r w:rsidRPr="0054385F">
        <w:rPr>
          <w:rFonts w:cs="Times New Roman"/>
          <w:lang w:val="fr-CA"/>
        </w:rPr>
        <w:t>. Elles ne renferment rien qui a trait à la légitimité des motifs invoqués publiquement par le gouvernement pour s’écarter de la recommandation de la commission. Elles n’apportent aucun éclairage sur le caractère raisonnable du fondement factuel invoqué par le gouvernement. Elles ne révèlent pas un manque de respect envers le mécanisme d’examen de la commission. Elles ne suggèrent pas non plus de motivation illégitime. Ces portions non protégées du rapport n’ont pas à être produites.</w:t>
      </w:r>
    </w:p>
    <w:p w14:paraId="0BC6BEBF" w14:textId="77777777" w:rsidR="00B3086A" w:rsidRPr="0054385F" w:rsidRDefault="00B3086A" w:rsidP="00B3086A">
      <w:pPr>
        <w:pStyle w:val="ParaNoNdepar-AltN"/>
        <w:spacing w:before="0"/>
        <w:rPr>
          <w:rFonts w:cs="Times New Roman"/>
          <w:lang w:val="fr-CA"/>
        </w:rPr>
      </w:pPr>
      <w:r w:rsidRPr="0054385F">
        <w:rPr>
          <w:rFonts w:cs="Times New Roman"/>
          <w:lang w:val="fr-CA"/>
        </w:rPr>
        <w:t>Le paragraphe qui figure sous la rubrique « implications à l’échelle gouvernementale »</w:t>
      </w:r>
      <w:r>
        <w:rPr>
          <w:rFonts w:cs="Times New Roman"/>
          <w:lang w:val="fr-CA"/>
        </w:rPr>
        <w:t xml:space="preserve"> dans le rapport de la procureure générale</w:t>
      </w:r>
      <w:r w:rsidRPr="0054385F">
        <w:rPr>
          <w:rFonts w:cs="Times New Roman"/>
          <w:lang w:val="fr-CA"/>
        </w:rPr>
        <w:t xml:space="preserve"> reconnaît que la commission joue un rôle [</w:t>
      </w:r>
      <w:r w:rsidRPr="0054385F">
        <w:rPr>
          <w:rFonts w:cs="Times New Roman"/>
          <w:smallCaps/>
          <w:lang w:val="fr-CA"/>
        </w:rPr>
        <w:t>traduction</w:t>
      </w:r>
      <w:r w:rsidRPr="0054385F">
        <w:rPr>
          <w:rFonts w:cs="Times New Roman"/>
          <w:lang w:val="fr-CA"/>
        </w:rPr>
        <w:t>] « unique » vu le principe de l’indépendance judiciaire, mais il précise également que « toute augmentation salariale consentie à un groupe risque d’avoir une incidence sur les négociations collectives auxquelles prend part actuellement le gouvernement ».</w:t>
      </w:r>
    </w:p>
    <w:p w14:paraId="62905351" w14:textId="77777777" w:rsidR="00B3086A" w:rsidRPr="0054385F" w:rsidRDefault="00B3086A" w:rsidP="00B3086A">
      <w:pPr>
        <w:pStyle w:val="ParaNoNdepar-AltN"/>
        <w:spacing w:before="0"/>
        <w:rPr>
          <w:rFonts w:cs="Times New Roman"/>
          <w:lang w:val="fr-CA"/>
        </w:rPr>
      </w:pPr>
      <w:r w:rsidRPr="0054385F">
        <w:rPr>
          <w:rFonts w:cs="Times New Roman"/>
          <w:lang w:val="fr-CA"/>
        </w:rPr>
        <w:t>Quant au plan de communications, il s’agit d’une annexe au rapport de la procureure générale qui a été préparée par le directeur des communications du ministère de la justice et approuvée par le sous</w:t>
      </w:r>
      <w:r w:rsidRPr="0054385F">
        <w:rPr>
          <w:rFonts w:cs="Times New Roman"/>
          <w:lang w:val="fr-CA"/>
        </w:rPr>
        <w:noBreakHyphen/>
        <w:t>procureur général et la procureure générale. Le plan de communications ne fournit ni conseil ni recommandation, mais fait plutôt état de [</w:t>
      </w:r>
      <w:r w:rsidRPr="0054385F">
        <w:rPr>
          <w:rFonts w:cs="Times New Roman"/>
          <w:smallCaps/>
          <w:lang w:val="fr-CA"/>
        </w:rPr>
        <w:t>traduction</w:t>
      </w:r>
      <w:r w:rsidRPr="0054385F">
        <w:rPr>
          <w:rFonts w:cs="Times New Roman"/>
          <w:lang w:val="fr-CA"/>
        </w:rPr>
        <w:t>] « défis sur le plan des communications » que soulèveraient l’acceptation, le rejet ou la modification des recommandations de la commission. Il a été remis au Cabinet pour que celui</w:t>
      </w:r>
      <w:r w:rsidRPr="0054385F">
        <w:rPr>
          <w:rFonts w:cs="Times New Roman"/>
          <w:lang w:val="fr-CA"/>
        </w:rPr>
        <w:noBreakHyphen/>
        <w:t>ci l’examine lorsqu’il déciderait de la réponse du gouvernement aux recommandations de la commission. Le plan de communications mentionne les raisons pour lesquelles la décision d’accepter ou de modifier ces recommandations pourrait être critiquée, ainsi que des considérations politiques connexes.</w:t>
      </w:r>
    </w:p>
    <w:p w14:paraId="55D93187" w14:textId="77777777" w:rsidR="00B3086A" w:rsidRPr="0054385F" w:rsidRDefault="00B3086A" w:rsidP="00B3086A">
      <w:pPr>
        <w:pStyle w:val="ParaNoNdepar-AltN"/>
        <w:spacing w:before="0"/>
        <w:rPr>
          <w:rFonts w:cs="Times New Roman"/>
          <w:lang w:val="fr-CA"/>
        </w:rPr>
      </w:pPr>
      <w:r w:rsidRPr="0054385F">
        <w:rPr>
          <w:rFonts w:cs="Times New Roman"/>
          <w:lang w:val="fr-CA"/>
        </w:rPr>
        <w:t>Le plan avise le gouvernement que, si ce dernier décide d’accepter les recommandations, l’augmentation salariale pourrait ne pas être considérée acceptable par le public. Il le prévient également que, s’il accepte les recommandations, le public pourrait se demander pourquoi le gouvernement a pris la peine de modifier la loi pour rendre les recommandations non contraignantes s’il n’est pas disposé à s’écarter de celles</w:t>
      </w:r>
      <w:r w:rsidRPr="0054385F">
        <w:rPr>
          <w:rFonts w:cs="Times New Roman"/>
          <w:lang w:val="fr-CA"/>
        </w:rPr>
        <w:noBreakHyphen/>
        <w:t>ci. Enfin, le plan suggère que les syndicats du secteur public pourraient invoquer l’augmentation salariale [</w:t>
      </w:r>
      <w:r w:rsidRPr="0054385F">
        <w:rPr>
          <w:rFonts w:cs="Times New Roman"/>
          <w:smallCaps/>
          <w:lang w:val="fr-CA"/>
        </w:rPr>
        <w:t>traduction</w:t>
      </w:r>
      <w:r w:rsidRPr="0054385F">
        <w:rPr>
          <w:rFonts w:cs="Times New Roman"/>
          <w:lang w:val="fr-CA"/>
        </w:rPr>
        <w:t>] « au soutien de [leurs] arguments en faveur de salaires plus élevés », étant donné que l’augmentation recommandée est supérieure à celle consentie aux employés du secteur public en général.</w:t>
      </w:r>
    </w:p>
    <w:p w14:paraId="084DDF7D" w14:textId="77777777" w:rsidR="00B3086A" w:rsidRPr="0054385F" w:rsidRDefault="00B3086A" w:rsidP="00B3086A">
      <w:pPr>
        <w:pStyle w:val="ParaNoNdepar-AltN"/>
        <w:spacing w:before="0"/>
        <w:rPr>
          <w:rFonts w:cs="Times New Roman"/>
          <w:lang w:val="fr-CA"/>
        </w:rPr>
      </w:pPr>
      <w:r w:rsidRPr="0054385F">
        <w:rPr>
          <w:rFonts w:cs="Times New Roman"/>
          <w:lang w:val="fr-CA"/>
        </w:rPr>
        <w:t>Le plan de communications prévient le gouvernement que, s’il rejette ou modifie les recommandations — ce qu’a fait ce dernier en définitive —, les juges de la Cour provinciale et du Tribunal de la famille présenteront probablement une demande de contrôle judiciaire. Le plan précise toutefois que, même si cela se produit, le public considérera vraisemblablement que le gouvernement agit de manière [</w:t>
      </w:r>
      <w:r w:rsidRPr="0054385F">
        <w:rPr>
          <w:rFonts w:cs="Times New Roman"/>
          <w:smallCaps/>
          <w:lang w:val="fr-CA"/>
        </w:rPr>
        <w:t>traduction</w:t>
      </w:r>
      <w:r w:rsidRPr="0054385F">
        <w:rPr>
          <w:rFonts w:cs="Times New Roman"/>
          <w:lang w:val="fr-CA"/>
        </w:rPr>
        <w:t>] « ferme et cohérente en matières financières et à l’égard des salaires versés aux personnes payées par les contribuables », et que les syndicats du secteur public ne pourront pas utiliser l’augmentation salariale au soutien de leurs arguments en faveur d’une majoration des salaires.</w:t>
      </w:r>
    </w:p>
    <w:p w14:paraId="2E8370EA" w14:textId="77777777" w:rsidR="00B3086A" w:rsidRPr="0054385F" w:rsidRDefault="00B3086A" w:rsidP="00B3086A">
      <w:pPr>
        <w:pStyle w:val="ParaNoNdepar-AltN"/>
        <w:spacing w:before="0"/>
        <w:rPr>
          <w:rFonts w:cs="Times New Roman"/>
          <w:lang w:val="fr-CA"/>
        </w:rPr>
      </w:pPr>
      <w:r w:rsidRPr="0054385F">
        <w:rPr>
          <w:rFonts w:cs="Times New Roman"/>
          <w:lang w:val="fr-CA"/>
        </w:rPr>
        <w:t>À mon avis, l’inclusion de ces considérations dans l’analyse des implications à l’échelle gouvernementale et dans le plan de communications appuie dans une certaine mesure la prétention selon laquelle la réponse du gouvernement aux recommandations de la commission ne satisfaisait pas aux exigences constitutionnelles. En particulier, l’argument voulant que, si le gouvernement accepte les recommandations de la commission, il sera critiqué parce qu’il ne s’est pas prévalu de la faculté que lui a donnée la législature de la Nouvelle</w:t>
      </w:r>
      <w:r w:rsidRPr="0054385F">
        <w:rPr>
          <w:rFonts w:cs="Times New Roman"/>
          <w:lang w:val="fr-CA"/>
        </w:rPr>
        <w:noBreakHyphen/>
        <w:t>Écosse de modifier ou de rejeter les recommandations de la commission, ne saurait guère servir de fondement rationnel le justifiant de s’écarter ces recommandations. La légitimité de la réponse du gouvernement serait compromise si le Cabinet s’est fondé sur ces considérations. La question de savoir s’il l’a fait est une question qu’il appartiendra à la Cour suprême</w:t>
      </w:r>
      <w:r>
        <w:rPr>
          <w:rFonts w:cs="Times New Roman"/>
          <w:lang w:val="fr-CA"/>
        </w:rPr>
        <w:t xml:space="preserve"> de la Nouvelle-Écosse</w:t>
      </w:r>
      <w:r w:rsidRPr="0054385F">
        <w:rPr>
          <w:rFonts w:cs="Times New Roman"/>
          <w:lang w:val="fr-CA"/>
        </w:rPr>
        <w:t xml:space="preserve"> de trancher lors de l’instruction au fond.</w:t>
      </w:r>
    </w:p>
    <w:p w14:paraId="038F84D2" w14:textId="77777777" w:rsidR="00B3086A" w:rsidRPr="0054385F" w:rsidRDefault="00B3086A" w:rsidP="00B3086A">
      <w:pPr>
        <w:pStyle w:val="ParaNoNdepar-AltN"/>
        <w:spacing w:before="0"/>
        <w:rPr>
          <w:rFonts w:cs="Times New Roman"/>
          <w:lang w:val="fr-CA"/>
        </w:rPr>
      </w:pPr>
      <w:r w:rsidRPr="0054385F">
        <w:rPr>
          <w:rFonts w:cs="Times New Roman"/>
          <w:lang w:val="fr-CA"/>
        </w:rPr>
        <w:t>Il va de soi que le gouvernement peut prendre en compte des considérations d’intérêt général plus larges lorsqu’il formule sa réponse aux recommandations de la commission. D’ailleurs, le tribunal de révision doit faire montre de déférence envers le gouvernement, vu « la position unique et l’expertise accumulée du gouvernement et sa responsabilité constitutionnelle en matière de gestion des finances de la province » :</w:t>
      </w:r>
      <w:r w:rsidRPr="0054385F">
        <w:rPr>
          <w:rFonts w:cs="Times New Roman"/>
          <w:i/>
          <w:lang w:val="fr-CA"/>
        </w:rPr>
        <w:t xml:space="preserve"> Bodner</w:t>
      </w:r>
      <w:r w:rsidRPr="0054385F">
        <w:rPr>
          <w:rFonts w:cs="Times New Roman"/>
          <w:lang w:val="fr-CA"/>
        </w:rPr>
        <w:t>, par. 30.</w:t>
      </w:r>
    </w:p>
    <w:p w14:paraId="33E72E87" w14:textId="3A2F7EDD" w:rsidR="00B3086A" w:rsidRPr="0054385F" w:rsidRDefault="00B3086A" w:rsidP="00B3086A">
      <w:pPr>
        <w:pStyle w:val="ParaNoNdepar-AltN"/>
        <w:spacing w:before="0"/>
        <w:rPr>
          <w:rFonts w:cs="Times New Roman"/>
          <w:lang w:val="fr-CA"/>
        </w:rPr>
      </w:pPr>
      <w:r w:rsidRPr="0054385F">
        <w:rPr>
          <w:rFonts w:cs="Times New Roman"/>
          <w:lang w:val="fr-CA"/>
        </w:rPr>
        <w:t xml:space="preserve">Il est toutefois loin d’être clair que le gouvernement peut s’écarter des recommandations de la commission simplement parce qu’il craint que le fait de les accepter entraînerait des répercussions néfastes sur les négociations collectives dans le secteur public. Dans </w:t>
      </w:r>
      <w:r w:rsidRPr="0054385F">
        <w:rPr>
          <w:rFonts w:cs="Times New Roman"/>
          <w:i/>
          <w:lang w:val="fr-CA"/>
        </w:rPr>
        <w:t>Bodner</w:t>
      </w:r>
      <w:r w:rsidRPr="0054385F">
        <w:rPr>
          <w:rFonts w:cs="Times New Roman"/>
          <w:lang w:val="fr-CA"/>
        </w:rPr>
        <w:t>, par. 160, notre Cour a décrit ainsi la réponse du gouvernement du Québec à des recommandations d’une commission</w:t>
      </w:r>
      <w:r>
        <w:rPr>
          <w:rFonts w:cs="Times New Roman"/>
          <w:lang w:val="fr-CA"/>
        </w:rPr>
        <w:t xml:space="preserve"> similaire</w:t>
      </w:r>
      <w:r w:rsidRPr="0054385F">
        <w:rPr>
          <w:rFonts w:cs="Times New Roman"/>
          <w:lang w:val="fr-CA"/>
        </w:rPr>
        <w:t> :</w:t>
      </w:r>
    </w:p>
    <w:p w14:paraId="46F0BA66" w14:textId="77777777" w:rsidR="00B3086A" w:rsidRPr="0054385F" w:rsidRDefault="00B3086A" w:rsidP="00B3086A">
      <w:pPr>
        <w:pStyle w:val="Citation-AltC"/>
        <w:ind w:hanging="446"/>
        <w:contextualSpacing w:val="0"/>
        <w:rPr>
          <w:lang w:val="fr-CA"/>
        </w:rPr>
      </w:pPr>
      <w:r w:rsidRPr="0054385F">
        <w:rPr>
          <w:lang w:val="fr-CA"/>
        </w:rPr>
        <w:tab/>
        <w:t>Après le dépôt du rapport [de la commission], le [g]ouvernement a maintenu son point de vue et ses priorités. Sa position est viciée par son refus d’examiner quant au fond les questions relatives à la rémunération des juges et par son désir de continuer d’y appliquer les paramètres généraux de sa politique en matière de relations du travail dans le secteur public. Le [g]ouvernement n’a pas cherché à déterminer quel serait le niveau de traitement approprié pour les juges; sa principale préoccupation demeurait de ne pas élever les attentes dans d’autres secteurs de la fonction publique et de préserver la structure traditionnelle des échelles salariales.</w:t>
      </w:r>
    </w:p>
    <w:p w14:paraId="1C2BAE3A" w14:textId="77777777" w:rsidR="00B3086A" w:rsidRPr="0054385F" w:rsidRDefault="00B3086A" w:rsidP="00B3086A">
      <w:pPr>
        <w:pStyle w:val="ParaNoNdepar-AltN"/>
        <w:spacing w:before="0"/>
        <w:rPr>
          <w:rFonts w:cs="Times New Roman"/>
          <w:lang w:val="fr-CA"/>
        </w:rPr>
      </w:pPr>
      <w:r w:rsidRPr="0054385F">
        <w:rPr>
          <w:rFonts w:cs="Times New Roman"/>
          <w:lang w:val="fr-CA"/>
        </w:rPr>
        <w:t>Par conséquent, en l’espèce, les considérations soulignées dans l’analyse des implications à l’échelle gouvernementale et dans le plan de communications pourraient aider l’Association à mettre en doute le respect manifesté par le gouvernement à l’égard du mécanisme d’examen de la commission, ainsi que la légitimité des motifs avancés par le gouvernement pour rejeter les recommandations de celle</w:t>
      </w:r>
      <w:r w:rsidRPr="0054385F">
        <w:rPr>
          <w:rFonts w:cs="Times New Roman"/>
          <w:lang w:val="fr-CA"/>
        </w:rPr>
        <w:noBreakHyphen/>
        <w:t>ci. Ces portions du rapport de la procureure générale fournissent suffisamment de contexte pour permettre au tribunal de révision de comprendre cette preuve et de l’évaluer.</w:t>
      </w:r>
    </w:p>
    <w:p w14:paraId="52C7B25F" w14:textId="77777777" w:rsidR="00B3086A" w:rsidRPr="0054385F" w:rsidRDefault="00B3086A" w:rsidP="00B3086A">
      <w:pPr>
        <w:pStyle w:val="ParaNoNdepar-AltN"/>
        <w:spacing w:before="0"/>
        <w:rPr>
          <w:rFonts w:cs="Times New Roman"/>
          <w:lang w:val="fr-CA"/>
        </w:rPr>
      </w:pPr>
      <w:r w:rsidRPr="0054385F">
        <w:rPr>
          <w:rFonts w:cs="Times New Roman"/>
          <w:lang w:val="fr-CA"/>
        </w:rPr>
        <w:t>En définitive, la Cour suprême de la Nouvelle</w:t>
      </w:r>
      <w:r w:rsidRPr="0054385F">
        <w:rPr>
          <w:rFonts w:cs="Times New Roman"/>
          <w:lang w:val="fr-CA"/>
        </w:rPr>
        <w:noBreakHyphen/>
        <w:t>Écosse statuera au fond sur cette question. Elle décidera, au regard de l’ensemble du dossier, si ces considérations ont influé sur la réponse du gouvernement et de quelle manière.</w:t>
      </w:r>
    </w:p>
    <w:p w14:paraId="5212D568"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Toutefois, je suis d’avis que l’analyse des implications à l’échelle gouvernementale et le plan de communications fournissent certains éléments de preuve qui tendent à démontrer que le gouvernement n’a pas satisfait aux obligations constitutionnelles qui lui incombent et qui sont décrites dans l’arrêt </w:t>
      </w:r>
      <w:r w:rsidRPr="0054385F">
        <w:rPr>
          <w:rFonts w:cs="Times New Roman"/>
          <w:i/>
          <w:lang w:val="fr-CA"/>
        </w:rPr>
        <w:t>Bodner</w:t>
      </w:r>
      <w:r w:rsidRPr="0054385F">
        <w:rPr>
          <w:rFonts w:cs="Times New Roman"/>
          <w:lang w:val="fr-CA"/>
        </w:rPr>
        <w:t>. En conséquence, sauf application de la règle de l’immunité d’intérêt public, ces portions du rapport de la procureure générale devraient être versées au dossier.</w:t>
      </w:r>
    </w:p>
    <w:p w14:paraId="3791CA07" w14:textId="77777777" w:rsidR="00B3086A" w:rsidRPr="0054385F" w:rsidRDefault="00B3086A" w:rsidP="00B3086A">
      <w:pPr>
        <w:pStyle w:val="Title2LevelTitre2Niveau"/>
        <w:spacing w:before="0"/>
        <w:rPr>
          <w:rFonts w:cs="Times New Roman"/>
          <w:lang w:val="fr-CA"/>
        </w:rPr>
      </w:pPr>
      <w:r w:rsidRPr="0054385F">
        <w:rPr>
          <w:rFonts w:cs="Times New Roman"/>
          <w:lang w:val="fr-CA"/>
        </w:rPr>
        <w:t>Immunité d’intérêt public</w:t>
      </w:r>
    </w:p>
    <w:p w14:paraId="6F0040D0" w14:textId="77777777" w:rsidR="00B3086A" w:rsidRPr="0054385F" w:rsidRDefault="00B3086A" w:rsidP="00B3086A">
      <w:pPr>
        <w:pStyle w:val="ParaNoNdepar-AltN"/>
        <w:spacing w:before="0"/>
        <w:rPr>
          <w:rFonts w:cs="Times New Roman"/>
          <w:lang w:val="fr-CA"/>
        </w:rPr>
      </w:pPr>
      <w:r w:rsidRPr="0054385F">
        <w:rPr>
          <w:rFonts w:cs="Times New Roman"/>
          <w:lang w:val="fr-CA"/>
        </w:rPr>
        <w:t>Le gouvernement revendique l’immunité d’intérêt public à l’égard du rapport de la procureure générale au motif qu’il s’agit d’un document préparé pour discussion au sein du Cabinet. Par conséquent, la question ultime consiste déterminer si cette immunité fait obstacle à la production au dossier de l’analyse des implications à l’échelle gouvernementale et du plan de communications.</w:t>
      </w:r>
    </w:p>
    <w:p w14:paraId="77C35655" w14:textId="6A98C577" w:rsidR="00B3086A" w:rsidRPr="0054385F" w:rsidRDefault="00B3086A" w:rsidP="00B3086A">
      <w:pPr>
        <w:pStyle w:val="ParaNoNdepar-AltN"/>
        <w:spacing w:before="0"/>
        <w:rPr>
          <w:rFonts w:cs="Times New Roman"/>
          <w:lang w:val="fr-CA"/>
        </w:rPr>
      </w:pPr>
      <w:r w:rsidRPr="0054385F">
        <w:rPr>
          <w:rFonts w:cs="Times New Roman"/>
          <w:lang w:val="fr-CA"/>
        </w:rPr>
        <w:t xml:space="preserve">L’immunité d’intérêt public protège la confidentialité des délibérations du Cabinet : </w:t>
      </w:r>
      <w:r w:rsidRPr="0054385F">
        <w:rPr>
          <w:rFonts w:cs="Times New Roman"/>
          <w:i/>
          <w:lang w:val="fr-CA"/>
        </w:rPr>
        <w:t>Carey</w:t>
      </w:r>
      <w:r w:rsidRPr="0054385F">
        <w:rPr>
          <w:rFonts w:cs="Times New Roman"/>
          <w:lang w:val="fr-CA"/>
        </w:rPr>
        <w:t>, p. 655</w:t>
      </w:r>
      <w:r w:rsidRPr="0054385F">
        <w:rPr>
          <w:rFonts w:cs="Times New Roman"/>
          <w:lang w:val="fr-CA"/>
        </w:rPr>
        <w:noBreakHyphen/>
        <w:t>659 et 670</w:t>
      </w:r>
      <w:r w:rsidRPr="0054385F">
        <w:rPr>
          <w:rFonts w:cs="Times New Roman"/>
          <w:lang w:val="fr-CA"/>
        </w:rPr>
        <w:noBreakHyphen/>
        <w:t xml:space="preserve">671; </w:t>
      </w:r>
      <w:r w:rsidRPr="0054385F">
        <w:rPr>
          <w:rFonts w:cs="Times New Roman"/>
          <w:i/>
          <w:lang w:val="fr-CA"/>
        </w:rPr>
        <w:t>B.C. Provincial Court Judges</w:t>
      </w:r>
      <w:r w:rsidRPr="0054385F">
        <w:rPr>
          <w:rFonts w:cs="Times New Roman"/>
          <w:lang w:val="fr-CA"/>
        </w:rPr>
        <w:t>, par. 67 et 98. La législature de la Nouvelle</w:t>
      </w:r>
      <w:r w:rsidRPr="0054385F">
        <w:rPr>
          <w:rFonts w:cs="Times New Roman"/>
          <w:lang w:val="fr-CA"/>
        </w:rPr>
        <w:noBreakHyphen/>
        <w:t xml:space="preserve">Écosse n’a pas écarté l’immunité d’intérêt public prévue par la common law et, en fait, elle l’a maintenue dans le contexte des poursuites visant l’État : </w:t>
      </w:r>
      <w:r w:rsidRPr="0054385F">
        <w:rPr>
          <w:rFonts w:cs="Times New Roman"/>
          <w:i/>
          <w:lang w:val="fr-CA"/>
        </w:rPr>
        <w:t>Proceedings against the Crown Act</w:t>
      </w:r>
      <w:r w:rsidRPr="0054385F">
        <w:rPr>
          <w:rFonts w:cs="Times New Roman"/>
          <w:lang w:val="fr-CA"/>
        </w:rPr>
        <w:t xml:space="preserve">, R.S.N.S. 1989, c. 360, </w:t>
      </w:r>
      <w:r w:rsidR="00E45F84">
        <w:rPr>
          <w:rFonts w:cs="Times New Roman"/>
          <w:lang w:val="fr-CA"/>
        </w:rPr>
        <w:t>art</w:t>
      </w:r>
      <w:r w:rsidRPr="0054385F">
        <w:rPr>
          <w:rFonts w:cs="Times New Roman"/>
          <w:lang w:val="fr-CA"/>
        </w:rPr>
        <w:t>. 11.</w:t>
      </w:r>
    </w:p>
    <w:p w14:paraId="1BD3F4F1" w14:textId="25EC6750" w:rsidR="00B3086A" w:rsidRPr="0054385F" w:rsidRDefault="00B3086A" w:rsidP="00B3086A">
      <w:pPr>
        <w:pStyle w:val="ParaNoNdepar-AltN"/>
        <w:spacing w:before="0"/>
        <w:rPr>
          <w:rFonts w:cs="Times New Roman"/>
          <w:lang w:val="fr-CA"/>
        </w:rPr>
      </w:pPr>
      <w:r w:rsidRPr="0054385F">
        <w:rPr>
          <w:rFonts w:cs="Times New Roman"/>
          <w:lang w:val="fr-CA"/>
        </w:rPr>
        <w:t xml:space="preserve">Le critère de common law consiste à se demander si l’intérêt du public dans le maintien de la confidentialité du document l’emporte sur l’intérêt du public dans sa divulgation : </w:t>
      </w:r>
      <w:r w:rsidRPr="0054385F">
        <w:rPr>
          <w:rFonts w:cs="Times New Roman"/>
          <w:i/>
          <w:lang w:val="fr-CA"/>
        </w:rPr>
        <w:t>Carey</w:t>
      </w:r>
      <w:r w:rsidRPr="0054385F">
        <w:rPr>
          <w:rFonts w:cs="Times New Roman"/>
          <w:lang w:val="fr-CA"/>
        </w:rPr>
        <w:t>, p. 653</w:t>
      </w:r>
      <w:r w:rsidRPr="0054385F">
        <w:rPr>
          <w:rFonts w:cs="Times New Roman"/>
          <w:lang w:val="fr-CA"/>
        </w:rPr>
        <w:noBreakHyphen/>
        <w:t>654</w:t>
      </w:r>
      <w:r w:rsidR="00E45F84">
        <w:rPr>
          <w:rFonts w:cs="Times New Roman"/>
          <w:lang w:val="fr-CA"/>
        </w:rPr>
        <w:t xml:space="preserve"> et</w:t>
      </w:r>
      <w:r w:rsidRPr="0054385F">
        <w:rPr>
          <w:rFonts w:cs="Times New Roman"/>
          <w:lang w:val="fr-CA"/>
        </w:rPr>
        <w:t xml:space="preserve"> 670; </w:t>
      </w:r>
      <w:r w:rsidRPr="0054385F">
        <w:rPr>
          <w:rFonts w:cs="Times New Roman"/>
          <w:i/>
          <w:lang w:val="fr-CA"/>
        </w:rPr>
        <w:t>Babcock c. Canada (Procureur général)</w:t>
      </w:r>
      <w:r w:rsidRPr="0054385F">
        <w:rPr>
          <w:rFonts w:cs="Times New Roman"/>
          <w:lang w:val="fr-CA"/>
        </w:rPr>
        <w:t xml:space="preserve">, 2002 CSC 57, [2002] 3 R.C.S. 3, par. 19; </w:t>
      </w:r>
      <w:r w:rsidRPr="0054385F">
        <w:rPr>
          <w:rFonts w:cs="Times New Roman"/>
          <w:i/>
          <w:lang w:val="fr-CA"/>
        </w:rPr>
        <w:t>B.C. Provincial Court Judges</w:t>
      </w:r>
      <w:r w:rsidRPr="0054385F">
        <w:rPr>
          <w:rFonts w:cs="Times New Roman"/>
          <w:lang w:val="fr-CA"/>
        </w:rPr>
        <w:t xml:space="preserve">, par. 99. Les principaux facteurs pertinents pour soupeser ces intérêts publics opposés dans le cas d’un document concernant le processus décisionnel du Cabinet ont été décrits ainsi dans l’arrêt </w:t>
      </w:r>
      <w:r w:rsidRPr="0054385F">
        <w:rPr>
          <w:rFonts w:cs="Times New Roman"/>
          <w:i/>
          <w:lang w:val="fr-CA"/>
        </w:rPr>
        <w:t>Carey</w:t>
      </w:r>
      <w:r w:rsidRPr="0054385F">
        <w:rPr>
          <w:rFonts w:cs="Times New Roman"/>
          <w:lang w:val="fr-CA"/>
        </w:rPr>
        <w:t>, p. 670</w:t>
      </w:r>
      <w:r w:rsidRPr="0054385F">
        <w:rPr>
          <w:rFonts w:cs="Times New Roman"/>
          <w:lang w:val="fr-CA"/>
        </w:rPr>
        <w:noBreakHyphen/>
        <w:t>673 :</w:t>
      </w:r>
    </w:p>
    <w:p w14:paraId="2D6870FB" w14:textId="77777777" w:rsidR="00B3086A" w:rsidRPr="0054385F" w:rsidRDefault="00B3086A" w:rsidP="00D57134">
      <w:pPr>
        <w:pStyle w:val="Citation-AltC"/>
        <w:numPr>
          <w:ilvl w:val="0"/>
          <w:numId w:val="13"/>
        </w:numPr>
        <w:spacing w:after="480" w:line="480" w:lineRule="auto"/>
        <w:ind w:left="450" w:hanging="450"/>
        <w:contextualSpacing w:val="0"/>
        <w:rPr>
          <w:lang w:val="fr-CA"/>
        </w:rPr>
      </w:pPr>
      <w:r w:rsidRPr="0054385F">
        <w:rPr>
          <w:lang w:val="fr-CA"/>
        </w:rPr>
        <w:t>le palier du « processus décisionnel »;</w:t>
      </w:r>
    </w:p>
    <w:p w14:paraId="1AC32633" w14:textId="77777777" w:rsidR="00B3086A" w:rsidRPr="0054385F" w:rsidRDefault="00B3086A" w:rsidP="00D57134">
      <w:pPr>
        <w:pStyle w:val="Citation-AltC"/>
        <w:numPr>
          <w:ilvl w:val="0"/>
          <w:numId w:val="13"/>
        </w:numPr>
        <w:spacing w:after="480" w:line="480" w:lineRule="auto"/>
        <w:ind w:left="450" w:hanging="450"/>
        <w:contextualSpacing w:val="0"/>
        <w:rPr>
          <w:lang w:val="fr-CA"/>
        </w:rPr>
      </w:pPr>
      <w:r w:rsidRPr="0054385F">
        <w:rPr>
          <w:lang w:val="fr-CA"/>
        </w:rPr>
        <w:t>la « nature de la politique en question »;</w:t>
      </w:r>
    </w:p>
    <w:p w14:paraId="4B9D4446" w14:textId="77777777" w:rsidR="00B3086A" w:rsidRPr="0054385F" w:rsidRDefault="00B3086A" w:rsidP="00D57134">
      <w:pPr>
        <w:pStyle w:val="Citation-AltC"/>
        <w:numPr>
          <w:ilvl w:val="0"/>
          <w:numId w:val="13"/>
        </w:numPr>
        <w:spacing w:after="480" w:line="480" w:lineRule="auto"/>
        <w:ind w:left="450" w:hanging="450"/>
        <w:contextualSpacing w:val="0"/>
        <w:rPr>
          <w:lang w:val="fr-CA"/>
        </w:rPr>
      </w:pPr>
      <w:r w:rsidRPr="0054385F">
        <w:rPr>
          <w:lang w:val="fr-CA"/>
        </w:rPr>
        <w:t>la « teneur précise des documents »;</w:t>
      </w:r>
    </w:p>
    <w:p w14:paraId="6B5111C9" w14:textId="77777777" w:rsidR="00B3086A" w:rsidRPr="0054385F" w:rsidRDefault="00B3086A" w:rsidP="00D57134">
      <w:pPr>
        <w:pStyle w:val="Citation-AltC"/>
        <w:numPr>
          <w:ilvl w:val="0"/>
          <w:numId w:val="13"/>
        </w:numPr>
        <w:spacing w:after="480" w:line="480" w:lineRule="auto"/>
        <w:ind w:left="450" w:hanging="450"/>
        <w:contextualSpacing w:val="0"/>
        <w:rPr>
          <w:lang w:val="fr-CA"/>
        </w:rPr>
      </w:pPr>
      <w:r w:rsidRPr="0054385F">
        <w:rPr>
          <w:lang w:val="fr-CA"/>
        </w:rPr>
        <w:t>le moment de la divulgation;</w:t>
      </w:r>
    </w:p>
    <w:p w14:paraId="20243C7D" w14:textId="77777777" w:rsidR="00B3086A" w:rsidRPr="0054385F" w:rsidRDefault="00B3086A" w:rsidP="00D57134">
      <w:pPr>
        <w:pStyle w:val="Citation-AltC"/>
        <w:numPr>
          <w:ilvl w:val="0"/>
          <w:numId w:val="13"/>
        </w:numPr>
        <w:spacing w:after="480" w:line="480" w:lineRule="auto"/>
        <w:ind w:left="450" w:hanging="450"/>
        <w:contextualSpacing w:val="0"/>
        <w:rPr>
          <w:lang w:val="fr-CA"/>
        </w:rPr>
      </w:pPr>
      <w:r>
        <w:rPr>
          <w:lang w:val="fr-CA"/>
        </w:rPr>
        <w:t>l’« importance qu’</w:t>
      </w:r>
      <w:r w:rsidRPr="0054385F">
        <w:rPr>
          <w:lang w:val="fr-CA"/>
        </w:rPr>
        <w:t xml:space="preserve">il y a </w:t>
      </w:r>
      <w:r>
        <w:rPr>
          <w:lang w:val="fr-CA"/>
        </w:rPr>
        <w:t>à produire les documents dans l’intérêt de l’</w:t>
      </w:r>
      <w:r w:rsidRPr="0054385F">
        <w:rPr>
          <w:lang w:val="fr-CA"/>
        </w:rPr>
        <w:t>administration de la justice »; et</w:t>
      </w:r>
    </w:p>
    <w:p w14:paraId="2931539D" w14:textId="77777777" w:rsidR="00B3086A" w:rsidRPr="0054385F" w:rsidRDefault="00B3086A" w:rsidP="00D57134">
      <w:pPr>
        <w:pStyle w:val="Citation-AltC"/>
        <w:numPr>
          <w:ilvl w:val="0"/>
          <w:numId w:val="13"/>
        </w:numPr>
        <w:spacing w:after="480" w:line="480" w:lineRule="auto"/>
        <w:ind w:left="450" w:hanging="450"/>
        <w:contextualSpacing w:val="0"/>
        <w:rPr>
          <w:lang w:val="fr-CA"/>
        </w:rPr>
      </w:pPr>
      <w:r w:rsidRPr="0054385F">
        <w:rPr>
          <w:lang w:val="fr-CA"/>
        </w:rPr>
        <w:t>la question de savoir si la partie qui demande la production du document « allègue une conduite peu scrupuleuse de la part du gouvernement ».</w:t>
      </w:r>
    </w:p>
    <w:p w14:paraId="64617D75" w14:textId="77777777" w:rsidR="00B3086A" w:rsidRPr="0054385F" w:rsidRDefault="00B3086A" w:rsidP="00B3086A">
      <w:pPr>
        <w:pStyle w:val="ContinueParaSuitedupar-AltP"/>
        <w:spacing w:before="0"/>
        <w:rPr>
          <w:rFonts w:cs="Times New Roman"/>
          <w:lang w:val="fr-CA"/>
        </w:rPr>
      </w:pPr>
      <w:r w:rsidRPr="0054385F">
        <w:rPr>
          <w:rFonts w:cs="Times New Roman"/>
          <w:lang w:val="fr-CA"/>
        </w:rPr>
        <w:t xml:space="preserve">Dans le pourvoi connexe, j’ai expliqué la façon dont ces facteurs s’appliquent dans le contexte d’un contrôle de type </w:t>
      </w:r>
      <w:r w:rsidRPr="0054385F">
        <w:rPr>
          <w:rFonts w:cs="Times New Roman"/>
          <w:i/>
          <w:lang w:val="fr-CA"/>
        </w:rPr>
        <w:t>Bodner</w:t>
      </w:r>
      <w:r w:rsidRPr="0054385F">
        <w:rPr>
          <w:rFonts w:cs="Times New Roman"/>
          <w:lang w:val="fr-CA"/>
        </w:rPr>
        <w:t xml:space="preserve"> : voir </w:t>
      </w:r>
      <w:r w:rsidRPr="0054385F">
        <w:rPr>
          <w:rFonts w:cs="Times New Roman"/>
          <w:i/>
          <w:lang w:val="fr-CA"/>
        </w:rPr>
        <w:t>B.C. Provincial Court Judges</w:t>
      </w:r>
      <w:r w:rsidRPr="0054385F">
        <w:rPr>
          <w:rFonts w:cs="Times New Roman"/>
          <w:lang w:val="fr-CA"/>
        </w:rPr>
        <w:t>, par. 106</w:t>
      </w:r>
      <w:r w:rsidRPr="0054385F">
        <w:rPr>
          <w:rFonts w:cs="Times New Roman"/>
          <w:lang w:val="fr-CA"/>
        </w:rPr>
        <w:noBreakHyphen/>
        <w:t>119.</w:t>
      </w:r>
    </w:p>
    <w:p w14:paraId="0B16E007"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Il incombe au gouvernement de démontrer qu’un document ne devrait pas être divulgué parce qu’il est visé par l’immunité d’intérêt public : </w:t>
      </w:r>
      <w:r w:rsidRPr="0054385F">
        <w:rPr>
          <w:rFonts w:cs="Times New Roman"/>
          <w:i/>
          <w:lang w:val="fr-CA"/>
        </w:rPr>
        <w:t>Carey</w:t>
      </w:r>
      <w:r w:rsidRPr="0054385F">
        <w:rPr>
          <w:rFonts w:cs="Times New Roman"/>
          <w:lang w:val="fr-CA"/>
        </w:rPr>
        <w:t xml:space="preserve">, p. 653 et 678; </w:t>
      </w:r>
      <w:r w:rsidRPr="0054385F">
        <w:rPr>
          <w:rFonts w:cs="Times New Roman"/>
          <w:i/>
          <w:lang w:val="fr-CA"/>
        </w:rPr>
        <w:t>B.C. Provincial Court Judges</w:t>
      </w:r>
      <w:r w:rsidRPr="0054385F">
        <w:rPr>
          <w:rFonts w:cs="Times New Roman"/>
          <w:lang w:val="fr-CA"/>
        </w:rPr>
        <w:t xml:space="preserve">, par. 102. Le gouvernement devrait déposer un affidavit contenant suffisamment de renseignements pour étayer sa revendication de l’immunité d’intérêt public, et il sera souvent utile que le gouvernement décrive en termes aussi précis que possible le préjudice qui découlerait de la divulgation du document : </w:t>
      </w:r>
      <w:r w:rsidRPr="0054385F">
        <w:rPr>
          <w:rFonts w:cs="Times New Roman"/>
          <w:i/>
          <w:lang w:val="fr-CA"/>
        </w:rPr>
        <w:t>Carey</w:t>
      </w:r>
      <w:r w:rsidRPr="0054385F">
        <w:rPr>
          <w:rFonts w:cs="Times New Roman"/>
          <w:lang w:val="fr-CA"/>
        </w:rPr>
        <w:t>, p. 653</w:t>
      </w:r>
      <w:r w:rsidRPr="0054385F">
        <w:rPr>
          <w:rFonts w:cs="Times New Roman"/>
          <w:lang w:val="fr-CA"/>
        </w:rPr>
        <w:noBreakHyphen/>
        <w:t xml:space="preserve">654 et 671; </w:t>
      </w:r>
      <w:r w:rsidRPr="0054385F">
        <w:rPr>
          <w:rFonts w:cs="Times New Roman"/>
          <w:i/>
          <w:lang w:val="fr-CA"/>
        </w:rPr>
        <w:t>B.C. Provincial Court Judges</w:t>
      </w:r>
      <w:r w:rsidRPr="0054385F">
        <w:rPr>
          <w:rFonts w:cs="Times New Roman"/>
          <w:lang w:val="fr-CA"/>
        </w:rPr>
        <w:t>, par. 102.</w:t>
      </w:r>
    </w:p>
    <w:p w14:paraId="079D1CF3" w14:textId="77777777" w:rsidR="00B3086A" w:rsidRPr="0054385F" w:rsidRDefault="00B3086A" w:rsidP="00B3086A">
      <w:pPr>
        <w:pStyle w:val="ParaNoNdepar-AltN"/>
        <w:spacing w:before="0"/>
        <w:rPr>
          <w:rFonts w:cs="Times New Roman"/>
          <w:lang w:val="fr-CA"/>
        </w:rPr>
      </w:pPr>
      <w:r w:rsidRPr="0054385F">
        <w:rPr>
          <w:rFonts w:cs="Times New Roman"/>
          <w:lang w:val="fr-CA"/>
        </w:rPr>
        <w:t>En l’espèce, l’affidavit de la secrétaire du Conseil exécutif ne fait que confirmer que le rapport de la procureure générale a été communiqué au Cabinet et que le gouvernement de la Nouvelle</w:t>
      </w:r>
      <w:r w:rsidRPr="0054385F">
        <w:rPr>
          <w:rFonts w:cs="Times New Roman"/>
          <w:lang w:val="fr-CA"/>
        </w:rPr>
        <w:noBreakHyphen/>
        <w:t>Écosse invoquait l’immunité d’intérêt public à l’égard de l’ensemble du rapport et le secret professionnel de l’avocat à l’égard de certaines portions de celui</w:t>
      </w:r>
      <w:r w:rsidRPr="0054385F">
        <w:rPr>
          <w:rFonts w:cs="Times New Roman"/>
          <w:lang w:val="fr-CA"/>
        </w:rPr>
        <w:noBreakHyphen/>
        <w:t>ci. Bien qu’un tel affidavit constitue un élément de preuve de la remise au Cabinet du rapport de la procureure générale, il est d’une utilité limitée dans l’appréciation du bien</w:t>
      </w:r>
      <w:r w:rsidRPr="0054385F">
        <w:rPr>
          <w:rFonts w:cs="Times New Roman"/>
          <w:lang w:val="fr-CA"/>
        </w:rPr>
        <w:noBreakHyphen/>
        <w:t>fondé d’une revendication de l’immunité d’intérêt public.</w:t>
      </w:r>
    </w:p>
    <w:p w14:paraId="316C56CB"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Néanmoins, plusieurs des facteurs mentionnés dans </w:t>
      </w:r>
      <w:r w:rsidRPr="0054385F">
        <w:rPr>
          <w:rFonts w:cs="Times New Roman"/>
          <w:i/>
          <w:lang w:val="fr-CA"/>
        </w:rPr>
        <w:t>Carey</w:t>
      </w:r>
      <w:r w:rsidRPr="0054385F">
        <w:rPr>
          <w:rFonts w:cs="Times New Roman"/>
          <w:lang w:val="fr-CA"/>
        </w:rPr>
        <w:t xml:space="preserve"> militent en faveur du maintien de la confidentialité de l’analyse des implications à l’échelle gouvernementale et du plan de communications. Ces sections se rapportent à une décision prise au plus haut palier de l’exécutif par le lieutenant</w:t>
      </w:r>
      <w:r w:rsidRPr="0054385F">
        <w:rPr>
          <w:rFonts w:cs="Times New Roman"/>
          <w:lang w:val="fr-CA"/>
        </w:rPr>
        <w:noBreakHyphen/>
        <w:t>gouverneur, sur l’avis du Conseil exécutif. La réponse du gouvernement à l’égard des recommandations d’une commission d’examen de la rémunération des juges implique d’importantes décisions de politique générale.</w:t>
      </w:r>
    </w:p>
    <w:p w14:paraId="244A6C49" w14:textId="77777777" w:rsidR="00B3086A" w:rsidRPr="0054385F" w:rsidRDefault="00B3086A" w:rsidP="00B3086A">
      <w:pPr>
        <w:pStyle w:val="ParaNoNdepar-AltN"/>
        <w:spacing w:before="0"/>
        <w:rPr>
          <w:rFonts w:cs="Times New Roman"/>
          <w:lang w:val="fr-CA"/>
        </w:rPr>
      </w:pPr>
      <w:r w:rsidRPr="0054385F">
        <w:rPr>
          <w:rFonts w:cs="Times New Roman"/>
          <w:lang w:val="fr-CA"/>
        </w:rPr>
        <w:t>Bien que la décision de modifier la hausse de rémunération des juges recommandée par la commission ait déjà été prise, puis annoncée publiquement, le détail des considérations soumises au Cabinet pour prendre cette décision, y compris celles figurant dans le plan de communications, n’a pas été rendu public. Les ministres ont le droit de s’attendre à ce que ces considérations demeurent confidentielles pendant des décennies.</w:t>
      </w:r>
    </w:p>
    <w:p w14:paraId="5628EB62" w14:textId="77777777" w:rsidR="00B3086A" w:rsidRPr="0054385F" w:rsidRDefault="00B3086A" w:rsidP="00B3086A">
      <w:pPr>
        <w:pStyle w:val="ParaNoNdepar-AltN"/>
        <w:spacing w:before="0"/>
        <w:rPr>
          <w:rFonts w:cs="Times New Roman"/>
          <w:lang w:val="fr-CA"/>
        </w:rPr>
      </w:pPr>
      <w:r w:rsidRPr="0054385F">
        <w:rPr>
          <w:rFonts w:cs="Times New Roman"/>
          <w:lang w:val="fr-CA"/>
        </w:rPr>
        <w:t>L’analyse des implications à l’échelle gouvernementale figurant dans le rapport de la procureure générale doit être considérée comme reflétant les vues de cette dernière. Bien que le plan de communications ne fasse pas état de points de vue divergents exprimés par des ministres, il ne constitue pas un simple exposé factuel. Son contenu est susceptible de révéler des questions qui ont été discutées et considérées au sein du Cabinet. Il est permis de s’attendre à ce que de tels renseignements demeurent eux aussi confidentiels. Par conséquent, il s’agit d’un autre facteur militant en faveur du maintien de la confidentialité de ces portions du rapport.</w:t>
      </w:r>
    </w:p>
    <w:p w14:paraId="7ADAF7A6" w14:textId="77777777" w:rsidR="00B3086A" w:rsidRPr="0054385F" w:rsidRDefault="00B3086A" w:rsidP="00B3086A">
      <w:pPr>
        <w:pStyle w:val="ParaNoNdepar-AltN"/>
        <w:spacing w:before="0"/>
        <w:rPr>
          <w:rFonts w:cs="Times New Roman"/>
          <w:lang w:val="fr-CA"/>
        </w:rPr>
      </w:pPr>
      <w:r w:rsidRPr="0054385F">
        <w:rPr>
          <w:rFonts w:cs="Times New Roman"/>
          <w:lang w:val="fr-CA"/>
        </w:rPr>
        <w:t>Pour ce qui est des intérêts liés à l’administration de la justice, la considération la plus importante est la mesure dans laquelle le document porte sur ce qui est l’objet de l’instance et la mesure dans laquelle son exclusion du dossier nuirait à la capacité du tribunal à statuer au fond sur les questions en litige.</w:t>
      </w:r>
    </w:p>
    <w:p w14:paraId="3D5B8E78"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Je suis convaincue que le fait d’exclure du dossier ces portions du rapport de la procureure générale nuirait à la capacité du tribunal de révision de trancher au fond le contrôle de type </w:t>
      </w:r>
      <w:r w:rsidRPr="0054385F">
        <w:rPr>
          <w:rFonts w:cs="Times New Roman"/>
          <w:i/>
          <w:lang w:val="fr-CA"/>
        </w:rPr>
        <w:t>Bodner</w:t>
      </w:r>
      <w:r w:rsidRPr="0054385F">
        <w:rPr>
          <w:rFonts w:cs="Times New Roman"/>
          <w:lang w:val="fr-CA"/>
        </w:rPr>
        <w:t>.</w:t>
      </w:r>
    </w:p>
    <w:p w14:paraId="7C757279" w14:textId="794428B9" w:rsidR="00B3086A" w:rsidRPr="0054385F" w:rsidRDefault="00B3086A" w:rsidP="00B3086A">
      <w:pPr>
        <w:pStyle w:val="ParaNoNdepar-AltN"/>
        <w:spacing w:before="0"/>
        <w:rPr>
          <w:rFonts w:cs="Times New Roman"/>
          <w:lang w:val="fr-CA"/>
        </w:rPr>
      </w:pPr>
      <w:r w:rsidRPr="0054385F">
        <w:rPr>
          <w:rFonts w:cs="Times New Roman"/>
          <w:lang w:val="fr-CA"/>
        </w:rPr>
        <w:t>Certaines des considérations mentionnées dans l’analyse des implications à l’échelle gouvernementale et dans le plan de communications ne constituaient pas des fondements rationnels ou légitimes justifiant de modifier ou de rejeter les recommandations de la commission. Si la Cour suprême de la Nouvelle</w:t>
      </w:r>
      <w:r w:rsidRPr="0054385F">
        <w:rPr>
          <w:rFonts w:cs="Times New Roman"/>
          <w:lang w:val="fr-CA"/>
        </w:rPr>
        <w:noBreakHyphen/>
        <w:t xml:space="preserve">Écosse conclut que le Cabinet s’est appuyé sur ces considérations pour prendre sa décision, ces documents tendraient alors à démontrer qu’une ou plusieurs des exigences énoncées dans l’arrêt </w:t>
      </w:r>
      <w:r w:rsidRPr="0054385F">
        <w:rPr>
          <w:rFonts w:cs="Times New Roman"/>
          <w:i/>
          <w:lang w:val="fr-CA"/>
        </w:rPr>
        <w:t>Bodner</w:t>
      </w:r>
      <w:r w:rsidRPr="0054385F">
        <w:rPr>
          <w:rFonts w:cs="Times New Roman"/>
          <w:lang w:val="fr-CA"/>
        </w:rPr>
        <w:t xml:space="preserve"> n’ont pas été respectées. Le fait que la législature a accordé au lieutenant</w:t>
      </w:r>
      <w:r w:rsidRPr="0054385F">
        <w:rPr>
          <w:rFonts w:cs="Times New Roman"/>
          <w:lang w:val="fr-CA"/>
        </w:rPr>
        <w:noBreakHyphen/>
        <w:t xml:space="preserve">gouverneur en conseil le pouvoir de modifier ou de rejeter les recommandations de la commission n’est pas en soi un motif justifiant la modification des recommandations. De même, l’incidence qu’aurait sur des négociations collectives le fait d’accepter une recommandation ne constitue généralement pas une raison légitime de modifier une recommandation formulée par une commission : voir </w:t>
      </w:r>
      <w:r w:rsidRPr="0054385F">
        <w:rPr>
          <w:rFonts w:cs="Times New Roman"/>
          <w:i/>
          <w:lang w:val="fr-CA"/>
        </w:rPr>
        <w:t>Bodner</w:t>
      </w:r>
      <w:r w:rsidRPr="0054385F">
        <w:rPr>
          <w:rFonts w:cs="Times New Roman"/>
          <w:lang w:val="fr-CA"/>
        </w:rPr>
        <w:t>, par. 160. Le plan de communications indique que le gouvernement était possiblement préoccupé par le risque de réactions de la part d’un public peu éclairé sur ces questions.</w:t>
      </w:r>
    </w:p>
    <w:p w14:paraId="40B586D7"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En conséquence, l’inclusion au dossier de ces portions du rapport de la procureure générale aiderait le tribunal de révision à déterminer si la réponse du gouvernement reposait sur un objectif illégitime et s’il a été satisfait à la troisième étape de l’analyse établie dans </w:t>
      </w:r>
      <w:r w:rsidRPr="0054385F">
        <w:rPr>
          <w:rFonts w:cs="Times New Roman"/>
          <w:i/>
          <w:lang w:val="fr-CA"/>
        </w:rPr>
        <w:t>Bodner</w:t>
      </w:r>
      <w:r w:rsidRPr="0054385F">
        <w:rPr>
          <w:rFonts w:cs="Times New Roman"/>
          <w:lang w:val="fr-CA"/>
        </w:rPr>
        <w:t>, étape qui porte sur la question de savoir si le mécanisme d’examen par la commission a été respecté de telle façon que ses objectifs ont été réalisés. Le fait d’exclure du dossier ces portions du rapport pourrait faire en sorte que le tribunal de révision dispose d’un portrait inexact des considérations qui ont pu influer sur la réponse du gouvernement</w:t>
      </w:r>
      <w:r>
        <w:rPr>
          <w:rFonts w:cs="Times New Roman"/>
          <w:lang w:val="fr-CA"/>
        </w:rPr>
        <w:t>. Cela pourrait également soulever la question de savoir si</w:t>
      </w:r>
      <w:r w:rsidRPr="0054385F">
        <w:rPr>
          <w:rFonts w:cs="Times New Roman"/>
          <w:lang w:val="fr-CA"/>
        </w:rPr>
        <w:t xml:space="preserve"> le gouvernement a fourni des motifs légitimes pour justifier sa décision de s’écarter des recommandations de la commission. Je suis par conséquent d’avis que les intérêts liés à l’administration de la justice militent en faveur de la divulgation de l’analyse des implications à l’échelle gouvernementale figurant dans le rapport de la procureure générale, ainsi que du plan de communications en annexe.</w:t>
      </w:r>
    </w:p>
    <w:p w14:paraId="0F02BBC0" w14:textId="77777777" w:rsidR="00B3086A" w:rsidRPr="0054385F" w:rsidRDefault="00B3086A" w:rsidP="00B3086A">
      <w:pPr>
        <w:pStyle w:val="ParaNoNdepar-AltN"/>
        <w:spacing w:before="0"/>
        <w:rPr>
          <w:rFonts w:cs="Times New Roman"/>
          <w:lang w:val="fr-CA"/>
        </w:rPr>
      </w:pPr>
      <w:r w:rsidRPr="0054385F">
        <w:rPr>
          <w:rFonts w:cs="Times New Roman"/>
          <w:lang w:val="fr-CA"/>
        </w:rPr>
        <w:t xml:space="preserve">Le palier du processus décisionnel, la nature de la politique en question, la teneur précise de l’analyse des implications à l’échelle gouvernementale et du plan de communications, ainsi que le moment de divulgation sont autant de facteurs qui militent en faveur du maintien de la confidentialité de ces portions du rapport de la procureure générale. Étant donné que la politique porte sur une exigence constitutionnelle relative au système de justice et, de ce fait, à l’administration de la justice, elle constitue un facteur militant en faveur de la divulgation. Le fait d’exclure ces éléments de preuve du dossier nuirait à la capacité du tribunal de révision à décider les questions centrales du contrôle de type </w:t>
      </w:r>
      <w:r w:rsidRPr="0054385F">
        <w:rPr>
          <w:rFonts w:cs="Times New Roman"/>
          <w:i/>
          <w:lang w:val="fr-CA"/>
        </w:rPr>
        <w:t>Bodner</w:t>
      </w:r>
      <w:r w:rsidRPr="0054385F">
        <w:rPr>
          <w:rFonts w:cs="Times New Roman"/>
          <w:lang w:val="fr-CA"/>
        </w:rPr>
        <w:t> : Le gouvernement a</w:t>
      </w:r>
      <w:r w:rsidRPr="0054385F">
        <w:rPr>
          <w:rFonts w:cs="Times New Roman"/>
          <w:lang w:val="fr-CA"/>
        </w:rPr>
        <w:noBreakHyphen/>
        <w:t>t</w:t>
      </w:r>
      <w:r w:rsidRPr="0054385F">
        <w:rPr>
          <w:rFonts w:cs="Times New Roman"/>
          <w:lang w:val="fr-CA"/>
        </w:rPr>
        <w:noBreakHyphen/>
        <w:t>il justifié par des motifs légitimes sa décision de s’écarter des recommandations de la commission? La réponse du gouvernement reposait</w:t>
      </w:r>
      <w:r w:rsidRPr="0054385F">
        <w:rPr>
          <w:rFonts w:cs="Times New Roman"/>
          <w:lang w:val="fr-CA"/>
        </w:rPr>
        <w:noBreakHyphen/>
        <w:t>elle sur des considérations illégitimes? Le gouvernement a</w:t>
      </w:r>
      <w:r w:rsidRPr="0054385F">
        <w:rPr>
          <w:rFonts w:cs="Times New Roman"/>
          <w:lang w:val="fr-CA"/>
        </w:rPr>
        <w:noBreakHyphen/>
        <w:t>t</w:t>
      </w:r>
      <w:r w:rsidRPr="0054385F">
        <w:rPr>
          <w:rFonts w:cs="Times New Roman"/>
          <w:lang w:val="fr-CA"/>
        </w:rPr>
        <w:noBreakHyphen/>
        <w:t>il respecté le mécanisme d’examen par une commission? Les intérêts liés à l’administration de la justice militent donc fortement en faveur de la divulgation de ces portions du rapport de la procureure générale. Je conclus que l’intérêt du public dans leur divulgation l’emporte sur l’intérêt du public dans le maintien de leur confidentialité.</w:t>
      </w:r>
    </w:p>
    <w:p w14:paraId="76E97FD3" w14:textId="77777777" w:rsidR="00B3086A" w:rsidRPr="0054385F" w:rsidRDefault="00B3086A" w:rsidP="00B3086A">
      <w:pPr>
        <w:pStyle w:val="Title1LevelTitre1Niveau-AltL"/>
        <w:spacing w:before="0"/>
        <w:rPr>
          <w:rFonts w:cs="Times New Roman"/>
          <w:lang w:val="fr-CA"/>
        </w:rPr>
      </w:pPr>
      <w:r w:rsidRPr="0054385F">
        <w:rPr>
          <w:rFonts w:cs="Times New Roman"/>
          <w:lang w:val="fr-CA"/>
        </w:rPr>
        <w:t>Dispositif</w:t>
      </w:r>
    </w:p>
    <w:p w14:paraId="573D6652" w14:textId="5E867EF7" w:rsidR="00B3086A" w:rsidRPr="009B4113" w:rsidRDefault="00B3086A" w:rsidP="00B3086A">
      <w:pPr>
        <w:pStyle w:val="ParaNoNdepar-AltN"/>
        <w:spacing w:before="0"/>
        <w:rPr>
          <w:rFonts w:cs="Times New Roman"/>
          <w:lang w:val="fr-CA"/>
        </w:rPr>
      </w:pPr>
      <w:r w:rsidRPr="0054385F">
        <w:rPr>
          <w:rFonts w:cs="Times New Roman"/>
          <w:lang w:val="fr-CA"/>
        </w:rPr>
        <w:t>Je suis d’avis d’accueillir le pourvoi en partie, mais uniquement afin de modifier le jugement déclaratoire de la Cour suprême de la Nouvelle</w:t>
      </w:r>
      <w:r w:rsidRPr="0054385F">
        <w:rPr>
          <w:rFonts w:cs="Times New Roman"/>
          <w:lang w:val="fr-CA"/>
        </w:rPr>
        <w:noBreakHyphen/>
        <w:t>Écosse de façon à indiquer que seulement deux portions du rapport de la procureure générale — c.</w:t>
      </w:r>
      <w:r w:rsidRPr="0054385F">
        <w:rPr>
          <w:rFonts w:cs="Times New Roman"/>
          <w:lang w:val="fr-CA"/>
        </w:rPr>
        <w:noBreakHyphen/>
        <w:t>à</w:t>
      </w:r>
      <w:r w:rsidRPr="0054385F">
        <w:rPr>
          <w:rFonts w:cs="Times New Roman"/>
          <w:lang w:val="fr-CA"/>
        </w:rPr>
        <w:noBreakHyphen/>
        <w:t>d. les portions intitulées « </w:t>
      </w:r>
      <w:r w:rsidRPr="0054385F">
        <w:rPr>
          <w:rFonts w:cs="Times New Roman"/>
          <w:i/>
          <w:lang w:val="fr-CA"/>
        </w:rPr>
        <w:t>government</w:t>
      </w:r>
      <w:r w:rsidRPr="0054385F">
        <w:rPr>
          <w:rFonts w:cs="Times New Roman"/>
          <w:i/>
          <w:lang w:val="fr-CA"/>
        </w:rPr>
        <w:noBreakHyphen/>
        <w:t>wide implications</w:t>
      </w:r>
      <w:r w:rsidRPr="0054385F">
        <w:rPr>
          <w:rFonts w:cs="Times New Roman"/>
          <w:lang w:val="fr-CA"/>
        </w:rPr>
        <w:t> » (implications à l’échelle gouvernementale) et « </w:t>
      </w:r>
      <w:r w:rsidRPr="0054385F">
        <w:rPr>
          <w:rFonts w:cs="Times New Roman"/>
          <w:i/>
          <w:lang w:val="fr-CA"/>
        </w:rPr>
        <w:t>communications plan</w:t>
      </w:r>
      <w:r w:rsidRPr="0054385F">
        <w:rPr>
          <w:rFonts w:cs="Times New Roman"/>
          <w:lang w:val="fr-CA"/>
        </w:rPr>
        <w:t> » (plan de communications) — doivent être versées au dossier. Je suis en outre d’avis d’adjuger les dépens</w:t>
      </w:r>
      <w:r>
        <w:rPr>
          <w:rFonts w:cs="Times New Roman"/>
          <w:lang w:val="fr-CA"/>
        </w:rPr>
        <w:t xml:space="preserve"> devant notre Cour</w:t>
      </w:r>
      <w:r w:rsidRPr="0054385F">
        <w:rPr>
          <w:rFonts w:cs="Times New Roman"/>
          <w:lang w:val="fr-CA"/>
        </w:rPr>
        <w:t xml:space="preserve"> en faveur de l’Association. Le procureur général doit, dans les 10 jours suivant le prononcé du présent arrêt, déposer auprès de notre Cour une nouvelle version caviardée du volume 3 du dossier des appelants, modifiée conformément aux présents motifs. La demande </w:t>
      </w:r>
      <w:r>
        <w:rPr>
          <w:rFonts w:cs="Times New Roman"/>
          <w:lang w:val="fr-CA"/>
        </w:rPr>
        <w:t>de l’Association sollicitant le</w:t>
      </w:r>
      <w:r w:rsidRPr="0054385F">
        <w:rPr>
          <w:rFonts w:cs="Times New Roman"/>
          <w:lang w:val="fr-CA"/>
        </w:rPr>
        <w:t xml:space="preserve"> contrôle de la réponse du gouvernement peut maintenant être tranchée sur le fond à la lumière du dossier modifié.</w:t>
      </w:r>
    </w:p>
    <w:p w14:paraId="6B773B5F" w14:textId="4DC31086" w:rsidR="004D7D95" w:rsidRPr="00F05283" w:rsidRDefault="004D7D95" w:rsidP="0090156C">
      <w:pPr>
        <w:pStyle w:val="SCCNormalDoubleSpacing"/>
        <w:spacing w:after="480"/>
        <w:rPr>
          <w:i/>
          <w:lang w:val="fr-CA"/>
        </w:rPr>
      </w:pPr>
      <w:r w:rsidRPr="003360B5">
        <w:rPr>
          <w:lang w:val="fr-CA"/>
        </w:rPr>
        <w:tab/>
      </w:r>
      <w:r w:rsidR="00F05283" w:rsidRPr="000A5E0A">
        <w:rPr>
          <w:i/>
          <w:lang w:val="fr-CA"/>
        </w:rPr>
        <w:t xml:space="preserve">Pourvoi accueilli en partie </w:t>
      </w:r>
      <w:r w:rsidR="00473095" w:rsidRPr="000A5E0A">
        <w:rPr>
          <w:i/>
          <w:lang w:val="fr-CA"/>
        </w:rPr>
        <w:t>avec</w:t>
      </w:r>
      <w:r w:rsidR="00F05283" w:rsidRPr="000A5E0A">
        <w:rPr>
          <w:i/>
          <w:lang w:val="fr-CA"/>
        </w:rPr>
        <w:t xml:space="preserve"> dépens</w:t>
      </w:r>
      <w:r w:rsidR="00A83F5E" w:rsidRPr="000A5E0A">
        <w:rPr>
          <w:i/>
          <w:lang w:val="fr-CA"/>
        </w:rPr>
        <w:t xml:space="preserve"> en faveur des intimés</w:t>
      </w:r>
      <w:r w:rsidR="00F05283" w:rsidRPr="000A5E0A">
        <w:rPr>
          <w:i/>
          <w:lang w:val="fr-CA"/>
        </w:rPr>
        <w:t>.</w:t>
      </w:r>
    </w:p>
    <w:p w14:paraId="67C30406" w14:textId="1009EFD6" w:rsidR="00B12982" w:rsidRPr="00337655" w:rsidRDefault="00337655" w:rsidP="0090156C">
      <w:pPr>
        <w:pStyle w:val="SCCLawFirm"/>
        <w:spacing w:after="480"/>
        <w:rPr>
          <w:lang w:val="fr-CA"/>
        </w:rPr>
      </w:pPr>
      <w:r w:rsidRPr="00651779">
        <w:rPr>
          <w:lang w:val="fr-CA"/>
        </w:rPr>
        <w:tab/>
      </w:r>
      <w:r w:rsidR="005E5CB2">
        <w:rPr>
          <w:lang w:val="fr-CA"/>
        </w:rPr>
        <w:t>Procureur de</w:t>
      </w:r>
      <w:r w:rsidR="00644D1D">
        <w:rPr>
          <w:lang w:val="fr-CA"/>
        </w:rPr>
        <w:t>s</w:t>
      </w:r>
      <w:r w:rsidRPr="00337655">
        <w:rPr>
          <w:lang w:val="fr-CA"/>
        </w:rPr>
        <w:t xml:space="preserve"> </w:t>
      </w:r>
      <w:r w:rsidR="005E5CB2">
        <w:rPr>
          <w:lang w:val="fr-CA"/>
        </w:rPr>
        <w:t>appelant</w:t>
      </w:r>
      <w:r w:rsidR="00644D1D">
        <w:rPr>
          <w:lang w:val="fr-CA"/>
        </w:rPr>
        <w:t>s</w:t>
      </w:r>
      <w:r w:rsidR="007745F6">
        <w:rPr>
          <w:lang w:val="fr-CA"/>
        </w:rPr>
        <w:t> </w:t>
      </w:r>
      <w:r w:rsidR="00364D7F">
        <w:rPr>
          <w:lang w:val="fr-CA"/>
        </w:rPr>
        <w:t>: </w:t>
      </w:r>
      <w:r>
        <w:rPr>
          <w:rStyle w:val="SCCCounselPartyRoleChar"/>
          <w:lang w:val="fr-CA"/>
        </w:rPr>
        <w:t>Procureur général de la Nouvelle</w:t>
      </w:r>
      <w:r w:rsidR="007745F6">
        <w:rPr>
          <w:rStyle w:val="SCCCounselPartyRoleChar"/>
          <w:lang w:val="fr-CA"/>
        </w:rPr>
        <w:noBreakHyphen/>
      </w:r>
      <w:r w:rsidRPr="0005284F">
        <w:rPr>
          <w:lang w:val="fr-CA"/>
        </w:rPr>
        <w:t>Écosse</w:t>
      </w:r>
      <w:r w:rsidRPr="00337655">
        <w:rPr>
          <w:lang w:val="fr-CA"/>
        </w:rPr>
        <w:t>, Halifax.</w:t>
      </w:r>
    </w:p>
    <w:p w14:paraId="69E5FB3C" w14:textId="60EFE153" w:rsidR="00B12982" w:rsidRDefault="00337655" w:rsidP="0090156C">
      <w:pPr>
        <w:pStyle w:val="SCCLawFirm"/>
        <w:spacing w:after="480"/>
        <w:rPr>
          <w:lang w:val="fr-CA"/>
        </w:rPr>
      </w:pPr>
      <w:r w:rsidRPr="00337655">
        <w:rPr>
          <w:lang w:val="fr-CA"/>
        </w:rPr>
        <w:tab/>
      </w:r>
      <w:r w:rsidRPr="0038179A">
        <w:rPr>
          <w:lang w:val="fr-CA"/>
        </w:rPr>
        <w:t>Procureurs de</w:t>
      </w:r>
      <w:r w:rsidR="00007E2F" w:rsidRPr="0038179A">
        <w:rPr>
          <w:lang w:val="fr-CA"/>
        </w:rPr>
        <w:t xml:space="preserve">s </w:t>
      </w:r>
      <w:r w:rsidRPr="0038179A">
        <w:rPr>
          <w:lang w:val="fr-CA"/>
        </w:rPr>
        <w:t>intimé</w:t>
      </w:r>
      <w:r w:rsidR="00007E2F" w:rsidRPr="0038179A">
        <w:rPr>
          <w:lang w:val="fr-CA"/>
        </w:rPr>
        <w:t>s</w:t>
      </w:r>
      <w:r w:rsidR="007745F6">
        <w:rPr>
          <w:lang w:val="fr-CA"/>
        </w:rPr>
        <w:t> </w:t>
      </w:r>
      <w:r w:rsidR="00364D7F">
        <w:rPr>
          <w:lang w:val="fr-CA"/>
        </w:rPr>
        <w:t>: </w:t>
      </w:r>
      <w:r w:rsidRPr="0038179A">
        <w:rPr>
          <w:lang w:val="fr-CA"/>
        </w:rPr>
        <w:t>Myers,</w:t>
      </w:r>
      <w:r w:rsidRPr="003360B5">
        <w:rPr>
          <w:lang w:val="fr-CA"/>
        </w:rPr>
        <w:t xml:space="preserve"> Winnipeg.</w:t>
      </w:r>
    </w:p>
    <w:p w14:paraId="65EAC0DB" w14:textId="570F7FBD" w:rsidR="00337655" w:rsidRPr="00F427B7" w:rsidRDefault="00337655" w:rsidP="0090156C">
      <w:pPr>
        <w:pStyle w:val="SCCLawFirm"/>
        <w:spacing w:after="480"/>
        <w:rPr>
          <w:lang w:val="fr-CA"/>
        </w:rPr>
      </w:pPr>
      <w:r>
        <w:rPr>
          <w:lang w:val="fr-CA"/>
        </w:rPr>
        <w:tab/>
        <w:t>Procureur</w:t>
      </w:r>
      <w:r w:rsidRPr="00F427B7">
        <w:rPr>
          <w:lang w:val="fr-CA"/>
        </w:rPr>
        <w:t xml:space="preserve"> de l</w:t>
      </w:r>
      <w:r w:rsidR="006709B9">
        <w:rPr>
          <w:lang w:val="fr-CA"/>
        </w:rPr>
        <w:t>’</w:t>
      </w:r>
      <w:r>
        <w:rPr>
          <w:lang w:val="fr-CA"/>
        </w:rPr>
        <w:t>intervenant le</w:t>
      </w:r>
      <w:r w:rsidRPr="00F427B7">
        <w:rPr>
          <w:lang w:val="fr-CA"/>
        </w:rPr>
        <w:t xml:space="preserve"> </w:t>
      </w:r>
      <w:r w:rsidR="00946BB5">
        <w:rPr>
          <w:lang w:val="fr-CA"/>
        </w:rPr>
        <w:t>p</w:t>
      </w:r>
      <w:r w:rsidRPr="00F427B7">
        <w:rPr>
          <w:lang w:val="fr-CA"/>
        </w:rPr>
        <w:t>rocureur général du Canada</w:t>
      </w:r>
      <w:r w:rsidR="007745F6">
        <w:rPr>
          <w:lang w:val="fr-CA"/>
        </w:rPr>
        <w:t> </w:t>
      </w:r>
      <w:r w:rsidR="00364D7F">
        <w:rPr>
          <w:lang w:val="fr-CA"/>
        </w:rPr>
        <w:t>: </w:t>
      </w:r>
      <w:r>
        <w:rPr>
          <w:lang w:val="fr-CA"/>
        </w:rPr>
        <w:t>Procureur général du Canada</w:t>
      </w:r>
      <w:r w:rsidRPr="00F427B7">
        <w:rPr>
          <w:lang w:val="fr-CA"/>
        </w:rPr>
        <w:t>, Toronto.</w:t>
      </w:r>
    </w:p>
    <w:p w14:paraId="5CE2D7A4" w14:textId="4D3836DC" w:rsidR="00337655" w:rsidRPr="00F427B7" w:rsidRDefault="00337655" w:rsidP="0090156C">
      <w:pPr>
        <w:pStyle w:val="SCCLawFirm"/>
        <w:spacing w:after="480"/>
        <w:rPr>
          <w:lang w:val="fr-CA"/>
        </w:rPr>
      </w:pPr>
      <w:r>
        <w:rPr>
          <w:lang w:val="fr-CA"/>
        </w:rPr>
        <w:tab/>
        <w:t>Procureur</w:t>
      </w:r>
      <w:r w:rsidRPr="00F427B7">
        <w:rPr>
          <w:lang w:val="fr-CA"/>
        </w:rPr>
        <w:t xml:space="preserve"> de l</w:t>
      </w:r>
      <w:r w:rsidR="006709B9">
        <w:rPr>
          <w:lang w:val="fr-CA"/>
        </w:rPr>
        <w:t>’</w:t>
      </w:r>
      <w:r>
        <w:rPr>
          <w:lang w:val="fr-CA"/>
        </w:rPr>
        <w:t>intervenant le</w:t>
      </w:r>
      <w:r w:rsidRPr="00F427B7">
        <w:rPr>
          <w:lang w:val="fr-CA"/>
        </w:rPr>
        <w:t xml:space="preserve"> </w:t>
      </w:r>
      <w:r w:rsidR="00946BB5">
        <w:rPr>
          <w:lang w:val="fr-CA"/>
        </w:rPr>
        <w:t>p</w:t>
      </w:r>
      <w:r w:rsidRPr="00F427B7">
        <w:rPr>
          <w:lang w:val="fr-CA"/>
        </w:rPr>
        <w:t>rocureur général de l</w:t>
      </w:r>
      <w:r w:rsidR="006709B9">
        <w:rPr>
          <w:lang w:val="fr-CA"/>
        </w:rPr>
        <w:t>’</w:t>
      </w:r>
      <w:r w:rsidRPr="00F427B7">
        <w:rPr>
          <w:lang w:val="fr-CA"/>
        </w:rPr>
        <w:t>Ontario</w:t>
      </w:r>
      <w:r w:rsidR="007745F6">
        <w:rPr>
          <w:lang w:val="fr-CA"/>
        </w:rPr>
        <w:t> </w:t>
      </w:r>
      <w:r w:rsidR="00364D7F">
        <w:rPr>
          <w:lang w:val="fr-CA"/>
        </w:rPr>
        <w:t>: </w:t>
      </w:r>
      <w:r w:rsidRPr="00F427B7">
        <w:rPr>
          <w:lang w:val="fr-CA"/>
        </w:rPr>
        <w:t>Procureur général de l</w:t>
      </w:r>
      <w:r w:rsidR="006709B9">
        <w:rPr>
          <w:lang w:val="fr-CA"/>
        </w:rPr>
        <w:t>’</w:t>
      </w:r>
      <w:r>
        <w:rPr>
          <w:lang w:val="fr-CA"/>
        </w:rPr>
        <w:t>Ontario</w:t>
      </w:r>
      <w:r w:rsidRPr="00F427B7">
        <w:rPr>
          <w:lang w:val="fr-CA"/>
        </w:rPr>
        <w:t>, Toronto.</w:t>
      </w:r>
    </w:p>
    <w:p w14:paraId="5648FC13" w14:textId="35D1FB1D" w:rsidR="00337655" w:rsidRPr="00F427B7" w:rsidRDefault="00337655" w:rsidP="0090156C">
      <w:pPr>
        <w:pStyle w:val="SCCLawFirm"/>
        <w:spacing w:after="480"/>
        <w:rPr>
          <w:lang w:val="fr-CA"/>
        </w:rPr>
      </w:pPr>
      <w:r>
        <w:rPr>
          <w:lang w:val="fr-CA"/>
        </w:rPr>
        <w:tab/>
        <w:t>Procureur</w:t>
      </w:r>
      <w:r w:rsidRPr="00F427B7">
        <w:rPr>
          <w:lang w:val="fr-CA"/>
        </w:rPr>
        <w:t xml:space="preserve"> de l</w:t>
      </w:r>
      <w:r w:rsidR="006709B9">
        <w:rPr>
          <w:lang w:val="fr-CA"/>
        </w:rPr>
        <w:t>’</w:t>
      </w:r>
      <w:r>
        <w:rPr>
          <w:lang w:val="fr-CA"/>
        </w:rPr>
        <w:t>intervenante la</w:t>
      </w:r>
      <w:r w:rsidRPr="00F427B7">
        <w:rPr>
          <w:lang w:val="fr-CA"/>
        </w:rPr>
        <w:t xml:space="preserve"> </w:t>
      </w:r>
      <w:r w:rsidR="00946BB5">
        <w:rPr>
          <w:lang w:val="fr-CA"/>
        </w:rPr>
        <w:t>p</w:t>
      </w:r>
      <w:r w:rsidRPr="00F427B7">
        <w:rPr>
          <w:lang w:val="fr-CA"/>
        </w:rPr>
        <w:t>rocureure générale du Québec</w:t>
      </w:r>
      <w:r w:rsidR="007745F6">
        <w:rPr>
          <w:lang w:val="fr-CA"/>
        </w:rPr>
        <w:t> </w:t>
      </w:r>
      <w:r w:rsidR="00364D7F">
        <w:rPr>
          <w:lang w:val="fr-CA"/>
        </w:rPr>
        <w:t>: </w:t>
      </w:r>
      <w:r w:rsidRPr="00F427B7">
        <w:rPr>
          <w:lang w:val="fr-CA"/>
        </w:rPr>
        <w:t>Procureure générale du Québec, Québec.</w:t>
      </w:r>
    </w:p>
    <w:p w14:paraId="6D2F27D3" w14:textId="079523D0" w:rsidR="00337655" w:rsidRPr="00F427B7" w:rsidRDefault="00337655" w:rsidP="0090156C">
      <w:pPr>
        <w:pStyle w:val="SCCLawFirm"/>
        <w:spacing w:after="480"/>
        <w:rPr>
          <w:lang w:val="fr-CA"/>
        </w:rPr>
      </w:pPr>
      <w:r w:rsidRPr="00F427B7">
        <w:rPr>
          <w:lang w:val="fr-CA"/>
        </w:rPr>
        <w:tab/>
        <w:t>Procureur de l</w:t>
      </w:r>
      <w:r w:rsidR="006709B9">
        <w:rPr>
          <w:lang w:val="fr-CA"/>
        </w:rPr>
        <w:t>’</w:t>
      </w:r>
      <w:r>
        <w:rPr>
          <w:lang w:val="fr-CA"/>
        </w:rPr>
        <w:t>intervenant le</w:t>
      </w:r>
      <w:r w:rsidRPr="00F427B7">
        <w:rPr>
          <w:lang w:val="fr-CA"/>
        </w:rPr>
        <w:t xml:space="preserve"> </w:t>
      </w:r>
      <w:r w:rsidR="00946BB5">
        <w:rPr>
          <w:lang w:val="fr-CA"/>
        </w:rPr>
        <w:t>p</w:t>
      </w:r>
      <w:r w:rsidRPr="00F427B7">
        <w:rPr>
          <w:lang w:val="fr-CA"/>
        </w:rPr>
        <w:t>rocureur général de la Saskatchewan</w:t>
      </w:r>
      <w:r w:rsidR="007745F6">
        <w:rPr>
          <w:lang w:val="fr-CA"/>
        </w:rPr>
        <w:t> </w:t>
      </w:r>
      <w:r w:rsidR="00364D7F">
        <w:rPr>
          <w:lang w:val="fr-CA"/>
        </w:rPr>
        <w:t>: </w:t>
      </w:r>
      <w:r w:rsidRPr="00F427B7">
        <w:rPr>
          <w:lang w:val="fr-CA"/>
        </w:rPr>
        <w:t>Procu</w:t>
      </w:r>
      <w:r>
        <w:rPr>
          <w:lang w:val="fr-CA"/>
        </w:rPr>
        <w:t>reur général de la Saskatchewan</w:t>
      </w:r>
      <w:r w:rsidRPr="00F427B7">
        <w:rPr>
          <w:lang w:val="fr-CA"/>
        </w:rPr>
        <w:t>, Regina.</w:t>
      </w:r>
    </w:p>
    <w:p w14:paraId="3CE6E576" w14:textId="55104D2F" w:rsidR="00337655" w:rsidRPr="00F427B7" w:rsidRDefault="00337655" w:rsidP="0090156C">
      <w:pPr>
        <w:pStyle w:val="SCCLawFirm"/>
        <w:spacing w:after="480"/>
        <w:rPr>
          <w:lang w:val="fr-CA"/>
        </w:rPr>
      </w:pPr>
      <w:r>
        <w:rPr>
          <w:lang w:val="fr-CA"/>
        </w:rPr>
        <w:tab/>
        <w:t>Procureur</w:t>
      </w:r>
      <w:r w:rsidRPr="00F427B7">
        <w:rPr>
          <w:lang w:val="fr-CA"/>
        </w:rPr>
        <w:t xml:space="preserve"> de l</w:t>
      </w:r>
      <w:r w:rsidR="006709B9">
        <w:rPr>
          <w:lang w:val="fr-CA"/>
        </w:rPr>
        <w:t>’</w:t>
      </w:r>
      <w:r>
        <w:rPr>
          <w:lang w:val="fr-CA"/>
        </w:rPr>
        <w:t>intervenant le</w:t>
      </w:r>
      <w:r w:rsidRPr="00F427B7">
        <w:rPr>
          <w:lang w:val="fr-CA"/>
        </w:rPr>
        <w:t xml:space="preserve"> </w:t>
      </w:r>
      <w:r w:rsidR="00946BB5">
        <w:rPr>
          <w:lang w:val="fr-CA"/>
        </w:rPr>
        <w:t>p</w:t>
      </w:r>
      <w:r w:rsidRPr="00F427B7">
        <w:rPr>
          <w:lang w:val="fr-CA"/>
        </w:rPr>
        <w:t>rocureur général de l</w:t>
      </w:r>
      <w:r w:rsidR="006709B9">
        <w:rPr>
          <w:lang w:val="fr-CA"/>
        </w:rPr>
        <w:t>’</w:t>
      </w:r>
      <w:r w:rsidRPr="00F427B7">
        <w:rPr>
          <w:lang w:val="fr-CA"/>
        </w:rPr>
        <w:t>Alberta</w:t>
      </w:r>
      <w:r w:rsidR="007745F6">
        <w:rPr>
          <w:lang w:val="fr-CA"/>
        </w:rPr>
        <w:t> </w:t>
      </w:r>
      <w:r w:rsidR="00364D7F">
        <w:rPr>
          <w:lang w:val="fr-CA"/>
        </w:rPr>
        <w:t>: </w:t>
      </w:r>
      <w:r w:rsidRPr="00F427B7">
        <w:rPr>
          <w:lang w:val="fr-CA"/>
        </w:rPr>
        <w:t>Procureur général de l</w:t>
      </w:r>
      <w:r w:rsidR="006709B9">
        <w:rPr>
          <w:lang w:val="fr-CA"/>
        </w:rPr>
        <w:t>’</w:t>
      </w:r>
      <w:r>
        <w:rPr>
          <w:lang w:val="fr-CA"/>
        </w:rPr>
        <w:t>Alberta</w:t>
      </w:r>
      <w:r w:rsidRPr="00F427B7">
        <w:rPr>
          <w:lang w:val="fr-CA"/>
        </w:rPr>
        <w:t>, Edmonton.</w:t>
      </w:r>
    </w:p>
    <w:p w14:paraId="1FAD933B" w14:textId="40ED99E9" w:rsidR="00337655" w:rsidRPr="00F427B7" w:rsidRDefault="00337655" w:rsidP="0090156C">
      <w:pPr>
        <w:pStyle w:val="SCCLawFirm"/>
        <w:spacing w:after="480"/>
        <w:rPr>
          <w:lang w:val="fr-CA"/>
        </w:rPr>
      </w:pPr>
      <w:r>
        <w:rPr>
          <w:lang w:val="fr-CA"/>
        </w:rPr>
        <w:tab/>
        <w:t>Procureur</w:t>
      </w:r>
      <w:r w:rsidRPr="00F427B7">
        <w:rPr>
          <w:lang w:val="fr-CA"/>
        </w:rPr>
        <w:t>s de l</w:t>
      </w:r>
      <w:r w:rsidR="006709B9">
        <w:rPr>
          <w:lang w:val="fr-CA"/>
        </w:rPr>
        <w:t>’</w:t>
      </w:r>
      <w:r>
        <w:rPr>
          <w:lang w:val="fr-CA"/>
        </w:rPr>
        <w:t>intervenante l</w:t>
      </w:r>
      <w:r w:rsidR="006709B9">
        <w:rPr>
          <w:lang w:val="fr-CA"/>
        </w:rPr>
        <w:t>’</w:t>
      </w:r>
      <w:r w:rsidRPr="00F427B7">
        <w:rPr>
          <w:lang w:val="fr-CA"/>
        </w:rPr>
        <w:t>Association canadienne des juges des cours supérieures</w:t>
      </w:r>
      <w:r w:rsidR="007745F6">
        <w:rPr>
          <w:lang w:val="fr-CA"/>
        </w:rPr>
        <w:t> </w:t>
      </w:r>
      <w:r w:rsidR="00364D7F">
        <w:rPr>
          <w:lang w:val="fr-CA"/>
        </w:rPr>
        <w:t>: </w:t>
      </w:r>
      <w:r w:rsidRPr="00F427B7">
        <w:rPr>
          <w:lang w:val="fr-CA"/>
        </w:rPr>
        <w:t>Norton Rose Fulbright Canada, Montréal.</w:t>
      </w:r>
    </w:p>
    <w:p w14:paraId="59E34B90" w14:textId="6FE70038" w:rsidR="00337655" w:rsidRPr="00F427B7" w:rsidRDefault="00337655" w:rsidP="0090156C">
      <w:pPr>
        <w:pStyle w:val="SCCLawFirm"/>
        <w:spacing w:after="480"/>
        <w:rPr>
          <w:lang w:val="fr-CA"/>
        </w:rPr>
      </w:pPr>
      <w:r>
        <w:rPr>
          <w:lang w:val="fr-CA"/>
        </w:rPr>
        <w:tab/>
        <w:t>Procureurs</w:t>
      </w:r>
      <w:r w:rsidRPr="00F427B7">
        <w:rPr>
          <w:lang w:val="fr-CA"/>
        </w:rPr>
        <w:t xml:space="preserve"> de l</w:t>
      </w:r>
      <w:r w:rsidR="006709B9">
        <w:rPr>
          <w:lang w:val="fr-CA"/>
        </w:rPr>
        <w:t>’</w:t>
      </w:r>
      <w:r>
        <w:rPr>
          <w:lang w:val="fr-CA"/>
        </w:rPr>
        <w:t>intervenante l</w:t>
      </w:r>
      <w:r w:rsidR="006709B9">
        <w:rPr>
          <w:lang w:val="fr-CA"/>
        </w:rPr>
        <w:t>’</w:t>
      </w:r>
      <w:r w:rsidRPr="00F427B7">
        <w:rPr>
          <w:lang w:val="fr-CA"/>
        </w:rPr>
        <w:t>Association du Barreau cana</w:t>
      </w:r>
      <w:r>
        <w:rPr>
          <w:lang w:val="fr-CA"/>
        </w:rPr>
        <w:t>dien</w:t>
      </w:r>
      <w:r w:rsidR="007745F6">
        <w:rPr>
          <w:lang w:val="fr-CA"/>
        </w:rPr>
        <w:t> </w:t>
      </w:r>
      <w:r w:rsidR="00364D7F">
        <w:rPr>
          <w:lang w:val="fr-CA"/>
        </w:rPr>
        <w:t>: </w:t>
      </w:r>
      <w:r>
        <w:rPr>
          <w:lang w:val="fr-CA"/>
        </w:rPr>
        <w:t>Borden Ladner Gervais</w:t>
      </w:r>
      <w:r w:rsidRPr="00F427B7">
        <w:rPr>
          <w:lang w:val="fr-CA"/>
        </w:rPr>
        <w:t>, Toronto.</w:t>
      </w:r>
    </w:p>
    <w:p w14:paraId="6A55DBFC" w14:textId="52874EC5" w:rsidR="00337655" w:rsidRPr="00F427B7" w:rsidRDefault="00337655" w:rsidP="0090156C">
      <w:pPr>
        <w:pStyle w:val="SCCLawFirm"/>
        <w:spacing w:after="480"/>
        <w:rPr>
          <w:lang w:val="fr-CA"/>
        </w:rPr>
      </w:pPr>
      <w:r>
        <w:rPr>
          <w:lang w:val="fr-CA"/>
        </w:rPr>
        <w:tab/>
        <w:t>Procureurs</w:t>
      </w:r>
      <w:r w:rsidRPr="00F427B7">
        <w:rPr>
          <w:lang w:val="fr-CA"/>
        </w:rPr>
        <w:t xml:space="preserve"> de l</w:t>
      </w:r>
      <w:r w:rsidR="006709B9">
        <w:rPr>
          <w:lang w:val="fr-CA"/>
        </w:rPr>
        <w:t>’</w:t>
      </w:r>
      <w:r>
        <w:rPr>
          <w:lang w:val="fr-CA"/>
        </w:rPr>
        <w:t>intervenante l</w:t>
      </w:r>
      <w:r w:rsidR="006709B9">
        <w:rPr>
          <w:lang w:val="fr-CA"/>
        </w:rPr>
        <w:t>’</w:t>
      </w:r>
      <w:r w:rsidRPr="00F427B7">
        <w:rPr>
          <w:lang w:val="fr-CA"/>
        </w:rPr>
        <w:t>Association canadienne des juges des cours provi</w:t>
      </w:r>
      <w:r>
        <w:rPr>
          <w:lang w:val="fr-CA"/>
        </w:rPr>
        <w:t>nciales</w:t>
      </w:r>
      <w:r w:rsidR="007745F6">
        <w:rPr>
          <w:lang w:val="fr-CA"/>
        </w:rPr>
        <w:t> </w:t>
      </w:r>
      <w:r w:rsidR="00364D7F">
        <w:rPr>
          <w:lang w:val="fr-CA"/>
        </w:rPr>
        <w:t>: </w:t>
      </w:r>
      <w:r>
        <w:rPr>
          <w:lang w:val="fr-CA"/>
        </w:rPr>
        <w:t>Goldblatt Partners</w:t>
      </w:r>
      <w:r w:rsidRPr="00F427B7">
        <w:rPr>
          <w:lang w:val="fr-CA"/>
        </w:rPr>
        <w:t>, Toronto.</w:t>
      </w:r>
    </w:p>
    <w:p w14:paraId="46998FFB" w14:textId="28335405" w:rsidR="00337655" w:rsidRPr="00F427B7" w:rsidRDefault="00337655" w:rsidP="0090156C">
      <w:pPr>
        <w:pStyle w:val="SCCLawFirm"/>
        <w:spacing w:after="480"/>
        <w:rPr>
          <w:lang w:val="fr-CA"/>
        </w:rPr>
      </w:pPr>
      <w:r>
        <w:rPr>
          <w:lang w:val="fr-CA"/>
        </w:rPr>
        <w:tab/>
        <w:t>Procureurs</w:t>
      </w:r>
      <w:r w:rsidRPr="00F427B7">
        <w:rPr>
          <w:lang w:val="fr-CA"/>
        </w:rPr>
        <w:t xml:space="preserve"> de l</w:t>
      </w:r>
      <w:r w:rsidR="006709B9">
        <w:rPr>
          <w:lang w:val="fr-CA"/>
        </w:rPr>
        <w:t>’</w:t>
      </w:r>
      <w:r>
        <w:rPr>
          <w:lang w:val="fr-CA"/>
        </w:rPr>
        <w:t>intervenante la</w:t>
      </w:r>
      <w:r w:rsidRPr="00F427B7">
        <w:rPr>
          <w:lang w:val="fr-CA"/>
        </w:rPr>
        <w:t xml:space="preserve"> Fédération canadienne des contribuables</w:t>
      </w:r>
      <w:r w:rsidR="007745F6">
        <w:rPr>
          <w:lang w:val="fr-CA"/>
        </w:rPr>
        <w:t> </w:t>
      </w:r>
      <w:r w:rsidR="00364D7F">
        <w:rPr>
          <w:lang w:val="fr-CA"/>
        </w:rPr>
        <w:t>: </w:t>
      </w:r>
      <w:r w:rsidRPr="00F427B7">
        <w:rPr>
          <w:lang w:val="fr-CA"/>
        </w:rPr>
        <w:t>McCarthy Tétrault, Toronto.</w:t>
      </w:r>
    </w:p>
    <w:p w14:paraId="7642D018" w14:textId="160A9182" w:rsidR="00337655" w:rsidRPr="00F427B7" w:rsidRDefault="00337655" w:rsidP="00337655">
      <w:pPr>
        <w:pStyle w:val="SCCLawFirm"/>
        <w:rPr>
          <w:lang w:val="fr-CA"/>
        </w:rPr>
      </w:pPr>
      <w:r>
        <w:rPr>
          <w:lang w:val="fr-CA"/>
        </w:rPr>
        <w:tab/>
        <w:t>Procureurs</w:t>
      </w:r>
      <w:r w:rsidRPr="00F427B7">
        <w:rPr>
          <w:lang w:val="fr-CA"/>
        </w:rPr>
        <w:t xml:space="preserve"> de l</w:t>
      </w:r>
      <w:r w:rsidR="006709B9">
        <w:rPr>
          <w:lang w:val="fr-CA"/>
        </w:rPr>
        <w:t>’</w:t>
      </w:r>
      <w:r>
        <w:rPr>
          <w:lang w:val="fr-CA"/>
        </w:rPr>
        <w:t>intervenant</w:t>
      </w:r>
      <w:r w:rsidRPr="00F427B7">
        <w:rPr>
          <w:lang w:val="fr-CA"/>
        </w:rPr>
        <w:t>e</w:t>
      </w:r>
      <w:r>
        <w:rPr>
          <w:lang w:val="fr-CA"/>
        </w:rPr>
        <w:t xml:space="preserve"> l</w:t>
      </w:r>
      <w:r w:rsidR="006709B9">
        <w:rPr>
          <w:lang w:val="fr-CA"/>
        </w:rPr>
        <w:t>’</w:t>
      </w:r>
      <w:r w:rsidR="006F2B02">
        <w:rPr>
          <w:lang w:val="fr-CA"/>
        </w:rPr>
        <w:t>Association c</w:t>
      </w:r>
      <w:r w:rsidRPr="00F427B7">
        <w:rPr>
          <w:lang w:val="fr-CA"/>
        </w:rPr>
        <w:t>anadienne</w:t>
      </w:r>
      <w:r w:rsidR="006F2B02">
        <w:rPr>
          <w:lang w:val="fr-CA"/>
        </w:rPr>
        <w:t xml:space="preserve"> des libertés civiles</w:t>
      </w:r>
      <w:r w:rsidR="007745F6">
        <w:rPr>
          <w:lang w:val="fr-CA"/>
        </w:rPr>
        <w:t> </w:t>
      </w:r>
      <w:r w:rsidR="00364D7F">
        <w:rPr>
          <w:lang w:val="fr-CA"/>
        </w:rPr>
        <w:t>: </w:t>
      </w:r>
      <w:r w:rsidR="006F2B02">
        <w:rPr>
          <w:lang w:val="fr-CA"/>
        </w:rPr>
        <w:t>Paliare Roland Rosenberg</w:t>
      </w:r>
      <w:r w:rsidRPr="00F427B7">
        <w:rPr>
          <w:lang w:val="fr-CA"/>
        </w:rPr>
        <w:t xml:space="preserve"> Rothstein, Toronto.</w:t>
      </w:r>
    </w:p>
    <w:sectPr w:rsidR="00337655" w:rsidRPr="00F427B7"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60821" w14:textId="77777777" w:rsidR="00681B70" w:rsidRDefault="00681B70">
      <w:r>
        <w:separator/>
      </w:r>
    </w:p>
  </w:endnote>
  <w:endnote w:type="continuationSeparator" w:id="0">
    <w:p w14:paraId="7CF6A2DB" w14:textId="77777777" w:rsidR="00681B70" w:rsidRDefault="0068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Rmn 12p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B8D4" w14:textId="77777777" w:rsidR="00D94E91" w:rsidRDefault="00D94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2509" w14:textId="77777777" w:rsidR="00D94E91" w:rsidRDefault="00D94E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CB5B" w14:textId="77777777" w:rsidR="00D94E91" w:rsidRDefault="00D94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3BC8C" w14:textId="77777777" w:rsidR="00681B70" w:rsidRDefault="00681B70">
      <w:r>
        <w:separator/>
      </w:r>
    </w:p>
  </w:footnote>
  <w:footnote w:type="continuationSeparator" w:id="0">
    <w:p w14:paraId="0755B9D7" w14:textId="77777777" w:rsidR="00681B70" w:rsidRDefault="00681B70">
      <w:r>
        <w:continuationSeparator/>
      </w:r>
    </w:p>
  </w:footnote>
  <w:footnote w:id="1">
    <w:p w14:paraId="1AF4800D" w14:textId="77777777" w:rsidR="00B3086A" w:rsidRPr="002B72B3" w:rsidRDefault="00B3086A" w:rsidP="00B3086A">
      <w:pPr>
        <w:pStyle w:val="FootnoteText"/>
        <w:rPr>
          <w:lang w:val="fr-CA"/>
        </w:rPr>
      </w:pPr>
      <w:r w:rsidRPr="00AA06A5">
        <w:rPr>
          <w:rStyle w:val="FootnoteReference"/>
        </w:rPr>
        <w:footnoteRef/>
      </w:r>
      <w:r>
        <w:rPr>
          <w:lang w:val="fr-CA"/>
        </w:rPr>
        <w:t>  </w:t>
      </w:r>
      <w:r w:rsidRPr="002B72B3">
        <w:rPr>
          <w:i/>
          <w:lang w:val="fr-CA"/>
        </w:rPr>
        <w:t>Assoc</w:t>
      </w:r>
      <w:r>
        <w:rPr>
          <w:i/>
          <w:lang w:val="fr-CA"/>
        </w:rPr>
        <w:t xml:space="preserve">. </w:t>
      </w:r>
      <w:r w:rsidRPr="002B72B3">
        <w:rPr>
          <w:i/>
          <w:lang w:val="fr-CA"/>
        </w:rPr>
        <w:t>des juges de la Cour provinciale du Nouveau-Brunswick c. Nouveau-Brunswick (Ministr</w:t>
      </w:r>
      <w:r>
        <w:rPr>
          <w:i/>
          <w:lang w:val="fr-CA"/>
        </w:rPr>
        <w:t xml:space="preserve">e de la </w:t>
      </w:r>
      <w:r w:rsidRPr="002B72B3">
        <w:rPr>
          <w:i/>
          <w:lang w:val="fr-CA"/>
        </w:rPr>
        <w:t>Justice); Assoc</w:t>
      </w:r>
      <w:r>
        <w:rPr>
          <w:i/>
          <w:lang w:val="fr-CA"/>
        </w:rPr>
        <w:t xml:space="preserve">. des juges de l’Ontario c. </w:t>
      </w:r>
      <w:r w:rsidRPr="002B72B3">
        <w:rPr>
          <w:i/>
          <w:lang w:val="fr-CA"/>
        </w:rPr>
        <w:t>Ontario (</w:t>
      </w:r>
      <w:r>
        <w:rPr>
          <w:i/>
          <w:lang w:val="fr-CA"/>
        </w:rPr>
        <w:t>Conseil de gestion); Bodner c</w:t>
      </w:r>
      <w:r w:rsidRPr="002B72B3">
        <w:rPr>
          <w:i/>
          <w:lang w:val="fr-CA"/>
        </w:rPr>
        <w:t xml:space="preserve">. Alberta; Conférence des juges du Québec </w:t>
      </w:r>
      <w:r>
        <w:rPr>
          <w:i/>
          <w:lang w:val="fr-CA"/>
        </w:rPr>
        <w:t>c</w:t>
      </w:r>
      <w:r w:rsidRPr="002B72B3">
        <w:rPr>
          <w:i/>
          <w:lang w:val="fr-CA"/>
        </w:rPr>
        <w:t>. Qu</w:t>
      </w:r>
      <w:r>
        <w:rPr>
          <w:i/>
          <w:lang w:val="fr-CA"/>
        </w:rPr>
        <w:t>é</w:t>
      </w:r>
      <w:r w:rsidRPr="002B72B3">
        <w:rPr>
          <w:i/>
          <w:lang w:val="fr-CA"/>
        </w:rPr>
        <w:t>bec (</w:t>
      </w:r>
      <w:r>
        <w:rPr>
          <w:i/>
          <w:lang w:val="fr-CA"/>
        </w:rPr>
        <w:t>Procureur général</w:t>
      </w:r>
      <w:r w:rsidRPr="002B72B3">
        <w:rPr>
          <w:i/>
          <w:lang w:val="fr-CA"/>
        </w:rPr>
        <w:t xml:space="preserve">); Minc </w:t>
      </w:r>
      <w:r>
        <w:rPr>
          <w:i/>
          <w:lang w:val="fr-CA"/>
        </w:rPr>
        <w:t>c</w:t>
      </w:r>
      <w:r w:rsidRPr="002B72B3">
        <w:rPr>
          <w:i/>
          <w:lang w:val="fr-CA"/>
        </w:rPr>
        <w:t>. Qu</w:t>
      </w:r>
      <w:r>
        <w:rPr>
          <w:i/>
          <w:lang w:val="fr-CA"/>
        </w:rPr>
        <w:t>é</w:t>
      </w:r>
      <w:r w:rsidRPr="002B72B3">
        <w:rPr>
          <w:i/>
          <w:lang w:val="fr-CA"/>
        </w:rPr>
        <w:t>bec (</w:t>
      </w:r>
      <w:r>
        <w:rPr>
          <w:i/>
          <w:lang w:val="fr-CA"/>
        </w:rPr>
        <w:t>Procureur général</w:t>
      </w:r>
      <w:r w:rsidRPr="002B72B3">
        <w:rPr>
          <w:i/>
          <w:lang w:val="fr-CA"/>
        </w:rPr>
        <w:t>)</w:t>
      </w:r>
      <w:r w:rsidRPr="002B72B3">
        <w:rPr>
          <w:lang w:val="fr-CA"/>
        </w:rPr>
        <w:t>, 2005 CSC 44, [2005] 2 R.C.S. 286.</w:t>
      </w:r>
    </w:p>
  </w:footnote>
  <w:footnote w:id="2">
    <w:p w14:paraId="30E1248D" w14:textId="77777777" w:rsidR="00B3086A" w:rsidRPr="00497FC3" w:rsidRDefault="00B3086A" w:rsidP="00B3086A">
      <w:pPr>
        <w:pStyle w:val="FootnoteText"/>
        <w:rPr>
          <w:lang w:val="fr-CA"/>
        </w:rPr>
      </w:pPr>
      <w:r w:rsidRPr="00AA06A5">
        <w:rPr>
          <w:rStyle w:val="FootnoteReference"/>
        </w:rPr>
        <w:footnoteRef/>
      </w:r>
      <w:r>
        <w:rPr>
          <w:lang w:val="fr-CA"/>
        </w:rPr>
        <w:t>  </w:t>
      </w:r>
      <w:r w:rsidRPr="006C523B">
        <w:rPr>
          <w:lang w:val="fr-CA"/>
        </w:rPr>
        <w:t xml:space="preserve">En Nouvelle-Écosse, les </w:t>
      </w:r>
      <w:r>
        <w:rPr>
          <w:lang w:val="fr-CA"/>
        </w:rPr>
        <w:t xml:space="preserve">postes </w:t>
      </w:r>
      <w:r w:rsidRPr="006C523B">
        <w:rPr>
          <w:lang w:val="fr-CA"/>
        </w:rPr>
        <w:t xml:space="preserve">de procureur général et de ministre de la Justice sont détenus par la même personne : </w:t>
      </w:r>
      <w:r w:rsidRPr="006C523B">
        <w:rPr>
          <w:i/>
          <w:lang w:val="fr-CA"/>
        </w:rPr>
        <w:t>Public Service Act</w:t>
      </w:r>
      <w:r>
        <w:rPr>
          <w:lang w:val="fr-CA"/>
        </w:rPr>
        <w:t>, R.S.N.S. 1989, c. 376, art. </w:t>
      </w:r>
      <w:r w:rsidRPr="006C523B">
        <w:rPr>
          <w:lang w:val="fr-CA"/>
        </w:rPr>
        <w:t xml:space="preserve">29. La </w:t>
      </w:r>
      <w:r w:rsidRPr="006C523B">
        <w:rPr>
          <w:i/>
          <w:lang w:val="fr-CA"/>
        </w:rPr>
        <w:t xml:space="preserve">Provincial Court Act </w:t>
      </w:r>
      <w:r w:rsidRPr="006C523B">
        <w:rPr>
          <w:lang w:val="fr-CA"/>
        </w:rPr>
        <w:t>emplo</w:t>
      </w:r>
      <w:r>
        <w:rPr>
          <w:lang w:val="fr-CA"/>
        </w:rPr>
        <w:t>ie le terme « </w:t>
      </w:r>
      <w:r w:rsidRPr="006C523B">
        <w:rPr>
          <w:i/>
          <w:lang w:val="fr-CA"/>
        </w:rPr>
        <w:t>Governor in Council</w:t>
      </w:r>
      <w:r>
        <w:rPr>
          <w:lang w:val="fr-CA"/>
        </w:rPr>
        <w:t> </w:t>
      </w:r>
      <w:r w:rsidRPr="006C523B">
        <w:rPr>
          <w:lang w:val="fr-CA"/>
        </w:rPr>
        <w:t>» (gouv</w:t>
      </w:r>
      <w:r>
        <w:rPr>
          <w:lang w:val="fr-CA"/>
        </w:rPr>
        <w:t>erneur en conseil), que l’al. </w:t>
      </w:r>
      <w:r w:rsidRPr="006C523B">
        <w:rPr>
          <w:lang w:val="fr-CA"/>
        </w:rPr>
        <w:t>7(1)</w:t>
      </w:r>
      <w:r>
        <w:rPr>
          <w:lang w:val="fr-CA"/>
        </w:rPr>
        <w:t>(q)</w:t>
      </w:r>
      <w:r w:rsidRPr="006C523B">
        <w:rPr>
          <w:lang w:val="fr-CA"/>
        </w:rPr>
        <w:t xml:space="preserve"> de l’</w:t>
      </w:r>
      <w:r w:rsidRPr="006C523B">
        <w:rPr>
          <w:i/>
          <w:lang w:val="fr-CA"/>
        </w:rPr>
        <w:t>Interpretation Act</w:t>
      </w:r>
      <w:r w:rsidRPr="006C523B">
        <w:rPr>
          <w:lang w:val="fr-CA"/>
        </w:rPr>
        <w:t xml:space="preserve">, R.S.N.S. 1989, c. 235, décrit comme étant </w:t>
      </w:r>
      <w:r>
        <w:rPr>
          <w:lang w:val="fr-CA"/>
        </w:rPr>
        <w:t>interchangeable avec le terme « </w:t>
      </w:r>
      <w:r w:rsidRPr="006C523B">
        <w:rPr>
          <w:i/>
          <w:lang w:val="fr-CA"/>
        </w:rPr>
        <w:t>Lieutenant Governor in Council</w:t>
      </w:r>
      <w:r>
        <w:rPr>
          <w:lang w:val="fr-CA"/>
        </w:rPr>
        <w:t> </w:t>
      </w:r>
      <w:r w:rsidRPr="006C523B">
        <w:rPr>
          <w:lang w:val="fr-CA"/>
        </w:rPr>
        <w:t xml:space="preserve">» (lieutenant-gouverneur en conseil). Pour éviter toute confusion avec le </w:t>
      </w:r>
      <w:r>
        <w:rPr>
          <w:lang w:val="fr-CA"/>
        </w:rPr>
        <w:t xml:space="preserve">terme </w:t>
      </w:r>
      <w:r w:rsidRPr="006C523B">
        <w:rPr>
          <w:lang w:val="fr-CA"/>
        </w:rPr>
        <w:t xml:space="preserve">gouverneur </w:t>
      </w:r>
      <w:r>
        <w:rPr>
          <w:lang w:val="fr-CA"/>
        </w:rPr>
        <w:t xml:space="preserve">général </w:t>
      </w:r>
      <w:r w:rsidRPr="006C523B">
        <w:rPr>
          <w:lang w:val="fr-CA"/>
        </w:rPr>
        <w:t>en c</w:t>
      </w:r>
      <w:r>
        <w:rPr>
          <w:lang w:val="fr-CA"/>
        </w:rPr>
        <w:t>onseil, habituellement appelé « gouverneur en conseil </w:t>
      </w:r>
      <w:r w:rsidRPr="006C523B">
        <w:rPr>
          <w:lang w:val="fr-CA"/>
        </w:rPr>
        <w:t xml:space="preserve">» </w:t>
      </w:r>
      <w:r>
        <w:rPr>
          <w:lang w:val="fr-CA"/>
        </w:rPr>
        <w:t xml:space="preserve">en droit </w:t>
      </w:r>
      <w:r w:rsidRPr="006C523B">
        <w:rPr>
          <w:lang w:val="fr-CA"/>
        </w:rPr>
        <w:t xml:space="preserve">fédéral, et pour veiller à ce que les lecteurs des autres provinces comprennent plus aisément les présents motifs, je </w:t>
      </w:r>
      <w:r>
        <w:rPr>
          <w:lang w:val="fr-CA"/>
        </w:rPr>
        <w:t xml:space="preserve">vais utiliser le terme </w:t>
      </w:r>
      <w:r w:rsidRPr="006C523B">
        <w:rPr>
          <w:lang w:val="fr-CA"/>
        </w:rPr>
        <w:t xml:space="preserve">lieutenant-gouverneur en conseil </w:t>
      </w:r>
      <w:r>
        <w:rPr>
          <w:lang w:val="fr-CA"/>
        </w:rPr>
        <w:t>dans ceux-ci</w:t>
      </w:r>
      <w:r w:rsidRPr="006C523B">
        <w:rPr>
          <w:lang w:val="fr-CA"/>
        </w:rPr>
        <w:t>.</w:t>
      </w:r>
    </w:p>
  </w:footnote>
  <w:footnote w:id="3">
    <w:p w14:paraId="4844070B" w14:textId="039FB398" w:rsidR="00B3086A" w:rsidRPr="00873DC1" w:rsidRDefault="00B3086A" w:rsidP="00B3086A">
      <w:pPr>
        <w:pStyle w:val="FootnoteText"/>
        <w:rPr>
          <w:lang w:val="fr-CA"/>
        </w:rPr>
      </w:pPr>
      <w:r>
        <w:rPr>
          <w:rStyle w:val="FootnoteReference"/>
        </w:rPr>
        <w:footnoteRef/>
      </w:r>
      <w:r>
        <w:rPr>
          <w:lang w:val="fr-CA"/>
        </w:rPr>
        <w:t>  D</w:t>
      </w:r>
      <w:r w:rsidRPr="00873DC1">
        <w:rPr>
          <w:lang w:val="fr-CA"/>
        </w:rPr>
        <w:t>ans sa réponse, préparée quelques mois apr</w:t>
      </w:r>
      <w:r>
        <w:rPr>
          <w:lang w:val="fr-CA"/>
        </w:rPr>
        <w:t>ès le rapport de la commission, l</w:t>
      </w:r>
      <w:r w:rsidRPr="00873DC1">
        <w:rPr>
          <w:lang w:val="fr-CA"/>
        </w:rPr>
        <w:t xml:space="preserve">e gouvernement estime </w:t>
      </w:r>
      <w:r>
        <w:rPr>
          <w:lang w:val="fr-CA"/>
        </w:rPr>
        <w:t>que la recommandation de la c</w:t>
      </w:r>
      <w:r w:rsidRPr="00873DC1">
        <w:rPr>
          <w:lang w:val="fr-CA"/>
        </w:rPr>
        <w:t>ommission</w:t>
      </w:r>
      <w:r>
        <w:rPr>
          <w:lang w:val="fr-CA"/>
        </w:rPr>
        <w:t xml:space="preserve"> se traduirait par une augmentation d’à peu près 9,5 </w:t>
      </w:r>
      <w:r w:rsidR="00E45F84">
        <w:rPr>
          <w:lang w:val="fr-CA"/>
        </w:rPr>
        <w:t>p. 100</w:t>
      </w:r>
      <w:r>
        <w:rPr>
          <w:lang w:val="fr-CA"/>
        </w:rPr>
        <w:t xml:space="preserve"> : d.a., vol. 2, onglet 2A, p. 7. Si l’on avait donné effet à la recommandation, la hausse réelle aurait été inférieure de 0,6 </w:t>
      </w:r>
      <w:r w:rsidR="00E45F84">
        <w:rPr>
          <w:lang w:val="fr-CA"/>
        </w:rPr>
        <w:t>p. 100</w:t>
      </w:r>
      <w:r>
        <w:rPr>
          <w:lang w:val="fr-CA"/>
        </w:rPr>
        <w:t>, étant donné que le taux d’</w:t>
      </w:r>
      <w:r w:rsidRPr="00873DC1">
        <w:rPr>
          <w:lang w:val="fr-CA"/>
        </w:rPr>
        <w:t xml:space="preserve">inflation </w:t>
      </w:r>
      <w:r>
        <w:rPr>
          <w:lang w:val="fr-CA"/>
        </w:rPr>
        <w:t xml:space="preserve">a été </w:t>
      </w:r>
      <w:r w:rsidRPr="00873DC1">
        <w:rPr>
          <w:lang w:val="fr-CA"/>
        </w:rPr>
        <w:t>l</w:t>
      </w:r>
      <w:r>
        <w:rPr>
          <w:lang w:val="fr-CA"/>
        </w:rPr>
        <w:t xml:space="preserve">égèrement inférieur au taux de 2 </w:t>
      </w:r>
      <w:r w:rsidR="00E45F84">
        <w:rPr>
          <w:lang w:val="fr-CA"/>
        </w:rPr>
        <w:t>p. 100</w:t>
      </w:r>
      <w:r>
        <w:rPr>
          <w:lang w:val="fr-CA"/>
        </w:rPr>
        <w:t xml:space="preserve"> par année envisagé par le gouvernement : voir la méthologie décrite par la commission dans le document </w:t>
      </w:r>
      <w:r w:rsidRPr="00171A7E">
        <w:rPr>
          <w:i/>
          <w:lang w:val="fr-CA"/>
        </w:rPr>
        <w:t>Report and Recommendations for the Period April 1, 2017 to March 31, 2020</w:t>
      </w:r>
      <w:r w:rsidRPr="00171A7E">
        <w:rPr>
          <w:lang w:val="fr-CA"/>
        </w:rPr>
        <w:t xml:space="preserve">, </w:t>
      </w:r>
      <w:r>
        <w:rPr>
          <w:lang w:val="fr-CA"/>
        </w:rPr>
        <w:t xml:space="preserve">au par. </w:t>
      </w:r>
      <w:r w:rsidRPr="00171A7E">
        <w:rPr>
          <w:lang w:val="fr-CA"/>
        </w:rPr>
        <w:t>53</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D39A" w14:textId="77777777" w:rsidR="00D94E91" w:rsidRDefault="00D94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A9BB2"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F215" w14:textId="77777777" w:rsidR="00D94E91" w:rsidRDefault="00D94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0A47"/>
    <w:multiLevelType w:val="hybridMultilevel"/>
    <w:tmpl w:val="EB12B3AA"/>
    <w:lvl w:ilvl="0" w:tplc="4BAC643C">
      <w:start w:val="1"/>
      <w:numFmt w:val="decimal"/>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E0325A"/>
    <w:multiLevelType w:val="hybridMultilevel"/>
    <w:tmpl w:val="D7A6B0BE"/>
    <w:lvl w:ilvl="0" w:tplc="4BAC643C">
      <w:start w:val="1"/>
      <w:numFmt w:val="decimal"/>
      <w:lvlText w:val="(%1)"/>
      <w:lvlJc w:val="left"/>
      <w:pPr>
        <w:ind w:left="1980" w:hanging="360"/>
      </w:pPr>
      <w:rPr>
        <w:rFonts w:hint="default"/>
      </w:r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0A5979"/>
    <w:multiLevelType w:val="hybridMultilevel"/>
    <w:tmpl w:val="60ECB7F8"/>
    <w:lvl w:ilvl="0" w:tplc="0C0C000F">
      <w:start w:val="1"/>
      <w:numFmt w:val="decimal"/>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8" w15:restartNumberingAfterBreak="0">
    <w:nsid w:val="54283EE8"/>
    <w:multiLevelType w:val="multilevel"/>
    <w:tmpl w:val="022A49D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ascii="Times New Roman" w:eastAsiaTheme="minorEastAsia" w:hAnsi="Times New Roman"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5"/>
  </w:num>
  <w:num w:numId="5">
    <w:abstractNumId w:val="6"/>
  </w:num>
  <w:num w:numId="6">
    <w:abstractNumId w:val="8"/>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lvlOverride w:ilvl="0">
      <w:startOverride w:val="1"/>
    </w:lvlOverride>
    <w:lvlOverride w:ilvl="1">
      <w:startOverride w:val="1"/>
    </w:lvlOverride>
    <w:lvlOverride w:ilvl="2">
      <w:startOverride w:val="1"/>
    </w:lvlOverride>
    <w:lvlOverride w:ilvl="3">
      <w:startOverride w:val="2"/>
    </w:lvlOverride>
  </w:num>
  <w:num w:numId="10">
    <w:abstractNumId w:val="8"/>
    <w:lvlOverride w:ilvl="0">
      <w:startOverride w:val="1"/>
    </w:lvlOverride>
    <w:lvlOverride w:ilvl="1">
      <w:startOverride w:val="1"/>
    </w:lvlOverride>
    <w:lvlOverride w:ilvl="2">
      <w:startOverride w:val="1"/>
    </w:lvlOverride>
    <w:lvlOverride w:ilvl="3">
      <w:startOverride w:val="2"/>
    </w:lvlOverride>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E2F"/>
    <w:rsid w:val="00013210"/>
    <w:rsid w:val="00023FC7"/>
    <w:rsid w:val="00025198"/>
    <w:rsid w:val="000264B9"/>
    <w:rsid w:val="000578A3"/>
    <w:rsid w:val="000613BD"/>
    <w:rsid w:val="000648CC"/>
    <w:rsid w:val="00076BAB"/>
    <w:rsid w:val="000A5E0A"/>
    <w:rsid w:val="000B4456"/>
    <w:rsid w:val="000C59B8"/>
    <w:rsid w:val="000C6AF0"/>
    <w:rsid w:val="000D0A77"/>
    <w:rsid w:val="000D515F"/>
    <w:rsid w:val="000F7993"/>
    <w:rsid w:val="00104F33"/>
    <w:rsid w:val="00111DE2"/>
    <w:rsid w:val="00116B38"/>
    <w:rsid w:val="00122193"/>
    <w:rsid w:val="00135406"/>
    <w:rsid w:val="00135972"/>
    <w:rsid w:val="001426A9"/>
    <w:rsid w:val="00154D7C"/>
    <w:rsid w:val="00156F65"/>
    <w:rsid w:val="001570B0"/>
    <w:rsid w:val="0015752C"/>
    <w:rsid w:val="00157737"/>
    <w:rsid w:val="00165277"/>
    <w:rsid w:val="00170592"/>
    <w:rsid w:val="001720F7"/>
    <w:rsid w:val="00195D83"/>
    <w:rsid w:val="001A00C1"/>
    <w:rsid w:val="001B33E0"/>
    <w:rsid w:val="001B4573"/>
    <w:rsid w:val="001C1346"/>
    <w:rsid w:val="001C779F"/>
    <w:rsid w:val="001D1607"/>
    <w:rsid w:val="001D2AC1"/>
    <w:rsid w:val="001D4E88"/>
    <w:rsid w:val="001E32D2"/>
    <w:rsid w:val="001F0C3A"/>
    <w:rsid w:val="001F468F"/>
    <w:rsid w:val="00207F59"/>
    <w:rsid w:val="00210F70"/>
    <w:rsid w:val="0021166E"/>
    <w:rsid w:val="00220FC2"/>
    <w:rsid w:val="002222F4"/>
    <w:rsid w:val="00224FC0"/>
    <w:rsid w:val="00225EA4"/>
    <w:rsid w:val="00226EAF"/>
    <w:rsid w:val="00231F3A"/>
    <w:rsid w:val="002406EE"/>
    <w:rsid w:val="00243EC8"/>
    <w:rsid w:val="002578B0"/>
    <w:rsid w:val="00257A27"/>
    <w:rsid w:val="00270D93"/>
    <w:rsid w:val="002745CC"/>
    <w:rsid w:val="002B6FBE"/>
    <w:rsid w:val="002B7924"/>
    <w:rsid w:val="002C10A6"/>
    <w:rsid w:val="002D28C3"/>
    <w:rsid w:val="002D39A4"/>
    <w:rsid w:val="002D6D9E"/>
    <w:rsid w:val="002E6705"/>
    <w:rsid w:val="0030329A"/>
    <w:rsid w:val="00310040"/>
    <w:rsid w:val="0031086F"/>
    <w:rsid w:val="0031414C"/>
    <w:rsid w:val="00314E01"/>
    <w:rsid w:val="0032089D"/>
    <w:rsid w:val="003310DE"/>
    <w:rsid w:val="003323B0"/>
    <w:rsid w:val="003360B5"/>
    <w:rsid w:val="00337655"/>
    <w:rsid w:val="00340A49"/>
    <w:rsid w:val="0035169A"/>
    <w:rsid w:val="0035259D"/>
    <w:rsid w:val="00364B18"/>
    <w:rsid w:val="00364D7F"/>
    <w:rsid w:val="00366B79"/>
    <w:rsid w:val="0038179A"/>
    <w:rsid w:val="003A125D"/>
    <w:rsid w:val="003A4C70"/>
    <w:rsid w:val="003A5081"/>
    <w:rsid w:val="003B215F"/>
    <w:rsid w:val="003C799C"/>
    <w:rsid w:val="003D0399"/>
    <w:rsid w:val="003E1C71"/>
    <w:rsid w:val="003E71AB"/>
    <w:rsid w:val="003F327B"/>
    <w:rsid w:val="00406166"/>
    <w:rsid w:val="0040704B"/>
    <w:rsid w:val="00410A55"/>
    <w:rsid w:val="00411300"/>
    <w:rsid w:val="00413F17"/>
    <w:rsid w:val="00415417"/>
    <w:rsid w:val="00417DDD"/>
    <w:rsid w:val="00426659"/>
    <w:rsid w:val="00433672"/>
    <w:rsid w:val="00450352"/>
    <w:rsid w:val="00454BDB"/>
    <w:rsid w:val="00465132"/>
    <w:rsid w:val="00473095"/>
    <w:rsid w:val="00480C90"/>
    <w:rsid w:val="0048396F"/>
    <w:rsid w:val="00493C18"/>
    <w:rsid w:val="004943DD"/>
    <w:rsid w:val="004A464A"/>
    <w:rsid w:val="004A573B"/>
    <w:rsid w:val="004A600C"/>
    <w:rsid w:val="004A6118"/>
    <w:rsid w:val="004C478D"/>
    <w:rsid w:val="004D78FE"/>
    <w:rsid w:val="004D7D95"/>
    <w:rsid w:val="004E2C26"/>
    <w:rsid w:val="004F1C71"/>
    <w:rsid w:val="00500A99"/>
    <w:rsid w:val="005125A8"/>
    <w:rsid w:val="00517549"/>
    <w:rsid w:val="00520ABC"/>
    <w:rsid w:val="00521AE8"/>
    <w:rsid w:val="00527180"/>
    <w:rsid w:val="00527633"/>
    <w:rsid w:val="005335AD"/>
    <w:rsid w:val="00554C11"/>
    <w:rsid w:val="00555291"/>
    <w:rsid w:val="005578B7"/>
    <w:rsid w:val="00566AD1"/>
    <w:rsid w:val="00583EDE"/>
    <w:rsid w:val="005A5905"/>
    <w:rsid w:val="005A6079"/>
    <w:rsid w:val="005D434F"/>
    <w:rsid w:val="005E4698"/>
    <w:rsid w:val="005E5CB2"/>
    <w:rsid w:val="00602746"/>
    <w:rsid w:val="00603924"/>
    <w:rsid w:val="00610539"/>
    <w:rsid w:val="00613969"/>
    <w:rsid w:val="00625C35"/>
    <w:rsid w:val="00644D1D"/>
    <w:rsid w:val="00647E49"/>
    <w:rsid w:val="00651779"/>
    <w:rsid w:val="00656313"/>
    <w:rsid w:val="006565F4"/>
    <w:rsid w:val="006709B9"/>
    <w:rsid w:val="00674C47"/>
    <w:rsid w:val="00681B70"/>
    <w:rsid w:val="0068464E"/>
    <w:rsid w:val="00684EEA"/>
    <w:rsid w:val="0069689B"/>
    <w:rsid w:val="006B0417"/>
    <w:rsid w:val="006B5FF5"/>
    <w:rsid w:val="006C47DC"/>
    <w:rsid w:val="006E7E01"/>
    <w:rsid w:val="006F2B02"/>
    <w:rsid w:val="006F30AF"/>
    <w:rsid w:val="00701759"/>
    <w:rsid w:val="007025F2"/>
    <w:rsid w:val="007030AB"/>
    <w:rsid w:val="00705C15"/>
    <w:rsid w:val="007110F6"/>
    <w:rsid w:val="007208D1"/>
    <w:rsid w:val="0073316E"/>
    <w:rsid w:val="00744518"/>
    <w:rsid w:val="00747288"/>
    <w:rsid w:val="00747DD3"/>
    <w:rsid w:val="007549C8"/>
    <w:rsid w:val="00761EA6"/>
    <w:rsid w:val="00766D14"/>
    <w:rsid w:val="00767A0F"/>
    <w:rsid w:val="007745F6"/>
    <w:rsid w:val="00791272"/>
    <w:rsid w:val="007A05F6"/>
    <w:rsid w:val="007B6F4A"/>
    <w:rsid w:val="007E1C47"/>
    <w:rsid w:val="007E337A"/>
    <w:rsid w:val="007E5C70"/>
    <w:rsid w:val="007F04CD"/>
    <w:rsid w:val="007F2FF5"/>
    <w:rsid w:val="007F3F08"/>
    <w:rsid w:val="00804CC6"/>
    <w:rsid w:val="00817190"/>
    <w:rsid w:val="008260E2"/>
    <w:rsid w:val="008322BD"/>
    <w:rsid w:val="00834F73"/>
    <w:rsid w:val="008374E8"/>
    <w:rsid w:val="00845C60"/>
    <w:rsid w:val="00864C8A"/>
    <w:rsid w:val="00864CF8"/>
    <w:rsid w:val="00874914"/>
    <w:rsid w:val="00891422"/>
    <w:rsid w:val="00892E1A"/>
    <w:rsid w:val="0089562D"/>
    <w:rsid w:val="008B660A"/>
    <w:rsid w:val="008C01DA"/>
    <w:rsid w:val="008C030A"/>
    <w:rsid w:val="008F2674"/>
    <w:rsid w:val="008F78E9"/>
    <w:rsid w:val="0090156C"/>
    <w:rsid w:val="0090666F"/>
    <w:rsid w:val="009179F9"/>
    <w:rsid w:val="00917C7A"/>
    <w:rsid w:val="009230A3"/>
    <w:rsid w:val="00933E5E"/>
    <w:rsid w:val="00935218"/>
    <w:rsid w:val="00937C52"/>
    <w:rsid w:val="009403F3"/>
    <w:rsid w:val="00946BB5"/>
    <w:rsid w:val="009555B7"/>
    <w:rsid w:val="009567AA"/>
    <w:rsid w:val="009602C9"/>
    <w:rsid w:val="00967374"/>
    <w:rsid w:val="00972AA0"/>
    <w:rsid w:val="009A343A"/>
    <w:rsid w:val="009B2F23"/>
    <w:rsid w:val="009B4113"/>
    <w:rsid w:val="009B57B3"/>
    <w:rsid w:val="009D2920"/>
    <w:rsid w:val="009D5AEB"/>
    <w:rsid w:val="009F0E33"/>
    <w:rsid w:val="009F77BD"/>
    <w:rsid w:val="00A149DF"/>
    <w:rsid w:val="00A14D52"/>
    <w:rsid w:val="00A1755C"/>
    <w:rsid w:val="00A21B90"/>
    <w:rsid w:val="00A22AAC"/>
    <w:rsid w:val="00A41805"/>
    <w:rsid w:val="00A51882"/>
    <w:rsid w:val="00A52AFB"/>
    <w:rsid w:val="00A548CB"/>
    <w:rsid w:val="00A5521C"/>
    <w:rsid w:val="00A56AE2"/>
    <w:rsid w:val="00A574FD"/>
    <w:rsid w:val="00A643E7"/>
    <w:rsid w:val="00A72FBD"/>
    <w:rsid w:val="00A73C38"/>
    <w:rsid w:val="00A7794D"/>
    <w:rsid w:val="00A83F5E"/>
    <w:rsid w:val="00A921A7"/>
    <w:rsid w:val="00AB670D"/>
    <w:rsid w:val="00AB718B"/>
    <w:rsid w:val="00AF03C5"/>
    <w:rsid w:val="00B000D8"/>
    <w:rsid w:val="00B00F75"/>
    <w:rsid w:val="00B12982"/>
    <w:rsid w:val="00B12B26"/>
    <w:rsid w:val="00B145B6"/>
    <w:rsid w:val="00B279EB"/>
    <w:rsid w:val="00B3086A"/>
    <w:rsid w:val="00B50C81"/>
    <w:rsid w:val="00B557F8"/>
    <w:rsid w:val="00B80CCB"/>
    <w:rsid w:val="00B815FC"/>
    <w:rsid w:val="00B91D20"/>
    <w:rsid w:val="00B92567"/>
    <w:rsid w:val="00B93FBC"/>
    <w:rsid w:val="00BA7DA0"/>
    <w:rsid w:val="00BB2EE4"/>
    <w:rsid w:val="00BB4C92"/>
    <w:rsid w:val="00BC2108"/>
    <w:rsid w:val="00BD0D78"/>
    <w:rsid w:val="00BD0E9E"/>
    <w:rsid w:val="00BD1BEC"/>
    <w:rsid w:val="00BD32FF"/>
    <w:rsid w:val="00BF6FE9"/>
    <w:rsid w:val="00C02092"/>
    <w:rsid w:val="00C24D91"/>
    <w:rsid w:val="00C26DB2"/>
    <w:rsid w:val="00C30783"/>
    <w:rsid w:val="00C53F14"/>
    <w:rsid w:val="00C600CF"/>
    <w:rsid w:val="00C6084F"/>
    <w:rsid w:val="00C62A66"/>
    <w:rsid w:val="00C66359"/>
    <w:rsid w:val="00C71458"/>
    <w:rsid w:val="00C73440"/>
    <w:rsid w:val="00C75822"/>
    <w:rsid w:val="00C77613"/>
    <w:rsid w:val="00C828E7"/>
    <w:rsid w:val="00C82A84"/>
    <w:rsid w:val="00C84F4A"/>
    <w:rsid w:val="00C86719"/>
    <w:rsid w:val="00C921DD"/>
    <w:rsid w:val="00CA6391"/>
    <w:rsid w:val="00CC225A"/>
    <w:rsid w:val="00CD2452"/>
    <w:rsid w:val="00CD5592"/>
    <w:rsid w:val="00CE036E"/>
    <w:rsid w:val="00CE3171"/>
    <w:rsid w:val="00CF1601"/>
    <w:rsid w:val="00D0149E"/>
    <w:rsid w:val="00D0172F"/>
    <w:rsid w:val="00D01E33"/>
    <w:rsid w:val="00D068A7"/>
    <w:rsid w:val="00D17476"/>
    <w:rsid w:val="00D17B0E"/>
    <w:rsid w:val="00D32086"/>
    <w:rsid w:val="00D37A3F"/>
    <w:rsid w:val="00D4431D"/>
    <w:rsid w:val="00D4667A"/>
    <w:rsid w:val="00D50A59"/>
    <w:rsid w:val="00D54BA7"/>
    <w:rsid w:val="00D57134"/>
    <w:rsid w:val="00D63A1C"/>
    <w:rsid w:val="00D7516F"/>
    <w:rsid w:val="00D848FA"/>
    <w:rsid w:val="00D94E91"/>
    <w:rsid w:val="00D95F8E"/>
    <w:rsid w:val="00DA0590"/>
    <w:rsid w:val="00DC1739"/>
    <w:rsid w:val="00DC1788"/>
    <w:rsid w:val="00DE319C"/>
    <w:rsid w:val="00DF0CA8"/>
    <w:rsid w:val="00DF2B48"/>
    <w:rsid w:val="00DF49A7"/>
    <w:rsid w:val="00E009A6"/>
    <w:rsid w:val="00E055B2"/>
    <w:rsid w:val="00E07EE2"/>
    <w:rsid w:val="00E07FD1"/>
    <w:rsid w:val="00E24573"/>
    <w:rsid w:val="00E25E1E"/>
    <w:rsid w:val="00E27EE7"/>
    <w:rsid w:val="00E35404"/>
    <w:rsid w:val="00E45109"/>
    <w:rsid w:val="00E45F84"/>
    <w:rsid w:val="00E47B7A"/>
    <w:rsid w:val="00E513C7"/>
    <w:rsid w:val="00E56A44"/>
    <w:rsid w:val="00E57CDE"/>
    <w:rsid w:val="00E60269"/>
    <w:rsid w:val="00E7029A"/>
    <w:rsid w:val="00E72C7C"/>
    <w:rsid w:val="00E842F9"/>
    <w:rsid w:val="00E97830"/>
    <w:rsid w:val="00EE0830"/>
    <w:rsid w:val="00EE6CB8"/>
    <w:rsid w:val="00EF0683"/>
    <w:rsid w:val="00F0070C"/>
    <w:rsid w:val="00F00EB7"/>
    <w:rsid w:val="00F05283"/>
    <w:rsid w:val="00F147EB"/>
    <w:rsid w:val="00F36AB6"/>
    <w:rsid w:val="00F37A09"/>
    <w:rsid w:val="00F409CE"/>
    <w:rsid w:val="00F4379D"/>
    <w:rsid w:val="00F50D2D"/>
    <w:rsid w:val="00F56C8B"/>
    <w:rsid w:val="00F62639"/>
    <w:rsid w:val="00F66810"/>
    <w:rsid w:val="00F802CC"/>
    <w:rsid w:val="00F84DF4"/>
    <w:rsid w:val="00F85C97"/>
    <w:rsid w:val="00FA7219"/>
    <w:rsid w:val="00FB37D2"/>
    <w:rsid w:val="00FC4EFB"/>
    <w:rsid w:val="00FD068D"/>
    <w:rsid w:val="00FD4F28"/>
    <w:rsid w:val="00FE5D64"/>
    <w:rsid w:val="00FE6784"/>
    <w:rsid w:val="00FE7A8B"/>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DB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6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F05283"/>
  </w:style>
  <w:style w:type="character" w:styleId="Hyperlink">
    <w:name w:val="Hyperlink"/>
    <w:basedOn w:val="DefaultParagraphFont"/>
    <w:uiPriority w:val="99"/>
    <w:unhideWhenUsed/>
    <w:rsid w:val="00D848FA"/>
    <w:rPr>
      <w:color w:val="0000FF" w:themeColor="hyperlink"/>
      <w:u w:val="single"/>
    </w:rPr>
  </w:style>
  <w:style w:type="character" w:styleId="CommentReference">
    <w:name w:val="annotation reference"/>
    <w:basedOn w:val="DefaultParagraphFont"/>
    <w:uiPriority w:val="99"/>
    <w:semiHidden/>
    <w:unhideWhenUsed/>
    <w:rsid w:val="005578B7"/>
    <w:rPr>
      <w:sz w:val="16"/>
      <w:szCs w:val="16"/>
    </w:rPr>
  </w:style>
  <w:style w:type="paragraph" w:styleId="CommentText">
    <w:name w:val="annotation text"/>
    <w:basedOn w:val="Normal"/>
    <w:link w:val="CommentTextChar"/>
    <w:uiPriority w:val="99"/>
    <w:semiHidden/>
    <w:unhideWhenUsed/>
    <w:rsid w:val="005578B7"/>
    <w:rPr>
      <w:sz w:val="20"/>
    </w:rPr>
  </w:style>
  <w:style w:type="character" w:customStyle="1" w:styleId="CommentTextChar">
    <w:name w:val="Comment Text Char"/>
    <w:basedOn w:val="DefaultParagraphFont"/>
    <w:link w:val="CommentText"/>
    <w:uiPriority w:val="99"/>
    <w:semiHidden/>
    <w:rsid w:val="005578B7"/>
  </w:style>
  <w:style w:type="paragraph" w:styleId="CommentSubject">
    <w:name w:val="annotation subject"/>
    <w:basedOn w:val="CommentText"/>
    <w:next w:val="CommentText"/>
    <w:link w:val="CommentSubjectChar"/>
    <w:uiPriority w:val="99"/>
    <w:semiHidden/>
    <w:unhideWhenUsed/>
    <w:rsid w:val="005578B7"/>
    <w:rPr>
      <w:b/>
      <w:bCs/>
    </w:rPr>
  </w:style>
  <w:style w:type="character" w:customStyle="1" w:styleId="CommentSubjectChar">
    <w:name w:val="Comment Subject Char"/>
    <w:basedOn w:val="CommentTextChar"/>
    <w:link w:val="CommentSubject"/>
    <w:uiPriority w:val="99"/>
    <w:semiHidden/>
    <w:rsid w:val="005578B7"/>
    <w:rPr>
      <w:b/>
      <w:bCs/>
    </w:rPr>
  </w:style>
  <w:style w:type="character" w:styleId="FollowedHyperlink">
    <w:name w:val="FollowedHyperlink"/>
    <w:basedOn w:val="DefaultParagraphFont"/>
    <w:uiPriority w:val="99"/>
    <w:semiHidden/>
    <w:unhideWhenUsed/>
    <w:rsid w:val="00364D7F"/>
    <w:rPr>
      <w:color w:val="800080" w:themeColor="followedHyperlink"/>
      <w:u w:val="single"/>
    </w:rPr>
  </w:style>
  <w:style w:type="paragraph" w:customStyle="1" w:styleId="SCCLsocOtherPartyRoleSeparator">
    <w:name w:val="SCC.Lsoc.OtherPartyRoleSeparator"/>
    <w:basedOn w:val="Normal"/>
    <w:next w:val="Normal"/>
    <w:link w:val="SCCLsocOtherPartyRoleSeparatorChar"/>
    <w:rsid w:val="00B3086A"/>
    <w:pPr>
      <w:spacing w:after="480"/>
    </w:pPr>
    <w:rPr>
      <w:rFonts w:eastAsiaTheme="minorHAnsi" w:cstheme="minorBidi"/>
      <w:szCs w:val="22"/>
      <w:lang w:eastAsia="en-US"/>
    </w:rPr>
  </w:style>
  <w:style w:type="paragraph" w:customStyle="1" w:styleId="SCCCoram">
    <w:name w:val="SCC.Coram"/>
    <w:basedOn w:val="Normal"/>
    <w:next w:val="Normal"/>
    <w:link w:val="SCCCoramChar"/>
    <w:rsid w:val="00B3086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3086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3086A"/>
    <w:rPr>
      <w:rFonts w:eastAsiaTheme="minorHAnsi" w:cstheme="minorBidi"/>
      <w:sz w:val="24"/>
      <w:szCs w:val="22"/>
      <w:lang w:eastAsia="en-US"/>
    </w:rPr>
  </w:style>
  <w:style w:type="character" w:customStyle="1" w:styleId="SCCBanSummaryChar">
    <w:name w:val="SCC.BanSummary Char"/>
    <w:basedOn w:val="DefaultParagraphFont"/>
    <w:link w:val="SCCBanSummary"/>
    <w:rsid w:val="00B3086A"/>
    <w:rPr>
      <w:b/>
      <w:sz w:val="24"/>
    </w:rPr>
  </w:style>
  <w:style w:type="table" w:styleId="TableGrid">
    <w:name w:val="Table Grid"/>
    <w:basedOn w:val="TableNormal"/>
    <w:uiPriority w:val="59"/>
    <w:rsid w:val="00B3086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3086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3086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3086A"/>
    <w:pPr>
      <w:tabs>
        <w:tab w:val="left" w:pos="1166"/>
      </w:tabs>
      <w:spacing w:after="480" w:line="480" w:lineRule="auto"/>
    </w:pPr>
    <w:rPr>
      <w:smallCaps/>
      <w:sz w:val="24"/>
      <w:szCs w:val="24"/>
    </w:rPr>
  </w:style>
  <w:style w:type="paragraph" w:customStyle="1" w:styleId="ParaNoNdepar-AltN">
    <w:name w:val="Para. No. / Nº de par. - Alt N"/>
    <w:qFormat/>
    <w:rsid w:val="00B3086A"/>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3086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3086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3086A"/>
    <w:pPr>
      <w:numPr>
        <w:ilvl w:val="2"/>
      </w:numPr>
      <w:outlineLvl w:val="2"/>
    </w:pPr>
  </w:style>
  <w:style w:type="paragraph" w:customStyle="1" w:styleId="Title4LevelTitre4Niveau">
    <w:name w:val="Title 4 Level / Titre 4 Niveau"/>
    <w:basedOn w:val="Title3LevelTitre3Niveau"/>
    <w:next w:val="ParaNoNdepar-AltN"/>
    <w:uiPriority w:val="4"/>
    <w:qFormat/>
    <w:rsid w:val="00B3086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3086A"/>
    <w:pPr>
      <w:numPr>
        <w:ilvl w:val="4"/>
      </w:numPr>
      <w:outlineLvl w:val="4"/>
    </w:pPr>
  </w:style>
  <w:style w:type="paragraph" w:styleId="TOC1">
    <w:name w:val="toc 1"/>
    <w:basedOn w:val="Normal"/>
    <w:next w:val="Normal"/>
    <w:autoRedefine/>
    <w:uiPriority w:val="39"/>
    <w:unhideWhenUsed/>
    <w:rsid w:val="00B3086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3086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3086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3086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3086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3086A"/>
    <w:pPr>
      <w:tabs>
        <w:tab w:val="left" w:pos="2160"/>
        <w:tab w:val="right" w:leader="dot" w:pos="8270"/>
      </w:tabs>
      <w:spacing w:after="100"/>
      <w:ind w:left="1800"/>
    </w:pPr>
    <w:rPr>
      <w:noProof/>
    </w:rPr>
  </w:style>
  <w:style w:type="table" w:customStyle="1" w:styleId="TableGrid1">
    <w:name w:val="Table Grid1"/>
    <w:basedOn w:val="TableNormal"/>
    <w:uiPriority w:val="59"/>
    <w:rsid w:val="00B3086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3086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3086A"/>
    <w:pPr>
      <w:numPr>
        <w:ilvl w:val="5"/>
      </w:numPr>
      <w:outlineLvl w:val="5"/>
    </w:pPr>
    <w:rPr>
      <w:i/>
      <w:u w:val="none"/>
    </w:rPr>
  </w:style>
  <w:style w:type="paragraph" w:styleId="FootnoteText">
    <w:name w:val="footnote text"/>
    <w:basedOn w:val="Normal"/>
    <w:link w:val="FootnoteTextChar"/>
    <w:uiPriority w:val="99"/>
    <w:unhideWhenUsed/>
    <w:rsid w:val="00B3086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3086A"/>
  </w:style>
  <w:style w:type="character" w:styleId="FootnoteReference">
    <w:name w:val="footnote reference"/>
    <w:basedOn w:val="DefaultParagraphFont"/>
    <w:uiPriority w:val="99"/>
    <w:semiHidden/>
    <w:unhideWhenUsed/>
    <w:rsid w:val="00B3086A"/>
    <w:rPr>
      <w:vertAlign w:val="superscript"/>
    </w:rPr>
  </w:style>
  <w:style w:type="paragraph" w:styleId="Revision">
    <w:name w:val="Revision"/>
    <w:hidden/>
    <w:uiPriority w:val="99"/>
    <w:semiHidden/>
    <w:rsid w:val="00B3086A"/>
    <w:rPr>
      <w:sz w:val="24"/>
      <w:szCs w:val="24"/>
    </w:rPr>
  </w:style>
  <w:style w:type="table" w:customStyle="1" w:styleId="TableGrid2">
    <w:name w:val="Table Grid2"/>
    <w:basedOn w:val="TableNormal"/>
    <w:next w:val="TableGrid"/>
    <w:uiPriority w:val="59"/>
    <w:rsid w:val="00B3086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9829</Words>
  <Characters>53889</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2021-05-19T12:03:00Z</dcterms:created>
  <dcterms:modified xsi:type="dcterms:W3CDTF">2023-03-14T18:48:00Z</dcterms:modified>
</cp:coreProperties>
</file>