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92"/>
        <w:gridCol w:w="1696"/>
        <w:gridCol w:w="3553"/>
        <w:gridCol w:w="19"/>
      </w:tblGrid>
      <w:tr w:rsidR="00204144" w:rsidTr="00B0700B">
        <w:trPr>
          <w:trHeight w:val="1786"/>
        </w:trPr>
        <w:tc>
          <w:tcPr>
            <w:tcW w:w="5000" w:type="pct"/>
            <w:gridSpan w:val="4"/>
            <w:hideMark/>
          </w:tcPr>
          <w:p w:rsidR="00204144" w:rsidRDefault="00204144" w:rsidP="00B0700B">
            <w:pPr>
              <w:jc w:val="center"/>
              <w:rPr>
                <w:lang w:val="en-US"/>
              </w:rPr>
            </w:pPr>
            <w:r>
              <w:rPr>
                <w:rFonts w:eastAsia="Calibri"/>
                <w:lang w:val="en-US"/>
              </w:rPr>
              <w:object w:dxaOrig="1248" w:dyaOrig="12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7pt;height:63.95pt" o:ole="">
                  <v:imagedata r:id="rId6" o:title=""/>
                </v:shape>
                <o:OLEObject Type="Embed" ProgID="Presentations.Drawing.15" ShapeID="_x0000_i1025" DrawAspect="Content" ObjectID="_1751725439" r:id="rId7"/>
              </w:object>
            </w:r>
          </w:p>
          <w:p w:rsidR="00204144" w:rsidRDefault="00204144" w:rsidP="00B0700B">
            <w:pPr>
              <w:spacing w:before="120" w:after="100" w:afterAutospacing="1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COUR SUPRÊME DU CANADA</w:t>
            </w:r>
          </w:p>
        </w:tc>
      </w:tr>
      <w:tr w:rsidR="00204144" w:rsidTr="00B0700B">
        <w:trPr>
          <w:gridAfter w:val="1"/>
          <w:wAfter w:w="10" w:type="pct"/>
        </w:trPr>
        <w:tc>
          <w:tcPr>
            <w:tcW w:w="2186" w:type="pct"/>
            <w:tcMar>
              <w:top w:w="284" w:type="dxa"/>
              <w:left w:w="57" w:type="dxa"/>
              <w:bottom w:w="57" w:type="dxa"/>
              <w:right w:w="57" w:type="dxa"/>
            </w:tcMar>
            <w:hideMark/>
          </w:tcPr>
          <w:p w:rsidR="00204144" w:rsidRPr="001D7731" w:rsidRDefault="00204144" w:rsidP="00B0700B">
            <w:pPr>
              <w:spacing w:before="100" w:beforeAutospacing="1"/>
              <w:rPr>
                <w:rFonts w:eastAsia="Calibri"/>
              </w:rPr>
            </w:pPr>
            <w:r w:rsidRPr="001D7731">
              <w:rPr>
                <w:b/>
                <w:smallCaps/>
              </w:rPr>
              <w:t>Référence :</w:t>
            </w:r>
            <w:r w:rsidRPr="001D7731">
              <w:t xml:space="preserve"> R. </w:t>
            </w:r>
            <w:r w:rsidRPr="001D7731">
              <w:rPr>
                <w:i/>
              </w:rPr>
              <w:t xml:space="preserve">c. </w:t>
            </w:r>
            <w:proofErr w:type="spellStart"/>
            <w:r w:rsidRPr="001D7731">
              <w:t>Reilly</w:t>
            </w:r>
            <w:proofErr w:type="spellEnd"/>
            <w:r w:rsidRPr="001D7731">
              <w:t>, 2020 CSC 27</w:t>
            </w:r>
            <w:r>
              <w:t>, [2020] 3 R.C.S. 109</w:t>
            </w:r>
          </w:p>
        </w:tc>
        <w:tc>
          <w:tcPr>
            <w:tcW w:w="906" w:type="pct"/>
          </w:tcPr>
          <w:p w:rsidR="00204144" w:rsidRPr="001D7731" w:rsidRDefault="00204144" w:rsidP="00B0700B">
            <w:pPr>
              <w:rPr>
                <w:b/>
                <w:smallCaps/>
              </w:rPr>
            </w:pPr>
          </w:p>
        </w:tc>
        <w:tc>
          <w:tcPr>
            <w:tcW w:w="1898" w:type="pct"/>
            <w:tcMar>
              <w:top w:w="284" w:type="dxa"/>
              <w:left w:w="57" w:type="dxa"/>
              <w:bottom w:w="57" w:type="dxa"/>
              <w:right w:w="57" w:type="dxa"/>
            </w:tcMar>
            <w:hideMark/>
          </w:tcPr>
          <w:p w:rsidR="00204144" w:rsidRPr="001D7731" w:rsidRDefault="00204144" w:rsidP="00B0700B">
            <w:r w:rsidRPr="001D7731">
              <w:rPr>
                <w:b/>
                <w:smallCaps/>
              </w:rPr>
              <w:t>Appel entendu :</w:t>
            </w:r>
            <w:r w:rsidRPr="001D7731">
              <w:t xml:space="preserve"> 13 octobre 2020</w:t>
            </w:r>
          </w:p>
          <w:p w:rsidR="00204144" w:rsidRPr="001D7731" w:rsidRDefault="00204144" w:rsidP="00B0700B">
            <w:pPr>
              <w:rPr>
                <w:b/>
                <w:smallCaps/>
              </w:rPr>
            </w:pPr>
            <w:r w:rsidRPr="001D7731">
              <w:rPr>
                <w:b/>
                <w:smallCaps/>
              </w:rPr>
              <w:t xml:space="preserve">Jugement rendu : </w:t>
            </w:r>
            <w:r w:rsidRPr="001D7731">
              <w:t>13 octobre 2020</w:t>
            </w:r>
          </w:p>
          <w:p w:rsidR="00204144" w:rsidRDefault="00204144" w:rsidP="00B0700B">
            <w:pPr>
              <w:rPr>
                <w:rFonts w:eastAsia="Calibri"/>
                <w:lang w:val="en-US"/>
              </w:rPr>
            </w:pPr>
            <w:r>
              <w:rPr>
                <w:b/>
                <w:smallCaps/>
                <w:lang w:val="en-US"/>
              </w:rPr>
              <w:t>Dossier :</w:t>
            </w:r>
            <w:r>
              <w:rPr>
                <w:lang w:val="en-US"/>
              </w:rPr>
              <w:t xml:space="preserve"> 38785</w:t>
            </w:r>
          </w:p>
        </w:tc>
      </w:tr>
    </w:tbl>
    <w:tbl>
      <w:tblPr>
        <w:tblStyle w:val="TableGrid2"/>
        <w:tblW w:w="49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303"/>
        <w:gridCol w:w="7963"/>
      </w:tblGrid>
      <w:tr w:rsidR="00204144" w:rsidTr="00B0700B">
        <w:trPr>
          <w:cantSplit/>
          <w:trHeight w:val="508"/>
        </w:trPr>
        <w:tc>
          <w:tcPr>
            <w:tcW w:w="5000" w:type="pct"/>
            <w:gridSpan w:val="2"/>
            <w:tcMar>
              <w:top w:w="284" w:type="dxa"/>
              <w:left w:w="58" w:type="dxa"/>
              <w:bottom w:w="57" w:type="dxa"/>
              <w:right w:w="58" w:type="dxa"/>
            </w:tcMar>
            <w:vAlign w:val="center"/>
          </w:tcPr>
          <w:p w:rsidR="00204144" w:rsidRPr="001D7731" w:rsidRDefault="00204144" w:rsidP="00B0700B">
            <w:pPr>
              <w:rPr>
                <w:rFonts w:eastAsiaTheme="minorHAnsi" w:cstheme="minorBidi"/>
                <w:b/>
                <w:smallCaps/>
              </w:rPr>
            </w:pPr>
            <w:r w:rsidRPr="001D7731">
              <w:rPr>
                <w:rFonts w:eastAsiaTheme="minorHAnsi" w:cstheme="minorBidi"/>
                <w:b/>
                <w:smallCaps/>
              </w:rPr>
              <w:t>Entre :</w:t>
            </w:r>
          </w:p>
          <w:p w:rsidR="00204144" w:rsidRPr="001D7731" w:rsidRDefault="00204144" w:rsidP="00B0700B">
            <w:pPr>
              <w:rPr>
                <w:rFonts w:eastAsiaTheme="minorHAnsi" w:cstheme="minorBidi"/>
                <w:b/>
                <w:smallCaps/>
              </w:rPr>
            </w:pPr>
          </w:p>
          <w:p w:rsidR="00204144" w:rsidRPr="001D7731" w:rsidRDefault="00204144" w:rsidP="00B0700B">
            <w:pPr>
              <w:pStyle w:val="SCCLsocParty"/>
            </w:pPr>
            <w:r w:rsidRPr="001D7731">
              <w:t xml:space="preserve">Ryan Curtis </w:t>
            </w:r>
            <w:proofErr w:type="spellStart"/>
            <w:r w:rsidRPr="001D7731">
              <w:t>Reilly</w:t>
            </w:r>
            <w:proofErr w:type="spellEnd"/>
          </w:p>
          <w:p w:rsidR="00204144" w:rsidRPr="001D7731" w:rsidRDefault="00204144" w:rsidP="00B0700B">
            <w:pPr>
              <w:pStyle w:val="SCCLsocPartyRole"/>
            </w:pPr>
            <w:r w:rsidRPr="001D7731">
              <w:t>Appelant</w:t>
            </w:r>
          </w:p>
          <w:p w:rsidR="00204144" w:rsidRPr="001D7731" w:rsidRDefault="00204144" w:rsidP="00B0700B">
            <w:pPr>
              <w:pStyle w:val="SCCLsocVersus"/>
            </w:pPr>
          </w:p>
          <w:p w:rsidR="00204144" w:rsidRPr="001D7731" w:rsidRDefault="00204144" w:rsidP="00B0700B">
            <w:pPr>
              <w:pStyle w:val="SCCLsocVersus"/>
            </w:pPr>
            <w:r w:rsidRPr="001D7731">
              <w:t>et</w:t>
            </w:r>
          </w:p>
          <w:p w:rsidR="00204144" w:rsidRPr="001D7731" w:rsidRDefault="00204144" w:rsidP="00B0700B">
            <w:pPr>
              <w:pStyle w:val="SCCLsocParty"/>
            </w:pPr>
          </w:p>
          <w:p w:rsidR="00204144" w:rsidRPr="001D7731" w:rsidRDefault="00204144" w:rsidP="00B0700B">
            <w:pPr>
              <w:pStyle w:val="SCCLsocParty"/>
            </w:pPr>
            <w:r w:rsidRPr="001D7731">
              <w:t>Sa Majesté la Reine</w:t>
            </w:r>
          </w:p>
          <w:p w:rsidR="00204144" w:rsidRPr="001D7731" w:rsidRDefault="00204144" w:rsidP="00B0700B">
            <w:pPr>
              <w:pStyle w:val="SCCLsocPartyRole"/>
            </w:pPr>
            <w:r w:rsidRPr="001D7731">
              <w:t>Intimée</w:t>
            </w:r>
          </w:p>
          <w:p w:rsidR="00204144" w:rsidRPr="001D7731" w:rsidRDefault="00204144" w:rsidP="00B0700B">
            <w:pPr>
              <w:pStyle w:val="SCCLsocOtherPartySeparator"/>
            </w:pPr>
          </w:p>
          <w:p w:rsidR="00204144" w:rsidRPr="001D7731" w:rsidRDefault="00204144" w:rsidP="00B0700B">
            <w:pPr>
              <w:pStyle w:val="SCCLsocOtherPartySeparator"/>
            </w:pPr>
            <w:r w:rsidRPr="001D7731">
              <w:t>- et -</w:t>
            </w:r>
          </w:p>
          <w:p w:rsidR="00204144" w:rsidRPr="001D7731" w:rsidRDefault="00204144" w:rsidP="00B0700B">
            <w:pPr>
              <w:pStyle w:val="SCCLsocParty"/>
            </w:pPr>
          </w:p>
          <w:p w:rsidR="00204144" w:rsidRPr="001D7731" w:rsidRDefault="00204144" w:rsidP="00B0700B">
            <w:pPr>
              <w:pStyle w:val="SCCLsocParty"/>
            </w:pPr>
            <w:r w:rsidRPr="001D7731">
              <w:t xml:space="preserve">Directrice des poursuites pénales, procureur général de l’Ontario, procureur général du Québec, </w:t>
            </w:r>
            <w:proofErr w:type="spellStart"/>
            <w:r w:rsidRPr="001D7731">
              <w:t>Aboriginal</w:t>
            </w:r>
            <w:proofErr w:type="spellEnd"/>
            <w:r w:rsidRPr="001D7731">
              <w:t xml:space="preserve"> </w:t>
            </w:r>
            <w:proofErr w:type="spellStart"/>
            <w:r w:rsidRPr="001D7731">
              <w:t>Legal</w:t>
            </w:r>
            <w:proofErr w:type="spellEnd"/>
            <w:r w:rsidRPr="001D7731">
              <w:t xml:space="preserve"> Services, </w:t>
            </w:r>
            <w:proofErr w:type="spellStart"/>
            <w:r w:rsidRPr="001D7731">
              <w:t>Criminal</w:t>
            </w:r>
            <w:proofErr w:type="spellEnd"/>
            <w:r w:rsidRPr="001D7731">
              <w:t xml:space="preserve"> </w:t>
            </w:r>
            <w:proofErr w:type="spellStart"/>
            <w:r w:rsidRPr="001D7731">
              <w:t>Lawyers</w:t>
            </w:r>
            <w:proofErr w:type="spellEnd"/>
            <w:r w:rsidRPr="001D7731">
              <w:t xml:space="preserve">’ Association (Ontario), </w:t>
            </w:r>
            <w:proofErr w:type="spellStart"/>
            <w:r w:rsidRPr="001D7731">
              <w:t>Criminal</w:t>
            </w:r>
            <w:proofErr w:type="spellEnd"/>
            <w:r w:rsidRPr="001D7731">
              <w:t xml:space="preserve"> Trial </w:t>
            </w:r>
            <w:proofErr w:type="spellStart"/>
            <w:r w:rsidRPr="001D7731">
              <w:t>Lawyers</w:t>
            </w:r>
            <w:proofErr w:type="spellEnd"/>
            <w:r w:rsidRPr="001D7731">
              <w:t xml:space="preserve">’ Association et Association québécoise des avocats et avocates de la défense </w:t>
            </w:r>
          </w:p>
          <w:p w:rsidR="00204144" w:rsidRDefault="00204144" w:rsidP="00B0700B">
            <w:pPr>
              <w:pStyle w:val="SCCLsocPartyRole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Intervenants</w:t>
            </w:r>
            <w:proofErr w:type="spellEnd"/>
          </w:p>
          <w:p w:rsidR="00204144" w:rsidRDefault="00204144" w:rsidP="00B0700B">
            <w:pPr>
              <w:rPr>
                <w:lang w:val="en-US"/>
              </w:rPr>
            </w:pPr>
          </w:p>
          <w:p w:rsidR="00204144" w:rsidRDefault="00204144" w:rsidP="00B0700B">
            <w:pPr>
              <w:rPr>
                <w:lang w:val="en-US"/>
              </w:rPr>
            </w:pPr>
          </w:p>
          <w:p w:rsidR="00204144" w:rsidRDefault="00204144" w:rsidP="00B0700B">
            <w:pPr>
              <w:jc w:val="center"/>
              <w:rPr>
                <w:b/>
                <w:smallCaps/>
                <w:lang w:val="en-US"/>
              </w:rPr>
            </w:pPr>
            <w:proofErr w:type="spellStart"/>
            <w:r>
              <w:rPr>
                <w:b/>
                <w:smallCaps/>
                <w:lang w:val="en-US"/>
              </w:rPr>
              <w:t>Traduction</w:t>
            </w:r>
            <w:proofErr w:type="spellEnd"/>
            <w:r>
              <w:rPr>
                <w:b/>
                <w:smallCaps/>
                <w:lang w:val="en-US"/>
              </w:rPr>
              <w:t xml:space="preserve"> </w:t>
            </w:r>
            <w:proofErr w:type="spellStart"/>
            <w:r>
              <w:rPr>
                <w:b/>
                <w:smallCaps/>
                <w:lang w:val="en-US"/>
              </w:rPr>
              <w:t>française</w:t>
            </w:r>
            <w:proofErr w:type="spellEnd"/>
            <w:r>
              <w:rPr>
                <w:b/>
                <w:smallCaps/>
                <w:lang w:val="en-US"/>
              </w:rPr>
              <w:t xml:space="preserve"> </w:t>
            </w:r>
            <w:proofErr w:type="spellStart"/>
            <w:r>
              <w:rPr>
                <w:b/>
                <w:smallCaps/>
                <w:lang w:val="en-US"/>
              </w:rPr>
              <w:t>officielle</w:t>
            </w:r>
            <w:proofErr w:type="spellEnd"/>
          </w:p>
        </w:tc>
      </w:tr>
      <w:tr w:rsidR="00204144" w:rsidTr="00B0700B">
        <w:trPr>
          <w:cantSplit/>
          <w:trHeight w:val="508"/>
        </w:trPr>
        <w:tc>
          <w:tcPr>
            <w:tcW w:w="5000" w:type="pct"/>
            <w:gridSpan w:val="2"/>
            <w:tcMar>
              <w:top w:w="284" w:type="dxa"/>
              <w:left w:w="58" w:type="dxa"/>
              <w:bottom w:w="57" w:type="dxa"/>
              <w:right w:w="58" w:type="dxa"/>
            </w:tcMar>
            <w:vAlign w:val="center"/>
          </w:tcPr>
          <w:p w:rsidR="00204144" w:rsidRPr="001D7731" w:rsidRDefault="00204144" w:rsidP="00B0700B">
            <w:r w:rsidRPr="001D7731">
              <w:rPr>
                <w:b/>
                <w:smallCaps/>
              </w:rPr>
              <w:t>Coram :</w:t>
            </w:r>
            <w:r w:rsidRPr="001D7731">
              <w:t xml:space="preserve"> Le juge en chef Wagner et les juges Abella, </w:t>
            </w:r>
            <w:proofErr w:type="spellStart"/>
            <w:r w:rsidRPr="001D7731">
              <w:t>Moldaver</w:t>
            </w:r>
            <w:proofErr w:type="spellEnd"/>
            <w:r w:rsidRPr="001D7731">
              <w:t xml:space="preserve">, </w:t>
            </w:r>
            <w:proofErr w:type="spellStart"/>
            <w:r w:rsidRPr="001D7731">
              <w:t>Karakatsanis</w:t>
            </w:r>
            <w:proofErr w:type="spellEnd"/>
            <w:r w:rsidRPr="001D7731">
              <w:t xml:space="preserve">, Côté, Brown, Rowe, Martin et </w:t>
            </w:r>
            <w:proofErr w:type="spellStart"/>
            <w:r w:rsidRPr="001D7731">
              <w:t>Kasirer</w:t>
            </w:r>
            <w:proofErr w:type="spellEnd"/>
          </w:p>
          <w:p w:rsidR="00204144" w:rsidRPr="001D7731" w:rsidRDefault="00204144" w:rsidP="00B0700B"/>
        </w:tc>
      </w:tr>
      <w:tr w:rsidR="00204144" w:rsidTr="00B0700B">
        <w:trPr>
          <w:cantSplit/>
        </w:trPr>
        <w:tc>
          <w:tcPr>
            <w:tcW w:w="703" w:type="pct"/>
            <w:tcMar>
              <w:top w:w="284" w:type="dxa"/>
              <w:left w:w="58" w:type="dxa"/>
              <w:bottom w:w="57" w:type="dxa"/>
              <w:right w:w="58" w:type="dxa"/>
            </w:tcMar>
            <w:vAlign w:val="center"/>
            <w:hideMark/>
          </w:tcPr>
          <w:p w:rsidR="00204144" w:rsidRPr="001D7731" w:rsidRDefault="00204144" w:rsidP="00B0700B">
            <w:pPr>
              <w:rPr>
                <w:b/>
                <w:smallCaps/>
              </w:rPr>
            </w:pPr>
            <w:r w:rsidRPr="001D7731">
              <w:rPr>
                <w:b/>
                <w:smallCaps/>
              </w:rPr>
              <w:t xml:space="preserve">Jugement </w:t>
            </w:r>
            <w:r w:rsidRPr="001D7731">
              <w:rPr>
                <w:b/>
                <w:bCs/>
                <w:smallCaps/>
                <w:color w:val="000000"/>
              </w:rPr>
              <w:t xml:space="preserve">unanime </w:t>
            </w:r>
            <w:r w:rsidRPr="001D7731">
              <w:rPr>
                <w:b/>
                <w:smallCaps/>
              </w:rPr>
              <w:t xml:space="preserve">lu par : </w:t>
            </w:r>
          </w:p>
          <w:p w:rsidR="00204144" w:rsidRPr="001D7731" w:rsidRDefault="00204144" w:rsidP="00B0700B">
            <w:pPr>
              <w:rPr>
                <w:b/>
                <w:smallCaps/>
              </w:rPr>
            </w:pPr>
            <w:r w:rsidRPr="001D7731">
              <w:t>(par. 1 à 2)</w:t>
            </w:r>
          </w:p>
        </w:tc>
        <w:tc>
          <w:tcPr>
            <w:tcW w:w="4297" w:type="pct"/>
            <w:tcMar>
              <w:top w:w="284" w:type="dxa"/>
              <w:left w:w="58" w:type="dxa"/>
              <w:bottom w:w="58" w:type="dxa"/>
              <w:right w:w="58" w:type="dxa"/>
            </w:tcMar>
            <w:vAlign w:val="center"/>
          </w:tcPr>
          <w:p w:rsidR="00204144" w:rsidRDefault="00204144" w:rsidP="00B0700B">
            <w:pPr>
              <w:rPr>
                <w:b/>
                <w:smallCaps/>
                <w:lang w:val="en-US"/>
              </w:rPr>
            </w:pPr>
            <w:r>
              <w:rPr>
                <w:lang w:val="en-US"/>
              </w:rPr>
              <w:t xml:space="preserve">Le </w:t>
            </w:r>
            <w:proofErr w:type="spellStart"/>
            <w:r>
              <w:rPr>
                <w:lang w:val="en-US"/>
              </w:rPr>
              <w:t>juge</w:t>
            </w:r>
            <w:proofErr w:type="spellEnd"/>
            <w:r>
              <w:rPr>
                <w:lang w:val="en-US"/>
              </w:rPr>
              <w:t xml:space="preserve"> Brown</w:t>
            </w:r>
          </w:p>
          <w:p w:rsidR="00204144" w:rsidRDefault="00204144" w:rsidP="00B0700B">
            <w:pPr>
              <w:rPr>
                <w:b/>
                <w:smallCaps/>
                <w:lang w:val="en-US"/>
              </w:rPr>
            </w:pPr>
          </w:p>
        </w:tc>
      </w:tr>
    </w:tbl>
    <w:p w:rsidR="00204144" w:rsidRDefault="00204144" w:rsidP="00204144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3744"/>
        <w:gridCol w:w="2808"/>
      </w:tblGrid>
      <w:tr w:rsidR="00204144" w:rsidTr="00B0700B">
        <w:tc>
          <w:tcPr>
            <w:tcW w:w="1500" w:type="pct"/>
            <w:tcMar>
              <w:top w:w="284" w:type="dxa"/>
              <w:left w:w="108" w:type="dxa"/>
              <w:bottom w:w="0" w:type="dxa"/>
              <w:right w:w="108" w:type="dxa"/>
            </w:tcMar>
          </w:tcPr>
          <w:p w:rsidR="00204144" w:rsidRPr="001D7731" w:rsidRDefault="00204144" w:rsidP="00B0700B">
            <w:pPr>
              <w:rPr>
                <w:rFonts w:eastAsia="Calibri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4" w:type="dxa"/>
              <w:left w:w="108" w:type="dxa"/>
              <w:bottom w:w="0" w:type="dxa"/>
              <w:right w:w="108" w:type="dxa"/>
            </w:tcMar>
          </w:tcPr>
          <w:p w:rsidR="00204144" w:rsidRPr="001D7731" w:rsidRDefault="00204144" w:rsidP="00B0700B">
            <w:pPr>
              <w:rPr>
                <w:rFonts w:eastAsia="Calibri"/>
              </w:rPr>
            </w:pPr>
          </w:p>
        </w:tc>
        <w:tc>
          <w:tcPr>
            <w:tcW w:w="1500" w:type="pct"/>
            <w:tcMar>
              <w:top w:w="284" w:type="dxa"/>
              <w:left w:w="108" w:type="dxa"/>
              <w:bottom w:w="0" w:type="dxa"/>
              <w:right w:w="108" w:type="dxa"/>
            </w:tcMar>
          </w:tcPr>
          <w:p w:rsidR="00204144" w:rsidRPr="001D7731" w:rsidRDefault="00204144" w:rsidP="00B0700B">
            <w:pPr>
              <w:rPr>
                <w:rFonts w:eastAsia="Calibri"/>
              </w:rPr>
            </w:pPr>
          </w:p>
        </w:tc>
      </w:tr>
    </w:tbl>
    <w:p w:rsidR="00204144" w:rsidRDefault="00204144" w:rsidP="00036614">
      <w:pPr>
        <w:spacing w:after="720"/>
        <w:jc w:val="both"/>
        <w:rPr>
          <w:rFonts w:eastAsia="Times New Roman" w:cs="Times New Roman"/>
          <w:smallCaps/>
          <w:szCs w:val="20"/>
          <w:lang w:eastAsia="en-CA"/>
        </w:rPr>
        <w:sectPr w:rsidR="00204144" w:rsidSect="00F72014">
          <w:headerReference w:type="default" r:id="rId8"/>
          <w:pgSz w:w="12240" w:h="15840"/>
          <w:pgMar w:top="1440" w:right="1440" w:bottom="1440" w:left="1440" w:header="432" w:footer="708" w:gutter="0"/>
          <w:cols w:space="708"/>
          <w:docGrid w:linePitch="360"/>
        </w:sectPr>
      </w:pPr>
    </w:p>
    <w:p w:rsidR="00036614" w:rsidRPr="00036614" w:rsidRDefault="00036614" w:rsidP="00036614">
      <w:pPr>
        <w:spacing w:after="720"/>
        <w:jc w:val="both"/>
        <w:rPr>
          <w:rFonts w:eastAsia="Times New Roman" w:cs="Times New Roman"/>
          <w:szCs w:val="20"/>
          <w:lang w:eastAsia="en-CA"/>
        </w:rPr>
      </w:pPr>
      <w:bookmarkStart w:id="0" w:name="_GoBack"/>
      <w:bookmarkEnd w:id="0"/>
      <w:r w:rsidRPr="00036614">
        <w:rPr>
          <w:rFonts w:eastAsia="Times New Roman" w:cs="Times New Roman"/>
          <w:smallCaps/>
          <w:szCs w:val="20"/>
          <w:lang w:eastAsia="en-CA"/>
        </w:rPr>
        <w:lastRenderedPageBreak/>
        <w:t xml:space="preserve">r. </w:t>
      </w:r>
      <w:r w:rsidRPr="00036614">
        <w:rPr>
          <w:rFonts w:eastAsia="Times New Roman" w:cs="Times New Roman"/>
          <w:i/>
          <w:szCs w:val="20"/>
          <w:lang w:eastAsia="en-CA"/>
        </w:rPr>
        <w:t>c.</w:t>
      </w:r>
      <w:r w:rsidRPr="00036614">
        <w:rPr>
          <w:rFonts w:eastAsia="Times New Roman" w:cs="Times New Roman"/>
          <w:smallCaps/>
          <w:szCs w:val="20"/>
          <w:lang w:eastAsia="en-CA"/>
        </w:rPr>
        <w:t xml:space="preserve"> </w:t>
      </w:r>
      <w:proofErr w:type="spellStart"/>
      <w:r w:rsidRPr="00036614">
        <w:rPr>
          <w:rFonts w:eastAsia="Times New Roman" w:cs="Times New Roman"/>
          <w:smallCaps/>
          <w:szCs w:val="20"/>
          <w:lang w:eastAsia="en-CA"/>
        </w:rPr>
        <w:t>reilly</w:t>
      </w:r>
      <w:proofErr w:type="spellEnd"/>
    </w:p>
    <w:p w:rsidR="00036614" w:rsidRPr="00036614" w:rsidRDefault="00036614" w:rsidP="00036614">
      <w:pPr>
        <w:tabs>
          <w:tab w:val="right" w:pos="8222"/>
        </w:tabs>
        <w:spacing w:after="720"/>
        <w:rPr>
          <w:rFonts w:eastAsia="Times New Roman" w:cs="Times New Roman"/>
          <w:b/>
          <w:szCs w:val="20"/>
          <w:lang w:eastAsia="en-CA"/>
        </w:rPr>
      </w:pPr>
      <w:r w:rsidRPr="00036614">
        <w:rPr>
          <w:rFonts w:eastAsia="Times New Roman" w:cs="Times New Roman"/>
          <w:b/>
          <w:szCs w:val="20"/>
          <w:lang w:eastAsia="en-CA"/>
        </w:rPr>
        <w:t xml:space="preserve">Ryan Curtis </w:t>
      </w:r>
      <w:proofErr w:type="spellStart"/>
      <w:r w:rsidRPr="00036614">
        <w:rPr>
          <w:rFonts w:eastAsia="Times New Roman" w:cs="Times New Roman"/>
          <w:b/>
          <w:szCs w:val="20"/>
          <w:lang w:eastAsia="en-CA"/>
        </w:rPr>
        <w:t>Reilly</w:t>
      </w:r>
      <w:proofErr w:type="spellEnd"/>
      <w:r w:rsidRPr="00036614">
        <w:rPr>
          <w:rFonts w:eastAsia="Times New Roman" w:cs="Times New Roman"/>
          <w:i/>
          <w:szCs w:val="20"/>
          <w:lang w:eastAsia="en-CA"/>
        </w:rPr>
        <w:tab/>
        <w:t>Appelant</w:t>
      </w:r>
    </w:p>
    <w:p w:rsidR="00036614" w:rsidRPr="00036614" w:rsidRDefault="00036614" w:rsidP="00036614">
      <w:pPr>
        <w:spacing w:after="720"/>
        <w:rPr>
          <w:rFonts w:eastAsia="Times New Roman" w:cs="Times New Roman"/>
          <w:i/>
          <w:szCs w:val="20"/>
          <w:lang w:eastAsia="en-CA"/>
        </w:rPr>
      </w:pPr>
      <w:proofErr w:type="gramStart"/>
      <w:r w:rsidRPr="00036614">
        <w:rPr>
          <w:rFonts w:eastAsia="Times New Roman" w:cs="Times New Roman"/>
          <w:i/>
          <w:szCs w:val="20"/>
          <w:lang w:eastAsia="en-CA"/>
        </w:rPr>
        <w:t>c</w:t>
      </w:r>
      <w:proofErr w:type="gramEnd"/>
      <w:r w:rsidRPr="00036614">
        <w:rPr>
          <w:rFonts w:eastAsia="Times New Roman" w:cs="Times New Roman"/>
          <w:i/>
          <w:szCs w:val="20"/>
          <w:lang w:eastAsia="en-CA"/>
        </w:rPr>
        <w:t>.</w:t>
      </w:r>
    </w:p>
    <w:p w:rsidR="00036614" w:rsidRPr="00036614" w:rsidRDefault="00036614" w:rsidP="00036614">
      <w:pPr>
        <w:tabs>
          <w:tab w:val="right" w:pos="8222"/>
        </w:tabs>
        <w:spacing w:after="720"/>
        <w:rPr>
          <w:rFonts w:eastAsia="Times New Roman" w:cs="Times New Roman"/>
          <w:b/>
          <w:szCs w:val="20"/>
          <w:lang w:eastAsia="en-CA"/>
        </w:rPr>
      </w:pPr>
      <w:r w:rsidRPr="00036614">
        <w:rPr>
          <w:rFonts w:eastAsia="Times New Roman" w:cs="Times New Roman"/>
          <w:b/>
          <w:bCs/>
          <w:color w:val="000000"/>
          <w:szCs w:val="20"/>
          <w:lang w:eastAsia="en-CA"/>
        </w:rPr>
        <w:t>Sa Majesté la Reine</w:t>
      </w:r>
      <w:r w:rsidRPr="00036614">
        <w:rPr>
          <w:rFonts w:eastAsia="Times New Roman" w:cs="Times New Roman"/>
          <w:i/>
          <w:szCs w:val="20"/>
          <w:lang w:eastAsia="en-CA"/>
        </w:rPr>
        <w:tab/>
        <w:t>Intimée</w:t>
      </w:r>
    </w:p>
    <w:p w:rsidR="00036614" w:rsidRPr="00036614" w:rsidRDefault="00036614" w:rsidP="00036614">
      <w:pPr>
        <w:spacing w:after="720"/>
        <w:rPr>
          <w:rFonts w:eastAsia="Times New Roman" w:cs="Times New Roman"/>
          <w:szCs w:val="20"/>
          <w:lang w:eastAsia="en-CA"/>
        </w:rPr>
      </w:pPr>
      <w:proofErr w:type="gramStart"/>
      <w:r w:rsidRPr="00036614">
        <w:rPr>
          <w:rFonts w:eastAsia="Times New Roman" w:cs="Times New Roman"/>
          <w:szCs w:val="20"/>
          <w:lang w:eastAsia="en-CA"/>
        </w:rPr>
        <w:t>et</w:t>
      </w:r>
      <w:proofErr w:type="gramEnd"/>
    </w:p>
    <w:p w:rsidR="00036614" w:rsidRPr="00036614" w:rsidRDefault="00036614" w:rsidP="00036614">
      <w:pPr>
        <w:tabs>
          <w:tab w:val="right" w:pos="8222"/>
        </w:tabs>
        <w:rPr>
          <w:rFonts w:eastAsia="Times New Roman" w:cs="Times New Roman"/>
          <w:b/>
          <w:bCs/>
          <w:color w:val="000000"/>
          <w:szCs w:val="20"/>
          <w:lang w:eastAsia="en-CA"/>
        </w:rPr>
      </w:pPr>
      <w:r w:rsidRPr="00036614">
        <w:rPr>
          <w:rFonts w:eastAsia="Times New Roman" w:cs="Times New Roman"/>
          <w:b/>
          <w:bCs/>
          <w:color w:val="000000"/>
          <w:szCs w:val="20"/>
          <w:lang w:eastAsia="en-CA"/>
        </w:rPr>
        <w:t xml:space="preserve">Directrice des poursuites pénales, </w:t>
      </w:r>
    </w:p>
    <w:p w:rsidR="00036614" w:rsidRPr="00036614" w:rsidRDefault="00036614" w:rsidP="00036614">
      <w:pPr>
        <w:tabs>
          <w:tab w:val="right" w:pos="8222"/>
        </w:tabs>
        <w:rPr>
          <w:rFonts w:eastAsia="Times New Roman" w:cs="Times New Roman"/>
          <w:b/>
          <w:bCs/>
          <w:color w:val="000000"/>
          <w:szCs w:val="20"/>
          <w:lang w:eastAsia="en-CA"/>
        </w:rPr>
      </w:pPr>
      <w:proofErr w:type="gramStart"/>
      <w:r w:rsidRPr="00036614">
        <w:rPr>
          <w:rFonts w:eastAsia="Times New Roman" w:cs="Times New Roman"/>
          <w:b/>
          <w:bCs/>
          <w:color w:val="000000"/>
          <w:szCs w:val="20"/>
          <w:lang w:eastAsia="en-CA"/>
        </w:rPr>
        <w:t>procureur</w:t>
      </w:r>
      <w:proofErr w:type="gramEnd"/>
      <w:r w:rsidRPr="00036614">
        <w:rPr>
          <w:rFonts w:eastAsia="Times New Roman" w:cs="Times New Roman"/>
          <w:b/>
          <w:bCs/>
          <w:color w:val="000000"/>
          <w:szCs w:val="20"/>
          <w:lang w:eastAsia="en-CA"/>
        </w:rPr>
        <w:t xml:space="preserve"> général de l’Ontario, </w:t>
      </w:r>
    </w:p>
    <w:p w:rsidR="00036614" w:rsidRPr="00036614" w:rsidRDefault="00036614" w:rsidP="00036614">
      <w:pPr>
        <w:tabs>
          <w:tab w:val="right" w:pos="8222"/>
        </w:tabs>
        <w:rPr>
          <w:rFonts w:eastAsia="Times New Roman" w:cs="Times New Roman"/>
          <w:b/>
          <w:bCs/>
          <w:color w:val="000000"/>
          <w:szCs w:val="20"/>
          <w:lang w:eastAsia="en-CA"/>
        </w:rPr>
      </w:pPr>
      <w:proofErr w:type="gramStart"/>
      <w:r w:rsidRPr="00036614">
        <w:rPr>
          <w:rFonts w:eastAsia="Times New Roman" w:cs="Times New Roman"/>
          <w:b/>
          <w:bCs/>
          <w:color w:val="000000"/>
          <w:szCs w:val="20"/>
          <w:lang w:eastAsia="en-CA"/>
        </w:rPr>
        <w:t>procureur</w:t>
      </w:r>
      <w:proofErr w:type="gramEnd"/>
      <w:r w:rsidRPr="00036614">
        <w:rPr>
          <w:rFonts w:eastAsia="Times New Roman" w:cs="Times New Roman"/>
          <w:b/>
          <w:bCs/>
          <w:color w:val="000000"/>
          <w:szCs w:val="20"/>
          <w:lang w:eastAsia="en-CA"/>
        </w:rPr>
        <w:t xml:space="preserve"> général du Québec, </w:t>
      </w:r>
    </w:p>
    <w:p w:rsidR="00036614" w:rsidRPr="00036614" w:rsidRDefault="00036614" w:rsidP="00036614">
      <w:pPr>
        <w:tabs>
          <w:tab w:val="right" w:pos="8222"/>
        </w:tabs>
        <w:rPr>
          <w:rFonts w:eastAsia="Times New Roman" w:cs="Times New Roman"/>
          <w:b/>
          <w:bCs/>
          <w:color w:val="000000"/>
          <w:szCs w:val="20"/>
          <w:lang w:eastAsia="en-CA"/>
        </w:rPr>
      </w:pPr>
      <w:proofErr w:type="spellStart"/>
      <w:r w:rsidRPr="00036614">
        <w:rPr>
          <w:rFonts w:eastAsia="Times New Roman" w:cs="Times New Roman"/>
          <w:b/>
          <w:bCs/>
          <w:color w:val="000000"/>
          <w:szCs w:val="20"/>
          <w:lang w:eastAsia="en-CA"/>
        </w:rPr>
        <w:t>Aboriginal</w:t>
      </w:r>
      <w:proofErr w:type="spellEnd"/>
      <w:r w:rsidRPr="00036614">
        <w:rPr>
          <w:rFonts w:eastAsia="Times New Roman" w:cs="Times New Roman"/>
          <w:b/>
          <w:bCs/>
          <w:color w:val="000000"/>
          <w:szCs w:val="20"/>
          <w:lang w:eastAsia="en-CA"/>
        </w:rPr>
        <w:t xml:space="preserve"> </w:t>
      </w:r>
      <w:proofErr w:type="spellStart"/>
      <w:r w:rsidRPr="00036614">
        <w:rPr>
          <w:rFonts w:eastAsia="Times New Roman" w:cs="Times New Roman"/>
          <w:b/>
          <w:bCs/>
          <w:color w:val="000000"/>
          <w:szCs w:val="20"/>
          <w:lang w:eastAsia="en-CA"/>
        </w:rPr>
        <w:t>Legal</w:t>
      </w:r>
      <w:proofErr w:type="spellEnd"/>
      <w:r w:rsidRPr="00036614">
        <w:rPr>
          <w:rFonts w:eastAsia="Times New Roman" w:cs="Times New Roman"/>
          <w:b/>
          <w:bCs/>
          <w:color w:val="000000"/>
          <w:szCs w:val="20"/>
          <w:lang w:eastAsia="en-CA"/>
        </w:rPr>
        <w:t xml:space="preserve"> Services, </w:t>
      </w:r>
    </w:p>
    <w:p w:rsidR="00036614" w:rsidRPr="00036614" w:rsidRDefault="00036614" w:rsidP="00036614">
      <w:pPr>
        <w:tabs>
          <w:tab w:val="right" w:pos="8222"/>
        </w:tabs>
        <w:rPr>
          <w:rFonts w:eastAsia="Times New Roman" w:cs="Times New Roman"/>
          <w:b/>
          <w:bCs/>
          <w:color w:val="000000"/>
          <w:szCs w:val="20"/>
          <w:lang w:eastAsia="en-CA"/>
        </w:rPr>
      </w:pPr>
      <w:proofErr w:type="spellStart"/>
      <w:r w:rsidRPr="00036614">
        <w:rPr>
          <w:rFonts w:eastAsia="Times New Roman" w:cs="Times New Roman"/>
          <w:b/>
          <w:bCs/>
          <w:color w:val="000000"/>
          <w:szCs w:val="20"/>
          <w:lang w:eastAsia="en-CA"/>
        </w:rPr>
        <w:t>Criminal</w:t>
      </w:r>
      <w:proofErr w:type="spellEnd"/>
      <w:r w:rsidRPr="00036614">
        <w:rPr>
          <w:rFonts w:eastAsia="Times New Roman" w:cs="Times New Roman"/>
          <w:b/>
          <w:bCs/>
          <w:color w:val="000000"/>
          <w:szCs w:val="20"/>
          <w:lang w:eastAsia="en-CA"/>
        </w:rPr>
        <w:t xml:space="preserve"> </w:t>
      </w:r>
      <w:proofErr w:type="spellStart"/>
      <w:r w:rsidRPr="00036614">
        <w:rPr>
          <w:rFonts w:eastAsia="Times New Roman" w:cs="Times New Roman"/>
          <w:b/>
          <w:bCs/>
          <w:color w:val="000000"/>
          <w:szCs w:val="20"/>
          <w:lang w:eastAsia="en-CA"/>
        </w:rPr>
        <w:t>Lawyers</w:t>
      </w:r>
      <w:proofErr w:type="spellEnd"/>
      <w:r w:rsidRPr="00036614">
        <w:rPr>
          <w:rFonts w:eastAsia="Times New Roman" w:cs="Times New Roman"/>
          <w:b/>
          <w:bCs/>
          <w:color w:val="000000"/>
          <w:szCs w:val="20"/>
          <w:lang w:eastAsia="en-CA"/>
        </w:rPr>
        <w:t xml:space="preserve">’ Association (Ontario), </w:t>
      </w:r>
    </w:p>
    <w:p w:rsidR="00036614" w:rsidRPr="00036614" w:rsidRDefault="00036614" w:rsidP="00036614">
      <w:pPr>
        <w:tabs>
          <w:tab w:val="right" w:pos="8222"/>
        </w:tabs>
        <w:rPr>
          <w:rFonts w:eastAsia="Times New Roman" w:cs="Times New Roman"/>
          <w:b/>
          <w:bCs/>
          <w:color w:val="000000"/>
          <w:szCs w:val="20"/>
          <w:lang w:eastAsia="en-CA"/>
        </w:rPr>
      </w:pPr>
      <w:proofErr w:type="spellStart"/>
      <w:r w:rsidRPr="00036614">
        <w:rPr>
          <w:rFonts w:eastAsia="Times New Roman" w:cs="Times New Roman"/>
          <w:b/>
          <w:bCs/>
          <w:color w:val="000000"/>
          <w:szCs w:val="20"/>
          <w:lang w:eastAsia="en-CA"/>
        </w:rPr>
        <w:t>Criminal</w:t>
      </w:r>
      <w:proofErr w:type="spellEnd"/>
      <w:r w:rsidRPr="00036614">
        <w:rPr>
          <w:rFonts w:eastAsia="Times New Roman" w:cs="Times New Roman"/>
          <w:b/>
          <w:bCs/>
          <w:color w:val="000000"/>
          <w:szCs w:val="20"/>
          <w:lang w:eastAsia="en-CA"/>
        </w:rPr>
        <w:t xml:space="preserve"> Trial </w:t>
      </w:r>
      <w:proofErr w:type="spellStart"/>
      <w:r w:rsidRPr="00036614">
        <w:rPr>
          <w:rFonts w:eastAsia="Times New Roman" w:cs="Times New Roman"/>
          <w:b/>
          <w:bCs/>
          <w:color w:val="000000"/>
          <w:szCs w:val="20"/>
          <w:lang w:eastAsia="en-CA"/>
        </w:rPr>
        <w:t>Lawyers</w:t>
      </w:r>
      <w:proofErr w:type="spellEnd"/>
      <w:r w:rsidRPr="00036614">
        <w:rPr>
          <w:rFonts w:eastAsia="Times New Roman" w:cs="Times New Roman"/>
          <w:b/>
          <w:bCs/>
          <w:color w:val="000000"/>
          <w:szCs w:val="20"/>
          <w:lang w:eastAsia="en-CA"/>
        </w:rPr>
        <w:t xml:space="preserve">’ Association et </w:t>
      </w:r>
    </w:p>
    <w:p w:rsidR="00036614" w:rsidRPr="00036614" w:rsidRDefault="00036614" w:rsidP="00036614">
      <w:pPr>
        <w:tabs>
          <w:tab w:val="right" w:pos="8222"/>
        </w:tabs>
        <w:rPr>
          <w:rFonts w:eastAsia="Times New Roman" w:cs="Times New Roman"/>
          <w:b/>
          <w:szCs w:val="20"/>
          <w:lang w:eastAsia="en-CA"/>
        </w:rPr>
      </w:pPr>
      <w:r w:rsidRPr="00036614">
        <w:rPr>
          <w:rFonts w:eastAsia="Times New Roman" w:cs="Times New Roman"/>
          <w:b/>
          <w:bCs/>
          <w:color w:val="000000"/>
          <w:szCs w:val="20"/>
          <w:lang w:eastAsia="en-CA"/>
        </w:rPr>
        <w:t>Association québécoise des avocats et avocates de la défense</w:t>
      </w:r>
      <w:r w:rsidRPr="00036614">
        <w:rPr>
          <w:rFonts w:eastAsia="Times New Roman" w:cs="Times New Roman"/>
          <w:i/>
          <w:szCs w:val="20"/>
          <w:lang w:eastAsia="en-CA"/>
        </w:rPr>
        <w:tab/>
        <w:t>Intervenants</w:t>
      </w:r>
    </w:p>
    <w:p w:rsidR="00036614" w:rsidRPr="00036614" w:rsidRDefault="00036614" w:rsidP="00036614">
      <w:pPr>
        <w:spacing w:after="720"/>
        <w:jc w:val="both"/>
        <w:rPr>
          <w:rFonts w:eastAsia="Times New Roman" w:cs="Times New Roman"/>
          <w:b/>
          <w:szCs w:val="20"/>
          <w:lang w:eastAsia="en-CA"/>
        </w:rPr>
      </w:pPr>
    </w:p>
    <w:p w:rsidR="00036614" w:rsidRPr="00036614" w:rsidRDefault="00036614" w:rsidP="00036614">
      <w:pPr>
        <w:spacing w:after="720"/>
        <w:jc w:val="both"/>
        <w:rPr>
          <w:rFonts w:eastAsia="Times New Roman" w:cs="Times New Roman"/>
          <w:szCs w:val="20"/>
          <w:lang w:eastAsia="en-CA"/>
        </w:rPr>
      </w:pPr>
      <w:r w:rsidRPr="00036614">
        <w:rPr>
          <w:rFonts w:eastAsia="Times New Roman" w:cs="Times New Roman"/>
          <w:b/>
          <w:szCs w:val="20"/>
          <w:lang w:eastAsia="en-CA"/>
        </w:rPr>
        <w:t xml:space="preserve">Répertorié : R. </w:t>
      </w:r>
      <w:r w:rsidRPr="00036614">
        <w:rPr>
          <w:rFonts w:eastAsia="Times New Roman" w:cs="Times New Roman"/>
          <w:b/>
          <w:i/>
          <w:szCs w:val="20"/>
          <w:lang w:eastAsia="en-CA"/>
        </w:rPr>
        <w:t>c.</w:t>
      </w:r>
      <w:r w:rsidRPr="00036614">
        <w:rPr>
          <w:rFonts w:eastAsia="Times New Roman" w:cs="Times New Roman"/>
          <w:b/>
          <w:szCs w:val="20"/>
          <w:lang w:eastAsia="en-CA"/>
        </w:rPr>
        <w:t xml:space="preserve"> </w:t>
      </w:r>
      <w:proofErr w:type="spellStart"/>
      <w:r w:rsidRPr="00036614">
        <w:rPr>
          <w:rFonts w:eastAsia="Times New Roman" w:cs="Times New Roman"/>
          <w:b/>
          <w:szCs w:val="20"/>
          <w:lang w:eastAsia="en-CA"/>
        </w:rPr>
        <w:t>Reilly</w:t>
      </w:r>
      <w:proofErr w:type="spellEnd"/>
    </w:p>
    <w:p w:rsidR="00036614" w:rsidRPr="00036614" w:rsidRDefault="00036614" w:rsidP="00036614">
      <w:pPr>
        <w:spacing w:after="720"/>
        <w:jc w:val="both"/>
        <w:rPr>
          <w:rFonts w:eastAsia="Times New Roman" w:cs="Times New Roman"/>
          <w:b/>
          <w:szCs w:val="20"/>
          <w:lang w:eastAsia="en-CA"/>
        </w:rPr>
      </w:pPr>
      <w:r w:rsidRPr="00036614">
        <w:rPr>
          <w:rFonts w:eastAsia="Times New Roman" w:cs="Times New Roman"/>
          <w:b/>
          <w:szCs w:val="20"/>
          <w:lang w:eastAsia="en-CA"/>
        </w:rPr>
        <w:t>2020 CSC 27</w:t>
      </w:r>
    </w:p>
    <w:p w:rsidR="00036614" w:rsidRPr="00036614" w:rsidRDefault="00036614" w:rsidP="00036614">
      <w:pPr>
        <w:spacing w:after="720"/>
        <w:jc w:val="both"/>
        <w:rPr>
          <w:rFonts w:eastAsia="Times New Roman" w:cs="Times New Roman"/>
          <w:szCs w:val="20"/>
          <w:lang w:eastAsia="en-CA"/>
        </w:rPr>
      </w:pPr>
      <w:r w:rsidRPr="00036614">
        <w:rPr>
          <w:rFonts w:eastAsia="Times New Roman" w:cs="Times New Roman"/>
          <w:szCs w:val="20"/>
          <w:lang w:eastAsia="en-CA"/>
        </w:rPr>
        <w:t>N</w:t>
      </w:r>
      <w:r w:rsidRPr="00036614">
        <w:rPr>
          <w:rFonts w:eastAsia="Times New Roman" w:cs="Times New Roman"/>
          <w:szCs w:val="20"/>
          <w:vertAlign w:val="superscript"/>
          <w:lang w:eastAsia="en-CA"/>
        </w:rPr>
        <w:t>o</w:t>
      </w:r>
      <w:r w:rsidRPr="00036614">
        <w:rPr>
          <w:rFonts w:eastAsia="Times New Roman" w:cs="Times New Roman"/>
          <w:szCs w:val="20"/>
          <w:lang w:eastAsia="en-CA"/>
        </w:rPr>
        <w:t xml:space="preserve"> du greffe : 38785.</w:t>
      </w:r>
    </w:p>
    <w:p w:rsidR="00036614" w:rsidRPr="00036614" w:rsidRDefault="00036614" w:rsidP="00036614">
      <w:pPr>
        <w:spacing w:after="720"/>
        <w:jc w:val="both"/>
        <w:rPr>
          <w:rFonts w:eastAsia="Times New Roman" w:cs="Times New Roman"/>
          <w:szCs w:val="20"/>
          <w:lang w:eastAsia="en-CA"/>
        </w:rPr>
      </w:pPr>
      <w:r w:rsidRPr="00036614">
        <w:rPr>
          <w:rFonts w:eastAsia="Times New Roman" w:cs="Times New Roman"/>
          <w:szCs w:val="20"/>
          <w:lang w:eastAsia="en-CA"/>
        </w:rPr>
        <w:t>2020 : 13 octobre.</w:t>
      </w:r>
    </w:p>
    <w:p w:rsidR="00036614" w:rsidRPr="00036614" w:rsidRDefault="00036614" w:rsidP="00036614">
      <w:pPr>
        <w:spacing w:after="720"/>
        <w:jc w:val="both"/>
        <w:rPr>
          <w:rFonts w:eastAsia="Times New Roman" w:cs="Times New Roman"/>
          <w:szCs w:val="20"/>
          <w:lang w:eastAsia="en-CA"/>
        </w:rPr>
      </w:pPr>
      <w:r w:rsidRPr="00036614">
        <w:rPr>
          <w:rFonts w:eastAsia="Times New Roman" w:cs="Times New Roman"/>
          <w:szCs w:val="20"/>
          <w:lang w:eastAsia="en-CA"/>
        </w:rPr>
        <w:t xml:space="preserve">Présents : Le juge en chef Wagner et les juges Abella, </w:t>
      </w:r>
      <w:proofErr w:type="spellStart"/>
      <w:r w:rsidRPr="00036614">
        <w:rPr>
          <w:rFonts w:eastAsia="Times New Roman" w:cs="Times New Roman"/>
          <w:szCs w:val="20"/>
          <w:lang w:eastAsia="en-CA"/>
        </w:rPr>
        <w:t>Moldaver</w:t>
      </w:r>
      <w:proofErr w:type="spellEnd"/>
      <w:r w:rsidRPr="00036614">
        <w:rPr>
          <w:rFonts w:eastAsia="Times New Roman" w:cs="Times New Roman"/>
          <w:szCs w:val="20"/>
          <w:lang w:eastAsia="en-CA"/>
        </w:rPr>
        <w:t xml:space="preserve">, </w:t>
      </w:r>
      <w:proofErr w:type="spellStart"/>
      <w:r w:rsidRPr="00036614">
        <w:rPr>
          <w:rFonts w:eastAsia="Times New Roman" w:cs="Times New Roman"/>
          <w:szCs w:val="20"/>
          <w:lang w:eastAsia="en-CA"/>
        </w:rPr>
        <w:t>Karakatsanis</w:t>
      </w:r>
      <w:proofErr w:type="spellEnd"/>
      <w:r w:rsidRPr="00036614">
        <w:rPr>
          <w:rFonts w:eastAsia="Times New Roman" w:cs="Times New Roman"/>
          <w:szCs w:val="20"/>
          <w:lang w:eastAsia="en-CA"/>
        </w:rPr>
        <w:t xml:space="preserve">, Côté, Brown, Rowe, Martin et </w:t>
      </w:r>
      <w:proofErr w:type="spellStart"/>
      <w:r w:rsidRPr="00036614">
        <w:rPr>
          <w:rFonts w:eastAsia="Times New Roman" w:cs="Times New Roman"/>
          <w:szCs w:val="20"/>
          <w:lang w:eastAsia="en-CA"/>
        </w:rPr>
        <w:t>Kasirer</w:t>
      </w:r>
      <w:proofErr w:type="spellEnd"/>
      <w:r w:rsidRPr="00036614">
        <w:rPr>
          <w:rFonts w:eastAsia="Times New Roman" w:cs="Times New Roman"/>
          <w:szCs w:val="20"/>
          <w:lang w:eastAsia="en-CA"/>
        </w:rPr>
        <w:t>.</w:t>
      </w:r>
    </w:p>
    <w:p w:rsidR="00036614" w:rsidRPr="00036614" w:rsidRDefault="00036614" w:rsidP="00036614">
      <w:pPr>
        <w:tabs>
          <w:tab w:val="left" w:pos="1168"/>
        </w:tabs>
        <w:spacing w:after="720"/>
        <w:jc w:val="both"/>
        <w:rPr>
          <w:rFonts w:eastAsia="Times New Roman" w:cs="Times New Roman"/>
          <w:smallCaps/>
          <w:szCs w:val="20"/>
          <w:lang w:eastAsia="en-CA"/>
        </w:rPr>
      </w:pPr>
      <w:r w:rsidRPr="00036614">
        <w:rPr>
          <w:rFonts w:eastAsia="Times New Roman" w:cs="Times New Roman"/>
          <w:smallCaps/>
          <w:szCs w:val="20"/>
          <w:lang w:eastAsia="en-CA"/>
        </w:rPr>
        <w:lastRenderedPageBreak/>
        <w:t xml:space="preserve">en appel de la cour d’appel de </w:t>
      </w:r>
      <w:proofErr w:type="spellStart"/>
      <w:r w:rsidRPr="00036614">
        <w:rPr>
          <w:rFonts w:eastAsia="Times New Roman" w:cs="Times New Roman"/>
          <w:smallCaps/>
          <w:szCs w:val="20"/>
          <w:lang w:eastAsia="en-CA"/>
        </w:rPr>
        <w:t>l’alberta</w:t>
      </w:r>
      <w:proofErr w:type="spellEnd"/>
    </w:p>
    <w:p w:rsidR="00036614" w:rsidRPr="00036614" w:rsidRDefault="00036614" w:rsidP="00036614">
      <w:pPr>
        <w:tabs>
          <w:tab w:val="left" w:pos="1168"/>
        </w:tabs>
        <w:spacing w:after="720" w:line="480" w:lineRule="auto"/>
        <w:jc w:val="both"/>
        <w:rPr>
          <w:rFonts w:eastAsia="Times New Roman" w:cs="Times New Roman"/>
          <w:szCs w:val="20"/>
          <w:lang w:eastAsia="en-CA"/>
        </w:rPr>
      </w:pPr>
      <w:r w:rsidRPr="00036614">
        <w:rPr>
          <w:rFonts w:eastAsia="Times New Roman" w:cs="Times New Roman"/>
          <w:szCs w:val="20"/>
          <w:lang w:eastAsia="en-CA"/>
        </w:rPr>
        <w:tab/>
      </w:r>
      <w:r w:rsidRPr="00036614">
        <w:rPr>
          <w:rFonts w:eastAsia="Times New Roman" w:cs="Times New Roman"/>
          <w:i/>
          <w:szCs w:val="20"/>
          <w:lang w:eastAsia="en-CA"/>
        </w:rPr>
        <w:t>Charte des droits —</w:t>
      </w:r>
      <w:r w:rsidRPr="00036614">
        <w:rPr>
          <w:rFonts w:eastAsia="Times New Roman" w:cs="Times New Roman"/>
          <w:szCs w:val="20"/>
          <w:lang w:eastAsia="en-CA"/>
        </w:rPr>
        <w:t xml:space="preserve"> </w:t>
      </w:r>
      <w:r w:rsidRPr="00036614">
        <w:rPr>
          <w:rFonts w:eastAsia="Times New Roman" w:cs="Times New Roman"/>
          <w:i/>
          <w:szCs w:val="20"/>
          <w:lang w:eastAsia="en-CA"/>
        </w:rPr>
        <w:t xml:space="preserve">Réparation — Arrêt des procédures — Violation systémique — Accusé arrêté et détenu pendant plus de </w:t>
      </w:r>
      <w:r w:rsidRPr="00036614">
        <w:rPr>
          <w:rFonts w:eastAsia="Times New Roman" w:cs="Times New Roman"/>
          <w:i/>
          <w:lang w:eastAsia="en-CA"/>
        </w:rPr>
        <w:t>24 heures avant d’être conduit devant un juge de paix pour une enquête sur le cautionnement</w:t>
      </w:r>
      <w:r w:rsidRPr="00036614">
        <w:rPr>
          <w:rFonts w:eastAsia="Times New Roman" w:cs="Times New Roman"/>
          <w:i/>
          <w:szCs w:val="20"/>
          <w:lang w:eastAsia="en-CA"/>
        </w:rPr>
        <w:t>, en violation de l’al. 503(1)(a) du Code criminel</w:t>
      </w:r>
      <w:r w:rsidRPr="00036614">
        <w:rPr>
          <w:rFonts w:eastAsia="Times New Roman" w:cs="Times New Roman"/>
          <w:szCs w:val="20"/>
          <w:lang w:eastAsia="en-CA"/>
        </w:rPr>
        <w:t xml:space="preserve"> — </w:t>
      </w:r>
      <w:r w:rsidRPr="00036614">
        <w:rPr>
          <w:rFonts w:eastAsia="Times New Roman" w:cs="Times New Roman"/>
          <w:i/>
          <w:szCs w:val="20"/>
          <w:lang w:eastAsia="en-CA"/>
        </w:rPr>
        <w:t xml:space="preserve">Couronne concédant que la détention a porté atteinte aux droits garantis par la Charte à l’accusé — Juge de première instance concluant que l’accusé a été détenu pendant plus de 24 heures en raison d’un problème systémique et persistant dans la province et ordonnant l’arrêt des procédures </w:t>
      </w:r>
      <w:r w:rsidRPr="00036614">
        <w:rPr>
          <w:rFonts w:eastAsia="Times New Roman" w:cs="Times New Roman"/>
          <w:szCs w:val="20"/>
          <w:lang w:eastAsia="en-CA"/>
        </w:rPr>
        <w:t xml:space="preserve">— </w:t>
      </w:r>
      <w:r w:rsidRPr="00036614">
        <w:rPr>
          <w:rFonts w:eastAsia="Times New Roman" w:cs="Times New Roman"/>
          <w:i/>
          <w:szCs w:val="20"/>
          <w:lang w:eastAsia="en-CA"/>
        </w:rPr>
        <w:t>Cour d’appel statuant que l’arrêt des procédures ne constituait pas une réparation individuelle convenable à l’égard de violations systémiques de la Charte et annulant la réparation —</w:t>
      </w:r>
      <w:r w:rsidRPr="00036614">
        <w:rPr>
          <w:rFonts w:eastAsia="Times New Roman" w:cs="Times New Roman"/>
          <w:szCs w:val="20"/>
          <w:lang w:eastAsia="en-CA"/>
        </w:rPr>
        <w:t xml:space="preserve"> </w:t>
      </w:r>
      <w:r w:rsidRPr="00036614">
        <w:rPr>
          <w:rFonts w:eastAsia="Times New Roman" w:cs="Times New Roman"/>
          <w:i/>
          <w:szCs w:val="20"/>
          <w:lang w:eastAsia="en-CA"/>
        </w:rPr>
        <w:t>Rien ne justifiait l’intervention de la Cour d’appel quant à la décision de la juge de première instance — Arrêt des procédures rétabli</w:t>
      </w:r>
      <w:r w:rsidRPr="00036614">
        <w:rPr>
          <w:rFonts w:eastAsia="Times New Roman" w:cs="Times New Roman"/>
          <w:szCs w:val="20"/>
          <w:lang w:eastAsia="en-CA"/>
        </w:rPr>
        <w:t>.</w:t>
      </w:r>
    </w:p>
    <w:p w:rsidR="00036614" w:rsidRPr="00036614" w:rsidRDefault="00036614" w:rsidP="00036614">
      <w:pPr>
        <w:widowControl w:val="0"/>
        <w:tabs>
          <w:tab w:val="left" w:pos="1168"/>
        </w:tabs>
        <w:spacing w:after="720" w:line="480" w:lineRule="auto"/>
        <w:jc w:val="both"/>
        <w:rPr>
          <w:rFonts w:eastAsia="Times New Roman" w:cs="Times New Roman"/>
          <w:b/>
          <w:szCs w:val="20"/>
          <w:lang w:eastAsia="en-CA"/>
        </w:rPr>
      </w:pPr>
      <w:r w:rsidRPr="00036614">
        <w:rPr>
          <w:rFonts w:eastAsia="Times New Roman" w:cs="Times New Roman"/>
          <w:b/>
          <w:szCs w:val="20"/>
          <w:lang w:eastAsia="en-CA"/>
        </w:rPr>
        <w:t>Jurisprudence</w:t>
      </w:r>
    </w:p>
    <w:p w:rsidR="00036614" w:rsidRPr="00036614" w:rsidRDefault="00036614" w:rsidP="00036614">
      <w:pPr>
        <w:widowControl w:val="0"/>
        <w:tabs>
          <w:tab w:val="left" w:pos="1168"/>
        </w:tabs>
        <w:spacing w:after="720" w:line="480" w:lineRule="auto"/>
        <w:jc w:val="both"/>
        <w:rPr>
          <w:rFonts w:eastAsia="Times New Roman" w:cs="Times New Roman"/>
          <w:szCs w:val="20"/>
          <w:lang w:eastAsia="en-CA"/>
        </w:rPr>
      </w:pPr>
      <w:r w:rsidRPr="00036614">
        <w:rPr>
          <w:rFonts w:eastAsia="Times New Roman" w:cs="Times New Roman"/>
          <w:szCs w:val="20"/>
          <w:lang w:eastAsia="en-CA"/>
        </w:rPr>
        <w:tab/>
      </w:r>
      <w:r w:rsidRPr="00036614">
        <w:rPr>
          <w:rFonts w:eastAsia="Times New Roman" w:cs="Times New Roman"/>
          <w:b/>
          <w:szCs w:val="20"/>
          <w:lang w:eastAsia="en-CA"/>
        </w:rPr>
        <w:t>Arrêt mentionné :</w:t>
      </w:r>
      <w:r w:rsidRPr="00036614">
        <w:rPr>
          <w:rFonts w:eastAsia="Times New Roman" w:cs="Times New Roman"/>
          <w:szCs w:val="20"/>
          <w:lang w:eastAsia="en-CA"/>
        </w:rPr>
        <w:t xml:space="preserve"> </w:t>
      </w:r>
      <w:r w:rsidRPr="00036614">
        <w:rPr>
          <w:rFonts w:eastAsia="Times New Roman" w:cs="Times New Roman"/>
          <w:i/>
          <w:iCs/>
          <w:color w:val="000000"/>
          <w:szCs w:val="20"/>
          <w:lang w:eastAsia="en-CA"/>
        </w:rPr>
        <w:t xml:space="preserve">R. c. </w:t>
      </w:r>
      <w:proofErr w:type="spellStart"/>
      <w:r w:rsidRPr="00036614">
        <w:rPr>
          <w:rFonts w:eastAsia="Times New Roman" w:cs="Times New Roman"/>
          <w:i/>
          <w:iCs/>
          <w:color w:val="000000"/>
          <w:szCs w:val="20"/>
          <w:lang w:eastAsia="en-CA"/>
        </w:rPr>
        <w:t>Babos</w:t>
      </w:r>
      <w:proofErr w:type="spellEnd"/>
      <w:r w:rsidRPr="00036614">
        <w:rPr>
          <w:rFonts w:eastAsia="Times New Roman" w:cs="Times New Roman"/>
          <w:color w:val="000000"/>
          <w:szCs w:val="20"/>
          <w:lang w:eastAsia="en-CA"/>
        </w:rPr>
        <w:t>, 2014 CSC 16, [2014] 1 R.C.S. 309.</w:t>
      </w:r>
    </w:p>
    <w:p w:rsidR="00036614" w:rsidRPr="00036614" w:rsidRDefault="00036614" w:rsidP="00036614">
      <w:pPr>
        <w:widowControl w:val="0"/>
        <w:tabs>
          <w:tab w:val="left" w:pos="1168"/>
        </w:tabs>
        <w:spacing w:after="720"/>
        <w:jc w:val="both"/>
        <w:rPr>
          <w:rFonts w:eastAsia="Times New Roman" w:cs="Times New Roman"/>
          <w:b/>
          <w:szCs w:val="20"/>
          <w:lang w:eastAsia="en-CA"/>
        </w:rPr>
      </w:pPr>
      <w:r w:rsidRPr="00036614">
        <w:rPr>
          <w:rFonts w:eastAsia="Times New Roman" w:cs="Times New Roman"/>
          <w:b/>
          <w:szCs w:val="20"/>
          <w:lang w:eastAsia="en-CA"/>
        </w:rPr>
        <w:t>Lois et règlements cités</w:t>
      </w:r>
    </w:p>
    <w:p w:rsidR="00036614" w:rsidRPr="00036614" w:rsidRDefault="00036614" w:rsidP="00036614">
      <w:pPr>
        <w:widowControl w:val="0"/>
        <w:tabs>
          <w:tab w:val="left" w:pos="1168"/>
        </w:tabs>
        <w:spacing w:after="720"/>
        <w:ind w:left="540" w:hanging="540"/>
        <w:jc w:val="both"/>
        <w:rPr>
          <w:rFonts w:eastAsia="Times New Roman" w:cs="Times New Roman"/>
          <w:szCs w:val="20"/>
          <w:lang w:eastAsia="en-CA"/>
        </w:rPr>
      </w:pPr>
      <w:r w:rsidRPr="00036614">
        <w:rPr>
          <w:rFonts w:eastAsia="Times New Roman" w:cs="Times New Roman"/>
          <w:i/>
          <w:szCs w:val="20"/>
          <w:lang w:eastAsia="en-CA"/>
        </w:rPr>
        <w:t>Code criminel</w:t>
      </w:r>
      <w:r w:rsidRPr="00036614">
        <w:rPr>
          <w:rFonts w:eastAsia="Times New Roman" w:cs="Times New Roman"/>
          <w:szCs w:val="20"/>
          <w:lang w:eastAsia="en-CA"/>
        </w:rPr>
        <w:t>, L.R.C. 1985, c. C-46, art. 503.</w:t>
      </w:r>
    </w:p>
    <w:p w:rsidR="00036614" w:rsidRPr="00036614" w:rsidRDefault="00036614" w:rsidP="00036614">
      <w:pPr>
        <w:tabs>
          <w:tab w:val="left" w:pos="1168"/>
        </w:tabs>
        <w:spacing w:after="720" w:line="480" w:lineRule="auto"/>
        <w:jc w:val="both"/>
        <w:rPr>
          <w:rFonts w:eastAsia="Times New Roman" w:cs="Times New Roman"/>
          <w:szCs w:val="20"/>
          <w:lang w:eastAsia="en-CA"/>
        </w:rPr>
      </w:pPr>
      <w:r w:rsidRPr="00036614">
        <w:rPr>
          <w:rFonts w:eastAsia="Times New Roman" w:cs="Times New Roman"/>
          <w:szCs w:val="20"/>
          <w:lang w:eastAsia="en-CA"/>
        </w:rPr>
        <w:tab/>
        <w:t xml:space="preserve">POURVOI contre un arrêt de la Cour d’appel de l’Alberta (les juges Martin, </w:t>
      </w:r>
      <w:proofErr w:type="spellStart"/>
      <w:r w:rsidRPr="00036614">
        <w:rPr>
          <w:rFonts w:eastAsia="Times New Roman" w:cs="Times New Roman"/>
          <w:szCs w:val="20"/>
          <w:lang w:eastAsia="en-CA"/>
        </w:rPr>
        <w:t>Slatter</w:t>
      </w:r>
      <w:proofErr w:type="spellEnd"/>
      <w:r w:rsidRPr="00036614">
        <w:rPr>
          <w:rFonts w:eastAsia="Times New Roman" w:cs="Times New Roman"/>
          <w:szCs w:val="20"/>
          <w:lang w:eastAsia="en-CA"/>
        </w:rPr>
        <w:t xml:space="preserve"> et </w:t>
      </w:r>
      <w:proofErr w:type="spellStart"/>
      <w:r w:rsidRPr="00036614">
        <w:rPr>
          <w:rFonts w:eastAsia="Times New Roman" w:cs="Times New Roman"/>
          <w:szCs w:val="20"/>
          <w:lang w:eastAsia="en-CA"/>
        </w:rPr>
        <w:t>Pentelechuk</w:t>
      </w:r>
      <w:proofErr w:type="spellEnd"/>
      <w:r w:rsidRPr="00036614">
        <w:rPr>
          <w:rFonts w:eastAsia="Times New Roman" w:cs="Times New Roman"/>
          <w:szCs w:val="20"/>
          <w:lang w:eastAsia="en-CA"/>
        </w:rPr>
        <w:t xml:space="preserve">), 2019 ABCA 212, 88 Alta. L.R. (6th) 17, 376 C.C.C. (3d) 497, [2019] 9 W.W.R. 60, </w:t>
      </w:r>
      <w:r w:rsidRPr="00036614">
        <w:rPr>
          <w:rFonts w:eastAsia="Times New Roman" w:cs="Times New Roman"/>
          <w:szCs w:val="20"/>
          <w:lang w:eastAsia="en-CA"/>
        </w:rPr>
        <w:lastRenderedPageBreak/>
        <w:t xml:space="preserve">[2019] A.J. No. 676 (QL), 2019 </w:t>
      </w:r>
      <w:proofErr w:type="spellStart"/>
      <w:r w:rsidRPr="00036614">
        <w:rPr>
          <w:rFonts w:eastAsia="Times New Roman" w:cs="Times New Roman"/>
          <w:szCs w:val="20"/>
          <w:lang w:eastAsia="en-CA"/>
        </w:rPr>
        <w:t>CarswellAlta</w:t>
      </w:r>
      <w:proofErr w:type="spellEnd"/>
      <w:r w:rsidRPr="00036614">
        <w:rPr>
          <w:rFonts w:eastAsia="Times New Roman" w:cs="Times New Roman"/>
          <w:szCs w:val="20"/>
          <w:lang w:eastAsia="en-CA"/>
        </w:rPr>
        <w:t xml:space="preserve"> 1016 (WL Can.), qui a annulé l’arrêt des procédures ordonné par la juge </w:t>
      </w:r>
      <w:proofErr w:type="spellStart"/>
      <w:r w:rsidRPr="00036614">
        <w:rPr>
          <w:rFonts w:eastAsia="Times New Roman" w:cs="Times New Roman"/>
          <w:szCs w:val="20"/>
          <w:lang w:eastAsia="en-CA"/>
        </w:rPr>
        <w:t>Cochard</w:t>
      </w:r>
      <w:proofErr w:type="spellEnd"/>
      <w:r w:rsidRPr="00036614">
        <w:rPr>
          <w:rFonts w:eastAsia="Times New Roman" w:cs="Times New Roman"/>
          <w:szCs w:val="20"/>
          <w:lang w:eastAsia="en-CA"/>
        </w:rPr>
        <w:t xml:space="preserve">, 2018 ABPC 85, 411 C.R.R. (2d) 10, [2018] A.J. No. 482 (QL), 2018 </w:t>
      </w:r>
      <w:proofErr w:type="spellStart"/>
      <w:r w:rsidRPr="00036614">
        <w:rPr>
          <w:rFonts w:eastAsia="Times New Roman" w:cs="Times New Roman"/>
          <w:szCs w:val="20"/>
          <w:lang w:eastAsia="en-CA"/>
        </w:rPr>
        <w:t>CarswellAlta</w:t>
      </w:r>
      <w:proofErr w:type="spellEnd"/>
      <w:r w:rsidRPr="00036614">
        <w:rPr>
          <w:rFonts w:eastAsia="Times New Roman" w:cs="Times New Roman"/>
          <w:szCs w:val="20"/>
          <w:lang w:eastAsia="en-CA"/>
        </w:rPr>
        <w:t xml:space="preserve"> 783 (WL Can.). Pourvoi accueilli. </w:t>
      </w:r>
    </w:p>
    <w:p w:rsidR="00036614" w:rsidRPr="00036614" w:rsidRDefault="00036614" w:rsidP="00036614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eastAsia="en-CA"/>
        </w:rPr>
      </w:pPr>
      <w:r w:rsidRPr="00036614">
        <w:rPr>
          <w:rFonts w:eastAsia="Times New Roman" w:cs="Times New Roman"/>
          <w:szCs w:val="20"/>
          <w:lang w:eastAsia="en-CA"/>
        </w:rPr>
        <w:tab/>
      </w:r>
      <w:r w:rsidRPr="00036614">
        <w:rPr>
          <w:rFonts w:eastAsiaTheme="majorEastAsia" w:cs="Times New Roman"/>
          <w:i/>
          <w:iCs/>
          <w:color w:val="000000"/>
          <w:szCs w:val="20"/>
          <w:lang w:eastAsia="en-CA"/>
        </w:rPr>
        <w:t>Deborah Hatch</w:t>
      </w:r>
      <w:r w:rsidRPr="00036614">
        <w:rPr>
          <w:rFonts w:eastAsia="Times New Roman" w:cs="Times New Roman"/>
          <w:color w:val="000000"/>
          <w:szCs w:val="20"/>
          <w:lang w:eastAsia="en-CA"/>
        </w:rPr>
        <w:t> et </w:t>
      </w:r>
      <w:r w:rsidRPr="00036614">
        <w:rPr>
          <w:rFonts w:eastAsiaTheme="majorEastAsia" w:cs="Times New Roman"/>
          <w:i/>
          <w:iCs/>
          <w:color w:val="000000"/>
          <w:szCs w:val="20"/>
          <w:lang w:eastAsia="en-CA"/>
        </w:rPr>
        <w:t>Michael Bates</w:t>
      </w:r>
      <w:r w:rsidRPr="00036614">
        <w:rPr>
          <w:rFonts w:eastAsia="Times New Roman" w:cs="Times New Roman"/>
          <w:szCs w:val="20"/>
          <w:lang w:eastAsia="en-CA"/>
        </w:rPr>
        <w:t>, pour l’appelant.</w:t>
      </w:r>
    </w:p>
    <w:p w:rsidR="00036614" w:rsidRPr="00036614" w:rsidRDefault="00036614" w:rsidP="00036614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eastAsia="en-CA"/>
        </w:rPr>
      </w:pPr>
    </w:p>
    <w:p w:rsidR="00036614" w:rsidRPr="00036614" w:rsidRDefault="00036614" w:rsidP="00036614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eastAsia="en-CA"/>
        </w:rPr>
      </w:pPr>
      <w:r w:rsidRPr="00036614">
        <w:rPr>
          <w:rFonts w:eastAsia="Times New Roman" w:cs="Times New Roman"/>
          <w:i/>
          <w:szCs w:val="20"/>
          <w:lang w:eastAsia="en-CA"/>
        </w:rPr>
        <w:tab/>
      </w:r>
      <w:r w:rsidRPr="00036614">
        <w:rPr>
          <w:rFonts w:eastAsia="Times New Roman" w:cs="Times New Roman"/>
          <w:i/>
          <w:iCs/>
          <w:color w:val="000000"/>
          <w:szCs w:val="20"/>
          <w:lang w:eastAsia="en-CA"/>
        </w:rPr>
        <w:t>Jason R. Russell</w:t>
      </w:r>
      <w:r w:rsidRPr="00036614">
        <w:rPr>
          <w:rFonts w:eastAsia="Times New Roman" w:cs="Times New Roman"/>
          <w:szCs w:val="20"/>
          <w:lang w:eastAsia="en-CA"/>
        </w:rPr>
        <w:t>, pour l’intimée.</w:t>
      </w:r>
    </w:p>
    <w:p w:rsidR="00036614" w:rsidRPr="00036614" w:rsidRDefault="00036614" w:rsidP="00036614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eastAsia="en-CA"/>
        </w:rPr>
      </w:pPr>
    </w:p>
    <w:p w:rsidR="00036614" w:rsidRPr="00036614" w:rsidRDefault="00036614" w:rsidP="00036614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eastAsia="en-CA"/>
        </w:rPr>
      </w:pPr>
      <w:r w:rsidRPr="00036614">
        <w:rPr>
          <w:rFonts w:eastAsia="Times New Roman" w:cs="Times New Roman"/>
          <w:i/>
          <w:szCs w:val="20"/>
          <w:lang w:eastAsia="en-CA"/>
        </w:rPr>
        <w:tab/>
      </w:r>
      <w:r w:rsidRPr="00036614">
        <w:rPr>
          <w:rFonts w:eastAsia="Times New Roman" w:cs="Times New Roman"/>
          <w:i/>
          <w:iCs/>
          <w:color w:val="000000"/>
          <w:szCs w:val="20"/>
          <w:lang w:eastAsia="en-CA"/>
        </w:rPr>
        <w:t>Éric Marcoux</w:t>
      </w:r>
      <w:r w:rsidRPr="00036614">
        <w:rPr>
          <w:rFonts w:eastAsia="Times New Roman" w:cs="Times New Roman"/>
          <w:szCs w:val="20"/>
          <w:lang w:eastAsia="en-CA"/>
        </w:rPr>
        <w:t>, pour l’intervenante la directrice des poursuites pénales.</w:t>
      </w:r>
    </w:p>
    <w:p w:rsidR="00036614" w:rsidRPr="00036614" w:rsidRDefault="00036614" w:rsidP="00036614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eastAsia="en-CA"/>
        </w:rPr>
      </w:pPr>
    </w:p>
    <w:p w:rsidR="00036614" w:rsidRPr="00036614" w:rsidRDefault="00036614" w:rsidP="00036614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eastAsia="en-CA"/>
        </w:rPr>
      </w:pPr>
      <w:r w:rsidRPr="00036614">
        <w:rPr>
          <w:rFonts w:eastAsia="Times New Roman" w:cs="Times New Roman"/>
          <w:i/>
          <w:szCs w:val="20"/>
          <w:lang w:eastAsia="en-CA"/>
        </w:rPr>
        <w:tab/>
      </w:r>
      <w:r w:rsidRPr="00036614">
        <w:rPr>
          <w:rFonts w:eastAsiaTheme="majorEastAsia" w:cs="Times New Roman"/>
          <w:i/>
          <w:iCs/>
          <w:color w:val="000000"/>
          <w:szCs w:val="20"/>
          <w:lang w:eastAsia="en-CA"/>
        </w:rPr>
        <w:t>David Friesen</w:t>
      </w:r>
      <w:r w:rsidRPr="00036614">
        <w:rPr>
          <w:rFonts w:eastAsia="Times New Roman" w:cs="Times New Roman"/>
          <w:szCs w:val="20"/>
          <w:lang w:eastAsia="en-CA"/>
        </w:rPr>
        <w:t>, pour l’intervenant le procureur général de l’Ontario.</w:t>
      </w:r>
    </w:p>
    <w:p w:rsidR="00036614" w:rsidRPr="00036614" w:rsidRDefault="00036614" w:rsidP="00036614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eastAsia="en-CA"/>
        </w:rPr>
      </w:pPr>
    </w:p>
    <w:p w:rsidR="00036614" w:rsidRPr="00036614" w:rsidRDefault="00036614" w:rsidP="00036614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eastAsia="en-CA"/>
        </w:rPr>
      </w:pPr>
      <w:r w:rsidRPr="00036614">
        <w:rPr>
          <w:rFonts w:eastAsia="Times New Roman" w:cs="Times New Roman"/>
          <w:i/>
          <w:szCs w:val="20"/>
          <w:lang w:eastAsia="en-CA"/>
        </w:rPr>
        <w:tab/>
      </w:r>
      <w:proofErr w:type="spellStart"/>
      <w:r w:rsidRPr="00036614">
        <w:rPr>
          <w:rFonts w:eastAsiaTheme="majorEastAsia" w:cs="Times New Roman"/>
          <w:i/>
          <w:iCs/>
          <w:color w:val="000000"/>
          <w:szCs w:val="20"/>
          <w:lang w:eastAsia="en-CA"/>
        </w:rPr>
        <w:t>Catheryne</w:t>
      </w:r>
      <w:proofErr w:type="spellEnd"/>
      <w:r w:rsidRPr="00036614">
        <w:rPr>
          <w:rFonts w:eastAsiaTheme="majorEastAsia" w:cs="Times New Roman"/>
          <w:i/>
          <w:iCs/>
          <w:color w:val="000000"/>
          <w:szCs w:val="20"/>
          <w:lang w:eastAsia="en-CA"/>
        </w:rPr>
        <w:t xml:space="preserve"> Bélanger</w:t>
      </w:r>
      <w:r w:rsidRPr="00036614">
        <w:rPr>
          <w:rFonts w:eastAsia="Times New Roman" w:cs="Times New Roman"/>
          <w:szCs w:val="20"/>
          <w:lang w:eastAsia="en-CA"/>
        </w:rPr>
        <w:t>, pour l’intervenant le procureur général du Québec.</w:t>
      </w:r>
    </w:p>
    <w:p w:rsidR="00036614" w:rsidRPr="00036614" w:rsidRDefault="00036614" w:rsidP="00036614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eastAsia="en-CA"/>
        </w:rPr>
      </w:pPr>
    </w:p>
    <w:p w:rsidR="00036614" w:rsidRPr="00036614" w:rsidRDefault="00036614" w:rsidP="00036614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eastAsia="en-CA"/>
        </w:rPr>
      </w:pPr>
      <w:r w:rsidRPr="00036614">
        <w:rPr>
          <w:rFonts w:eastAsia="Times New Roman" w:cs="Times New Roman"/>
          <w:i/>
          <w:szCs w:val="20"/>
          <w:lang w:eastAsia="en-CA"/>
        </w:rPr>
        <w:tab/>
      </w:r>
      <w:r w:rsidRPr="00036614">
        <w:rPr>
          <w:rFonts w:eastAsiaTheme="majorEastAsia" w:cs="Times New Roman"/>
          <w:i/>
          <w:iCs/>
          <w:color w:val="000000"/>
          <w:szCs w:val="20"/>
          <w:lang w:eastAsia="en-CA"/>
        </w:rPr>
        <w:t xml:space="preserve">Jonathan </w:t>
      </w:r>
      <w:proofErr w:type="spellStart"/>
      <w:r w:rsidRPr="00036614">
        <w:rPr>
          <w:rFonts w:eastAsiaTheme="majorEastAsia" w:cs="Times New Roman"/>
          <w:i/>
          <w:iCs/>
          <w:color w:val="000000"/>
          <w:szCs w:val="20"/>
          <w:lang w:eastAsia="en-CA"/>
        </w:rPr>
        <w:t>Rudin</w:t>
      </w:r>
      <w:proofErr w:type="spellEnd"/>
      <w:r w:rsidRPr="00036614">
        <w:rPr>
          <w:rFonts w:eastAsia="Times New Roman" w:cs="Times New Roman"/>
          <w:szCs w:val="20"/>
          <w:lang w:eastAsia="en-CA"/>
        </w:rPr>
        <w:t xml:space="preserve">, pour l’intervenant </w:t>
      </w:r>
      <w:proofErr w:type="spellStart"/>
      <w:r w:rsidRPr="00036614">
        <w:rPr>
          <w:rFonts w:eastAsia="Times New Roman" w:cs="Times New Roman"/>
          <w:color w:val="000000"/>
          <w:szCs w:val="20"/>
          <w:lang w:eastAsia="en-CA"/>
        </w:rPr>
        <w:t>Aboriginal</w:t>
      </w:r>
      <w:proofErr w:type="spellEnd"/>
      <w:r w:rsidRPr="00036614">
        <w:rPr>
          <w:rFonts w:eastAsia="Times New Roman" w:cs="Times New Roman"/>
          <w:color w:val="000000"/>
          <w:szCs w:val="20"/>
          <w:lang w:eastAsia="en-CA"/>
        </w:rPr>
        <w:t xml:space="preserve"> </w:t>
      </w:r>
      <w:proofErr w:type="spellStart"/>
      <w:r w:rsidRPr="00036614">
        <w:rPr>
          <w:rFonts w:eastAsia="Times New Roman" w:cs="Times New Roman"/>
          <w:color w:val="000000"/>
          <w:szCs w:val="20"/>
          <w:lang w:eastAsia="en-CA"/>
        </w:rPr>
        <w:t>Legal</w:t>
      </w:r>
      <w:proofErr w:type="spellEnd"/>
      <w:r w:rsidRPr="00036614">
        <w:rPr>
          <w:rFonts w:eastAsia="Times New Roman" w:cs="Times New Roman"/>
          <w:color w:val="000000"/>
          <w:szCs w:val="20"/>
          <w:lang w:eastAsia="en-CA"/>
        </w:rPr>
        <w:t xml:space="preserve"> Services</w:t>
      </w:r>
      <w:r w:rsidRPr="00036614">
        <w:rPr>
          <w:rFonts w:eastAsia="Times New Roman" w:cs="Times New Roman"/>
          <w:szCs w:val="20"/>
          <w:lang w:eastAsia="en-CA"/>
        </w:rPr>
        <w:t>.</w:t>
      </w:r>
    </w:p>
    <w:p w:rsidR="00036614" w:rsidRPr="00036614" w:rsidRDefault="00036614" w:rsidP="00036614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eastAsia="en-CA"/>
        </w:rPr>
      </w:pPr>
    </w:p>
    <w:p w:rsidR="00036614" w:rsidRPr="00036614" w:rsidRDefault="00036614" w:rsidP="00036614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eastAsia="en-CA"/>
        </w:rPr>
      </w:pPr>
      <w:r w:rsidRPr="00036614">
        <w:rPr>
          <w:rFonts w:eastAsia="Times New Roman" w:cs="Times New Roman"/>
          <w:i/>
          <w:szCs w:val="20"/>
          <w:lang w:eastAsia="en-CA"/>
        </w:rPr>
        <w:tab/>
      </w:r>
      <w:r w:rsidRPr="00036614">
        <w:rPr>
          <w:rFonts w:eastAsiaTheme="majorEastAsia" w:cs="Times New Roman"/>
          <w:i/>
          <w:iCs/>
          <w:color w:val="000000"/>
          <w:szCs w:val="20"/>
          <w:lang w:eastAsia="en-CA"/>
        </w:rPr>
        <w:t xml:space="preserve">Boris </w:t>
      </w:r>
      <w:proofErr w:type="spellStart"/>
      <w:r w:rsidRPr="00036614">
        <w:rPr>
          <w:rFonts w:eastAsiaTheme="majorEastAsia" w:cs="Times New Roman"/>
          <w:i/>
          <w:iCs/>
          <w:color w:val="000000"/>
          <w:szCs w:val="20"/>
          <w:lang w:eastAsia="en-CA"/>
        </w:rPr>
        <w:t>Bytensky</w:t>
      </w:r>
      <w:proofErr w:type="spellEnd"/>
      <w:r w:rsidRPr="00036614">
        <w:rPr>
          <w:rFonts w:eastAsia="Times New Roman" w:cs="Times New Roman"/>
          <w:szCs w:val="20"/>
          <w:lang w:eastAsia="en-CA"/>
        </w:rPr>
        <w:t xml:space="preserve">, pour l’intervenante </w:t>
      </w:r>
      <w:proofErr w:type="spellStart"/>
      <w:r w:rsidRPr="00036614">
        <w:rPr>
          <w:rFonts w:eastAsia="Times New Roman" w:cs="Times New Roman"/>
          <w:color w:val="000000"/>
          <w:szCs w:val="20"/>
          <w:lang w:eastAsia="en-CA"/>
        </w:rPr>
        <w:t>Criminal</w:t>
      </w:r>
      <w:proofErr w:type="spellEnd"/>
      <w:r w:rsidRPr="00036614">
        <w:rPr>
          <w:rFonts w:eastAsia="Times New Roman" w:cs="Times New Roman"/>
          <w:color w:val="000000"/>
          <w:szCs w:val="20"/>
          <w:lang w:eastAsia="en-CA"/>
        </w:rPr>
        <w:t xml:space="preserve"> </w:t>
      </w:r>
      <w:proofErr w:type="spellStart"/>
      <w:r w:rsidRPr="00036614">
        <w:rPr>
          <w:rFonts w:eastAsia="Times New Roman" w:cs="Times New Roman"/>
          <w:color w:val="000000"/>
          <w:szCs w:val="20"/>
          <w:lang w:eastAsia="en-CA"/>
        </w:rPr>
        <w:t>Lawyers</w:t>
      </w:r>
      <w:proofErr w:type="spellEnd"/>
      <w:r w:rsidRPr="00036614">
        <w:rPr>
          <w:rFonts w:eastAsia="Times New Roman" w:cs="Times New Roman"/>
          <w:color w:val="000000"/>
          <w:szCs w:val="20"/>
          <w:lang w:eastAsia="en-CA"/>
        </w:rPr>
        <w:t>’ Association (Ontario)</w:t>
      </w:r>
      <w:r w:rsidRPr="00036614">
        <w:rPr>
          <w:rFonts w:eastAsia="Times New Roman" w:cs="Times New Roman"/>
          <w:szCs w:val="20"/>
          <w:lang w:eastAsia="en-CA"/>
        </w:rPr>
        <w:t xml:space="preserve">. </w:t>
      </w:r>
    </w:p>
    <w:p w:rsidR="00036614" w:rsidRPr="00036614" w:rsidRDefault="00036614" w:rsidP="00036614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eastAsia="en-CA"/>
        </w:rPr>
      </w:pPr>
    </w:p>
    <w:p w:rsidR="00036614" w:rsidRPr="00036614" w:rsidRDefault="00036614" w:rsidP="00036614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eastAsia="en-CA"/>
        </w:rPr>
      </w:pPr>
      <w:r w:rsidRPr="00036614">
        <w:rPr>
          <w:rFonts w:eastAsia="Times New Roman" w:cs="Times New Roman"/>
          <w:i/>
          <w:szCs w:val="20"/>
          <w:lang w:eastAsia="en-CA"/>
        </w:rPr>
        <w:tab/>
      </w:r>
      <w:r w:rsidRPr="00036614">
        <w:rPr>
          <w:rFonts w:eastAsiaTheme="majorEastAsia" w:cs="Times New Roman"/>
          <w:i/>
          <w:iCs/>
          <w:color w:val="000000"/>
          <w:szCs w:val="20"/>
          <w:lang w:eastAsia="en-CA"/>
        </w:rPr>
        <w:t>Daniel J. Song</w:t>
      </w:r>
      <w:r w:rsidRPr="00036614">
        <w:rPr>
          <w:rFonts w:eastAsia="Times New Roman" w:cs="Times New Roman"/>
          <w:szCs w:val="20"/>
          <w:lang w:eastAsia="en-CA"/>
        </w:rPr>
        <w:t xml:space="preserve">, pour l’intervenante </w:t>
      </w:r>
      <w:proofErr w:type="spellStart"/>
      <w:r w:rsidRPr="00036614">
        <w:rPr>
          <w:rFonts w:eastAsia="Times New Roman" w:cs="Times New Roman"/>
          <w:color w:val="000000"/>
          <w:szCs w:val="20"/>
          <w:lang w:eastAsia="en-CA"/>
        </w:rPr>
        <w:t>Criminal</w:t>
      </w:r>
      <w:proofErr w:type="spellEnd"/>
      <w:r w:rsidRPr="00036614">
        <w:rPr>
          <w:rFonts w:eastAsia="Times New Roman" w:cs="Times New Roman"/>
          <w:color w:val="000000"/>
          <w:szCs w:val="20"/>
          <w:lang w:eastAsia="en-CA"/>
        </w:rPr>
        <w:t xml:space="preserve"> Trial </w:t>
      </w:r>
      <w:proofErr w:type="spellStart"/>
      <w:r w:rsidRPr="00036614">
        <w:rPr>
          <w:rFonts w:eastAsia="Times New Roman" w:cs="Times New Roman"/>
          <w:color w:val="000000"/>
          <w:szCs w:val="20"/>
          <w:lang w:eastAsia="en-CA"/>
        </w:rPr>
        <w:t>Lawyers</w:t>
      </w:r>
      <w:proofErr w:type="spellEnd"/>
      <w:r w:rsidRPr="00036614">
        <w:rPr>
          <w:rFonts w:eastAsia="Times New Roman" w:cs="Times New Roman"/>
          <w:color w:val="000000"/>
          <w:szCs w:val="20"/>
          <w:lang w:eastAsia="en-CA"/>
        </w:rPr>
        <w:t>’ Association</w:t>
      </w:r>
      <w:r w:rsidRPr="00036614">
        <w:rPr>
          <w:rFonts w:eastAsia="Times New Roman" w:cs="Times New Roman"/>
          <w:szCs w:val="20"/>
          <w:lang w:eastAsia="en-CA"/>
        </w:rPr>
        <w:t>.</w:t>
      </w:r>
    </w:p>
    <w:p w:rsidR="00036614" w:rsidRPr="00036614" w:rsidRDefault="00036614" w:rsidP="00036614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eastAsia="en-CA"/>
        </w:rPr>
      </w:pPr>
    </w:p>
    <w:p w:rsidR="00036614" w:rsidRPr="00036614" w:rsidRDefault="00036614" w:rsidP="00036614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eastAsia="en-CA"/>
        </w:rPr>
      </w:pPr>
      <w:r w:rsidRPr="00036614">
        <w:rPr>
          <w:rFonts w:eastAsia="Times New Roman" w:cs="Times New Roman"/>
          <w:i/>
          <w:szCs w:val="20"/>
          <w:lang w:eastAsia="en-CA"/>
        </w:rPr>
        <w:tab/>
      </w:r>
      <w:r w:rsidRPr="00036614">
        <w:rPr>
          <w:rFonts w:eastAsiaTheme="majorEastAsia" w:cs="Times New Roman"/>
          <w:i/>
          <w:iCs/>
          <w:color w:val="000000"/>
          <w:szCs w:val="20"/>
          <w:lang w:eastAsia="en-CA"/>
        </w:rPr>
        <w:t>Ariane Gagnon-Rocque</w:t>
      </w:r>
      <w:r w:rsidRPr="00036614">
        <w:rPr>
          <w:rFonts w:eastAsia="Times New Roman" w:cs="Times New Roman"/>
          <w:szCs w:val="20"/>
          <w:lang w:eastAsia="en-CA"/>
        </w:rPr>
        <w:t>, pour l’intervenante l’</w:t>
      </w:r>
      <w:r w:rsidRPr="00036614">
        <w:rPr>
          <w:rFonts w:eastAsia="Times New Roman" w:cs="Times New Roman"/>
          <w:color w:val="000000"/>
          <w:szCs w:val="20"/>
          <w:lang w:eastAsia="en-CA"/>
        </w:rPr>
        <w:t>Association québécoise des avocats et avocates de la défense</w:t>
      </w:r>
      <w:r w:rsidRPr="00036614">
        <w:rPr>
          <w:rFonts w:eastAsia="Times New Roman" w:cs="Times New Roman"/>
          <w:szCs w:val="20"/>
          <w:lang w:eastAsia="en-CA"/>
        </w:rPr>
        <w:t>.</w:t>
      </w:r>
    </w:p>
    <w:p w:rsidR="00036614" w:rsidRPr="00036614" w:rsidRDefault="00036614" w:rsidP="00036614">
      <w:pPr>
        <w:tabs>
          <w:tab w:val="left" w:pos="1168"/>
        </w:tabs>
        <w:spacing w:before="480" w:after="480" w:line="480" w:lineRule="auto"/>
        <w:jc w:val="both"/>
        <w:rPr>
          <w:rFonts w:eastAsia="Times New Roman" w:cs="Times New Roman"/>
          <w:szCs w:val="20"/>
          <w:lang w:eastAsia="en-CA"/>
        </w:rPr>
      </w:pPr>
      <w:r w:rsidRPr="00036614">
        <w:rPr>
          <w:rFonts w:eastAsia="Times New Roman" w:cs="Times New Roman"/>
          <w:szCs w:val="20"/>
          <w:lang w:eastAsia="en-CA"/>
        </w:rPr>
        <w:lastRenderedPageBreak/>
        <w:tab/>
        <w:t>Version française du jugement de la Cour rendu oralement par</w:t>
      </w:r>
    </w:p>
    <w:p w:rsidR="00036614" w:rsidRPr="00036614" w:rsidRDefault="00036614" w:rsidP="00036614">
      <w:pPr>
        <w:tabs>
          <w:tab w:val="num" w:pos="1152"/>
        </w:tabs>
        <w:spacing w:before="480" w:after="480" w:line="480" w:lineRule="auto"/>
        <w:jc w:val="both"/>
        <w:rPr>
          <w:rFonts w:eastAsiaTheme="minorEastAsia"/>
          <w:szCs w:val="22"/>
        </w:rPr>
      </w:pPr>
      <w:r w:rsidRPr="00036614">
        <w:rPr>
          <w:rFonts w:eastAsiaTheme="minorEastAsia"/>
          <w:smallCaps/>
          <w:szCs w:val="22"/>
        </w:rPr>
        <w:t>[1]</w:t>
      </w:r>
      <w:r w:rsidRPr="00036614">
        <w:rPr>
          <w:rFonts w:eastAsiaTheme="minorEastAsia"/>
          <w:smallCaps/>
          <w:szCs w:val="22"/>
        </w:rPr>
        <w:tab/>
        <w:t>Le juge Brown</w:t>
      </w:r>
      <w:r w:rsidRPr="00036614">
        <w:rPr>
          <w:rFonts w:eastAsiaTheme="minorEastAsia"/>
          <w:szCs w:val="22"/>
        </w:rPr>
        <w:t xml:space="preserve"> — Eu égard aux circonstances, y compris la conclusion tirée par la juge de première instance au </w:t>
      </w:r>
      <w:proofErr w:type="spellStart"/>
      <w:r w:rsidRPr="00036614">
        <w:rPr>
          <w:rFonts w:eastAsiaTheme="minorEastAsia"/>
          <w:szCs w:val="22"/>
        </w:rPr>
        <w:t>par</w:t>
      </w:r>
      <w:proofErr w:type="spellEnd"/>
      <w:r w:rsidRPr="00036614">
        <w:rPr>
          <w:rFonts w:eastAsiaTheme="minorEastAsia"/>
          <w:szCs w:val="22"/>
        </w:rPr>
        <w:t xml:space="preserve">. 63 de ses motifs (2018 ABPC 85, 411 C.R.R. (2d) 10), selon laquelle la violation de l’art. 503 du </w:t>
      </w:r>
      <w:r w:rsidRPr="00036614">
        <w:rPr>
          <w:rFonts w:eastAsiaTheme="minorEastAsia"/>
          <w:i/>
          <w:iCs/>
          <w:szCs w:val="22"/>
        </w:rPr>
        <w:t>Code criminel</w:t>
      </w:r>
      <w:r w:rsidRPr="00036614">
        <w:rPr>
          <w:rFonts w:eastAsiaTheme="minorEastAsia"/>
          <w:szCs w:val="22"/>
        </w:rPr>
        <w:t xml:space="preserve">, L.R.C. 1985, c. C-46, était une manifestation d’un problème systémique et persistant à l’égard duquel aucune mesure satisfaisante n’était prise pour y remédier, nous sommes toutes et tous d’avis que rien ne justifiait l’intervention de la Cour d’appel dans l’exercice par la juge de première instance de son pouvoir discrétionnaire : voir </w:t>
      </w:r>
      <w:r w:rsidRPr="00036614">
        <w:rPr>
          <w:rFonts w:eastAsiaTheme="minorEastAsia"/>
          <w:i/>
          <w:iCs/>
          <w:szCs w:val="22"/>
        </w:rPr>
        <w:t xml:space="preserve">R. c. </w:t>
      </w:r>
      <w:proofErr w:type="spellStart"/>
      <w:r w:rsidRPr="00036614">
        <w:rPr>
          <w:rFonts w:eastAsiaTheme="minorEastAsia"/>
          <w:i/>
          <w:iCs/>
          <w:szCs w:val="22"/>
        </w:rPr>
        <w:t>Babos</w:t>
      </w:r>
      <w:proofErr w:type="spellEnd"/>
      <w:r w:rsidRPr="00036614">
        <w:rPr>
          <w:rFonts w:eastAsiaTheme="minorEastAsia"/>
          <w:szCs w:val="22"/>
        </w:rPr>
        <w:t>, 2014 CSC 16, [2014] 1 R.C.S. 309, par. 41. </w:t>
      </w:r>
    </w:p>
    <w:p w:rsidR="00036614" w:rsidRPr="00036614" w:rsidRDefault="00036614" w:rsidP="00036614">
      <w:pPr>
        <w:tabs>
          <w:tab w:val="num" w:pos="1152"/>
        </w:tabs>
        <w:spacing w:before="480" w:after="480" w:line="480" w:lineRule="auto"/>
        <w:jc w:val="both"/>
        <w:rPr>
          <w:rFonts w:eastAsiaTheme="minorEastAsia"/>
          <w:szCs w:val="22"/>
        </w:rPr>
      </w:pPr>
      <w:r w:rsidRPr="00036614">
        <w:rPr>
          <w:rFonts w:eastAsiaTheme="minorEastAsia"/>
          <w:szCs w:val="22"/>
        </w:rPr>
        <w:t>[2]</w:t>
      </w:r>
      <w:r w:rsidRPr="00036614">
        <w:rPr>
          <w:rFonts w:eastAsiaTheme="minorEastAsia"/>
          <w:szCs w:val="22"/>
        </w:rPr>
        <w:tab/>
        <w:t>L’appel est accueilli et l’arrêt des procédures est rétabli.</w:t>
      </w:r>
    </w:p>
    <w:p w:rsidR="00036614" w:rsidRPr="00036614" w:rsidRDefault="00036614" w:rsidP="00036614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i/>
          <w:szCs w:val="20"/>
          <w:lang w:eastAsia="en-CA"/>
        </w:rPr>
      </w:pPr>
      <w:r w:rsidRPr="00036614">
        <w:rPr>
          <w:rFonts w:eastAsia="Times New Roman" w:cs="Times New Roman"/>
          <w:szCs w:val="20"/>
          <w:lang w:eastAsia="en-CA"/>
        </w:rPr>
        <w:tab/>
      </w:r>
      <w:r w:rsidRPr="00036614">
        <w:rPr>
          <w:rFonts w:eastAsia="Times New Roman" w:cs="Times New Roman"/>
          <w:i/>
          <w:szCs w:val="20"/>
          <w:lang w:eastAsia="en-CA"/>
        </w:rPr>
        <w:t>Jugement en conséquence.</w:t>
      </w:r>
    </w:p>
    <w:p w:rsidR="00036614" w:rsidRPr="00036614" w:rsidRDefault="00036614" w:rsidP="00036614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i/>
          <w:szCs w:val="20"/>
          <w:lang w:eastAsia="en-CA"/>
        </w:rPr>
      </w:pPr>
    </w:p>
    <w:p w:rsidR="00036614" w:rsidRPr="00036614" w:rsidRDefault="00036614" w:rsidP="00036614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i/>
          <w:szCs w:val="20"/>
          <w:lang w:eastAsia="en-CA"/>
        </w:rPr>
      </w:pPr>
      <w:r w:rsidRPr="00036614">
        <w:rPr>
          <w:rFonts w:eastAsia="Times New Roman" w:cs="Times New Roman"/>
          <w:szCs w:val="20"/>
          <w:lang w:eastAsia="en-CA"/>
        </w:rPr>
        <w:tab/>
      </w:r>
      <w:r w:rsidRPr="00036614">
        <w:rPr>
          <w:rFonts w:eastAsia="Times New Roman" w:cs="Times New Roman"/>
          <w:i/>
          <w:szCs w:val="20"/>
          <w:lang w:eastAsia="en-CA"/>
        </w:rPr>
        <w:t xml:space="preserve">Procureurs de l’appelant : Deborah Hatch Law Office, Edmonton; </w:t>
      </w:r>
      <w:proofErr w:type="spellStart"/>
      <w:r w:rsidRPr="00036614">
        <w:rPr>
          <w:rFonts w:eastAsia="Times New Roman" w:cs="Times New Roman"/>
          <w:i/>
          <w:szCs w:val="20"/>
          <w:lang w:eastAsia="en-CA"/>
        </w:rPr>
        <w:t>Ruttan</w:t>
      </w:r>
      <w:proofErr w:type="spellEnd"/>
      <w:r w:rsidRPr="00036614">
        <w:rPr>
          <w:rFonts w:eastAsia="Times New Roman" w:cs="Times New Roman"/>
          <w:i/>
          <w:szCs w:val="20"/>
          <w:lang w:eastAsia="en-CA"/>
        </w:rPr>
        <w:t xml:space="preserve"> Bates, Calgary.</w:t>
      </w:r>
    </w:p>
    <w:p w:rsidR="00036614" w:rsidRPr="00036614" w:rsidRDefault="00036614" w:rsidP="00036614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i/>
          <w:szCs w:val="20"/>
          <w:lang w:eastAsia="en-CA"/>
        </w:rPr>
      </w:pPr>
    </w:p>
    <w:p w:rsidR="00036614" w:rsidRPr="00036614" w:rsidRDefault="00036614" w:rsidP="00036614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i/>
          <w:szCs w:val="20"/>
          <w:lang w:eastAsia="en-CA"/>
        </w:rPr>
      </w:pPr>
      <w:r w:rsidRPr="00036614">
        <w:rPr>
          <w:rFonts w:eastAsia="Times New Roman" w:cs="Times New Roman"/>
          <w:i/>
          <w:szCs w:val="20"/>
          <w:lang w:eastAsia="en-CA"/>
        </w:rPr>
        <w:tab/>
        <w:t>Procureur de l’intimée : Procureur général de l’Alberta, Edmonton.</w:t>
      </w:r>
    </w:p>
    <w:p w:rsidR="00036614" w:rsidRPr="00036614" w:rsidRDefault="00036614" w:rsidP="00036614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eastAsia="en-CA"/>
        </w:rPr>
      </w:pPr>
    </w:p>
    <w:p w:rsidR="00036614" w:rsidRPr="00036614" w:rsidRDefault="00036614" w:rsidP="00036614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i/>
          <w:szCs w:val="20"/>
          <w:lang w:eastAsia="en-CA"/>
        </w:rPr>
      </w:pPr>
      <w:r w:rsidRPr="00036614">
        <w:rPr>
          <w:rFonts w:eastAsia="Times New Roman" w:cs="Times New Roman"/>
          <w:i/>
          <w:szCs w:val="20"/>
          <w:lang w:eastAsia="en-CA"/>
        </w:rPr>
        <w:tab/>
        <w:t>Procureur de l’intervenante la directrice des poursuites pénales : Service des poursuites pénales du Canada, Ottawa.</w:t>
      </w:r>
    </w:p>
    <w:p w:rsidR="00036614" w:rsidRPr="00036614" w:rsidRDefault="00036614" w:rsidP="00036614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eastAsia="en-CA"/>
        </w:rPr>
      </w:pPr>
    </w:p>
    <w:p w:rsidR="00036614" w:rsidRPr="00036614" w:rsidRDefault="00036614" w:rsidP="00036614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i/>
          <w:szCs w:val="20"/>
          <w:lang w:eastAsia="en-CA"/>
        </w:rPr>
      </w:pPr>
      <w:r w:rsidRPr="00036614">
        <w:rPr>
          <w:rFonts w:eastAsia="Times New Roman" w:cs="Times New Roman"/>
          <w:i/>
          <w:szCs w:val="20"/>
          <w:lang w:eastAsia="en-CA"/>
        </w:rPr>
        <w:tab/>
        <w:t>Procureur de l’intervenant le procureur général de l’Ontario : Procureur général de l’Ontario, Toronto.</w:t>
      </w:r>
    </w:p>
    <w:p w:rsidR="00036614" w:rsidRPr="00036614" w:rsidRDefault="00036614" w:rsidP="00036614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eastAsia="en-CA"/>
        </w:rPr>
      </w:pPr>
    </w:p>
    <w:p w:rsidR="00036614" w:rsidRPr="00036614" w:rsidRDefault="00036614" w:rsidP="00036614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i/>
          <w:szCs w:val="20"/>
          <w:lang w:eastAsia="en-CA"/>
        </w:rPr>
      </w:pPr>
      <w:r w:rsidRPr="00036614">
        <w:rPr>
          <w:rFonts w:eastAsia="Times New Roman" w:cs="Times New Roman"/>
          <w:i/>
          <w:szCs w:val="20"/>
          <w:lang w:eastAsia="en-CA"/>
        </w:rPr>
        <w:tab/>
        <w:t>Procureur de l’intervenant le procureur général du Québec : Procureur général du Québec, Québec.</w:t>
      </w:r>
    </w:p>
    <w:p w:rsidR="00036614" w:rsidRPr="00036614" w:rsidRDefault="00036614" w:rsidP="00036614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i/>
          <w:szCs w:val="20"/>
          <w:lang w:eastAsia="en-CA"/>
        </w:rPr>
      </w:pPr>
    </w:p>
    <w:p w:rsidR="00036614" w:rsidRPr="00036614" w:rsidRDefault="00036614" w:rsidP="00036614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i/>
          <w:szCs w:val="20"/>
          <w:lang w:eastAsia="en-CA"/>
        </w:rPr>
      </w:pPr>
      <w:r w:rsidRPr="00036614">
        <w:rPr>
          <w:rFonts w:eastAsia="Times New Roman" w:cs="Times New Roman"/>
          <w:i/>
          <w:szCs w:val="20"/>
          <w:lang w:eastAsia="en-CA"/>
        </w:rPr>
        <w:tab/>
        <w:t>Procureur de l’intervenant</w:t>
      </w:r>
      <w:r w:rsidRPr="00036614">
        <w:rPr>
          <w:rFonts w:eastAsia="Times New Roman" w:cs="Times New Roman"/>
          <w:i/>
          <w:color w:val="000000"/>
          <w:szCs w:val="20"/>
          <w:lang w:eastAsia="en-CA"/>
        </w:rPr>
        <w:t xml:space="preserve"> </w:t>
      </w:r>
      <w:proofErr w:type="spellStart"/>
      <w:r w:rsidRPr="00036614">
        <w:rPr>
          <w:rFonts w:eastAsia="Times New Roman" w:cs="Times New Roman"/>
          <w:i/>
          <w:color w:val="000000"/>
          <w:szCs w:val="20"/>
          <w:lang w:eastAsia="en-CA"/>
        </w:rPr>
        <w:t>Aboriginal</w:t>
      </w:r>
      <w:proofErr w:type="spellEnd"/>
      <w:r w:rsidRPr="00036614">
        <w:rPr>
          <w:rFonts w:eastAsia="Times New Roman" w:cs="Times New Roman"/>
          <w:i/>
          <w:color w:val="000000"/>
          <w:szCs w:val="20"/>
          <w:lang w:eastAsia="en-CA"/>
        </w:rPr>
        <w:t xml:space="preserve"> </w:t>
      </w:r>
      <w:proofErr w:type="spellStart"/>
      <w:r w:rsidRPr="00036614">
        <w:rPr>
          <w:rFonts w:eastAsia="Times New Roman" w:cs="Times New Roman"/>
          <w:i/>
          <w:color w:val="000000"/>
          <w:szCs w:val="20"/>
          <w:lang w:eastAsia="en-CA"/>
        </w:rPr>
        <w:t>Legal</w:t>
      </w:r>
      <w:proofErr w:type="spellEnd"/>
      <w:r w:rsidRPr="00036614">
        <w:rPr>
          <w:rFonts w:eastAsia="Times New Roman" w:cs="Times New Roman"/>
          <w:i/>
          <w:color w:val="000000"/>
          <w:szCs w:val="20"/>
          <w:lang w:eastAsia="en-CA"/>
        </w:rPr>
        <w:t xml:space="preserve"> Services</w:t>
      </w:r>
      <w:r w:rsidRPr="00036614">
        <w:rPr>
          <w:rFonts w:eastAsia="Times New Roman" w:cs="Times New Roman"/>
          <w:i/>
          <w:szCs w:val="20"/>
          <w:lang w:eastAsia="en-CA"/>
        </w:rPr>
        <w:t xml:space="preserve"> : </w:t>
      </w:r>
      <w:proofErr w:type="spellStart"/>
      <w:r w:rsidRPr="00036614">
        <w:rPr>
          <w:rFonts w:eastAsia="Times New Roman" w:cs="Times New Roman"/>
          <w:i/>
          <w:color w:val="000000"/>
          <w:szCs w:val="20"/>
          <w:lang w:eastAsia="en-CA"/>
        </w:rPr>
        <w:t>Aboriginal</w:t>
      </w:r>
      <w:proofErr w:type="spellEnd"/>
      <w:r w:rsidRPr="00036614">
        <w:rPr>
          <w:rFonts w:eastAsia="Times New Roman" w:cs="Times New Roman"/>
          <w:i/>
          <w:color w:val="000000"/>
          <w:szCs w:val="20"/>
          <w:lang w:eastAsia="en-CA"/>
        </w:rPr>
        <w:t xml:space="preserve"> </w:t>
      </w:r>
      <w:proofErr w:type="spellStart"/>
      <w:r w:rsidRPr="00036614">
        <w:rPr>
          <w:rFonts w:eastAsia="Times New Roman" w:cs="Times New Roman"/>
          <w:i/>
          <w:color w:val="000000"/>
          <w:szCs w:val="20"/>
          <w:lang w:eastAsia="en-CA"/>
        </w:rPr>
        <w:t>Legal</w:t>
      </w:r>
      <w:proofErr w:type="spellEnd"/>
      <w:r w:rsidRPr="00036614">
        <w:rPr>
          <w:rFonts w:eastAsia="Times New Roman" w:cs="Times New Roman"/>
          <w:i/>
          <w:color w:val="000000"/>
          <w:szCs w:val="20"/>
          <w:lang w:eastAsia="en-CA"/>
        </w:rPr>
        <w:t xml:space="preserve"> Services</w:t>
      </w:r>
      <w:r w:rsidRPr="00036614">
        <w:rPr>
          <w:rFonts w:eastAsia="Times New Roman" w:cs="Times New Roman"/>
          <w:i/>
          <w:szCs w:val="20"/>
          <w:lang w:eastAsia="en-CA"/>
        </w:rPr>
        <w:t>, Toronto.</w:t>
      </w:r>
    </w:p>
    <w:p w:rsidR="00036614" w:rsidRPr="00036614" w:rsidRDefault="00036614" w:rsidP="00036614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eastAsia="en-CA"/>
        </w:rPr>
      </w:pPr>
    </w:p>
    <w:p w:rsidR="00036614" w:rsidRPr="00036614" w:rsidRDefault="00036614" w:rsidP="00036614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i/>
          <w:szCs w:val="20"/>
          <w:lang w:eastAsia="en-CA"/>
        </w:rPr>
      </w:pPr>
      <w:r w:rsidRPr="00036614">
        <w:rPr>
          <w:rFonts w:eastAsia="Times New Roman" w:cs="Times New Roman"/>
          <w:i/>
          <w:szCs w:val="20"/>
          <w:lang w:eastAsia="en-CA"/>
        </w:rPr>
        <w:tab/>
        <w:t xml:space="preserve">Procureurs de l’intervenante </w:t>
      </w:r>
      <w:proofErr w:type="spellStart"/>
      <w:r w:rsidRPr="00036614">
        <w:rPr>
          <w:rFonts w:eastAsia="Times New Roman" w:cs="Times New Roman"/>
          <w:i/>
          <w:color w:val="000000"/>
          <w:szCs w:val="20"/>
          <w:lang w:eastAsia="en-CA"/>
        </w:rPr>
        <w:t>Criminal</w:t>
      </w:r>
      <w:proofErr w:type="spellEnd"/>
      <w:r w:rsidRPr="00036614">
        <w:rPr>
          <w:rFonts w:eastAsia="Times New Roman" w:cs="Times New Roman"/>
          <w:i/>
          <w:color w:val="000000"/>
          <w:szCs w:val="20"/>
          <w:lang w:eastAsia="en-CA"/>
        </w:rPr>
        <w:t xml:space="preserve"> </w:t>
      </w:r>
      <w:proofErr w:type="spellStart"/>
      <w:r w:rsidRPr="00036614">
        <w:rPr>
          <w:rFonts w:eastAsia="Times New Roman" w:cs="Times New Roman"/>
          <w:i/>
          <w:color w:val="000000"/>
          <w:szCs w:val="20"/>
          <w:lang w:eastAsia="en-CA"/>
        </w:rPr>
        <w:t>Lawyers</w:t>
      </w:r>
      <w:proofErr w:type="spellEnd"/>
      <w:r w:rsidRPr="00036614">
        <w:rPr>
          <w:rFonts w:eastAsia="Times New Roman" w:cs="Times New Roman"/>
          <w:i/>
          <w:color w:val="000000"/>
          <w:szCs w:val="20"/>
          <w:lang w:eastAsia="en-CA"/>
        </w:rPr>
        <w:t>’ Association (Ontario)</w:t>
      </w:r>
      <w:r w:rsidRPr="00036614">
        <w:rPr>
          <w:rFonts w:eastAsia="Times New Roman" w:cs="Times New Roman"/>
          <w:i/>
          <w:szCs w:val="20"/>
          <w:lang w:eastAsia="en-CA"/>
        </w:rPr>
        <w:t xml:space="preserve"> : </w:t>
      </w:r>
      <w:proofErr w:type="spellStart"/>
      <w:r w:rsidRPr="00036614">
        <w:rPr>
          <w:rFonts w:eastAsia="Times New Roman" w:cs="Times New Roman"/>
          <w:i/>
          <w:szCs w:val="20"/>
          <w:lang w:eastAsia="en-CA"/>
        </w:rPr>
        <w:t>Bytensky</w:t>
      </w:r>
      <w:proofErr w:type="spellEnd"/>
      <w:r w:rsidRPr="00036614">
        <w:rPr>
          <w:rFonts w:eastAsia="Times New Roman" w:cs="Times New Roman"/>
          <w:i/>
          <w:szCs w:val="20"/>
          <w:lang w:eastAsia="en-CA"/>
        </w:rPr>
        <w:t xml:space="preserve"> </w:t>
      </w:r>
      <w:proofErr w:type="spellStart"/>
      <w:r w:rsidRPr="00036614">
        <w:rPr>
          <w:rFonts w:eastAsia="Times New Roman" w:cs="Times New Roman"/>
          <w:i/>
          <w:szCs w:val="20"/>
          <w:lang w:eastAsia="en-CA"/>
        </w:rPr>
        <w:t>Shikhman</w:t>
      </w:r>
      <w:proofErr w:type="spellEnd"/>
      <w:r w:rsidRPr="00036614">
        <w:rPr>
          <w:rFonts w:eastAsia="Times New Roman" w:cs="Times New Roman"/>
          <w:i/>
          <w:szCs w:val="20"/>
          <w:lang w:eastAsia="en-CA"/>
        </w:rPr>
        <w:t>, Toronto.</w:t>
      </w:r>
    </w:p>
    <w:p w:rsidR="00036614" w:rsidRPr="00036614" w:rsidRDefault="00036614" w:rsidP="00036614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eastAsia="en-CA"/>
        </w:rPr>
      </w:pPr>
    </w:p>
    <w:p w:rsidR="00036614" w:rsidRPr="00036614" w:rsidRDefault="00036614" w:rsidP="00036614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i/>
          <w:szCs w:val="20"/>
          <w:lang w:eastAsia="en-CA"/>
        </w:rPr>
      </w:pPr>
      <w:r w:rsidRPr="00036614">
        <w:rPr>
          <w:rFonts w:eastAsia="Times New Roman" w:cs="Times New Roman"/>
          <w:i/>
          <w:szCs w:val="20"/>
          <w:lang w:eastAsia="en-CA"/>
        </w:rPr>
        <w:tab/>
        <w:t xml:space="preserve">Procureurs de l’intervenante </w:t>
      </w:r>
      <w:proofErr w:type="spellStart"/>
      <w:r w:rsidRPr="00036614">
        <w:rPr>
          <w:rFonts w:eastAsia="Times New Roman" w:cs="Times New Roman"/>
          <w:i/>
          <w:color w:val="000000"/>
          <w:szCs w:val="20"/>
          <w:lang w:eastAsia="en-CA"/>
        </w:rPr>
        <w:t>Criminal</w:t>
      </w:r>
      <w:proofErr w:type="spellEnd"/>
      <w:r w:rsidRPr="00036614">
        <w:rPr>
          <w:rFonts w:eastAsia="Times New Roman" w:cs="Times New Roman"/>
          <w:i/>
          <w:color w:val="000000"/>
          <w:szCs w:val="20"/>
          <w:lang w:eastAsia="en-CA"/>
        </w:rPr>
        <w:t xml:space="preserve"> Trial </w:t>
      </w:r>
      <w:proofErr w:type="spellStart"/>
      <w:r w:rsidRPr="00036614">
        <w:rPr>
          <w:rFonts w:eastAsia="Times New Roman" w:cs="Times New Roman"/>
          <w:i/>
          <w:color w:val="000000"/>
          <w:szCs w:val="20"/>
          <w:lang w:eastAsia="en-CA"/>
        </w:rPr>
        <w:t>Lawyers</w:t>
      </w:r>
      <w:proofErr w:type="spellEnd"/>
      <w:r w:rsidRPr="00036614">
        <w:rPr>
          <w:rFonts w:eastAsia="Times New Roman" w:cs="Times New Roman"/>
          <w:i/>
          <w:color w:val="000000"/>
          <w:szCs w:val="20"/>
          <w:lang w:eastAsia="en-CA"/>
        </w:rPr>
        <w:t>’ Association</w:t>
      </w:r>
      <w:r w:rsidRPr="00036614">
        <w:rPr>
          <w:rFonts w:eastAsia="Times New Roman" w:cs="Times New Roman"/>
          <w:i/>
          <w:szCs w:val="20"/>
          <w:lang w:eastAsia="en-CA"/>
        </w:rPr>
        <w:t xml:space="preserve"> : </w:t>
      </w:r>
      <w:proofErr w:type="spellStart"/>
      <w:r w:rsidRPr="00036614">
        <w:rPr>
          <w:rFonts w:eastAsia="Times New Roman" w:cs="Times New Roman"/>
          <w:i/>
          <w:szCs w:val="20"/>
          <w:lang w:eastAsia="en-CA"/>
        </w:rPr>
        <w:t>Pringle</w:t>
      </w:r>
      <w:proofErr w:type="spellEnd"/>
      <w:r w:rsidRPr="00036614">
        <w:rPr>
          <w:rFonts w:eastAsia="Times New Roman" w:cs="Times New Roman"/>
          <w:i/>
          <w:szCs w:val="20"/>
          <w:lang w:eastAsia="en-CA"/>
        </w:rPr>
        <w:t xml:space="preserve"> </w:t>
      </w:r>
      <w:proofErr w:type="spellStart"/>
      <w:r w:rsidRPr="00036614">
        <w:rPr>
          <w:rFonts w:eastAsia="Times New Roman" w:cs="Times New Roman"/>
          <w:i/>
          <w:szCs w:val="20"/>
          <w:lang w:eastAsia="en-CA"/>
        </w:rPr>
        <w:t>Chivers</w:t>
      </w:r>
      <w:proofErr w:type="spellEnd"/>
      <w:r w:rsidRPr="00036614">
        <w:rPr>
          <w:rFonts w:eastAsia="Times New Roman" w:cs="Times New Roman"/>
          <w:i/>
          <w:szCs w:val="20"/>
          <w:lang w:eastAsia="en-CA"/>
        </w:rPr>
        <w:t xml:space="preserve"> Sparks </w:t>
      </w:r>
      <w:proofErr w:type="spellStart"/>
      <w:r w:rsidRPr="00036614">
        <w:rPr>
          <w:rFonts w:eastAsia="Times New Roman" w:cs="Times New Roman"/>
          <w:i/>
          <w:szCs w:val="20"/>
          <w:lang w:eastAsia="en-CA"/>
        </w:rPr>
        <w:t>Teskey</w:t>
      </w:r>
      <w:proofErr w:type="spellEnd"/>
      <w:r w:rsidRPr="00036614">
        <w:rPr>
          <w:rFonts w:eastAsia="Times New Roman" w:cs="Times New Roman"/>
          <w:i/>
          <w:szCs w:val="20"/>
          <w:lang w:eastAsia="en-CA"/>
        </w:rPr>
        <w:t>, Vancouver.</w:t>
      </w:r>
    </w:p>
    <w:p w:rsidR="00036614" w:rsidRPr="00036614" w:rsidRDefault="00036614" w:rsidP="00036614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eastAsia="en-CA"/>
        </w:rPr>
      </w:pPr>
    </w:p>
    <w:p w:rsidR="00036614" w:rsidRPr="00036614" w:rsidRDefault="00036614" w:rsidP="00036614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i/>
          <w:szCs w:val="20"/>
          <w:lang w:eastAsia="en-CA"/>
        </w:rPr>
      </w:pPr>
      <w:r w:rsidRPr="00036614">
        <w:rPr>
          <w:rFonts w:eastAsia="Times New Roman" w:cs="Times New Roman"/>
          <w:i/>
          <w:szCs w:val="20"/>
          <w:lang w:eastAsia="en-CA"/>
        </w:rPr>
        <w:tab/>
        <w:t>Procureurs de l’intervenante l’</w:t>
      </w:r>
      <w:r w:rsidRPr="00036614">
        <w:rPr>
          <w:rFonts w:eastAsia="Times New Roman" w:cs="Times New Roman"/>
          <w:i/>
          <w:color w:val="000000"/>
          <w:szCs w:val="20"/>
          <w:lang w:eastAsia="en-CA"/>
        </w:rPr>
        <w:t>Association québécoise des avocats et avocates de la défense</w:t>
      </w:r>
      <w:r w:rsidRPr="00036614">
        <w:rPr>
          <w:rFonts w:eastAsia="Times New Roman" w:cs="Times New Roman"/>
          <w:i/>
          <w:szCs w:val="20"/>
          <w:lang w:eastAsia="en-CA"/>
        </w:rPr>
        <w:t> : Roy &amp; Charbonneau, Québec.</w:t>
      </w:r>
    </w:p>
    <w:sectPr w:rsidR="00036614" w:rsidRPr="00036614" w:rsidSect="00F72014">
      <w:pgSz w:w="12240" w:h="15840"/>
      <w:pgMar w:top="1440" w:right="1440" w:bottom="1440" w:left="1440" w:header="4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034" w:rsidRDefault="00750034" w:rsidP="00F72014">
      <w:r>
        <w:separator/>
      </w:r>
    </w:p>
  </w:endnote>
  <w:endnote w:type="continuationSeparator" w:id="0">
    <w:p w:rsidR="00750034" w:rsidRDefault="00750034" w:rsidP="00F7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034" w:rsidRDefault="00750034" w:rsidP="00F72014">
      <w:r>
        <w:separator/>
      </w:r>
    </w:p>
  </w:footnote>
  <w:footnote w:type="continuationSeparator" w:id="0">
    <w:p w:rsidR="00750034" w:rsidRDefault="00750034" w:rsidP="00F72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882" w:rsidRDefault="001968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removePersonalInformation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DA"/>
    <w:rsid w:val="00011E76"/>
    <w:rsid w:val="00036614"/>
    <w:rsid w:val="000F4467"/>
    <w:rsid w:val="001311DA"/>
    <w:rsid w:val="00196882"/>
    <w:rsid w:val="001D6B8C"/>
    <w:rsid w:val="001E12E2"/>
    <w:rsid w:val="001E5B5A"/>
    <w:rsid w:val="001F1F83"/>
    <w:rsid w:val="00204144"/>
    <w:rsid w:val="00256B56"/>
    <w:rsid w:val="0027739A"/>
    <w:rsid w:val="0028675F"/>
    <w:rsid w:val="002F0B6C"/>
    <w:rsid w:val="00355967"/>
    <w:rsid w:val="0036772A"/>
    <w:rsid w:val="00384384"/>
    <w:rsid w:val="003B0BD6"/>
    <w:rsid w:val="003B2BE1"/>
    <w:rsid w:val="003B3C63"/>
    <w:rsid w:val="00460AFC"/>
    <w:rsid w:val="00463CF0"/>
    <w:rsid w:val="004644AC"/>
    <w:rsid w:val="004E69EC"/>
    <w:rsid w:val="004F090E"/>
    <w:rsid w:val="00535189"/>
    <w:rsid w:val="0055068B"/>
    <w:rsid w:val="00582136"/>
    <w:rsid w:val="0058383C"/>
    <w:rsid w:val="005C0397"/>
    <w:rsid w:val="006034F1"/>
    <w:rsid w:val="006936F1"/>
    <w:rsid w:val="006D697E"/>
    <w:rsid w:val="006E0011"/>
    <w:rsid w:val="00701ABD"/>
    <w:rsid w:val="00726245"/>
    <w:rsid w:val="00750034"/>
    <w:rsid w:val="007740CA"/>
    <w:rsid w:val="00790A1B"/>
    <w:rsid w:val="00795108"/>
    <w:rsid w:val="00803557"/>
    <w:rsid w:val="00842677"/>
    <w:rsid w:val="008714CB"/>
    <w:rsid w:val="00880B14"/>
    <w:rsid w:val="008B5797"/>
    <w:rsid w:val="008C75A4"/>
    <w:rsid w:val="008F4691"/>
    <w:rsid w:val="009032FC"/>
    <w:rsid w:val="00904937"/>
    <w:rsid w:val="00935CD7"/>
    <w:rsid w:val="009864EB"/>
    <w:rsid w:val="00996510"/>
    <w:rsid w:val="009F0F2D"/>
    <w:rsid w:val="00A51D10"/>
    <w:rsid w:val="00AB2201"/>
    <w:rsid w:val="00AD5278"/>
    <w:rsid w:val="00B14E01"/>
    <w:rsid w:val="00B6491F"/>
    <w:rsid w:val="00B95414"/>
    <w:rsid w:val="00BD4217"/>
    <w:rsid w:val="00C05470"/>
    <w:rsid w:val="00C557F7"/>
    <w:rsid w:val="00CA3730"/>
    <w:rsid w:val="00D030DA"/>
    <w:rsid w:val="00D370BE"/>
    <w:rsid w:val="00D751F9"/>
    <w:rsid w:val="00D751FC"/>
    <w:rsid w:val="00D76BDF"/>
    <w:rsid w:val="00DB1344"/>
    <w:rsid w:val="00E356C7"/>
    <w:rsid w:val="00E53ED9"/>
    <w:rsid w:val="00E64FA7"/>
    <w:rsid w:val="00E770CB"/>
    <w:rsid w:val="00F01FC5"/>
    <w:rsid w:val="00F25646"/>
    <w:rsid w:val="00F55122"/>
    <w:rsid w:val="00F6498A"/>
    <w:rsid w:val="00F72014"/>
    <w:rsid w:val="00F750F0"/>
    <w:rsid w:val="00F9518C"/>
    <w:rsid w:val="00FA2805"/>
    <w:rsid w:val="00FA59EF"/>
    <w:rsid w:val="00FE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882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0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030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2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014"/>
  </w:style>
  <w:style w:type="paragraph" w:styleId="Footer">
    <w:name w:val="footer"/>
    <w:basedOn w:val="Normal"/>
    <w:link w:val="FooterChar"/>
    <w:uiPriority w:val="99"/>
    <w:semiHidden/>
    <w:unhideWhenUsed/>
    <w:rsid w:val="00F72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014"/>
  </w:style>
  <w:style w:type="paragraph" w:customStyle="1" w:styleId="SCCRestrictionOnPublicationTitle">
    <w:name w:val="SCC.RestrictionOnPublicationTitle"/>
    <w:basedOn w:val="Normal"/>
    <w:next w:val="Normal"/>
    <w:link w:val="SCCRestrictionOnPublicationTitleChar"/>
    <w:rsid w:val="009F0F2D"/>
    <w:rPr>
      <w:b/>
      <w:smallCaps/>
    </w:rPr>
  </w:style>
  <w:style w:type="character" w:customStyle="1" w:styleId="SCCRestrictionOnPublicationTitleChar">
    <w:name w:val="SCC.RestrictionOnPublicationTitle Char"/>
    <w:basedOn w:val="DefaultParagraphFont"/>
    <w:link w:val="SCCRestrictionOnPublicationTitle"/>
    <w:rsid w:val="009F0F2D"/>
    <w:rPr>
      <w:b/>
      <w:smallCaps/>
      <w:lang w:val="fr-CA"/>
    </w:rPr>
  </w:style>
  <w:style w:type="paragraph" w:customStyle="1" w:styleId="SCCRestrictionOnPublicationText">
    <w:name w:val="SCC.RestrictionOnPublicationText"/>
    <w:basedOn w:val="Normal"/>
    <w:next w:val="Normal"/>
    <w:link w:val="SCCRestrictionOnPublicationTextChar"/>
    <w:rsid w:val="009F0F2D"/>
  </w:style>
  <w:style w:type="character" w:customStyle="1" w:styleId="SCCRestrictionOnPublicationTextChar">
    <w:name w:val="SCC.RestrictionOnPublicationText Char"/>
    <w:basedOn w:val="DefaultParagraphFont"/>
    <w:link w:val="SCCRestrictionOnPublicationText"/>
    <w:rsid w:val="009F0F2D"/>
    <w:rPr>
      <w:lang w:val="fr-CA"/>
    </w:rPr>
  </w:style>
  <w:style w:type="paragraph" w:customStyle="1" w:styleId="SCCLsocOtherPartyRole">
    <w:name w:val="SCC.Lsoc.OtherPartyRole"/>
    <w:basedOn w:val="Normal"/>
    <w:next w:val="Normal"/>
    <w:link w:val="SCCLsocOtherPartyRoleChar"/>
    <w:rsid w:val="008B5797"/>
    <w:pPr>
      <w:jc w:val="center"/>
    </w:pPr>
  </w:style>
  <w:style w:type="character" w:customStyle="1" w:styleId="SCCLsocOtherPartyRoleChar">
    <w:name w:val="SCC.Lsoc.OtherPartyRole Char"/>
    <w:basedOn w:val="DefaultParagraphFont"/>
    <w:link w:val="SCCLsocOtherPartyRole"/>
    <w:rsid w:val="008B5797"/>
    <w:rPr>
      <w:lang w:val="fr-CA"/>
    </w:rPr>
  </w:style>
  <w:style w:type="paragraph" w:customStyle="1" w:styleId="SCCLsocParty">
    <w:name w:val="SCC.Lsoc.Party"/>
    <w:basedOn w:val="Normal"/>
    <w:next w:val="Normal"/>
    <w:link w:val="SCCLsocPartyChar"/>
    <w:rsid w:val="008B5797"/>
    <w:pPr>
      <w:jc w:val="center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8B5797"/>
    <w:rPr>
      <w:b/>
      <w:lang w:val="fr-CA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5C0397"/>
    <w:rPr>
      <w:b/>
      <w:smallCaps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5C0397"/>
    <w:rPr>
      <w:b/>
      <w:smallCaps/>
      <w:lang w:val="fr-CA"/>
    </w:rPr>
  </w:style>
  <w:style w:type="paragraph" w:customStyle="1" w:styleId="SCCLsocVersus">
    <w:name w:val="SCC.Lsoc.Versus"/>
    <w:basedOn w:val="Normal"/>
    <w:next w:val="Normal"/>
    <w:link w:val="SCCLsocVersusChar"/>
    <w:rsid w:val="008B5797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8B5797"/>
    <w:rPr>
      <w:lang w:val="fr-CA"/>
    </w:rPr>
  </w:style>
  <w:style w:type="paragraph" w:customStyle="1" w:styleId="SCCLsocPartyRole">
    <w:name w:val="SCC.Lsoc.PartyRole"/>
    <w:basedOn w:val="Normal"/>
    <w:next w:val="Normal"/>
    <w:link w:val="SCCLsocPartyRoleChar"/>
    <w:rsid w:val="008B5797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8B5797"/>
    <w:rPr>
      <w:lang w:val="fr-CA"/>
    </w:rPr>
  </w:style>
  <w:style w:type="paragraph" w:customStyle="1" w:styleId="SCCLsocPrefix">
    <w:name w:val="SCC.Lsoc.Prefix"/>
    <w:basedOn w:val="Normal"/>
    <w:next w:val="Normal"/>
    <w:link w:val="SCCLsocPrefixChar"/>
    <w:rsid w:val="005C0397"/>
    <w:rPr>
      <w:b/>
      <w:smallCaps/>
    </w:rPr>
  </w:style>
  <w:style w:type="character" w:customStyle="1" w:styleId="SCCLsocPrefixChar">
    <w:name w:val="SCC.Lsoc.Prefix Char"/>
    <w:basedOn w:val="DefaultParagraphFont"/>
    <w:link w:val="SCCLsocPrefix"/>
    <w:rsid w:val="005C0397"/>
    <w:rPr>
      <w:b/>
      <w:smallCaps/>
      <w:lang w:val="fr-CA"/>
    </w:rPr>
  </w:style>
  <w:style w:type="paragraph" w:customStyle="1" w:styleId="SCCHearingJudgmentDatesText">
    <w:name w:val="SCC.HearingJudgmentDatesText"/>
    <w:basedOn w:val="Normal"/>
    <w:next w:val="Normal"/>
    <w:link w:val="SCCHearingJudgmentDatesTextChar"/>
    <w:rsid w:val="00CA3730"/>
  </w:style>
  <w:style w:type="character" w:customStyle="1" w:styleId="SCCHearingJudgmentDatesTextChar">
    <w:name w:val="SCC.HearingJudgmentDatesText Char"/>
    <w:basedOn w:val="DefaultParagraphFont"/>
    <w:link w:val="SCCHearingJudgmentDatesText"/>
    <w:rsid w:val="00CA3730"/>
    <w:rPr>
      <w:lang w:val="fr-CA"/>
    </w:rPr>
  </w:style>
  <w:style w:type="paragraph" w:customStyle="1" w:styleId="SCCHearingJudgmentDatesTitle">
    <w:name w:val="SCC.HearingJudgmentDatesTitle"/>
    <w:basedOn w:val="Normal"/>
    <w:next w:val="Normal"/>
    <w:link w:val="SCCHearingJudgmentDatesTitleChar"/>
    <w:rsid w:val="00CA3730"/>
    <w:rPr>
      <w:b/>
      <w:smallCaps/>
    </w:rPr>
  </w:style>
  <w:style w:type="character" w:customStyle="1" w:styleId="SCCHearingJudgmentDatesTitleChar">
    <w:name w:val="SCC.HearingJudgmentDatesTitle Char"/>
    <w:basedOn w:val="DefaultParagraphFont"/>
    <w:link w:val="SCCHearingJudgmentDatesTitle"/>
    <w:rsid w:val="00CA3730"/>
    <w:rPr>
      <w:b/>
      <w:smallCaps/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196882"/>
    <w:pPr>
      <w:jc w:val="center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196882"/>
    <w:rPr>
      <w:lang w:val="fr-CA"/>
    </w:rPr>
  </w:style>
  <w:style w:type="paragraph" w:customStyle="1" w:styleId="SCCNormalDoubleSpacing">
    <w:name w:val="SCC.Normal.DoubleSpacing"/>
    <w:basedOn w:val="Normal"/>
    <w:link w:val="SCCNormalDoubleSpacingChar"/>
    <w:rsid w:val="00790A1B"/>
    <w:pPr>
      <w:tabs>
        <w:tab w:val="left" w:pos="1168"/>
      </w:tabs>
      <w:spacing w:line="480" w:lineRule="auto"/>
      <w:jc w:val="both"/>
    </w:pPr>
    <w:rPr>
      <w:rFonts w:eastAsia="Times New Roman" w:cs="Times New Roman"/>
      <w:szCs w:val="20"/>
      <w:lang w:val="en-CA" w:eastAsia="en-CA"/>
    </w:rPr>
  </w:style>
  <w:style w:type="character" w:customStyle="1" w:styleId="SCCNormalDoubleSpacingChar">
    <w:name w:val="SCC.Normal.DoubleSpacing Char"/>
    <w:basedOn w:val="DefaultParagraphFont"/>
    <w:link w:val="SCCNormalDoubleSpacing"/>
    <w:rsid w:val="00790A1B"/>
    <w:rPr>
      <w:rFonts w:eastAsia="Times New Roman" w:cs="Times New Roman"/>
      <w:szCs w:val="20"/>
      <w:lang w:val="en-CA" w:eastAsia="en-CA"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790A1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790A1B"/>
    <w:rPr>
      <w:rFonts w:eastAsia="Times New Roman" w:cs="Times New Roman"/>
      <w:i/>
      <w:szCs w:val="20"/>
      <w:lang w:val="en-CA" w:eastAsia="en-CA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790A1B"/>
  </w:style>
  <w:style w:type="character" w:customStyle="1" w:styleId="SCCCounselSeparatorChar">
    <w:name w:val="SCC.CounselSeparator Char"/>
    <w:basedOn w:val="SCCNormalDoubleSpacingChar"/>
    <w:link w:val="SCCCounselSeparator"/>
    <w:rsid w:val="00790A1B"/>
    <w:rPr>
      <w:rFonts w:eastAsia="Times New Roman" w:cs="Times New Roman"/>
      <w:szCs w:val="20"/>
      <w:lang w:val="en-CA" w:eastAsia="en-CA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790A1B"/>
  </w:style>
  <w:style w:type="character" w:customStyle="1" w:styleId="SCCCounselPartyRoleChar">
    <w:name w:val="SCC.CounselPartyRole Char"/>
    <w:basedOn w:val="SCCNormalDoubleSpacingChar"/>
    <w:link w:val="SCCCounselPartyRole"/>
    <w:rsid w:val="00790A1B"/>
    <w:rPr>
      <w:rFonts w:eastAsia="Times New Roman" w:cs="Times New Roman"/>
      <w:szCs w:val="20"/>
      <w:lang w:val="en-CA" w:eastAsia="en-CA"/>
    </w:rPr>
  </w:style>
  <w:style w:type="table" w:customStyle="1" w:styleId="TableGrid2">
    <w:name w:val="Table Grid2"/>
    <w:basedOn w:val="TableNormal"/>
    <w:next w:val="TableGrid"/>
    <w:uiPriority w:val="59"/>
    <w:rsid w:val="0055068B"/>
    <w:rPr>
      <w:rFonts w:eastAsia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55068B"/>
    <w:rPr>
      <w:rFonts w:eastAsia="Times New Roman" w:cs="Times New Roman"/>
      <w:szCs w:val="20"/>
      <w:lang w:val="en-CA" w:eastAsia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790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2022-06-27T19:19:00Z</dcterms:created>
  <dcterms:modified xsi:type="dcterms:W3CDTF">2023-07-24T21:37:00Z</dcterms:modified>
</cp:coreProperties>
</file>