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6B242" w14:textId="77777777" w:rsidR="006B1A0D" w:rsidRDefault="006B1A0D" w:rsidP="006B1A0D">
      <w:pPr>
        <w:tabs>
          <w:tab w:val="center" w:pos="4680"/>
          <w:tab w:val="right" w:pos="9360"/>
        </w:tabs>
        <w:jc w:val="center"/>
        <w:rPr>
          <w:rFonts w:eastAsiaTheme="minorHAnsi" w:cstheme="minorBidi"/>
          <w:szCs w:val="24"/>
          <w:lang w:val="fr-CA" w:eastAsia="en-US"/>
        </w:rPr>
      </w:pPr>
      <w:r>
        <w:rPr>
          <w:rFonts w:eastAsiaTheme="minorHAnsi" w:cstheme="minorBidi"/>
          <w:szCs w:val="24"/>
          <w:lang w:val="fr-CA" w:eastAsia="en-US"/>
        </w:rPr>
        <w:ptab w:relativeTo="margin" w:alignment="center" w:leader="none"/>
      </w:r>
      <w:r>
        <w:rPr>
          <w:rFonts w:eastAsiaTheme="minorHAnsi" w:cstheme="minorBidi"/>
          <w:szCs w:val="24"/>
          <w:lang w:val="fr-CA" w:eastAsia="en-US"/>
        </w:rPr>
        <w:t xml:space="preserve"> </w:t>
      </w:r>
      <w:r>
        <w:rPr>
          <w:rFonts w:eastAsiaTheme="minorHAnsi" w:cstheme="minorBidi"/>
          <w:szCs w:val="24"/>
          <w:lang w:val="fr-CA" w:eastAsia="en-US"/>
        </w:rPr>
        <w:object w:dxaOrig="1236" w:dyaOrig="1296" w14:anchorId="2497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05pt;height:64.55pt" o:ole="">
            <v:imagedata r:id="rId8" o:title=""/>
          </v:shape>
          <o:OLEObject Type="Embed" ProgID="Presentations.Drawing.13" ShapeID="_x0000_i1025" DrawAspect="Content" ObjectID="_1751725529" r:id="rId9"/>
        </w:object>
      </w:r>
      <w:r>
        <w:rPr>
          <w:rFonts w:eastAsiaTheme="minorHAnsi" w:cstheme="minorBidi"/>
          <w:szCs w:val="24"/>
          <w:lang w:val="fr-CA" w:eastAsia="en-US"/>
        </w:rPr>
        <w:t xml:space="preserve"> </w:t>
      </w:r>
      <w:r>
        <w:rPr>
          <w:rFonts w:eastAsiaTheme="minorHAnsi" w:cstheme="minorBidi"/>
          <w:szCs w:val="24"/>
          <w:lang w:val="fr-CA" w:eastAsia="en-US"/>
        </w:rPr>
        <w:ptab w:relativeTo="margin" w:alignment="right" w:leader="none"/>
      </w:r>
      <w:r>
        <w:rPr>
          <w:rFonts w:eastAsiaTheme="minorHAnsi" w:cstheme="minorBidi"/>
          <w:szCs w:val="24"/>
          <w:lang w:val="fr-CA" w:eastAsia="en-US"/>
        </w:rPr>
        <w:t xml:space="preserve"> </w:t>
      </w:r>
    </w:p>
    <w:p w14:paraId="2EA17C33" w14:textId="77777777" w:rsidR="006B1A0D" w:rsidRDefault="006B1A0D" w:rsidP="006B1A0D">
      <w:pPr>
        <w:tabs>
          <w:tab w:val="center" w:pos="4680"/>
          <w:tab w:val="right" w:pos="9360"/>
        </w:tabs>
        <w:rPr>
          <w:rFonts w:eastAsiaTheme="minorHAnsi" w:cstheme="minorBidi"/>
          <w:szCs w:val="24"/>
          <w:lang w:val="fr-CA" w:eastAsia="en-US"/>
        </w:rPr>
      </w:pPr>
    </w:p>
    <w:p w14:paraId="04266B6D" w14:textId="77777777" w:rsidR="006B1A0D" w:rsidRDefault="006B1A0D" w:rsidP="006B1A0D">
      <w:pPr>
        <w:jc w:val="center"/>
        <w:rPr>
          <w:rFonts w:eastAsiaTheme="minorHAnsi" w:cstheme="minorBidi"/>
          <w:b/>
          <w:szCs w:val="24"/>
          <w:lang w:val="fr-CA" w:eastAsia="en-US"/>
        </w:rPr>
      </w:pPr>
      <w:r>
        <w:rPr>
          <w:rFonts w:eastAsiaTheme="minorHAnsi" w:cstheme="minorBidi"/>
          <w:b/>
          <w:szCs w:val="24"/>
          <w:lang w:val="fr-CA" w:eastAsia="en-US"/>
        </w:rPr>
        <w:t>COUR SUPRÊME DU CANADA</w:t>
      </w:r>
    </w:p>
    <w:p w14:paraId="50F3DF3B" w14:textId="77777777" w:rsidR="006B1A0D" w:rsidRDefault="006B1A0D" w:rsidP="006B1A0D">
      <w:pPr>
        <w:rPr>
          <w:rFonts w:eastAsiaTheme="minorHAnsi" w:cstheme="minorBidi"/>
          <w:szCs w:val="24"/>
          <w:lang w:val="fr-CA"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850"/>
        <w:gridCol w:w="3726"/>
      </w:tblGrid>
      <w:tr w:rsidR="006B1A0D" w14:paraId="1E5EEBA3" w14:textId="77777777" w:rsidTr="00B0700B">
        <w:trPr>
          <w:cantSplit/>
        </w:trPr>
        <w:tc>
          <w:tcPr>
            <w:tcW w:w="5850" w:type="dxa"/>
            <w:hideMark/>
          </w:tcPr>
          <w:p w14:paraId="36C7C1D6" w14:textId="77777777" w:rsidR="006B1A0D" w:rsidRDefault="006B1A0D" w:rsidP="00B0700B">
            <w:pPr>
              <w:rPr>
                <w:lang w:val="fr-CA"/>
              </w:rPr>
            </w:pPr>
            <w:r>
              <w:rPr>
                <w:b/>
                <w:smallCaps/>
                <w:lang w:val="fr-CA"/>
              </w:rPr>
              <w:t>Référence :</w:t>
            </w:r>
            <w:r>
              <w:rPr>
                <w:lang w:val="fr-CA"/>
              </w:rPr>
              <w:t xml:space="preserve"> Fraser </w:t>
            </w:r>
            <w:r>
              <w:rPr>
                <w:i/>
                <w:lang w:val="fr-CA"/>
              </w:rPr>
              <w:t>c.</w:t>
            </w:r>
            <w:r>
              <w:rPr>
                <w:lang w:val="fr-CA"/>
              </w:rPr>
              <w:t xml:space="preserve"> Canada (Procureur général), 2020 CSC 28, [2020] 3 R.C.S. 113</w:t>
            </w:r>
          </w:p>
        </w:tc>
        <w:tc>
          <w:tcPr>
            <w:tcW w:w="3726" w:type="dxa"/>
            <w:hideMark/>
          </w:tcPr>
          <w:p w14:paraId="2863FBB2" w14:textId="77777777" w:rsidR="006B1A0D" w:rsidRDefault="006B1A0D" w:rsidP="00B0700B">
            <w:pPr>
              <w:rPr>
                <w:lang w:val="fr-CA"/>
              </w:rPr>
            </w:pPr>
            <w:r>
              <w:rPr>
                <w:b/>
                <w:smallCaps/>
                <w:lang w:val="fr-CA"/>
              </w:rPr>
              <w:t xml:space="preserve">Appel entendu : </w:t>
            </w:r>
            <w:r>
              <w:rPr>
                <w:lang w:val="fr-CA"/>
              </w:rPr>
              <w:t>12 décembre 2019</w:t>
            </w:r>
          </w:p>
          <w:p w14:paraId="1EBBA40C" w14:textId="77777777" w:rsidR="006B1A0D" w:rsidRDefault="006B1A0D" w:rsidP="00B0700B">
            <w:pPr>
              <w:rPr>
                <w:lang w:val="fr-CA"/>
              </w:rPr>
            </w:pPr>
            <w:r>
              <w:rPr>
                <w:b/>
                <w:smallCaps/>
                <w:lang w:val="fr-CA"/>
              </w:rPr>
              <w:t>Jugement rendu :</w:t>
            </w:r>
            <w:r>
              <w:rPr>
                <w:lang w:val="fr-CA"/>
              </w:rPr>
              <w:t xml:space="preserve"> 16 octobre 2020</w:t>
            </w:r>
          </w:p>
          <w:p w14:paraId="1F9125AC" w14:textId="77777777" w:rsidR="006B1A0D" w:rsidRDefault="006B1A0D" w:rsidP="00B0700B">
            <w:pPr>
              <w:rPr>
                <w:lang w:val="fr-CA"/>
              </w:rPr>
            </w:pPr>
            <w:r>
              <w:rPr>
                <w:b/>
                <w:smallCaps/>
                <w:lang w:val="fr-CA"/>
              </w:rPr>
              <w:t>Dossier :</w:t>
            </w:r>
            <w:r>
              <w:rPr>
                <w:lang w:val="fr-CA"/>
              </w:rPr>
              <w:t xml:space="preserve"> 38505</w:t>
            </w:r>
          </w:p>
        </w:tc>
      </w:tr>
    </w:tbl>
    <w:p w14:paraId="3A828FE0" w14:textId="77777777" w:rsidR="006B1A0D" w:rsidRDefault="006B1A0D" w:rsidP="006B1A0D">
      <w:pPr>
        <w:rPr>
          <w:rFonts w:eastAsiaTheme="minorHAnsi" w:cstheme="minorBidi"/>
          <w:szCs w:val="24"/>
          <w:lang w:val="fr-CA" w:eastAsia="en-US"/>
        </w:rPr>
      </w:pPr>
    </w:p>
    <w:p w14:paraId="3DD65F0A" w14:textId="77777777" w:rsidR="006B1A0D" w:rsidRDefault="006B1A0D" w:rsidP="006B1A0D">
      <w:pPr>
        <w:rPr>
          <w:rFonts w:eastAsiaTheme="minorHAnsi" w:cstheme="minorBidi"/>
          <w:b/>
          <w:smallCaps/>
          <w:szCs w:val="24"/>
          <w:lang w:val="fr-CA" w:eastAsia="en-US"/>
        </w:rPr>
      </w:pPr>
      <w:r>
        <w:rPr>
          <w:rFonts w:eastAsiaTheme="minorHAnsi" w:cstheme="minorBidi"/>
          <w:b/>
          <w:smallCaps/>
          <w:szCs w:val="24"/>
          <w:lang w:val="fr-CA" w:eastAsia="en-US"/>
        </w:rPr>
        <w:t>Entre :</w:t>
      </w:r>
    </w:p>
    <w:p w14:paraId="6408D43A" w14:textId="77777777" w:rsidR="006B1A0D" w:rsidRDefault="006B1A0D" w:rsidP="006B1A0D">
      <w:pPr>
        <w:jc w:val="center"/>
        <w:rPr>
          <w:rFonts w:eastAsiaTheme="minorHAnsi" w:cstheme="minorBidi"/>
          <w:b/>
          <w:szCs w:val="24"/>
          <w:lang w:val="fr-CA" w:eastAsia="en-US"/>
        </w:rPr>
      </w:pPr>
      <w:r>
        <w:rPr>
          <w:rFonts w:eastAsiaTheme="minorHAnsi" w:cstheme="minorBidi"/>
          <w:b/>
          <w:szCs w:val="24"/>
          <w:lang w:val="fr-CA" w:eastAsia="en-US"/>
        </w:rPr>
        <w:t>Joanne Fraser, Allison Pilgrim et Colleen Fox</w:t>
      </w:r>
    </w:p>
    <w:p w14:paraId="41C2ADDB" w14:textId="77777777" w:rsidR="006B1A0D" w:rsidRDefault="006B1A0D" w:rsidP="006B1A0D">
      <w:pPr>
        <w:jc w:val="center"/>
        <w:rPr>
          <w:rFonts w:eastAsiaTheme="minorHAnsi" w:cstheme="minorBidi"/>
          <w:szCs w:val="24"/>
          <w:lang w:val="fr-CA" w:eastAsia="en-US"/>
        </w:rPr>
      </w:pPr>
      <w:r>
        <w:rPr>
          <w:rFonts w:eastAsiaTheme="minorHAnsi" w:cstheme="minorBidi"/>
          <w:szCs w:val="24"/>
          <w:lang w:val="fr-CA" w:eastAsia="en-US"/>
        </w:rPr>
        <w:t>Appelantes</w:t>
      </w:r>
    </w:p>
    <w:p w14:paraId="64947CE7" w14:textId="77777777" w:rsidR="006B1A0D" w:rsidRDefault="006B1A0D" w:rsidP="006B1A0D">
      <w:pPr>
        <w:rPr>
          <w:rFonts w:eastAsiaTheme="minorHAnsi" w:cstheme="minorBidi"/>
          <w:szCs w:val="24"/>
          <w:lang w:val="fr-CA" w:eastAsia="en-US"/>
        </w:rPr>
      </w:pPr>
    </w:p>
    <w:p w14:paraId="2F889BA9" w14:textId="77777777" w:rsidR="006B1A0D" w:rsidRDefault="006B1A0D" w:rsidP="006B1A0D">
      <w:pPr>
        <w:jc w:val="center"/>
        <w:rPr>
          <w:rFonts w:eastAsiaTheme="minorHAnsi" w:cstheme="minorBidi"/>
          <w:szCs w:val="24"/>
          <w:lang w:val="fr-CA" w:eastAsia="en-US"/>
        </w:rPr>
      </w:pPr>
      <w:r>
        <w:rPr>
          <w:rFonts w:eastAsiaTheme="minorHAnsi" w:cstheme="minorBidi"/>
          <w:szCs w:val="24"/>
          <w:lang w:val="fr-CA" w:eastAsia="en-US"/>
        </w:rPr>
        <w:t>et</w:t>
      </w:r>
    </w:p>
    <w:p w14:paraId="26C871E5" w14:textId="77777777" w:rsidR="006B1A0D" w:rsidRDefault="006B1A0D" w:rsidP="006B1A0D">
      <w:pPr>
        <w:rPr>
          <w:rFonts w:eastAsiaTheme="minorHAnsi" w:cstheme="minorBidi"/>
          <w:szCs w:val="24"/>
          <w:lang w:val="fr-CA" w:eastAsia="en-US"/>
        </w:rPr>
      </w:pPr>
    </w:p>
    <w:p w14:paraId="72C62D50" w14:textId="77777777" w:rsidR="006B1A0D" w:rsidRDefault="006B1A0D" w:rsidP="006B1A0D">
      <w:pPr>
        <w:jc w:val="center"/>
        <w:rPr>
          <w:rFonts w:eastAsiaTheme="minorHAnsi" w:cstheme="minorBidi"/>
          <w:b/>
          <w:szCs w:val="24"/>
          <w:lang w:val="fr-CA" w:eastAsia="en-US"/>
        </w:rPr>
      </w:pPr>
      <w:r>
        <w:rPr>
          <w:rFonts w:eastAsiaTheme="minorHAnsi" w:cstheme="minorBidi"/>
          <w:b/>
          <w:szCs w:val="24"/>
          <w:lang w:val="fr-CA" w:eastAsia="en-US"/>
        </w:rPr>
        <w:t>Procureur général du Canada</w:t>
      </w:r>
    </w:p>
    <w:p w14:paraId="37C54F13" w14:textId="77777777" w:rsidR="006B1A0D" w:rsidRDefault="006B1A0D" w:rsidP="006B1A0D">
      <w:pPr>
        <w:jc w:val="center"/>
        <w:rPr>
          <w:rFonts w:eastAsiaTheme="minorHAnsi" w:cstheme="minorBidi"/>
          <w:szCs w:val="24"/>
          <w:lang w:val="fr-CA" w:eastAsia="en-US"/>
        </w:rPr>
      </w:pPr>
      <w:r>
        <w:rPr>
          <w:rFonts w:eastAsiaTheme="minorHAnsi" w:cstheme="minorBidi"/>
          <w:szCs w:val="24"/>
          <w:lang w:val="fr-CA" w:eastAsia="en-US"/>
        </w:rPr>
        <w:t>Intimé</w:t>
      </w:r>
    </w:p>
    <w:p w14:paraId="27774CDE" w14:textId="77777777" w:rsidR="006B1A0D" w:rsidRDefault="006B1A0D" w:rsidP="006B1A0D">
      <w:pPr>
        <w:rPr>
          <w:rFonts w:eastAsiaTheme="minorHAnsi" w:cstheme="minorBidi"/>
          <w:szCs w:val="24"/>
          <w:lang w:val="fr-CA" w:eastAsia="en-US"/>
        </w:rPr>
      </w:pPr>
    </w:p>
    <w:p w14:paraId="26CCA6A2" w14:textId="77777777" w:rsidR="006B1A0D" w:rsidRDefault="006B1A0D" w:rsidP="006B1A0D">
      <w:pPr>
        <w:jc w:val="center"/>
        <w:rPr>
          <w:rFonts w:eastAsiaTheme="minorHAnsi" w:cstheme="minorBidi"/>
          <w:szCs w:val="24"/>
          <w:lang w:val="fr-CA" w:eastAsia="en-US"/>
        </w:rPr>
      </w:pPr>
      <w:r>
        <w:rPr>
          <w:rFonts w:eastAsiaTheme="minorHAnsi" w:cstheme="minorBidi"/>
          <w:szCs w:val="24"/>
          <w:lang w:val="fr-CA" w:eastAsia="en-US"/>
        </w:rPr>
        <w:t>- et -</w:t>
      </w:r>
    </w:p>
    <w:p w14:paraId="1421615B" w14:textId="77777777" w:rsidR="006B1A0D" w:rsidRDefault="006B1A0D" w:rsidP="006B1A0D">
      <w:pPr>
        <w:rPr>
          <w:rFonts w:eastAsiaTheme="minorHAnsi" w:cstheme="minorBidi"/>
          <w:szCs w:val="24"/>
          <w:lang w:val="fr-CA" w:eastAsia="en-US"/>
        </w:rPr>
      </w:pPr>
    </w:p>
    <w:p w14:paraId="5FA0A4FE" w14:textId="77777777" w:rsidR="006B1A0D" w:rsidRDefault="006B1A0D" w:rsidP="006B1A0D">
      <w:pPr>
        <w:jc w:val="center"/>
        <w:rPr>
          <w:rFonts w:eastAsiaTheme="minorHAnsi" w:cstheme="minorBidi"/>
          <w:b/>
          <w:szCs w:val="24"/>
          <w:lang w:val="fr-CA" w:eastAsia="en-US"/>
        </w:rPr>
      </w:pPr>
      <w:r>
        <w:rPr>
          <w:rFonts w:eastAsiaTheme="minorHAnsi" w:cstheme="minorBidi"/>
          <w:b/>
          <w:szCs w:val="24"/>
          <w:lang w:val="fr-CA" w:eastAsia="en-US"/>
        </w:rPr>
        <w:t>Procureur général de l’Ontario, procureure générale du Québec, Fonds d’action et d’éducation juridiques pour les femmes inc., Alliance de la Fonction publique du Canada et Fédération de la police nationale</w:t>
      </w:r>
    </w:p>
    <w:p w14:paraId="30E6824F" w14:textId="77777777" w:rsidR="006B1A0D" w:rsidRDefault="006B1A0D" w:rsidP="006B1A0D">
      <w:pPr>
        <w:jc w:val="center"/>
        <w:rPr>
          <w:rFonts w:eastAsiaTheme="minorHAnsi" w:cstheme="minorBidi"/>
          <w:szCs w:val="24"/>
          <w:lang w:val="fr-CA" w:eastAsia="en-US"/>
        </w:rPr>
      </w:pPr>
      <w:r>
        <w:rPr>
          <w:rFonts w:eastAsiaTheme="minorHAnsi" w:cstheme="minorBidi"/>
          <w:szCs w:val="24"/>
          <w:lang w:val="fr-CA" w:eastAsia="en-US"/>
        </w:rPr>
        <w:t>Intervenants</w:t>
      </w:r>
    </w:p>
    <w:p w14:paraId="1621E8F8" w14:textId="77777777" w:rsidR="006B1A0D" w:rsidRDefault="006B1A0D" w:rsidP="006B1A0D">
      <w:pPr>
        <w:rPr>
          <w:rFonts w:eastAsiaTheme="minorHAnsi" w:cstheme="minorBidi"/>
          <w:szCs w:val="24"/>
          <w:lang w:val="fr-CA" w:eastAsia="en-US"/>
        </w:rPr>
      </w:pPr>
    </w:p>
    <w:p w14:paraId="2DF32486" w14:textId="77777777" w:rsidR="006B1A0D" w:rsidRDefault="006B1A0D" w:rsidP="006B1A0D">
      <w:pPr>
        <w:rPr>
          <w:rFonts w:eastAsiaTheme="minorHAnsi" w:cstheme="minorBidi"/>
          <w:szCs w:val="24"/>
          <w:lang w:val="fr-CA" w:eastAsia="en-US"/>
        </w:rPr>
      </w:pPr>
    </w:p>
    <w:p w14:paraId="63CCE585" w14:textId="77777777" w:rsidR="006B1A0D" w:rsidRDefault="006B1A0D" w:rsidP="006B1A0D">
      <w:pPr>
        <w:jc w:val="center"/>
        <w:rPr>
          <w:rFonts w:eastAsiaTheme="minorHAnsi" w:cstheme="minorBidi"/>
          <w:b/>
          <w:smallCaps/>
          <w:szCs w:val="24"/>
          <w:lang w:val="fr-CA" w:eastAsia="en-US"/>
        </w:rPr>
      </w:pPr>
      <w:r>
        <w:rPr>
          <w:rFonts w:eastAsiaTheme="minorHAnsi" w:cstheme="minorBidi"/>
          <w:b/>
          <w:smallCaps/>
          <w:szCs w:val="24"/>
          <w:lang w:val="fr-CA" w:eastAsia="en-US"/>
        </w:rPr>
        <w:t>Traduction française officielle</w:t>
      </w:r>
    </w:p>
    <w:p w14:paraId="468E0C0A" w14:textId="77777777" w:rsidR="006B1A0D" w:rsidRDefault="006B1A0D" w:rsidP="006B1A0D">
      <w:pPr>
        <w:rPr>
          <w:rFonts w:eastAsiaTheme="minorHAnsi" w:cstheme="minorBidi"/>
          <w:szCs w:val="24"/>
          <w:lang w:val="fr-CA" w:eastAsia="en-US"/>
        </w:rPr>
      </w:pPr>
    </w:p>
    <w:p w14:paraId="5270A49D" w14:textId="77777777" w:rsidR="006B1A0D" w:rsidRDefault="006B1A0D" w:rsidP="006B1A0D">
      <w:pPr>
        <w:rPr>
          <w:rFonts w:eastAsiaTheme="minorHAnsi" w:cstheme="minorBidi"/>
          <w:szCs w:val="24"/>
          <w:lang w:val="fr-CA" w:eastAsia="en-US"/>
        </w:rPr>
      </w:pPr>
      <w:r>
        <w:rPr>
          <w:rFonts w:eastAsiaTheme="minorHAnsi" w:cstheme="minorBidi"/>
          <w:b/>
          <w:smallCaps/>
          <w:szCs w:val="24"/>
          <w:lang w:val="fr-CA" w:eastAsia="en-US"/>
        </w:rPr>
        <w:t>Coram :</w:t>
      </w:r>
      <w:r>
        <w:rPr>
          <w:rFonts w:eastAsiaTheme="minorHAnsi" w:cstheme="minorBidi"/>
          <w:szCs w:val="24"/>
          <w:lang w:val="fr-CA" w:eastAsia="en-US"/>
        </w:rPr>
        <w:t xml:space="preserve"> Le juge en chef Wagner et les juges Abella, Moldaver, Karakatsanis, Côté, Brown, Rowe, Martin et Kasirer</w:t>
      </w:r>
    </w:p>
    <w:p w14:paraId="4667F1BA" w14:textId="77777777" w:rsidR="006B1A0D" w:rsidRDefault="006B1A0D" w:rsidP="006B1A0D">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B1A0D" w14:paraId="37256BE9" w14:textId="77777777" w:rsidTr="00B0700B">
        <w:trPr>
          <w:cantSplit/>
        </w:trPr>
        <w:tc>
          <w:tcPr>
            <w:tcW w:w="3618" w:type="dxa"/>
          </w:tcPr>
          <w:p w14:paraId="1CB14C7B" w14:textId="77777777" w:rsidR="006B1A0D" w:rsidRDefault="006B1A0D" w:rsidP="00B0700B">
            <w:pPr>
              <w:rPr>
                <w:b/>
                <w:smallCaps/>
                <w:lang w:val="fr-CA"/>
              </w:rPr>
            </w:pPr>
            <w:r>
              <w:rPr>
                <w:b/>
                <w:smallCaps/>
                <w:lang w:val="fr-CA"/>
              </w:rPr>
              <w:t>Motifs de jugement :</w:t>
            </w:r>
          </w:p>
          <w:p w14:paraId="58CFD157" w14:textId="77777777" w:rsidR="006B1A0D" w:rsidRDefault="006B1A0D" w:rsidP="00B0700B">
            <w:pPr>
              <w:rPr>
                <w:lang w:val="fr-CA"/>
              </w:rPr>
            </w:pPr>
            <w:r>
              <w:rPr>
                <w:lang w:val="fr-CA"/>
              </w:rPr>
              <w:t>(par. 1 à 139)</w:t>
            </w:r>
          </w:p>
          <w:p w14:paraId="379EDB76" w14:textId="77777777" w:rsidR="006B1A0D" w:rsidRDefault="006B1A0D" w:rsidP="00B0700B">
            <w:pPr>
              <w:rPr>
                <w:lang w:val="fr-CA"/>
              </w:rPr>
            </w:pPr>
          </w:p>
          <w:p w14:paraId="64560413" w14:textId="77777777" w:rsidR="006B1A0D" w:rsidRDefault="006B1A0D" w:rsidP="00B0700B">
            <w:pPr>
              <w:rPr>
                <w:rFonts w:ascii="Times New Roman Bold" w:hAnsi="Times New Roman Bold"/>
                <w:b/>
                <w:smallCaps/>
                <w:lang w:val="fr-CA"/>
              </w:rPr>
            </w:pPr>
            <w:r>
              <w:rPr>
                <w:rFonts w:ascii="Times New Roman Bold" w:hAnsi="Times New Roman Bold"/>
                <w:b/>
                <w:smallCaps/>
                <w:lang w:val="fr-CA"/>
              </w:rPr>
              <w:t>Motifs conjoints dissidents :</w:t>
            </w:r>
          </w:p>
          <w:p w14:paraId="52E72E4F" w14:textId="77777777" w:rsidR="006B1A0D" w:rsidRDefault="006B1A0D" w:rsidP="00B0700B">
            <w:pPr>
              <w:rPr>
                <w:lang w:val="fr-CA"/>
              </w:rPr>
            </w:pPr>
            <w:r>
              <w:rPr>
                <w:lang w:val="fr-CA"/>
              </w:rPr>
              <w:t>(par. 140 à 230)</w:t>
            </w:r>
          </w:p>
          <w:p w14:paraId="09E86BA3" w14:textId="77777777" w:rsidR="006B1A0D" w:rsidRDefault="006B1A0D" w:rsidP="00B0700B">
            <w:pPr>
              <w:rPr>
                <w:rFonts w:ascii="Times New Roman Bold" w:hAnsi="Times New Roman Bold"/>
                <w:b/>
                <w:smallCaps/>
                <w:lang w:val="fr-CA"/>
              </w:rPr>
            </w:pPr>
          </w:p>
          <w:p w14:paraId="34760503" w14:textId="77777777" w:rsidR="006B1A0D" w:rsidRDefault="006B1A0D" w:rsidP="00B0700B">
            <w:pPr>
              <w:rPr>
                <w:rFonts w:ascii="Times New Roman Bold" w:hAnsi="Times New Roman Bold"/>
                <w:b/>
                <w:smallCaps/>
                <w:lang w:val="fr-CA"/>
              </w:rPr>
            </w:pPr>
            <w:r>
              <w:rPr>
                <w:rFonts w:ascii="Times New Roman Bold" w:hAnsi="Times New Roman Bold"/>
                <w:b/>
                <w:smallCaps/>
                <w:lang w:val="fr-CA"/>
              </w:rPr>
              <w:t>Motifs dissidents :</w:t>
            </w:r>
          </w:p>
          <w:p w14:paraId="2EAB11CB" w14:textId="77777777" w:rsidR="006B1A0D" w:rsidRDefault="006B1A0D" w:rsidP="00B0700B">
            <w:pPr>
              <w:rPr>
                <w:lang w:val="fr-CA"/>
              </w:rPr>
            </w:pPr>
            <w:r>
              <w:rPr>
                <w:lang w:val="fr-CA"/>
              </w:rPr>
              <w:t>(par. 231 à 256)</w:t>
            </w:r>
          </w:p>
        </w:tc>
        <w:tc>
          <w:tcPr>
            <w:tcW w:w="5958" w:type="dxa"/>
          </w:tcPr>
          <w:p w14:paraId="73D65A15" w14:textId="77777777" w:rsidR="006B1A0D" w:rsidRDefault="006B1A0D" w:rsidP="00B0700B">
            <w:pPr>
              <w:rPr>
                <w:lang w:val="fr-CA"/>
              </w:rPr>
            </w:pPr>
            <w:r>
              <w:rPr>
                <w:lang w:val="fr-CA"/>
              </w:rPr>
              <w:t>La juge Abella (avec l’accord du juge en chef Wagner et des juges Moldaver, Karakatsanis, Martin et Kasirer)</w:t>
            </w:r>
          </w:p>
          <w:p w14:paraId="014AC075" w14:textId="77777777" w:rsidR="006B1A0D" w:rsidRDefault="006B1A0D" w:rsidP="00B0700B">
            <w:pPr>
              <w:rPr>
                <w:lang w:val="fr-CA"/>
              </w:rPr>
            </w:pPr>
          </w:p>
          <w:p w14:paraId="2BC6007A" w14:textId="77777777" w:rsidR="006B1A0D" w:rsidRDefault="006B1A0D" w:rsidP="00B0700B">
            <w:pPr>
              <w:rPr>
                <w:lang w:val="fr-CA"/>
              </w:rPr>
            </w:pPr>
            <w:r>
              <w:rPr>
                <w:lang w:val="fr-CA"/>
              </w:rPr>
              <w:t>Les juges Brown et Rowe</w:t>
            </w:r>
          </w:p>
          <w:p w14:paraId="660D1618" w14:textId="77777777" w:rsidR="006B1A0D" w:rsidRDefault="006B1A0D" w:rsidP="00B0700B">
            <w:pPr>
              <w:rPr>
                <w:lang w:val="fr-CA"/>
              </w:rPr>
            </w:pPr>
          </w:p>
          <w:p w14:paraId="1F1590E4" w14:textId="77777777" w:rsidR="006B1A0D" w:rsidRDefault="006B1A0D" w:rsidP="00B0700B">
            <w:pPr>
              <w:rPr>
                <w:lang w:val="fr-CA"/>
              </w:rPr>
            </w:pPr>
          </w:p>
          <w:p w14:paraId="196447DB" w14:textId="77777777" w:rsidR="006B1A0D" w:rsidRDefault="006B1A0D" w:rsidP="00B0700B">
            <w:pPr>
              <w:rPr>
                <w:lang w:val="fr-CA"/>
              </w:rPr>
            </w:pPr>
            <w:r>
              <w:rPr>
                <w:lang w:val="fr-CA"/>
              </w:rPr>
              <w:t>La juge Côté</w:t>
            </w:r>
          </w:p>
        </w:tc>
      </w:tr>
    </w:tbl>
    <w:p w14:paraId="31A98AD5" w14:textId="77777777" w:rsidR="006B1A0D" w:rsidRDefault="006B1A0D" w:rsidP="006B1A0D">
      <w:pPr>
        <w:rPr>
          <w:rFonts w:eastAsiaTheme="minorHAnsi" w:cstheme="minorBidi"/>
          <w:szCs w:val="24"/>
          <w:lang w:val="fr-CA" w:eastAsia="en-US"/>
        </w:rPr>
      </w:pPr>
    </w:p>
    <w:p w14:paraId="503FE844" w14:textId="77777777" w:rsidR="006B1A0D" w:rsidRDefault="006B1A0D" w:rsidP="006B1A0D">
      <w:pPr>
        <w:rPr>
          <w:rFonts w:eastAsiaTheme="minorHAnsi" w:cstheme="minorBidi"/>
          <w:szCs w:val="24"/>
          <w:lang w:val="fr-CA" w:eastAsia="en-US"/>
        </w:rPr>
      </w:pPr>
      <w:r>
        <w:rPr>
          <w:noProof/>
          <w:lang w:val="fr-CA" w:eastAsia="fr-CA"/>
        </w:rPr>
        <mc:AlternateContent>
          <mc:Choice Requires="wps">
            <w:drawing>
              <wp:anchor distT="0" distB="0" distL="114300" distR="114300" simplePos="0" relativeHeight="251659264" behindDoc="0" locked="0" layoutInCell="1" allowOverlap="1" wp14:anchorId="28573A50" wp14:editId="3564E289">
                <wp:simplePos x="0" y="0"/>
                <wp:positionH relativeFrom="column">
                  <wp:posOffset>1609725</wp:posOffset>
                </wp:positionH>
                <wp:positionV relativeFrom="paragraph">
                  <wp:posOffset>184150</wp:posOffset>
                </wp:positionV>
                <wp:extent cx="2505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9982B3" id="_x0000_t32" coordsize="21600,21600" o:spt="32" o:oned="t" path="m,l21600,21600e" filled="f">
                <v:path arrowok="t" fillok="f" o:connecttype="none"/>
                <o:lock v:ext="edit" shapetype="t"/>
              </v:shapetype>
              <v:shape id="Straight Arrow Connector 1"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"/>
            </w:pict>
          </mc:Fallback>
        </mc:AlternateContent>
      </w:r>
    </w:p>
    <w:p w14:paraId="3EBE5F35" w14:textId="77777777" w:rsidR="006B1A0D" w:rsidRPr="00BE01F3" w:rsidRDefault="006B1A0D" w:rsidP="006B1A0D">
      <w:pPr>
        <w:rPr>
          <w:rStyle w:val="SCCAppellantForRunningHeadChar"/>
          <w:lang w:val="fr-CA"/>
        </w:rPr>
      </w:pPr>
      <w:r>
        <w:rPr>
          <w:rStyle w:val="SCCAppellantForRunningHeadChar"/>
          <w:rFonts w:eastAsiaTheme="majorEastAsia"/>
          <w:lang w:val="fr-CA"/>
        </w:rPr>
        <w:br w:type="page"/>
      </w:r>
    </w:p>
    <w:p w14:paraId="2D534668" w14:textId="54338855" w:rsidR="004D7D95" w:rsidRPr="00593AA6" w:rsidRDefault="004B3F53" w:rsidP="0009382E">
      <w:pPr>
        <w:spacing w:after="720"/>
        <w:jc w:val="both"/>
        <w:rPr>
          <w:lang w:val="fr-CA"/>
        </w:rPr>
      </w:pPr>
      <w:bookmarkStart w:id="0" w:name="_GoBack"/>
      <w:bookmarkEnd w:id="0"/>
      <w:r>
        <w:rPr>
          <w:rStyle w:val="SCCAppellantForRunningHeadChar"/>
          <w:lang w:val="fr-CA"/>
        </w:rPr>
        <w:lastRenderedPageBreak/>
        <w:t>f</w:t>
      </w:r>
      <w:r w:rsidR="004D7D95" w:rsidRPr="00593AA6">
        <w:rPr>
          <w:rStyle w:val="SCCAppellantForRunningHeadChar"/>
          <w:lang w:val="fr-CA"/>
        </w:rPr>
        <w:t xml:space="preserve">raser </w:t>
      </w:r>
      <w:r w:rsidR="004D7D95" w:rsidRPr="00593AA6">
        <w:rPr>
          <w:i/>
          <w:lang w:val="fr-CA"/>
        </w:rPr>
        <w:t>c.</w:t>
      </w:r>
      <w:r>
        <w:rPr>
          <w:rStyle w:val="SCCRespondentForRunningHeadChar"/>
          <w:lang w:val="fr-CA"/>
        </w:rPr>
        <w:t xml:space="preserve"> c</w:t>
      </w:r>
      <w:r w:rsidR="004D7D95" w:rsidRPr="00593AA6">
        <w:rPr>
          <w:rStyle w:val="SCCRespondentForRunningHeadChar"/>
          <w:lang w:val="fr-CA"/>
        </w:rPr>
        <w:t>anada</w:t>
      </w:r>
      <w:r w:rsidR="00546EA0" w:rsidRPr="00593AA6">
        <w:rPr>
          <w:lang w:val="fr-CA"/>
        </w:rPr>
        <w:t xml:space="preserve"> (</w:t>
      </w:r>
      <w:r>
        <w:rPr>
          <w:rStyle w:val="SCCRespondentForRunningHeadChar"/>
          <w:lang w:val="fr-CA"/>
        </w:rPr>
        <w:t>p</w:t>
      </w:r>
      <w:r w:rsidR="00546EA0" w:rsidRPr="00593AA6">
        <w:rPr>
          <w:rStyle w:val="SCCRespondentForRunningHeadChar"/>
          <w:lang w:val="fr-CA"/>
        </w:rPr>
        <w:t>rocureur général)</w:t>
      </w:r>
    </w:p>
    <w:p w14:paraId="1909DCD5" w14:textId="77777777" w:rsidR="00556CFA" w:rsidRPr="00593AA6" w:rsidRDefault="00CA08B5">
      <w:pPr>
        <w:pStyle w:val="SCCLsocParty"/>
        <w:rPr>
          <w:lang w:val="fr-CA"/>
        </w:rPr>
      </w:pPr>
      <w:r w:rsidRPr="00593AA6">
        <w:rPr>
          <w:lang w:val="fr-CA"/>
        </w:rPr>
        <w:t>Joanne Fraser,</w:t>
      </w:r>
    </w:p>
    <w:p w14:paraId="2A69A874" w14:textId="77777777" w:rsidR="00556CFA" w:rsidRPr="00593AA6" w:rsidRDefault="00A46939">
      <w:pPr>
        <w:pStyle w:val="SCCLsocParty"/>
        <w:rPr>
          <w:lang w:val="fr-CA"/>
        </w:rPr>
      </w:pPr>
      <w:r w:rsidRPr="00593AA6">
        <w:rPr>
          <w:lang w:val="fr-CA"/>
        </w:rPr>
        <w:t>Allison Pilgrim</w:t>
      </w:r>
      <w:r w:rsidR="00546EA0" w:rsidRPr="00593AA6">
        <w:rPr>
          <w:lang w:val="fr-CA"/>
        </w:rPr>
        <w:t xml:space="preserve"> et</w:t>
      </w:r>
    </w:p>
    <w:p w14:paraId="32703226" w14:textId="77777777" w:rsidR="00556CFA" w:rsidRPr="00593AA6" w:rsidRDefault="00CA08B5" w:rsidP="0009382E">
      <w:pPr>
        <w:pStyle w:val="SCCLsocLastPartyInRole"/>
        <w:rPr>
          <w:lang w:val="fr-CA"/>
        </w:rPr>
      </w:pPr>
      <w:r w:rsidRPr="00593AA6">
        <w:rPr>
          <w:lang w:val="fr-CA"/>
        </w:rPr>
        <w:t>Colleen Fox</w:t>
      </w:r>
      <w:r w:rsidR="00546EA0" w:rsidRPr="00593AA6">
        <w:rPr>
          <w:rStyle w:val="SCCLsocPartyRole"/>
          <w:lang w:val="fr-CA"/>
        </w:rPr>
        <w:tab/>
        <w:t>Appelante</w:t>
      </w:r>
      <w:r w:rsidRPr="00593AA6">
        <w:rPr>
          <w:rStyle w:val="SCCLsocPartyRole"/>
          <w:lang w:val="fr-CA"/>
        </w:rPr>
        <w:t>s</w:t>
      </w:r>
    </w:p>
    <w:p w14:paraId="1540A4A3" w14:textId="77777777" w:rsidR="00556CFA" w:rsidRPr="00593AA6" w:rsidRDefault="00CA08B5" w:rsidP="0009382E">
      <w:pPr>
        <w:pStyle w:val="SCCLsocVersus"/>
        <w:rPr>
          <w:lang w:val="fr-CA"/>
        </w:rPr>
      </w:pPr>
      <w:r w:rsidRPr="00593AA6">
        <w:rPr>
          <w:lang w:val="fr-CA"/>
        </w:rPr>
        <w:t>c.</w:t>
      </w:r>
    </w:p>
    <w:p w14:paraId="6BF8C9F8" w14:textId="77777777" w:rsidR="00556CFA" w:rsidRPr="00593AA6" w:rsidRDefault="00CA08B5" w:rsidP="0009382E">
      <w:pPr>
        <w:pStyle w:val="SCCLsocLastPartyInRole"/>
        <w:rPr>
          <w:lang w:val="fr-CA"/>
        </w:rPr>
      </w:pPr>
      <w:r w:rsidRPr="00593AA6">
        <w:rPr>
          <w:lang w:val="fr-CA"/>
        </w:rPr>
        <w:t>Procureur général du Canada</w:t>
      </w:r>
      <w:r w:rsidR="00546EA0" w:rsidRPr="00593AA6">
        <w:rPr>
          <w:rStyle w:val="SCCLsocPartyRole"/>
          <w:lang w:val="fr-CA"/>
        </w:rPr>
        <w:tab/>
        <w:t>Intimé</w:t>
      </w:r>
    </w:p>
    <w:p w14:paraId="4269173F" w14:textId="77777777" w:rsidR="00556CFA" w:rsidRPr="00593AA6" w:rsidRDefault="00CA08B5" w:rsidP="0009382E">
      <w:pPr>
        <w:pStyle w:val="SCCLsocOtherPartySeparator"/>
        <w:rPr>
          <w:lang w:val="fr-CA"/>
        </w:rPr>
      </w:pPr>
      <w:r w:rsidRPr="00593AA6">
        <w:rPr>
          <w:lang w:val="fr-CA"/>
        </w:rPr>
        <w:t>et</w:t>
      </w:r>
    </w:p>
    <w:p w14:paraId="54AD91F2" w14:textId="19727804" w:rsidR="00556CFA" w:rsidRPr="00593AA6" w:rsidRDefault="004D34F6">
      <w:pPr>
        <w:pStyle w:val="SCCLsocParty"/>
        <w:rPr>
          <w:lang w:val="fr-CA"/>
        </w:rPr>
      </w:pPr>
      <w:r>
        <w:rPr>
          <w:lang w:val="fr-CA"/>
        </w:rPr>
        <w:t>Procureur général</w:t>
      </w:r>
      <w:r w:rsidR="00CA08B5" w:rsidRPr="00593AA6">
        <w:rPr>
          <w:lang w:val="fr-CA"/>
        </w:rPr>
        <w:t xml:space="preserve"> de l</w:t>
      </w:r>
      <w:r w:rsidR="00546EA0" w:rsidRPr="00593AA6">
        <w:rPr>
          <w:lang w:val="fr-CA"/>
        </w:rPr>
        <w:t>’</w:t>
      </w:r>
      <w:r w:rsidR="00CA08B5" w:rsidRPr="00593AA6">
        <w:rPr>
          <w:lang w:val="fr-CA"/>
        </w:rPr>
        <w:t>Ontario,</w:t>
      </w:r>
    </w:p>
    <w:p w14:paraId="21C4C463" w14:textId="77777777" w:rsidR="00556CFA" w:rsidRPr="00593AA6" w:rsidRDefault="00546EA0">
      <w:pPr>
        <w:pStyle w:val="SCCLsocParty"/>
        <w:rPr>
          <w:lang w:val="fr-CA"/>
        </w:rPr>
      </w:pPr>
      <w:r w:rsidRPr="00593AA6">
        <w:rPr>
          <w:lang w:val="fr-CA"/>
        </w:rPr>
        <w:t>p</w:t>
      </w:r>
      <w:r w:rsidR="00CA08B5" w:rsidRPr="00593AA6">
        <w:rPr>
          <w:lang w:val="fr-CA"/>
        </w:rPr>
        <w:t>rocureure générale du Québec,</w:t>
      </w:r>
    </w:p>
    <w:p w14:paraId="14AECAC8" w14:textId="77777777" w:rsidR="00556CFA" w:rsidRPr="00593AA6" w:rsidRDefault="00CA08B5">
      <w:pPr>
        <w:pStyle w:val="SCCLsocParty"/>
        <w:rPr>
          <w:lang w:val="fr-CA"/>
        </w:rPr>
      </w:pPr>
      <w:r w:rsidRPr="00593AA6">
        <w:rPr>
          <w:lang w:val="fr-CA"/>
        </w:rPr>
        <w:t>Fonds d</w:t>
      </w:r>
      <w:r w:rsidR="00546EA0" w:rsidRPr="00593AA6">
        <w:rPr>
          <w:lang w:val="fr-CA"/>
        </w:rPr>
        <w:t>’</w:t>
      </w:r>
      <w:r w:rsidRPr="00593AA6">
        <w:rPr>
          <w:lang w:val="fr-CA"/>
        </w:rPr>
        <w:t>action et d</w:t>
      </w:r>
      <w:r w:rsidR="00546EA0" w:rsidRPr="00593AA6">
        <w:rPr>
          <w:lang w:val="fr-CA"/>
        </w:rPr>
        <w:t>’</w:t>
      </w:r>
      <w:r w:rsidRPr="00593AA6">
        <w:rPr>
          <w:lang w:val="fr-CA"/>
        </w:rPr>
        <w:t>éducation juridiques pour les femmes inc.,</w:t>
      </w:r>
    </w:p>
    <w:p w14:paraId="10A612B5" w14:textId="0C707DA2" w:rsidR="00556CFA" w:rsidRPr="00593AA6" w:rsidRDefault="00CA08B5">
      <w:pPr>
        <w:pStyle w:val="SCCLsocParty"/>
        <w:rPr>
          <w:lang w:val="fr-CA"/>
        </w:rPr>
      </w:pPr>
      <w:r w:rsidRPr="00593AA6">
        <w:rPr>
          <w:lang w:val="fr-CA"/>
        </w:rPr>
        <w:t>Alliance de</w:t>
      </w:r>
      <w:r w:rsidR="008A29A0">
        <w:rPr>
          <w:lang w:val="fr-CA"/>
        </w:rPr>
        <w:t xml:space="preserve"> la F</w:t>
      </w:r>
      <w:r w:rsidR="00A46939" w:rsidRPr="00593AA6">
        <w:rPr>
          <w:lang w:val="fr-CA"/>
        </w:rPr>
        <w:t>onction publique du Canada</w:t>
      </w:r>
      <w:r w:rsidR="00546EA0" w:rsidRPr="00593AA6">
        <w:rPr>
          <w:lang w:val="fr-CA"/>
        </w:rPr>
        <w:t xml:space="preserve"> et</w:t>
      </w:r>
    </w:p>
    <w:p w14:paraId="4E285822" w14:textId="3D2C67BE" w:rsidR="00556CFA" w:rsidRPr="00593AA6" w:rsidRDefault="00CA08B5" w:rsidP="0009382E">
      <w:pPr>
        <w:pStyle w:val="SCCLsocLastPartyInRole"/>
        <w:rPr>
          <w:lang w:val="fr-CA"/>
        </w:rPr>
      </w:pPr>
      <w:r w:rsidRPr="008A29A0">
        <w:rPr>
          <w:lang w:val="fr-CA"/>
        </w:rPr>
        <w:t xml:space="preserve">Fédération de la </w:t>
      </w:r>
      <w:r w:rsidR="008A29A0" w:rsidRPr="008A29A0">
        <w:rPr>
          <w:lang w:val="fr-CA"/>
        </w:rPr>
        <w:t>p</w:t>
      </w:r>
      <w:r w:rsidRPr="008A29A0">
        <w:rPr>
          <w:lang w:val="fr-CA"/>
        </w:rPr>
        <w:t xml:space="preserve">olice </w:t>
      </w:r>
      <w:r w:rsidR="008A29A0" w:rsidRPr="008A29A0">
        <w:rPr>
          <w:lang w:val="fr-CA"/>
        </w:rPr>
        <w:t>n</w:t>
      </w:r>
      <w:r w:rsidRPr="008A29A0">
        <w:rPr>
          <w:lang w:val="fr-CA"/>
        </w:rPr>
        <w:t>ationale</w:t>
      </w:r>
      <w:r w:rsidR="00546EA0" w:rsidRPr="00593AA6">
        <w:rPr>
          <w:rStyle w:val="SCCLsocPartyRole"/>
          <w:lang w:val="fr-CA"/>
        </w:rPr>
        <w:tab/>
        <w:t>Intervenant</w:t>
      </w:r>
      <w:r w:rsidRPr="00593AA6">
        <w:rPr>
          <w:rStyle w:val="SCCLsocPartyRole"/>
          <w:lang w:val="fr-CA"/>
        </w:rPr>
        <w:t>s</w:t>
      </w:r>
    </w:p>
    <w:p w14:paraId="36F4D3B8" w14:textId="1BC08CC2" w:rsidR="004D7D95" w:rsidRPr="00593AA6" w:rsidRDefault="00546EA0" w:rsidP="0009382E">
      <w:pPr>
        <w:spacing w:after="720"/>
        <w:jc w:val="both"/>
        <w:rPr>
          <w:b/>
          <w:lang w:val="fr-CA"/>
        </w:rPr>
      </w:pPr>
      <w:r w:rsidRPr="00593AA6">
        <w:rPr>
          <w:b/>
          <w:lang w:val="fr-CA"/>
        </w:rPr>
        <w:t>Répertorié</w:t>
      </w:r>
      <w:r w:rsidR="002167F7">
        <w:rPr>
          <w:b/>
          <w:lang w:val="fr-CA"/>
        </w:rPr>
        <w:t> :</w:t>
      </w:r>
      <w:r w:rsidRPr="00593AA6">
        <w:rPr>
          <w:b/>
          <w:lang w:val="fr-CA"/>
        </w:rPr>
        <w:t> </w:t>
      </w:r>
      <w:r w:rsidRPr="00593AA6">
        <w:rPr>
          <w:rStyle w:val="SCCAppellantForIndexChar"/>
          <w:lang w:val="fr-CA"/>
        </w:rPr>
        <w:t>Fraser</w:t>
      </w:r>
      <w:r w:rsidR="004D7D95" w:rsidRPr="00593AA6">
        <w:rPr>
          <w:b/>
          <w:lang w:val="fr-CA"/>
        </w:rPr>
        <w:t xml:space="preserve"> </w:t>
      </w:r>
      <w:r w:rsidR="004D7D95" w:rsidRPr="00593AA6">
        <w:rPr>
          <w:b/>
          <w:i/>
          <w:lang w:val="fr-CA"/>
        </w:rPr>
        <w:t>c.</w:t>
      </w:r>
      <w:r w:rsidR="004D7D95" w:rsidRPr="00593AA6">
        <w:rPr>
          <w:b/>
          <w:lang w:val="fr-CA"/>
        </w:rPr>
        <w:t xml:space="preserve"> </w:t>
      </w:r>
      <w:r w:rsidR="004D7D95" w:rsidRPr="00593AA6">
        <w:rPr>
          <w:rStyle w:val="SCCRespondentForIndexChar"/>
          <w:lang w:val="fr-CA"/>
        </w:rPr>
        <w:t>Canada</w:t>
      </w:r>
      <w:r w:rsidRPr="00593AA6">
        <w:rPr>
          <w:b/>
          <w:lang w:val="fr-CA"/>
        </w:rPr>
        <w:t xml:space="preserve"> (</w:t>
      </w:r>
      <w:r w:rsidRPr="00593AA6">
        <w:rPr>
          <w:rStyle w:val="SCCRespondentForIndexChar"/>
          <w:lang w:val="fr-CA"/>
        </w:rPr>
        <w:t>Procureur général)</w:t>
      </w:r>
    </w:p>
    <w:p w14:paraId="08F43E8E" w14:textId="782CB991" w:rsidR="004D7D95" w:rsidRPr="00593AA6" w:rsidRDefault="00D17B0E" w:rsidP="0009382E">
      <w:pPr>
        <w:spacing w:after="720"/>
        <w:jc w:val="both"/>
        <w:rPr>
          <w:lang w:val="fr-CA"/>
        </w:rPr>
      </w:pPr>
      <w:r w:rsidRPr="00BD15E1">
        <w:rPr>
          <w:b/>
          <w:lang w:val="fr-CA"/>
        </w:rPr>
        <w:t>2020</w:t>
      </w:r>
      <w:r w:rsidR="004D7D95" w:rsidRPr="00BD15E1">
        <w:rPr>
          <w:lang w:val="fr-CA"/>
        </w:rPr>
        <w:t xml:space="preserve"> </w:t>
      </w:r>
      <w:r w:rsidR="004D7D95" w:rsidRPr="00BD15E1">
        <w:rPr>
          <w:b/>
          <w:lang w:val="fr-CA"/>
        </w:rPr>
        <w:t>CSC</w:t>
      </w:r>
      <w:r w:rsidR="004D7D95" w:rsidRPr="00BD15E1">
        <w:rPr>
          <w:lang w:val="fr-CA"/>
        </w:rPr>
        <w:t> </w:t>
      </w:r>
      <w:r w:rsidR="00BD15E1" w:rsidRPr="00BD15E1">
        <w:rPr>
          <w:b/>
          <w:lang w:val="fr-CA"/>
        </w:rPr>
        <w:t>28</w:t>
      </w:r>
    </w:p>
    <w:p w14:paraId="63B48774" w14:textId="138A4F47" w:rsidR="004D7D95" w:rsidRPr="00593AA6" w:rsidRDefault="004D7D95" w:rsidP="0009382E">
      <w:pPr>
        <w:spacing w:after="720"/>
        <w:jc w:val="both"/>
        <w:rPr>
          <w:lang w:val="fr-CA"/>
        </w:rPr>
      </w:pPr>
      <w:r w:rsidRPr="00593AA6">
        <w:rPr>
          <w:lang w:val="fr-CA"/>
        </w:rPr>
        <w:t>N</w:t>
      </w:r>
      <w:r w:rsidRPr="00593AA6">
        <w:rPr>
          <w:vertAlign w:val="superscript"/>
          <w:lang w:val="fr-CA"/>
        </w:rPr>
        <w:t>o</w:t>
      </w:r>
      <w:r w:rsidRPr="00593AA6">
        <w:rPr>
          <w:lang w:val="fr-CA"/>
        </w:rPr>
        <w:t xml:space="preserve"> du greffe</w:t>
      </w:r>
      <w:r w:rsidR="002167F7">
        <w:rPr>
          <w:lang w:val="fr-CA"/>
        </w:rPr>
        <w:t> :</w:t>
      </w:r>
      <w:r w:rsidRPr="00593AA6">
        <w:rPr>
          <w:lang w:val="fr-CA"/>
        </w:rPr>
        <w:t> 38505.</w:t>
      </w:r>
    </w:p>
    <w:p w14:paraId="4B976808" w14:textId="618363D4" w:rsidR="004D7D95" w:rsidRPr="00593AA6" w:rsidRDefault="0009382E" w:rsidP="0009382E">
      <w:pPr>
        <w:spacing w:after="720"/>
        <w:jc w:val="both"/>
        <w:rPr>
          <w:lang w:val="fr-CA"/>
        </w:rPr>
      </w:pPr>
      <w:r>
        <w:rPr>
          <w:lang w:val="fr-CA"/>
        </w:rPr>
        <w:t>2019</w:t>
      </w:r>
      <w:r w:rsidR="002167F7">
        <w:rPr>
          <w:lang w:val="fr-CA"/>
        </w:rPr>
        <w:t> :</w:t>
      </w:r>
      <w:r>
        <w:rPr>
          <w:lang w:val="fr-CA"/>
        </w:rPr>
        <w:t> 12 </w:t>
      </w:r>
      <w:r w:rsidR="00D17B0E" w:rsidRPr="00593AA6">
        <w:rPr>
          <w:lang w:val="fr-CA"/>
        </w:rPr>
        <w:t>décembre</w:t>
      </w:r>
      <w:r w:rsidR="004D7D95" w:rsidRPr="00593AA6">
        <w:rPr>
          <w:lang w:val="fr-CA"/>
        </w:rPr>
        <w:t xml:space="preserve">; </w:t>
      </w:r>
      <w:r w:rsidR="00CE1640">
        <w:rPr>
          <w:lang w:val="fr-CA"/>
        </w:rPr>
        <w:t>2020</w:t>
      </w:r>
      <w:r w:rsidR="00CE1640" w:rsidRPr="00CE1640">
        <w:rPr>
          <w:lang w:val="fr-CA"/>
        </w:rPr>
        <w:t> :</w:t>
      </w:r>
      <w:r w:rsidR="00CE1640">
        <w:rPr>
          <w:lang w:val="fr-CA"/>
        </w:rPr>
        <w:t> 16</w:t>
      </w:r>
      <w:r w:rsidR="00CE1640" w:rsidRPr="00CE1640">
        <w:rPr>
          <w:lang w:val="fr-CA"/>
        </w:rPr>
        <w:t> </w:t>
      </w:r>
      <w:r w:rsidR="00CE1640">
        <w:rPr>
          <w:lang w:val="fr-CA"/>
        </w:rPr>
        <w:t>octobre.</w:t>
      </w:r>
    </w:p>
    <w:p w14:paraId="16525D03" w14:textId="25557C4C" w:rsidR="004D7D95" w:rsidRPr="00593AA6" w:rsidRDefault="004D7D95" w:rsidP="0009382E">
      <w:pPr>
        <w:spacing w:after="720"/>
        <w:jc w:val="both"/>
        <w:rPr>
          <w:lang w:val="fr-CA"/>
        </w:rPr>
      </w:pPr>
      <w:r w:rsidRPr="00593AA6">
        <w:rPr>
          <w:lang w:val="fr-CA"/>
        </w:rPr>
        <w:t>Présents</w:t>
      </w:r>
      <w:r w:rsidR="002167F7">
        <w:rPr>
          <w:lang w:val="fr-CA"/>
        </w:rPr>
        <w:t> :</w:t>
      </w:r>
      <w:r w:rsidRPr="00593AA6">
        <w:rPr>
          <w:lang w:val="fr-CA"/>
        </w:rPr>
        <w:t> Le juge en chef Wagner et les juges Abella, Moldaver, Karakatsanis, Côté, Brown, Rowe, Martin et Kasirer.</w:t>
      </w:r>
    </w:p>
    <w:p w14:paraId="2F8E2598" w14:textId="77777777" w:rsidR="004D7D95" w:rsidRPr="00593AA6" w:rsidRDefault="004D7D95" w:rsidP="0009382E">
      <w:pPr>
        <w:spacing w:after="720"/>
        <w:jc w:val="both"/>
        <w:rPr>
          <w:smallCaps/>
          <w:lang w:val="fr-CA"/>
        </w:rPr>
      </w:pPr>
      <w:r w:rsidRPr="00593AA6">
        <w:rPr>
          <w:smallCaps/>
          <w:lang w:val="fr-CA"/>
        </w:rPr>
        <w:lastRenderedPageBreak/>
        <w:t>en appel de la cour d</w:t>
      </w:r>
      <w:r w:rsidR="00546EA0" w:rsidRPr="00593AA6">
        <w:rPr>
          <w:smallCaps/>
          <w:lang w:val="fr-CA"/>
        </w:rPr>
        <w:t>’appel fédérale</w:t>
      </w:r>
    </w:p>
    <w:p w14:paraId="784138C1" w14:textId="782A9917" w:rsidR="00453574" w:rsidRPr="001E79EF" w:rsidRDefault="004D7D95" w:rsidP="00453574">
      <w:pPr>
        <w:pStyle w:val="SCCNormalDoubleSpacing"/>
        <w:spacing w:after="480"/>
        <w:rPr>
          <w:i/>
          <w:szCs w:val="24"/>
          <w:lang w:val="fr-CA"/>
        </w:rPr>
      </w:pPr>
      <w:r w:rsidRPr="00593AA6">
        <w:rPr>
          <w:lang w:val="fr-CA"/>
        </w:rPr>
        <w:tab/>
      </w:r>
      <w:r w:rsidR="00453574" w:rsidRPr="001E79EF">
        <w:rPr>
          <w:i/>
          <w:lang w:val="fr-CA"/>
        </w:rPr>
        <w:t>Droit constitutionnel</w:t>
      </w:r>
      <w:r w:rsidR="00453574" w:rsidRPr="001E79EF">
        <w:rPr>
          <w:i/>
          <w:szCs w:val="24"/>
          <w:lang w:val="fr-CA"/>
        </w:rPr>
        <w:t xml:space="preserve"> </w:t>
      </w:r>
      <w:r w:rsidR="00453574" w:rsidRPr="001E79EF">
        <w:rPr>
          <w:szCs w:val="24"/>
          <w:lang w:val="fr-CA"/>
        </w:rPr>
        <w:t xml:space="preserve">— </w:t>
      </w:r>
      <w:r w:rsidR="00453574" w:rsidRPr="001E79EF">
        <w:rPr>
          <w:i/>
          <w:szCs w:val="24"/>
          <w:lang w:val="fr-CA"/>
        </w:rPr>
        <w:t xml:space="preserve">Charte des droits </w:t>
      </w:r>
      <w:r w:rsidR="00453574" w:rsidRPr="001E79EF">
        <w:rPr>
          <w:szCs w:val="24"/>
          <w:lang w:val="fr-CA"/>
        </w:rPr>
        <w:t xml:space="preserve">— </w:t>
      </w:r>
      <w:r w:rsidR="00453574" w:rsidRPr="001E79EF">
        <w:rPr>
          <w:i/>
          <w:szCs w:val="24"/>
          <w:lang w:val="fr-CA"/>
        </w:rPr>
        <w:t xml:space="preserve">Droit à l’égalité </w:t>
      </w:r>
      <w:r w:rsidR="00453574" w:rsidRPr="001E79EF">
        <w:rPr>
          <w:szCs w:val="24"/>
          <w:lang w:val="fr-CA"/>
        </w:rPr>
        <w:t xml:space="preserve">— </w:t>
      </w:r>
      <w:r w:rsidR="00453574" w:rsidRPr="001E79EF">
        <w:rPr>
          <w:i/>
          <w:szCs w:val="24"/>
          <w:lang w:val="fr-CA"/>
        </w:rPr>
        <w:t xml:space="preserve">Discrimination fondée sur le sexe </w:t>
      </w:r>
      <w:r w:rsidR="00453574" w:rsidRPr="001E79EF">
        <w:rPr>
          <w:szCs w:val="24"/>
          <w:lang w:val="fr-CA"/>
        </w:rPr>
        <w:t xml:space="preserve">— </w:t>
      </w:r>
      <w:r w:rsidR="00453574" w:rsidRPr="001E79EF">
        <w:rPr>
          <w:i/>
          <w:szCs w:val="24"/>
          <w:lang w:val="fr-CA"/>
        </w:rPr>
        <w:t xml:space="preserve">Discrimination par suite d’un effet préjudiciable — Discrimination systémique — Membres autorisés par la GRC à partager un poste — Membres partageant un poste non autorisés par </w:t>
      </w:r>
      <w:r w:rsidR="00453574">
        <w:rPr>
          <w:i/>
          <w:szCs w:val="24"/>
          <w:lang w:val="fr-CA"/>
        </w:rPr>
        <w:t>le r</w:t>
      </w:r>
      <w:r w:rsidR="00453574" w:rsidRPr="001E79EF">
        <w:rPr>
          <w:i/>
          <w:szCs w:val="24"/>
          <w:lang w:val="fr-CA"/>
        </w:rPr>
        <w:t xml:space="preserve">égime de pension </w:t>
      </w:r>
      <w:r w:rsidR="00453574">
        <w:rPr>
          <w:i/>
          <w:szCs w:val="24"/>
          <w:lang w:val="fr-CA"/>
        </w:rPr>
        <w:t>à racheter du service ouvrant droit à pension</w:t>
      </w:r>
      <w:r w:rsidR="006B1004">
        <w:rPr>
          <w:i/>
          <w:szCs w:val="24"/>
          <w:lang w:val="fr-CA"/>
        </w:rPr>
        <w:t xml:space="preserve"> </w:t>
      </w:r>
      <w:r w:rsidR="00453574" w:rsidRPr="001E79EF">
        <w:rPr>
          <w:szCs w:val="24"/>
          <w:lang w:val="fr-CA"/>
        </w:rPr>
        <w:t xml:space="preserve">— </w:t>
      </w:r>
      <w:r w:rsidR="00453574">
        <w:rPr>
          <w:i/>
          <w:szCs w:val="24"/>
          <w:lang w:val="fr-CA"/>
        </w:rPr>
        <w:t>Femmes représentant la</w:t>
      </w:r>
      <w:r w:rsidR="006B1004">
        <w:rPr>
          <w:i/>
          <w:szCs w:val="24"/>
          <w:lang w:val="fr-CA"/>
        </w:rPr>
        <w:t xml:space="preserve"> </w:t>
      </w:r>
      <w:r w:rsidR="00453574">
        <w:rPr>
          <w:i/>
          <w:szCs w:val="24"/>
          <w:lang w:val="fr-CA"/>
        </w:rPr>
        <w:t xml:space="preserve">majorité des membres qui partagent un poste </w:t>
      </w:r>
      <w:r w:rsidR="00453574" w:rsidRPr="001E79EF">
        <w:rPr>
          <w:szCs w:val="24"/>
          <w:lang w:val="fr-CA"/>
        </w:rPr>
        <w:t>—</w:t>
      </w:r>
      <w:r w:rsidR="001D4539">
        <w:rPr>
          <w:szCs w:val="24"/>
          <w:lang w:val="fr-CA"/>
        </w:rPr>
        <w:t xml:space="preserve"> </w:t>
      </w:r>
      <w:r w:rsidR="001D4539">
        <w:rPr>
          <w:i/>
          <w:szCs w:val="24"/>
          <w:lang w:val="fr-CA"/>
        </w:rPr>
        <w:t>M</w:t>
      </w:r>
      <w:r w:rsidR="00453574">
        <w:rPr>
          <w:i/>
          <w:szCs w:val="24"/>
          <w:lang w:val="fr-CA"/>
        </w:rPr>
        <w:t>embres retraitées</w:t>
      </w:r>
      <w:r w:rsidR="001D4539">
        <w:rPr>
          <w:i/>
          <w:szCs w:val="24"/>
          <w:lang w:val="fr-CA"/>
        </w:rPr>
        <w:t xml:space="preserve"> prétendant</w:t>
      </w:r>
      <w:r w:rsidR="00453574">
        <w:rPr>
          <w:i/>
          <w:szCs w:val="24"/>
          <w:lang w:val="fr-CA"/>
        </w:rPr>
        <w:t xml:space="preserve"> que les conséquences du partage de poste sur leur pension sont discriminatoires envers les femmes et violent leur droit constitutionne</w:t>
      </w:r>
      <w:r w:rsidR="00453574" w:rsidRPr="001E79EF">
        <w:rPr>
          <w:i/>
          <w:szCs w:val="24"/>
          <w:lang w:val="fr-CA"/>
        </w:rPr>
        <w:t xml:space="preserve">l </w:t>
      </w:r>
      <w:r w:rsidR="00453574">
        <w:rPr>
          <w:i/>
          <w:szCs w:val="24"/>
          <w:lang w:val="fr-CA"/>
        </w:rPr>
        <w:t xml:space="preserve">à l’égalité </w:t>
      </w:r>
      <w:r w:rsidR="00453574" w:rsidRPr="001E79EF">
        <w:rPr>
          <w:szCs w:val="24"/>
          <w:lang w:val="fr-CA"/>
        </w:rPr>
        <w:t xml:space="preserve">— </w:t>
      </w:r>
      <w:r w:rsidR="00453574">
        <w:rPr>
          <w:i/>
          <w:szCs w:val="24"/>
          <w:lang w:val="fr-CA"/>
        </w:rPr>
        <w:t>La restriction de la faculté des membres qui partagent un poste de racheter du service ouvrant droit à pension constitue-t-elle de la discrimination fondée sur le sexe?</w:t>
      </w:r>
      <w:r w:rsidR="00453574" w:rsidRPr="001E79EF">
        <w:rPr>
          <w:i/>
          <w:szCs w:val="24"/>
          <w:lang w:val="fr-CA"/>
        </w:rPr>
        <w:t xml:space="preserve"> </w:t>
      </w:r>
      <w:r w:rsidR="00453574" w:rsidRPr="001E79EF">
        <w:rPr>
          <w:szCs w:val="24"/>
          <w:lang w:val="fr-CA"/>
        </w:rPr>
        <w:t xml:space="preserve">— </w:t>
      </w:r>
      <w:r w:rsidR="00453574">
        <w:rPr>
          <w:i/>
          <w:szCs w:val="24"/>
          <w:lang w:val="fr-CA"/>
        </w:rPr>
        <w:t xml:space="preserve">Dans l’affirmative, l’atteinte est-elle justifiée? </w:t>
      </w:r>
      <w:r w:rsidR="00453574" w:rsidRPr="001E79EF">
        <w:rPr>
          <w:szCs w:val="24"/>
          <w:lang w:val="fr-CA"/>
        </w:rPr>
        <w:t xml:space="preserve">— </w:t>
      </w:r>
      <w:r w:rsidR="00453574" w:rsidRPr="001E79EF">
        <w:rPr>
          <w:i/>
          <w:szCs w:val="24"/>
          <w:lang w:val="fr-CA"/>
        </w:rPr>
        <w:t>C</w:t>
      </w:r>
      <w:r w:rsidR="00453574">
        <w:rPr>
          <w:i/>
          <w:szCs w:val="24"/>
          <w:lang w:val="fr-CA"/>
        </w:rPr>
        <w:t>h</w:t>
      </w:r>
      <w:r w:rsidR="00453574" w:rsidRPr="001E79EF">
        <w:rPr>
          <w:i/>
          <w:szCs w:val="24"/>
          <w:lang w:val="fr-CA"/>
        </w:rPr>
        <w:t>arte</w:t>
      </w:r>
      <w:r w:rsidR="00453574">
        <w:rPr>
          <w:i/>
          <w:szCs w:val="24"/>
          <w:lang w:val="fr-CA"/>
        </w:rPr>
        <w:t xml:space="preserve"> canadienne des droits et libertés</w:t>
      </w:r>
      <w:r w:rsidR="00453574" w:rsidRPr="001E79EF">
        <w:rPr>
          <w:i/>
          <w:szCs w:val="24"/>
          <w:lang w:val="fr-CA"/>
        </w:rPr>
        <w:t xml:space="preserve">, </w:t>
      </w:r>
      <w:r w:rsidR="00453574">
        <w:rPr>
          <w:i/>
          <w:szCs w:val="24"/>
          <w:lang w:val="fr-CA"/>
        </w:rPr>
        <w:t>art</w:t>
      </w:r>
      <w:r w:rsidR="00453574" w:rsidRPr="001E79EF">
        <w:rPr>
          <w:i/>
          <w:szCs w:val="24"/>
          <w:lang w:val="fr-CA"/>
        </w:rPr>
        <w:t xml:space="preserve">. 1, 15(1) </w:t>
      </w:r>
      <w:r w:rsidR="00453574" w:rsidRPr="001E79EF">
        <w:rPr>
          <w:szCs w:val="24"/>
          <w:lang w:val="fr-CA"/>
        </w:rPr>
        <w:t xml:space="preserve">— </w:t>
      </w:r>
      <w:r w:rsidR="00453574">
        <w:rPr>
          <w:i/>
          <w:szCs w:val="24"/>
          <w:lang w:val="fr-CA"/>
        </w:rPr>
        <w:t>Loi sur la pension de retraite de la Gendarmerie royale du Canada</w:t>
      </w:r>
      <w:r w:rsidR="00453574" w:rsidRPr="001E79EF">
        <w:rPr>
          <w:szCs w:val="24"/>
          <w:lang w:val="fr-CA"/>
        </w:rPr>
        <w:t xml:space="preserve">, </w:t>
      </w:r>
      <w:r w:rsidR="00453574">
        <w:rPr>
          <w:i/>
          <w:szCs w:val="24"/>
          <w:lang w:val="fr-CA"/>
        </w:rPr>
        <w:t xml:space="preserve">L.R.C. </w:t>
      </w:r>
      <w:r w:rsidR="00453574" w:rsidRPr="001E79EF">
        <w:rPr>
          <w:i/>
          <w:szCs w:val="24"/>
          <w:lang w:val="fr-CA"/>
        </w:rPr>
        <w:t>1985, c. R-11 — R</w:t>
      </w:r>
      <w:r w:rsidR="00453574">
        <w:rPr>
          <w:i/>
          <w:szCs w:val="24"/>
          <w:lang w:val="fr-CA"/>
        </w:rPr>
        <w:t>èglement sur la pension de retraite de la Gendarmerie r</w:t>
      </w:r>
      <w:r w:rsidR="00453574" w:rsidRPr="001E79EF">
        <w:rPr>
          <w:i/>
          <w:szCs w:val="24"/>
          <w:lang w:val="fr-CA"/>
        </w:rPr>
        <w:t>oyal</w:t>
      </w:r>
      <w:r w:rsidR="00453574">
        <w:rPr>
          <w:i/>
          <w:szCs w:val="24"/>
          <w:lang w:val="fr-CA"/>
        </w:rPr>
        <w:t xml:space="preserve">e du </w:t>
      </w:r>
      <w:r w:rsidR="00453574" w:rsidRPr="001E79EF">
        <w:rPr>
          <w:i/>
          <w:szCs w:val="24"/>
          <w:lang w:val="fr-CA"/>
        </w:rPr>
        <w:t xml:space="preserve">Canada, C.R.C., c. 1393. </w:t>
      </w:r>
    </w:p>
    <w:p w14:paraId="792B3B3F" w14:textId="77777777" w:rsidR="00453574" w:rsidRPr="00743B52" w:rsidRDefault="00453574" w:rsidP="00453574">
      <w:pPr>
        <w:pStyle w:val="SCCNormalDoubleSpacing"/>
        <w:spacing w:after="480"/>
        <w:rPr>
          <w:lang w:val="fr-CA"/>
        </w:rPr>
      </w:pPr>
      <w:r w:rsidRPr="001E79EF">
        <w:rPr>
          <w:i/>
          <w:szCs w:val="24"/>
          <w:lang w:val="fr-CA"/>
        </w:rPr>
        <w:tab/>
      </w:r>
      <w:r w:rsidRPr="00F32E9F">
        <w:rPr>
          <w:szCs w:val="24"/>
          <w:lang w:val="fr-CA"/>
        </w:rPr>
        <w:t xml:space="preserve">Les demanderesses sont </w:t>
      </w:r>
      <w:r w:rsidRPr="00F32E9F">
        <w:rPr>
          <w:lang w:val="fr-CA"/>
        </w:rPr>
        <w:t xml:space="preserve">trois membres </w:t>
      </w:r>
      <w:r>
        <w:rPr>
          <w:lang w:val="fr-CA"/>
        </w:rPr>
        <w:t xml:space="preserve">retraitées </w:t>
      </w:r>
      <w:r w:rsidRPr="00F32E9F">
        <w:rPr>
          <w:lang w:val="fr-CA"/>
        </w:rPr>
        <w:t xml:space="preserve">de la GRC qui ont pris </w:t>
      </w:r>
      <w:r>
        <w:rPr>
          <w:lang w:val="fr-CA"/>
        </w:rPr>
        <w:t xml:space="preserve">des congés de maternité au début et au milieu des années </w:t>
      </w:r>
      <w:r w:rsidRPr="00F32E9F">
        <w:rPr>
          <w:lang w:val="fr-CA"/>
        </w:rPr>
        <w:t xml:space="preserve">1990. </w:t>
      </w:r>
      <w:r w:rsidRPr="00667534">
        <w:rPr>
          <w:lang w:val="fr-CA"/>
        </w:rPr>
        <w:t>Lorsqu’elles ont repris le service à temps plein, elles ont eu de la difficulté à co</w:t>
      </w:r>
      <w:r>
        <w:rPr>
          <w:lang w:val="fr-CA"/>
        </w:rPr>
        <w:t>ncilier</w:t>
      </w:r>
      <w:r w:rsidRPr="00667534">
        <w:rPr>
          <w:lang w:val="fr-CA"/>
        </w:rPr>
        <w:t xml:space="preserve"> leurs obligations professionnelles et</w:t>
      </w:r>
      <w:r>
        <w:rPr>
          <w:lang w:val="fr-CA"/>
        </w:rPr>
        <w:t xml:space="preserve"> le fait de s’occuper de leurs enfants. </w:t>
      </w:r>
      <w:r w:rsidRPr="00667534">
        <w:rPr>
          <w:lang w:val="fr-CA"/>
        </w:rPr>
        <w:t>À cette époque, la GRC ne permettait pas à ses membres réguliers de travailler à temps partiel</w:t>
      </w:r>
      <w:r>
        <w:rPr>
          <w:lang w:val="fr-CA"/>
        </w:rPr>
        <w:t xml:space="preserve">. </w:t>
      </w:r>
      <w:r w:rsidRPr="00CC055E">
        <w:rPr>
          <w:lang w:val="fr-CA"/>
        </w:rPr>
        <w:t xml:space="preserve">En décembre 1997, la GRC a mis en place un programme de partage de poste </w:t>
      </w:r>
      <w:r>
        <w:rPr>
          <w:lang w:val="fr-CA"/>
        </w:rPr>
        <w:t xml:space="preserve">qui permettait à ses membres de se partager les responsabilités d’un poste à temps plein. </w:t>
      </w:r>
      <w:r w:rsidRPr="002A252C">
        <w:rPr>
          <w:lang w:val="fr-CA"/>
        </w:rPr>
        <w:t xml:space="preserve">Les trois demanderesses se </w:t>
      </w:r>
      <w:r w:rsidRPr="002A252C">
        <w:rPr>
          <w:lang w:val="fr-CA"/>
        </w:rPr>
        <w:lastRenderedPageBreak/>
        <w:t>sont inscrites au programme de partage de poste; elles et la plupart des</w:t>
      </w:r>
      <w:r>
        <w:rPr>
          <w:lang w:val="fr-CA"/>
        </w:rPr>
        <w:t xml:space="preserve"> autres membres de la GRC qui ont partagé un poste étaient des femmes ayant des enfants. </w:t>
      </w:r>
      <w:r w:rsidRPr="002A252C">
        <w:rPr>
          <w:lang w:val="fr-CA"/>
        </w:rPr>
        <w:t xml:space="preserve">En vertu de la </w:t>
      </w:r>
      <w:r w:rsidRPr="002A252C">
        <w:rPr>
          <w:i/>
          <w:lang w:val="fr-CA"/>
        </w:rPr>
        <w:t xml:space="preserve">Loi sur la pension de retraite de la Gendarmerie royale du Canada </w:t>
      </w:r>
      <w:r w:rsidRPr="002A252C">
        <w:rPr>
          <w:lang w:val="fr-CA"/>
        </w:rPr>
        <w:t xml:space="preserve">et du </w:t>
      </w:r>
      <w:r w:rsidRPr="002A252C">
        <w:rPr>
          <w:i/>
          <w:lang w:val="fr-CA"/>
        </w:rPr>
        <w:t>R</w:t>
      </w:r>
      <w:r>
        <w:rPr>
          <w:i/>
          <w:lang w:val="fr-CA"/>
        </w:rPr>
        <w:t xml:space="preserve">èglement sur la pension de retraite de la Gendarmerie royale du </w:t>
      </w:r>
      <w:r w:rsidRPr="002A252C">
        <w:rPr>
          <w:i/>
          <w:lang w:val="fr-CA"/>
        </w:rPr>
        <w:t>Canada</w:t>
      </w:r>
      <w:r w:rsidRPr="002A252C">
        <w:rPr>
          <w:lang w:val="fr-CA"/>
        </w:rPr>
        <w:t xml:space="preserve"> </w:t>
      </w:r>
      <w:r>
        <w:rPr>
          <w:lang w:val="fr-CA"/>
        </w:rPr>
        <w:t xml:space="preserve">connexe (« régime </w:t>
      </w:r>
      <w:r w:rsidRPr="009D1B30">
        <w:rPr>
          <w:lang w:val="fr-CA"/>
        </w:rPr>
        <w:t>de pension »), les membres de la GRC peuvent traiter certains trous dans leur période de service à temps plein (par exemple un congé non payé) comme une période de service à temps</w:t>
      </w:r>
      <w:r w:rsidRPr="00667534">
        <w:rPr>
          <w:lang w:val="fr-CA"/>
        </w:rPr>
        <w:t xml:space="preserve"> plein ouvrant droit à pension</w:t>
      </w:r>
      <w:r w:rsidRPr="002A252C">
        <w:rPr>
          <w:lang w:val="fr-CA"/>
        </w:rPr>
        <w:t xml:space="preserve">. </w:t>
      </w:r>
      <w:r w:rsidRPr="009D1B30">
        <w:rPr>
          <w:lang w:val="fr-CA"/>
        </w:rPr>
        <w:t xml:space="preserve">Les demanderesses </w:t>
      </w:r>
      <w:r w:rsidRPr="00667534">
        <w:rPr>
          <w:lang w:val="fr-CA"/>
        </w:rPr>
        <w:t>s’attendaient à ce que le programme de partage de poste donne droit au rachat des périodes de service à temps plein ouvrant droit à pension</w:t>
      </w:r>
      <w:r>
        <w:rPr>
          <w:lang w:val="fr-CA"/>
        </w:rPr>
        <w:t xml:space="preserve">, mais elles </w:t>
      </w:r>
      <w:r w:rsidRPr="00667534">
        <w:rPr>
          <w:lang w:val="fr-CA"/>
        </w:rPr>
        <w:t>ont été informé</w:t>
      </w:r>
      <w:r>
        <w:rPr>
          <w:lang w:val="fr-CA"/>
        </w:rPr>
        <w:t>e</w:t>
      </w:r>
      <w:r w:rsidRPr="00667534">
        <w:rPr>
          <w:lang w:val="fr-CA"/>
        </w:rPr>
        <w:t>s qu’</w:t>
      </w:r>
      <w:r>
        <w:rPr>
          <w:lang w:val="fr-CA"/>
        </w:rPr>
        <w:t xml:space="preserve">elles </w:t>
      </w:r>
      <w:r w:rsidRPr="00667534">
        <w:rPr>
          <w:lang w:val="fr-CA"/>
        </w:rPr>
        <w:t xml:space="preserve">ne pourraient pas racheter de service à temps plein ouvrant droit à pension pour la période où </w:t>
      </w:r>
      <w:r>
        <w:rPr>
          <w:lang w:val="fr-CA"/>
        </w:rPr>
        <w:t xml:space="preserve">elles </w:t>
      </w:r>
      <w:r w:rsidRPr="00667534">
        <w:rPr>
          <w:lang w:val="fr-CA"/>
        </w:rPr>
        <w:t>partageaient un poste</w:t>
      </w:r>
      <w:r>
        <w:rPr>
          <w:lang w:val="fr-CA"/>
        </w:rPr>
        <w:t xml:space="preserve">. </w:t>
      </w:r>
    </w:p>
    <w:p w14:paraId="0A8CD8E6" w14:textId="12DA54E8" w:rsidR="00453574" w:rsidRPr="00743B52" w:rsidRDefault="006B1004" w:rsidP="006B1004">
      <w:pPr>
        <w:pStyle w:val="SCCNormalDoubleSpacing"/>
        <w:spacing w:after="480"/>
        <w:rPr>
          <w:lang w:val="fr-CA"/>
        </w:rPr>
      </w:pPr>
      <w:r>
        <w:rPr>
          <w:lang w:val="fr-CA"/>
        </w:rPr>
        <w:tab/>
      </w:r>
      <w:r w:rsidR="00453574" w:rsidRPr="00743B52">
        <w:rPr>
          <w:lang w:val="fr-CA"/>
        </w:rPr>
        <w:t>Les demanderesses ont déposé une demande dans laquelle elles soutiennen</w:t>
      </w:r>
      <w:r w:rsidR="00453574">
        <w:rPr>
          <w:lang w:val="fr-CA"/>
        </w:rPr>
        <w:t xml:space="preserve">t que </w:t>
      </w:r>
      <w:r w:rsidR="00453574" w:rsidRPr="00667534">
        <w:rPr>
          <w:lang w:val="fr-CA"/>
        </w:rPr>
        <w:t xml:space="preserve">les conséquences d’un partage de poste sur leur pension sont discriminatoires envers les femmes et contreviennent au </w:t>
      </w:r>
      <w:r w:rsidR="00453574">
        <w:rPr>
          <w:lang w:val="fr-CA"/>
        </w:rPr>
        <w:t>par. </w:t>
      </w:r>
      <w:r w:rsidR="00453574" w:rsidRPr="00743B52">
        <w:rPr>
          <w:lang w:val="fr-CA"/>
        </w:rPr>
        <w:t xml:space="preserve">15(1) de la </w:t>
      </w:r>
      <w:r w:rsidR="00453574" w:rsidRPr="00743B52">
        <w:rPr>
          <w:i/>
          <w:lang w:val="fr-CA"/>
        </w:rPr>
        <w:t>Charte</w:t>
      </w:r>
      <w:r w:rsidR="00453574" w:rsidRPr="00743B52">
        <w:rPr>
          <w:lang w:val="fr-CA"/>
        </w:rPr>
        <w:t xml:space="preserve">. La Cour fédérale a rejeté leur prétention. </w:t>
      </w:r>
      <w:r w:rsidR="00453574" w:rsidRPr="00667534">
        <w:rPr>
          <w:lang w:val="fr-CA"/>
        </w:rPr>
        <w:t>La juge de première instance a conclu que le partage de poste constituait un travail à temps partiel pour lequel les participants ne peuvent pas racheter du service à temps plein ouvrant droit à pension</w:t>
      </w:r>
      <w:r w:rsidR="00453574">
        <w:rPr>
          <w:lang w:val="fr-CA"/>
        </w:rPr>
        <w:t xml:space="preserve"> et que cette conclusion ne contrevenait pas au par. </w:t>
      </w:r>
      <w:r w:rsidR="00453574" w:rsidRPr="00743B52">
        <w:rPr>
          <w:lang w:val="fr-CA"/>
        </w:rPr>
        <w:t xml:space="preserve">15(1). Selon la juge de première instance, </w:t>
      </w:r>
      <w:r w:rsidR="00453574" w:rsidRPr="00667534">
        <w:rPr>
          <w:lang w:val="fr-CA"/>
        </w:rPr>
        <w:t xml:space="preserve">il n’y avait pas suffisamment d’éléments de preuve pour démontrer que le partage de poste était désavantageux par rapport au congé </w:t>
      </w:r>
      <w:r w:rsidR="00453574">
        <w:rPr>
          <w:lang w:val="fr-CA"/>
        </w:rPr>
        <w:t>non payé</w:t>
      </w:r>
      <w:r w:rsidR="00453574" w:rsidRPr="00743B52">
        <w:rPr>
          <w:lang w:val="fr-CA"/>
        </w:rPr>
        <w:t>. La Cour d’appel fédérale a rejeté</w:t>
      </w:r>
      <w:r w:rsidR="00453574">
        <w:rPr>
          <w:lang w:val="fr-CA"/>
        </w:rPr>
        <w:t xml:space="preserve"> l’appel des demanderesses</w:t>
      </w:r>
      <w:r w:rsidR="00453574" w:rsidRPr="00743B52">
        <w:rPr>
          <w:lang w:val="fr-CA"/>
        </w:rPr>
        <w:t>.</w:t>
      </w:r>
    </w:p>
    <w:p w14:paraId="5869B084" w14:textId="63973FF2" w:rsidR="00453574" w:rsidRPr="00743B52" w:rsidRDefault="00453574" w:rsidP="00453574">
      <w:pPr>
        <w:pStyle w:val="SCCNormalDoubleSpacing"/>
        <w:spacing w:after="480"/>
        <w:rPr>
          <w:lang w:val="fr-CA"/>
        </w:rPr>
      </w:pPr>
      <w:r w:rsidRPr="00743B52">
        <w:rPr>
          <w:lang w:val="fr-CA"/>
        </w:rPr>
        <w:lastRenderedPageBreak/>
        <w:tab/>
      </w:r>
      <w:r w:rsidRPr="00743B52">
        <w:rPr>
          <w:i/>
          <w:lang w:val="fr-CA"/>
        </w:rPr>
        <w:t xml:space="preserve">Arrêt </w:t>
      </w:r>
      <w:r w:rsidRPr="00743B52">
        <w:rPr>
          <w:rStyle w:val="QuoteChar"/>
          <w:i w:val="0"/>
          <w:lang w:val="fr-CA"/>
        </w:rPr>
        <w:t xml:space="preserve">(les juges </w:t>
      </w:r>
      <w:r w:rsidR="001D4539">
        <w:rPr>
          <w:rStyle w:val="QuoteChar"/>
          <w:i w:val="0"/>
          <w:lang w:val="fr-CA"/>
        </w:rPr>
        <w:t>Côté, Brown et Rowe</w:t>
      </w:r>
      <w:r w:rsidRPr="00743B52">
        <w:rPr>
          <w:rStyle w:val="QuoteChar"/>
          <w:i w:val="0"/>
          <w:lang w:val="fr-CA"/>
        </w:rPr>
        <w:t xml:space="preserve"> sont dissidents) :</w:t>
      </w:r>
      <w:r>
        <w:rPr>
          <w:rStyle w:val="QuoteChar"/>
          <w:i w:val="0"/>
          <w:lang w:val="fr-CA"/>
        </w:rPr>
        <w:t xml:space="preserve"> Le pourvoi est accueilli</w:t>
      </w:r>
      <w:r w:rsidRPr="00743B52">
        <w:rPr>
          <w:lang w:val="fr-CA"/>
        </w:rPr>
        <w:t>.</w:t>
      </w:r>
    </w:p>
    <w:p w14:paraId="69A5A44C" w14:textId="4C303AC4" w:rsidR="00453574" w:rsidRPr="002D09E2" w:rsidRDefault="00453574" w:rsidP="006B1004">
      <w:pPr>
        <w:pStyle w:val="SCCNormalDoubleSpacing"/>
        <w:spacing w:after="480"/>
        <w:rPr>
          <w:lang w:val="fr-CA"/>
        </w:rPr>
      </w:pPr>
      <w:r w:rsidRPr="00743B52">
        <w:rPr>
          <w:i/>
          <w:lang w:val="fr-CA"/>
        </w:rPr>
        <w:tab/>
      </w:r>
      <w:r w:rsidRPr="002D09E2">
        <w:rPr>
          <w:i/>
          <w:lang w:val="fr-CA"/>
        </w:rPr>
        <w:t xml:space="preserve">Le </w:t>
      </w:r>
      <w:r w:rsidRPr="002D09E2">
        <w:rPr>
          <w:lang w:val="fr-CA"/>
        </w:rPr>
        <w:t xml:space="preserve">juge en chef Wagner et les juges </w:t>
      </w:r>
      <w:r w:rsidRPr="00E034AE">
        <w:rPr>
          <w:lang w:val="fr-CA"/>
        </w:rPr>
        <w:t>Abella</w:t>
      </w:r>
      <w:r w:rsidRPr="002D09E2">
        <w:rPr>
          <w:lang w:val="fr-CA"/>
        </w:rPr>
        <w:t>, Moldaver, Karakatsanis, Martin et Kasirer</w:t>
      </w:r>
      <w:r w:rsidR="006B1004">
        <w:rPr>
          <w:lang w:val="fr-CA"/>
        </w:rPr>
        <w:t> </w:t>
      </w:r>
      <w:r w:rsidRPr="002D09E2">
        <w:rPr>
          <w:lang w:val="fr-CA"/>
        </w:rPr>
        <w:t xml:space="preserve">: </w:t>
      </w:r>
      <w:r w:rsidRPr="00667534">
        <w:rPr>
          <w:lang w:val="fr-CA"/>
        </w:rPr>
        <w:t>Les membres à temps plein de la GRC qui partagent un poste doivent sacrifier leurs prestations de pension en raison d’une réduction temporaire de leurs heures de travail</w:t>
      </w:r>
      <w:r w:rsidRPr="002D09E2">
        <w:rPr>
          <w:lang w:val="fr-CA"/>
        </w:rPr>
        <w:t xml:space="preserve">. </w:t>
      </w:r>
      <w:r w:rsidRPr="00667534">
        <w:rPr>
          <w:lang w:val="fr-CA"/>
        </w:rPr>
        <w:t xml:space="preserve">Cet </w:t>
      </w:r>
      <w:r w:rsidRPr="00FE6CC9">
        <w:rPr>
          <w:lang w:val="fr-CA"/>
        </w:rPr>
        <w:t>arrangement</w:t>
      </w:r>
      <w:r w:rsidRPr="00667534">
        <w:rPr>
          <w:lang w:val="fr-CA"/>
        </w:rPr>
        <w:t xml:space="preserve"> a une incidence disproportionnée sur les femmes et perpétue leur désavantage histor</w:t>
      </w:r>
      <w:r>
        <w:rPr>
          <w:lang w:val="fr-CA"/>
        </w:rPr>
        <w:t xml:space="preserve">ique. </w:t>
      </w:r>
      <w:r w:rsidRPr="00667534">
        <w:rPr>
          <w:lang w:val="fr-CA"/>
        </w:rPr>
        <w:t xml:space="preserve">Il s’agit d’une </w:t>
      </w:r>
      <w:r>
        <w:rPr>
          <w:lang w:val="fr-CA"/>
        </w:rPr>
        <w:t>viola</w:t>
      </w:r>
      <w:r w:rsidRPr="00667534">
        <w:rPr>
          <w:lang w:val="fr-CA"/>
        </w:rPr>
        <w:t>ti</w:t>
      </w:r>
      <w:r>
        <w:rPr>
          <w:lang w:val="fr-CA"/>
        </w:rPr>
        <w:t>o</w:t>
      </w:r>
      <w:r w:rsidRPr="00667534">
        <w:rPr>
          <w:lang w:val="fr-CA"/>
        </w:rPr>
        <w:t xml:space="preserve">n évidente à leur droit à l’égalité </w:t>
      </w:r>
      <w:r w:rsidR="001D4539">
        <w:rPr>
          <w:lang w:val="fr-CA"/>
        </w:rPr>
        <w:t>garanti par le par.</w:t>
      </w:r>
      <w:r>
        <w:rPr>
          <w:lang w:val="fr-CA"/>
        </w:rPr>
        <w:t xml:space="preserve"> </w:t>
      </w:r>
      <w:r w:rsidRPr="002D09E2">
        <w:rPr>
          <w:lang w:val="fr-CA"/>
        </w:rPr>
        <w:t xml:space="preserve">15(1) </w:t>
      </w:r>
      <w:r>
        <w:rPr>
          <w:lang w:val="fr-CA"/>
        </w:rPr>
        <w:t xml:space="preserve">de la </w:t>
      </w:r>
      <w:r w:rsidRPr="002D09E2">
        <w:rPr>
          <w:i/>
          <w:lang w:val="fr-CA"/>
        </w:rPr>
        <w:t>Charte</w:t>
      </w:r>
      <w:r w:rsidRPr="002D09E2">
        <w:rPr>
          <w:lang w:val="fr-CA"/>
        </w:rPr>
        <w:t>.</w:t>
      </w:r>
    </w:p>
    <w:p w14:paraId="129CEA7A" w14:textId="77777777" w:rsidR="00453574" w:rsidRPr="0045074A" w:rsidRDefault="00453574" w:rsidP="00453574">
      <w:pPr>
        <w:pStyle w:val="SCCNormalDoubleSpacing"/>
        <w:spacing w:after="480"/>
        <w:rPr>
          <w:lang w:val="fr-CA"/>
        </w:rPr>
      </w:pPr>
      <w:r w:rsidRPr="002D09E2">
        <w:rPr>
          <w:lang w:val="fr-CA"/>
        </w:rPr>
        <w:tab/>
      </w:r>
      <w:r w:rsidRPr="008B2C7E">
        <w:rPr>
          <w:lang w:val="fr-CA"/>
        </w:rPr>
        <w:t xml:space="preserve">Pour prouver une violation </w:t>
      </w:r>
      <w:r w:rsidRPr="008B2C7E">
        <w:rPr>
          <w:i/>
          <w:lang w:val="fr-CA"/>
        </w:rPr>
        <w:t xml:space="preserve">prima facie </w:t>
      </w:r>
      <w:r w:rsidRPr="008B2C7E">
        <w:rPr>
          <w:lang w:val="fr-CA"/>
        </w:rPr>
        <w:t xml:space="preserve">du par. 15(1), le demandeur doit démontrer que la loi contestée ou l’acte de l’État </w:t>
      </w:r>
      <w:r w:rsidRPr="00667534">
        <w:rPr>
          <w:lang w:val="fr-CA"/>
        </w:rPr>
        <w:t>crée, à première vue ou de par son effet, une distinction fondée sur un motif énuméré ou</w:t>
      </w:r>
      <w:r>
        <w:rPr>
          <w:lang w:val="fr-CA"/>
        </w:rPr>
        <w:t xml:space="preserve"> analogue, et </w:t>
      </w:r>
      <w:r w:rsidRPr="00667534">
        <w:rPr>
          <w:lang w:val="fr-CA"/>
        </w:rPr>
        <w:t xml:space="preserve">impose un fardeau ou nie un avantage d’une manière qui a pour effet de renforcer, de perpétuer ou d’accentuer le </w:t>
      </w:r>
      <w:r w:rsidRPr="008B2C7E">
        <w:rPr>
          <w:lang w:val="fr-CA"/>
        </w:rPr>
        <w:t>d</w:t>
      </w:r>
      <w:r>
        <w:rPr>
          <w:lang w:val="fr-CA"/>
        </w:rPr>
        <w:t>é</w:t>
      </w:r>
      <w:r w:rsidRPr="008B2C7E">
        <w:rPr>
          <w:lang w:val="fr-CA"/>
        </w:rPr>
        <w:t xml:space="preserve">savantage. </w:t>
      </w:r>
      <w:r w:rsidRPr="002D39B3">
        <w:rPr>
          <w:lang w:val="fr-CA"/>
        </w:rPr>
        <w:t xml:space="preserve">Les demanderesses prétendent que </w:t>
      </w:r>
      <w:r w:rsidRPr="00667534">
        <w:rPr>
          <w:lang w:val="fr-CA"/>
        </w:rPr>
        <w:t xml:space="preserve">les conséquences négatives du partage de poste sur la pension </w:t>
      </w:r>
      <w:r>
        <w:rPr>
          <w:lang w:val="fr-CA"/>
        </w:rPr>
        <w:t>contreviennent au par. 15(1) parce qu’elles désavantagent les femmes</w:t>
      </w:r>
      <w:r w:rsidRPr="002D39B3">
        <w:rPr>
          <w:szCs w:val="24"/>
          <w:lang w:val="fr-CA"/>
        </w:rPr>
        <w:t xml:space="preserve">. </w:t>
      </w:r>
      <w:r w:rsidRPr="0045074A">
        <w:rPr>
          <w:szCs w:val="24"/>
          <w:lang w:val="fr-CA"/>
        </w:rPr>
        <w:t>Pour trancher leur demande, il faut examiner l</w:t>
      </w:r>
      <w:r w:rsidRPr="0045074A">
        <w:rPr>
          <w:lang w:val="fr-CA"/>
        </w:rPr>
        <w:t>a façon dont se manifeste la discrimination par suite d’un effet préjudiciable</w:t>
      </w:r>
      <w:r>
        <w:rPr>
          <w:lang w:val="fr-CA"/>
        </w:rPr>
        <w:t xml:space="preserve">. </w:t>
      </w:r>
    </w:p>
    <w:p w14:paraId="28DC0F42" w14:textId="77777777" w:rsidR="00453574" w:rsidRPr="001C084E" w:rsidRDefault="00453574" w:rsidP="006B1004">
      <w:pPr>
        <w:pStyle w:val="SCCNormalDoubleSpacing"/>
        <w:spacing w:after="480"/>
        <w:rPr>
          <w:szCs w:val="24"/>
          <w:lang w:val="fr-CA"/>
        </w:rPr>
      </w:pPr>
      <w:r>
        <w:rPr>
          <w:lang w:val="fr-CA"/>
        </w:rPr>
        <w:tab/>
      </w:r>
      <w:r w:rsidRPr="00667534">
        <w:rPr>
          <w:lang w:val="fr-CA"/>
        </w:rPr>
        <w:t xml:space="preserve">La discrimination par suite d’un effet préjudiciable survient lorsqu’une loi en apparence neutre a une incidence disproportionnée sur </w:t>
      </w:r>
      <w:r w:rsidRPr="001A6D7B">
        <w:rPr>
          <w:lang w:val="fr-CA"/>
        </w:rPr>
        <w:t xml:space="preserve">des membres de groupes bénéficiant d’une protection contre la discrimination fondée sur un motif </w:t>
      </w:r>
      <w:r w:rsidRPr="0045074A">
        <w:rPr>
          <w:lang w:val="fr-CA"/>
        </w:rPr>
        <w:t xml:space="preserve">énuméré ou analogue. </w:t>
      </w:r>
      <w:r w:rsidRPr="00667534">
        <w:rPr>
          <w:lang w:val="fr-CA"/>
        </w:rPr>
        <w:t>Il ne fait donc aucun doute que la discrimination par suite d’un effet préjudiciable va à l’encontre de la norme d’égalité réelle qui sous</w:t>
      </w:r>
      <w:r w:rsidRPr="00667534">
        <w:rPr>
          <w:lang w:val="fr-CA"/>
        </w:rPr>
        <w:noBreakHyphen/>
        <w:t xml:space="preserve">tend la jurisprudence de </w:t>
      </w:r>
      <w:r>
        <w:rPr>
          <w:lang w:val="fr-CA"/>
        </w:rPr>
        <w:t>la</w:t>
      </w:r>
      <w:r w:rsidRPr="00667534">
        <w:rPr>
          <w:lang w:val="fr-CA"/>
        </w:rPr>
        <w:t xml:space="preserve"> Cour sur l’égalité</w:t>
      </w:r>
      <w:r>
        <w:rPr>
          <w:lang w:val="fr-CA"/>
        </w:rPr>
        <w:t xml:space="preserve">. </w:t>
      </w:r>
      <w:r>
        <w:rPr>
          <w:szCs w:val="24"/>
          <w:lang w:val="fr-CA"/>
        </w:rPr>
        <w:t>L</w:t>
      </w:r>
      <w:r w:rsidRPr="00667534">
        <w:rPr>
          <w:lang w:val="fr-CA"/>
        </w:rPr>
        <w:t xml:space="preserve">’égalité réelle exige que l’on porte attention à tous les éléments contextuels de la situation du groupe de demandeurs, à l’effet réel de la mesure législative sur leur situation et aux désavantages systémiques persistants qui ont eu pour effet de restreindre les possibilités offertes aux membres </w:t>
      </w:r>
      <w:r>
        <w:rPr>
          <w:lang w:val="fr-CA"/>
        </w:rPr>
        <w:t xml:space="preserve">de ce </w:t>
      </w:r>
      <w:r w:rsidRPr="00667534">
        <w:rPr>
          <w:lang w:val="fr-CA"/>
        </w:rPr>
        <w:t>groupe</w:t>
      </w:r>
      <w:r>
        <w:rPr>
          <w:lang w:val="fr-CA"/>
        </w:rPr>
        <w:t xml:space="preserve">. </w:t>
      </w:r>
      <w:r w:rsidRPr="00667534">
        <w:rPr>
          <w:lang w:val="fr-CA"/>
        </w:rPr>
        <w:t>La reconnaissance du fait qu’un traitement identique ou</w:t>
      </w:r>
      <w:r>
        <w:rPr>
          <w:lang w:val="fr-CA"/>
        </w:rPr>
        <w:t xml:space="preserve"> neutre</w:t>
      </w:r>
      <w:r w:rsidRPr="00667534">
        <w:rPr>
          <w:lang w:val="fr-CA"/>
        </w:rPr>
        <w:t xml:space="preserve"> à première vue</w:t>
      </w:r>
      <w:r>
        <w:rPr>
          <w:lang w:val="fr-CA"/>
        </w:rPr>
        <w:t xml:space="preserve"> </w:t>
      </w:r>
      <w:r w:rsidRPr="00667534">
        <w:rPr>
          <w:lang w:val="fr-CA"/>
        </w:rPr>
        <w:t xml:space="preserve">peut </w:t>
      </w:r>
      <w:r>
        <w:rPr>
          <w:lang w:val="fr-CA"/>
        </w:rPr>
        <w:t xml:space="preserve">fréquemment </w:t>
      </w:r>
      <w:r w:rsidRPr="00667534">
        <w:rPr>
          <w:lang w:val="fr-CA"/>
        </w:rPr>
        <w:t xml:space="preserve">engendrer de graves </w:t>
      </w:r>
      <w:r w:rsidRPr="001C084E">
        <w:rPr>
          <w:lang w:val="fr-CA"/>
        </w:rPr>
        <w:t>inégalités touche au cœur de l’égalité réelle. C’est précisément ce qui arrive quand des lois</w:t>
      </w:r>
      <w:r>
        <w:rPr>
          <w:lang w:val="fr-CA"/>
        </w:rPr>
        <w:t xml:space="preserve"> en apparence</w:t>
      </w:r>
      <w:r w:rsidRPr="001C084E">
        <w:rPr>
          <w:lang w:val="fr-CA"/>
        </w:rPr>
        <w:t xml:space="preserve"> neutres ne tiennent pas compte des véritables caractéristiques d’un groupe qui l’empê</w:t>
      </w:r>
      <w:r w:rsidRPr="00667534">
        <w:rPr>
          <w:lang w:val="fr-CA"/>
        </w:rPr>
        <w:t>chent de jouir des avanta</w:t>
      </w:r>
      <w:r>
        <w:rPr>
          <w:lang w:val="fr-CA"/>
        </w:rPr>
        <w:t xml:space="preserve">ges de la société. </w:t>
      </w:r>
    </w:p>
    <w:p w14:paraId="1D420EA7" w14:textId="08237261" w:rsidR="00453574" w:rsidRPr="00594CE2" w:rsidRDefault="00453574" w:rsidP="006B1004">
      <w:pPr>
        <w:pStyle w:val="SCCNormalDoubleSpacing"/>
        <w:spacing w:after="480"/>
        <w:rPr>
          <w:szCs w:val="24"/>
          <w:lang w:val="fr-CA"/>
        </w:rPr>
      </w:pPr>
      <w:r w:rsidRPr="001C084E">
        <w:rPr>
          <w:szCs w:val="24"/>
          <w:lang w:val="fr-CA"/>
        </w:rPr>
        <w:tab/>
        <w:t xml:space="preserve">La même </w:t>
      </w:r>
      <w:r>
        <w:rPr>
          <w:szCs w:val="24"/>
          <w:lang w:val="fr-CA"/>
        </w:rPr>
        <w:t xml:space="preserve">analyse </w:t>
      </w:r>
      <w:r w:rsidRPr="001C084E">
        <w:rPr>
          <w:szCs w:val="24"/>
          <w:lang w:val="fr-CA"/>
        </w:rPr>
        <w:t>à deux</w:t>
      </w:r>
      <w:r>
        <w:rPr>
          <w:szCs w:val="24"/>
          <w:lang w:val="fr-CA"/>
        </w:rPr>
        <w:t xml:space="preserve"> étapes fondée sur le </w:t>
      </w:r>
      <w:r w:rsidR="006B1004">
        <w:rPr>
          <w:szCs w:val="24"/>
          <w:lang w:val="fr-CA"/>
        </w:rPr>
        <w:t>par. </w:t>
      </w:r>
      <w:r w:rsidRPr="001C084E">
        <w:rPr>
          <w:szCs w:val="24"/>
          <w:lang w:val="fr-CA"/>
        </w:rPr>
        <w:t xml:space="preserve">15(1) </w:t>
      </w:r>
      <w:r>
        <w:rPr>
          <w:szCs w:val="24"/>
          <w:lang w:val="fr-CA"/>
        </w:rPr>
        <w:t>s’applique</w:t>
      </w:r>
      <w:r w:rsidRPr="00667534">
        <w:rPr>
          <w:lang w:val="fr-CA"/>
        </w:rPr>
        <w:t xml:space="preserve">, peu importe </w:t>
      </w:r>
      <w:r>
        <w:rPr>
          <w:lang w:val="fr-CA"/>
        </w:rPr>
        <w:t xml:space="preserve">que </w:t>
      </w:r>
      <w:r w:rsidRPr="00667534">
        <w:rPr>
          <w:lang w:val="fr-CA"/>
        </w:rPr>
        <w:t xml:space="preserve">la discrimination alléguée </w:t>
      </w:r>
      <w:r>
        <w:rPr>
          <w:lang w:val="fr-CA"/>
        </w:rPr>
        <w:t xml:space="preserve">soit </w:t>
      </w:r>
      <w:r w:rsidRPr="00667534">
        <w:rPr>
          <w:lang w:val="fr-CA"/>
        </w:rPr>
        <w:t>directe ou indirect</w:t>
      </w:r>
      <w:r>
        <w:rPr>
          <w:lang w:val="fr-CA"/>
        </w:rPr>
        <w:t xml:space="preserve">e. </w:t>
      </w:r>
      <w:r w:rsidRPr="001C084E">
        <w:rPr>
          <w:szCs w:val="24"/>
          <w:lang w:val="fr-CA"/>
        </w:rPr>
        <w:t xml:space="preserve">À la première étape, </w:t>
      </w:r>
      <w:r w:rsidRPr="00667534">
        <w:rPr>
          <w:lang w:val="fr-CA"/>
        </w:rPr>
        <w:t xml:space="preserve">pour qu’une loi </w:t>
      </w:r>
      <w:r w:rsidRPr="00B70C75">
        <w:rPr>
          <w:lang w:val="fr-CA"/>
        </w:rPr>
        <w:t>crée par son effet une distinction fondée sur des motifs interdits, elle doit avoir un effet disproportionné sur les membres d’un groupe protégé. Par exemple, une loi peut comporter des règles en apparence neutres, des restrictions ou des critères qui agissent en fait comme des « obstacles intégrés » pour les membres des groupes protégés</w:t>
      </w:r>
      <w:r w:rsidRPr="00B70C75">
        <w:rPr>
          <w:szCs w:val="24"/>
          <w:lang w:val="fr-CA"/>
        </w:rPr>
        <w:t xml:space="preserve">. </w:t>
      </w:r>
      <w:r w:rsidRPr="00B70C75">
        <w:rPr>
          <w:lang w:val="fr-CA"/>
        </w:rPr>
        <w:t>Dans d’autres affaires, le problème n’est pas la présence d’« obstacles</w:t>
      </w:r>
      <w:r w:rsidRPr="00667534">
        <w:rPr>
          <w:lang w:val="fr-CA"/>
        </w:rPr>
        <w:t> » intégrés à la loi, mais l</w:t>
      </w:r>
      <w:r w:rsidRPr="001D4539">
        <w:rPr>
          <w:lang w:val="fr-CA"/>
        </w:rPr>
        <w:t xml:space="preserve">’absence </w:t>
      </w:r>
      <w:r w:rsidRPr="00667534">
        <w:rPr>
          <w:lang w:val="fr-CA"/>
        </w:rPr>
        <w:t>de mesures d’adaptation pour les membres des groupes protégés</w:t>
      </w:r>
      <w:r w:rsidRPr="00594CE2">
        <w:rPr>
          <w:szCs w:val="24"/>
          <w:lang w:val="fr-CA"/>
        </w:rPr>
        <w:t>.</w:t>
      </w:r>
    </w:p>
    <w:p w14:paraId="0A38CE93" w14:textId="197E087A" w:rsidR="00453574" w:rsidRPr="0022232B" w:rsidRDefault="00453574" w:rsidP="006B1004">
      <w:pPr>
        <w:pStyle w:val="SCCNormalDoubleSpacing"/>
        <w:spacing w:after="480"/>
        <w:rPr>
          <w:szCs w:val="24"/>
          <w:lang w:val="fr-CA"/>
        </w:rPr>
      </w:pPr>
      <w:r w:rsidRPr="00594CE2">
        <w:rPr>
          <w:szCs w:val="24"/>
          <w:lang w:val="fr-CA"/>
        </w:rPr>
        <w:tab/>
      </w:r>
      <w:r w:rsidRPr="00667534">
        <w:rPr>
          <w:lang w:val="fr-CA"/>
        </w:rPr>
        <w:t xml:space="preserve">Deux types d’éléments de </w:t>
      </w:r>
      <w:r w:rsidRPr="004806EA">
        <w:rPr>
          <w:lang w:val="fr-CA"/>
        </w:rPr>
        <w:t>preuve sont particulièrement utiles pour prouver qu’une loi a un effet disproportionné sur des membres d’un groupe protégé. Le premier porte sur la situation du groupe de demandeurs</w:t>
      </w:r>
      <w:r w:rsidRPr="004806EA">
        <w:rPr>
          <w:szCs w:val="24"/>
          <w:lang w:val="fr-CA"/>
        </w:rPr>
        <w:t xml:space="preserve">. </w:t>
      </w:r>
      <w:r w:rsidRPr="004806EA">
        <w:rPr>
          <w:lang w:val="fr-CA"/>
        </w:rPr>
        <w:t xml:space="preserve">Les éléments de preuve sur les </w:t>
      </w:r>
      <w:r w:rsidRPr="004806EA">
        <w:rPr>
          <w:lang w:val="fr-CA"/>
        </w:rPr>
        <w:lastRenderedPageBreak/>
        <w:t>obstacles, notamment physiques, sociaux ou culturels qui décrivent la situation du groupe de demandeurs</w:t>
      </w:r>
      <w:r w:rsidR="006B1004">
        <w:rPr>
          <w:lang w:val="fr-CA"/>
        </w:rPr>
        <w:t xml:space="preserve"> </w:t>
      </w:r>
      <w:r w:rsidRPr="004806EA">
        <w:rPr>
          <w:lang w:val="fr-CA"/>
        </w:rPr>
        <w:t>sont utiles aux tribunaux. De tels éléments de preuve ont pour objectif de démontrer que l’appartenance au groupe de</w:t>
      </w:r>
      <w:r w:rsidRPr="00E92BAA">
        <w:rPr>
          <w:lang w:val="fr-CA"/>
        </w:rPr>
        <w:t xml:space="preserve"> demandeurs est associée à certaines caractéristiques qui ont désavantagé des membres du groupe</w:t>
      </w:r>
      <w:r w:rsidRPr="00BF1AA8">
        <w:rPr>
          <w:szCs w:val="24"/>
          <w:lang w:val="fr-CA"/>
        </w:rPr>
        <w:t xml:space="preserve">. </w:t>
      </w:r>
      <w:r w:rsidRPr="00667534">
        <w:rPr>
          <w:lang w:val="fr-CA"/>
        </w:rPr>
        <w:t xml:space="preserve">Ces liens peuvent révéler que des politiques en apparence neutres sont bien </w:t>
      </w:r>
      <w:r w:rsidRPr="00840904">
        <w:rPr>
          <w:lang w:val="fr-CA"/>
        </w:rPr>
        <w:t>conçues pour certains mais pas pour d’</w:t>
      </w:r>
      <w:r>
        <w:rPr>
          <w:lang w:val="fr-CA"/>
        </w:rPr>
        <w:t>autres.</w:t>
      </w:r>
      <w:r w:rsidR="006B1004">
        <w:rPr>
          <w:lang w:val="fr-CA"/>
        </w:rPr>
        <w:t xml:space="preserve"> </w:t>
      </w:r>
    </w:p>
    <w:p w14:paraId="40598FD4" w14:textId="55ADCE23" w:rsidR="00453574" w:rsidRPr="00F74629" w:rsidRDefault="00453574" w:rsidP="006B1004">
      <w:pPr>
        <w:pStyle w:val="SCCNormalDoubleSpacing"/>
        <w:spacing w:after="480"/>
        <w:rPr>
          <w:szCs w:val="24"/>
          <w:lang w:val="fr-CA"/>
        </w:rPr>
      </w:pPr>
      <w:r w:rsidRPr="0022232B">
        <w:rPr>
          <w:szCs w:val="24"/>
          <w:lang w:val="fr-CA"/>
        </w:rPr>
        <w:tab/>
      </w:r>
      <w:r w:rsidRPr="00CE7FA2">
        <w:rPr>
          <w:lang w:val="fr-CA"/>
        </w:rPr>
        <w:t>Des éléments de preuve sur les conséquences pratiques de la loi ou politique contestée sont également utiles aux tribunaux</w:t>
      </w:r>
      <w:r>
        <w:rPr>
          <w:lang w:val="fr-CA"/>
        </w:rPr>
        <w:t xml:space="preserve">. </w:t>
      </w:r>
      <w:r w:rsidRPr="0022232B">
        <w:rPr>
          <w:szCs w:val="24"/>
          <w:lang w:val="fr-CA"/>
        </w:rPr>
        <w:t xml:space="preserve">Ces </w:t>
      </w:r>
      <w:r w:rsidRPr="00CE7FA2">
        <w:rPr>
          <w:lang w:val="fr-CA"/>
        </w:rPr>
        <w:t xml:space="preserve">éléments de preuve peuvent démontrer concrètement que les membres de groupes protégés subissent un effet </w:t>
      </w:r>
      <w:r>
        <w:rPr>
          <w:lang w:val="fr-CA"/>
        </w:rPr>
        <w:t>disproportionné</w:t>
      </w:r>
      <w:r w:rsidRPr="0022232B">
        <w:rPr>
          <w:szCs w:val="24"/>
          <w:lang w:val="fr-CA"/>
        </w:rPr>
        <w:t xml:space="preserve">. </w:t>
      </w:r>
      <w:r w:rsidRPr="00CE7FA2">
        <w:rPr>
          <w:lang w:val="fr-CA"/>
        </w:rPr>
        <w:t>Cette preuve peut</w:t>
      </w:r>
      <w:r w:rsidRPr="00BC3C11">
        <w:rPr>
          <w:lang w:val="fr-CA"/>
        </w:rPr>
        <w:t xml:space="preserve"> inclure des statistiques, surtout si le bassin de gens touchés négativeme</w:t>
      </w:r>
      <w:r w:rsidRPr="00667534">
        <w:rPr>
          <w:lang w:val="fr-CA"/>
        </w:rPr>
        <w:t>nt par un cri</w:t>
      </w:r>
      <w:r w:rsidRPr="00CE7FA2">
        <w:rPr>
          <w:lang w:val="fr-CA"/>
        </w:rPr>
        <w:t xml:space="preserve">tère ou une norme compte </w:t>
      </w:r>
      <w:r w:rsidRPr="00B01AF0">
        <w:rPr>
          <w:lang w:val="fr-CA"/>
        </w:rPr>
        <w:t>à la fois</w:t>
      </w:r>
      <w:r w:rsidRPr="00CE7FA2">
        <w:rPr>
          <w:lang w:val="fr-CA"/>
        </w:rPr>
        <w:t xml:space="preserve"> des membres d’un groupe </w:t>
      </w:r>
      <w:r w:rsidRPr="001D4539">
        <w:rPr>
          <w:lang w:val="fr-CA"/>
        </w:rPr>
        <w:t>protégé et des</w:t>
      </w:r>
      <w:r w:rsidRPr="00CE7FA2">
        <w:rPr>
          <w:lang w:val="fr-CA"/>
        </w:rPr>
        <w:t xml:space="preserve"> mem</w:t>
      </w:r>
      <w:r w:rsidRPr="00667534">
        <w:rPr>
          <w:lang w:val="fr-CA"/>
        </w:rPr>
        <w:t>bres des groupes plus avant</w:t>
      </w:r>
      <w:r>
        <w:rPr>
          <w:lang w:val="fr-CA"/>
        </w:rPr>
        <w:t xml:space="preserve">agés. </w:t>
      </w:r>
      <w:r w:rsidRPr="00CE7FA2">
        <w:rPr>
          <w:lang w:val="fr-CA"/>
        </w:rPr>
        <w:t>L’objectif de la preuve statistique</w:t>
      </w:r>
      <w:r>
        <w:rPr>
          <w:lang w:val="fr-CA"/>
        </w:rPr>
        <w:t xml:space="preserve"> </w:t>
      </w:r>
      <w:r w:rsidRPr="00CE7FA2">
        <w:rPr>
          <w:lang w:val="fr-CA"/>
        </w:rPr>
        <w:t>est d’établir l’existence d’un comportement distinct d’exclusion ou de préjudice statistiquement important et qui n’est pas simplement le résultat de la chance</w:t>
      </w:r>
      <w:r>
        <w:rPr>
          <w:lang w:val="fr-CA"/>
        </w:rPr>
        <w:t xml:space="preserve">. </w:t>
      </w:r>
      <w:r w:rsidRPr="00CE7FA2">
        <w:rPr>
          <w:lang w:val="fr-CA"/>
        </w:rPr>
        <w:t>Le poids accordé aux statistiques dépendra, entre autres, de la qualité de celles-ci e</w:t>
      </w:r>
      <w:r w:rsidRPr="00840904">
        <w:rPr>
          <w:lang w:val="fr-CA"/>
        </w:rPr>
        <w:t>t de la méthode utilisée pour les obtenir</w:t>
      </w:r>
      <w:r>
        <w:rPr>
          <w:szCs w:val="24"/>
          <w:lang w:val="fr-CA"/>
        </w:rPr>
        <w:t>.</w:t>
      </w:r>
      <w:r w:rsidR="006B1004">
        <w:rPr>
          <w:szCs w:val="24"/>
          <w:lang w:val="fr-CA"/>
        </w:rPr>
        <w:t xml:space="preserve"> </w:t>
      </w:r>
    </w:p>
    <w:p w14:paraId="46EF9B38" w14:textId="2C910D4C" w:rsidR="00453574" w:rsidRPr="00EE6868" w:rsidRDefault="00453574" w:rsidP="006B1004">
      <w:pPr>
        <w:pStyle w:val="SCCNormalDoubleSpacing"/>
        <w:spacing w:after="480"/>
        <w:rPr>
          <w:szCs w:val="24"/>
          <w:lang w:val="fr-CA"/>
        </w:rPr>
      </w:pPr>
      <w:r w:rsidRPr="00F74629">
        <w:rPr>
          <w:szCs w:val="24"/>
          <w:lang w:val="fr-CA"/>
        </w:rPr>
        <w:tab/>
      </w:r>
      <w:r w:rsidRPr="00667534">
        <w:rPr>
          <w:lang w:val="fr-CA"/>
        </w:rPr>
        <w:t xml:space="preserve">Idéalement, les allégations de discrimination par suite d’un effet préjudiciable doivent être étayées par des éléments de preuve sur la situation du groupe de demandeurs </w:t>
      </w:r>
      <w:r w:rsidRPr="00F74629">
        <w:rPr>
          <w:lang w:val="fr-CA"/>
        </w:rPr>
        <w:t xml:space="preserve">et </w:t>
      </w:r>
      <w:r w:rsidRPr="00667534">
        <w:rPr>
          <w:lang w:val="fr-CA"/>
        </w:rPr>
        <w:t>sur les effets de la loi contestée</w:t>
      </w:r>
      <w:r>
        <w:rPr>
          <w:lang w:val="fr-CA"/>
        </w:rPr>
        <w:t xml:space="preserve">. </w:t>
      </w:r>
      <w:r>
        <w:rPr>
          <w:szCs w:val="24"/>
          <w:lang w:val="fr-CA"/>
        </w:rPr>
        <w:t>Cependant</w:t>
      </w:r>
      <w:r w:rsidRPr="00F74629">
        <w:rPr>
          <w:szCs w:val="24"/>
          <w:lang w:val="fr-CA"/>
        </w:rPr>
        <w:t xml:space="preserve">, </w:t>
      </w:r>
      <w:r w:rsidRPr="00667534">
        <w:rPr>
          <w:lang w:val="fr-CA"/>
        </w:rPr>
        <w:t xml:space="preserve">les deux types d’éléments de preuve </w:t>
      </w:r>
      <w:r>
        <w:rPr>
          <w:lang w:val="fr-CA"/>
        </w:rPr>
        <w:t xml:space="preserve">ne </w:t>
      </w:r>
      <w:r w:rsidRPr="004806EA">
        <w:rPr>
          <w:lang w:val="fr-CA"/>
        </w:rPr>
        <w:t xml:space="preserve">sont </w:t>
      </w:r>
      <w:r w:rsidR="00E034AE">
        <w:rPr>
          <w:lang w:val="fr-CA"/>
        </w:rPr>
        <w:t xml:space="preserve">pas </w:t>
      </w:r>
      <w:r w:rsidRPr="004806EA">
        <w:rPr>
          <w:lang w:val="fr-CA"/>
        </w:rPr>
        <w:t>toujours requis</w:t>
      </w:r>
      <w:r w:rsidRPr="004806EA">
        <w:rPr>
          <w:szCs w:val="24"/>
          <w:lang w:val="fr-CA"/>
        </w:rPr>
        <w:t xml:space="preserve">. </w:t>
      </w:r>
      <w:r w:rsidRPr="004806EA">
        <w:rPr>
          <w:lang w:val="fr-CA"/>
        </w:rPr>
        <w:t>Dans certains cas, les éléments de preuve concernant un groupe démontreront un lien si puissant avec certains</w:t>
      </w:r>
      <w:r w:rsidRPr="00667534">
        <w:rPr>
          <w:lang w:val="fr-CA"/>
        </w:rPr>
        <w:t xml:space="preserve"> traits</w:t>
      </w:r>
      <w:r>
        <w:rPr>
          <w:lang w:val="fr-CA"/>
        </w:rPr>
        <w:t xml:space="preserve"> </w:t>
      </w:r>
      <w:r w:rsidRPr="00667534">
        <w:rPr>
          <w:lang w:val="fr-CA"/>
        </w:rPr>
        <w:t xml:space="preserve">que </w:t>
      </w:r>
      <w:r w:rsidRPr="00667534">
        <w:rPr>
          <w:lang w:val="fr-CA"/>
        </w:rPr>
        <w:lastRenderedPageBreak/>
        <w:t xml:space="preserve">l’effet disproportionné sur les membres de ce groupe </w:t>
      </w:r>
      <w:r w:rsidRPr="00667534">
        <w:rPr>
          <w:rFonts w:ascii="Times" w:hAnsi="Times" w:cs="Times"/>
          <w:color w:val="000000"/>
          <w:lang w:val="fr-CA"/>
        </w:rPr>
        <w:t>sera visible et immédiat</w:t>
      </w:r>
      <w:r>
        <w:rPr>
          <w:rFonts w:ascii="Times" w:hAnsi="Times" w:cs="Times"/>
          <w:color w:val="000000"/>
          <w:lang w:val="fr-CA"/>
        </w:rPr>
        <w:t xml:space="preserve">. </w:t>
      </w:r>
      <w:r w:rsidRPr="0005626D">
        <w:rPr>
          <w:rFonts w:ascii="Times" w:hAnsi="Times" w:cs="Times"/>
          <w:color w:val="000000"/>
          <w:lang w:val="fr-CA"/>
        </w:rPr>
        <w:t>De même, des disparités statistiques claires et constantes peuvent démontrer l’existence d’un effet disproportionné sur les membres de groupes protégés</w:t>
      </w:r>
      <w:r>
        <w:rPr>
          <w:szCs w:val="24"/>
          <w:lang w:val="fr-CA"/>
        </w:rPr>
        <w:t xml:space="preserve">, </w:t>
      </w:r>
      <w:r w:rsidRPr="0005626D">
        <w:rPr>
          <w:rFonts w:ascii="Times" w:hAnsi="Times" w:cs="Times"/>
          <w:color w:val="000000"/>
          <w:lang w:val="fr-CA"/>
        </w:rPr>
        <w:t>même si la raison précise de l’effet est inconnue</w:t>
      </w:r>
      <w:r w:rsidRPr="004D35B6">
        <w:rPr>
          <w:szCs w:val="24"/>
          <w:lang w:val="fr-CA"/>
        </w:rPr>
        <w:t xml:space="preserve">. </w:t>
      </w:r>
      <w:r w:rsidRPr="0005626D">
        <w:rPr>
          <w:lang w:val="fr-CA"/>
        </w:rPr>
        <w:t>En</w:t>
      </w:r>
      <w:r>
        <w:rPr>
          <w:lang w:val="fr-CA"/>
        </w:rPr>
        <w:t xml:space="preserve"> </w:t>
      </w:r>
      <w:r w:rsidRPr="00667534">
        <w:rPr>
          <w:lang w:val="fr-CA"/>
        </w:rPr>
        <w:t xml:space="preserve">pareils cas, la preuve statistique est en soi un signe convaincant que la loi n’a pas été structurée de manière à tenir compte de la </w:t>
      </w:r>
      <w:r w:rsidRPr="004B3A25">
        <w:rPr>
          <w:lang w:val="fr-CA"/>
        </w:rPr>
        <w:t>situation du groupe</w:t>
      </w:r>
      <w:r>
        <w:rPr>
          <w:lang w:val="fr-CA"/>
        </w:rPr>
        <w:t>.</w:t>
      </w:r>
      <w:r w:rsidR="006B1004">
        <w:rPr>
          <w:lang w:val="fr-CA"/>
        </w:rPr>
        <w:t xml:space="preserve"> </w:t>
      </w:r>
      <w:r w:rsidRPr="00EE6868">
        <w:rPr>
          <w:szCs w:val="24"/>
          <w:lang w:val="fr-CA"/>
        </w:rPr>
        <w:t xml:space="preserve"> </w:t>
      </w:r>
    </w:p>
    <w:p w14:paraId="7122A010" w14:textId="77777777" w:rsidR="00453574" w:rsidRPr="00A71CC8" w:rsidRDefault="00453574" w:rsidP="006B1004">
      <w:pPr>
        <w:pStyle w:val="SCCNormalDoubleSpacing"/>
        <w:spacing w:after="480"/>
        <w:rPr>
          <w:lang w:val="fr-CA"/>
        </w:rPr>
      </w:pPr>
      <w:r w:rsidRPr="00EE6868">
        <w:rPr>
          <w:szCs w:val="24"/>
          <w:lang w:val="fr-CA"/>
        </w:rPr>
        <w:tab/>
        <w:t xml:space="preserve">En somme, </w:t>
      </w:r>
      <w:r>
        <w:rPr>
          <w:lang w:val="fr-CA"/>
        </w:rPr>
        <w:t>t</w:t>
      </w:r>
      <w:r w:rsidRPr="005F2BAB">
        <w:rPr>
          <w:lang w:val="fr-CA"/>
        </w:rPr>
        <w:t>ant une preuve de disparité statistique qu’une preuve de désavantage sur le groupe</w:t>
      </w:r>
      <w:r w:rsidRPr="00667534">
        <w:rPr>
          <w:lang w:val="fr-CA"/>
        </w:rPr>
        <w:t xml:space="preserve"> dans son ensemble peuvent démontrer un effet disproportionné, mais aucune n’est obligatoire et leur importance variera selon l’affaire</w:t>
      </w:r>
      <w:r>
        <w:rPr>
          <w:lang w:val="fr-CA"/>
        </w:rPr>
        <w:t xml:space="preserve">. </w:t>
      </w:r>
      <w:r>
        <w:rPr>
          <w:szCs w:val="24"/>
          <w:lang w:val="fr-CA"/>
        </w:rPr>
        <w:t>L</w:t>
      </w:r>
      <w:r w:rsidRPr="00667534">
        <w:rPr>
          <w:lang w:val="fr-CA"/>
        </w:rPr>
        <w:t xml:space="preserve">a question de savoir si le législateur </w:t>
      </w:r>
      <w:r w:rsidRPr="00A71CC8">
        <w:rPr>
          <w:lang w:val="fr-CA"/>
        </w:rPr>
        <w:t>avait l’intention</w:t>
      </w:r>
      <w:r w:rsidRPr="00667534">
        <w:rPr>
          <w:lang w:val="fr-CA"/>
        </w:rPr>
        <w:t xml:space="preserve"> de créer un effet distinct n’est pas pertinente</w:t>
      </w:r>
      <w:r w:rsidRPr="00A71CC8">
        <w:rPr>
          <w:szCs w:val="24"/>
          <w:lang w:val="fr-CA"/>
        </w:rPr>
        <w:t xml:space="preserve">. </w:t>
      </w:r>
      <w:r w:rsidRPr="00667534">
        <w:rPr>
          <w:lang w:val="fr-CA"/>
        </w:rPr>
        <w:t xml:space="preserve">Il n’a jamais été obligatoire de fournir une preuve de l’intention discriminatoire pour </w:t>
      </w:r>
      <w:r>
        <w:rPr>
          <w:lang w:val="fr-CA"/>
        </w:rPr>
        <w:t xml:space="preserve">étayer une </w:t>
      </w:r>
      <w:r w:rsidRPr="00667534">
        <w:rPr>
          <w:lang w:val="fr-CA"/>
        </w:rPr>
        <w:t>allégation de violation du par</w:t>
      </w:r>
      <w:r>
        <w:rPr>
          <w:lang w:val="fr-CA"/>
        </w:rPr>
        <w:t xml:space="preserve">. </w:t>
      </w:r>
      <w:r w:rsidRPr="00667534">
        <w:rPr>
          <w:lang w:val="fr-CA"/>
        </w:rPr>
        <w:t>15(1)</w:t>
      </w:r>
      <w:r>
        <w:rPr>
          <w:lang w:val="fr-CA"/>
        </w:rPr>
        <w:t>, et l</w:t>
      </w:r>
      <w:r w:rsidRPr="005F2BAB">
        <w:rPr>
          <w:lang w:val="fr-CA"/>
        </w:rPr>
        <w:t>’existence d’un objectif d’amélioration de la situation ne suffit pas non plus à soustraire</w:t>
      </w:r>
      <w:r w:rsidRPr="00F22333">
        <w:rPr>
          <w:lang w:val="fr-CA"/>
        </w:rPr>
        <w:t xml:space="preserve"> une loi à l’examen fondé sur le par. 15(1)</w:t>
      </w:r>
      <w:r w:rsidRPr="00A71CC8">
        <w:rPr>
          <w:szCs w:val="24"/>
          <w:lang w:val="fr-CA"/>
        </w:rPr>
        <w:t>.</w:t>
      </w:r>
    </w:p>
    <w:p w14:paraId="58637528" w14:textId="5C1CC10E" w:rsidR="00453574" w:rsidRPr="004806EA" w:rsidRDefault="00453574" w:rsidP="006B1004">
      <w:pPr>
        <w:pStyle w:val="SCCNormalDoubleSpacing"/>
        <w:spacing w:after="480"/>
        <w:rPr>
          <w:lang w:val="fr-CA"/>
        </w:rPr>
      </w:pPr>
      <w:r w:rsidRPr="00A71CC8">
        <w:rPr>
          <w:lang w:val="fr-CA"/>
        </w:rPr>
        <w:tab/>
      </w:r>
      <w:r>
        <w:rPr>
          <w:lang w:val="fr-CA"/>
        </w:rPr>
        <w:t>S</w:t>
      </w:r>
      <w:r w:rsidRPr="00667534">
        <w:rPr>
          <w:lang w:val="fr-CA"/>
        </w:rPr>
        <w:t xml:space="preserve">i les demandeurs réussissent à démontrer qu’une loi a un effet disproportionné sur les membres d’un groupe protégé, ils n’ont pas besoin de prouver </w:t>
      </w:r>
      <w:r>
        <w:rPr>
          <w:lang w:val="fr-CA"/>
        </w:rPr>
        <w:t xml:space="preserve">aussi </w:t>
      </w:r>
      <w:r w:rsidRPr="00667534">
        <w:rPr>
          <w:lang w:val="fr-CA"/>
        </w:rPr>
        <w:t xml:space="preserve">que la caractéristique protégée a « causé » l’effet </w:t>
      </w:r>
      <w:r w:rsidRPr="004B3A25">
        <w:rPr>
          <w:lang w:val="fr-CA"/>
        </w:rPr>
        <w:t>disproportionné</w:t>
      </w:r>
      <w:r>
        <w:rPr>
          <w:lang w:val="fr-CA"/>
        </w:rPr>
        <w:t xml:space="preserve">. </w:t>
      </w:r>
      <w:r w:rsidRPr="00667534">
        <w:rPr>
          <w:lang w:val="fr-CA"/>
        </w:rPr>
        <w:t xml:space="preserve">Il </w:t>
      </w:r>
      <w:r>
        <w:rPr>
          <w:lang w:val="fr-CA"/>
        </w:rPr>
        <w:t xml:space="preserve">n’est pas non plus nécessaire pour eux de prouver que </w:t>
      </w:r>
      <w:r w:rsidRPr="005F2BAB">
        <w:rPr>
          <w:lang w:val="fr-CA"/>
        </w:rPr>
        <w:t>la loi a en soi pour effet de créer des obstacles sociaux ou physiques de fond qui ont rendu une règle, une exigence ou un critère particulier désavantageux</w:t>
      </w:r>
      <w:r>
        <w:rPr>
          <w:lang w:val="fr-CA"/>
        </w:rPr>
        <w:t xml:space="preserve">. </w:t>
      </w:r>
      <w:r w:rsidRPr="00356113">
        <w:rPr>
          <w:lang w:val="fr-CA"/>
        </w:rPr>
        <w:t xml:space="preserve">En outre, </w:t>
      </w:r>
      <w:r w:rsidRPr="00667534">
        <w:rPr>
          <w:lang w:val="fr-CA"/>
        </w:rPr>
        <w:t>les demandeurs n’ont pas</w:t>
      </w:r>
      <w:r>
        <w:rPr>
          <w:lang w:val="fr-CA"/>
        </w:rPr>
        <w:t xml:space="preserve"> à </w:t>
      </w:r>
      <w:r w:rsidRPr="00667534">
        <w:rPr>
          <w:lang w:val="fr-CA"/>
        </w:rPr>
        <w:t xml:space="preserve">démontrer que les </w:t>
      </w:r>
      <w:r w:rsidRPr="004248F6">
        <w:rPr>
          <w:lang w:val="fr-CA"/>
        </w:rPr>
        <w:t xml:space="preserve">critères, les caractéristiques ou les autres facteurs utilisés dans la loi contestée affectent </w:t>
      </w:r>
      <w:r w:rsidRPr="004248F6">
        <w:rPr>
          <w:lang w:val="fr-CA"/>
        </w:rPr>
        <w:lastRenderedPageBreak/>
        <w:t>tous les membres d’un groupe protégé de la même manière</w:t>
      </w:r>
      <w:r>
        <w:rPr>
          <w:lang w:val="fr-CA"/>
        </w:rPr>
        <w:t>.</w:t>
      </w:r>
      <w:r w:rsidRPr="00356113">
        <w:rPr>
          <w:lang w:val="fr-CA"/>
        </w:rPr>
        <w:t xml:space="preserve"> Le fait que la discrimination ne soit que partielle n’en change pas la nature, et </w:t>
      </w:r>
      <w:r>
        <w:rPr>
          <w:lang w:val="fr-CA"/>
        </w:rPr>
        <w:t xml:space="preserve">une </w:t>
      </w:r>
      <w:r w:rsidRPr="00667534">
        <w:rPr>
          <w:lang w:val="fr-CA"/>
        </w:rPr>
        <w:t>différence de traitement peut reposer sur un motif énuméré même lorsque les membres du groupe pertinent ne sont pas tous également maltraités</w:t>
      </w:r>
      <w:r>
        <w:rPr>
          <w:lang w:val="fr-CA"/>
        </w:rPr>
        <w:t>.</w:t>
      </w:r>
      <w:r w:rsidR="006B1004">
        <w:rPr>
          <w:lang w:val="fr-CA"/>
        </w:rPr>
        <w:t xml:space="preserve"> </w:t>
      </w:r>
    </w:p>
    <w:p w14:paraId="7A92565F" w14:textId="159CC079" w:rsidR="00453574" w:rsidRPr="00F3449B" w:rsidRDefault="00453574" w:rsidP="006B1004">
      <w:pPr>
        <w:pStyle w:val="SCCNormalDoubleSpacing"/>
        <w:spacing w:after="480"/>
        <w:rPr>
          <w:szCs w:val="24"/>
          <w:lang w:val="fr-CA"/>
        </w:rPr>
      </w:pPr>
      <w:r w:rsidRPr="004806EA">
        <w:rPr>
          <w:szCs w:val="24"/>
          <w:lang w:val="fr-CA"/>
        </w:rPr>
        <w:tab/>
      </w:r>
      <w:r w:rsidRPr="001143D5">
        <w:rPr>
          <w:szCs w:val="24"/>
          <w:lang w:val="fr-CA"/>
        </w:rPr>
        <w:t>L</w:t>
      </w:r>
      <w:r w:rsidR="006B1004">
        <w:rPr>
          <w:lang w:val="fr-CA"/>
        </w:rPr>
        <w:t xml:space="preserve">a deuxième </w:t>
      </w:r>
      <w:r w:rsidRPr="001143D5">
        <w:rPr>
          <w:lang w:val="fr-CA"/>
        </w:rPr>
        <w:t xml:space="preserve">étape de l’analyse relative à </w:t>
      </w:r>
      <w:r w:rsidR="006B1004">
        <w:rPr>
          <w:lang w:val="fr-CA"/>
        </w:rPr>
        <w:t xml:space="preserve">l’art. 15 </w:t>
      </w:r>
      <w:r w:rsidRPr="001143D5">
        <w:rPr>
          <w:szCs w:val="24"/>
          <w:lang w:val="fr-CA"/>
        </w:rPr>
        <w:t xml:space="preserve">— </w:t>
      </w:r>
      <w:r w:rsidRPr="001143D5">
        <w:rPr>
          <w:lang w:val="fr-CA"/>
        </w:rPr>
        <w:t xml:space="preserve">la question de savoir si la loi a pour effet de renforcer, de perpétuer ou d’accentuer un désavantage </w:t>
      </w:r>
      <w:r w:rsidRPr="001143D5">
        <w:rPr>
          <w:szCs w:val="24"/>
          <w:lang w:val="fr-CA"/>
        </w:rPr>
        <w:t xml:space="preserve">— </w:t>
      </w:r>
      <w:r w:rsidRPr="00DA42F6">
        <w:rPr>
          <w:lang w:val="fr-CA"/>
        </w:rPr>
        <w:t>se déroule habituellement de la même façon dans les cas d’effet distinct et de discrimination</w:t>
      </w:r>
      <w:r w:rsidRPr="00667534">
        <w:rPr>
          <w:lang w:val="fr-CA"/>
        </w:rPr>
        <w:t xml:space="preserve"> explicite</w:t>
      </w:r>
      <w:r w:rsidRPr="001143D5">
        <w:rPr>
          <w:szCs w:val="24"/>
          <w:lang w:val="fr-CA"/>
        </w:rPr>
        <w:t xml:space="preserve">. </w:t>
      </w:r>
      <w:r w:rsidRPr="001143D5">
        <w:rPr>
          <w:lang w:val="fr-CA"/>
        </w:rPr>
        <w:t xml:space="preserve">L’objectif est d’examiner l’effet du préjudice causé au groupe touché, qui </w:t>
      </w:r>
      <w:r w:rsidRPr="004248F6">
        <w:rPr>
          <w:lang w:val="fr-CA"/>
        </w:rPr>
        <w:t>doit être examiné à la lumière des désavantages systémiques ou historiques auxquels fait face le gr</w:t>
      </w:r>
      <w:r>
        <w:rPr>
          <w:lang w:val="fr-CA"/>
        </w:rPr>
        <w:t xml:space="preserve">oupe de demandeurs. </w:t>
      </w:r>
      <w:r>
        <w:rPr>
          <w:szCs w:val="24"/>
          <w:lang w:val="fr-CA"/>
        </w:rPr>
        <w:t>L</w:t>
      </w:r>
      <w:r w:rsidRPr="00DA42F6">
        <w:rPr>
          <w:lang w:val="fr-CA"/>
        </w:rPr>
        <w:t>a présence de préjugés et l’application de stéréotypes sociaux ne sont pas nécessairement des facteurs à prendre en compte dans l’analyse relative au par. 15(1)</w:t>
      </w:r>
      <w:r>
        <w:rPr>
          <w:lang w:val="fr-CA"/>
        </w:rPr>
        <w:t xml:space="preserve">, et </w:t>
      </w:r>
      <w:r w:rsidRPr="003E4415">
        <w:rPr>
          <w:lang w:val="fr-CA"/>
        </w:rPr>
        <w:t>la perpétuation du désavantage ne devient pa</w:t>
      </w:r>
      <w:r w:rsidR="006B1004">
        <w:rPr>
          <w:lang w:val="fr-CA"/>
        </w:rPr>
        <w:t>s moins grave au regard du par. </w:t>
      </w:r>
      <w:r w:rsidRPr="003E4415">
        <w:rPr>
          <w:lang w:val="fr-CA"/>
        </w:rPr>
        <w:t xml:space="preserve">15(1) simplement parce qu’elle était </w:t>
      </w:r>
      <w:r w:rsidRPr="001143D5">
        <w:rPr>
          <w:lang w:val="fr-CA"/>
        </w:rPr>
        <w:t xml:space="preserve">pertinente </w:t>
      </w:r>
      <w:r w:rsidRPr="003E4415">
        <w:rPr>
          <w:lang w:val="fr-CA"/>
        </w:rPr>
        <w:t>à l’égard d’un objectif légitime de l’État</w:t>
      </w:r>
      <w:r>
        <w:rPr>
          <w:szCs w:val="24"/>
          <w:lang w:val="fr-CA"/>
        </w:rPr>
        <w:t xml:space="preserve">. </w:t>
      </w:r>
      <w:r w:rsidRPr="00927F19">
        <w:rPr>
          <w:lang w:val="fr-CA"/>
        </w:rPr>
        <w:t xml:space="preserve">Le critère à appliquer </w:t>
      </w:r>
      <w:r w:rsidRPr="00667534">
        <w:rPr>
          <w:lang w:val="fr-CA"/>
        </w:rPr>
        <w:t>pour déterminer s’il y a violation à première vue du par</w:t>
      </w:r>
      <w:r w:rsidR="006B1004">
        <w:rPr>
          <w:lang w:val="fr-CA"/>
        </w:rPr>
        <w:t>. </w:t>
      </w:r>
      <w:r w:rsidRPr="00667534">
        <w:rPr>
          <w:lang w:val="fr-CA"/>
        </w:rPr>
        <w:t>15(1) concerne l’effet discriminatoire de la loi sur les groupes défavorisés et non la question de savoir si la distinction est justifiée, un examen qu’il convient d’effectuer au regard de l’article premier</w:t>
      </w:r>
      <w:r>
        <w:rPr>
          <w:lang w:val="fr-CA"/>
        </w:rPr>
        <w:t xml:space="preserve">. </w:t>
      </w:r>
      <w:r w:rsidRPr="00667534">
        <w:rPr>
          <w:lang w:val="fr-CA"/>
        </w:rPr>
        <w:t>De même, un demandeur n’</w:t>
      </w:r>
      <w:r w:rsidRPr="00DA42F6">
        <w:rPr>
          <w:lang w:val="fr-CA"/>
        </w:rPr>
        <w:t>est pas tenu de prouver que la distinction est arbitraire pour démontrer une violation</w:t>
      </w:r>
      <w:r>
        <w:rPr>
          <w:lang w:val="fr-CA"/>
        </w:rPr>
        <w:t xml:space="preserve"> à première vue du par. </w:t>
      </w:r>
      <w:r w:rsidRPr="00667534">
        <w:rPr>
          <w:lang w:val="fr-CA"/>
        </w:rPr>
        <w:t>15(1)</w:t>
      </w:r>
      <w:r>
        <w:rPr>
          <w:lang w:val="fr-CA"/>
        </w:rPr>
        <w:t xml:space="preserve">. </w:t>
      </w:r>
      <w:r w:rsidRPr="003D2D97">
        <w:rPr>
          <w:lang w:val="fr-CA"/>
        </w:rPr>
        <w:t xml:space="preserve">C’est au gouvernement qu’il incombe de démontrer que la loi </w:t>
      </w:r>
      <w:r w:rsidRPr="003D2D97">
        <w:rPr>
          <w:i/>
          <w:lang w:val="fr-CA"/>
        </w:rPr>
        <w:t>n’</w:t>
      </w:r>
      <w:r w:rsidRPr="003D2D97">
        <w:rPr>
          <w:lang w:val="fr-CA"/>
        </w:rPr>
        <w:t xml:space="preserve">est </w:t>
      </w:r>
      <w:r w:rsidRPr="003D2D97">
        <w:rPr>
          <w:i/>
          <w:lang w:val="fr-CA"/>
        </w:rPr>
        <w:t>pas</w:t>
      </w:r>
      <w:r w:rsidRPr="003D2D97">
        <w:rPr>
          <w:lang w:val="fr-CA"/>
        </w:rPr>
        <w:t xml:space="preserve"> arbitraire</w:t>
      </w:r>
      <w:r w:rsidRPr="00667534">
        <w:rPr>
          <w:lang w:val="fr-CA"/>
        </w:rPr>
        <w:t xml:space="preserve"> dans les observations qu’il présente pour justifier l’atteinte au regard de l’</w:t>
      </w:r>
      <w:r>
        <w:rPr>
          <w:lang w:val="fr-CA"/>
        </w:rPr>
        <w:t>article premier</w:t>
      </w:r>
      <w:r w:rsidRPr="00F3449B">
        <w:rPr>
          <w:szCs w:val="24"/>
          <w:lang w:val="fr-CA"/>
        </w:rPr>
        <w:t xml:space="preserve">. </w:t>
      </w:r>
    </w:p>
    <w:p w14:paraId="5B08685B" w14:textId="77777777" w:rsidR="00453574" w:rsidRDefault="00453574" w:rsidP="006B1004">
      <w:pPr>
        <w:pStyle w:val="SCCNormalDoubleSpacing"/>
        <w:spacing w:after="480"/>
        <w:rPr>
          <w:szCs w:val="24"/>
          <w:lang w:val="fr-CA"/>
        </w:rPr>
      </w:pPr>
      <w:r w:rsidRPr="00F3449B">
        <w:rPr>
          <w:szCs w:val="24"/>
          <w:lang w:val="fr-CA"/>
        </w:rPr>
        <w:lastRenderedPageBreak/>
        <w:tab/>
      </w:r>
      <w:r>
        <w:rPr>
          <w:szCs w:val="24"/>
          <w:lang w:val="fr-CA"/>
        </w:rPr>
        <w:t>L</w:t>
      </w:r>
      <w:r w:rsidRPr="00667534">
        <w:rPr>
          <w:lang w:val="fr-CA"/>
        </w:rPr>
        <w:t xml:space="preserve">e régime de pension de la GRC permet à ses </w:t>
      </w:r>
      <w:r w:rsidRPr="0082656B">
        <w:rPr>
          <w:lang w:val="fr-CA"/>
        </w:rPr>
        <w:t>membres à temps plein qui ont un horaire de travail régulier, qui sont suspendus ou qui prennent des congés non payés de racheter des périodes de service à temps plein ouvrant droit à pension</w:t>
      </w:r>
      <w:r>
        <w:rPr>
          <w:lang w:val="fr-CA"/>
        </w:rPr>
        <w:t>, mais l</w:t>
      </w:r>
      <w:r w:rsidRPr="0082656B">
        <w:rPr>
          <w:lang w:val="fr-CA"/>
        </w:rPr>
        <w:t>es membres à temps plein qui réduisent temporairement leurs heures dans le cadre d’une entente de partage de poste sont considérés comme des employés à temps partiel au sens du</w:t>
      </w:r>
      <w:r w:rsidRPr="0082656B">
        <w:rPr>
          <w:i/>
          <w:iCs/>
          <w:lang w:val="fr-CA"/>
        </w:rPr>
        <w:t xml:space="preserve"> Règlement</w:t>
      </w:r>
      <w:r w:rsidRPr="0082656B">
        <w:rPr>
          <w:lang w:val="fr-CA"/>
        </w:rPr>
        <w:t xml:space="preserve"> et ils ne peuvent racheter de période de service à temps plein</w:t>
      </w:r>
      <w:r w:rsidRPr="00667534">
        <w:rPr>
          <w:lang w:val="fr-CA"/>
        </w:rPr>
        <w:t xml:space="preserve"> ouvrant droit à pension</w:t>
      </w:r>
      <w:r>
        <w:rPr>
          <w:lang w:val="fr-CA"/>
        </w:rPr>
        <w:t xml:space="preserve">. </w:t>
      </w:r>
      <w:r w:rsidRPr="00667534">
        <w:rPr>
          <w:lang w:val="fr-CA"/>
        </w:rPr>
        <w:t>La question est de savoir si cette entente de partage de poste a un effet disproportionné sur les femmes</w:t>
      </w:r>
      <w:r>
        <w:rPr>
          <w:szCs w:val="24"/>
          <w:lang w:val="fr-CA"/>
        </w:rPr>
        <w:t xml:space="preserve">. </w:t>
      </w:r>
    </w:p>
    <w:p w14:paraId="6C984FFC" w14:textId="06104B2A" w:rsidR="00453574" w:rsidRDefault="00453574" w:rsidP="006B1004">
      <w:pPr>
        <w:pStyle w:val="SCCNormalDoubleSpacing"/>
        <w:spacing w:after="480"/>
        <w:rPr>
          <w:szCs w:val="24"/>
          <w:lang w:val="fr-CA"/>
        </w:rPr>
      </w:pPr>
      <w:r w:rsidRPr="00F3449B">
        <w:rPr>
          <w:szCs w:val="24"/>
          <w:lang w:val="fr-CA"/>
        </w:rPr>
        <w:tab/>
      </w:r>
      <w:r w:rsidRPr="00667534">
        <w:rPr>
          <w:lang w:val="fr-CA"/>
        </w:rPr>
        <w:t xml:space="preserve">En </w:t>
      </w:r>
      <w:r w:rsidRPr="005D2145">
        <w:rPr>
          <w:lang w:val="fr-CA"/>
        </w:rPr>
        <w:t>fondant le rejet de la demande de</w:t>
      </w:r>
      <w:r>
        <w:rPr>
          <w:lang w:val="fr-CA"/>
        </w:rPr>
        <w:t xml:space="preserve">s demanderesses </w:t>
      </w:r>
      <w:r w:rsidRPr="005D2145">
        <w:rPr>
          <w:lang w:val="fr-CA"/>
        </w:rPr>
        <w:t>sur le « choix » qu’</w:t>
      </w:r>
      <w:r>
        <w:rPr>
          <w:lang w:val="fr-CA"/>
        </w:rPr>
        <w:t>ont</w:t>
      </w:r>
      <w:r w:rsidRPr="005D2145">
        <w:rPr>
          <w:lang w:val="fr-CA"/>
        </w:rPr>
        <w:t xml:space="preserve"> fait ce</w:t>
      </w:r>
      <w:r>
        <w:rPr>
          <w:lang w:val="fr-CA"/>
        </w:rPr>
        <w:t xml:space="preserve">s dernières </w:t>
      </w:r>
      <w:r w:rsidRPr="005D2145">
        <w:rPr>
          <w:lang w:val="fr-CA"/>
        </w:rPr>
        <w:t>de conclure une entente de partage de poste, la Cour fédérale et la Cour d’appel fédérale ont</w:t>
      </w:r>
      <w:r>
        <w:rPr>
          <w:lang w:val="fr-CA"/>
        </w:rPr>
        <w:t xml:space="preserve"> </w:t>
      </w:r>
      <w:r w:rsidRPr="005D2145">
        <w:rPr>
          <w:lang w:val="fr-CA"/>
        </w:rPr>
        <w:t xml:space="preserve">mal interprété la jurisprudence de </w:t>
      </w:r>
      <w:r>
        <w:rPr>
          <w:lang w:val="fr-CA"/>
        </w:rPr>
        <w:t xml:space="preserve">la </w:t>
      </w:r>
      <w:r w:rsidRPr="005D2145">
        <w:rPr>
          <w:lang w:val="fr-CA"/>
        </w:rPr>
        <w:t>Cour sur le par</w:t>
      </w:r>
      <w:r>
        <w:rPr>
          <w:lang w:val="fr-CA"/>
        </w:rPr>
        <w:t>.</w:t>
      </w:r>
      <w:r w:rsidRPr="00667534">
        <w:rPr>
          <w:lang w:val="fr-CA"/>
        </w:rPr>
        <w:t> 15(1)</w:t>
      </w:r>
      <w:r>
        <w:rPr>
          <w:lang w:val="fr-CA"/>
        </w:rPr>
        <w:t xml:space="preserve">. </w:t>
      </w:r>
      <w:r w:rsidRPr="004C131F">
        <w:rPr>
          <w:szCs w:val="24"/>
          <w:lang w:val="fr-CA"/>
        </w:rPr>
        <w:t xml:space="preserve">La Cour </w:t>
      </w:r>
      <w:r w:rsidRPr="00DA42F6">
        <w:rPr>
          <w:lang w:val="fr-CA"/>
        </w:rPr>
        <w:t>a toujours conclu qu’une différence de traitement pouvait être discriminatoire mêm</w:t>
      </w:r>
      <w:r w:rsidRPr="00667534">
        <w:rPr>
          <w:lang w:val="fr-CA"/>
        </w:rPr>
        <w:t>e si elle est fondée sur des choix faits par l’individu ou le groupe touché</w:t>
      </w:r>
      <w:r>
        <w:rPr>
          <w:szCs w:val="24"/>
          <w:lang w:val="fr-CA"/>
        </w:rPr>
        <w:t xml:space="preserve">. </w:t>
      </w:r>
      <w:r w:rsidRPr="004C131F">
        <w:rPr>
          <w:lang w:val="fr-CA"/>
        </w:rPr>
        <w:t xml:space="preserve">La Cour fédérale et la Cour d’appel fédérale ont également établi une comparaison </w:t>
      </w:r>
      <w:r w:rsidRPr="00812820">
        <w:rPr>
          <w:lang w:val="fr-CA"/>
        </w:rPr>
        <w:t xml:space="preserve">formaliste entre la rémunération offerte en vertu du programme de partage de poste et </w:t>
      </w:r>
      <w:r>
        <w:rPr>
          <w:lang w:val="fr-CA"/>
        </w:rPr>
        <w:t>le</w:t>
      </w:r>
      <w:r w:rsidRPr="00812820">
        <w:rPr>
          <w:lang w:val="fr-CA"/>
        </w:rPr>
        <w:t xml:space="preserve"> programme de congé non payé</w:t>
      </w:r>
      <w:r>
        <w:rPr>
          <w:lang w:val="fr-CA"/>
        </w:rPr>
        <w:t xml:space="preserve">, même si </w:t>
      </w:r>
      <w:r>
        <w:rPr>
          <w:szCs w:val="24"/>
          <w:lang w:val="fr-CA"/>
        </w:rPr>
        <w:t>le par.</w:t>
      </w:r>
      <w:r w:rsidR="006B1004">
        <w:rPr>
          <w:szCs w:val="24"/>
          <w:lang w:val="fr-CA"/>
        </w:rPr>
        <w:t> </w:t>
      </w:r>
      <w:r w:rsidRPr="004C131F">
        <w:rPr>
          <w:szCs w:val="24"/>
          <w:lang w:val="fr-CA"/>
        </w:rPr>
        <w:t xml:space="preserve">15(1) </w:t>
      </w:r>
      <w:r w:rsidRPr="00667534">
        <w:rPr>
          <w:lang w:val="fr-CA"/>
        </w:rPr>
        <w:t xml:space="preserve">garantit </w:t>
      </w:r>
      <w:r>
        <w:rPr>
          <w:lang w:val="fr-CA"/>
        </w:rPr>
        <w:t xml:space="preserve">aux demanderesses </w:t>
      </w:r>
      <w:r w:rsidRPr="00667534">
        <w:rPr>
          <w:lang w:val="fr-CA"/>
        </w:rPr>
        <w:t xml:space="preserve">et aux autres </w:t>
      </w:r>
      <w:r w:rsidRPr="00812820">
        <w:rPr>
          <w:lang w:val="fr-CA"/>
        </w:rPr>
        <w:t xml:space="preserve">participants au programme de partage de poste le droit à l’égalité réelle par rapport aux employés </w:t>
      </w:r>
      <w:r w:rsidRPr="005A6D6D">
        <w:rPr>
          <w:lang w:val="fr-CA"/>
        </w:rPr>
        <w:t>à temps plein de la</w:t>
      </w:r>
      <w:r w:rsidRPr="00812820">
        <w:rPr>
          <w:lang w:val="fr-CA"/>
        </w:rPr>
        <w:t xml:space="preserve"> GRC</w:t>
      </w:r>
      <w:r>
        <w:rPr>
          <w:lang w:val="fr-CA"/>
        </w:rPr>
        <w:t>.</w:t>
      </w:r>
      <w:r w:rsidR="006B1004">
        <w:rPr>
          <w:lang w:val="fr-CA"/>
        </w:rPr>
        <w:t xml:space="preserve"> </w:t>
      </w:r>
    </w:p>
    <w:p w14:paraId="2A8FAB6E" w14:textId="46D2516E" w:rsidR="00453574" w:rsidRDefault="006B1004" w:rsidP="006B1004">
      <w:pPr>
        <w:pStyle w:val="SCCNormalDoubleSpacing"/>
        <w:spacing w:after="480"/>
        <w:rPr>
          <w:szCs w:val="24"/>
          <w:lang w:val="fr-CA"/>
        </w:rPr>
      </w:pPr>
      <w:r>
        <w:rPr>
          <w:szCs w:val="24"/>
          <w:lang w:val="fr-CA"/>
        </w:rPr>
        <w:tab/>
      </w:r>
      <w:r w:rsidR="001D4539">
        <w:rPr>
          <w:szCs w:val="24"/>
          <w:lang w:val="fr-CA"/>
        </w:rPr>
        <w:t>Suivant une</w:t>
      </w:r>
      <w:r w:rsidR="00453574" w:rsidRPr="00812820">
        <w:rPr>
          <w:lang w:val="fr-CA"/>
        </w:rPr>
        <w:t xml:space="preserve"> évaluation adéquate, la demande fondée sur le </w:t>
      </w:r>
      <w:r w:rsidR="00453574">
        <w:rPr>
          <w:lang w:val="fr-CA"/>
        </w:rPr>
        <w:t>par. </w:t>
      </w:r>
      <w:r w:rsidR="00453574" w:rsidRPr="00812820">
        <w:rPr>
          <w:lang w:val="fr-CA"/>
        </w:rPr>
        <w:t xml:space="preserve">15(1) </w:t>
      </w:r>
      <w:r w:rsidR="00453574">
        <w:rPr>
          <w:lang w:val="fr-CA"/>
        </w:rPr>
        <w:t xml:space="preserve">est </w:t>
      </w:r>
      <w:r w:rsidR="001D4539">
        <w:rPr>
          <w:lang w:val="fr-CA"/>
        </w:rPr>
        <w:t>couronnée de succès</w:t>
      </w:r>
      <w:r w:rsidR="00453574" w:rsidRPr="00BB1BB2">
        <w:rPr>
          <w:szCs w:val="24"/>
          <w:lang w:val="fr-CA"/>
        </w:rPr>
        <w:t xml:space="preserve">. </w:t>
      </w:r>
      <w:r w:rsidR="00453574">
        <w:rPr>
          <w:szCs w:val="24"/>
          <w:lang w:val="fr-CA"/>
        </w:rPr>
        <w:t>L</w:t>
      </w:r>
      <w:r w:rsidR="00453574" w:rsidRPr="00970E76">
        <w:rPr>
          <w:lang w:val="fr-CA"/>
        </w:rPr>
        <w:t xml:space="preserve">e fait de se baser sur la réduction temporaire des heures de travail d’un membre de la GRC pour imposer des conséquences moins avantageuses </w:t>
      </w:r>
      <w:r w:rsidR="00453574" w:rsidRPr="00970E76">
        <w:rPr>
          <w:lang w:val="fr-CA"/>
        </w:rPr>
        <w:lastRenderedPageBreak/>
        <w:t>en matière de pension a clairement un effet disproportionné sur les femmes</w:t>
      </w:r>
      <w:r w:rsidR="00453574">
        <w:rPr>
          <w:lang w:val="fr-CA"/>
        </w:rPr>
        <w:t xml:space="preserve">. </w:t>
      </w:r>
      <w:r w:rsidR="00453574" w:rsidRPr="00332ABB">
        <w:rPr>
          <w:lang w:val="fr-CA"/>
        </w:rPr>
        <w:t xml:space="preserve">Les éléments de preuve pertinents ont démontré que </w:t>
      </w:r>
      <w:r w:rsidR="00453574">
        <w:rPr>
          <w:lang w:val="fr-CA"/>
        </w:rPr>
        <w:t>l</w:t>
      </w:r>
      <w:r w:rsidR="00453574" w:rsidRPr="00667534">
        <w:rPr>
          <w:lang w:val="fr-CA"/>
        </w:rPr>
        <w:t>es membres de la GRC qui ont réduit leurs heures de travail en participant au programme de partage de poste étaient principalement des femmes ayant de jeunes enfants</w:t>
      </w:r>
      <w:r w:rsidR="00453574">
        <w:rPr>
          <w:lang w:val="fr-CA"/>
        </w:rPr>
        <w:t xml:space="preserve">. </w:t>
      </w:r>
      <w:r w:rsidR="00453574" w:rsidRPr="00667534">
        <w:rPr>
          <w:lang w:val="fr-CA"/>
        </w:rPr>
        <w:t xml:space="preserve">Ces statistiques ont été renforcées par des éléments de preuve convaincants sur les désavantages auxquels les femmes font face en tant que </w:t>
      </w:r>
      <w:r w:rsidR="00453574" w:rsidRPr="00970E76">
        <w:rPr>
          <w:lang w:val="fr-CA"/>
        </w:rPr>
        <w:t>groupe lorsqu’elles concilient leur vie professionnelle et les travaux ménagers</w:t>
      </w:r>
      <w:r w:rsidR="00453574" w:rsidRPr="00A47F0B">
        <w:rPr>
          <w:szCs w:val="24"/>
          <w:lang w:val="fr-CA"/>
        </w:rPr>
        <w:t xml:space="preserve">. </w:t>
      </w:r>
      <w:r w:rsidR="00453574" w:rsidRPr="002714D8">
        <w:rPr>
          <w:szCs w:val="24"/>
          <w:lang w:val="fr-CA"/>
        </w:rPr>
        <w:t xml:space="preserve">Cette preuve établit </w:t>
      </w:r>
      <w:r w:rsidR="00453574" w:rsidRPr="002714D8">
        <w:rPr>
          <w:lang w:val="fr-CA"/>
        </w:rPr>
        <w:t xml:space="preserve">un lien clair entre les femmes et des heures de travail moindres ou instables, et démontre que </w:t>
      </w:r>
      <w:r w:rsidR="00453574" w:rsidRPr="00DD5AD6">
        <w:rPr>
          <w:lang w:val="fr-CA"/>
        </w:rPr>
        <w:t xml:space="preserve">le fait pour la GRC de se baser sur la réduction temporaire des heures de travail d’un de ses membres pour imposer des conséquences moins avantageuses en matière de pension a un effet </w:t>
      </w:r>
      <w:r w:rsidR="00453574">
        <w:rPr>
          <w:lang w:val="fr-CA"/>
        </w:rPr>
        <w:t xml:space="preserve">préjudiciable </w:t>
      </w:r>
      <w:r w:rsidR="00453574" w:rsidRPr="00DD5AD6">
        <w:rPr>
          <w:lang w:val="fr-CA"/>
        </w:rPr>
        <w:t>sur les femmes</w:t>
      </w:r>
      <w:r w:rsidR="00453574">
        <w:rPr>
          <w:lang w:val="fr-CA"/>
        </w:rPr>
        <w:t>.</w:t>
      </w:r>
      <w:r>
        <w:rPr>
          <w:lang w:val="fr-CA"/>
        </w:rPr>
        <w:t xml:space="preserve"> </w:t>
      </w:r>
    </w:p>
    <w:p w14:paraId="5DA66EDD" w14:textId="0D8ACE6B" w:rsidR="00453574" w:rsidRPr="00A32C0E" w:rsidRDefault="006B1004" w:rsidP="006B1004">
      <w:pPr>
        <w:pStyle w:val="SCCNormalDoubleSpacing"/>
        <w:spacing w:after="480"/>
        <w:rPr>
          <w:szCs w:val="24"/>
          <w:lang w:val="fr-CA"/>
        </w:rPr>
      </w:pPr>
      <w:r>
        <w:rPr>
          <w:szCs w:val="24"/>
          <w:lang w:val="fr-CA"/>
        </w:rPr>
        <w:tab/>
      </w:r>
      <w:r w:rsidR="00453574" w:rsidRPr="00A32C0E">
        <w:rPr>
          <w:szCs w:val="24"/>
          <w:lang w:val="fr-CA"/>
        </w:rPr>
        <w:t xml:space="preserve">Cet effet préjudiciable </w:t>
      </w:r>
      <w:r w:rsidR="00453574" w:rsidRPr="00A32C0E">
        <w:rPr>
          <w:lang w:val="fr-CA"/>
        </w:rPr>
        <w:t>perpétue une source de désavantage de longue date pour les femmes </w:t>
      </w:r>
      <w:r w:rsidR="00453574" w:rsidRPr="00A32C0E">
        <w:rPr>
          <w:szCs w:val="24"/>
          <w:lang w:val="fr-CA"/>
        </w:rPr>
        <w:t xml:space="preserve">: </w:t>
      </w:r>
      <w:r w:rsidR="00453574" w:rsidRPr="00667534">
        <w:rPr>
          <w:lang w:val="fr-CA"/>
        </w:rPr>
        <w:t>les préjugés fondés sur le sexe</w:t>
      </w:r>
      <w:r w:rsidR="00453574">
        <w:rPr>
          <w:lang w:val="fr-CA"/>
        </w:rPr>
        <w:t xml:space="preserve"> ancrés dans les régimes de pension</w:t>
      </w:r>
      <w:r w:rsidR="00453574" w:rsidRPr="00667534">
        <w:rPr>
          <w:lang w:val="fr-CA"/>
        </w:rPr>
        <w:t>, qui favorisent depuis toujou</w:t>
      </w:r>
      <w:r w:rsidR="00453574" w:rsidRPr="00DD5AD6">
        <w:rPr>
          <w:lang w:val="fr-CA"/>
        </w:rPr>
        <w:t>rs les employés à temps plein à revenu moyen et élevé comptant</w:t>
      </w:r>
      <w:r w:rsidR="00453574">
        <w:rPr>
          <w:lang w:val="fr-CA"/>
        </w:rPr>
        <w:t xml:space="preserve"> </w:t>
      </w:r>
      <w:r w:rsidR="00453574" w:rsidRPr="00667534">
        <w:rPr>
          <w:lang w:val="fr-CA"/>
        </w:rPr>
        <w:t>de nombreuses années de services, habituellement des hommes</w:t>
      </w:r>
      <w:r w:rsidR="00453574">
        <w:rPr>
          <w:lang w:val="fr-CA"/>
        </w:rPr>
        <w:t xml:space="preserve">. </w:t>
      </w:r>
      <w:r w:rsidR="00453574" w:rsidRPr="00F7552D">
        <w:rPr>
          <w:lang w:val="fr-CA"/>
        </w:rPr>
        <w:t>Comme le modèle de</w:t>
      </w:r>
      <w:r w:rsidR="00453574">
        <w:rPr>
          <w:lang w:val="fr-CA"/>
        </w:rPr>
        <w:t xml:space="preserve"> pension de</w:t>
      </w:r>
      <w:r w:rsidR="00453574" w:rsidRPr="00F7552D">
        <w:rPr>
          <w:lang w:val="fr-CA"/>
        </w:rPr>
        <w:t xml:space="preserve"> la GRC perpétue une source de désavantage é</w:t>
      </w:r>
      <w:r w:rsidR="00453574" w:rsidRPr="002B1277">
        <w:rPr>
          <w:lang w:val="fr-CA"/>
        </w:rPr>
        <w:t>conomique de longue date pour les femmes, il y a, à première vue, violation de l’</w:t>
      </w:r>
      <w:r w:rsidR="00453574">
        <w:rPr>
          <w:lang w:val="fr-CA"/>
        </w:rPr>
        <w:t>art. </w:t>
      </w:r>
      <w:r w:rsidR="00453574" w:rsidRPr="002B1277">
        <w:rPr>
          <w:lang w:val="fr-CA"/>
        </w:rPr>
        <w:t>15 sur la base du motif énuméré que constitue le</w:t>
      </w:r>
      <w:r w:rsidR="00453574">
        <w:rPr>
          <w:lang w:val="fr-CA"/>
        </w:rPr>
        <w:t xml:space="preserve"> </w:t>
      </w:r>
      <w:r w:rsidR="00453574" w:rsidRPr="00F7552D">
        <w:rPr>
          <w:lang w:val="fr-CA"/>
        </w:rPr>
        <w:t>sexe</w:t>
      </w:r>
      <w:r w:rsidR="00453574">
        <w:rPr>
          <w:lang w:val="fr-CA"/>
        </w:rPr>
        <w:t>.</w:t>
      </w:r>
      <w:r>
        <w:rPr>
          <w:lang w:val="fr-CA"/>
        </w:rPr>
        <w:t xml:space="preserve"> </w:t>
      </w:r>
    </w:p>
    <w:p w14:paraId="476B684E" w14:textId="7E803940" w:rsidR="00453574" w:rsidRPr="00EB33E4" w:rsidRDefault="006B1004" w:rsidP="006B1004">
      <w:pPr>
        <w:pStyle w:val="SCCNormalDoubleSpacing"/>
        <w:spacing w:after="480"/>
        <w:rPr>
          <w:szCs w:val="24"/>
          <w:lang w:val="fr-CA"/>
        </w:rPr>
      </w:pPr>
      <w:r>
        <w:rPr>
          <w:szCs w:val="24"/>
          <w:lang w:val="fr-CA"/>
        </w:rPr>
        <w:tab/>
      </w:r>
      <w:r w:rsidR="00453574" w:rsidRPr="00197623">
        <w:rPr>
          <w:szCs w:val="24"/>
          <w:lang w:val="fr-CA"/>
        </w:rPr>
        <w:t xml:space="preserve">L’article premier </w:t>
      </w:r>
      <w:r w:rsidR="00453574" w:rsidRPr="00667534">
        <w:rPr>
          <w:lang w:val="fr-CA"/>
        </w:rPr>
        <w:t xml:space="preserve">permet à l’État </w:t>
      </w:r>
      <w:r w:rsidR="00453574" w:rsidRPr="00DA4AA9">
        <w:rPr>
          <w:lang w:val="fr-CA"/>
        </w:rPr>
        <w:t xml:space="preserve">d’imposer, à l’égard d’un droit garanti par la </w:t>
      </w:r>
      <w:r w:rsidR="00453574" w:rsidRPr="00DA4AA9">
        <w:rPr>
          <w:i/>
          <w:lang w:val="fr-CA"/>
        </w:rPr>
        <w:t>Charte</w:t>
      </w:r>
      <w:r w:rsidR="00453574" w:rsidRPr="00DA4AA9">
        <w:rPr>
          <w:lang w:val="fr-CA"/>
        </w:rPr>
        <w:t>, une limite dont la justification peut</w:t>
      </w:r>
      <w:r w:rsidR="00453574" w:rsidRPr="00667534">
        <w:rPr>
          <w:lang w:val="fr-CA"/>
        </w:rPr>
        <w:t xml:space="preserve"> se démontrer dans le cadre d’une société libre et démocratique</w:t>
      </w:r>
      <w:r w:rsidR="00453574" w:rsidRPr="00197623">
        <w:rPr>
          <w:szCs w:val="24"/>
          <w:lang w:val="fr-CA"/>
        </w:rPr>
        <w:t xml:space="preserve">. </w:t>
      </w:r>
      <w:r w:rsidR="00453574" w:rsidRPr="00667534">
        <w:rPr>
          <w:lang w:val="fr-CA"/>
        </w:rPr>
        <w:t>Tout d’abord, l’État doit é</w:t>
      </w:r>
      <w:r w:rsidR="00453574">
        <w:rPr>
          <w:lang w:val="fr-CA"/>
        </w:rPr>
        <w:t>noncer</w:t>
      </w:r>
      <w:r w:rsidR="00453574" w:rsidRPr="00667534">
        <w:rPr>
          <w:lang w:val="fr-CA"/>
        </w:rPr>
        <w:t xml:space="preserve"> un objectif réel et urgent pour </w:t>
      </w:r>
      <w:r w:rsidR="00453574" w:rsidRPr="00DA4AA9">
        <w:rPr>
          <w:lang w:val="fr-CA"/>
        </w:rPr>
        <w:t xml:space="preserve">limiter le droit garanti par la </w:t>
      </w:r>
      <w:r w:rsidR="00453574" w:rsidRPr="00DA4AA9">
        <w:rPr>
          <w:i/>
          <w:lang w:val="fr-CA"/>
        </w:rPr>
        <w:t>Cha</w:t>
      </w:r>
      <w:r w:rsidR="00453574">
        <w:rPr>
          <w:i/>
          <w:lang w:val="fr-CA"/>
        </w:rPr>
        <w:t>rte</w:t>
      </w:r>
      <w:r w:rsidR="00453574" w:rsidRPr="00DE0E18">
        <w:rPr>
          <w:szCs w:val="24"/>
          <w:lang w:val="fr-CA"/>
        </w:rPr>
        <w:t xml:space="preserve">. </w:t>
      </w:r>
      <w:r w:rsidR="00453574">
        <w:rPr>
          <w:szCs w:val="24"/>
          <w:lang w:val="fr-CA"/>
        </w:rPr>
        <w:t>L</w:t>
      </w:r>
      <w:r w:rsidR="00453574" w:rsidRPr="0094278C">
        <w:rPr>
          <w:lang w:val="fr-CA"/>
        </w:rPr>
        <w:t xml:space="preserve">e procureur général n’a pas identifié de </w:t>
      </w:r>
      <w:r w:rsidR="00453574" w:rsidRPr="0094278C">
        <w:rPr>
          <w:lang w:val="fr-CA"/>
        </w:rPr>
        <w:lastRenderedPageBreak/>
        <w:t>considération d’intérêt général, de principe ou d’objectif urgent et réel expliquant pourquoi les employés qui partagent un poste ne devraient pas se voir accorder le droit de racheter des périodes de service à temps plein ouvrant droit à pension</w:t>
      </w:r>
      <w:r w:rsidR="00453574">
        <w:rPr>
          <w:lang w:val="fr-CA"/>
        </w:rPr>
        <w:t xml:space="preserve">. </w:t>
      </w:r>
      <w:r w:rsidR="00453574" w:rsidRPr="0094278C">
        <w:rPr>
          <w:lang w:val="fr-CA"/>
        </w:rPr>
        <w:t>Au contraire, cette restriction est entièrement sans rapport avec les objectifs du régime de partage de poste et des</w:t>
      </w:r>
      <w:r w:rsidR="00453574">
        <w:rPr>
          <w:lang w:val="fr-CA"/>
        </w:rPr>
        <w:t xml:space="preserve"> dispositions de rachat. </w:t>
      </w:r>
      <w:r w:rsidR="00453574" w:rsidRPr="00667534">
        <w:rPr>
          <w:lang w:val="fr-CA"/>
        </w:rPr>
        <w:t xml:space="preserve">Le programme de partage de poste visait clairement à remplacer les congés </w:t>
      </w:r>
      <w:r w:rsidR="00453574">
        <w:rPr>
          <w:lang w:val="fr-CA"/>
        </w:rPr>
        <w:t xml:space="preserve">non payés </w:t>
      </w:r>
      <w:r w:rsidR="00453574" w:rsidRPr="00667534">
        <w:rPr>
          <w:lang w:val="fr-CA"/>
        </w:rPr>
        <w:t>pour les membres qui ne pouvaient pas prendre de tels congés en raison de circonsta</w:t>
      </w:r>
      <w:r w:rsidR="00453574">
        <w:rPr>
          <w:lang w:val="fr-CA"/>
        </w:rPr>
        <w:t>nces personnelles ou familiales</w:t>
      </w:r>
      <w:r w:rsidR="00453574" w:rsidRPr="00BA44F4">
        <w:rPr>
          <w:szCs w:val="24"/>
          <w:lang w:val="fr-CA"/>
        </w:rPr>
        <w:t xml:space="preserve">. </w:t>
      </w:r>
      <w:r w:rsidR="00453574" w:rsidRPr="00667534">
        <w:rPr>
          <w:lang w:val="fr-CA"/>
        </w:rPr>
        <w:t>Il est donc dif</w:t>
      </w:r>
      <w:r w:rsidR="001D4539">
        <w:rPr>
          <w:lang w:val="fr-CA"/>
        </w:rPr>
        <w:t>ficile de comprendre pourquoi le régime de retraite</w:t>
      </w:r>
      <w:r w:rsidR="00453574" w:rsidRPr="00667534">
        <w:rPr>
          <w:lang w:val="fr-CA"/>
        </w:rPr>
        <w:t xml:space="preserve"> traitait les deux formes de réduction des heures de travail différemment pour ce qui est des droits de rachat du service ouvrant droit à pension</w:t>
      </w:r>
      <w:r w:rsidR="00453574">
        <w:rPr>
          <w:szCs w:val="24"/>
          <w:lang w:val="fr-CA"/>
        </w:rPr>
        <w:t>. L</w:t>
      </w:r>
      <w:r w:rsidR="00453574" w:rsidRPr="0094278C">
        <w:rPr>
          <w:lang w:val="fr-CA"/>
        </w:rPr>
        <w:t>e gouvernement n’a</w:t>
      </w:r>
      <w:r w:rsidR="00453574">
        <w:rPr>
          <w:lang w:val="fr-CA"/>
        </w:rPr>
        <w:t xml:space="preserve"> </w:t>
      </w:r>
      <w:r w:rsidR="00453574" w:rsidRPr="0094278C">
        <w:rPr>
          <w:lang w:val="fr-CA"/>
        </w:rPr>
        <w:t xml:space="preserve">pas présenté d’objectif convaincant pour justifier </w:t>
      </w:r>
      <w:r w:rsidR="00453574">
        <w:rPr>
          <w:lang w:val="fr-CA"/>
        </w:rPr>
        <w:t>cette différence de traitement.</w:t>
      </w:r>
      <w:r>
        <w:rPr>
          <w:lang w:val="fr-CA"/>
        </w:rPr>
        <w:t xml:space="preserve"> </w:t>
      </w:r>
    </w:p>
    <w:p w14:paraId="0DC48377" w14:textId="56048C5B" w:rsidR="00453574" w:rsidRPr="006B1004" w:rsidRDefault="006B1004" w:rsidP="006B1004">
      <w:pPr>
        <w:pStyle w:val="SCCNormalDoubleSpacing"/>
        <w:spacing w:after="480"/>
        <w:rPr>
          <w:szCs w:val="24"/>
          <w:lang w:val="fr-CA"/>
        </w:rPr>
      </w:pPr>
      <w:r>
        <w:rPr>
          <w:lang w:val="fr-CA"/>
        </w:rPr>
        <w:tab/>
      </w:r>
      <w:r w:rsidR="00453574" w:rsidRPr="00667534">
        <w:rPr>
          <w:lang w:val="fr-CA"/>
        </w:rPr>
        <w:t>Puisque la violation à première vue ne peut se justifier au regard de l’</w:t>
      </w:r>
      <w:r w:rsidR="00453574">
        <w:rPr>
          <w:lang w:val="fr-CA"/>
        </w:rPr>
        <w:t xml:space="preserve">article </w:t>
      </w:r>
      <w:r w:rsidR="00453574" w:rsidRPr="00667534">
        <w:rPr>
          <w:lang w:val="fr-CA"/>
        </w:rPr>
        <w:t xml:space="preserve">premier, </w:t>
      </w:r>
      <w:r w:rsidR="001D4539">
        <w:rPr>
          <w:lang w:val="fr-CA"/>
        </w:rPr>
        <w:t>le fait</w:t>
      </w:r>
      <w:r w:rsidR="00453574" w:rsidRPr="00667534">
        <w:rPr>
          <w:lang w:val="fr-CA"/>
        </w:rPr>
        <w:t xml:space="preserve"> </w:t>
      </w:r>
      <w:r w:rsidR="001D4539">
        <w:rPr>
          <w:lang w:val="fr-CA"/>
        </w:rPr>
        <w:t>d’</w:t>
      </w:r>
      <w:r w:rsidR="00453574" w:rsidRPr="00667534">
        <w:rPr>
          <w:lang w:val="fr-CA"/>
        </w:rPr>
        <w:t>empêche</w:t>
      </w:r>
      <w:r w:rsidR="001D4539">
        <w:rPr>
          <w:lang w:val="fr-CA"/>
        </w:rPr>
        <w:t>r</w:t>
      </w:r>
      <w:r w:rsidR="00453574" w:rsidRPr="00667534">
        <w:rPr>
          <w:lang w:val="fr-CA"/>
        </w:rPr>
        <w:t xml:space="preserve"> </w:t>
      </w:r>
      <w:r w:rsidR="00453574">
        <w:rPr>
          <w:lang w:val="fr-CA"/>
        </w:rPr>
        <w:t xml:space="preserve">les demanderesses et leurs </w:t>
      </w:r>
      <w:r w:rsidR="00453574" w:rsidRPr="00667534">
        <w:rPr>
          <w:lang w:val="fr-CA"/>
        </w:rPr>
        <w:t>collègues de racheter leur service à temps plein ouvrant droit à pension</w:t>
      </w:r>
      <w:r w:rsidR="001D4539">
        <w:rPr>
          <w:lang w:val="fr-CA"/>
        </w:rPr>
        <w:t xml:space="preserve"> constitue </w:t>
      </w:r>
      <w:r w:rsidR="001D4539" w:rsidRPr="00667534">
        <w:rPr>
          <w:lang w:val="fr-CA"/>
        </w:rPr>
        <w:t>une violation d</w:t>
      </w:r>
      <w:r w:rsidR="001D4539">
        <w:rPr>
          <w:lang w:val="fr-CA"/>
        </w:rPr>
        <w:t>u par. 15(1)</w:t>
      </w:r>
      <w:r w:rsidR="00453574">
        <w:rPr>
          <w:lang w:val="fr-CA"/>
        </w:rPr>
        <w:t xml:space="preserve">. </w:t>
      </w:r>
      <w:r w:rsidR="00453574">
        <w:rPr>
          <w:szCs w:val="24"/>
          <w:lang w:val="fr-CA"/>
        </w:rPr>
        <w:t>L</w:t>
      </w:r>
      <w:r w:rsidR="00453574" w:rsidRPr="00EA18D0">
        <w:rPr>
          <w:lang w:val="fr-CA"/>
        </w:rPr>
        <w:t xml:space="preserve">a réparation appropriée consiste à déclarer qu’il y a eu violation des droits garantis par le </w:t>
      </w:r>
      <w:r w:rsidR="00453574">
        <w:rPr>
          <w:lang w:val="fr-CA"/>
        </w:rPr>
        <w:t>par. </w:t>
      </w:r>
      <w:r w:rsidR="00453574" w:rsidRPr="00EA18D0">
        <w:rPr>
          <w:lang w:val="fr-CA"/>
        </w:rPr>
        <w:t>15(1)</w:t>
      </w:r>
      <w:r w:rsidR="00453574">
        <w:rPr>
          <w:lang w:val="fr-CA"/>
        </w:rPr>
        <w:t xml:space="preserve"> aux </w:t>
      </w:r>
      <w:r w:rsidR="00453574" w:rsidRPr="00EA18D0">
        <w:rPr>
          <w:lang w:val="fr-CA"/>
        </w:rPr>
        <w:t>membres à temps plein de la GRC qui réduisent temporairement leurs heures de travail dans le cadre d’une entente de partage de poste</w:t>
      </w:r>
      <w:r w:rsidR="00453574">
        <w:rPr>
          <w:lang w:val="fr-CA"/>
        </w:rPr>
        <w:t xml:space="preserve">, </w:t>
      </w:r>
      <w:r w:rsidR="00453574" w:rsidRPr="00EA18D0">
        <w:rPr>
          <w:lang w:val="fr-CA"/>
        </w:rPr>
        <w:t>du fait de l’incapacité de ces membres de racheter leur période de service à temps plein ouvrant droit à pension</w:t>
      </w:r>
      <w:r w:rsidR="00453574">
        <w:rPr>
          <w:szCs w:val="24"/>
          <w:lang w:val="fr-CA"/>
        </w:rPr>
        <w:t xml:space="preserve">. </w:t>
      </w:r>
    </w:p>
    <w:p w14:paraId="46F41943" w14:textId="455F60C0" w:rsidR="00453574" w:rsidRPr="004F483D" w:rsidRDefault="00453574" w:rsidP="00453574">
      <w:pPr>
        <w:pStyle w:val="SCCNormalDoubleSpacing"/>
        <w:spacing w:after="480"/>
        <w:rPr>
          <w:lang w:val="fr-CA"/>
        </w:rPr>
      </w:pPr>
      <w:r w:rsidRPr="00AA62F7">
        <w:rPr>
          <w:i/>
          <w:lang w:val="fr-CA"/>
        </w:rPr>
        <w:tab/>
      </w:r>
      <w:r w:rsidRPr="0013445A">
        <w:rPr>
          <w:i/>
          <w:lang w:val="fr-CA"/>
        </w:rPr>
        <w:t xml:space="preserve">Les </w:t>
      </w:r>
      <w:r w:rsidRPr="0013445A">
        <w:rPr>
          <w:lang w:val="fr-CA"/>
        </w:rPr>
        <w:t xml:space="preserve">juges </w:t>
      </w:r>
      <w:r w:rsidRPr="00E034AE">
        <w:rPr>
          <w:lang w:val="fr-CA"/>
        </w:rPr>
        <w:t>Brown</w:t>
      </w:r>
      <w:r w:rsidRPr="0013445A">
        <w:rPr>
          <w:lang w:val="fr-CA"/>
        </w:rPr>
        <w:t xml:space="preserve"> et </w:t>
      </w:r>
      <w:r w:rsidRPr="00E034AE">
        <w:rPr>
          <w:lang w:val="fr-CA"/>
        </w:rPr>
        <w:t>Rowe</w:t>
      </w:r>
      <w:r w:rsidRPr="0013445A">
        <w:rPr>
          <w:lang w:val="fr-CA"/>
        </w:rPr>
        <w:t xml:space="preserve"> </w:t>
      </w:r>
      <w:r w:rsidR="001D4539">
        <w:rPr>
          <w:lang w:val="fr-CA"/>
        </w:rPr>
        <w:t xml:space="preserve">(dissidents) </w:t>
      </w:r>
      <w:r w:rsidRPr="0013445A">
        <w:rPr>
          <w:lang w:val="fr-CA"/>
        </w:rPr>
        <w:t xml:space="preserve">: </w:t>
      </w:r>
      <w:r>
        <w:rPr>
          <w:lang w:val="fr-CA"/>
        </w:rPr>
        <w:t>L</w:t>
      </w:r>
      <w:r w:rsidRPr="00A40313">
        <w:rPr>
          <w:lang w:val="fr-CA"/>
        </w:rPr>
        <w:t xml:space="preserve">e régime </w:t>
      </w:r>
      <w:r>
        <w:rPr>
          <w:lang w:val="fr-CA"/>
        </w:rPr>
        <w:t xml:space="preserve">de pension de la GRC ne </w:t>
      </w:r>
      <w:r w:rsidRPr="00A40313">
        <w:rPr>
          <w:lang w:val="fr-CA"/>
        </w:rPr>
        <w:t xml:space="preserve">viole </w:t>
      </w:r>
      <w:r>
        <w:rPr>
          <w:lang w:val="fr-CA"/>
        </w:rPr>
        <w:t xml:space="preserve">pas </w:t>
      </w:r>
      <w:r w:rsidR="006B1004">
        <w:rPr>
          <w:lang w:val="fr-CA"/>
        </w:rPr>
        <w:t>l’art. </w:t>
      </w:r>
      <w:r w:rsidRPr="00A40313">
        <w:rPr>
          <w:lang w:val="fr-CA"/>
        </w:rPr>
        <w:t xml:space="preserve">15 de la </w:t>
      </w:r>
      <w:r w:rsidRPr="007A6D20">
        <w:rPr>
          <w:i/>
          <w:iCs/>
          <w:lang w:val="fr-CA"/>
        </w:rPr>
        <w:t>Charte</w:t>
      </w:r>
      <w:r w:rsidRPr="00A40313">
        <w:rPr>
          <w:i/>
          <w:lang w:val="fr-CA"/>
        </w:rPr>
        <w:t xml:space="preserve"> </w:t>
      </w:r>
      <w:r w:rsidRPr="00A40313">
        <w:rPr>
          <w:lang w:val="fr-CA"/>
        </w:rPr>
        <w:t xml:space="preserve">dans la façon dont il </w:t>
      </w:r>
      <w:r w:rsidRPr="00B02EDE">
        <w:rPr>
          <w:lang w:val="fr-CA"/>
        </w:rPr>
        <w:t>s’applique aux membres qui</w:t>
      </w:r>
      <w:r w:rsidR="001D4539">
        <w:rPr>
          <w:lang w:val="fr-CA"/>
        </w:rPr>
        <w:t xml:space="preserve"> </w:t>
      </w:r>
      <w:r w:rsidR="001D4539">
        <w:rPr>
          <w:lang w:val="fr-CA"/>
        </w:rPr>
        <w:lastRenderedPageBreak/>
        <w:t>partagent un poste</w:t>
      </w:r>
      <w:r w:rsidRPr="00A40313">
        <w:rPr>
          <w:lang w:val="fr-CA"/>
        </w:rPr>
        <w:t xml:space="preserve"> </w:t>
      </w:r>
      <w:r>
        <w:rPr>
          <w:lang w:val="fr-CA"/>
        </w:rPr>
        <w:t xml:space="preserve">parce qu’il leur refuse </w:t>
      </w:r>
      <w:r w:rsidRPr="00A40313">
        <w:rPr>
          <w:lang w:val="fr-CA"/>
        </w:rPr>
        <w:t>le droit d’accumuler des périodes de service à temps plein ouvrant droit à pension pour les périodes où ils partagent un poste pour s’occuper de leurs enfants</w:t>
      </w:r>
      <w:r>
        <w:rPr>
          <w:lang w:val="fr-CA"/>
        </w:rPr>
        <w:t xml:space="preserve">. </w:t>
      </w:r>
      <w:r w:rsidRPr="0013445A">
        <w:rPr>
          <w:lang w:val="fr-CA"/>
        </w:rPr>
        <w:t xml:space="preserve">Bien que </w:t>
      </w:r>
      <w:r w:rsidRPr="00A40313">
        <w:rPr>
          <w:lang w:val="fr-CA"/>
        </w:rPr>
        <w:t xml:space="preserve">le régime </w:t>
      </w:r>
      <w:r>
        <w:rPr>
          <w:lang w:val="fr-CA"/>
        </w:rPr>
        <w:t xml:space="preserve">de pension </w:t>
      </w:r>
      <w:r w:rsidRPr="00A40313">
        <w:rPr>
          <w:lang w:val="fr-CA"/>
        </w:rPr>
        <w:t>crée une distinction qui, de par son effet, est fondée sur le sexe</w:t>
      </w:r>
      <w:r w:rsidRPr="0013445A">
        <w:rPr>
          <w:lang w:val="fr-CA"/>
        </w:rPr>
        <w:t xml:space="preserve">, </w:t>
      </w:r>
      <w:r>
        <w:rPr>
          <w:lang w:val="fr-CA"/>
        </w:rPr>
        <w:t xml:space="preserve">il </w:t>
      </w:r>
      <w:r w:rsidRPr="00A40313">
        <w:rPr>
          <w:lang w:val="fr-CA"/>
        </w:rPr>
        <w:t>ne saurait avoir pour conséquence d’entraver les mesures prises par l’État pour corriger des inégalités historiques</w:t>
      </w:r>
      <w:r>
        <w:rPr>
          <w:lang w:val="fr-CA"/>
        </w:rPr>
        <w:t>. L</w:t>
      </w:r>
      <w:r w:rsidRPr="00A40313">
        <w:rPr>
          <w:lang w:val="fr-CA"/>
        </w:rPr>
        <w:t xml:space="preserve">es désavantages que subissent les </w:t>
      </w:r>
      <w:r>
        <w:rPr>
          <w:lang w:val="fr-CA"/>
        </w:rPr>
        <w:t xml:space="preserve">demanderesses ne sont pas </w:t>
      </w:r>
      <w:r w:rsidRPr="00A40313">
        <w:rPr>
          <w:lang w:val="fr-CA"/>
        </w:rPr>
        <w:t xml:space="preserve">causés par les dispositions contestées ou par une quelconque mesure gouvernementale, mais par la répartition inégale des responsabilités domestiques et familiales et par des facteurs sociaux </w:t>
      </w:r>
      <w:r>
        <w:rPr>
          <w:lang w:val="fr-CA"/>
        </w:rPr>
        <w:t xml:space="preserve">comme </w:t>
      </w:r>
      <w:r w:rsidRPr="00A40313">
        <w:rPr>
          <w:lang w:val="fr-CA"/>
        </w:rPr>
        <w:t>l’accès à des garderies de qualité</w:t>
      </w:r>
      <w:r>
        <w:rPr>
          <w:lang w:val="fr-CA"/>
        </w:rPr>
        <w:t xml:space="preserve">. </w:t>
      </w:r>
      <w:r w:rsidRPr="004F483D">
        <w:rPr>
          <w:lang w:val="fr-CA"/>
        </w:rPr>
        <w:t>L’égalité réelle est devenu</w:t>
      </w:r>
      <w:r>
        <w:rPr>
          <w:lang w:val="fr-CA"/>
        </w:rPr>
        <w:t>e</w:t>
      </w:r>
      <w:r w:rsidRPr="004F483D">
        <w:rPr>
          <w:lang w:val="fr-CA"/>
        </w:rPr>
        <w:t xml:space="preserve"> </w:t>
      </w:r>
      <w:r w:rsidRPr="00A40313">
        <w:rPr>
          <w:lang w:val="fr-CA"/>
        </w:rPr>
        <w:t xml:space="preserve">pratiquement malléable à l’infini, ce qui permet aux juges de s’en servir comme prétexte </w:t>
      </w:r>
      <w:r>
        <w:rPr>
          <w:lang w:val="fr-CA"/>
        </w:rPr>
        <w:t xml:space="preserve">théorique </w:t>
      </w:r>
      <w:r w:rsidRPr="00A40313">
        <w:rPr>
          <w:lang w:val="fr-CA"/>
        </w:rPr>
        <w:t xml:space="preserve">pour justifier leurs préférences personnelles en matière de principes lorsqu’ils </w:t>
      </w:r>
      <w:r>
        <w:rPr>
          <w:lang w:val="fr-CA"/>
        </w:rPr>
        <w:t xml:space="preserve">statuent sur </w:t>
      </w:r>
      <w:r w:rsidRPr="00A40313">
        <w:rPr>
          <w:lang w:val="fr-CA"/>
        </w:rPr>
        <w:t>une affaire donnée</w:t>
      </w:r>
      <w:r>
        <w:rPr>
          <w:lang w:val="fr-CA"/>
        </w:rPr>
        <w:t xml:space="preserve">. </w:t>
      </w:r>
      <w:r w:rsidRPr="004F483D">
        <w:rPr>
          <w:lang w:val="fr-CA"/>
        </w:rPr>
        <w:t xml:space="preserve">Ce pouvoir discrétionnaire </w:t>
      </w:r>
      <w:r w:rsidRPr="00A40313">
        <w:rPr>
          <w:lang w:val="fr-CA"/>
        </w:rPr>
        <w:t>n</w:t>
      </w:r>
      <w:r>
        <w:rPr>
          <w:lang w:val="fr-CA"/>
        </w:rPr>
        <w:t xml:space="preserve">e respecte </w:t>
      </w:r>
      <w:r w:rsidRPr="00A40313">
        <w:rPr>
          <w:lang w:val="fr-CA"/>
        </w:rPr>
        <w:t xml:space="preserve">pas la primauté du droit : au contraire, </w:t>
      </w:r>
      <w:r>
        <w:rPr>
          <w:lang w:val="fr-CA"/>
        </w:rPr>
        <w:t>il va à son encontre</w:t>
      </w:r>
      <w:r w:rsidRPr="004F483D">
        <w:rPr>
          <w:lang w:val="fr-CA"/>
        </w:rPr>
        <w:t>.</w:t>
      </w:r>
    </w:p>
    <w:p w14:paraId="1D79FF8D" w14:textId="1A4DD9E3" w:rsidR="00453574" w:rsidRPr="00613527" w:rsidRDefault="00453574" w:rsidP="00453574">
      <w:pPr>
        <w:pStyle w:val="SCCNormalDoubleSpacing"/>
        <w:spacing w:after="480"/>
        <w:rPr>
          <w:lang w:val="fr-CA"/>
        </w:rPr>
      </w:pPr>
      <w:r w:rsidRPr="004F483D">
        <w:rPr>
          <w:lang w:val="fr-CA"/>
        </w:rPr>
        <w:tab/>
      </w:r>
      <w:r>
        <w:rPr>
          <w:lang w:val="fr-CA"/>
        </w:rPr>
        <w:t xml:space="preserve">Il </w:t>
      </w:r>
      <w:r w:rsidRPr="00A40313">
        <w:rPr>
          <w:lang w:val="fr-CA"/>
        </w:rPr>
        <w:t>est essentiel de comprendre le régime</w:t>
      </w:r>
      <w:r>
        <w:rPr>
          <w:lang w:val="fr-CA"/>
        </w:rPr>
        <w:t xml:space="preserve"> de pension</w:t>
      </w:r>
      <w:r w:rsidRPr="00A40313">
        <w:rPr>
          <w:lang w:val="fr-CA"/>
        </w:rPr>
        <w:t xml:space="preserve"> et le cadre législatif sous-jacent </w:t>
      </w:r>
      <w:r w:rsidRPr="004F483D">
        <w:rPr>
          <w:iCs/>
          <w:lang w:val="fr-CA"/>
        </w:rPr>
        <w:t>dans leur totalité</w:t>
      </w:r>
      <w:r w:rsidRPr="00A40313">
        <w:rPr>
          <w:i/>
          <w:iCs/>
          <w:lang w:val="fr-CA"/>
        </w:rPr>
        <w:t xml:space="preserve"> </w:t>
      </w:r>
      <w:r w:rsidRPr="00A40313">
        <w:rPr>
          <w:lang w:val="fr-CA"/>
        </w:rPr>
        <w:t>pour pouvoir statuer sur une demande fondée sur l’art.</w:t>
      </w:r>
      <w:r>
        <w:rPr>
          <w:lang w:val="fr-CA"/>
        </w:rPr>
        <w:t xml:space="preserve"> </w:t>
      </w:r>
      <w:r w:rsidRPr="00A40313">
        <w:rPr>
          <w:lang w:val="fr-CA"/>
        </w:rPr>
        <w:t>15</w:t>
      </w:r>
      <w:r>
        <w:rPr>
          <w:lang w:val="fr-CA"/>
        </w:rPr>
        <w:t xml:space="preserve">. Il </w:t>
      </w:r>
      <w:r w:rsidRPr="00A40313">
        <w:rPr>
          <w:lang w:val="fr-CA"/>
        </w:rPr>
        <w:t xml:space="preserve">incombe à </w:t>
      </w:r>
      <w:r>
        <w:rPr>
          <w:lang w:val="fr-CA"/>
        </w:rPr>
        <w:t xml:space="preserve">la </w:t>
      </w:r>
      <w:r w:rsidRPr="00A40313">
        <w:rPr>
          <w:lang w:val="fr-CA"/>
        </w:rPr>
        <w:t>Cour</w:t>
      </w:r>
      <w:r>
        <w:rPr>
          <w:lang w:val="fr-CA"/>
        </w:rPr>
        <w:t xml:space="preserve"> </w:t>
      </w:r>
      <w:r w:rsidRPr="00A40313">
        <w:rPr>
          <w:lang w:val="fr-CA"/>
        </w:rPr>
        <w:t xml:space="preserve">de bien comprendre </w:t>
      </w:r>
      <w:r>
        <w:rPr>
          <w:lang w:val="fr-CA"/>
        </w:rPr>
        <w:t xml:space="preserve">le fonctionnement du </w:t>
      </w:r>
      <w:r w:rsidRPr="00A40313">
        <w:rPr>
          <w:lang w:val="fr-CA"/>
        </w:rPr>
        <w:t xml:space="preserve">régime </w:t>
      </w:r>
      <w:r w:rsidRPr="004F483D">
        <w:rPr>
          <w:iCs/>
          <w:lang w:val="fr-CA"/>
        </w:rPr>
        <w:t>dans son ensemble</w:t>
      </w:r>
      <w:r w:rsidRPr="004F483D">
        <w:rPr>
          <w:lang w:val="fr-CA"/>
        </w:rPr>
        <w:t>,</w:t>
      </w:r>
      <w:r w:rsidRPr="00A40313">
        <w:rPr>
          <w:lang w:val="fr-CA"/>
        </w:rPr>
        <w:t xml:space="preserve"> </w:t>
      </w:r>
      <w:r>
        <w:rPr>
          <w:lang w:val="fr-CA"/>
        </w:rPr>
        <w:t xml:space="preserve">et d’en tenir compte. </w:t>
      </w:r>
      <w:r w:rsidRPr="00A40313">
        <w:rPr>
          <w:lang w:val="fr-CA"/>
        </w:rPr>
        <w:t>Les seuls statuts d’employé</w:t>
      </w:r>
      <w:r>
        <w:rPr>
          <w:lang w:val="fr-CA"/>
        </w:rPr>
        <w:t>s</w:t>
      </w:r>
      <w:r w:rsidRPr="00A40313">
        <w:rPr>
          <w:lang w:val="fr-CA"/>
        </w:rPr>
        <w:t xml:space="preserve"> que prévoit le régime sont ceux d’employé à temps plein, </w:t>
      </w:r>
      <w:r>
        <w:rPr>
          <w:lang w:val="fr-CA"/>
        </w:rPr>
        <w:t>d’</w:t>
      </w:r>
      <w:r w:rsidRPr="00A40313">
        <w:rPr>
          <w:lang w:val="fr-CA"/>
        </w:rPr>
        <w:t xml:space="preserve">employé à temps partiel et </w:t>
      </w:r>
      <w:r>
        <w:rPr>
          <w:lang w:val="fr-CA"/>
        </w:rPr>
        <w:t>d’</w:t>
      </w:r>
      <w:r w:rsidRPr="00A40313">
        <w:rPr>
          <w:lang w:val="fr-CA"/>
        </w:rPr>
        <w:t xml:space="preserve">employé en congé </w:t>
      </w:r>
      <w:r>
        <w:rPr>
          <w:lang w:val="fr-CA"/>
        </w:rPr>
        <w:t xml:space="preserve">non payé. </w:t>
      </w:r>
      <w:r w:rsidRPr="004F483D">
        <w:rPr>
          <w:lang w:val="fr-CA"/>
        </w:rPr>
        <w:t xml:space="preserve">Il n’y a aucune disposition précise au sujet du partage de poste, mais </w:t>
      </w:r>
      <w:r w:rsidRPr="00A40313">
        <w:rPr>
          <w:lang w:val="fr-CA"/>
        </w:rPr>
        <w:t>les politiques applicables définissent le partage de poste comme une forme de travail à temps par</w:t>
      </w:r>
      <w:r w:rsidRPr="004F483D">
        <w:rPr>
          <w:lang w:val="fr-CA"/>
        </w:rPr>
        <w:t>t</w:t>
      </w:r>
      <w:r>
        <w:rPr>
          <w:lang w:val="fr-CA"/>
        </w:rPr>
        <w:t xml:space="preserve">iel. </w:t>
      </w:r>
      <w:r w:rsidRPr="00A40313">
        <w:rPr>
          <w:lang w:val="fr-CA"/>
        </w:rPr>
        <w:t xml:space="preserve">Les personnes qui partagent un poste sont considérées comme </w:t>
      </w:r>
      <w:r>
        <w:rPr>
          <w:lang w:val="fr-CA"/>
        </w:rPr>
        <w:t xml:space="preserve">des employés </w:t>
      </w:r>
      <w:r w:rsidRPr="00A40313">
        <w:rPr>
          <w:lang w:val="fr-CA"/>
        </w:rPr>
        <w:t>à temps partiel pendant la période où elles partagent un poste</w:t>
      </w:r>
      <w:r>
        <w:rPr>
          <w:lang w:val="fr-CA"/>
        </w:rPr>
        <w:t xml:space="preserve">. Puisque ces personnes </w:t>
      </w:r>
      <w:r w:rsidRPr="00A40313">
        <w:rPr>
          <w:lang w:val="fr-CA"/>
        </w:rPr>
        <w:t xml:space="preserve">travaillent </w:t>
      </w:r>
      <w:r w:rsidRPr="00A40313">
        <w:rPr>
          <w:lang w:val="fr-CA"/>
        </w:rPr>
        <w:lastRenderedPageBreak/>
        <w:t xml:space="preserve">à </w:t>
      </w:r>
      <w:r>
        <w:rPr>
          <w:lang w:val="fr-CA"/>
        </w:rPr>
        <w:t xml:space="preserve">temps partiel, elles </w:t>
      </w:r>
      <w:r w:rsidRPr="00A40313">
        <w:rPr>
          <w:lang w:val="fr-CA"/>
        </w:rPr>
        <w:t xml:space="preserve">reçoivent des prestations de pension à temps partiel pour la période au cours de laquelle </w:t>
      </w:r>
      <w:r>
        <w:rPr>
          <w:lang w:val="fr-CA"/>
        </w:rPr>
        <w:t xml:space="preserve">elles </w:t>
      </w:r>
      <w:r w:rsidRPr="00A40313">
        <w:rPr>
          <w:lang w:val="fr-CA"/>
        </w:rPr>
        <w:t>partagent un poste</w:t>
      </w:r>
      <w:r>
        <w:rPr>
          <w:lang w:val="fr-CA"/>
        </w:rPr>
        <w:t>.</w:t>
      </w:r>
      <w:r w:rsidR="006B1004">
        <w:rPr>
          <w:lang w:val="fr-CA"/>
        </w:rPr>
        <w:t xml:space="preserve"> </w:t>
      </w:r>
      <w:r w:rsidRPr="00613527">
        <w:rPr>
          <w:lang w:val="fr-CA"/>
        </w:rPr>
        <w:t xml:space="preserve"> </w:t>
      </w:r>
    </w:p>
    <w:p w14:paraId="6C4D8063" w14:textId="77777777" w:rsidR="00453574" w:rsidRPr="00B50E57" w:rsidRDefault="00453574" w:rsidP="00453574">
      <w:pPr>
        <w:pStyle w:val="SCCNormalDoubleSpacing"/>
        <w:spacing w:after="480"/>
        <w:rPr>
          <w:lang w:val="fr-CA"/>
        </w:rPr>
      </w:pPr>
      <w:r w:rsidRPr="00613527">
        <w:rPr>
          <w:lang w:val="fr-CA"/>
        </w:rPr>
        <w:tab/>
      </w:r>
      <w:r w:rsidRPr="00607ECE">
        <w:rPr>
          <w:lang w:val="fr-CA"/>
        </w:rPr>
        <w:t>Tel qu’il est actuellement formulé, le critère de l’art. 15 peut s’appliquer aux all</w:t>
      </w:r>
      <w:r>
        <w:rPr>
          <w:lang w:val="fr-CA"/>
        </w:rPr>
        <w:t>é</w:t>
      </w:r>
      <w:r w:rsidRPr="00607ECE">
        <w:rPr>
          <w:lang w:val="fr-CA"/>
        </w:rPr>
        <w:t>gations de discrimination par suite d</w:t>
      </w:r>
      <w:r>
        <w:rPr>
          <w:lang w:val="fr-CA"/>
        </w:rPr>
        <w:t xml:space="preserve">’un effet préjudiciable en posant la question de savoir si la loi crée une distinction </w:t>
      </w:r>
      <w:r w:rsidRPr="00006677">
        <w:rPr>
          <w:iCs/>
          <w:lang w:val="fr-CA"/>
        </w:rPr>
        <w:t>de par son effet</w:t>
      </w:r>
      <w:r>
        <w:rPr>
          <w:lang w:val="fr-CA"/>
        </w:rPr>
        <w:t xml:space="preserve">. </w:t>
      </w:r>
      <w:r w:rsidRPr="00507BE2">
        <w:rPr>
          <w:lang w:val="fr-CA"/>
        </w:rPr>
        <w:t xml:space="preserve">À </w:t>
      </w:r>
      <w:r>
        <w:rPr>
          <w:lang w:val="fr-CA"/>
        </w:rPr>
        <w:t xml:space="preserve">la première </w:t>
      </w:r>
      <w:r w:rsidRPr="00507BE2">
        <w:rPr>
          <w:lang w:val="fr-CA"/>
        </w:rPr>
        <w:t xml:space="preserve">étape du critère de l’art. 15, </w:t>
      </w:r>
      <w:r w:rsidRPr="00A40313">
        <w:rPr>
          <w:lang w:val="fr-CA"/>
        </w:rPr>
        <w:t xml:space="preserve">il </w:t>
      </w:r>
      <w:r>
        <w:rPr>
          <w:lang w:val="fr-CA"/>
        </w:rPr>
        <w:t xml:space="preserve">n’est pas </w:t>
      </w:r>
      <w:r w:rsidRPr="00A40313">
        <w:rPr>
          <w:lang w:val="fr-CA"/>
        </w:rPr>
        <w:t xml:space="preserve">nécessaire de démontrer </w:t>
      </w:r>
      <w:r>
        <w:rPr>
          <w:lang w:val="fr-CA"/>
        </w:rPr>
        <w:t xml:space="preserve">que la loi ou l’acte de l’État contestés ont eu </w:t>
      </w:r>
      <w:r w:rsidRPr="00A40313">
        <w:rPr>
          <w:lang w:val="fr-CA"/>
        </w:rPr>
        <w:t xml:space="preserve">pour </w:t>
      </w:r>
      <w:r w:rsidRPr="00507BE2">
        <w:rPr>
          <w:iCs/>
          <w:lang w:val="fr-CA"/>
        </w:rPr>
        <w:t>effet</w:t>
      </w:r>
      <w:r w:rsidRPr="00507BE2">
        <w:rPr>
          <w:lang w:val="fr-CA"/>
        </w:rPr>
        <w:t xml:space="preserve"> </w:t>
      </w:r>
      <w:r w:rsidRPr="00A40313">
        <w:rPr>
          <w:lang w:val="fr-CA"/>
        </w:rPr>
        <w:t>de contribuer à</w:t>
      </w:r>
      <w:r>
        <w:rPr>
          <w:lang w:val="fr-CA"/>
        </w:rPr>
        <w:t xml:space="preserve"> un </w:t>
      </w:r>
      <w:r w:rsidRPr="00A40313">
        <w:rPr>
          <w:lang w:val="fr-CA"/>
        </w:rPr>
        <w:t>désavantage</w:t>
      </w:r>
      <w:r>
        <w:rPr>
          <w:lang w:val="fr-CA"/>
        </w:rPr>
        <w:t xml:space="preserve"> existant. </w:t>
      </w:r>
      <w:r w:rsidRPr="00507BE2">
        <w:rPr>
          <w:lang w:val="fr-CA"/>
        </w:rPr>
        <w:t xml:space="preserve">Puisque la recherche d’un effet vise un </w:t>
      </w:r>
      <w:r>
        <w:rPr>
          <w:lang w:val="fr-CA"/>
        </w:rPr>
        <w:t>lien de causalité, l</w:t>
      </w:r>
      <w:r w:rsidRPr="00A40313">
        <w:rPr>
          <w:lang w:val="fr-CA"/>
        </w:rPr>
        <w:t xml:space="preserve">’établissement du lien de causalité est </w:t>
      </w:r>
      <w:r>
        <w:rPr>
          <w:lang w:val="fr-CA"/>
        </w:rPr>
        <w:t>essentiel</w:t>
      </w:r>
      <w:r w:rsidRPr="00507BE2">
        <w:rPr>
          <w:lang w:val="fr-CA"/>
        </w:rPr>
        <w:t>.</w:t>
      </w:r>
      <w:r>
        <w:rPr>
          <w:lang w:val="fr-CA"/>
        </w:rPr>
        <w:t xml:space="preserve"> </w:t>
      </w:r>
      <w:r w:rsidRPr="00507BE2">
        <w:rPr>
          <w:lang w:val="fr-CA"/>
        </w:rPr>
        <w:t xml:space="preserve">Cela est d’autant plus vrai dans les cas où l’État intervient dans le but de s’attaquer à une discrimination systémique car </w:t>
      </w:r>
      <w:r>
        <w:rPr>
          <w:lang w:val="fr-CA"/>
        </w:rPr>
        <w:t xml:space="preserve">l’analyse effectuée à la première étape consiste à déterminer </w:t>
      </w:r>
      <w:r w:rsidRPr="00A40313">
        <w:rPr>
          <w:color w:val="000000"/>
          <w:shd w:val="clear" w:color="auto" w:fill="FFFFFF"/>
          <w:lang w:val="fr-CA"/>
        </w:rPr>
        <w:t xml:space="preserve">si l’écart constaté </w:t>
      </w:r>
      <w:r>
        <w:rPr>
          <w:color w:val="000000"/>
          <w:shd w:val="clear" w:color="auto" w:fill="FFFFFF"/>
          <w:lang w:val="fr-CA"/>
        </w:rPr>
        <w:t xml:space="preserve">entre </w:t>
      </w:r>
      <w:r w:rsidRPr="00A40313">
        <w:rPr>
          <w:color w:val="000000"/>
          <w:shd w:val="clear" w:color="auto" w:fill="FFFFFF"/>
          <w:lang w:val="fr-CA"/>
        </w:rPr>
        <w:t xml:space="preserve">le sort réservé </w:t>
      </w:r>
      <w:r>
        <w:rPr>
          <w:color w:val="000000"/>
          <w:shd w:val="clear" w:color="auto" w:fill="FFFFFF"/>
          <w:lang w:val="fr-CA"/>
        </w:rPr>
        <w:t xml:space="preserve">à un </w:t>
      </w:r>
      <w:r w:rsidRPr="00A40313">
        <w:rPr>
          <w:color w:val="000000"/>
          <w:shd w:val="clear" w:color="auto" w:fill="FFFFFF"/>
          <w:lang w:val="fr-CA"/>
        </w:rPr>
        <w:t xml:space="preserve">groupe </w:t>
      </w:r>
      <w:r>
        <w:rPr>
          <w:color w:val="000000"/>
          <w:shd w:val="clear" w:color="auto" w:fill="FFFFFF"/>
          <w:lang w:val="fr-CA"/>
        </w:rPr>
        <w:t xml:space="preserve">par rapport à un autre </w:t>
      </w:r>
      <w:r w:rsidRPr="00A40313">
        <w:rPr>
          <w:color w:val="000000"/>
          <w:shd w:val="clear" w:color="auto" w:fill="FFFFFF"/>
          <w:lang w:val="fr-CA"/>
        </w:rPr>
        <w:t>s’explique uniquement par la préexistence d’un désavantage ou si, par ses actes, l’État a contribué à cet écart</w:t>
      </w:r>
      <w:r>
        <w:rPr>
          <w:color w:val="000000"/>
          <w:shd w:val="clear" w:color="auto" w:fill="FFFFFF"/>
          <w:lang w:val="fr-CA"/>
        </w:rPr>
        <w:t xml:space="preserve">. </w:t>
      </w:r>
      <w:r w:rsidRPr="00507BE2">
        <w:rPr>
          <w:lang w:val="fr-CA"/>
        </w:rPr>
        <w:t xml:space="preserve">L’article 15 </w:t>
      </w:r>
      <w:r w:rsidRPr="00A40313">
        <w:rPr>
          <w:lang w:val="fr-CA"/>
        </w:rPr>
        <w:t xml:space="preserve">s’intéresse aux actes de l’État qui </w:t>
      </w:r>
      <w:r>
        <w:rPr>
          <w:lang w:val="fr-CA"/>
        </w:rPr>
        <w:t xml:space="preserve">contribuent </w:t>
      </w:r>
      <w:r w:rsidRPr="00A40313">
        <w:rPr>
          <w:lang w:val="fr-CA"/>
        </w:rPr>
        <w:t xml:space="preserve">à un désavantage </w:t>
      </w:r>
      <w:r>
        <w:rPr>
          <w:lang w:val="fr-CA"/>
        </w:rPr>
        <w:t xml:space="preserve">historique. </w:t>
      </w:r>
      <w:r w:rsidRPr="00B50E57">
        <w:rPr>
          <w:lang w:val="fr-CA"/>
        </w:rPr>
        <w:t>L’État n’a pas d’obligation positive distincte de remédier aux inégalités sociales et il peut agir de manière graduelle, en metta</w:t>
      </w:r>
      <w:r>
        <w:rPr>
          <w:lang w:val="fr-CA"/>
        </w:rPr>
        <w:t>nt en place des politiques qui rétrécissent un écart sans le combler totalement.</w:t>
      </w:r>
      <w:r w:rsidRPr="00B50E57">
        <w:rPr>
          <w:lang w:val="fr-CA"/>
        </w:rPr>
        <w:tab/>
      </w:r>
    </w:p>
    <w:p w14:paraId="744350B2" w14:textId="77777777" w:rsidR="00453574" w:rsidRPr="00543155" w:rsidRDefault="00453574" w:rsidP="00453574">
      <w:pPr>
        <w:pStyle w:val="SCCNormalDoubleSpacing"/>
        <w:spacing w:after="480"/>
        <w:rPr>
          <w:szCs w:val="24"/>
          <w:lang w:val="fr-CA"/>
        </w:rPr>
      </w:pPr>
      <w:r w:rsidRPr="00B50E57">
        <w:rPr>
          <w:lang w:val="fr-CA"/>
        </w:rPr>
        <w:tab/>
      </w:r>
      <w:r>
        <w:rPr>
          <w:lang w:val="fr-CA"/>
        </w:rPr>
        <w:t>I</w:t>
      </w:r>
      <w:r w:rsidRPr="007062E4">
        <w:rPr>
          <w:lang w:val="fr-CA"/>
        </w:rPr>
        <w:t>l incombe en dernière analyse au demandeur d’établir le lien de causalité</w:t>
      </w:r>
      <w:r>
        <w:rPr>
          <w:lang w:val="fr-CA"/>
        </w:rPr>
        <w:t xml:space="preserve"> entre la loi contestée et le désavantage</w:t>
      </w:r>
      <w:r w:rsidRPr="00B50E57">
        <w:rPr>
          <w:lang w:val="fr-CA"/>
        </w:rPr>
        <w:t xml:space="preserve">. L’analyse ne devrait pas partir du principe que la corrélation est attribuable à un lien de causalité, </w:t>
      </w:r>
      <w:r>
        <w:rPr>
          <w:lang w:val="fr-CA"/>
        </w:rPr>
        <w:t xml:space="preserve">alors qu’elle pourrait être attribuable à des facteurs indépendants </w:t>
      </w:r>
      <w:r w:rsidRPr="00B50E57">
        <w:rPr>
          <w:szCs w:val="24"/>
          <w:lang w:val="fr-CA"/>
        </w:rPr>
        <w:t xml:space="preserve">— </w:t>
      </w:r>
      <w:r>
        <w:rPr>
          <w:szCs w:val="24"/>
          <w:lang w:val="fr-CA"/>
        </w:rPr>
        <w:t>l</w:t>
      </w:r>
      <w:r w:rsidRPr="00A40313">
        <w:rPr>
          <w:lang w:val="fr-CA"/>
        </w:rPr>
        <w:t>a corrélation en elle-même n’est pas une preuve de causalité</w:t>
      </w:r>
      <w:r w:rsidRPr="00B50E57">
        <w:rPr>
          <w:szCs w:val="24"/>
          <w:lang w:val="fr-CA"/>
        </w:rPr>
        <w:t xml:space="preserve">. </w:t>
      </w:r>
      <w:r w:rsidRPr="00543155">
        <w:rPr>
          <w:szCs w:val="24"/>
          <w:lang w:val="fr-CA"/>
        </w:rPr>
        <w:t xml:space="preserve">Lorsqu’une loi vise à réduire progressivement un désavantage systémique </w:t>
      </w:r>
      <w:r w:rsidRPr="00543155">
        <w:rPr>
          <w:szCs w:val="24"/>
          <w:lang w:val="fr-CA"/>
        </w:rPr>
        <w:lastRenderedPageBreak/>
        <w:t xml:space="preserve">historique sans le supprimer, </w:t>
      </w:r>
      <w:r w:rsidRPr="00A40313">
        <w:rPr>
          <w:lang w:val="fr-CA"/>
        </w:rPr>
        <w:t xml:space="preserve">il subsistera </w:t>
      </w:r>
      <w:r>
        <w:rPr>
          <w:lang w:val="fr-CA"/>
        </w:rPr>
        <w:t xml:space="preserve">forcément </w:t>
      </w:r>
      <w:r w:rsidRPr="00A40313">
        <w:rPr>
          <w:lang w:val="fr-CA"/>
        </w:rPr>
        <w:t>une certaine disparité</w:t>
      </w:r>
      <w:r>
        <w:rPr>
          <w:lang w:val="fr-CA"/>
        </w:rPr>
        <w:t xml:space="preserve">. </w:t>
      </w:r>
      <w:r w:rsidRPr="00543155">
        <w:rPr>
          <w:szCs w:val="24"/>
          <w:lang w:val="fr-CA"/>
        </w:rPr>
        <w:t xml:space="preserve">En pareils cas, </w:t>
      </w:r>
      <w:r>
        <w:rPr>
          <w:szCs w:val="24"/>
          <w:lang w:val="fr-CA"/>
        </w:rPr>
        <w:t xml:space="preserve">il ne suffit pas de mentionner une </w:t>
      </w:r>
      <w:r w:rsidRPr="00A40313">
        <w:rPr>
          <w:lang w:val="fr-CA"/>
        </w:rPr>
        <w:t xml:space="preserve">disparité statistique et </w:t>
      </w:r>
      <w:r>
        <w:rPr>
          <w:lang w:val="fr-CA"/>
        </w:rPr>
        <w:t xml:space="preserve">un </w:t>
      </w:r>
      <w:r w:rsidRPr="00A40313">
        <w:rPr>
          <w:lang w:val="fr-CA"/>
        </w:rPr>
        <w:t xml:space="preserve">désavantage </w:t>
      </w:r>
      <w:r>
        <w:rPr>
          <w:lang w:val="fr-CA"/>
        </w:rPr>
        <w:t xml:space="preserve">subi par </w:t>
      </w:r>
      <w:r w:rsidRPr="00A40313">
        <w:rPr>
          <w:lang w:val="fr-CA"/>
        </w:rPr>
        <w:t>le groupe dans son ensemble</w:t>
      </w:r>
      <w:r>
        <w:rPr>
          <w:lang w:val="fr-CA"/>
        </w:rPr>
        <w:t xml:space="preserve">. </w:t>
      </w:r>
    </w:p>
    <w:p w14:paraId="557BAAE2" w14:textId="044CAC66" w:rsidR="00453574" w:rsidRPr="009A2222" w:rsidRDefault="00453574" w:rsidP="00453574">
      <w:pPr>
        <w:pStyle w:val="SCCNormalDoubleSpacing"/>
        <w:spacing w:after="480"/>
        <w:rPr>
          <w:lang w:val="fr-CA"/>
        </w:rPr>
      </w:pPr>
      <w:r w:rsidRPr="00543155">
        <w:rPr>
          <w:lang w:val="fr-CA"/>
        </w:rPr>
        <w:tab/>
      </w:r>
      <w:r>
        <w:rPr>
          <w:lang w:val="fr-CA"/>
        </w:rPr>
        <w:t>L</w:t>
      </w:r>
      <w:r w:rsidRPr="00A40313">
        <w:rPr>
          <w:lang w:val="fr-CA"/>
        </w:rPr>
        <w:t xml:space="preserve">’accent qui est mis à la première étape sur </w:t>
      </w:r>
      <w:r>
        <w:rPr>
          <w:lang w:val="fr-CA"/>
        </w:rPr>
        <w:t xml:space="preserve">la recherche </w:t>
      </w:r>
      <w:r w:rsidRPr="00A40313">
        <w:rPr>
          <w:lang w:val="fr-CA"/>
        </w:rPr>
        <w:t xml:space="preserve">d’une </w:t>
      </w:r>
      <w:r w:rsidRPr="00543155">
        <w:rPr>
          <w:lang w:val="fr-CA"/>
        </w:rPr>
        <w:t xml:space="preserve">distinction </w:t>
      </w:r>
      <w:r w:rsidRPr="00A40313">
        <w:rPr>
          <w:iCs/>
          <w:lang w:val="fr-CA"/>
        </w:rPr>
        <w:t>s’accorde avec la nature comparative de l’égalité</w:t>
      </w:r>
      <w:r w:rsidRPr="00543155">
        <w:rPr>
          <w:lang w:val="fr-CA"/>
        </w:rPr>
        <w:t xml:space="preserve">. </w:t>
      </w:r>
      <w:r w:rsidRPr="00927AB8">
        <w:rPr>
          <w:lang w:val="fr-CA"/>
        </w:rPr>
        <w:t>Les deux façons de formuler la distinction fondée sur le motif énuméré du sexe en l’espèce consisten</w:t>
      </w:r>
      <w:r>
        <w:rPr>
          <w:lang w:val="fr-CA"/>
        </w:rPr>
        <w:t xml:space="preserve">t à faire </w:t>
      </w:r>
      <w:r w:rsidRPr="00A40313">
        <w:rPr>
          <w:lang w:val="fr-CA"/>
        </w:rPr>
        <w:t xml:space="preserve">une comparaison avec la </w:t>
      </w:r>
      <w:r w:rsidRPr="00B02EDE">
        <w:rPr>
          <w:lang w:val="fr-CA"/>
        </w:rPr>
        <w:t>situation des membres à temps plein et celle des membres qui prennent des congés non payés. La comparaison avec les membres qui prennent des congés non payés est une distinction qui n’est pas fondée sur le sexe parce que rien ne prouve que les membres qui prennent des congés non payés sont moins susceptibles d’être des femmes que les membres qui</w:t>
      </w:r>
      <w:r w:rsidRPr="00A40313">
        <w:rPr>
          <w:lang w:val="fr-CA"/>
        </w:rPr>
        <w:t xml:space="preserve"> participent au programme de partage de poste</w:t>
      </w:r>
      <w:r>
        <w:rPr>
          <w:lang w:val="fr-CA"/>
        </w:rPr>
        <w:t xml:space="preserve">. </w:t>
      </w:r>
      <w:r w:rsidRPr="002B4081">
        <w:rPr>
          <w:lang w:val="fr-CA"/>
        </w:rPr>
        <w:t xml:space="preserve">Par contre, la distinction qui repose sur </w:t>
      </w:r>
      <w:r>
        <w:rPr>
          <w:lang w:val="fr-CA"/>
        </w:rPr>
        <w:t xml:space="preserve">une comparaison </w:t>
      </w:r>
      <w:r w:rsidRPr="002B4081">
        <w:rPr>
          <w:lang w:val="fr-CA"/>
        </w:rPr>
        <w:t>avec les membres à temps plein est fondée sur le sexe parce q</w:t>
      </w:r>
      <w:r>
        <w:rPr>
          <w:lang w:val="fr-CA"/>
        </w:rPr>
        <w:t xml:space="preserve">ue les </w:t>
      </w:r>
      <w:r w:rsidRPr="0080258C">
        <w:rPr>
          <w:lang w:val="fr-CA"/>
        </w:rPr>
        <w:t xml:space="preserve">participants au programme de partage de poste sont majoritairement des femmes, tandis que l’emploi à temps plein sans interruption est un </w:t>
      </w:r>
      <w:r w:rsidR="001D4539">
        <w:rPr>
          <w:lang w:val="fr-CA"/>
        </w:rPr>
        <w:t xml:space="preserve">régime de travail typiquement </w:t>
      </w:r>
      <w:r w:rsidRPr="00A40313">
        <w:rPr>
          <w:lang w:val="fr-CA"/>
        </w:rPr>
        <w:t>masculin</w:t>
      </w:r>
      <w:r>
        <w:rPr>
          <w:lang w:val="fr-CA"/>
        </w:rPr>
        <w:t xml:space="preserve">. </w:t>
      </w:r>
      <w:r w:rsidRPr="009A2222">
        <w:rPr>
          <w:lang w:val="fr-CA"/>
        </w:rPr>
        <w:t xml:space="preserve">Par conséquent, le régime de pension </w:t>
      </w:r>
      <w:r w:rsidRPr="00A40313">
        <w:rPr>
          <w:lang w:val="fr-CA"/>
        </w:rPr>
        <w:t>crée une distinction qui, de par son effet, est fondée sur le sexe</w:t>
      </w:r>
      <w:r>
        <w:rPr>
          <w:lang w:val="fr-CA"/>
        </w:rPr>
        <w:t xml:space="preserve">. </w:t>
      </w:r>
    </w:p>
    <w:p w14:paraId="04578170" w14:textId="77777777" w:rsidR="00453574" w:rsidRPr="008E18B0" w:rsidRDefault="00453574" w:rsidP="00453574">
      <w:pPr>
        <w:pStyle w:val="SCCNormalDoubleSpacing"/>
        <w:spacing w:after="480"/>
        <w:rPr>
          <w:lang w:val="fr-CA"/>
        </w:rPr>
      </w:pPr>
      <w:r w:rsidRPr="009A2222">
        <w:rPr>
          <w:lang w:val="fr-CA"/>
        </w:rPr>
        <w:tab/>
        <w:t xml:space="preserve">La seconde étape de l’analyse fondée sur l’art. 15 vise à déterminer </w:t>
      </w:r>
      <w:r w:rsidRPr="00A40313">
        <w:rPr>
          <w:lang w:val="fr-CA"/>
        </w:rPr>
        <w:t xml:space="preserve">si cette distinction est discriminatoire en ce sens qu’elle </w:t>
      </w:r>
      <w:r w:rsidRPr="00A40313">
        <w:rPr>
          <w:color w:val="000000"/>
          <w:shd w:val="clear" w:color="auto" w:fill="FFFFFF"/>
          <w:lang w:val="fr-CA"/>
        </w:rPr>
        <w:t>ne répond pas aux capacités et aux besoins concrets des membres du groupe et leur impose plutôt un fardeau ou leur nie un avantage d’une manière qui a pour effet de renforcer, de perpétuer ou d’accentuer le désavantage</w:t>
      </w:r>
      <w:r>
        <w:rPr>
          <w:color w:val="000000"/>
          <w:shd w:val="clear" w:color="auto" w:fill="FFFFFF"/>
          <w:lang w:val="fr-CA"/>
        </w:rPr>
        <w:t xml:space="preserve"> </w:t>
      </w:r>
      <w:r w:rsidRPr="00A40313">
        <w:rPr>
          <w:color w:val="000000"/>
          <w:shd w:val="clear" w:color="auto" w:fill="FFFFFF"/>
          <w:lang w:val="fr-CA"/>
        </w:rPr>
        <w:t>dont les femmes sont victimes</w:t>
      </w:r>
      <w:r w:rsidRPr="009A2222">
        <w:rPr>
          <w:lang w:val="fr-CA"/>
        </w:rPr>
        <w:t xml:space="preserve">. </w:t>
      </w:r>
      <w:r w:rsidRPr="008E18B0">
        <w:rPr>
          <w:lang w:val="fr-CA"/>
        </w:rPr>
        <w:t xml:space="preserve">L’analyse à cette étape doit porter sur la </w:t>
      </w:r>
      <w:r w:rsidRPr="008E18B0">
        <w:rPr>
          <w:lang w:val="fr-CA"/>
        </w:rPr>
        <w:lastRenderedPageBreak/>
        <w:t xml:space="preserve">question de savoir si </w:t>
      </w:r>
      <w:r w:rsidRPr="00A40313">
        <w:rPr>
          <w:lang w:val="fr-CA"/>
        </w:rPr>
        <w:t xml:space="preserve">l’effet </w:t>
      </w:r>
      <w:r>
        <w:rPr>
          <w:lang w:val="fr-CA"/>
        </w:rPr>
        <w:t xml:space="preserve">d’inégalité </w:t>
      </w:r>
      <w:r w:rsidRPr="00A40313">
        <w:rPr>
          <w:lang w:val="fr-CA"/>
        </w:rPr>
        <w:t>correspond aux besoins réels ou à la situation concrète du groupe ou s</w:t>
      </w:r>
      <w:r>
        <w:rPr>
          <w:lang w:val="fr-CA"/>
        </w:rPr>
        <w:t xml:space="preserve">’il crée, dans un autre sens, une </w:t>
      </w:r>
      <w:r w:rsidRPr="00A40313">
        <w:rPr>
          <w:lang w:val="fr-CA"/>
        </w:rPr>
        <w:t>discrimination réelle</w:t>
      </w:r>
      <w:r w:rsidRPr="008E18B0">
        <w:rPr>
          <w:lang w:val="fr-CA"/>
        </w:rPr>
        <w:t xml:space="preserve">. </w:t>
      </w:r>
    </w:p>
    <w:p w14:paraId="2C0D574B" w14:textId="5E49C2CA" w:rsidR="00453574" w:rsidRPr="001857FE" w:rsidRDefault="00453574" w:rsidP="00453574">
      <w:pPr>
        <w:pStyle w:val="SCCNormalDoubleSpacing"/>
        <w:spacing w:after="480"/>
        <w:rPr>
          <w:lang w:val="fr-CA"/>
        </w:rPr>
      </w:pPr>
      <w:r w:rsidRPr="008E18B0">
        <w:rPr>
          <w:lang w:val="fr-CA"/>
        </w:rPr>
        <w:tab/>
      </w:r>
      <w:r w:rsidRPr="00830CCD">
        <w:rPr>
          <w:lang w:val="fr-CA"/>
        </w:rPr>
        <w:t xml:space="preserve">Pour établir la discrimination réelle, </w:t>
      </w:r>
      <w:r>
        <w:rPr>
          <w:lang w:val="fr-CA"/>
        </w:rPr>
        <w:t>il a toujours fallu démontrer l’existence d’</w:t>
      </w:r>
      <w:r w:rsidRPr="00830CCD">
        <w:rPr>
          <w:lang w:val="fr-CA"/>
        </w:rPr>
        <w:t>un élément</w:t>
      </w:r>
      <w:r>
        <w:rPr>
          <w:lang w:val="fr-CA"/>
        </w:rPr>
        <w:t xml:space="preserve"> d’arbitraire ou d’injustice d</w:t>
      </w:r>
      <w:r w:rsidR="006B1004">
        <w:rPr>
          <w:lang w:val="fr-CA"/>
        </w:rPr>
        <w:t>ans l’analyse fondée sur l’art. </w:t>
      </w:r>
      <w:r>
        <w:rPr>
          <w:lang w:val="fr-CA"/>
        </w:rPr>
        <w:t>15. On ne doit pas restreindre l</w:t>
      </w:r>
      <w:r w:rsidRPr="00A40313">
        <w:rPr>
          <w:lang w:val="fr-CA"/>
        </w:rPr>
        <w:t xml:space="preserve">es facteurs relatifs à l’arbitraire et à l’injustice </w:t>
      </w:r>
      <w:r>
        <w:rPr>
          <w:lang w:val="fr-CA"/>
        </w:rPr>
        <w:t>à l’analyse fondée sur l’article premier. L’</w:t>
      </w:r>
      <w:r w:rsidRPr="00A40313">
        <w:rPr>
          <w:lang w:val="fr-CA"/>
        </w:rPr>
        <w:t>élément</w:t>
      </w:r>
      <w:r>
        <w:rPr>
          <w:lang w:val="fr-CA"/>
        </w:rPr>
        <w:t xml:space="preserve"> d’arbitraire ou d’injustice</w:t>
      </w:r>
      <w:r w:rsidRPr="00A40313">
        <w:rPr>
          <w:lang w:val="fr-CA"/>
        </w:rPr>
        <w:t xml:space="preserve"> a le plus souvent été exprimé comme le fait de ne pouvoir répondre aux capacités, à la situation et aux besoins concrets des </w:t>
      </w:r>
      <w:r>
        <w:rPr>
          <w:lang w:val="fr-CA"/>
        </w:rPr>
        <w:t xml:space="preserve">individus, mais il ne se matérialise pas nécessairement par la promotion d’attitudes négatives. </w:t>
      </w:r>
      <w:r w:rsidRPr="00A068D0">
        <w:rPr>
          <w:lang w:val="fr-CA"/>
        </w:rPr>
        <w:t xml:space="preserve">Il </w:t>
      </w:r>
      <w:r w:rsidRPr="00A40313">
        <w:rPr>
          <w:lang w:val="fr-CA"/>
        </w:rPr>
        <w:t xml:space="preserve">n’a jamais été </w:t>
      </w:r>
      <w:r w:rsidRPr="00E13DEE">
        <w:rPr>
          <w:lang w:val="fr-CA"/>
        </w:rPr>
        <w:t>confondu avec l’objet discriminatoire</w:t>
      </w:r>
      <w:r>
        <w:rPr>
          <w:lang w:val="fr-CA"/>
        </w:rPr>
        <w:t xml:space="preserve">, lequel </w:t>
      </w:r>
      <w:r w:rsidRPr="00A40313">
        <w:rPr>
          <w:lang w:val="fr-CA"/>
        </w:rPr>
        <w:t xml:space="preserve">n’est pas nécessaire pour établir </w:t>
      </w:r>
      <w:r>
        <w:rPr>
          <w:lang w:val="fr-CA"/>
        </w:rPr>
        <w:t xml:space="preserve">la discrimination réelle. </w:t>
      </w:r>
      <w:r w:rsidRPr="00A40313">
        <w:rPr>
          <w:lang w:val="fr-CA"/>
        </w:rPr>
        <w:t xml:space="preserve">La discrimination réelle ne saurait </w:t>
      </w:r>
      <w:r>
        <w:rPr>
          <w:lang w:val="fr-CA"/>
        </w:rPr>
        <w:t xml:space="preserve">se résumer aux </w:t>
      </w:r>
      <w:r w:rsidRPr="00A40313">
        <w:rPr>
          <w:lang w:val="fr-CA"/>
        </w:rPr>
        <w:t>désavantages historiques.</w:t>
      </w:r>
      <w:r>
        <w:rPr>
          <w:lang w:val="fr-CA"/>
        </w:rPr>
        <w:t xml:space="preserve"> </w:t>
      </w:r>
      <w:r w:rsidRPr="00A40313">
        <w:rPr>
          <w:lang w:val="fr-CA"/>
        </w:rPr>
        <w:t>Dans certains cas, une loi peut perpétuer un désavantage important tout en traitant les personnes sur un plan d’égalité et sans discrimination</w:t>
      </w:r>
      <w:r w:rsidRPr="00E13DEE">
        <w:rPr>
          <w:lang w:val="fr-CA"/>
        </w:rPr>
        <w:t xml:space="preserve">. </w:t>
      </w:r>
      <w:r>
        <w:rPr>
          <w:lang w:val="fr-CA"/>
        </w:rPr>
        <w:t>L</w:t>
      </w:r>
      <w:r w:rsidRPr="00A40313">
        <w:rPr>
          <w:lang w:val="fr-CA"/>
        </w:rPr>
        <w:t>e concept d</w:t>
      </w:r>
      <w:r>
        <w:rPr>
          <w:lang w:val="fr-CA"/>
        </w:rPr>
        <w:t>’</w:t>
      </w:r>
      <w:r w:rsidRPr="00A40313">
        <w:rPr>
          <w:lang w:val="fr-CA"/>
        </w:rPr>
        <w:t>égalité réelle e</w:t>
      </w:r>
      <w:r>
        <w:rPr>
          <w:lang w:val="fr-CA"/>
        </w:rPr>
        <w:t>s</w:t>
      </w:r>
      <w:r w:rsidRPr="00A40313">
        <w:rPr>
          <w:lang w:val="fr-CA"/>
        </w:rPr>
        <w:t>t</w:t>
      </w:r>
      <w:r>
        <w:rPr>
          <w:lang w:val="fr-CA"/>
        </w:rPr>
        <w:t xml:space="preserve"> devenu flou à tel point qu’il est impossible pour les demandeurs et </w:t>
      </w:r>
      <w:r w:rsidRPr="00A40313">
        <w:rPr>
          <w:lang w:val="fr-CA"/>
        </w:rPr>
        <w:t>pour le législateur de connaître à l’avance ses exigences</w:t>
      </w:r>
      <w:r w:rsidRPr="001857FE">
        <w:rPr>
          <w:lang w:val="fr-CA"/>
        </w:rPr>
        <w:t xml:space="preserve">. </w:t>
      </w:r>
      <w:r w:rsidRPr="00A40313">
        <w:rPr>
          <w:lang w:val="fr-CA"/>
        </w:rPr>
        <w:t xml:space="preserve">On attend en effet du législateur qu’il </w:t>
      </w:r>
      <w:r>
        <w:rPr>
          <w:lang w:val="fr-CA"/>
        </w:rPr>
        <w:t xml:space="preserve">applique un concept </w:t>
      </w:r>
      <w:r w:rsidRPr="00A40313">
        <w:rPr>
          <w:lang w:val="fr-CA"/>
        </w:rPr>
        <w:t xml:space="preserve">qui </w:t>
      </w:r>
      <w:r>
        <w:rPr>
          <w:lang w:val="fr-CA"/>
        </w:rPr>
        <w:t>évolue constamment</w:t>
      </w:r>
      <w:r w:rsidRPr="001857FE">
        <w:rPr>
          <w:lang w:val="fr-CA"/>
        </w:rPr>
        <w:t>.</w:t>
      </w:r>
    </w:p>
    <w:p w14:paraId="16DA952A" w14:textId="5D3AA39A" w:rsidR="00453574" w:rsidRPr="00307593" w:rsidRDefault="00453574" w:rsidP="00453574">
      <w:pPr>
        <w:pStyle w:val="SCCNormalDoubleSpacing"/>
        <w:spacing w:after="480"/>
        <w:rPr>
          <w:lang w:val="fr-CA"/>
        </w:rPr>
      </w:pPr>
      <w:r w:rsidRPr="001857FE">
        <w:rPr>
          <w:lang w:val="fr-CA"/>
        </w:rPr>
        <w:tab/>
      </w:r>
      <w:r>
        <w:rPr>
          <w:lang w:val="fr-CA"/>
        </w:rPr>
        <w:t xml:space="preserve">Il n’est pas arbitraire ou injuste ni donc discriminatoire que l’employeur calcule </w:t>
      </w:r>
      <w:r w:rsidRPr="00A40313">
        <w:rPr>
          <w:lang w:val="fr-CA"/>
        </w:rPr>
        <w:t xml:space="preserve">la rémunération, y compris des avantages, en fonction du travail effectué </w:t>
      </w:r>
      <w:r>
        <w:rPr>
          <w:lang w:val="fr-CA"/>
        </w:rPr>
        <w:t xml:space="preserve">si cela </w:t>
      </w:r>
      <w:r w:rsidRPr="00A40313">
        <w:rPr>
          <w:lang w:val="fr-CA"/>
        </w:rPr>
        <w:t xml:space="preserve">répond </w:t>
      </w:r>
      <w:r>
        <w:rPr>
          <w:lang w:val="fr-CA"/>
        </w:rPr>
        <w:t xml:space="preserve">aux capacités et à la situation réelles des employés. </w:t>
      </w:r>
      <w:r w:rsidRPr="001857FE">
        <w:rPr>
          <w:lang w:val="fr-CA"/>
        </w:rPr>
        <w:t xml:space="preserve">Les employeurs devraient pouvoir rémunérer leurs employés en fonction des heures travaillées et </w:t>
      </w:r>
      <w:r>
        <w:rPr>
          <w:lang w:val="fr-CA"/>
        </w:rPr>
        <w:t>l</w:t>
      </w:r>
      <w:r w:rsidRPr="00A40313">
        <w:rPr>
          <w:szCs w:val="24"/>
          <w:lang w:val="fr-CA"/>
        </w:rPr>
        <w:t xml:space="preserve">e fait d’offrir des prestations de pension qui sont calculées au prorata des heures travaillées ne </w:t>
      </w:r>
      <w:r w:rsidRPr="00A40313">
        <w:rPr>
          <w:szCs w:val="24"/>
          <w:lang w:val="fr-CA"/>
        </w:rPr>
        <w:lastRenderedPageBreak/>
        <w:t>constitue pas une discrimination réelle</w:t>
      </w:r>
      <w:r w:rsidRPr="001857FE">
        <w:rPr>
          <w:lang w:val="fr-CA"/>
        </w:rPr>
        <w:t xml:space="preserve">. </w:t>
      </w:r>
      <w:r>
        <w:rPr>
          <w:lang w:val="fr-CA"/>
        </w:rPr>
        <w:t>C</w:t>
      </w:r>
      <w:r w:rsidRPr="00A40313">
        <w:rPr>
          <w:lang w:val="fr-CA"/>
        </w:rPr>
        <w:t xml:space="preserve">onformément à l’analyse contextuelle du cadre général </w:t>
      </w:r>
      <w:r>
        <w:rPr>
          <w:lang w:val="fr-CA"/>
        </w:rPr>
        <w:t>à laquelle on doit procéder</w:t>
      </w:r>
      <w:r w:rsidRPr="00A40313">
        <w:rPr>
          <w:lang w:val="fr-CA"/>
        </w:rPr>
        <w:t>, les dispositions relatives aux congés non payés continuent de jouer un rôle important à la deuxième étape</w:t>
      </w:r>
      <w:r>
        <w:rPr>
          <w:lang w:val="fr-CA"/>
        </w:rPr>
        <w:t xml:space="preserve"> même si la </w:t>
      </w:r>
      <w:r w:rsidRPr="00A40313">
        <w:rPr>
          <w:lang w:val="fr-CA"/>
        </w:rPr>
        <w:t xml:space="preserve">distinction relative à la </w:t>
      </w:r>
      <w:r w:rsidRPr="00E13DEE">
        <w:rPr>
          <w:lang w:val="fr-CA"/>
        </w:rPr>
        <w:t xml:space="preserve">situation des membres qui partagent un poste par rapport à celle des employés qui prennent des congés non payés ne repose pas sur le sexe. </w:t>
      </w:r>
      <w:r w:rsidRPr="00E13DEE">
        <w:rPr>
          <w:szCs w:val="24"/>
          <w:lang w:val="fr-CA"/>
        </w:rPr>
        <w:t>Le fait d’offrir des prestations de pension qui sont calculées au prorata des heures travaillées ne devient pas une discrimination réelle si les membres qui</w:t>
      </w:r>
      <w:r w:rsidRPr="00A40313">
        <w:rPr>
          <w:szCs w:val="24"/>
          <w:lang w:val="fr-CA"/>
        </w:rPr>
        <w:t xml:space="preserve"> prennent des congés non payés ont le droit de racheter des périodes ouvrant droit à des prestations de pension</w:t>
      </w:r>
      <w:r>
        <w:rPr>
          <w:szCs w:val="24"/>
          <w:lang w:val="fr-CA"/>
        </w:rPr>
        <w:t xml:space="preserve">, car </w:t>
      </w:r>
      <w:r w:rsidRPr="002D0A85">
        <w:rPr>
          <w:lang w:val="fr-CA"/>
        </w:rPr>
        <w:t xml:space="preserve">l’accent </w:t>
      </w:r>
      <w:r>
        <w:rPr>
          <w:lang w:val="fr-CA"/>
        </w:rPr>
        <w:t xml:space="preserve">de l’analyse contextuelle </w:t>
      </w:r>
      <w:r w:rsidRPr="002D0A85">
        <w:rPr>
          <w:lang w:val="fr-CA"/>
        </w:rPr>
        <w:t>doit être mis sur l’effet réel</w:t>
      </w:r>
      <w:r w:rsidR="006B1004">
        <w:rPr>
          <w:lang w:val="fr-CA"/>
        </w:rPr>
        <w:t> </w:t>
      </w:r>
      <w:r w:rsidRPr="002D0A85">
        <w:rPr>
          <w:lang w:val="fr-CA"/>
        </w:rPr>
        <w:t>de la loi</w:t>
      </w:r>
      <w:r>
        <w:rPr>
          <w:lang w:val="fr-CA"/>
        </w:rPr>
        <w:t xml:space="preserve"> à la lumière </w:t>
      </w:r>
      <w:r w:rsidRPr="002D0A85">
        <w:rPr>
          <w:lang w:val="fr-CA"/>
        </w:rPr>
        <w:t xml:space="preserve">de tout son contexte </w:t>
      </w:r>
      <w:r>
        <w:rPr>
          <w:lang w:val="fr-CA"/>
        </w:rPr>
        <w:t>et doit tenir compte de chaque programme de prestations dans son ensemble</w:t>
      </w:r>
      <w:r w:rsidRPr="00307593">
        <w:rPr>
          <w:lang w:val="fr-CA"/>
        </w:rPr>
        <w:t xml:space="preserve">. </w:t>
      </w:r>
    </w:p>
    <w:p w14:paraId="5A993995" w14:textId="77777777" w:rsidR="00453574" w:rsidRPr="00930177" w:rsidRDefault="00453574" w:rsidP="00453574">
      <w:pPr>
        <w:pStyle w:val="SCCNormalDoubleSpacing"/>
        <w:spacing w:after="480"/>
        <w:rPr>
          <w:szCs w:val="24"/>
          <w:lang w:val="fr-CA"/>
        </w:rPr>
      </w:pPr>
      <w:r w:rsidRPr="00307593">
        <w:rPr>
          <w:lang w:val="fr-CA"/>
        </w:rPr>
        <w:tab/>
      </w:r>
      <w:r w:rsidRPr="00443BFC">
        <w:rPr>
          <w:lang w:val="fr-CA"/>
        </w:rPr>
        <w:t>En l’espèce</w:t>
      </w:r>
      <w:r>
        <w:rPr>
          <w:lang w:val="fr-CA"/>
        </w:rPr>
        <w:t xml:space="preserve">, </w:t>
      </w:r>
      <w:r w:rsidRPr="00443BFC">
        <w:rPr>
          <w:lang w:val="fr-CA"/>
        </w:rPr>
        <w:t xml:space="preserve">le dossier ne permet pas de penser que </w:t>
      </w:r>
      <w:r w:rsidRPr="00A40313">
        <w:rPr>
          <w:lang w:val="fr-CA"/>
        </w:rPr>
        <w:t>les limites tracées sont injustifiées, compte tenu de l’ensemble des circonstances</w:t>
      </w:r>
      <w:r>
        <w:rPr>
          <w:lang w:val="fr-CA"/>
        </w:rPr>
        <w:t>. Le ré</w:t>
      </w:r>
      <w:r w:rsidRPr="00443BFC">
        <w:rPr>
          <w:lang w:val="fr-CA"/>
        </w:rPr>
        <w:t xml:space="preserve">gime de pension </w:t>
      </w:r>
      <w:r w:rsidRPr="00A40313">
        <w:rPr>
          <w:lang w:val="fr-CA"/>
        </w:rPr>
        <w:t>n’est</w:t>
      </w:r>
      <w:r>
        <w:rPr>
          <w:lang w:val="fr-CA"/>
        </w:rPr>
        <w:t xml:space="preserve"> pas </w:t>
      </w:r>
      <w:r w:rsidRPr="00A40313">
        <w:rPr>
          <w:lang w:val="fr-CA"/>
        </w:rPr>
        <w:t xml:space="preserve">une source de désavantages systémiques </w:t>
      </w:r>
      <w:r>
        <w:rPr>
          <w:lang w:val="fr-CA"/>
        </w:rPr>
        <w:t xml:space="preserve">permanents car il </w:t>
      </w:r>
      <w:r w:rsidRPr="00A40313">
        <w:rPr>
          <w:lang w:val="fr-CA"/>
        </w:rPr>
        <w:t>ne contribue pas aux désavantages systémiques dont font l’objet les femmes et il n’a pas</w:t>
      </w:r>
      <w:r>
        <w:rPr>
          <w:lang w:val="fr-CA"/>
        </w:rPr>
        <w:t xml:space="preserve"> non plus</w:t>
      </w:r>
      <w:r w:rsidRPr="00A40313">
        <w:rPr>
          <w:lang w:val="fr-CA"/>
        </w:rPr>
        <w:t xml:space="preserve"> pour effet de renforcer, de perpétuer ou d’a</w:t>
      </w:r>
      <w:r>
        <w:rPr>
          <w:lang w:val="fr-CA"/>
        </w:rPr>
        <w:t>ccentuer</w:t>
      </w:r>
      <w:r w:rsidRPr="00A40313">
        <w:rPr>
          <w:lang w:val="fr-CA"/>
        </w:rPr>
        <w:t xml:space="preserve"> les désavantages que subissent déjà les </w:t>
      </w:r>
      <w:r w:rsidRPr="00E13DEE">
        <w:rPr>
          <w:lang w:val="fr-CA"/>
        </w:rPr>
        <w:t>femmes en milieu de travail</w:t>
      </w:r>
      <w:r w:rsidRPr="00A40313">
        <w:rPr>
          <w:lang w:val="fr-CA"/>
        </w:rPr>
        <w:t xml:space="preserve"> en raison notamment du partage inégal des responsabilités parentales</w:t>
      </w:r>
      <w:r>
        <w:rPr>
          <w:lang w:val="fr-CA"/>
        </w:rPr>
        <w:t xml:space="preserve">. </w:t>
      </w:r>
      <w:r w:rsidRPr="008D4C98">
        <w:rPr>
          <w:lang w:val="fr-CA"/>
        </w:rPr>
        <w:t xml:space="preserve">Les dispositions contestées du régime de pension représentent un exemple d’un gouvernement qui </w:t>
      </w:r>
      <w:r w:rsidRPr="00A40313">
        <w:rPr>
          <w:lang w:val="fr-CA"/>
        </w:rPr>
        <w:t>agit de manière progressive pour s’attaquer aux inégalités qui existent au sein de la société</w:t>
      </w:r>
      <w:r>
        <w:rPr>
          <w:lang w:val="fr-CA"/>
        </w:rPr>
        <w:t xml:space="preserve"> </w:t>
      </w:r>
      <w:r w:rsidRPr="00A40313">
        <w:rPr>
          <w:lang w:val="fr-CA"/>
        </w:rPr>
        <w:t xml:space="preserve">en utilisant des dispositions qui n’ont pas en elles-mêmes </w:t>
      </w:r>
      <w:r>
        <w:rPr>
          <w:lang w:val="fr-CA"/>
        </w:rPr>
        <w:t xml:space="preserve">un </w:t>
      </w:r>
      <w:r w:rsidRPr="00A40313">
        <w:rPr>
          <w:lang w:val="fr-CA"/>
        </w:rPr>
        <w:t>effet discriminat</w:t>
      </w:r>
      <w:r>
        <w:rPr>
          <w:lang w:val="fr-CA"/>
        </w:rPr>
        <w:t xml:space="preserve">oire. La loi </w:t>
      </w:r>
      <w:r w:rsidRPr="00A40313">
        <w:rPr>
          <w:lang w:val="fr-CA"/>
        </w:rPr>
        <w:t xml:space="preserve">vise tant </w:t>
      </w:r>
      <w:r>
        <w:rPr>
          <w:lang w:val="fr-CA"/>
        </w:rPr>
        <w:t xml:space="preserve">de par </w:t>
      </w:r>
      <w:r w:rsidRPr="00A40313">
        <w:rPr>
          <w:lang w:val="fr-CA"/>
        </w:rPr>
        <w:t xml:space="preserve">son esprit que </w:t>
      </w:r>
      <w:r>
        <w:rPr>
          <w:lang w:val="fr-CA"/>
        </w:rPr>
        <w:t xml:space="preserve">de </w:t>
      </w:r>
      <w:r w:rsidRPr="00A40313">
        <w:rPr>
          <w:lang w:val="fr-CA"/>
        </w:rPr>
        <w:t>par ses effets à améliorer une situation</w:t>
      </w:r>
      <w:r>
        <w:rPr>
          <w:lang w:val="fr-CA"/>
        </w:rPr>
        <w:t xml:space="preserve">. </w:t>
      </w:r>
    </w:p>
    <w:p w14:paraId="4342F45A" w14:textId="01A413E6" w:rsidR="00453574" w:rsidRPr="006B1BA8" w:rsidRDefault="00453574" w:rsidP="00453574">
      <w:pPr>
        <w:pStyle w:val="SCCNormalDoubleSpacing"/>
        <w:spacing w:after="480"/>
        <w:rPr>
          <w:i/>
          <w:lang w:val="fr-CA"/>
        </w:rPr>
      </w:pPr>
      <w:r w:rsidRPr="00930177">
        <w:rPr>
          <w:szCs w:val="24"/>
          <w:lang w:val="fr-CA"/>
        </w:rPr>
        <w:lastRenderedPageBreak/>
        <w:tab/>
      </w:r>
      <w:r w:rsidRPr="008E18B0">
        <w:rPr>
          <w:szCs w:val="24"/>
          <w:lang w:val="fr-CA"/>
        </w:rPr>
        <w:t>Puisqu’il n’y a pas violation du par.</w:t>
      </w:r>
      <w:r w:rsidR="006B1004">
        <w:rPr>
          <w:szCs w:val="24"/>
          <w:lang w:val="fr-CA"/>
        </w:rPr>
        <w:t> </w:t>
      </w:r>
      <w:r w:rsidRPr="006B1BA8">
        <w:rPr>
          <w:szCs w:val="24"/>
          <w:lang w:val="fr-CA"/>
        </w:rPr>
        <w:t xml:space="preserve">15(1) de la </w:t>
      </w:r>
      <w:r w:rsidRPr="006B1BA8">
        <w:rPr>
          <w:i/>
          <w:szCs w:val="24"/>
          <w:lang w:val="fr-CA"/>
        </w:rPr>
        <w:t>Charte</w:t>
      </w:r>
      <w:r w:rsidRPr="006B1BA8">
        <w:rPr>
          <w:szCs w:val="24"/>
          <w:lang w:val="fr-CA"/>
        </w:rPr>
        <w:t xml:space="preserve">, </w:t>
      </w:r>
      <w:r>
        <w:rPr>
          <w:szCs w:val="24"/>
          <w:lang w:val="fr-CA"/>
        </w:rPr>
        <w:t xml:space="preserve">il n’est pas nécessaire de se pencher sur </w:t>
      </w:r>
      <w:r w:rsidRPr="00A40313">
        <w:rPr>
          <w:szCs w:val="24"/>
          <w:lang w:val="fr-CA"/>
        </w:rPr>
        <w:t>l’article premier</w:t>
      </w:r>
      <w:r w:rsidRPr="006B1BA8">
        <w:rPr>
          <w:szCs w:val="24"/>
          <w:lang w:val="fr-CA"/>
        </w:rPr>
        <w:t>.</w:t>
      </w:r>
    </w:p>
    <w:p w14:paraId="7AA4F7C2" w14:textId="48249812" w:rsidR="00453574" w:rsidRPr="00C96F39" w:rsidRDefault="00453574" w:rsidP="00453574">
      <w:pPr>
        <w:pStyle w:val="SCCNormalDoubleSpacing"/>
        <w:spacing w:after="480"/>
        <w:rPr>
          <w:lang w:val="fr-CA"/>
        </w:rPr>
      </w:pPr>
      <w:r w:rsidRPr="006B1BA8">
        <w:rPr>
          <w:i/>
          <w:lang w:val="fr-CA"/>
        </w:rPr>
        <w:tab/>
      </w:r>
      <w:r w:rsidRPr="00C96F39">
        <w:rPr>
          <w:i/>
          <w:lang w:val="fr-CA"/>
        </w:rPr>
        <w:t xml:space="preserve">La </w:t>
      </w:r>
      <w:r w:rsidRPr="00C96F39">
        <w:rPr>
          <w:lang w:val="fr-CA"/>
        </w:rPr>
        <w:t xml:space="preserve">juge </w:t>
      </w:r>
      <w:r w:rsidRPr="00E034AE">
        <w:rPr>
          <w:lang w:val="fr-CA"/>
        </w:rPr>
        <w:t>Côté</w:t>
      </w:r>
      <w:r w:rsidR="00036D2D">
        <w:rPr>
          <w:lang w:val="fr-CA"/>
        </w:rPr>
        <w:t> </w:t>
      </w:r>
      <w:r w:rsidR="001D4539">
        <w:rPr>
          <w:lang w:val="fr-CA"/>
        </w:rPr>
        <w:t>(dissidente) : La demande</w:t>
      </w:r>
      <w:r w:rsidRPr="00C96F39">
        <w:rPr>
          <w:lang w:val="fr-CA"/>
        </w:rPr>
        <w:t xml:space="preserve"> doit être rejetée à la première étape de l’analyse du par. 15(1) parce que </w:t>
      </w:r>
      <w:r>
        <w:rPr>
          <w:lang w:val="fr-CA"/>
        </w:rPr>
        <w:t xml:space="preserve">les dispositions contestées du régime de </w:t>
      </w:r>
      <w:r w:rsidRPr="00C96F39">
        <w:rPr>
          <w:lang w:val="fr-CA"/>
        </w:rPr>
        <w:t xml:space="preserve">pension </w:t>
      </w:r>
      <w:r>
        <w:rPr>
          <w:lang w:val="fr-CA"/>
        </w:rPr>
        <w:t xml:space="preserve">ne créent pas de </w:t>
      </w:r>
      <w:r w:rsidRPr="00C96F39">
        <w:rPr>
          <w:lang w:val="fr-CA"/>
        </w:rPr>
        <w:t xml:space="preserve">distinction </w:t>
      </w:r>
      <w:r w:rsidRPr="00290716">
        <w:rPr>
          <w:lang w:val="fr-CA"/>
        </w:rPr>
        <w:t>fondée sur le motif énuméré du sexe</w:t>
      </w:r>
      <w:r w:rsidRPr="00C96F39">
        <w:rPr>
          <w:lang w:val="fr-CA"/>
        </w:rPr>
        <w:t xml:space="preserve">. </w:t>
      </w:r>
      <w:r w:rsidRPr="00290716">
        <w:rPr>
          <w:lang w:val="fr-CA"/>
        </w:rPr>
        <w:t>Le</w:t>
      </w:r>
      <w:r>
        <w:rPr>
          <w:lang w:val="fr-CA"/>
        </w:rPr>
        <w:t>s dispositions contestées du</w:t>
      </w:r>
      <w:r w:rsidRPr="00290716">
        <w:rPr>
          <w:lang w:val="fr-CA"/>
        </w:rPr>
        <w:t xml:space="preserve"> régime de pension </w:t>
      </w:r>
      <w:r>
        <w:rPr>
          <w:lang w:val="fr-CA"/>
        </w:rPr>
        <w:t>ont</w:t>
      </w:r>
      <w:r w:rsidRPr="00290716">
        <w:rPr>
          <w:lang w:val="fr-CA"/>
        </w:rPr>
        <w:t xml:space="preserve"> pour effet de créer une distinction qui n’est pas fondée sur le fait d’être </w:t>
      </w:r>
      <w:r w:rsidRPr="001D4539">
        <w:rPr>
          <w:lang w:val="fr-CA"/>
        </w:rPr>
        <w:t>une femme</w:t>
      </w:r>
      <w:r w:rsidRPr="00290716">
        <w:rPr>
          <w:lang w:val="fr-CA"/>
        </w:rPr>
        <w:t xml:space="preserve">, </w:t>
      </w:r>
      <w:r>
        <w:rPr>
          <w:lang w:val="fr-CA"/>
        </w:rPr>
        <w:t xml:space="preserve">c’est-à-dire sur le sexe en tant que tel, mais </w:t>
      </w:r>
      <w:r w:rsidR="004617E9">
        <w:rPr>
          <w:lang w:val="fr-CA"/>
        </w:rPr>
        <w:t>qui est basée</w:t>
      </w:r>
      <w:r>
        <w:rPr>
          <w:lang w:val="fr-CA"/>
        </w:rPr>
        <w:t xml:space="preserve"> sur le</w:t>
      </w:r>
      <w:r w:rsidR="004617E9">
        <w:rPr>
          <w:lang w:val="fr-CA"/>
        </w:rPr>
        <w:t xml:space="preserve"> seul</w:t>
      </w:r>
      <w:r>
        <w:rPr>
          <w:lang w:val="fr-CA"/>
        </w:rPr>
        <w:t xml:space="preserve"> fait </w:t>
      </w:r>
      <w:r w:rsidR="004617E9">
        <w:rPr>
          <w:lang w:val="fr-CA"/>
        </w:rPr>
        <w:t>de</w:t>
      </w:r>
      <w:r>
        <w:rPr>
          <w:lang w:val="fr-CA"/>
        </w:rPr>
        <w:t xml:space="preserve"> s’occupe</w:t>
      </w:r>
      <w:r w:rsidR="004617E9">
        <w:rPr>
          <w:lang w:val="fr-CA"/>
        </w:rPr>
        <w:t>r</w:t>
      </w:r>
      <w:r>
        <w:rPr>
          <w:lang w:val="fr-CA"/>
        </w:rPr>
        <w:t xml:space="preserve"> de quelqu’un ou</w:t>
      </w:r>
      <w:r w:rsidR="004617E9">
        <w:rPr>
          <w:lang w:val="fr-CA"/>
        </w:rPr>
        <w:t xml:space="preserve"> sur </w:t>
      </w:r>
      <w:r w:rsidRPr="004042A2">
        <w:rPr>
          <w:lang w:val="fr-CA"/>
        </w:rPr>
        <w:t>une combinaison du sexe et du fait de s’occuper de quelqu’un</w:t>
      </w:r>
      <w:r w:rsidRPr="00C96F39">
        <w:rPr>
          <w:lang w:val="fr-CA"/>
        </w:rPr>
        <w:t xml:space="preserve">. </w:t>
      </w:r>
    </w:p>
    <w:p w14:paraId="25C1D03A" w14:textId="66342AFE" w:rsidR="00453574" w:rsidRPr="00B54C48" w:rsidRDefault="006B1004" w:rsidP="00453574">
      <w:pPr>
        <w:pStyle w:val="SCCNormalDoubleSpacing"/>
        <w:spacing w:after="480"/>
        <w:rPr>
          <w:lang w:val="fr-CA"/>
        </w:rPr>
      </w:pPr>
      <w:r>
        <w:rPr>
          <w:lang w:val="fr-CA"/>
        </w:rPr>
        <w:tab/>
      </w:r>
      <w:r w:rsidR="00453574" w:rsidRPr="00E83CDB">
        <w:rPr>
          <w:szCs w:val="24"/>
          <w:lang w:val="fr-CA"/>
        </w:rPr>
        <w:t>Les dispositions contestées du régime de pension</w:t>
      </w:r>
      <w:r w:rsidR="004617E9">
        <w:rPr>
          <w:szCs w:val="24"/>
          <w:lang w:val="fr-CA"/>
        </w:rPr>
        <w:t xml:space="preserve"> qui créent de la discrimination à l’égard</w:t>
      </w:r>
      <w:r w:rsidR="00453574" w:rsidRPr="00E83CDB">
        <w:rPr>
          <w:szCs w:val="24"/>
          <w:lang w:val="fr-CA"/>
        </w:rPr>
        <w:t xml:space="preserve"> </w:t>
      </w:r>
      <w:r w:rsidR="004617E9">
        <w:rPr>
          <w:szCs w:val="24"/>
          <w:lang w:val="fr-CA"/>
        </w:rPr>
        <w:t xml:space="preserve">des </w:t>
      </w:r>
      <w:r w:rsidR="00453574" w:rsidRPr="004042A2">
        <w:rPr>
          <w:szCs w:val="24"/>
          <w:lang w:val="fr-CA"/>
        </w:rPr>
        <w:t>personnes</w:t>
      </w:r>
      <w:r w:rsidR="00453574" w:rsidRPr="00290716">
        <w:rPr>
          <w:szCs w:val="24"/>
          <w:lang w:val="fr-CA"/>
        </w:rPr>
        <w:t xml:space="preserve"> qui s’occup</w:t>
      </w:r>
      <w:r w:rsidR="00453574">
        <w:rPr>
          <w:szCs w:val="24"/>
          <w:lang w:val="fr-CA"/>
        </w:rPr>
        <w:t xml:space="preserve">ent de quelqu’un </w:t>
      </w:r>
      <w:r w:rsidR="00453574" w:rsidRPr="00290716">
        <w:rPr>
          <w:szCs w:val="24"/>
          <w:lang w:val="fr-CA"/>
        </w:rPr>
        <w:t>n</w:t>
      </w:r>
      <w:r w:rsidR="00453574">
        <w:rPr>
          <w:szCs w:val="24"/>
          <w:lang w:val="fr-CA"/>
        </w:rPr>
        <w:t>e sont</w:t>
      </w:r>
      <w:r w:rsidR="00453574" w:rsidRPr="00290716">
        <w:rPr>
          <w:szCs w:val="24"/>
          <w:lang w:val="fr-CA"/>
        </w:rPr>
        <w:t xml:space="preserve"> pas </w:t>
      </w:r>
      <w:r w:rsidR="00453574" w:rsidRPr="004617E9">
        <w:rPr>
          <w:iCs/>
          <w:szCs w:val="24"/>
          <w:lang w:val="fr-CA"/>
        </w:rPr>
        <w:t>nécessairement</w:t>
      </w:r>
      <w:r w:rsidR="00453574" w:rsidRPr="004617E9">
        <w:rPr>
          <w:szCs w:val="24"/>
          <w:lang w:val="fr-CA"/>
        </w:rPr>
        <w:t xml:space="preserve"> </w:t>
      </w:r>
      <w:r w:rsidR="00453574" w:rsidRPr="00290716">
        <w:rPr>
          <w:szCs w:val="24"/>
          <w:lang w:val="fr-CA"/>
        </w:rPr>
        <w:t>discriminatoire</w:t>
      </w:r>
      <w:r w:rsidR="00453574">
        <w:rPr>
          <w:szCs w:val="24"/>
          <w:lang w:val="fr-CA"/>
        </w:rPr>
        <w:t>s</w:t>
      </w:r>
      <w:r w:rsidR="00453574" w:rsidRPr="00290716">
        <w:rPr>
          <w:szCs w:val="24"/>
          <w:lang w:val="fr-CA"/>
        </w:rPr>
        <w:t xml:space="preserve"> à l’égard des femmes</w:t>
      </w:r>
      <w:r w:rsidR="00453574" w:rsidRPr="00E83CDB">
        <w:rPr>
          <w:szCs w:val="24"/>
          <w:lang w:val="fr-CA"/>
        </w:rPr>
        <w:t xml:space="preserve">. </w:t>
      </w:r>
      <w:r w:rsidR="00453574" w:rsidRPr="00B54C48">
        <w:rPr>
          <w:szCs w:val="24"/>
          <w:lang w:val="fr-CA"/>
        </w:rPr>
        <w:t>Il y a désacco</w:t>
      </w:r>
      <w:r w:rsidR="004617E9">
        <w:rPr>
          <w:szCs w:val="24"/>
          <w:lang w:val="fr-CA"/>
        </w:rPr>
        <w:t>rd avec l’affirmation qu’effectivement</w:t>
      </w:r>
      <w:r w:rsidR="00453574" w:rsidRPr="00B54C48">
        <w:rPr>
          <w:szCs w:val="24"/>
          <w:lang w:val="fr-CA"/>
        </w:rPr>
        <w:t xml:space="preserve">, </w:t>
      </w:r>
      <w:r w:rsidR="00453574" w:rsidRPr="00B54C48">
        <w:rPr>
          <w:lang w:val="fr-CA"/>
        </w:rPr>
        <w:t xml:space="preserve">la discrimination fondée sur </w:t>
      </w:r>
      <w:r w:rsidR="00453574" w:rsidRPr="00B54C48">
        <w:rPr>
          <w:iCs/>
          <w:lang w:val="fr-CA"/>
        </w:rPr>
        <w:t>le fait de s’occuper d’enfants</w:t>
      </w:r>
      <w:r w:rsidR="00453574" w:rsidRPr="00B54C48">
        <w:rPr>
          <w:lang w:val="fr-CA"/>
        </w:rPr>
        <w:t xml:space="preserve"> équivaut à une discrimination fondée sur le sexe en raison des liens historiques qui existent entre les deux, car </w:t>
      </w:r>
      <w:r w:rsidR="00453574">
        <w:rPr>
          <w:lang w:val="fr-CA"/>
        </w:rPr>
        <w:t>l</w:t>
      </w:r>
      <w:r w:rsidR="00453574" w:rsidRPr="00290716">
        <w:rPr>
          <w:lang w:val="fr-CA"/>
        </w:rPr>
        <w:t xml:space="preserve">a situation de </w:t>
      </w:r>
      <w:r w:rsidR="00453574">
        <w:rPr>
          <w:lang w:val="fr-CA"/>
        </w:rPr>
        <w:t xml:space="preserve">la </w:t>
      </w:r>
      <w:r w:rsidR="00453574" w:rsidRPr="00290716">
        <w:rPr>
          <w:lang w:val="fr-CA"/>
        </w:rPr>
        <w:t>personne qui s’occupe d</w:t>
      </w:r>
      <w:r w:rsidR="00453574">
        <w:rPr>
          <w:lang w:val="fr-CA"/>
        </w:rPr>
        <w:t>e quelqu</w:t>
      </w:r>
      <w:r w:rsidR="00453574" w:rsidRPr="00290716">
        <w:rPr>
          <w:lang w:val="fr-CA"/>
        </w:rPr>
        <w:t>’un</w:t>
      </w:r>
      <w:r w:rsidR="00453574">
        <w:rPr>
          <w:lang w:val="fr-CA"/>
        </w:rPr>
        <w:t xml:space="preserve"> </w:t>
      </w:r>
      <w:r w:rsidR="00453574" w:rsidRPr="00B54C48">
        <w:rPr>
          <w:iCs/>
          <w:lang w:val="fr-CA"/>
        </w:rPr>
        <w:t>peut</w:t>
      </w:r>
      <w:r w:rsidR="00453574" w:rsidRPr="00B54C48">
        <w:rPr>
          <w:lang w:val="fr-CA"/>
        </w:rPr>
        <w:t xml:space="preserve"> </w:t>
      </w:r>
      <w:r w:rsidR="00453574">
        <w:rPr>
          <w:lang w:val="fr-CA"/>
        </w:rPr>
        <w:t xml:space="preserve">être dissociée </w:t>
      </w:r>
      <w:r w:rsidR="00453574" w:rsidRPr="00290716">
        <w:rPr>
          <w:lang w:val="fr-CA"/>
        </w:rPr>
        <w:t>d</w:t>
      </w:r>
      <w:r w:rsidR="00453574">
        <w:rPr>
          <w:lang w:val="fr-CA"/>
        </w:rPr>
        <w:t>e son</w:t>
      </w:r>
      <w:r w:rsidR="00453574" w:rsidRPr="00290716">
        <w:rPr>
          <w:lang w:val="fr-CA"/>
        </w:rPr>
        <w:t xml:space="preserve"> sexe</w:t>
      </w:r>
      <w:r w:rsidR="00453574">
        <w:rPr>
          <w:lang w:val="fr-CA"/>
        </w:rPr>
        <w:t>; a</w:t>
      </w:r>
      <w:r w:rsidR="00453574" w:rsidRPr="00290716">
        <w:rPr>
          <w:szCs w:val="24"/>
          <w:lang w:val="fr-CA"/>
        </w:rPr>
        <w:t xml:space="preserve">u contraire, les couples </w:t>
      </w:r>
      <w:r w:rsidR="00453574" w:rsidRPr="004042A2">
        <w:rPr>
          <w:szCs w:val="24"/>
          <w:lang w:val="fr-CA"/>
        </w:rPr>
        <w:t>de même sexe</w:t>
      </w:r>
      <w:r w:rsidR="00453574" w:rsidRPr="00290716">
        <w:rPr>
          <w:szCs w:val="24"/>
          <w:lang w:val="fr-CA"/>
        </w:rPr>
        <w:t xml:space="preserve"> avec enfants, ainsi que les personnes qui s’occupent de personnes âgées seront tous </w:t>
      </w:r>
      <w:r w:rsidR="00453574">
        <w:rPr>
          <w:szCs w:val="24"/>
          <w:lang w:val="fr-CA"/>
        </w:rPr>
        <w:t>touchés</w:t>
      </w:r>
      <w:r w:rsidR="00453574" w:rsidRPr="00290716">
        <w:rPr>
          <w:szCs w:val="24"/>
          <w:lang w:val="fr-CA"/>
        </w:rPr>
        <w:t xml:space="preserve"> de manière disproportionnée</w:t>
      </w:r>
      <w:r w:rsidR="00453574">
        <w:rPr>
          <w:szCs w:val="24"/>
          <w:lang w:val="fr-CA"/>
        </w:rPr>
        <w:t xml:space="preserve">. </w:t>
      </w:r>
    </w:p>
    <w:p w14:paraId="175E1990" w14:textId="778C22BF" w:rsidR="00453574" w:rsidRPr="005713D8" w:rsidRDefault="00453574" w:rsidP="00453574">
      <w:pPr>
        <w:pStyle w:val="SCCNormalDoubleSpacing"/>
        <w:spacing w:after="480"/>
        <w:rPr>
          <w:lang w:val="fr-CA"/>
        </w:rPr>
      </w:pPr>
      <w:r w:rsidRPr="00B54C48">
        <w:rPr>
          <w:lang w:val="fr-CA"/>
        </w:rPr>
        <w:tab/>
      </w:r>
      <w:r w:rsidRPr="00461BE4">
        <w:rPr>
          <w:lang w:val="fr-CA"/>
        </w:rPr>
        <w:t xml:space="preserve">L’existence d’un effet disproportionné </w:t>
      </w:r>
      <w:r w:rsidRPr="00B54C48">
        <w:rPr>
          <w:lang w:val="fr-CA"/>
        </w:rPr>
        <w:t xml:space="preserve">n’est pas </w:t>
      </w:r>
      <w:r w:rsidRPr="00B54C48">
        <w:rPr>
          <w:iCs/>
          <w:lang w:val="fr-CA"/>
        </w:rPr>
        <w:t>à elle seule</w:t>
      </w:r>
      <w:r w:rsidRPr="00461BE4">
        <w:rPr>
          <w:lang w:val="fr-CA"/>
        </w:rPr>
        <w:t xml:space="preserve"> suffisante pour satisfaire à la première étape de l’analyse fondée sur le par. 15(1)</w:t>
      </w:r>
      <w:r>
        <w:rPr>
          <w:lang w:val="fr-CA"/>
        </w:rPr>
        <w:t xml:space="preserve">. </w:t>
      </w:r>
      <w:r w:rsidRPr="00AD6482">
        <w:rPr>
          <w:lang w:val="fr-CA"/>
        </w:rPr>
        <w:t xml:space="preserve">En fin de compte, dans les cas de discrimination par suite d’un effet préjudiciable, </w:t>
      </w:r>
      <w:r w:rsidRPr="00290716">
        <w:rPr>
          <w:lang w:val="fr-CA"/>
        </w:rPr>
        <w:t>la question qui s</w:t>
      </w:r>
      <w:r>
        <w:rPr>
          <w:lang w:val="fr-CA"/>
        </w:rPr>
        <w:t xml:space="preserve">e pose </w:t>
      </w:r>
      <w:r>
        <w:rPr>
          <w:lang w:val="fr-CA"/>
        </w:rPr>
        <w:lastRenderedPageBreak/>
        <w:t xml:space="preserve">à la première étape est </w:t>
      </w:r>
      <w:r w:rsidRPr="00290716">
        <w:rPr>
          <w:lang w:val="fr-CA"/>
        </w:rPr>
        <w:t>de savoir si,</w:t>
      </w:r>
      <w:r>
        <w:rPr>
          <w:lang w:val="fr-CA"/>
        </w:rPr>
        <w:t xml:space="preserve"> quoique </w:t>
      </w:r>
      <w:r w:rsidRPr="00290716">
        <w:rPr>
          <w:lang w:val="fr-CA"/>
        </w:rPr>
        <w:t xml:space="preserve">neutre en apparence, la </w:t>
      </w:r>
      <w:r>
        <w:rPr>
          <w:lang w:val="fr-CA"/>
        </w:rPr>
        <w:t xml:space="preserve">disposition contestée </w:t>
      </w:r>
      <w:r w:rsidRPr="004C60B3">
        <w:rPr>
          <w:lang w:val="fr-CA"/>
        </w:rPr>
        <w:t>crée</w:t>
      </w:r>
      <w:r w:rsidRPr="00290716">
        <w:rPr>
          <w:lang w:val="fr-CA"/>
        </w:rPr>
        <w:t xml:space="preserve"> une distinction préjudiciable fondée s</w:t>
      </w:r>
      <w:r>
        <w:rPr>
          <w:lang w:val="fr-CA"/>
        </w:rPr>
        <w:t xml:space="preserve">ur un motif énuméré ou analogue. </w:t>
      </w:r>
      <w:r w:rsidRPr="00AD6482">
        <w:rPr>
          <w:lang w:val="fr-CA"/>
        </w:rPr>
        <w:t>La première étape exige la présence</w:t>
      </w:r>
      <w:r>
        <w:rPr>
          <w:lang w:val="fr-CA"/>
        </w:rPr>
        <w:t xml:space="preserve"> </w:t>
      </w:r>
      <w:r>
        <w:rPr>
          <w:szCs w:val="24"/>
          <w:lang w:val="fr-CA"/>
        </w:rPr>
        <w:t xml:space="preserve">d’une </w:t>
      </w:r>
      <w:r w:rsidRPr="00314F90">
        <w:rPr>
          <w:szCs w:val="24"/>
          <w:lang w:val="fr-CA"/>
        </w:rPr>
        <w:t>causalité, d</w:t>
      </w:r>
      <w:r>
        <w:rPr>
          <w:szCs w:val="24"/>
          <w:lang w:val="fr-CA"/>
        </w:rPr>
        <w:t xml:space="preserve">’un lien ou d’une </w:t>
      </w:r>
      <w:r w:rsidRPr="00314F90">
        <w:rPr>
          <w:szCs w:val="24"/>
          <w:lang w:val="fr-CA"/>
        </w:rPr>
        <w:t xml:space="preserve">association entre les dispositions contestées et leur </w:t>
      </w:r>
      <w:r w:rsidRPr="00290716">
        <w:rPr>
          <w:szCs w:val="24"/>
          <w:lang w:val="fr-CA"/>
        </w:rPr>
        <w:t>effet</w:t>
      </w:r>
      <w:r w:rsidRPr="00AD6482">
        <w:rPr>
          <w:lang w:val="fr-CA"/>
        </w:rPr>
        <w:t xml:space="preserve">. </w:t>
      </w:r>
      <w:r>
        <w:rPr>
          <w:lang w:val="fr-CA"/>
        </w:rPr>
        <w:t>On</w:t>
      </w:r>
      <w:r w:rsidR="004617E9">
        <w:rPr>
          <w:lang w:val="fr-CA"/>
        </w:rPr>
        <w:t xml:space="preserve"> ne</w:t>
      </w:r>
      <w:r>
        <w:rPr>
          <w:lang w:val="fr-CA"/>
        </w:rPr>
        <w:t xml:space="preserve"> peut franchir cette</w:t>
      </w:r>
      <w:r w:rsidR="0063705A">
        <w:rPr>
          <w:lang w:val="fr-CA"/>
        </w:rPr>
        <w:t xml:space="preserve"> étape sans avoir établi </w:t>
      </w:r>
      <w:r w:rsidRPr="00290716">
        <w:rPr>
          <w:lang w:val="fr-CA"/>
        </w:rPr>
        <w:t>l’existence d’un lien entre l</w:t>
      </w:r>
      <w:r>
        <w:rPr>
          <w:lang w:val="fr-CA"/>
        </w:rPr>
        <w:t>a</w:t>
      </w:r>
      <w:r w:rsidRPr="00290716">
        <w:rPr>
          <w:lang w:val="fr-CA"/>
        </w:rPr>
        <w:t xml:space="preserve"> disposition</w:t>
      </w:r>
      <w:r>
        <w:rPr>
          <w:lang w:val="fr-CA"/>
        </w:rPr>
        <w:t xml:space="preserve"> législative</w:t>
      </w:r>
      <w:r w:rsidRPr="00290716">
        <w:rPr>
          <w:lang w:val="fr-CA"/>
        </w:rPr>
        <w:t xml:space="preserve"> contestée et l’effet disproportionné</w:t>
      </w:r>
      <w:r w:rsidRPr="002C69CF">
        <w:rPr>
          <w:lang w:val="fr-CA"/>
        </w:rPr>
        <w:t xml:space="preserve">. </w:t>
      </w:r>
      <w:r w:rsidRPr="00753D8E">
        <w:rPr>
          <w:lang w:val="fr-CA"/>
        </w:rPr>
        <w:t xml:space="preserve">Dans les cas de discrimination par suite d’un effet préjudiciable, la première étape est une étape où </w:t>
      </w:r>
      <w:r>
        <w:rPr>
          <w:lang w:val="fr-CA"/>
        </w:rPr>
        <w:t xml:space="preserve">le demandeur a une tâche plus lourde, contrairement à celle de l’article premier, où le fardeau est imposé au gouvernement. </w:t>
      </w:r>
      <w:r w:rsidRPr="005713D8">
        <w:rPr>
          <w:lang w:val="fr-CA"/>
        </w:rPr>
        <w:t>S’il suffisait de démontrer l’existence d’un effet disproportionné, cela inviterait les part</w:t>
      </w:r>
      <w:r>
        <w:rPr>
          <w:lang w:val="fr-CA"/>
        </w:rPr>
        <w:t xml:space="preserve">ies à débattre de statistiques, un résultat qui ne serait pas souhaitable, notamment parce que les statistiques évoluent sans cesse. </w:t>
      </w:r>
    </w:p>
    <w:p w14:paraId="100770A6" w14:textId="36D3F8E8" w:rsidR="00453574" w:rsidRPr="00641E5D" w:rsidRDefault="00453574" w:rsidP="00453574">
      <w:pPr>
        <w:pStyle w:val="SCCNormalDoubleSpacing"/>
        <w:spacing w:after="480"/>
        <w:rPr>
          <w:lang w:val="fr-CA"/>
        </w:rPr>
      </w:pPr>
      <w:r w:rsidRPr="005713D8">
        <w:rPr>
          <w:lang w:val="fr-CA"/>
        </w:rPr>
        <w:tab/>
      </w:r>
      <w:r w:rsidRPr="00682711">
        <w:rPr>
          <w:lang w:val="fr-CA"/>
        </w:rPr>
        <w:t xml:space="preserve">En l’espèce, la demande est formulée au nom des femmes </w:t>
      </w:r>
      <w:r>
        <w:rPr>
          <w:lang w:val="fr-CA"/>
        </w:rPr>
        <w:t>qui ont des enfants</w:t>
      </w:r>
      <w:r w:rsidRPr="00682711">
        <w:rPr>
          <w:lang w:val="fr-CA"/>
        </w:rPr>
        <w:t xml:space="preserve">, </w:t>
      </w:r>
      <w:r w:rsidRPr="00F12024">
        <w:rPr>
          <w:lang w:val="fr-CA"/>
        </w:rPr>
        <w:t xml:space="preserve">et non simplement au nom des femmes </w:t>
      </w:r>
      <w:r>
        <w:rPr>
          <w:lang w:val="fr-CA"/>
        </w:rPr>
        <w:t>en général</w:t>
      </w:r>
      <w:r w:rsidRPr="00682711">
        <w:rPr>
          <w:lang w:val="fr-CA"/>
        </w:rPr>
        <w:t xml:space="preserve">. </w:t>
      </w:r>
      <w:r>
        <w:rPr>
          <w:lang w:val="fr-CA"/>
        </w:rPr>
        <w:t>L</w:t>
      </w:r>
      <w:r w:rsidRPr="00F12024">
        <w:rPr>
          <w:lang w:val="fr-CA"/>
        </w:rPr>
        <w:t xml:space="preserve">e fait que les </w:t>
      </w:r>
      <w:r>
        <w:rPr>
          <w:lang w:val="fr-CA"/>
        </w:rPr>
        <w:t xml:space="preserve">demanderesses </w:t>
      </w:r>
      <w:r w:rsidRPr="00F12024">
        <w:rPr>
          <w:lang w:val="fr-CA"/>
        </w:rPr>
        <w:t xml:space="preserve">avaient la charge de s’occuper de leurs enfants et que les responsabilités qu’elles ont assumées à ce titre les ont incitées à prendre la décision de partager leur poste </w:t>
      </w:r>
      <w:r>
        <w:rPr>
          <w:lang w:val="fr-CA"/>
        </w:rPr>
        <w:t xml:space="preserve">est </w:t>
      </w:r>
      <w:r w:rsidRPr="00F12024">
        <w:rPr>
          <w:lang w:val="fr-CA"/>
        </w:rPr>
        <w:t>essentiel</w:t>
      </w:r>
      <w:r w:rsidRPr="00F065CD">
        <w:rPr>
          <w:lang w:val="fr-CA"/>
        </w:rPr>
        <w:t xml:space="preserve">. </w:t>
      </w:r>
      <w:r w:rsidRPr="00BE71A6">
        <w:rPr>
          <w:lang w:val="fr-CA"/>
        </w:rPr>
        <w:t>L</w:t>
      </w:r>
      <w:r w:rsidRPr="00BE71A6">
        <w:rPr>
          <w:szCs w:val="24"/>
          <w:lang w:val="fr-CA"/>
        </w:rPr>
        <w:t xml:space="preserve">es disparités statistiques démontrant que </w:t>
      </w:r>
      <w:r w:rsidRPr="00290716">
        <w:rPr>
          <w:szCs w:val="24"/>
          <w:lang w:val="fr-CA"/>
        </w:rPr>
        <w:t>les femmes sont touchées de manière disproportionnée</w:t>
      </w:r>
      <w:r w:rsidRPr="00BE71A6">
        <w:rPr>
          <w:lang w:val="fr-CA"/>
        </w:rPr>
        <w:t xml:space="preserve"> </w:t>
      </w:r>
      <w:r w:rsidRPr="00BE71A6">
        <w:rPr>
          <w:szCs w:val="24"/>
          <w:lang w:val="fr-CA"/>
        </w:rPr>
        <w:t xml:space="preserve">— </w:t>
      </w:r>
      <w:r w:rsidRPr="00BE71A6">
        <w:rPr>
          <w:lang w:val="fr-CA"/>
        </w:rPr>
        <w:t xml:space="preserve">vu que </w:t>
      </w:r>
      <w:r w:rsidRPr="00461BE4">
        <w:rPr>
          <w:lang w:val="fr-CA"/>
        </w:rPr>
        <w:t>la majorité des employés qui recourent à la formule du partage de poste sont</w:t>
      </w:r>
      <w:r>
        <w:rPr>
          <w:lang w:val="fr-CA"/>
        </w:rPr>
        <w:t xml:space="preserve"> </w:t>
      </w:r>
      <w:r w:rsidRPr="00461BE4">
        <w:rPr>
          <w:lang w:val="fr-CA"/>
        </w:rPr>
        <w:t>des femmes avec des enfa</w:t>
      </w:r>
      <w:r>
        <w:rPr>
          <w:lang w:val="fr-CA"/>
        </w:rPr>
        <w:t xml:space="preserve">nts </w:t>
      </w:r>
      <w:r w:rsidRPr="00BE71A6">
        <w:rPr>
          <w:szCs w:val="24"/>
          <w:lang w:val="fr-CA"/>
        </w:rPr>
        <w:t xml:space="preserve">— </w:t>
      </w:r>
      <w:r>
        <w:rPr>
          <w:szCs w:val="24"/>
          <w:lang w:val="fr-CA"/>
        </w:rPr>
        <w:t xml:space="preserve">sont insuffisantes pour </w:t>
      </w:r>
      <w:r w:rsidRPr="00461BE4">
        <w:rPr>
          <w:lang w:val="fr-CA"/>
        </w:rPr>
        <w:t>satisfaire aux exigences de la première étape de l’analyse</w:t>
      </w:r>
      <w:r w:rsidRPr="00BE71A6">
        <w:rPr>
          <w:lang w:val="fr-CA"/>
        </w:rPr>
        <w:t xml:space="preserve">. </w:t>
      </w:r>
      <w:r w:rsidRPr="00641E5D">
        <w:rPr>
          <w:lang w:val="fr-CA"/>
        </w:rPr>
        <w:t xml:space="preserve">Rien ne justifie que la question du partage de poste ne concerne que le sexe; la question est plutôt liée à la situation de la personne qui s’occupe de quelqu’un parce que </w:t>
      </w:r>
      <w:r w:rsidRPr="00DF3983">
        <w:rPr>
          <w:lang w:val="fr-CA"/>
        </w:rPr>
        <w:t>le partage de poste</w:t>
      </w:r>
      <w:r>
        <w:rPr>
          <w:lang w:val="fr-CA"/>
        </w:rPr>
        <w:t xml:space="preserve"> est </w:t>
      </w:r>
      <w:r>
        <w:rPr>
          <w:lang w:val="fr-CA"/>
        </w:rPr>
        <w:lastRenderedPageBreak/>
        <w:t xml:space="preserve">une </w:t>
      </w:r>
      <w:r w:rsidRPr="00DF3983">
        <w:rPr>
          <w:lang w:val="fr-CA"/>
        </w:rPr>
        <w:t>solution qui s’offre</w:t>
      </w:r>
      <w:r>
        <w:rPr>
          <w:lang w:val="fr-CA"/>
        </w:rPr>
        <w:t xml:space="preserve"> à tous les membres </w:t>
      </w:r>
      <w:r w:rsidRPr="00DF3983">
        <w:rPr>
          <w:lang w:val="fr-CA"/>
        </w:rPr>
        <w:t>qui doivent s’occuper</w:t>
      </w:r>
      <w:r w:rsidRPr="00641E5D">
        <w:rPr>
          <w:lang w:val="fr-CA"/>
        </w:rPr>
        <w:t xml:space="preserve"> </w:t>
      </w:r>
      <w:r w:rsidR="004617E9">
        <w:rPr>
          <w:lang w:val="fr-CA"/>
        </w:rPr>
        <w:t>de quelqu’un, et non</w:t>
      </w:r>
      <w:r>
        <w:rPr>
          <w:lang w:val="fr-CA"/>
        </w:rPr>
        <w:t xml:space="preserve"> seulement aux membres d’un sexe ou d’un autre qui ont des enfants. </w:t>
      </w:r>
    </w:p>
    <w:p w14:paraId="087940C9" w14:textId="7C27B723" w:rsidR="00453574" w:rsidRPr="00EB4E41" w:rsidRDefault="00453574" w:rsidP="006B1004">
      <w:pPr>
        <w:pStyle w:val="SCCNormalDoubleSpacing"/>
        <w:spacing w:after="480"/>
        <w:rPr>
          <w:lang w:val="fr-CA"/>
        </w:rPr>
      </w:pPr>
      <w:r w:rsidRPr="00641E5D">
        <w:rPr>
          <w:lang w:val="fr-CA"/>
        </w:rPr>
        <w:tab/>
      </w:r>
      <w:r w:rsidRPr="008F3B54">
        <w:rPr>
          <w:lang w:val="fr-CA"/>
        </w:rPr>
        <w:t>Vu la conclusion que toute distinction dépend non pas du sexe de l’individu, mais bien uniquement du fait qu’il s’occupe de quelqu’un</w:t>
      </w:r>
      <w:r>
        <w:rPr>
          <w:lang w:val="fr-CA"/>
        </w:rPr>
        <w:t>, et</w:t>
      </w:r>
      <w:r w:rsidRPr="008F3B54">
        <w:rPr>
          <w:lang w:val="fr-CA"/>
        </w:rPr>
        <w:t xml:space="preserve"> </w:t>
      </w:r>
      <w:r w:rsidRPr="00290716">
        <w:rPr>
          <w:lang w:val="fr-CA"/>
        </w:rPr>
        <w:t xml:space="preserve">que </w:t>
      </w:r>
      <w:r>
        <w:rPr>
          <w:lang w:val="fr-CA"/>
        </w:rPr>
        <w:t xml:space="preserve">la </w:t>
      </w:r>
      <w:r w:rsidR="004617E9">
        <w:rPr>
          <w:lang w:val="fr-CA"/>
        </w:rPr>
        <w:t>Cour</w:t>
      </w:r>
      <w:r w:rsidRPr="00290716">
        <w:rPr>
          <w:lang w:val="fr-CA"/>
        </w:rPr>
        <w:t xml:space="preserve"> </w:t>
      </w:r>
      <w:r>
        <w:rPr>
          <w:lang w:val="fr-CA"/>
        </w:rPr>
        <w:t xml:space="preserve">n’a pas reconnu </w:t>
      </w:r>
      <w:r w:rsidR="004617E9">
        <w:rPr>
          <w:lang w:val="fr-CA"/>
        </w:rPr>
        <w:t xml:space="preserve">comme motifs analogues </w:t>
      </w:r>
      <w:r w:rsidRPr="00290716">
        <w:rPr>
          <w:lang w:val="fr-CA"/>
        </w:rPr>
        <w:t>la situation de la personne qui s’occupe d’un proche</w:t>
      </w:r>
      <w:r>
        <w:rPr>
          <w:lang w:val="fr-CA"/>
        </w:rPr>
        <w:t xml:space="preserve">, </w:t>
      </w:r>
      <w:r w:rsidRPr="00290716">
        <w:rPr>
          <w:lang w:val="fr-CA"/>
        </w:rPr>
        <w:t>l</w:t>
      </w:r>
      <w:r>
        <w:rPr>
          <w:lang w:val="fr-CA"/>
        </w:rPr>
        <w:t xml:space="preserve">’état parental ou la </w:t>
      </w:r>
      <w:r w:rsidRPr="00290716">
        <w:rPr>
          <w:lang w:val="fr-CA"/>
        </w:rPr>
        <w:t>situation familiale</w:t>
      </w:r>
      <w:r>
        <w:rPr>
          <w:lang w:val="fr-CA"/>
        </w:rPr>
        <w:t xml:space="preserve">, </w:t>
      </w:r>
      <w:r w:rsidRPr="00290716">
        <w:rPr>
          <w:lang w:val="fr-CA"/>
        </w:rPr>
        <w:t xml:space="preserve">la prétention des </w:t>
      </w:r>
      <w:r>
        <w:rPr>
          <w:lang w:val="fr-CA"/>
        </w:rPr>
        <w:t xml:space="preserve">demanderesses </w:t>
      </w:r>
      <w:r w:rsidR="00FD70BF">
        <w:rPr>
          <w:lang w:val="fr-CA"/>
        </w:rPr>
        <w:t xml:space="preserve">dans la présente affaire </w:t>
      </w:r>
      <w:r>
        <w:rPr>
          <w:lang w:val="fr-CA"/>
        </w:rPr>
        <w:t xml:space="preserve">doit être rejetée </w:t>
      </w:r>
      <w:r w:rsidRPr="00290716">
        <w:rPr>
          <w:lang w:val="fr-CA"/>
        </w:rPr>
        <w:t>à la première étape de l’analyse du par. 15</w:t>
      </w:r>
      <w:r w:rsidRPr="008F3B54">
        <w:rPr>
          <w:lang w:val="fr-CA"/>
        </w:rPr>
        <w:t>(1)</w:t>
      </w:r>
      <w:r>
        <w:rPr>
          <w:lang w:val="fr-CA"/>
        </w:rPr>
        <w:t xml:space="preserve">. </w:t>
      </w:r>
      <w:r w:rsidRPr="00290716">
        <w:rPr>
          <w:lang w:val="fr-CA"/>
        </w:rPr>
        <w:t xml:space="preserve">Certes, il se peut fort bien que les dispositions contestées ne soient pas rationnelles et qu’il n’existe en fait aucune raison logique de refuser aux agents qui optent pour le </w:t>
      </w:r>
      <w:r>
        <w:rPr>
          <w:lang w:val="fr-CA"/>
        </w:rPr>
        <w:t>partage de poste</w:t>
      </w:r>
      <w:r w:rsidRPr="00290716">
        <w:rPr>
          <w:lang w:val="fr-CA"/>
        </w:rPr>
        <w:t xml:space="preserve"> les prestations de pension complètes qui sont garanties aux agents à temp</w:t>
      </w:r>
      <w:r>
        <w:rPr>
          <w:lang w:val="fr-CA"/>
        </w:rPr>
        <w:t xml:space="preserve">s plein et aux agents en congé non payé. </w:t>
      </w:r>
      <w:r w:rsidR="004617E9">
        <w:rPr>
          <w:lang w:val="fr-CA"/>
        </w:rPr>
        <w:t>Mais il n’appartient pas à la</w:t>
      </w:r>
      <w:r w:rsidRPr="00290716">
        <w:rPr>
          <w:lang w:val="fr-CA"/>
        </w:rPr>
        <w:t xml:space="preserve"> Cour de constitutionnaliser un</w:t>
      </w:r>
      <w:r>
        <w:rPr>
          <w:lang w:val="fr-CA"/>
        </w:rPr>
        <w:t xml:space="preserve"> jugement </w:t>
      </w:r>
      <w:r w:rsidRPr="00290716">
        <w:rPr>
          <w:lang w:val="fr-CA"/>
        </w:rPr>
        <w:t>normati</w:t>
      </w:r>
      <w:r>
        <w:rPr>
          <w:lang w:val="fr-CA"/>
        </w:rPr>
        <w:t xml:space="preserve">f </w:t>
      </w:r>
      <w:r w:rsidRPr="00290716">
        <w:rPr>
          <w:lang w:val="fr-CA"/>
        </w:rPr>
        <w:t xml:space="preserve">en ce sens. </w:t>
      </w:r>
      <w:r w:rsidRPr="00D27AF2">
        <w:rPr>
          <w:lang w:val="fr-CA"/>
        </w:rPr>
        <w:t xml:space="preserve">Ce rôle incombe aux électeurs et, en dernière analyse, au législateur. </w:t>
      </w:r>
      <w:r w:rsidRPr="00290716">
        <w:rPr>
          <w:lang w:val="fr-CA"/>
        </w:rPr>
        <w:t>Il appartient donc au législateur, et non aux tribunaux, d</w:t>
      </w:r>
      <w:r>
        <w:rPr>
          <w:lang w:val="fr-CA"/>
        </w:rPr>
        <w:t xml:space="preserve">e remédier au </w:t>
      </w:r>
      <w:r w:rsidRPr="00290716">
        <w:rPr>
          <w:lang w:val="fr-CA"/>
        </w:rPr>
        <w:t xml:space="preserve">caractère trop restrictif de la présente loi, qui était censée à l’origine venir en aide aux personnes qui </w:t>
      </w:r>
      <w:r>
        <w:rPr>
          <w:lang w:val="fr-CA"/>
        </w:rPr>
        <w:t xml:space="preserve">prennent soin de quelqu’un. </w:t>
      </w:r>
    </w:p>
    <w:p w14:paraId="0DE34FDB" w14:textId="2EB72681" w:rsidR="004D7D95" w:rsidRPr="00593AA6" w:rsidRDefault="00453574" w:rsidP="00453574">
      <w:pPr>
        <w:pStyle w:val="SCCNormalDoubleSpacing"/>
        <w:spacing w:after="480"/>
        <w:rPr>
          <w:lang w:val="fr-CA"/>
        </w:rPr>
      </w:pPr>
      <w:r w:rsidRPr="00EB4E41">
        <w:rPr>
          <w:lang w:val="fr-CA"/>
        </w:rPr>
        <w:tab/>
      </w:r>
      <w:r w:rsidRPr="0025508A">
        <w:rPr>
          <w:lang w:val="fr-CA"/>
        </w:rPr>
        <w:t xml:space="preserve">Puisque l’existence d’une distinction fondée sur le sexe ne peut être démontrée, </w:t>
      </w:r>
      <w:r w:rsidRPr="00290716">
        <w:rPr>
          <w:lang w:val="fr-CA"/>
        </w:rPr>
        <w:t>il n’est pas nécessaire de passer à la seconde étape de l’analyse</w:t>
      </w:r>
      <w:r>
        <w:rPr>
          <w:lang w:val="fr-CA"/>
        </w:rPr>
        <w:t>.</w:t>
      </w:r>
    </w:p>
    <w:p w14:paraId="68BC64F0" w14:textId="77777777" w:rsidR="004D7D95" w:rsidRPr="00593AA6" w:rsidRDefault="004D7D95" w:rsidP="0009382E">
      <w:pPr>
        <w:pStyle w:val="SCCNormalDoubleSpacing"/>
        <w:spacing w:after="720" w:line="240" w:lineRule="auto"/>
        <w:rPr>
          <w:b/>
          <w:lang w:val="fr-CA"/>
        </w:rPr>
      </w:pPr>
      <w:r w:rsidRPr="00593AA6">
        <w:rPr>
          <w:b/>
          <w:lang w:val="fr-CA"/>
        </w:rPr>
        <w:t>Jurisprudence</w:t>
      </w:r>
    </w:p>
    <w:p w14:paraId="1E792794" w14:textId="77777777" w:rsidR="004D7D95" w:rsidRPr="00593AA6" w:rsidRDefault="00651A87" w:rsidP="0009382E">
      <w:pPr>
        <w:pStyle w:val="SCCNormalDoubleSpacing"/>
        <w:spacing w:after="720" w:line="240" w:lineRule="auto"/>
        <w:rPr>
          <w:lang w:val="fr-CA"/>
        </w:rPr>
      </w:pPr>
      <w:r w:rsidRPr="00593AA6">
        <w:rPr>
          <w:lang w:val="fr-CA"/>
        </w:rPr>
        <w:t>Citée par la juge Abella</w:t>
      </w:r>
    </w:p>
    <w:p w14:paraId="6E7F7D85" w14:textId="6AF80815" w:rsidR="00515C00" w:rsidRPr="00654E5A" w:rsidRDefault="004D7D95" w:rsidP="0009382E">
      <w:pPr>
        <w:pStyle w:val="SCCNormalDoubleSpacing"/>
        <w:spacing w:after="480"/>
        <w:rPr>
          <w:lang w:val="fr-CA"/>
        </w:rPr>
      </w:pPr>
      <w:r w:rsidRPr="00593AA6">
        <w:rPr>
          <w:lang w:val="fr-CA"/>
        </w:rPr>
        <w:lastRenderedPageBreak/>
        <w:tab/>
      </w:r>
      <w:r w:rsidRPr="006B1004">
        <w:rPr>
          <w:b/>
          <w:lang w:val="fr-CA"/>
        </w:rPr>
        <w:t>Arrêts mentionnés</w:t>
      </w:r>
      <w:r w:rsidR="002167F7" w:rsidRPr="006B1004">
        <w:rPr>
          <w:b/>
          <w:lang w:val="fr-CA"/>
        </w:rPr>
        <w:t> :</w:t>
      </w:r>
      <w:r w:rsidRPr="00593AA6">
        <w:rPr>
          <w:lang w:val="fr-CA"/>
        </w:rPr>
        <w:t xml:space="preserve"> </w:t>
      </w:r>
      <w:r w:rsidR="00596470" w:rsidRPr="00593AA6">
        <w:rPr>
          <w:i/>
          <w:lang w:val="fr-CA"/>
        </w:rPr>
        <w:t>Québec (Procureur général) c. A</w:t>
      </w:r>
      <w:r w:rsidR="00596470" w:rsidRPr="00593AA6">
        <w:rPr>
          <w:lang w:val="fr-CA"/>
        </w:rPr>
        <w:t>, 2013 CSC 5, [2013] 1 R.C.S. 61;</w:t>
      </w:r>
      <w:r w:rsidR="00830361" w:rsidRPr="00593AA6">
        <w:rPr>
          <w:bCs/>
          <w:i/>
          <w:iCs/>
          <w:lang w:val="fr-CA"/>
        </w:rPr>
        <w:t xml:space="preserve"> Première Nation de Kahkewistahaw c. Taypotat</w:t>
      </w:r>
      <w:r w:rsidR="00830361" w:rsidRPr="00593AA6">
        <w:rPr>
          <w:bCs/>
          <w:lang w:val="fr-CA"/>
        </w:rPr>
        <w:t>, 2015 CSC 30, [2015] 2 R.C.S. 548;</w:t>
      </w:r>
      <w:r w:rsidR="00566B64" w:rsidRPr="00593AA6">
        <w:rPr>
          <w:i/>
          <w:lang w:val="fr-CA"/>
        </w:rPr>
        <w:t xml:space="preserve"> Québec (Procureure générale) c. Alliance du personnel professionnel et technique de la </w:t>
      </w:r>
      <w:r w:rsidR="00566B64" w:rsidRPr="00593AA6">
        <w:rPr>
          <w:bCs/>
          <w:i/>
          <w:lang w:val="fr-CA"/>
        </w:rPr>
        <w:t>santé et des services sociaux</w:t>
      </w:r>
      <w:r w:rsidR="00566B64" w:rsidRPr="00593AA6">
        <w:rPr>
          <w:bCs/>
          <w:lang w:val="fr-CA"/>
        </w:rPr>
        <w:t>, 2018 CSC 17, [2018] 1 R.C.S. 464;</w:t>
      </w:r>
      <w:r w:rsidR="00A942BA" w:rsidRPr="00593AA6">
        <w:rPr>
          <w:i/>
          <w:lang w:val="fr-CA"/>
        </w:rPr>
        <w:t xml:space="preserve"> Centrale des syndicats du </w:t>
      </w:r>
      <w:r w:rsidR="00A942BA" w:rsidRPr="00593AA6">
        <w:rPr>
          <w:bCs/>
          <w:i/>
          <w:lang w:val="fr-CA"/>
        </w:rPr>
        <w:t>Québec c. Québec (Procureure générale)</w:t>
      </w:r>
      <w:r w:rsidR="00A942BA" w:rsidRPr="00593AA6">
        <w:rPr>
          <w:bCs/>
          <w:lang w:val="fr-CA"/>
        </w:rPr>
        <w:t>, 2018 CSC 18, [2018] 1 R.C.S. 522;</w:t>
      </w:r>
      <w:r w:rsidR="001124E3" w:rsidRPr="00593AA6">
        <w:rPr>
          <w:i/>
          <w:lang w:val="fr-CA"/>
        </w:rPr>
        <w:t xml:space="preserve"> Withler c. Canada (</w:t>
      </w:r>
      <w:r w:rsidR="001124E3" w:rsidRPr="00593AA6">
        <w:rPr>
          <w:bCs/>
          <w:i/>
          <w:lang w:val="fr-CA"/>
        </w:rPr>
        <w:t>Procureur général</w:t>
      </w:r>
      <w:r w:rsidR="001124E3" w:rsidRPr="00593AA6">
        <w:rPr>
          <w:i/>
          <w:lang w:val="fr-CA"/>
        </w:rPr>
        <w:t>)</w:t>
      </w:r>
      <w:r w:rsidR="001124E3" w:rsidRPr="00593AA6">
        <w:rPr>
          <w:lang w:val="fr-CA"/>
        </w:rPr>
        <w:t>, 2011 CSC 12, [2011] 1 R.C.S. 396;</w:t>
      </w:r>
      <w:r w:rsidR="00B46FD2" w:rsidRPr="00593AA6">
        <w:rPr>
          <w:i/>
          <w:lang w:val="fr-CA"/>
        </w:rPr>
        <w:t xml:space="preserve"> Griggs c. Duke Power Co.</w:t>
      </w:r>
      <w:r w:rsidR="00B46FD2" w:rsidRPr="00593AA6">
        <w:rPr>
          <w:lang w:val="fr-CA"/>
        </w:rPr>
        <w:t>, 401 U.S. 424 (1971);</w:t>
      </w:r>
      <w:r w:rsidR="00C21D72" w:rsidRPr="00593AA6">
        <w:rPr>
          <w:i/>
          <w:lang w:val="fr-CA"/>
        </w:rPr>
        <w:t xml:space="preserve"> </w:t>
      </w:r>
      <w:r w:rsidR="00585A77" w:rsidRPr="00593AA6">
        <w:rPr>
          <w:i/>
          <w:lang w:val="fr-CA"/>
        </w:rPr>
        <w:t>Colombie</w:t>
      </w:r>
      <w:r w:rsidR="002167F7">
        <w:rPr>
          <w:i/>
          <w:lang w:val="fr-CA"/>
        </w:rPr>
        <w:noBreakHyphen/>
      </w:r>
      <w:r w:rsidR="00C21D72" w:rsidRPr="00593AA6">
        <w:rPr>
          <w:i/>
          <w:lang w:val="fr-CA"/>
        </w:rPr>
        <w:t>Britannique (Public Service Employee Relations Commission) c. BCGSEU</w:t>
      </w:r>
      <w:r w:rsidR="00C21D72" w:rsidRPr="00593AA6">
        <w:rPr>
          <w:lang w:val="fr-CA"/>
        </w:rPr>
        <w:t>, [1999] 3 R.C.S. 3;</w:t>
      </w:r>
      <w:r w:rsidR="00E7795D" w:rsidRPr="00593AA6">
        <w:rPr>
          <w:i/>
          <w:iCs/>
          <w:lang w:val="fr-CA" w:bidi="en-US"/>
        </w:rPr>
        <w:t xml:space="preserve"> Canada (Commission des droits de la personne) c. Taylor</w:t>
      </w:r>
      <w:r w:rsidR="00E7795D" w:rsidRPr="00593AA6">
        <w:rPr>
          <w:iCs/>
          <w:lang w:val="fr-CA" w:bidi="en-US"/>
        </w:rPr>
        <w:t>,</w:t>
      </w:r>
      <w:r w:rsidR="00E7795D" w:rsidRPr="00593AA6">
        <w:rPr>
          <w:i/>
          <w:iCs/>
          <w:lang w:val="fr-CA" w:bidi="en-US"/>
        </w:rPr>
        <w:t xml:space="preserve"> </w:t>
      </w:r>
      <w:r w:rsidR="00E7795D" w:rsidRPr="00593AA6">
        <w:rPr>
          <w:iCs/>
          <w:lang w:val="fr-CA" w:bidi="en-US"/>
        </w:rPr>
        <w:t>[1990] 3 R.C.S. 892;</w:t>
      </w:r>
      <w:r w:rsidR="00527FA2" w:rsidRPr="00593AA6">
        <w:rPr>
          <w:i/>
          <w:iCs/>
          <w:color w:val="000000"/>
          <w:lang w:val="fr-CA"/>
        </w:rPr>
        <w:t xml:space="preserve"> Commission ontarienne des droits de la personne c. Simpsons</w:t>
      </w:r>
      <w:r w:rsidR="002167F7">
        <w:rPr>
          <w:i/>
          <w:iCs/>
          <w:color w:val="000000"/>
          <w:lang w:val="fr-CA"/>
        </w:rPr>
        <w:noBreakHyphen/>
      </w:r>
      <w:r w:rsidR="00527FA2" w:rsidRPr="00593AA6">
        <w:rPr>
          <w:i/>
          <w:iCs/>
          <w:color w:val="000000"/>
          <w:lang w:val="fr-CA"/>
        </w:rPr>
        <w:t>Sears Ltd.</w:t>
      </w:r>
      <w:r w:rsidR="00527FA2" w:rsidRPr="00593AA6">
        <w:rPr>
          <w:color w:val="000000"/>
          <w:lang w:val="fr-CA"/>
        </w:rPr>
        <w:t>, [1985] 2 R.C.S. 536;</w:t>
      </w:r>
      <w:r w:rsidR="00384273" w:rsidRPr="00593AA6">
        <w:rPr>
          <w:color w:val="000000"/>
          <w:lang w:val="fr-CA"/>
        </w:rPr>
        <w:t xml:space="preserve"> </w:t>
      </w:r>
      <w:r w:rsidR="00384273" w:rsidRPr="00593AA6">
        <w:rPr>
          <w:i/>
          <w:color w:val="000000"/>
          <w:lang w:val="fr-CA"/>
        </w:rPr>
        <w:t>Compagnie des chemins de fer nationaux du Canada c. Canada (Commission canadienne des droits de la personne)</w:t>
      </w:r>
      <w:r w:rsidR="00384273" w:rsidRPr="00593AA6">
        <w:rPr>
          <w:color w:val="000000"/>
          <w:lang w:val="fr-CA"/>
        </w:rPr>
        <w:t>, [1987] 1 R.C.S. 1114;</w:t>
      </w:r>
      <w:r w:rsidR="00E54009" w:rsidRPr="00593AA6">
        <w:rPr>
          <w:i/>
          <w:lang w:val="fr-CA"/>
        </w:rPr>
        <w:t xml:space="preserve"> Andrews c. Law Society of British Columbia</w:t>
      </w:r>
      <w:r w:rsidR="00E54009" w:rsidRPr="00593AA6">
        <w:rPr>
          <w:lang w:val="fr-CA"/>
        </w:rPr>
        <w:t xml:space="preserve">, [1989] 1 R.C.S. </w:t>
      </w:r>
      <w:r w:rsidR="00E54009" w:rsidRPr="00CE1640">
        <w:rPr>
          <w:lang w:val="fr-CA"/>
        </w:rPr>
        <w:t>143</w:t>
      </w:r>
      <w:r w:rsidR="003E04E7" w:rsidRPr="00CE1640">
        <w:rPr>
          <w:lang w:val="fr-CA"/>
        </w:rPr>
        <w:t>, inf. (1986</w:t>
      </w:r>
      <w:r w:rsidR="003E04E7" w:rsidRPr="00593AA6">
        <w:rPr>
          <w:lang w:val="fr-CA"/>
        </w:rPr>
        <w:t>), 2 B.C.L.R. (2d) 305;</w:t>
      </w:r>
      <w:r w:rsidR="002E752C" w:rsidRPr="00593AA6">
        <w:rPr>
          <w:rFonts w:eastAsiaTheme="minorHAnsi"/>
          <w:i/>
          <w:lang w:val="fr-CA" w:bidi="en-US"/>
        </w:rPr>
        <w:t xml:space="preserve"> R. c. Kapp</w:t>
      </w:r>
      <w:r w:rsidR="002E752C" w:rsidRPr="00593AA6">
        <w:rPr>
          <w:rFonts w:eastAsiaTheme="minorHAnsi"/>
          <w:lang w:val="fr-CA" w:bidi="en-US"/>
        </w:rPr>
        <w:t>, 2008 CSC 41, [2008] 2 R.C.S. 483;</w:t>
      </w:r>
      <w:r w:rsidR="002D685E" w:rsidRPr="00593AA6">
        <w:rPr>
          <w:rFonts w:eastAsiaTheme="minorHAnsi"/>
          <w:lang w:val="fr-CA" w:bidi="en-US"/>
        </w:rPr>
        <w:t xml:space="preserve"> </w:t>
      </w:r>
      <w:r w:rsidR="002D685E" w:rsidRPr="00593AA6">
        <w:rPr>
          <w:rFonts w:eastAsiaTheme="minorHAnsi"/>
          <w:i/>
          <w:lang w:val="fr-CA" w:bidi="en-US"/>
        </w:rPr>
        <w:t>Eldridge c. Colombie</w:t>
      </w:r>
      <w:r w:rsidR="002167F7">
        <w:rPr>
          <w:rFonts w:eastAsiaTheme="minorHAnsi"/>
          <w:i/>
          <w:lang w:val="fr-CA" w:bidi="en-US"/>
        </w:rPr>
        <w:noBreakHyphen/>
      </w:r>
      <w:r w:rsidR="002D685E" w:rsidRPr="00593AA6">
        <w:rPr>
          <w:rFonts w:eastAsiaTheme="minorHAnsi"/>
          <w:i/>
          <w:lang w:val="fr-CA" w:bidi="en-US"/>
        </w:rPr>
        <w:t>Britannique</w:t>
      </w:r>
      <w:r w:rsidR="00AB2A10" w:rsidRPr="00593AA6">
        <w:rPr>
          <w:rFonts w:eastAsiaTheme="minorHAnsi"/>
          <w:i/>
          <w:lang w:val="fr-CA" w:bidi="en-US"/>
        </w:rPr>
        <w:t xml:space="preserve"> (Procureur général)</w:t>
      </w:r>
      <w:r w:rsidR="00AB2A10" w:rsidRPr="00593AA6">
        <w:rPr>
          <w:rFonts w:eastAsiaTheme="minorHAnsi"/>
          <w:lang w:val="fr-CA" w:bidi="en-US"/>
        </w:rPr>
        <w:t>, [1997] 3 R.C.S. 624;</w:t>
      </w:r>
      <w:r w:rsidR="003C7A7D" w:rsidRPr="00593AA6">
        <w:rPr>
          <w:i/>
          <w:lang w:val="fr-CA"/>
        </w:rPr>
        <w:t xml:space="preserve"> Vriend c. Alberta</w:t>
      </w:r>
      <w:r w:rsidR="003C7A7D" w:rsidRPr="00593AA6">
        <w:rPr>
          <w:lang w:val="fr-CA"/>
        </w:rPr>
        <w:t>, [1998] 1 R.C.S. 493;</w:t>
      </w:r>
      <w:r w:rsidR="00257D32" w:rsidRPr="00593AA6">
        <w:rPr>
          <w:i/>
          <w:lang w:val="fr-CA"/>
        </w:rPr>
        <w:t xml:space="preserve"> McKinney c. Université de Guelph</w:t>
      </w:r>
      <w:r w:rsidR="00257D32" w:rsidRPr="00593AA6">
        <w:rPr>
          <w:lang w:val="fr-CA"/>
        </w:rPr>
        <w:t>, [1990] 3 R.C.S. 229;</w:t>
      </w:r>
      <w:r w:rsidR="00140DAE" w:rsidRPr="00593AA6">
        <w:rPr>
          <w:bCs/>
          <w:i/>
          <w:lang w:val="fr-CA"/>
        </w:rPr>
        <w:t xml:space="preserve"> Tétreault</w:t>
      </w:r>
      <w:r w:rsidR="002167F7">
        <w:rPr>
          <w:bCs/>
          <w:i/>
          <w:lang w:val="fr-CA"/>
        </w:rPr>
        <w:noBreakHyphen/>
      </w:r>
      <w:r w:rsidR="00140DAE" w:rsidRPr="00593AA6">
        <w:rPr>
          <w:bCs/>
          <w:i/>
          <w:lang w:val="fr-CA"/>
        </w:rPr>
        <w:t>Gadoury c. Canada (Commission de l’emploi et de l’immigration)</w:t>
      </w:r>
      <w:r w:rsidR="00140DAE" w:rsidRPr="00593AA6">
        <w:rPr>
          <w:bCs/>
          <w:lang w:val="fr-CA"/>
        </w:rPr>
        <w:t>, [1991] 2 R.C.S. 22;</w:t>
      </w:r>
      <w:r w:rsidR="00247059" w:rsidRPr="00593AA6">
        <w:rPr>
          <w:i/>
          <w:lang w:val="fr-CA"/>
        </w:rPr>
        <w:t xml:space="preserve"> Law c. Canada (Ministre de l’Emploi et de l’Immigration)</w:t>
      </w:r>
      <w:r w:rsidR="00247059" w:rsidRPr="00593AA6">
        <w:rPr>
          <w:lang w:val="fr-CA"/>
        </w:rPr>
        <w:t>, [1999] 1 R.C.S. 497;</w:t>
      </w:r>
      <w:r w:rsidR="0051563D" w:rsidRPr="00593AA6">
        <w:rPr>
          <w:i/>
          <w:lang w:val="fr-CA" w:bidi="en-US"/>
        </w:rPr>
        <w:t xml:space="preserve"> Eaton c. Conseil scolaire du comté de Brant</w:t>
      </w:r>
      <w:r w:rsidR="0051563D" w:rsidRPr="00593AA6">
        <w:rPr>
          <w:lang w:val="fr-CA" w:bidi="en-US"/>
        </w:rPr>
        <w:t>, [1997] 1 R.C.S. 241;</w:t>
      </w:r>
      <w:r w:rsidR="003B3651" w:rsidRPr="00593AA6">
        <w:rPr>
          <w:i/>
          <w:lang w:val="fr-CA"/>
        </w:rPr>
        <w:t xml:space="preserve"> Colombie</w:t>
      </w:r>
      <w:r w:rsidR="002167F7">
        <w:rPr>
          <w:i/>
          <w:lang w:val="fr-CA"/>
        </w:rPr>
        <w:noBreakHyphen/>
      </w:r>
      <w:r w:rsidR="003B3651" w:rsidRPr="00593AA6">
        <w:rPr>
          <w:i/>
          <w:lang w:val="fr-CA"/>
        </w:rPr>
        <w:t>Britannique (Superintendent of Motor Vehicles) c. Colombie</w:t>
      </w:r>
      <w:r w:rsidR="002167F7">
        <w:rPr>
          <w:i/>
          <w:lang w:val="fr-CA"/>
        </w:rPr>
        <w:noBreakHyphen/>
      </w:r>
      <w:r w:rsidR="003B3651" w:rsidRPr="00593AA6">
        <w:rPr>
          <w:i/>
          <w:lang w:val="fr-CA"/>
        </w:rPr>
        <w:t>Britannique (Council of Human Rights)</w:t>
      </w:r>
      <w:r w:rsidR="003B3651" w:rsidRPr="00593AA6">
        <w:rPr>
          <w:lang w:val="fr-CA"/>
        </w:rPr>
        <w:t>, [1999] 3 R.C.S. 868;</w:t>
      </w:r>
      <w:r w:rsidR="00DC1EB2" w:rsidRPr="00593AA6">
        <w:rPr>
          <w:i/>
          <w:lang w:val="fr-CA"/>
        </w:rPr>
        <w:t xml:space="preserve"> Moore c. Colombie</w:t>
      </w:r>
      <w:r w:rsidR="002167F7">
        <w:rPr>
          <w:i/>
          <w:lang w:val="fr-CA"/>
        </w:rPr>
        <w:noBreakHyphen/>
      </w:r>
      <w:r w:rsidR="00DC1EB2" w:rsidRPr="00593AA6">
        <w:rPr>
          <w:i/>
          <w:lang w:val="fr-CA"/>
        </w:rPr>
        <w:t>Britannique (Éducation)</w:t>
      </w:r>
      <w:r w:rsidR="00DC1EB2" w:rsidRPr="00593AA6">
        <w:rPr>
          <w:lang w:val="fr-CA"/>
        </w:rPr>
        <w:t>, 2012 CSC 61, [2012] 3 R.C.S. 360;</w:t>
      </w:r>
      <w:r w:rsidR="00E54F48" w:rsidRPr="00593AA6">
        <w:rPr>
          <w:i/>
          <w:lang w:val="fr-CA"/>
        </w:rPr>
        <w:t xml:space="preserve"> Egan c. Canada</w:t>
      </w:r>
      <w:r w:rsidR="00E54F48" w:rsidRPr="00593AA6">
        <w:rPr>
          <w:lang w:val="fr-CA"/>
        </w:rPr>
        <w:t>, [1995] 2 R.C.S. 513;</w:t>
      </w:r>
      <w:r w:rsidR="00374D14" w:rsidRPr="00593AA6">
        <w:rPr>
          <w:i/>
          <w:lang w:val="fr-CA"/>
        </w:rPr>
        <w:t xml:space="preserve"> Central Alberta Dairy Pool c. Alberta (Human Rights Commission)</w:t>
      </w:r>
      <w:r w:rsidR="00374D14" w:rsidRPr="00593AA6">
        <w:rPr>
          <w:lang w:val="fr-CA"/>
        </w:rPr>
        <w:t>, [1990] 2 R.C.S. 489;</w:t>
      </w:r>
      <w:r w:rsidR="0046727D" w:rsidRPr="00593AA6">
        <w:rPr>
          <w:i/>
          <w:lang w:val="fr-CA"/>
        </w:rPr>
        <w:t xml:space="preserve"> R. c. Spence</w:t>
      </w:r>
      <w:r w:rsidR="0046727D" w:rsidRPr="00593AA6">
        <w:rPr>
          <w:lang w:val="fr-CA"/>
        </w:rPr>
        <w:t xml:space="preserve">, 2005 </w:t>
      </w:r>
      <w:r w:rsidR="0046727D" w:rsidRPr="00593AA6">
        <w:rPr>
          <w:lang w:val="fr-CA"/>
        </w:rPr>
        <w:lastRenderedPageBreak/>
        <w:t>CSC 71, [2005] 3 R.C.S. 458;</w:t>
      </w:r>
      <w:r w:rsidR="00DF307F" w:rsidRPr="00593AA6">
        <w:rPr>
          <w:i/>
          <w:lang w:val="fr-CA"/>
        </w:rPr>
        <w:t xml:space="preserve"> Homer c. Chief Constable of West Yorkshire Police</w:t>
      </w:r>
      <w:r w:rsidR="00DF307F" w:rsidRPr="00593AA6">
        <w:rPr>
          <w:lang w:val="fr-CA"/>
        </w:rPr>
        <w:t>, [2012] UKSC 15, [2012] 3 All E.R. 1287;</w:t>
      </w:r>
      <w:r w:rsidR="005D5392" w:rsidRPr="00593AA6">
        <w:rPr>
          <w:i/>
          <w:szCs w:val="24"/>
          <w:lang w:val="fr-CA"/>
        </w:rPr>
        <w:t xml:space="preserve"> Vancouver Area Network of Drug Users c. Downtown Vancouver Business Improvement Association</w:t>
      </w:r>
      <w:r w:rsidR="005D5392" w:rsidRPr="00593AA6">
        <w:rPr>
          <w:szCs w:val="24"/>
          <w:lang w:val="fr-CA"/>
        </w:rPr>
        <w:t>, 2018 BCCA 132, 10 B.C.L.R. (6th) 175;</w:t>
      </w:r>
      <w:r w:rsidR="00982EBC" w:rsidRPr="00593AA6">
        <w:rPr>
          <w:i/>
          <w:iCs/>
          <w:color w:val="000000"/>
          <w:lang w:val="fr-CA"/>
        </w:rPr>
        <w:t xml:space="preserve"> Gaz métropolitain inc. c. Commission des droits de la personne et des droits de la jeunesse</w:t>
      </w:r>
      <w:r w:rsidR="00982EBC" w:rsidRPr="00593AA6">
        <w:rPr>
          <w:color w:val="000000"/>
          <w:lang w:val="fr-CA"/>
        </w:rPr>
        <w:t xml:space="preserve">, </w:t>
      </w:r>
      <w:r w:rsidR="00982EBC" w:rsidRPr="00593AA6">
        <w:rPr>
          <w:rStyle w:val="solexhl"/>
          <w:rFonts w:eastAsiaTheme="majorEastAsia"/>
          <w:color w:val="000000"/>
          <w:lang w:val="fr-CA"/>
        </w:rPr>
        <w:t>2011 QCCA 1201</w:t>
      </w:r>
      <w:r w:rsidR="00982EBC" w:rsidRPr="00593AA6">
        <w:rPr>
          <w:color w:val="000000"/>
          <w:lang w:val="fr-CA"/>
        </w:rPr>
        <w:t>, [2011] R.J.Q. 1253;</w:t>
      </w:r>
      <w:r w:rsidR="00550FA2" w:rsidRPr="00593AA6">
        <w:rPr>
          <w:bCs/>
          <w:i/>
          <w:iCs/>
          <w:lang w:val="fr-CA"/>
        </w:rPr>
        <w:t xml:space="preserve"> Oršuš</w:t>
      </w:r>
      <w:r w:rsidR="00550FA2" w:rsidRPr="00593AA6">
        <w:rPr>
          <w:i/>
          <w:lang w:val="fr-CA"/>
        </w:rPr>
        <w:t xml:space="preserve"> c. Croatie</w:t>
      </w:r>
      <w:r w:rsidR="00550FA2" w:rsidRPr="00593AA6">
        <w:rPr>
          <w:lang w:val="fr-CA"/>
        </w:rPr>
        <w:t xml:space="preserve">, </w:t>
      </w:r>
      <w:r w:rsidR="00550FA2" w:rsidRPr="00593AA6">
        <w:rPr>
          <w:color w:val="000000"/>
          <w:lang w:val="fr-CA"/>
        </w:rPr>
        <w:t>n</w:t>
      </w:r>
      <w:r w:rsidR="00550FA2" w:rsidRPr="00593AA6">
        <w:rPr>
          <w:color w:val="000000"/>
          <w:vertAlign w:val="superscript"/>
          <w:lang w:val="fr-CA"/>
        </w:rPr>
        <w:t>o</w:t>
      </w:r>
      <w:r w:rsidR="00B757CA">
        <w:rPr>
          <w:lang w:val="fr-CA"/>
        </w:rPr>
        <w:t> </w:t>
      </w:r>
      <w:r w:rsidR="00550FA2" w:rsidRPr="00593AA6">
        <w:rPr>
          <w:lang w:val="fr-CA"/>
        </w:rPr>
        <w:t>15766/03, CEDH 2010</w:t>
      </w:r>
      <w:r w:rsidR="002167F7">
        <w:rPr>
          <w:lang w:val="fr-CA"/>
        </w:rPr>
        <w:noBreakHyphen/>
      </w:r>
      <w:r w:rsidR="00550FA2" w:rsidRPr="00593AA6">
        <w:rPr>
          <w:lang w:val="fr-CA"/>
        </w:rPr>
        <w:t>II</w:t>
      </w:r>
      <w:r w:rsidR="00900AB8" w:rsidRPr="00593AA6">
        <w:rPr>
          <w:lang w:val="fr-CA"/>
        </w:rPr>
        <w:t>;</w:t>
      </w:r>
      <w:r w:rsidR="000B0BD0" w:rsidRPr="00593AA6">
        <w:rPr>
          <w:i/>
          <w:lang w:val="fr-CA"/>
        </w:rPr>
        <w:t xml:space="preserve"> Essop</w:t>
      </w:r>
      <w:r w:rsidR="000B0BD0" w:rsidRPr="00593AA6">
        <w:rPr>
          <w:lang w:val="fr-CA"/>
        </w:rPr>
        <w:t xml:space="preserve"> </w:t>
      </w:r>
      <w:r w:rsidR="000B0BD0" w:rsidRPr="00593AA6">
        <w:rPr>
          <w:i/>
          <w:lang w:val="fr-CA"/>
        </w:rPr>
        <w:t>c. Home Office (U.K. Border Agency)</w:t>
      </w:r>
      <w:r w:rsidR="000B0BD0" w:rsidRPr="00593AA6">
        <w:rPr>
          <w:lang w:val="fr-CA"/>
        </w:rPr>
        <w:t>, [2017] UKSC 27, [2017] 3 All E.R. 551;</w:t>
      </w:r>
      <w:r w:rsidR="006B1A82" w:rsidRPr="00593AA6">
        <w:rPr>
          <w:i/>
          <w:lang w:val="fr-CA"/>
        </w:rPr>
        <w:t xml:space="preserve"> O’Connor c. Bar Standards Board</w:t>
      </w:r>
      <w:r w:rsidR="006B1A82" w:rsidRPr="00593AA6">
        <w:rPr>
          <w:lang w:val="fr-CA"/>
        </w:rPr>
        <w:t>, [2017] UKSC 78, [2018] 2 All E.R. 779;</w:t>
      </w:r>
      <w:r w:rsidR="00C369AE" w:rsidRPr="00593AA6">
        <w:rPr>
          <w:lang w:val="fr-CA"/>
        </w:rPr>
        <w:t xml:space="preserve"> </w:t>
      </w:r>
      <w:r w:rsidR="00C369AE" w:rsidRPr="00593AA6">
        <w:rPr>
          <w:i/>
          <w:lang w:val="fr-CA"/>
        </w:rPr>
        <w:t>D.H. c. République tchèque</w:t>
      </w:r>
      <w:r w:rsidR="00C369AE" w:rsidRPr="00593AA6">
        <w:rPr>
          <w:lang w:val="fr-CA"/>
        </w:rPr>
        <w:t xml:space="preserve">, </w:t>
      </w:r>
      <w:r w:rsidR="00C369AE" w:rsidRPr="00593AA6">
        <w:rPr>
          <w:color w:val="000000"/>
          <w:lang w:val="fr-CA"/>
        </w:rPr>
        <w:t>n</w:t>
      </w:r>
      <w:r w:rsidR="00C369AE" w:rsidRPr="00593AA6">
        <w:rPr>
          <w:color w:val="000000"/>
          <w:vertAlign w:val="superscript"/>
          <w:lang w:val="fr-CA"/>
        </w:rPr>
        <w:t>o</w:t>
      </w:r>
      <w:r w:rsidR="00C369AE" w:rsidRPr="00593AA6">
        <w:rPr>
          <w:color w:val="000000"/>
          <w:lang w:val="fr-CA"/>
        </w:rPr>
        <w:t xml:space="preserve"> 57325/00, CEDH 2007</w:t>
      </w:r>
      <w:r w:rsidR="002167F7">
        <w:rPr>
          <w:color w:val="000000"/>
          <w:lang w:val="fr-CA"/>
        </w:rPr>
        <w:noBreakHyphen/>
      </w:r>
      <w:r w:rsidR="00C369AE" w:rsidRPr="00593AA6">
        <w:rPr>
          <w:color w:val="000000"/>
          <w:lang w:val="fr-CA"/>
        </w:rPr>
        <w:t>IV;</w:t>
      </w:r>
      <w:r w:rsidR="0060303A" w:rsidRPr="0060303A">
        <w:rPr>
          <w:i/>
          <w:lang w:val="fr-CA"/>
        </w:rPr>
        <w:t xml:space="preserve"> Horv</w:t>
      </w:r>
      <w:r w:rsidR="0060303A">
        <w:rPr>
          <w:i/>
          <w:lang w:val="fr-CA"/>
        </w:rPr>
        <w:t>áth and Kiss c</w:t>
      </w:r>
      <w:r w:rsidR="0060303A" w:rsidRPr="0060303A">
        <w:rPr>
          <w:i/>
          <w:lang w:val="fr-CA"/>
        </w:rPr>
        <w:t>. Hungary</w:t>
      </w:r>
      <w:r w:rsidR="0060303A" w:rsidRPr="0060303A">
        <w:rPr>
          <w:lang w:val="fr-CA"/>
        </w:rPr>
        <w:t>,</w:t>
      </w:r>
      <w:r w:rsidR="0060303A" w:rsidRPr="0060303A">
        <w:rPr>
          <w:i/>
          <w:lang w:val="fr-CA"/>
        </w:rPr>
        <w:t xml:space="preserve"> </w:t>
      </w:r>
      <w:r w:rsidR="0060303A" w:rsidRPr="0060303A">
        <w:rPr>
          <w:lang w:val="fr-CA"/>
        </w:rPr>
        <w:t>[2013] E.L.R. 102</w:t>
      </w:r>
      <w:r w:rsidR="0060303A">
        <w:rPr>
          <w:lang w:val="fr-CA"/>
        </w:rPr>
        <w:t>;</w:t>
      </w:r>
      <w:r w:rsidR="009D49D4" w:rsidRPr="00593AA6">
        <w:rPr>
          <w:i/>
          <w:lang w:val="fr-CA"/>
        </w:rPr>
        <w:t xml:space="preserve"> R. c. Turpin</w:t>
      </w:r>
      <w:r w:rsidR="009D49D4" w:rsidRPr="00593AA6">
        <w:rPr>
          <w:lang w:val="fr-CA"/>
        </w:rPr>
        <w:t>, [1989] 1 R.C.S. 1296;</w:t>
      </w:r>
      <w:r w:rsidR="00947A7A" w:rsidRPr="00593AA6">
        <w:rPr>
          <w:i/>
          <w:lang w:val="fr-CA"/>
        </w:rPr>
        <w:t xml:space="preserve"> Brooks c. Canada Safeway Ltd.</w:t>
      </w:r>
      <w:r w:rsidR="00947A7A" w:rsidRPr="00593AA6">
        <w:rPr>
          <w:lang w:val="fr-CA"/>
        </w:rPr>
        <w:t>, [1989] 1 R.C.S. 1219;</w:t>
      </w:r>
      <w:r w:rsidR="004B6658" w:rsidRPr="00593AA6">
        <w:rPr>
          <w:i/>
          <w:lang w:val="fr-CA"/>
        </w:rPr>
        <w:t xml:space="preserve"> Janzen c. Platy Enterprises Ltd.</w:t>
      </w:r>
      <w:r w:rsidR="004B6658" w:rsidRPr="00593AA6">
        <w:rPr>
          <w:lang w:val="fr-CA"/>
        </w:rPr>
        <w:t>, [1989] 1 R.C.S. 1252;</w:t>
      </w:r>
      <w:r w:rsidR="00E07683" w:rsidRPr="00593AA6">
        <w:rPr>
          <w:i/>
          <w:lang w:val="fr-CA" w:bidi="en-US"/>
        </w:rPr>
        <w:t xml:space="preserve"> Nouvelle</w:t>
      </w:r>
      <w:r w:rsidR="002167F7">
        <w:rPr>
          <w:i/>
          <w:lang w:val="fr-CA" w:bidi="en-US"/>
        </w:rPr>
        <w:noBreakHyphen/>
      </w:r>
      <w:r w:rsidR="00E07683" w:rsidRPr="00593AA6">
        <w:rPr>
          <w:i/>
          <w:lang w:val="fr-CA" w:bidi="en-US"/>
        </w:rPr>
        <w:t>Écosse (Workers’ Compensation Board) c. Martin</w:t>
      </w:r>
      <w:r w:rsidR="00E07683" w:rsidRPr="00593AA6">
        <w:rPr>
          <w:lang w:val="fr-CA" w:bidi="en-US"/>
        </w:rPr>
        <w:t>, 2003 CSC 54, [2003] 2 R.C.S. 504;</w:t>
      </w:r>
      <w:r w:rsidR="00661DE7" w:rsidRPr="00593AA6">
        <w:rPr>
          <w:i/>
          <w:lang w:val="fr-CA"/>
        </w:rPr>
        <w:t xml:space="preserve"> Miron c. Trudel</w:t>
      </w:r>
      <w:r w:rsidR="00661DE7" w:rsidRPr="00593AA6">
        <w:rPr>
          <w:lang w:val="fr-CA"/>
        </w:rPr>
        <w:t>, [1995] 2 R.C.S. 418;</w:t>
      </w:r>
      <w:r w:rsidR="00487EAF" w:rsidRPr="00593AA6">
        <w:rPr>
          <w:i/>
          <w:lang w:val="fr-CA"/>
        </w:rPr>
        <w:t xml:space="preserve"> Lavoie c. Canada</w:t>
      </w:r>
      <w:r w:rsidR="00487EAF" w:rsidRPr="00593AA6">
        <w:rPr>
          <w:lang w:val="fr-CA"/>
        </w:rPr>
        <w:t>, 2002 CSC 23, [2002] 1 R.C.S. 769;</w:t>
      </w:r>
      <w:r w:rsidR="009151F9" w:rsidRPr="00593AA6">
        <w:rPr>
          <w:i/>
          <w:lang w:val="fr-CA" w:bidi="en-US"/>
        </w:rPr>
        <w:t xml:space="preserve"> Nouvelle</w:t>
      </w:r>
      <w:r w:rsidR="002167F7">
        <w:rPr>
          <w:i/>
          <w:lang w:val="fr-CA" w:bidi="en-US"/>
        </w:rPr>
        <w:noBreakHyphen/>
      </w:r>
      <w:r w:rsidR="009151F9" w:rsidRPr="00593AA6">
        <w:rPr>
          <w:i/>
          <w:lang w:val="fr-CA" w:bidi="en-US"/>
        </w:rPr>
        <w:t xml:space="preserve">Écosse (Procureur général) c. </w:t>
      </w:r>
      <w:r w:rsidR="009151F9" w:rsidRPr="00593AA6">
        <w:rPr>
          <w:i/>
          <w:lang w:val="fr-CA"/>
        </w:rPr>
        <w:t>Walsh</w:t>
      </w:r>
      <w:r w:rsidR="009151F9" w:rsidRPr="00593AA6">
        <w:rPr>
          <w:lang w:val="fr-CA"/>
        </w:rPr>
        <w:t>, 2002 CSC 83, [2002] 4 R.C.S. 325;</w:t>
      </w:r>
      <w:r w:rsidR="008817BE" w:rsidRPr="00593AA6">
        <w:rPr>
          <w:i/>
          <w:lang w:val="fr-CA"/>
        </w:rPr>
        <w:t xml:space="preserve"> Moge</w:t>
      </w:r>
      <w:r w:rsidR="008817BE" w:rsidRPr="00593AA6">
        <w:rPr>
          <w:lang w:val="fr-CA"/>
        </w:rPr>
        <w:t xml:space="preserve"> </w:t>
      </w:r>
      <w:r w:rsidR="008817BE" w:rsidRPr="00593AA6">
        <w:rPr>
          <w:i/>
          <w:lang w:val="fr-CA"/>
        </w:rPr>
        <w:t>c. Moge</w:t>
      </w:r>
      <w:r w:rsidR="008817BE" w:rsidRPr="00593AA6">
        <w:rPr>
          <w:lang w:val="fr-CA"/>
        </w:rPr>
        <w:t>, [1992] 3 R.C.S. 813;</w:t>
      </w:r>
      <w:r w:rsidR="00B65620" w:rsidRPr="00593AA6">
        <w:rPr>
          <w:bCs/>
          <w:i/>
          <w:iCs/>
          <w:lang w:val="fr-CA" w:bidi="en-US"/>
        </w:rPr>
        <w:t xml:space="preserve"> Nouveau</w:t>
      </w:r>
      <w:r w:rsidR="002167F7">
        <w:rPr>
          <w:bCs/>
          <w:i/>
          <w:iCs/>
          <w:lang w:val="fr-CA" w:bidi="en-US"/>
        </w:rPr>
        <w:noBreakHyphen/>
      </w:r>
      <w:r w:rsidR="00B65620" w:rsidRPr="00593AA6">
        <w:rPr>
          <w:bCs/>
          <w:i/>
          <w:iCs/>
          <w:lang w:val="fr-CA" w:bidi="en-US"/>
        </w:rPr>
        <w:t>Brunswick (Ministre de la Santé et des Services communautaires) c. G. (J.)</w:t>
      </w:r>
      <w:r w:rsidR="00B65620" w:rsidRPr="00593AA6">
        <w:rPr>
          <w:bCs/>
          <w:iCs/>
          <w:lang w:val="fr-CA" w:bidi="en-US"/>
        </w:rPr>
        <w:t>, [1999] 3 R.C.S. 46;</w:t>
      </w:r>
      <w:r w:rsidR="004C48CC" w:rsidRPr="00593AA6">
        <w:rPr>
          <w:i/>
          <w:szCs w:val="24"/>
          <w:lang w:val="fr-CA"/>
        </w:rPr>
        <w:t xml:space="preserve"> Symes c. Canada</w:t>
      </w:r>
      <w:r w:rsidR="004C48CC" w:rsidRPr="00593AA6">
        <w:rPr>
          <w:szCs w:val="24"/>
          <w:lang w:val="fr-CA"/>
        </w:rPr>
        <w:t>,</w:t>
      </w:r>
      <w:r w:rsidR="004C48CC" w:rsidRPr="00593AA6">
        <w:rPr>
          <w:i/>
          <w:szCs w:val="24"/>
          <w:lang w:val="fr-CA"/>
        </w:rPr>
        <w:t xml:space="preserve"> </w:t>
      </w:r>
      <w:r w:rsidR="004C48CC" w:rsidRPr="00593AA6">
        <w:rPr>
          <w:szCs w:val="24"/>
          <w:lang w:val="fr-CA"/>
        </w:rPr>
        <w:t>[1993] 4 R.C.S. 695;</w:t>
      </w:r>
      <w:r w:rsidR="003F5069" w:rsidRPr="00593AA6">
        <w:rPr>
          <w:bCs/>
          <w:i/>
          <w:iCs/>
          <w:lang w:val="fr-CA" w:bidi="en-US"/>
        </w:rPr>
        <w:t xml:space="preserve"> Young c. Young</w:t>
      </w:r>
      <w:r w:rsidR="003F5069" w:rsidRPr="00593AA6">
        <w:rPr>
          <w:bCs/>
          <w:iCs/>
          <w:lang w:val="fr-CA" w:bidi="en-US"/>
        </w:rPr>
        <w:t>, [1993] 4 R.C.S. 3;</w:t>
      </w:r>
      <w:r w:rsidR="009F2DD9" w:rsidRPr="009F2DD9">
        <w:rPr>
          <w:i/>
          <w:szCs w:val="24"/>
          <w:lang w:val="fr-CA"/>
        </w:rPr>
        <w:t xml:space="preserve"> </w:t>
      </w:r>
      <w:r w:rsidR="009F2DD9">
        <w:rPr>
          <w:i/>
          <w:szCs w:val="24"/>
          <w:lang w:val="fr-CA"/>
        </w:rPr>
        <w:t>Jenkins c</w:t>
      </w:r>
      <w:r w:rsidR="009F2DD9" w:rsidRPr="009F2DD9">
        <w:rPr>
          <w:i/>
          <w:szCs w:val="24"/>
          <w:lang w:val="fr-CA"/>
        </w:rPr>
        <w:t>. Kingsgate (Clothing Productions) Ltd</w:t>
      </w:r>
      <w:r w:rsidR="009F2DD9" w:rsidRPr="009F2DD9">
        <w:rPr>
          <w:szCs w:val="24"/>
          <w:lang w:val="fr-CA"/>
        </w:rPr>
        <w:t>, C</w:t>
      </w:r>
      <w:r w:rsidR="002167F7">
        <w:rPr>
          <w:szCs w:val="24"/>
          <w:lang w:val="fr-CA"/>
        </w:rPr>
        <w:noBreakHyphen/>
      </w:r>
      <w:r w:rsidR="009F2DD9" w:rsidRPr="009F2DD9">
        <w:rPr>
          <w:szCs w:val="24"/>
          <w:lang w:val="fr-CA"/>
        </w:rPr>
        <w:t>96/80, [1981]</w:t>
      </w:r>
      <w:r w:rsidR="009F2DD9">
        <w:rPr>
          <w:szCs w:val="24"/>
          <w:lang w:val="fr-CA"/>
        </w:rPr>
        <w:t xml:space="preserve"> E.C.R. I</w:t>
      </w:r>
      <w:r w:rsidR="002167F7">
        <w:rPr>
          <w:szCs w:val="24"/>
          <w:lang w:val="fr-CA"/>
        </w:rPr>
        <w:noBreakHyphen/>
      </w:r>
      <w:r w:rsidR="009F2DD9">
        <w:rPr>
          <w:szCs w:val="24"/>
          <w:lang w:val="fr-CA"/>
        </w:rPr>
        <w:t>911;</w:t>
      </w:r>
      <w:r w:rsidR="000E4342" w:rsidRPr="000E4342">
        <w:rPr>
          <w:i/>
          <w:lang w:val="fr-CA"/>
        </w:rPr>
        <w:t xml:space="preserve"> </w:t>
      </w:r>
      <w:r w:rsidR="000E4342">
        <w:rPr>
          <w:i/>
          <w:lang w:val="fr-CA"/>
        </w:rPr>
        <w:t>Bilka</w:t>
      </w:r>
      <w:r w:rsidR="002167F7">
        <w:rPr>
          <w:i/>
          <w:lang w:val="fr-CA"/>
        </w:rPr>
        <w:noBreakHyphen/>
      </w:r>
      <w:r w:rsidR="000E4342">
        <w:rPr>
          <w:i/>
          <w:lang w:val="fr-CA"/>
        </w:rPr>
        <w:t>Kaufhaus GmbH c</w:t>
      </w:r>
      <w:r w:rsidR="009703A7">
        <w:rPr>
          <w:i/>
          <w:lang w:val="fr-CA"/>
        </w:rPr>
        <w:t xml:space="preserve">. </w:t>
      </w:r>
      <w:r w:rsidR="000E4342" w:rsidRPr="000E4342">
        <w:rPr>
          <w:i/>
          <w:lang w:val="fr-CA"/>
        </w:rPr>
        <w:t>Weber von Hartz</w:t>
      </w:r>
      <w:r w:rsidR="000E4342" w:rsidRPr="000E4342">
        <w:rPr>
          <w:lang w:val="fr-CA"/>
        </w:rPr>
        <w:t>, C</w:t>
      </w:r>
      <w:r w:rsidR="002167F7">
        <w:rPr>
          <w:lang w:val="fr-CA"/>
        </w:rPr>
        <w:noBreakHyphen/>
      </w:r>
      <w:r w:rsidR="000E4342" w:rsidRPr="000E4342">
        <w:rPr>
          <w:lang w:val="fr-CA"/>
        </w:rPr>
        <w:t>170/84, [1986] E.C.R. I</w:t>
      </w:r>
      <w:r w:rsidR="002167F7">
        <w:rPr>
          <w:lang w:val="fr-CA"/>
        </w:rPr>
        <w:noBreakHyphen/>
      </w:r>
      <w:r w:rsidR="000E4342" w:rsidRPr="000E4342">
        <w:rPr>
          <w:lang w:val="fr-CA"/>
        </w:rPr>
        <w:t>1607</w:t>
      </w:r>
      <w:r w:rsidR="000E4342">
        <w:rPr>
          <w:lang w:val="fr-CA"/>
        </w:rPr>
        <w:t>;</w:t>
      </w:r>
      <w:r w:rsidR="000846A2" w:rsidRPr="000846A2">
        <w:rPr>
          <w:i/>
          <w:lang w:val="fr-CA"/>
        </w:rPr>
        <w:t xml:space="preserve"> Rinner</w:t>
      </w:r>
      <w:r w:rsidR="002167F7">
        <w:rPr>
          <w:i/>
          <w:lang w:val="fr-CA"/>
        </w:rPr>
        <w:noBreakHyphen/>
      </w:r>
      <w:r w:rsidR="000846A2" w:rsidRPr="000846A2">
        <w:rPr>
          <w:i/>
          <w:lang w:val="fr-CA"/>
        </w:rPr>
        <w:t xml:space="preserve">Kühn </w:t>
      </w:r>
      <w:r w:rsidR="000846A2">
        <w:rPr>
          <w:i/>
          <w:lang w:val="fr-CA"/>
        </w:rPr>
        <w:t>c</w:t>
      </w:r>
      <w:r w:rsidR="000846A2" w:rsidRPr="000846A2">
        <w:rPr>
          <w:i/>
          <w:lang w:val="fr-CA"/>
        </w:rPr>
        <w:t>. FWW Spezial</w:t>
      </w:r>
      <w:r w:rsidR="002167F7">
        <w:rPr>
          <w:i/>
          <w:lang w:val="fr-CA"/>
        </w:rPr>
        <w:noBreakHyphen/>
      </w:r>
      <w:r w:rsidR="000846A2" w:rsidRPr="000846A2">
        <w:rPr>
          <w:i/>
          <w:lang w:val="fr-CA"/>
        </w:rPr>
        <w:t>Gebäudereinigung GmbH</w:t>
      </w:r>
      <w:r w:rsidR="000846A2" w:rsidRPr="006601C6">
        <w:rPr>
          <w:lang w:val="fr-CA"/>
        </w:rPr>
        <w:t xml:space="preserve">, </w:t>
      </w:r>
      <w:r w:rsidR="006601C6">
        <w:rPr>
          <w:lang w:val="fr-CA"/>
        </w:rPr>
        <w:t>C</w:t>
      </w:r>
      <w:r w:rsidR="002167F7">
        <w:rPr>
          <w:lang w:val="fr-CA"/>
        </w:rPr>
        <w:noBreakHyphen/>
      </w:r>
      <w:r w:rsidR="000846A2" w:rsidRPr="006601C6">
        <w:rPr>
          <w:lang w:val="fr-CA"/>
        </w:rPr>
        <w:t>171/88, [1989] E.C.R. I</w:t>
      </w:r>
      <w:r w:rsidR="002167F7">
        <w:rPr>
          <w:lang w:val="fr-CA"/>
        </w:rPr>
        <w:noBreakHyphen/>
      </w:r>
      <w:r w:rsidR="000846A2" w:rsidRPr="006601C6">
        <w:rPr>
          <w:lang w:val="fr-CA"/>
        </w:rPr>
        <w:t>2743;</w:t>
      </w:r>
      <w:r w:rsidR="00D01937" w:rsidRPr="006601C6">
        <w:rPr>
          <w:i/>
          <w:lang w:val="fr-CA"/>
        </w:rPr>
        <w:t xml:space="preserve"> Vroege c. NCIV Instituut voor Volkshuisvesting BV</w:t>
      </w:r>
      <w:r w:rsidR="00D01937" w:rsidRPr="006601C6">
        <w:rPr>
          <w:lang w:val="fr-CA"/>
        </w:rPr>
        <w:t>, C</w:t>
      </w:r>
      <w:r w:rsidR="002167F7">
        <w:rPr>
          <w:lang w:val="fr-CA"/>
        </w:rPr>
        <w:noBreakHyphen/>
      </w:r>
      <w:r w:rsidR="00D01937" w:rsidRPr="006601C6">
        <w:rPr>
          <w:lang w:val="fr-CA"/>
        </w:rPr>
        <w:t>57/93, [1994] E.C.R. I</w:t>
      </w:r>
      <w:r w:rsidR="002167F7">
        <w:rPr>
          <w:lang w:val="fr-CA"/>
        </w:rPr>
        <w:noBreakHyphen/>
      </w:r>
      <w:r w:rsidR="00D01937" w:rsidRPr="006601C6">
        <w:rPr>
          <w:lang w:val="fr-CA"/>
        </w:rPr>
        <w:t>4541;</w:t>
      </w:r>
      <w:r w:rsidR="00F1495A" w:rsidRPr="006601C6">
        <w:rPr>
          <w:i/>
          <w:lang w:val="fr-CA"/>
        </w:rPr>
        <w:t xml:space="preserve"> </w:t>
      </w:r>
      <w:r w:rsidR="00DC0698" w:rsidRPr="00DC0698">
        <w:rPr>
          <w:i/>
          <w:lang w:val="fr-CA"/>
        </w:rPr>
        <w:t>Schö</w:t>
      </w:r>
      <w:r w:rsidR="00DC0698">
        <w:rPr>
          <w:i/>
          <w:lang w:val="fr-CA"/>
        </w:rPr>
        <w:t>nheit c</w:t>
      </w:r>
      <w:r w:rsidR="00DC0698" w:rsidRPr="00DC0698">
        <w:rPr>
          <w:i/>
          <w:lang w:val="fr-CA"/>
        </w:rPr>
        <w:t>. Stadt Frankfurt am Main</w:t>
      </w:r>
      <w:r w:rsidR="00DC0698" w:rsidRPr="00DC0698">
        <w:rPr>
          <w:lang w:val="fr-CA"/>
        </w:rPr>
        <w:t>, C</w:t>
      </w:r>
      <w:r w:rsidR="002167F7">
        <w:rPr>
          <w:lang w:val="fr-CA"/>
        </w:rPr>
        <w:noBreakHyphen/>
      </w:r>
      <w:r w:rsidR="00DC0698">
        <w:rPr>
          <w:lang w:val="fr-CA"/>
        </w:rPr>
        <w:t>4/02 et</w:t>
      </w:r>
      <w:r w:rsidR="00DC0698" w:rsidRPr="00DC0698">
        <w:rPr>
          <w:lang w:val="fr-CA"/>
        </w:rPr>
        <w:t xml:space="preserve"> C</w:t>
      </w:r>
      <w:r w:rsidR="002167F7">
        <w:rPr>
          <w:lang w:val="fr-CA"/>
        </w:rPr>
        <w:noBreakHyphen/>
      </w:r>
      <w:r w:rsidR="00DC0698" w:rsidRPr="00DC0698">
        <w:rPr>
          <w:lang w:val="fr-CA"/>
        </w:rPr>
        <w:t xml:space="preserve">5/02, </w:t>
      </w:r>
      <w:r w:rsidR="00DC0698" w:rsidRPr="00250B5C">
        <w:rPr>
          <w:lang w:val="fr-CA"/>
        </w:rPr>
        <w:t>[2003] E.C.R. I</w:t>
      </w:r>
      <w:r w:rsidR="002167F7">
        <w:rPr>
          <w:lang w:val="fr-CA"/>
        </w:rPr>
        <w:noBreakHyphen/>
      </w:r>
      <w:r w:rsidR="00DC0698" w:rsidRPr="00250B5C">
        <w:rPr>
          <w:lang w:val="fr-CA"/>
        </w:rPr>
        <w:t>12575</w:t>
      </w:r>
      <w:r w:rsidR="00BF5576" w:rsidRPr="00250B5C">
        <w:rPr>
          <w:lang w:val="fr-CA"/>
        </w:rPr>
        <w:t xml:space="preserve">; </w:t>
      </w:r>
      <w:r w:rsidR="00F1495A" w:rsidRPr="00250B5C">
        <w:rPr>
          <w:i/>
          <w:lang w:val="fr-CA"/>
        </w:rPr>
        <w:t>Reg. c. Secretary of State for Employment, Ex parte Equal Opportunities Commission</w:t>
      </w:r>
      <w:r w:rsidR="00F1495A" w:rsidRPr="00250B5C">
        <w:rPr>
          <w:lang w:val="fr-CA"/>
        </w:rPr>
        <w:t>, [1995] 1 A.C. 1;</w:t>
      </w:r>
      <w:r w:rsidR="00EF0263" w:rsidRPr="00250B5C">
        <w:rPr>
          <w:i/>
          <w:lang w:val="fr-CA"/>
        </w:rPr>
        <w:t xml:space="preserve"> London Underground Ltd. c. Edwards (</w:t>
      </w:r>
      <w:r w:rsidR="002167F7">
        <w:rPr>
          <w:i/>
          <w:lang w:val="fr-CA"/>
        </w:rPr>
        <w:t>No. </w:t>
      </w:r>
      <w:r w:rsidR="00EF0263" w:rsidRPr="00250B5C">
        <w:rPr>
          <w:i/>
          <w:lang w:val="fr-CA"/>
        </w:rPr>
        <w:t>2)</w:t>
      </w:r>
      <w:r w:rsidR="00EF0263" w:rsidRPr="00250B5C">
        <w:rPr>
          <w:lang w:val="fr-CA"/>
        </w:rPr>
        <w:t xml:space="preserve">, [1999] </w:t>
      </w:r>
      <w:r w:rsidR="00EF0263" w:rsidRPr="00250B5C">
        <w:rPr>
          <w:lang w:val="fr-CA"/>
        </w:rPr>
        <w:lastRenderedPageBreak/>
        <w:t>I.C.R. 494;</w:t>
      </w:r>
      <w:r w:rsidR="00F54211" w:rsidRPr="00250B5C">
        <w:rPr>
          <w:i/>
          <w:lang w:val="fr-CA"/>
        </w:rPr>
        <w:t xml:space="preserve"> Phillips c. Martin Marietta Corp.</w:t>
      </w:r>
      <w:r w:rsidR="00F54211" w:rsidRPr="00250B5C">
        <w:rPr>
          <w:lang w:val="fr-CA"/>
        </w:rPr>
        <w:t>,</w:t>
      </w:r>
      <w:r w:rsidR="00F54211" w:rsidRPr="00250B5C">
        <w:rPr>
          <w:i/>
          <w:lang w:val="fr-CA"/>
        </w:rPr>
        <w:t xml:space="preserve"> </w:t>
      </w:r>
      <w:r w:rsidR="00F54211" w:rsidRPr="00250B5C">
        <w:rPr>
          <w:lang w:val="fr-CA"/>
        </w:rPr>
        <w:t>400 U.S. 542 (1971);</w:t>
      </w:r>
      <w:r w:rsidR="004A3ECB" w:rsidRPr="00250B5C">
        <w:rPr>
          <w:i/>
          <w:szCs w:val="24"/>
          <w:lang w:val="fr-CA"/>
        </w:rPr>
        <w:t xml:space="preserve"> </w:t>
      </w:r>
      <w:r w:rsidR="001A7EE1" w:rsidRPr="001A7EE1">
        <w:rPr>
          <w:i/>
          <w:lang w:val="fr-CA"/>
        </w:rPr>
        <w:t xml:space="preserve">Bostock </w:t>
      </w:r>
      <w:r w:rsidR="001A7EE1">
        <w:rPr>
          <w:i/>
          <w:lang w:val="fr-CA"/>
        </w:rPr>
        <w:t>c</w:t>
      </w:r>
      <w:r w:rsidR="001A7EE1" w:rsidRPr="001A7EE1">
        <w:rPr>
          <w:i/>
          <w:lang w:val="fr-CA"/>
        </w:rPr>
        <w:t>. Clayton County, Georgia</w:t>
      </w:r>
      <w:r w:rsidR="001A7EE1" w:rsidRPr="001A7EE1">
        <w:rPr>
          <w:lang w:val="fr-CA"/>
        </w:rPr>
        <w:t>, 140 S. Ct. 1731 (2020)</w:t>
      </w:r>
      <w:r w:rsidR="004A3ECB" w:rsidRPr="00250B5C">
        <w:rPr>
          <w:lang w:val="fr-CA"/>
        </w:rPr>
        <w:t>;</w:t>
      </w:r>
      <w:r w:rsidR="00C65F57" w:rsidRPr="00250B5C">
        <w:rPr>
          <w:i/>
          <w:szCs w:val="24"/>
          <w:lang w:val="fr-CA"/>
        </w:rPr>
        <w:t xml:space="preserve"> Campbell River &amp; North Island Transition Society</w:t>
      </w:r>
      <w:r w:rsidR="00C65F57" w:rsidRPr="00250B5C">
        <w:rPr>
          <w:szCs w:val="24"/>
          <w:lang w:val="fr-CA"/>
        </w:rPr>
        <w:t xml:space="preserve"> </w:t>
      </w:r>
      <w:r w:rsidR="00C65F57" w:rsidRPr="00250B5C">
        <w:rPr>
          <w:i/>
          <w:szCs w:val="24"/>
          <w:lang w:val="fr-CA"/>
        </w:rPr>
        <w:t>c. Health Sciences Assn. of British Columbia</w:t>
      </w:r>
      <w:r w:rsidR="00C65F57" w:rsidRPr="00250B5C">
        <w:rPr>
          <w:szCs w:val="24"/>
          <w:lang w:val="fr-CA"/>
        </w:rPr>
        <w:t>, 2004 BCCA 260, 28 B.C.L.R. (4th) 292;</w:t>
      </w:r>
      <w:r w:rsidR="00F131EE" w:rsidRPr="00250B5C">
        <w:rPr>
          <w:lang w:val="fr-CA"/>
        </w:rPr>
        <w:t xml:space="preserve"> </w:t>
      </w:r>
      <w:r w:rsidR="00F131EE" w:rsidRPr="00250B5C">
        <w:rPr>
          <w:i/>
          <w:szCs w:val="24"/>
          <w:lang w:val="fr-CA"/>
        </w:rPr>
        <w:t>Brown c. Canada (Ministère du Revenu national)</w:t>
      </w:r>
      <w:r w:rsidR="00F131EE" w:rsidRPr="00250B5C">
        <w:rPr>
          <w:szCs w:val="24"/>
          <w:lang w:val="fr-CA"/>
        </w:rPr>
        <w:t>, 1993 CanLII 683;</w:t>
      </w:r>
      <w:r w:rsidR="00F0682E" w:rsidRPr="00250B5C">
        <w:rPr>
          <w:i/>
          <w:lang w:val="fr-CA"/>
        </w:rPr>
        <w:t xml:space="preserve"> Canada (Procureur général) c. Johnstone</w:t>
      </w:r>
      <w:r w:rsidR="00F0682E" w:rsidRPr="00250B5C">
        <w:rPr>
          <w:lang w:val="fr-CA"/>
        </w:rPr>
        <w:t>, 2014 CAF 110, [2015] 2 R.C.F. 595;</w:t>
      </w:r>
      <w:r w:rsidR="00C4119C" w:rsidRPr="00250B5C">
        <w:rPr>
          <w:i/>
          <w:lang w:val="fr-CA"/>
        </w:rPr>
        <w:t xml:space="preserve"> Misetich c. Value Village Stores Inc.</w:t>
      </w:r>
      <w:r w:rsidR="00C4119C" w:rsidRPr="00250B5C">
        <w:rPr>
          <w:lang w:val="fr-CA"/>
        </w:rPr>
        <w:t>, 2016 HRTO 1229, 39 C.C.E.L. (4th) 129;</w:t>
      </w:r>
      <w:r w:rsidR="00250B5C" w:rsidRPr="00250B5C">
        <w:rPr>
          <w:i/>
          <w:lang w:val="fr-CA"/>
        </w:rPr>
        <w:t xml:space="preserve"> </w:t>
      </w:r>
      <w:r w:rsidR="00250B5C">
        <w:rPr>
          <w:i/>
          <w:lang w:val="fr-CA"/>
        </w:rPr>
        <w:t>Thibaudeau c</w:t>
      </w:r>
      <w:r w:rsidR="00250B5C" w:rsidRPr="00250B5C">
        <w:rPr>
          <w:i/>
          <w:lang w:val="fr-CA"/>
        </w:rPr>
        <w:t>. Canada</w:t>
      </w:r>
      <w:r w:rsidR="00250B5C" w:rsidRPr="00250B5C">
        <w:rPr>
          <w:lang w:val="fr-CA"/>
        </w:rPr>
        <w:t>, [19</w:t>
      </w:r>
      <w:r w:rsidR="00250B5C">
        <w:rPr>
          <w:lang w:val="fr-CA"/>
        </w:rPr>
        <w:t>95] 2 R.C.S</w:t>
      </w:r>
      <w:r w:rsidR="00250B5C" w:rsidRPr="00250B5C">
        <w:rPr>
          <w:lang w:val="fr-CA"/>
        </w:rPr>
        <w:t>. 627;</w:t>
      </w:r>
      <w:r w:rsidR="000B440E" w:rsidRPr="000B440E">
        <w:rPr>
          <w:i/>
          <w:szCs w:val="24"/>
          <w:lang w:val="fr-CA"/>
        </w:rPr>
        <w:t xml:space="preserve"> Canada (</w:t>
      </w:r>
      <w:r w:rsidR="000B440E" w:rsidRPr="00250B5C">
        <w:rPr>
          <w:i/>
          <w:lang w:val="fr-CA"/>
        </w:rPr>
        <w:t>Procureur général</w:t>
      </w:r>
      <w:r w:rsidR="000B440E">
        <w:rPr>
          <w:i/>
          <w:szCs w:val="24"/>
          <w:lang w:val="fr-CA"/>
        </w:rPr>
        <w:t>) c</w:t>
      </w:r>
      <w:r w:rsidR="00FF12C6">
        <w:rPr>
          <w:i/>
          <w:szCs w:val="24"/>
          <w:lang w:val="fr-CA"/>
        </w:rPr>
        <w:t>. Lesiuk</w:t>
      </w:r>
      <w:r w:rsidR="000B440E" w:rsidRPr="000B440E">
        <w:rPr>
          <w:szCs w:val="24"/>
          <w:lang w:val="fr-CA"/>
        </w:rPr>
        <w:t>,</w:t>
      </w:r>
      <w:r w:rsidR="000B440E" w:rsidRPr="000B440E">
        <w:rPr>
          <w:i/>
          <w:szCs w:val="24"/>
          <w:lang w:val="fr-CA"/>
        </w:rPr>
        <w:t xml:space="preserve"> </w:t>
      </w:r>
      <w:r w:rsidR="000B440E" w:rsidRPr="000B440E">
        <w:rPr>
          <w:szCs w:val="24"/>
          <w:lang w:val="fr-CA"/>
        </w:rPr>
        <w:t>2003</w:t>
      </w:r>
      <w:r w:rsidR="000B440E">
        <w:rPr>
          <w:szCs w:val="24"/>
          <w:lang w:val="fr-CA"/>
        </w:rPr>
        <w:t xml:space="preserve"> </w:t>
      </w:r>
      <w:r w:rsidR="000B440E" w:rsidRPr="000B440E">
        <w:rPr>
          <w:szCs w:val="24"/>
          <w:lang w:val="fr-CA"/>
        </w:rPr>
        <w:t>CA</w:t>
      </w:r>
      <w:r w:rsidR="000B440E">
        <w:rPr>
          <w:szCs w:val="24"/>
          <w:lang w:val="fr-CA"/>
        </w:rPr>
        <w:t>F</w:t>
      </w:r>
      <w:r w:rsidR="000B440E" w:rsidRPr="000B440E">
        <w:rPr>
          <w:szCs w:val="24"/>
          <w:lang w:val="fr-CA"/>
        </w:rPr>
        <w:t xml:space="preserve"> 3, </w:t>
      </w:r>
      <w:r w:rsidR="000B440E">
        <w:rPr>
          <w:szCs w:val="24"/>
          <w:lang w:val="fr-CA"/>
        </w:rPr>
        <w:t xml:space="preserve">[2003] 2 </w:t>
      </w:r>
      <w:r w:rsidR="000B440E" w:rsidRPr="000B440E">
        <w:rPr>
          <w:szCs w:val="24"/>
          <w:lang w:val="fr-CA"/>
        </w:rPr>
        <w:t>C.</w:t>
      </w:r>
      <w:r w:rsidR="000B440E">
        <w:rPr>
          <w:szCs w:val="24"/>
          <w:lang w:val="fr-CA"/>
        </w:rPr>
        <w:t>F.</w:t>
      </w:r>
      <w:r w:rsidR="000B440E" w:rsidRPr="000B440E">
        <w:rPr>
          <w:szCs w:val="24"/>
          <w:lang w:val="fr-CA"/>
        </w:rPr>
        <w:t xml:space="preserve"> 697;</w:t>
      </w:r>
      <w:r w:rsidR="005230BA" w:rsidRPr="005230BA">
        <w:rPr>
          <w:i/>
          <w:lang w:val="fr-CA"/>
        </w:rPr>
        <w:t xml:space="preserve"> </w:t>
      </w:r>
      <w:r w:rsidR="005230BA">
        <w:rPr>
          <w:i/>
          <w:lang w:val="fr-CA"/>
        </w:rPr>
        <w:t>R. c</w:t>
      </w:r>
      <w:r w:rsidR="005230BA" w:rsidRPr="005230BA">
        <w:rPr>
          <w:i/>
          <w:lang w:val="fr-CA"/>
        </w:rPr>
        <w:t>. Oakes</w:t>
      </w:r>
      <w:r w:rsidR="005230BA">
        <w:rPr>
          <w:lang w:val="fr-CA"/>
        </w:rPr>
        <w:t>, [1986] 1 R.C.S</w:t>
      </w:r>
      <w:r w:rsidR="005230BA" w:rsidRPr="005230BA">
        <w:rPr>
          <w:lang w:val="fr-CA"/>
        </w:rPr>
        <w:t>. 103;</w:t>
      </w:r>
      <w:r w:rsidR="00B71423" w:rsidRPr="00B71423">
        <w:rPr>
          <w:i/>
          <w:lang w:val="fr-CA" w:bidi="en-US"/>
        </w:rPr>
        <w:t xml:space="preserve"> </w:t>
      </w:r>
      <w:r w:rsidR="00B71423">
        <w:rPr>
          <w:i/>
          <w:lang w:val="fr-CA" w:bidi="en-US"/>
        </w:rPr>
        <w:t>Vancouver (Ville</w:t>
      </w:r>
      <w:r w:rsidR="00B71423" w:rsidRPr="00B71423">
        <w:rPr>
          <w:i/>
          <w:lang w:val="fr-CA" w:bidi="en-US"/>
        </w:rPr>
        <w:t>)</w:t>
      </w:r>
      <w:r w:rsidR="00B71423">
        <w:rPr>
          <w:i/>
          <w:lang w:val="fr-CA" w:bidi="en-US"/>
        </w:rPr>
        <w:t xml:space="preserve"> c</w:t>
      </w:r>
      <w:r w:rsidR="00B71423" w:rsidRPr="00B71423">
        <w:rPr>
          <w:i/>
          <w:lang w:val="fr-CA" w:bidi="en-US"/>
        </w:rPr>
        <w:t>. Ward</w:t>
      </w:r>
      <w:r w:rsidR="00B71423" w:rsidRPr="00B71423">
        <w:rPr>
          <w:lang w:val="fr-CA" w:bidi="en-US"/>
        </w:rPr>
        <w:t xml:space="preserve">, </w:t>
      </w:r>
      <w:r w:rsidR="00B71423">
        <w:rPr>
          <w:lang w:val="fr-CA" w:bidi="en-US"/>
        </w:rPr>
        <w:t xml:space="preserve">2010 </w:t>
      </w:r>
      <w:r w:rsidR="00B71423" w:rsidRPr="00B71423">
        <w:rPr>
          <w:lang w:val="fr-CA" w:bidi="en-US"/>
        </w:rPr>
        <w:t>C</w:t>
      </w:r>
      <w:r w:rsidR="00B71423">
        <w:rPr>
          <w:lang w:val="fr-CA" w:bidi="en-US"/>
        </w:rPr>
        <w:t>S</w:t>
      </w:r>
      <w:r w:rsidR="00B71423" w:rsidRPr="00B71423">
        <w:rPr>
          <w:lang w:val="fr-CA" w:bidi="en-US"/>
        </w:rPr>
        <w:t xml:space="preserve">C 27, </w:t>
      </w:r>
      <w:r w:rsidR="00B71423">
        <w:rPr>
          <w:lang w:val="fr-CA" w:bidi="en-US"/>
        </w:rPr>
        <w:t>[2010] 2 R.C.S</w:t>
      </w:r>
      <w:r w:rsidR="00B71423" w:rsidRPr="00B71423">
        <w:rPr>
          <w:lang w:val="fr-CA" w:bidi="en-US"/>
        </w:rPr>
        <w:t>. 28;</w:t>
      </w:r>
      <w:r w:rsidR="00654E5A" w:rsidRPr="00654E5A">
        <w:rPr>
          <w:i/>
          <w:lang w:val="fr-CA" w:bidi="en-US"/>
        </w:rPr>
        <w:t xml:space="preserve"> </w:t>
      </w:r>
      <w:r w:rsidR="00654E5A">
        <w:rPr>
          <w:i/>
          <w:lang w:val="fr-CA" w:bidi="en-US"/>
        </w:rPr>
        <w:t>Doucet</w:t>
      </w:r>
      <w:r w:rsidR="002167F7">
        <w:rPr>
          <w:i/>
          <w:lang w:val="fr-CA" w:bidi="en-US"/>
        </w:rPr>
        <w:noBreakHyphen/>
      </w:r>
      <w:r w:rsidR="00654E5A">
        <w:rPr>
          <w:i/>
          <w:lang w:val="fr-CA" w:bidi="en-US"/>
        </w:rPr>
        <w:t>Boudreau c. Nouvelle</w:t>
      </w:r>
      <w:r w:rsidR="002167F7">
        <w:rPr>
          <w:i/>
          <w:lang w:val="fr-CA" w:bidi="en-US"/>
        </w:rPr>
        <w:noBreakHyphen/>
      </w:r>
      <w:r w:rsidR="00654E5A">
        <w:rPr>
          <w:i/>
          <w:lang w:val="fr-CA" w:bidi="en-US"/>
        </w:rPr>
        <w:t>Écosse</w:t>
      </w:r>
      <w:r w:rsidR="00654E5A" w:rsidRPr="00654E5A">
        <w:rPr>
          <w:i/>
          <w:lang w:val="fr-CA" w:bidi="en-US"/>
        </w:rPr>
        <w:t xml:space="preserve"> (</w:t>
      </w:r>
      <w:r w:rsidR="00654E5A">
        <w:rPr>
          <w:i/>
          <w:lang w:val="fr-CA" w:bidi="en-US"/>
        </w:rPr>
        <w:t>Ministre de l’É</w:t>
      </w:r>
      <w:r w:rsidR="00654E5A" w:rsidRPr="00654E5A">
        <w:rPr>
          <w:i/>
          <w:lang w:val="fr-CA" w:bidi="en-US"/>
        </w:rPr>
        <w:t>ducation)</w:t>
      </w:r>
      <w:r w:rsidR="00654E5A" w:rsidRPr="00654E5A">
        <w:rPr>
          <w:lang w:val="fr-CA" w:bidi="en-US"/>
        </w:rPr>
        <w:t xml:space="preserve">, </w:t>
      </w:r>
      <w:r w:rsidR="00654E5A">
        <w:rPr>
          <w:lang w:val="fr-CA" w:bidi="en-US"/>
        </w:rPr>
        <w:t xml:space="preserve">2003 </w:t>
      </w:r>
      <w:r w:rsidR="00654E5A" w:rsidRPr="00654E5A">
        <w:rPr>
          <w:lang w:val="fr-CA" w:bidi="en-US"/>
        </w:rPr>
        <w:t>C</w:t>
      </w:r>
      <w:r w:rsidR="00654E5A">
        <w:rPr>
          <w:lang w:val="fr-CA" w:bidi="en-US"/>
        </w:rPr>
        <w:t>S</w:t>
      </w:r>
      <w:r w:rsidR="00654E5A" w:rsidRPr="00654E5A">
        <w:rPr>
          <w:lang w:val="fr-CA" w:bidi="en-US"/>
        </w:rPr>
        <w:t xml:space="preserve">C 62, </w:t>
      </w:r>
      <w:r w:rsidR="00654E5A">
        <w:rPr>
          <w:lang w:val="fr-CA" w:bidi="en-US"/>
        </w:rPr>
        <w:t>[2003] 3 R.C.S</w:t>
      </w:r>
      <w:r w:rsidR="00654E5A" w:rsidRPr="00654E5A">
        <w:rPr>
          <w:lang w:val="fr-CA" w:bidi="en-US"/>
        </w:rPr>
        <w:t>. 3.</w:t>
      </w:r>
    </w:p>
    <w:p w14:paraId="7DA2852D" w14:textId="42CB2570" w:rsidR="00C23E0C" w:rsidRDefault="00C23E0C" w:rsidP="0009382E">
      <w:pPr>
        <w:pStyle w:val="SCCNormalDoubleSpacing"/>
        <w:spacing w:after="720" w:line="240" w:lineRule="auto"/>
        <w:rPr>
          <w:lang w:val="fr-CA"/>
        </w:rPr>
      </w:pPr>
      <w:r>
        <w:rPr>
          <w:lang w:val="fr-CA"/>
        </w:rPr>
        <w:t>Citée par les juges Brown et Rowe</w:t>
      </w:r>
      <w:r w:rsidR="00495C1B">
        <w:rPr>
          <w:lang w:val="fr-CA"/>
        </w:rPr>
        <w:t xml:space="preserve"> (dissidents)</w:t>
      </w:r>
    </w:p>
    <w:p w14:paraId="23C85BDD" w14:textId="200B82E9" w:rsidR="00F85AE4" w:rsidRPr="00EA0919" w:rsidRDefault="00C23E0C" w:rsidP="0009382E">
      <w:pPr>
        <w:pStyle w:val="SCCNormalDoubleSpacing"/>
        <w:spacing w:after="480"/>
        <w:rPr>
          <w:bCs/>
          <w:iCs/>
          <w:lang w:val="fr-CA" w:bidi="en-US"/>
        </w:rPr>
      </w:pPr>
      <w:r w:rsidRPr="00593AA6">
        <w:rPr>
          <w:lang w:val="fr-CA"/>
        </w:rPr>
        <w:tab/>
      </w:r>
      <w:r w:rsidR="006B2196">
        <w:rPr>
          <w:i/>
          <w:lang w:val="fr-CA"/>
        </w:rPr>
        <w:t>Québec (Procureur général) c. Canada (Procureur général)</w:t>
      </w:r>
      <w:r w:rsidR="006B2196">
        <w:rPr>
          <w:lang w:val="fr-CA"/>
        </w:rPr>
        <w:t>, 2015 CSC 14, [2015] 1 R.C.S. 693;</w:t>
      </w:r>
      <w:r w:rsidR="003D300C" w:rsidRPr="003D300C">
        <w:rPr>
          <w:i/>
          <w:lang w:val="fr-CA"/>
        </w:rPr>
        <w:t xml:space="preserve"> </w:t>
      </w:r>
      <w:r w:rsidR="003D300C">
        <w:rPr>
          <w:i/>
          <w:lang w:val="fr-CA"/>
        </w:rPr>
        <w:t>Québec (Procureure générale) c</w:t>
      </w:r>
      <w:r w:rsidR="003D300C" w:rsidRPr="003D300C">
        <w:rPr>
          <w:i/>
          <w:lang w:val="fr-CA"/>
        </w:rPr>
        <w:t>. Alliance du personnel professionnel et technique de la santé et des services sociaux</w:t>
      </w:r>
      <w:r w:rsidR="003D300C" w:rsidRPr="003D300C">
        <w:rPr>
          <w:lang w:val="fr-CA"/>
        </w:rPr>
        <w:t>,</w:t>
      </w:r>
      <w:r w:rsidR="003D300C" w:rsidRPr="003D300C">
        <w:rPr>
          <w:i/>
          <w:lang w:val="fr-CA"/>
        </w:rPr>
        <w:t xml:space="preserve"> </w:t>
      </w:r>
      <w:r w:rsidR="003D300C">
        <w:rPr>
          <w:lang w:val="fr-CA"/>
        </w:rPr>
        <w:t xml:space="preserve">2018 </w:t>
      </w:r>
      <w:r w:rsidR="003D300C" w:rsidRPr="003D300C">
        <w:rPr>
          <w:lang w:val="fr-CA"/>
        </w:rPr>
        <w:t>C</w:t>
      </w:r>
      <w:r w:rsidR="003D300C">
        <w:rPr>
          <w:lang w:val="fr-CA"/>
        </w:rPr>
        <w:t>S</w:t>
      </w:r>
      <w:r w:rsidR="003D300C" w:rsidRPr="003D300C">
        <w:rPr>
          <w:lang w:val="fr-CA"/>
        </w:rPr>
        <w:t xml:space="preserve">C 17, </w:t>
      </w:r>
      <w:r w:rsidR="003D300C">
        <w:rPr>
          <w:lang w:val="fr-CA"/>
        </w:rPr>
        <w:t>[2018] 1 R.C.S</w:t>
      </w:r>
      <w:r w:rsidR="003D300C" w:rsidRPr="003D300C">
        <w:rPr>
          <w:lang w:val="fr-CA"/>
        </w:rPr>
        <w:t>. 464;</w:t>
      </w:r>
      <w:r w:rsidR="00DB3FAD" w:rsidRPr="00DB3FAD">
        <w:rPr>
          <w:i/>
          <w:lang w:val="fr-CA"/>
        </w:rPr>
        <w:t xml:space="preserve"> </w:t>
      </w:r>
      <w:r w:rsidR="00DB3FAD">
        <w:rPr>
          <w:i/>
          <w:lang w:val="fr-CA"/>
        </w:rPr>
        <w:t>Withler c. Canada (Procureur général</w:t>
      </w:r>
      <w:r w:rsidR="00DB3FAD" w:rsidRPr="00DB3FAD">
        <w:rPr>
          <w:i/>
          <w:lang w:val="fr-CA"/>
        </w:rPr>
        <w:t>)</w:t>
      </w:r>
      <w:r w:rsidR="00DB3FAD">
        <w:rPr>
          <w:lang w:val="fr-CA"/>
        </w:rPr>
        <w:t xml:space="preserve">, 2011 </w:t>
      </w:r>
      <w:r w:rsidR="00DB3FAD" w:rsidRPr="00DB3FAD">
        <w:rPr>
          <w:lang w:val="fr-CA"/>
        </w:rPr>
        <w:t>C</w:t>
      </w:r>
      <w:r w:rsidR="00DB3FAD">
        <w:rPr>
          <w:lang w:val="fr-CA"/>
        </w:rPr>
        <w:t>SC 12, [2011] 1 R.C.S</w:t>
      </w:r>
      <w:r w:rsidR="00DB3FAD" w:rsidRPr="00DB3FAD">
        <w:rPr>
          <w:lang w:val="fr-CA"/>
        </w:rPr>
        <w:t>. 396</w:t>
      </w:r>
      <w:r w:rsidR="00DB3FAD">
        <w:rPr>
          <w:lang w:val="fr-CA"/>
        </w:rPr>
        <w:t>;</w:t>
      </w:r>
      <w:r w:rsidR="004E4DE9" w:rsidRPr="004E4DE9">
        <w:rPr>
          <w:i/>
          <w:lang w:val="fr-CA"/>
        </w:rPr>
        <w:t xml:space="preserve"> </w:t>
      </w:r>
      <w:r w:rsidR="004E4DE9">
        <w:rPr>
          <w:i/>
          <w:lang w:val="fr-CA"/>
        </w:rPr>
        <w:t>Vriend c</w:t>
      </w:r>
      <w:r w:rsidR="004E4DE9" w:rsidRPr="004E4DE9">
        <w:rPr>
          <w:i/>
          <w:lang w:val="fr-CA"/>
        </w:rPr>
        <w:t>. Alberta</w:t>
      </w:r>
      <w:r w:rsidR="004E4DE9">
        <w:rPr>
          <w:lang w:val="fr-CA"/>
        </w:rPr>
        <w:t>, [1998] 1 R.C.S</w:t>
      </w:r>
      <w:r w:rsidR="004E4DE9" w:rsidRPr="004E4DE9">
        <w:rPr>
          <w:lang w:val="fr-CA"/>
        </w:rPr>
        <w:t>. 493;</w:t>
      </w:r>
      <w:r w:rsidR="00D41D2A" w:rsidRPr="00D41D2A">
        <w:rPr>
          <w:i/>
          <w:lang w:val="fr-CA"/>
        </w:rPr>
        <w:t xml:space="preserve"> </w:t>
      </w:r>
      <w:r w:rsidR="00D41D2A">
        <w:rPr>
          <w:i/>
          <w:lang w:val="fr-CA"/>
        </w:rPr>
        <w:t>SDGMR c</w:t>
      </w:r>
      <w:r w:rsidR="00D41D2A" w:rsidRPr="00D41D2A">
        <w:rPr>
          <w:i/>
          <w:lang w:val="fr-CA"/>
        </w:rPr>
        <w:t>. Dolphin Delivery Ltd.</w:t>
      </w:r>
      <w:r w:rsidR="00D41D2A" w:rsidRPr="00D41D2A">
        <w:rPr>
          <w:lang w:val="fr-CA"/>
        </w:rPr>
        <w:t xml:space="preserve">, </w:t>
      </w:r>
      <w:r w:rsidR="00D41D2A">
        <w:rPr>
          <w:lang w:val="fr-CA"/>
        </w:rPr>
        <w:t>[1986] 2 R</w:t>
      </w:r>
      <w:r w:rsidR="00D41D2A" w:rsidRPr="00D41D2A">
        <w:rPr>
          <w:lang w:val="fr-CA"/>
        </w:rPr>
        <w:t>.C.</w:t>
      </w:r>
      <w:r w:rsidR="00D41D2A">
        <w:rPr>
          <w:lang w:val="fr-CA"/>
        </w:rPr>
        <w:t>S</w:t>
      </w:r>
      <w:r w:rsidR="00D41D2A" w:rsidRPr="00D41D2A">
        <w:rPr>
          <w:lang w:val="fr-CA"/>
        </w:rPr>
        <w:t>. 573;</w:t>
      </w:r>
      <w:r w:rsidR="00185354" w:rsidRPr="00185354">
        <w:rPr>
          <w:i/>
          <w:lang w:val="fr-CA"/>
        </w:rPr>
        <w:t xml:space="preserve"> Centrale des syndicats</w:t>
      </w:r>
      <w:r w:rsidR="00185354">
        <w:rPr>
          <w:i/>
          <w:lang w:val="fr-CA"/>
        </w:rPr>
        <w:t xml:space="preserve"> du Québec c</w:t>
      </w:r>
      <w:r w:rsidR="00185354" w:rsidRPr="00185354">
        <w:rPr>
          <w:i/>
          <w:lang w:val="fr-CA"/>
        </w:rPr>
        <w:t>. Québec</w:t>
      </w:r>
      <w:r w:rsidR="00185354">
        <w:rPr>
          <w:i/>
          <w:lang w:val="fr-CA"/>
        </w:rPr>
        <w:t xml:space="preserve"> (Procureure générale</w:t>
      </w:r>
      <w:r w:rsidR="00185354" w:rsidRPr="00185354">
        <w:rPr>
          <w:i/>
          <w:lang w:val="fr-CA"/>
        </w:rPr>
        <w:t>)</w:t>
      </w:r>
      <w:r w:rsidR="00185354" w:rsidRPr="00185354">
        <w:rPr>
          <w:lang w:val="fr-CA"/>
        </w:rPr>
        <w:t xml:space="preserve">, </w:t>
      </w:r>
      <w:r w:rsidR="00185354">
        <w:rPr>
          <w:lang w:val="fr-CA"/>
        </w:rPr>
        <w:t xml:space="preserve">2018 </w:t>
      </w:r>
      <w:r w:rsidR="00185354" w:rsidRPr="00185354">
        <w:rPr>
          <w:lang w:val="fr-CA"/>
        </w:rPr>
        <w:t>C</w:t>
      </w:r>
      <w:r w:rsidR="00185354">
        <w:rPr>
          <w:lang w:val="fr-CA"/>
        </w:rPr>
        <w:t>S</w:t>
      </w:r>
      <w:r w:rsidR="00185354" w:rsidRPr="00185354">
        <w:rPr>
          <w:lang w:val="fr-CA"/>
        </w:rPr>
        <w:t xml:space="preserve">C 18, </w:t>
      </w:r>
      <w:r w:rsidR="00185354">
        <w:rPr>
          <w:lang w:val="fr-CA"/>
        </w:rPr>
        <w:t>[2018] 1 R.C.S</w:t>
      </w:r>
      <w:r w:rsidR="00185354" w:rsidRPr="00185354">
        <w:rPr>
          <w:lang w:val="fr-CA"/>
        </w:rPr>
        <w:t>. 522;</w:t>
      </w:r>
      <w:r w:rsidR="001D4E7E">
        <w:rPr>
          <w:lang w:val="fr-CA"/>
        </w:rPr>
        <w:t xml:space="preserve"> </w:t>
      </w:r>
      <w:r w:rsidR="001D4E7E">
        <w:rPr>
          <w:i/>
          <w:lang w:val="fr-CA"/>
        </w:rPr>
        <w:t>Alliance de la fonction publique du Canada c. Canada (Ministère</w:t>
      </w:r>
      <w:r w:rsidR="00FF12C6">
        <w:rPr>
          <w:i/>
          <w:lang w:val="fr-CA"/>
        </w:rPr>
        <w:t xml:space="preserve"> de la Défense nationale)</w:t>
      </w:r>
      <w:r w:rsidR="001D4E7E">
        <w:rPr>
          <w:lang w:val="fr-CA"/>
        </w:rPr>
        <w:t>, [1996] 3 C.F. 789;</w:t>
      </w:r>
      <w:r w:rsidR="00F24C7F">
        <w:rPr>
          <w:lang w:val="fr-CA"/>
        </w:rPr>
        <w:t xml:space="preserve"> </w:t>
      </w:r>
      <w:r w:rsidR="00F24C7F">
        <w:rPr>
          <w:i/>
          <w:lang w:val="fr-CA"/>
        </w:rPr>
        <w:t>Terre</w:t>
      </w:r>
      <w:r w:rsidR="002167F7">
        <w:rPr>
          <w:i/>
          <w:lang w:val="fr-CA"/>
        </w:rPr>
        <w:noBreakHyphen/>
      </w:r>
      <w:r w:rsidR="00F24C7F">
        <w:rPr>
          <w:i/>
          <w:lang w:val="fr-CA"/>
        </w:rPr>
        <w:t>Neuve (Conseil du Trésor) c. N.A.P.E.</w:t>
      </w:r>
      <w:r w:rsidR="00F24C7F">
        <w:rPr>
          <w:lang w:val="fr-CA"/>
        </w:rPr>
        <w:t xml:space="preserve">, </w:t>
      </w:r>
      <w:r w:rsidR="00F24C7F" w:rsidRPr="00F24C7F">
        <w:rPr>
          <w:lang w:val="fr-CA"/>
        </w:rPr>
        <w:t>2004 CSC 66, [2004] 3 R.C.S. 381;</w:t>
      </w:r>
      <w:r w:rsidR="00A10FAE" w:rsidRPr="00A10FAE">
        <w:rPr>
          <w:i/>
          <w:szCs w:val="24"/>
          <w:lang w:val="fr-CA"/>
        </w:rPr>
        <w:t xml:space="preserve"> </w:t>
      </w:r>
      <w:r w:rsidR="00A10FAE">
        <w:rPr>
          <w:i/>
          <w:szCs w:val="24"/>
          <w:lang w:val="fr-CA"/>
        </w:rPr>
        <w:t xml:space="preserve">Première Nation de </w:t>
      </w:r>
      <w:r w:rsidR="00A10FAE" w:rsidRPr="00963B5C">
        <w:rPr>
          <w:i/>
          <w:szCs w:val="24"/>
          <w:lang w:val="fr-CA"/>
        </w:rPr>
        <w:t>Kahkewistahaw</w:t>
      </w:r>
      <w:r w:rsidR="00A10FAE">
        <w:rPr>
          <w:i/>
          <w:szCs w:val="24"/>
          <w:lang w:val="fr-CA"/>
        </w:rPr>
        <w:t xml:space="preserve"> c</w:t>
      </w:r>
      <w:r w:rsidR="00A10FAE" w:rsidRPr="00963B5C">
        <w:rPr>
          <w:i/>
          <w:szCs w:val="24"/>
          <w:lang w:val="fr-CA"/>
        </w:rPr>
        <w:t>. Taypotat</w:t>
      </w:r>
      <w:r w:rsidR="00A10FAE">
        <w:rPr>
          <w:szCs w:val="24"/>
          <w:lang w:val="fr-CA"/>
        </w:rPr>
        <w:t xml:space="preserve">, 2015 </w:t>
      </w:r>
      <w:r w:rsidR="00A10FAE" w:rsidRPr="00963B5C">
        <w:rPr>
          <w:szCs w:val="24"/>
          <w:lang w:val="fr-CA"/>
        </w:rPr>
        <w:t>C</w:t>
      </w:r>
      <w:r w:rsidR="00A10FAE">
        <w:rPr>
          <w:szCs w:val="24"/>
          <w:lang w:val="fr-CA"/>
        </w:rPr>
        <w:t>S</w:t>
      </w:r>
      <w:r w:rsidR="00A10FAE" w:rsidRPr="00963B5C">
        <w:rPr>
          <w:szCs w:val="24"/>
          <w:lang w:val="fr-CA"/>
        </w:rPr>
        <w:t xml:space="preserve">C 30, </w:t>
      </w:r>
      <w:r w:rsidR="00A10FAE">
        <w:rPr>
          <w:szCs w:val="24"/>
          <w:lang w:val="fr-CA"/>
        </w:rPr>
        <w:t>[2015] 2 R.C.S</w:t>
      </w:r>
      <w:r w:rsidR="00A10FAE" w:rsidRPr="00963B5C">
        <w:rPr>
          <w:szCs w:val="24"/>
          <w:lang w:val="fr-CA"/>
        </w:rPr>
        <w:t>. 548</w:t>
      </w:r>
      <w:r w:rsidR="00A10FAE">
        <w:rPr>
          <w:szCs w:val="24"/>
          <w:lang w:val="fr-CA"/>
        </w:rPr>
        <w:t>;</w:t>
      </w:r>
      <w:r w:rsidR="0063335F" w:rsidRPr="0063335F">
        <w:rPr>
          <w:i/>
          <w:lang w:val="fr-CA"/>
        </w:rPr>
        <w:t xml:space="preserve"> </w:t>
      </w:r>
      <w:r w:rsidR="0063335F" w:rsidRPr="0063335F">
        <w:rPr>
          <w:i/>
          <w:szCs w:val="24"/>
          <w:lang w:val="fr-CA"/>
        </w:rPr>
        <w:t xml:space="preserve">Andrews c. Law </w:t>
      </w:r>
      <w:r w:rsidR="0063335F" w:rsidRPr="0063335F">
        <w:rPr>
          <w:i/>
          <w:szCs w:val="24"/>
          <w:lang w:val="fr-CA"/>
        </w:rPr>
        <w:lastRenderedPageBreak/>
        <w:t>Society of British Columbia</w:t>
      </w:r>
      <w:r w:rsidR="0063335F" w:rsidRPr="0063335F">
        <w:rPr>
          <w:szCs w:val="24"/>
          <w:lang w:val="fr-CA"/>
        </w:rPr>
        <w:t>, [</w:t>
      </w:r>
      <w:r w:rsidR="0063335F" w:rsidRPr="002931B7">
        <w:rPr>
          <w:szCs w:val="24"/>
          <w:lang w:val="fr-CA"/>
        </w:rPr>
        <w:t>1989] 1 R.C.S. 143;</w:t>
      </w:r>
      <w:r w:rsidR="00306CC8" w:rsidRPr="002931B7">
        <w:rPr>
          <w:i/>
          <w:lang w:val="fr-CA"/>
        </w:rPr>
        <w:t xml:space="preserve"> R. c. Kapp</w:t>
      </w:r>
      <w:r w:rsidR="00306CC8" w:rsidRPr="002931B7">
        <w:rPr>
          <w:lang w:val="fr-CA"/>
        </w:rPr>
        <w:t>, 2008 CSC 41, [2008] 2 R.C.S. 483;</w:t>
      </w:r>
      <w:r w:rsidR="00E06358" w:rsidRPr="002931B7">
        <w:rPr>
          <w:i/>
          <w:lang w:val="fr-CA"/>
        </w:rPr>
        <w:t xml:space="preserve"> Winko c. Colombie</w:t>
      </w:r>
      <w:r w:rsidR="002167F7">
        <w:rPr>
          <w:i/>
          <w:lang w:val="fr-CA"/>
        </w:rPr>
        <w:noBreakHyphen/>
      </w:r>
      <w:r w:rsidR="00E06358" w:rsidRPr="002931B7">
        <w:rPr>
          <w:i/>
          <w:lang w:val="fr-CA"/>
        </w:rPr>
        <w:t>Britannique (Forensic Psychiatric Institute)</w:t>
      </w:r>
      <w:r w:rsidR="00E06358" w:rsidRPr="002931B7">
        <w:rPr>
          <w:lang w:val="fr-CA"/>
        </w:rPr>
        <w:t>, [1999] 2 R.C.S. 625;</w:t>
      </w:r>
      <w:r w:rsidR="00096362" w:rsidRPr="002931B7">
        <w:rPr>
          <w:i/>
          <w:szCs w:val="24"/>
          <w:lang w:val="fr-CA"/>
        </w:rPr>
        <w:t xml:space="preserve"> </w:t>
      </w:r>
      <w:r w:rsidR="00096362" w:rsidRPr="002931B7">
        <w:rPr>
          <w:i/>
          <w:lang w:val="fr-CA"/>
        </w:rPr>
        <w:t>Québec (Procureur général) c. A</w:t>
      </w:r>
      <w:r w:rsidR="00096362" w:rsidRPr="002931B7">
        <w:rPr>
          <w:lang w:val="fr-CA"/>
        </w:rPr>
        <w:t>, 2013 CSC 5, [2013] 1 R.C.S. 61;</w:t>
      </w:r>
      <w:r w:rsidR="00341BC4" w:rsidRPr="002931B7">
        <w:rPr>
          <w:i/>
          <w:lang w:val="fr-CA"/>
        </w:rPr>
        <w:t xml:space="preserve"> Snell c. Farrell</w:t>
      </w:r>
      <w:r w:rsidR="00341BC4" w:rsidRPr="002931B7">
        <w:rPr>
          <w:lang w:val="fr-CA"/>
        </w:rPr>
        <w:t>, [1990] 2 R.C.S. 311;</w:t>
      </w:r>
      <w:r w:rsidR="00341BC4" w:rsidRPr="002931B7">
        <w:rPr>
          <w:i/>
          <w:lang w:val="fr-CA"/>
        </w:rPr>
        <w:t xml:space="preserve"> Blatch c. Archer </w:t>
      </w:r>
      <w:r w:rsidR="00341BC4" w:rsidRPr="002931B7">
        <w:rPr>
          <w:lang w:val="fr-CA"/>
        </w:rPr>
        <w:t>(1774), 1 Cow</w:t>
      </w:r>
      <w:r w:rsidR="002167F7">
        <w:rPr>
          <w:lang w:val="fr-CA"/>
        </w:rPr>
        <w:t>p. </w:t>
      </w:r>
      <w:r w:rsidR="00341BC4" w:rsidRPr="002931B7">
        <w:rPr>
          <w:lang w:val="fr-CA"/>
        </w:rPr>
        <w:t>63, 98 E.R. 969;</w:t>
      </w:r>
      <w:r w:rsidR="001328A1" w:rsidRPr="002931B7">
        <w:rPr>
          <w:lang w:val="fr-CA"/>
        </w:rPr>
        <w:t xml:space="preserve"> </w:t>
      </w:r>
      <w:r w:rsidR="001328A1" w:rsidRPr="002931B7">
        <w:rPr>
          <w:i/>
          <w:lang w:val="fr-CA"/>
        </w:rPr>
        <w:t>Auton (Tutrice à l’instance de) c. Colombie</w:t>
      </w:r>
      <w:r w:rsidR="002167F7">
        <w:rPr>
          <w:i/>
          <w:lang w:val="fr-CA"/>
        </w:rPr>
        <w:noBreakHyphen/>
      </w:r>
      <w:r w:rsidR="001328A1" w:rsidRPr="002931B7">
        <w:rPr>
          <w:i/>
          <w:lang w:val="fr-CA"/>
        </w:rPr>
        <w:t>Britannique (Procureur général)</w:t>
      </w:r>
      <w:r w:rsidR="001328A1" w:rsidRPr="002931B7">
        <w:rPr>
          <w:lang w:val="fr-CA"/>
        </w:rPr>
        <w:t>, 2004 CSC 78, [2004] 3 R.C.S. 657;</w:t>
      </w:r>
      <w:r w:rsidR="000E3B38" w:rsidRPr="002931B7">
        <w:rPr>
          <w:i/>
          <w:szCs w:val="24"/>
          <w:lang w:val="fr-CA"/>
        </w:rPr>
        <w:t xml:space="preserve"> </w:t>
      </w:r>
      <w:r w:rsidR="000E3B38" w:rsidRPr="002931B7">
        <w:rPr>
          <w:i/>
          <w:lang w:val="fr-CA"/>
        </w:rPr>
        <w:t>Gosselin c. Québec (Procureur général)</w:t>
      </w:r>
      <w:r w:rsidR="000E3B38" w:rsidRPr="002931B7">
        <w:rPr>
          <w:lang w:val="fr-CA"/>
        </w:rPr>
        <w:t>,</w:t>
      </w:r>
      <w:r w:rsidR="000E3B38" w:rsidRPr="002931B7">
        <w:rPr>
          <w:i/>
          <w:lang w:val="fr-CA"/>
        </w:rPr>
        <w:t xml:space="preserve"> </w:t>
      </w:r>
      <w:r w:rsidR="000E3B38" w:rsidRPr="002931B7">
        <w:rPr>
          <w:lang w:val="fr-CA"/>
        </w:rPr>
        <w:t>2002 CSC 84, [2002] 4 R.C.S. 429;</w:t>
      </w:r>
      <w:r w:rsidR="00AE39D9" w:rsidRPr="002931B7">
        <w:rPr>
          <w:i/>
          <w:lang w:val="fr-CA"/>
        </w:rPr>
        <w:t xml:space="preserve"> Corbiere c. Canada (Ministre des Affaires indiennes et du Nord canadien)</w:t>
      </w:r>
      <w:r w:rsidR="00AE39D9" w:rsidRPr="002931B7">
        <w:rPr>
          <w:lang w:val="fr-CA"/>
        </w:rPr>
        <w:t>, [1999] 2 R.C.S. 203;</w:t>
      </w:r>
      <w:r w:rsidR="003936A5" w:rsidRPr="002931B7">
        <w:rPr>
          <w:lang w:val="fr-CA"/>
        </w:rPr>
        <w:t xml:space="preserve"> </w:t>
      </w:r>
      <w:r w:rsidR="003936A5" w:rsidRPr="002931B7">
        <w:rPr>
          <w:i/>
          <w:lang w:val="fr-CA"/>
        </w:rPr>
        <w:t>Hodge c. Canada (Ministre du Développement des ressources humaines)</w:t>
      </w:r>
      <w:r w:rsidR="003936A5" w:rsidRPr="002931B7">
        <w:rPr>
          <w:lang w:val="fr-CA"/>
        </w:rPr>
        <w:t>, 2004 CSC 65, [2004] 3 R.C.S. 357;</w:t>
      </w:r>
      <w:r w:rsidR="00FF7EC1" w:rsidRPr="002931B7">
        <w:rPr>
          <w:lang w:val="fr-CA"/>
        </w:rPr>
        <w:t xml:space="preserve"> </w:t>
      </w:r>
      <w:r w:rsidR="00FF7EC1" w:rsidRPr="002931B7">
        <w:rPr>
          <w:i/>
          <w:lang w:val="fr-CA"/>
        </w:rPr>
        <w:t>Law c.</w:t>
      </w:r>
      <w:r w:rsidR="00FF7EC1" w:rsidRPr="00593AA6">
        <w:rPr>
          <w:i/>
          <w:lang w:val="fr-CA"/>
        </w:rPr>
        <w:t xml:space="preserve"> Canada (Ministre de l’Emploi et de l’Immigration)</w:t>
      </w:r>
      <w:r w:rsidR="00FF7EC1" w:rsidRPr="00593AA6">
        <w:rPr>
          <w:lang w:val="fr-CA"/>
        </w:rPr>
        <w:t>, [1999] 1 R.C.S. 497;</w:t>
      </w:r>
      <w:r w:rsidR="002D12A2" w:rsidRPr="002D12A2">
        <w:rPr>
          <w:i/>
          <w:lang w:val="fr-CA"/>
        </w:rPr>
        <w:t xml:space="preserve"> IBM Canada </w:t>
      </w:r>
      <w:r w:rsidR="002D12A2">
        <w:rPr>
          <w:i/>
          <w:lang w:val="fr-CA"/>
        </w:rPr>
        <w:t>Limitée</w:t>
      </w:r>
      <w:r w:rsidR="002D12A2" w:rsidRPr="002D12A2">
        <w:rPr>
          <w:i/>
          <w:lang w:val="fr-CA"/>
        </w:rPr>
        <w:t xml:space="preserve"> </w:t>
      </w:r>
      <w:r w:rsidR="002D12A2">
        <w:rPr>
          <w:i/>
          <w:lang w:val="fr-CA"/>
        </w:rPr>
        <w:t>c</w:t>
      </w:r>
      <w:r w:rsidR="002D12A2" w:rsidRPr="002D12A2">
        <w:rPr>
          <w:i/>
          <w:lang w:val="fr-CA"/>
        </w:rPr>
        <w:t>. Waterman</w:t>
      </w:r>
      <w:r w:rsidR="002D12A2" w:rsidRPr="002D12A2">
        <w:rPr>
          <w:lang w:val="fr-CA"/>
        </w:rPr>
        <w:t xml:space="preserve">, </w:t>
      </w:r>
      <w:r w:rsidR="002D12A2">
        <w:rPr>
          <w:lang w:val="fr-CA"/>
        </w:rPr>
        <w:t xml:space="preserve">2013 </w:t>
      </w:r>
      <w:r w:rsidR="002D12A2" w:rsidRPr="002D12A2">
        <w:rPr>
          <w:lang w:val="fr-CA"/>
        </w:rPr>
        <w:t>C</w:t>
      </w:r>
      <w:r w:rsidR="002D12A2">
        <w:rPr>
          <w:lang w:val="fr-CA"/>
        </w:rPr>
        <w:t>S</w:t>
      </w:r>
      <w:r w:rsidR="002D12A2" w:rsidRPr="002D12A2">
        <w:rPr>
          <w:lang w:val="fr-CA"/>
        </w:rPr>
        <w:t xml:space="preserve">C 70, </w:t>
      </w:r>
      <w:r w:rsidR="002D12A2">
        <w:rPr>
          <w:lang w:val="fr-CA"/>
        </w:rPr>
        <w:t>[2013] 3 R.C.S</w:t>
      </w:r>
      <w:r w:rsidR="002D12A2" w:rsidRPr="002D12A2">
        <w:rPr>
          <w:lang w:val="fr-CA"/>
        </w:rPr>
        <w:t>. 985;</w:t>
      </w:r>
      <w:r w:rsidR="00F85AE4" w:rsidRPr="00F85AE4">
        <w:rPr>
          <w:i/>
          <w:lang w:val="fr-CA"/>
        </w:rPr>
        <w:t xml:space="preserve"> </w:t>
      </w:r>
      <w:r w:rsidR="00F85AE4">
        <w:rPr>
          <w:i/>
          <w:lang w:val="fr-CA"/>
        </w:rPr>
        <w:t>Parry c</w:t>
      </w:r>
      <w:r w:rsidR="00F85AE4" w:rsidRPr="00F85AE4">
        <w:rPr>
          <w:i/>
          <w:lang w:val="fr-CA"/>
        </w:rPr>
        <w:t>. Cleaver</w:t>
      </w:r>
      <w:r w:rsidR="00F85AE4" w:rsidRPr="00F85AE4">
        <w:rPr>
          <w:lang w:val="fr-CA"/>
        </w:rPr>
        <w:t>, [1970] A.C. 1;</w:t>
      </w:r>
      <w:r w:rsidR="007B24BE" w:rsidRPr="007B24BE">
        <w:rPr>
          <w:i/>
          <w:lang w:val="fr-CA"/>
        </w:rPr>
        <w:t xml:space="preserve"> </w:t>
      </w:r>
      <w:r w:rsidR="007B24BE">
        <w:rPr>
          <w:i/>
          <w:lang w:val="fr-CA"/>
        </w:rPr>
        <w:t>Egan c</w:t>
      </w:r>
      <w:r w:rsidR="007B24BE" w:rsidRPr="007B24BE">
        <w:rPr>
          <w:i/>
          <w:lang w:val="fr-CA"/>
        </w:rPr>
        <w:t>. Canada</w:t>
      </w:r>
      <w:r w:rsidR="007B24BE">
        <w:rPr>
          <w:lang w:val="fr-CA"/>
        </w:rPr>
        <w:t>, [1995] 2 R.C.S</w:t>
      </w:r>
      <w:r w:rsidR="007B24BE" w:rsidRPr="007B24BE">
        <w:rPr>
          <w:lang w:val="fr-CA"/>
        </w:rPr>
        <w:t>. 513;</w:t>
      </w:r>
      <w:r w:rsidR="008D41DD" w:rsidRPr="008D41DD">
        <w:rPr>
          <w:i/>
          <w:lang w:val="fr-CA"/>
        </w:rPr>
        <w:t xml:space="preserve"> </w:t>
      </w:r>
      <w:r w:rsidR="008D41DD">
        <w:rPr>
          <w:i/>
          <w:lang w:val="fr-CA"/>
        </w:rPr>
        <w:t>R. c</w:t>
      </w:r>
      <w:r w:rsidR="008D41DD" w:rsidRPr="008D41DD">
        <w:rPr>
          <w:i/>
          <w:lang w:val="fr-CA"/>
        </w:rPr>
        <w:t>. Edwards Books and Art Ltd.</w:t>
      </w:r>
      <w:r w:rsidR="008D41DD">
        <w:rPr>
          <w:lang w:val="fr-CA"/>
        </w:rPr>
        <w:t>, [1986] 2 R.C.S</w:t>
      </w:r>
      <w:r w:rsidR="008D41DD" w:rsidRPr="008D41DD">
        <w:rPr>
          <w:lang w:val="fr-CA"/>
        </w:rPr>
        <w:t>. 713</w:t>
      </w:r>
      <w:r w:rsidR="008D41DD" w:rsidRPr="001746E6">
        <w:rPr>
          <w:lang w:val="fr-CA"/>
        </w:rPr>
        <w:t>;</w:t>
      </w:r>
      <w:r w:rsidR="00FD4276" w:rsidRPr="001746E6">
        <w:rPr>
          <w:i/>
          <w:lang w:val="fr-CA"/>
        </w:rPr>
        <w:t xml:space="preserve"> Williamson c. Lee Optical of Oklahoma</w:t>
      </w:r>
      <w:r w:rsidR="00FD4276" w:rsidRPr="001746E6">
        <w:rPr>
          <w:lang w:val="fr-CA"/>
        </w:rPr>
        <w:t>, 348 U.S. 483 (1955);</w:t>
      </w:r>
      <w:r w:rsidR="0043427B" w:rsidRPr="001746E6">
        <w:rPr>
          <w:i/>
          <w:lang w:val="fr-CA"/>
        </w:rPr>
        <w:t xml:space="preserve"> McKinney</w:t>
      </w:r>
      <w:r w:rsidR="0043427B">
        <w:rPr>
          <w:i/>
          <w:lang w:val="fr-CA"/>
        </w:rPr>
        <w:t xml:space="preserve"> c. Université de </w:t>
      </w:r>
      <w:r w:rsidR="0043427B" w:rsidRPr="0043427B">
        <w:rPr>
          <w:i/>
          <w:lang w:val="fr-CA"/>
        </w:rPr>
        <w:t>Guelph</w:t>
      </w:r>
      <w:r w:rsidR="0043427B">
        <w:rPr>
          <w:lang w:val="fr-CA"/>
        </w:rPr>
        <w:t>, [1990] 3 R.C.S</w:t>
      </w:r>
      <w:r w:rsidR="0043427B" w:rsidRPr="0043427B">
        <w:rPr>
          <w:lang w:val="fr-CA"/>
        </w:rPr>
        <w:t>. 229;</w:t>
      </w:r>
      <w:r w:rsidR="00AC1306" w:rsidRPr="00AC1306">
        <w:rPr>
          <w:i/>
          <w:lang w:val="fr-CA"/>
        </w:rPr>
        <w:t xml:space="preserve"> </w:t>
      </w:r>
      <w:r w:rsidR="00AC1306">
        <w:rPr>
          <w:i/>
          <w:lang w:val="fr-CA"/>
        </w:rPr>
        <w:t>Schachter c</w:t>
      </w:r>
      <w:r w:rsidR="00AC1306" w:rsidRPr="00AC1306">
        <w:rPr>
          <w:i/>
          <w:lang w:val="fr-CA"/>
        </w:rPr>
        <w:t>. Canada</w:t>
      </w:r>
      <w:r w:rsidR="00AC1306">
        <w:rPr>
          <w:lang w:val="fr-CA"/>
        </w:rPr>
        <w:t>, [1992] 2 R.C.S</w:t>
      </w:r>
      <w:r w:rsidR="00AC1306" w:rsidRPr="00AC1306">
        <w:rPr>
          <w:lang w:val="fr-CA"/>
        </w:rPr>
        <w:t>. 679;</w:t>
      </w:r>
      <w:r w:rsidR="006D22C3" w:rsidRPr="006D22C3">
        <w:rPr>
          <w:i/>
          <w:lang w:val="fr-CA"/>
        </w:rPr>
        <w:t xml:space="preserve"> Alberta (</w:t>
      </w:r>
      <w:r w:rsidR="006D22C3">
        <w:rPr>
          <w:i/>
          <w:lang w:val="fr-CA"/>
        </w:rPr>
        <w:t>Affaires autochtones et Développement du Nord) c</w:t>
      </w:r>
      <w:r w:rsidR="006D22C3" w:rsidRPr="006D22C3">
        <w:rPr>
          <w:i/>
          <w:lang w:val="fr-CA"/>
        </w:rPr>
        <w:t>. Cunningham</w:t>
      </w:r>
      <w:r w:rsidR="006D22C3" w:rsidRPr="006D22C3">
        <w:rPr>
          <w:lang w:val="fr-CA"/>
        </w:rPr>
        <w:t xml:space="preserve">, </w:t>
      </w:r>
      <w:r w:rsidR="006D22C3">
        <w:rPr>
          <w:lang w:val="fr-CA"/>
        </w:rPr>
        <w:t xml:space="preserve">2011 </w:t>
      </w:r>
      <w:r w:rsidR="006D22C3" w:rsidRPr="006D22C3">
        <w:rPr>
          <w:lang w:val="fr-CA"/>
        </w:rPr>
        <w:t>C</w:t>
      </w:r>
      <w:r w:rsidR="006D22C3">
        <w:rPr>
          <w:lang w:val="fr-CA"/>
        </w:rPr>
        <w:t>S</w:t>
      </w:r>
      <w:r w:rsidR="006D22C3" w:rsidRPr="006D22C3">
        <w:rPr>
          <w:lang w:val="fr-CA"/>
        </w:rPr>
        <w:t xml:space="preserve">C 37, </w:t>
      </w:r>
      <w:r w:rsidR="006D22C3">
        <w:rPr>
          <w:lang w:val="fr-CA"/>
        </w:rPr>
        <w:t>[2011] 2 R.C.S</w:t>
      </w:r>
      <w:r w:rsidR="006D22C3" w:rsidRPr="006D22C3">
        <w:rPr>
          <w:lang w:val="fr-CA"/>
        </w:rPr>
        <w:t>. 670;</w:t>
      </w:r>
      <w:r w:rsidR="004222F1" w:rsidRPr="004222F1">
        <w:rPr>
          <w:i/>
          <w:lang w:val="fr-CA"/>
        </w:rPr>
        <w:t xml:space="preserve"> </w:t>
      </w:r>
      <w:r w:rsidR="004222F1">
        <w:rPr>
          <w:i/>
          <w:lang w:val="fr-CA"/>
        </w:rPr>
        <w:t>Thibaudeau c</w:t>
      </w:r>
      <w:r w:rsidR="004222F1" w:rsidRPr="004222F1">
        <w:rPr>
          <w:i/>
          <w:lang w:val="fr-CA"/>
        </w:rPr>
        <w:t>. Canada</w:t>
      </w:r>
      <w:r w:rsidR="004222F1">
        <w:rPr>
          <w:lang w:val="fr-CA"/>
        </w:rPr>
        <w:t xml:space="preserve">, </w:t>
      </w:r>
      <w:r w:rsidR="004222F1" w:rsidRPr="00EA0919">
        <w:rPr>
          <w:lang w:val="fr-CA"/>
        </w:rPr>
        <w:t>[1995] 2 R.C.S. 627;</w:t>
      </w:r>
      <w:r w:rsidR="00597D2C" w:rsidRPr="00EA0919">
        <w:rPr>
          <w:i/>
          <w:lang w:val="fr-CA"/>
        </w:rPr>
        <w:t xml:space="preserve"> Lovelace c. Ontario</w:t>
      </w:r>
      <w:r w:rsidR="00597D2C" w:rsidRPr="00EA0919">
        <w:rPr>
          <w:lang w:val="fr-CA"/>
        </w:rPr>
        <w:t>, 2000 CSC 37, [2000] 1 R.C.S. 950;</w:t>
      </w:r>
      <w:r w:rsidR="0003033E" w:rsidRPr="00EA0919">
        <w:rPr>
          <w:i/>
          <w:lang w:val="fr-CA"/>
        </w:rPr>
        <w:t xml:space="preserve"> Ferrel c. Ontario (Attorney General)</w:t>
      </w:r>
      <w:r w:rsidR="0003033E" w:rsidRPr="00EA0919">
        <w:rPr>
          <w:lang w:val="fr-CA"/>
        </w:rPr>
        <w:t xml:space="preserve"> (1998), 42 O.R. (3d) 97;</w:t>
      </w:r>
      <w:r w:rsidR="00B94189" w:rsidRPr="00EA0919">
        <w:rPr>
          <w:color w:val="000000"/>
          <w:lang w:val="fr-CA"/>
        </w:rPr>
        <w:t xml:space="preserve"> </w:t>
      </w:r>
      <w:r w:rsidR="00B94189" w:rsidRPr="00EA0919">
        <w:rPr>
          <w:i/>
          <w:lang w:val="fr-CA"/>
        </w:rPr>
        <w:t>Colombie</w:t>
      </w:r>
      <w:r w:rsidR="002167F7">
        <w:rPr>
          <w:i/>
          <w:lang w:val="fr-CA"/>
        </w:rPr>
        <w:noBreakHyphen/>
      </w:r>
      <w:r w:rsidR="00B94189" w:rsidRPr="00EA0919">
        <w:rPr>
          <w:i/>
          <w:lang w:val="fr-CA"/>
        </w:rPr>
        <w:t>Britannique (Public Service Employee Relations Commission) </w:t>
      </w:r>
      <w:r w:rsidR="00B94189" w:rsidRPr="00EA0919">
        <w:rPr>
          <w:i/>
          <w:iCs/>
          <w:lang w:val="fr-CA"/>
        </w:rPr>
        <w:t>c.</w:t>
      </w:r>
      <w:r w:rsidR="00B94189" w:rsidRPr="00EA0919">
        <w:rPr>
          <w:i/>
          <w:lang w:val="fr-CA"/>
        </w:rPr>
        <w:t> BCGSEU</w:t>
      </w:r>
      <w:r w:rsidR="00B94189" w:rsidRPr="00EA0919">
        <w:rPr>
          <w:lang w:val="fr-CA"/>
        </w:rPr>
        <w:t>, [1999] 3 R.C.S. 3;</w:t>
      </w:r>
      <w:r w:rsidR="00E77501" w:rsidRPr="00EA0919">
        <w:rPr>
          <w:i/>
          <w:iCs/>
          <w:lang w:val="fr-CA"/>
        </w:rPr>
        <w:t xml:space="preserve"> Baldwin c. Missouri</w:t>
      </w:r>
      <w:r w:rsidR="00E77501" w:rsidRPr="00EA0919">
        <w:rPr>
          <w:lang w:val="fr-CA"/>
        </w:rPr>
        <w:t>, 281 U.S. 586 (1930);</w:t>
      </w:r>
      <w:r w:rsidR="00B05177" w:rsidRPr="00EA0919">
        <w:rPr>
          <w:lang w:val="fr-CA"/>
        </w:rPr>
        <w:t xml:space="preserve"> </w:t>
      </w:r>
      <w:r w:rsidR="00B05177" w:rsidRPr="00EA0919">
        <w:rPr>
          <w:i/>
          <w:lang w:val="fr-CA"/>
        </w:rPr>
        <w:t>R. c. Nova Scotia Pharmaceutical Society</w:t>
      </w:r>
      <w:r w:rsidR="00B05177" w:rsidRPr="00EA0919">
        <w:rPr>
          <w:lang w:val="fr-CA"/>
        </w:rPr>
        <w:t>, [1992] 2 R.C.S. 606;</w:t>
      </w:r>
      <w:r w:rsidR="00500117" w:rsidRPr="00EA0919">
        <w:rPr>
          <w:lang w:val="fr-CA"/>
        </w:rPr>
        <w:t xml:space="preserve"> </w:t>
      </w:r>
      <w:r w:rsidR="00500117" w:rsidRPr="00EA0919">
        <w:rPr>
          <w:i/>
          <w:lang w:val="fr-CA"/>
        </w:rPr>
        <w:t>Irwin Toy Ltd. c. Québec (Procureur général)</w:t>
      </w:r>
      <w:r w:rsidR="00500117" w:rsidRPr="00EA0919">
        <w:rPr>
          <w:lang w:val="fr-CA"/>
        </w:rPr>
        <w:t>, [1989] 1 R.C.S. 927;</w:t>
      </w:r>
      <w:r w:rsidR="00EA0919" w:rsidRPr="00EA0919">
        <w:rPr>
          <w:i/>
          <w:lang w:val="fr-CA"/>
        </w:rPr>
        <w:t xml:space="preserve"> Law Society of British Columbia c. Trinity Western University</w:t>
      </w:r>
      <w:r w:rsidR="00EA0919" w:rsidRPr="00EA0919">
        <w:rPr>
          <w:lang w:val="fr-CA"/>
        </w:rPr>
        <w:t>, 2</w:t>
      </w:r>
      <w:r w:rsidR="00495C1B">
        <w:rPr>
          <w:lang w:val="fr-CA"/>
        </w:rPr>
        <w:t>018 CSC 32, [2018] 2 R.C.S. 293.</w:t>
      </w:r>
    </w:p>
    <w:p w14:paraId="1BDBDAA8" w14:textId="7C9FD89F" w:rsidR="00257D32" w:rsidRPr="00250B5C" w:rsidRDefault="00D24B91" w:rsidP="0009382E">
      <w:pPr>
        <w:pStyle w:val="SCCNormalDoubleSpacing"/>
        <w:spacing w:after="720" w:line="240" w:lineRule="auto"/>
        <w:rPr>
          <w:lang w:val="fr-CA"/>
        </w:rPr>
      </w:pPr>
      <w:r w:rsidRPr="00495C1B">
        <w:rPr>
          <w:lang w:val="fr-CA"/>
        </w:rPr>
        <w:lastRenderedPageBreak/>
        <w:t>Citée par la juge</w:t>
      </w:r>
      <w:r w:rsidRPr="00495C1B">
        <w:rPr>
          <w:bCs/>
          <w:iCs/>
          <w:lang w:val="fr-CA" w:bidi="en-US"/>
        </w:rPr>
        <w:t xml:space="preserve"> </w:t>
      </w:r>
      <w:r w:rsidRPr="00495C1B">
        <w:rPr>
          <w:bCs/>
          <w:iCs/>
          <w:lang w:val="fr-CA"/>
        </w:rPr>
        <w:t>Côté</w:t>
      </w:r>
      <w:r w:rsidR="001326CB" w:rsidRPr="00495C1B">
        <w:rPr>
          <w:bCs/>
          <w:iCs/>
          <w:lang w:val="fr-CA"/>
        </w:rPr>
        <w:t xml:space="preserve"> (dissidente)</w:t>
      </w:r>
    </w:p>
    <w:p w14:paraId="5C6013A1" w14:textId="5163E04F" w:rsidR="004D7D95" w:rsidRPr="00FB495F" w:rsidRDefault="00D24B91" w:rsidP="0009382E">
      <w:pPr>
        <w:pStyle w:val="SCCNormalDoubleSpacing"/>
        <w:spacing w:before="240" w:after="480"/>
        <w:rPr>
          <w:i/>
          <w:lang w:val="fr-CA"/>
        </w:rPr>
      </w:pPr>
      <w:r w:rsidRPr="00593AA6">
        <w:rPr>
          <w:lang w:val="fr-CA"/>
        </w:rPr>
        <w:tab/>
      </w:r>
      <w:r w:rsidR="004114CC">
        <w:rPr>
          <w:i/>
          <w:lang w:val="fr-CA"/>
        </w:rPr>
        <w:t>Alliance de la fonction publique du Canada c. Canada (Ministère</w:t>
      </w:r>
      <w:r w:rsidR="00A840B3">
        <w:rPr>
          <w:i/>
          <w:lang w:val="fr-CA"/>
        </w:rPr>
        <w:t xml:space="preserve"> de la Défense nationale)</w:t>
      </w:r>
      <w:r w:rsidR="004114CC">
        <w:rPr>
          <w:lang w:val="fr-CA"/>
        </w:rPr>
        <w:t xml:space="preserve">, </w:t>
      </w:r>
      <w:r w:rsidR="004114CC" w:rsidRPr="004114CC">
        <w:rPr>
          <w:lang w:val="fr-CA"/>
        </w:rPr>
        <w:t>[1996] 3 C.F. 789;</w:t>
      </w:r>
      <w:r w:rsidR="00D97F2A">
        <w:rPr>
          <w:lang w:val="fr-CA"/>
        </w:rPr>
        <w:t xml:space="preserve"> </w:t>
      </w:r>
      <w:r w:rsidR="00D97F2A">
        <w:rPr>
          <w:i/>
          <w:lang w:val="fr-CA"/>
        </w:rPr>
        <w:t>Québec (Procureure générale) c. Alliance du personnel professionnel et technique de la santé et des services sociaux</w:t>
      </w:r>
      <w:r w:rsidR="00D97F2A">
        <w:rPr>
          <w:lang w:val="fr-CA"/>
        </w:rPr>
        <w:t xml:space="preserve">, 2018 CSC 17, </w:t>
      </w:r>
      <w:r w:rsidR="00D97F2A" w:rsidRPr="00D97F2A">
        <w:rPr>
          <w:lang w:val="fr-CA"/>
        </w:rPr>
        <w:t>[2018] 1 R.C.S. 464;</w:t>
      </w:r>
      <w:r w:rsidR="00E11AE7" w:rsidRPr="00E11AE7">
        <w:rPr>
          <w:i/>
          <w:szCs w:val="24"/>
          <w:lang w:val="fr-CA"/>
        </w:rPr>
        <w:t xml:space="preserve"> Gosselin</w:t>
      </w:r>
      <w:r w:rsidR="00E11AE7">
        <w:rPr>
          <w:i/>
          <w:szCs w:val="24"/>
          <w:lang w:val="fr-CA"/>
        </w:rPr>
        <w:t xml:space="preserve"> c</w:t>
      </w:r>
      <w:r w:rsidR="00E11AE7" w:rsidRPr="00E11AE7">
        <w:rPr>
          <w:i/>
          <w:szCs w:val="24"/>
          <w:lang w:val="fr-CA"/>
        </w:rPr>
        <w:t>. Québec</w:t>
      </w:r>
      <w:r w:rsidR="00E11AE7">
        <w:rPr>
          <w:i/>
          <w:szCs w:val="24"/>
          <w:lang w:val="fr-CA"/>
        </w:rPr>
        <w:t xml:space="preserve"> (Procureur général</w:t>
      </w:r>
      <w:r w:rsidR="00E11AE7" w:rsidRPr="00E11AE7">
        <w:rPr>
          <w:i/>
          <w:szCs w:val="24"/>
          <w:lang w:val="fr-CA"/>
        </w:rPr>
        <w:t>)</w:t>
      </w:r>
      <w:r w:rsidR="00E11AE7" w:rsidRPr="00E11AE7">
        <w:rPr>
          <w:szCs w:val="24"/>
          <w:lang w:val="fr-CA"/>
        </w:rPr>
        <w:t>,</w:t>
      </w:r>
      <w:r w:rsidR="00E11AE7" w:rsidRPr="00E11AE7">
        <w:rPr>
          <w:i/>
          <w:szCs w:val="24"/>
          <w:lang w:val="fr-CA"/>
        </w:rPr>
        <w:t xml:space="preserve"> </w:t>
      </w:r>
      <w:r w:rsidR="00E11AE7">
        <w:rPr>
          <w:szCs w:val="24"/>
          <w:lang w:val="fr-CA"/>
        </w:rPr>
        <w:t xml:space="preserve">2002 </w:t>
      </w:r>
      <w:r w:rsidR="00E11AE7" w:rsidRPr="00E11AE7">
        <w:rPr>
          <w:szCs w:val="24"/>
          <w:lang w:val="fr-CA"/>
        </w:rPr>
        <w:t>C</w:t>
      </w:r>
      <w:r w:rsidR="00E11AE7">
        <w:rPr>
          <w:szCs w:val="24"/>
          <w:lang w:val="fr-CA"/>
        </w:rPr>
        <w:t>S</w:t>
      </w:r>
      <w:r w:rsidR="00E11AE7" w:rsidRPr="00E11AE7">
        <w:rPr>
          <w:szCs w:val="24"/>
          <w:lang w:val="fr-CA"/>
        </w:rPr>
        <w:t xml:space="preserve">C 84, </w:t>
      </w:r>
      <w:r w:rsidR="00E11AE7">
        <w:rPr>
          <w:szCs w:val="24"/>
          <w:lang w:val="fr-CA"/>
        </w:rPr>
        <w:t>[2002] 4 R</w:t>
      </w:r>
      <w:r w:rsidR="00E11AE7" w:rsidRPr="00E11AE7">
        <w:rPr>
          <w:szCs w:val="24"/>
          <w:lang w:val="fr-CA"/>
        </w:rPr>
        <w:t>.C.</w:t>
      </w:r>
      <w:r w:rsidR="00E11AE7">
        <w:rPr>
          <w:szCs w:val="24"/>
          <w:lang w:val="fr-CA"/>
        </w:rPr>
        <w:t>S</w:t>
      </w:r>
      <w:r w:rsidR="00E11AE7" w:rsidRPr="00E11AE7">
        <w:rPr>
          <w:szCs w:val="24"/>
          <w:lang w:val="fr-CA"/>
        </w:rPr>
        <w:t>. 429</w:t>
      </w:r>
      <w:r w:rsidR="00E11AE7">
        <w:rPr>
          <w:szCs w:val="24"/>
          <w:lang w:val="fr-CA"/>
        </w:rPr>
        <w:t>;</w:t>
      </w:r>
      <w:r w:rsidR="00966833" w:rsidRPr="00966833">
        <w:rPr>
          <w:i/>
          <w:szCs w:val="24"/>
          <w:lang w:val="fr-CA"/>
        </w:rPr>
        <w:t xml:space="preserve"> Andrews</w:t>
      </w:r>
      <w:r w:rsidR="00966833">
        <w:rPr>
          <w:i/>
          <w:szCs w:val="24"/>
          <w:lang w:val="fr-CA"/>
        </w:rPr>
        <w:t xml:space="preserve"> c</w:t>
      </w:r>
      <w:r w:rsidR="00966833" w:rsidRPr="00966833">
        <w:rPr>
          <w:i/>
          <w:szCs w:val="24"/>
          <w:lang w:val="fr-CA"/>
        </w:rPr>
        <w:t>. Law Society of British Columbia</w:t>
      </w:r>
      <w:r w:rsidR="00966833" w:rsidRPr="00966833">
        <w:rPr>
          <w:szCs w:val="24"/>
          <w:lang w:val="fr-CA"/>
        </w:rPr>
        <w:t>, [</w:t>
      </w:r>
      <w:r w:rsidR="00966833">
        <w:rPr>
          <w:szCs w:val="24"/>
          <w:lang w:val="fr-CA"/>
        </w:rPr>
        <w:t>1989] 1 R.C.S</w:t>
      </w:r>
      <w:r w:rsidR="00966833" w:rsidRPr="00966833">
        <w:rPr>
          <w:szCs w:val="24"/>
          <w:lang w:val="fr-CA"/>
        </w:rPr>
        <w:t>. 143</w:t>
      </w:r>
      <w:r w:rsidR="00966833">
        <w:rPr>
          <w:szCs w:val="24"/>
          <w:lang w:val="fr-CA"/>
        </w:rPr>
        <w:t>;</w:t>
      </w:r>
      <w:r w:rsidR="004B162D" w:rsidRPr="004B162D">
        <w:rPr>
          <w:i/>
          <w:szCs w:val="24"/>
          <w:lang w:val="fr-CA"/>
        </w:rPr>
        <w:t xml:space="preserve"> R.</w:t>
      </w:r>
      <w:r w:rsidR="004B162D">
        <w:rPr>
          <w:i/>
          <w:szCs w:val="24"/>
          <w:lang w:val="fr-CA"/>
        </w:rPr>
        <w:t xml:space="preserve"> c</w:t>
      </w:r>
      <w:r w:rsidR="004B162D" w:rsidRPr="004B162D">
        <w:rPr>
          <w:i/>
          <w:szCs w:val="24"/>
          <w:lang w:val="fr-CA"/>
        </w:rPr>
        <w:t>. Kapp</w:t>
      </w:r>
      <w:r w:rsidR="004B162D">
        <w:rPr>
          <w:szCs w:val="24"/>
          <w:lang w:val="fr-CA"/>
        </w:rPr>
        <w:t xml:space="preserve">, 2008 </w:t>
      </w:r>
      <w:r w:rsidR="004B162D" w:rsidRPr="004B162D">
        <w:rPr>
          <w:szCs w:val="24"/>
          <w:lang w:val="fr-CA"/>
        </w:rPr>
        <w:t>C</w:t>
      </w:r>
      <w:r w:rsidR="004B162D">
        <w:rPr>
          <w:szCs w:val="24"/>
          <w:lang w:val="fr-CA"/>
        </w:rPr>
        <w:t>S</w:t>
      </w:r>
      <w:r w:rsidR="004B162D" w:rsidRPr="004B162D">
        <w:rPr>
          <w:szCs w:val="24"/>
          <w:lang w:val="fr-CA"/>
        </w:rPr>
        <w:t xml:space="preserve">C 41, </w:t>
      </w:r>
      <w:r w:rsidR="004B162D">
        <w:rPr>
          <w:szCs w:val="24"/>
          <w:lang w:val="fr-CA"/>
        </w:rPr>
        <w:t>[2008] 2 R.C.S</w:t>
      </w:r>
      <w:r w:rsidR="004B162D" w:rsidRPr="004B162D">
        <w:rPr>
          <w:szCs w:val="24"/>
          <w:lang w:val="fr-CA"/>
        </w:rPr>
        <w:t>. 483</w:t>
      </w:r>
      <w:r w:rsidR="004B162D">
        <w:rPr>
          <w:szCs w:val="24"/>
          <w:lang w:val="fr-CA"/>
        </w:rPr>
        <w:t>;</w:t>
      </w:r>
      <w:r w:rsidR="00D46753" w:rsidRPr="00D46753">
        <w:rPr>
          <w:szCs w:val="24"/>
          <w:lang w:val="fr-CA"/>
        </w:rPr>
        <w:t xml:space="preserve"> </w:t>
      </w:r>
      <w:r w:rsidR="00D46753">
        <w:rPr>
          <w:i/>
          <w:szCs w:val="24"/>
          <w:lang w:val="fr-CA"/>
        </w:rPr>
        <w:t>Withler c. Canada (Procureur général</w:t>
      </w:r>
      <w:r w:rsidR="00D46753" w:rsidRPr="003630C7">
        <w:rPr>
          <w:i/>
          <w:szCs w:val="24"/>
          <w:lang w:val="fr-CA"/>
        </w:rPr>
        <w:t>)</w:t>
      </w:r>
      <w:r w:rsidR="00D46753">
        <w:rPr>
          <w:szCs w:val="24"/>
          <w:lang w:val="fr-CA"/>
        </w:rPr>
        <w:t xml:space="preserve">, 2011 </w:t>
      </w:r>
      <w:r w:rsidR="00D46753" w:rsidRPr="00D46753">
        <w:rPr>
          <w:szCs w:val="24"/>
          <w:lang w:val="fr-CA"/>
        </w:rPr>
        <w:t>C</w:t>
      </w:r>
      <w:r w:rsidR="00D46753">
        <w:rPr>
          <w:szCs w:val="24"/>
          <w:lang w:val="fr-CA"/>
        </w:rPr>
        <w:t>S</w:t>
      </w:r>
      <w:r w:rsidR="00D46753" w:rsidRPr="00D46753">
        <w:rPr>
          <w:szCs w:val="24"/>
          <w:lang w:val="fr-CA"/>
        </w:rPr>
        <w:t xml:space="preserve">C 12, </w:t>
      </w:r>
      <w:r w:rsidR="00D46753">
        <w:rPr>
          <w:szCs w:val="24"/>
          <w:lang w:val="fr-CA"/>
        </w:rPr>
        <w:t>[2011] 1 R.C.S</w:t>
      </w:r>
      <w:r w:rsidR="00D46753" w:rsidRPr="00D46753">
        <w:rPr>
          <w:szCs w:val="24"/>
          <w:lang w:val="fr-CA"/>
        </w:rPr>
        <w:t>. 396</w:t>
      </w:r>
      <w:r w:rsidR="00D46753">
        <w:rPr>
          <w:szCs w:val="24"/>
          <w:lang w:val="fr-CA"/>
        </w:rPr>
        <w:t>;</w:t>
      </w:r>
      <w:r w:rsidR="0067478F" w:rsidRPr="0067478F">
        <w:rPr>
          <w:i/>
          <w:szCs w:val="24"/>
          <w:lang w:val="fr-CA"/>
        </w:rPr>
        <w:t xml:space="preserve"> Québec</w:t>
      </w:r>
      <w:r w:rsidR="0067478F">
        <w:rPr>
          <w:i/>
          <w:szCs w:val="24"/>
          <w:lang w:val="fr-CA"/>
        </w:rPr>
        <w:t xml:space="preserve"> (Procureur général</w:t>
      </w:r>
      <w:r w:rsidR="0067478F" w:rsidRPr="0067478F">
        <w:rPr>
          <w:i/>
          <w:szCs w:val="24"/>
          <w:lang w:val="fr-CA"/>
        </w:rPr>
        <w:t>)</w:t>
      </w:r>
      <w:r w:rsidR="0067478F">
        <w:rPr>
          <w:i/>
          <w:szCs w:val="24"/>
          <w:lang w:val="fr-CA"/>
        </w:rPr>
        <w:t xml:space="preserve"> c</w:t>
      </w:r>
      <w:r w:rsidR="0067478F" w:rsidRPr="0067478F">
        <w:rPr>
          <w:i/>
          <w:szCs w:val="24"/>
          <w:lang w:val="fr-CA"/>
        </w:rPr>
        <w:t>. A</w:t>
      </w:r>
      <w:r w:rsidR="0067478F">
        <w:rPr>
          <w:szCs w:val="24"/>
          <w:lang w:val="fr-CA"/>
        </w:rPr>
        <w:t xml:space="preserve">, 2013 </w:t>
      </w:r>
      <w:r w:rsidR="0067478F" w:rsidRPr="0067478F">
        <w:rPr>
          <w:szCs w:val="24"/>
          <w:lang w:val="fr-CA"/>
        </w:rPr>
        <w:t>C</w:t>
      </w:r>
      <w:r w:rsidR="0067478F">
        <w:rPr>
          <w:szCs w:val="24"/>
          <w:lang w:val="fr-CA"/>
        </w:rPr>
        <w:t>S</w:t>
      </w:r>
      <w:r w:rsidR="0067478F" w:rsidRPr="0067478F">
        <w:rPr>
          <w:szCs w:val="24"/>
          <w:lang w:val="fr-CA"/>
        </w:rPr>
        <w:t xml:space="preserve">C 5, </w:t>
      </w:r>
      <w:r w:rsidR="0067478F">
        <w:rPr>
          <w:szCs w:val="24"/>
          <w:lang w:val="fr-CA"/>
        </w:rPr>
        <w:t>[2013] 1 R.C.S</w:t>
      </w:r>
      <w:r w:rsidR="0067478F" w:rsidRPr="0067478F">
        <w:rPr>
          <w:szCs w:val="24"/>
          <w:lang w:val="fr-CA"/>
        </w:rPr>
        <w:t>. 61</w:t>
      </w:r>
      <w:r w:rsidR="0067478F">
        <w:rPr>
          <w:szCs w:val="24"/>
          <w:lang w:val="fr-CA"/>
        </w:rPr>
        <w:t>;</w:t>
      </w:r>
      <w:r w:rsidR="00963B5C" w:rsidRPr="00963B5C">
        <w:rPr>
          <w:i/>
          <w:szCs w:val="24"/>
          <w:lang w:val="fr-CA"/>
        </w:rPr>
        <w:t xml:space="preserve"> </w:t>
      </w:r>
      <w:r w:rsidR="00963B5C">
        <w:rPr>
          <w:i/>
          <w:szCs w:val="24"/>
          <w:lang w:val="fr-CA"/>
        </w:rPr>
        <w:t xml:space="preserve">Première Nation de </w:t>
      </w:r>
      <w:r w:rsidR="00963B5C" w:rsidRPr="00963B5C">
        <w:rPr>
          <w:i/>
          <w:szCs w:val="24"/>
          <w:lang w:val="fr-CA"/>
        </w:rPr>
        <w:t>Kahkewistahaw</w:t>
      </w:r>
      <w:r w:rsidR="00963B5C">
        <w:rPr>
          <w:i/>
          <w:szCs w:val="24"/>
          <w:lang w:val="fr-CA"/>
        </w:rPr>
        <w:t xml:space="preserve"> c</w:t>
      </w:r>
      <w:r w:rsidR="00963B5C" w:rsidRPr="00963B5C">
        <w:rPr>
          <w:i/>
          <w:szCs w:val="24"/>
          <w:lang w:val="fr-CA"/>
        </w:rPr>
        <w:t>. Taypotat</w:t>
      </w:r>
      <w:r w:rsidR="00963B5C">
        <w:rPr>
          <w:szCs w:val="24"/>
          <w:lang w:val="fr-CA"/>
        </w:rPr>
        <w:t xml:space="preserve">, 2015 </w:t>
      </w:r>
      <w:r w:rsidR="00963B5C" w:rsidRPr="00963B5C">
        <w:rPr>
          <w:szCs w:val="24"/>
          <w:lang w:val="fr-CA"/>
        </w:rPr>
        <w:t>C</w:t>
      </w:r>
      <w:r w:rsidR="00963B5C">
        <w:rPr>
          <w:szCs w:val="24"/>
          <w:lang w:val="fr-CA"/>
        </w:rPr>
        <w:t>S</w:t>
      </w:r>
      <w:r w:rsidR="00963B5C" w:rsidRPr="00963B5C">
        <w:rPr>
          <w:szCs w:val="24"/>
          <w:lang w:val="fr-CA"/>
        </w:rPr>
        <w:t xml:space="preserve">C 30, </w:t>
      </w:r>
      <w:r w:rsidR="00963B5C">
        <w:rPr>
          <w:szCs w:val="24"/>
          <w:lang w:val="fr-CA"/>
        </w:rPr>
        <w:t>[2015] 2 R.C.S</w:t>
      </w:r>
      <w:r w:rsidR="00963B5C" w:rsidRPr="00963B5C">
        <w:rPr>
          <w:szCs w:val="24"/>
          <w:lang w:val="fr-CA"/>
        </w:rPr>
        <w:t>. 548</w:t>
      </w:r>
      <w:r w:rsidR="00963B5C">
        <w:rPr>
          <w:szCs w:val="24"/>
          <w:lang w:val="fr-CA"/>
        </w:rPr>
        <w:t>;</w:t>
      </w:r>
      <w:r w:rsidR="00A23F27" w:rsidRPr="00A23F27">
        <w:rPr>
          <w:i/>
          <w:szCs w:val="24"/>
          <w:lang w:val="fr-CA"/>
        </w:rPr>
        <w:t xml:space="preserve"> Ce</w:t>
      </w:r>
      <w:r w:rsidR="00A23F27">
        <w:rPr>
          <w:i/>
          <w:szCs w:val="24"/>
          <w:lang w:val="fr-CA"/>
        </w:rPr>
        <w:t>ntrale des syndicats du Québec c</w:t>
      </w:r>
      <w:r w:rsidR="00A23F27" w:rsidRPr="00A23F27">
        <w:rPr>
          <w:i/>
          <w:szCs w:val="24"/>
          <w:lang w:val="fr-CA"/>
        </w:rPr>
        <w:t>. Québec</w:t>
      </w:r>
      <w:r w:rsidR="00A23F27">
        <w:rPr>
          <w:i/>
          <w:szCs w:val="24"/>
          <w:lang w:val="fr-CA"/>
        </w:rPr>
        <w:t xml:space="preserve"> (Procureure générale</w:t>
      </w:r>
      <w:r w:rsidR="00A23F27" w:rsidRPr="00A23F27">
        <w:rPr>
          <w:i/>
          <w:szCs w:val="24"/>
          <w:lang w:val="fr-CA"/>
        </w:rPr>
        <w:t>)</w:t>
      </w:r>
      <w:r w:rsidR="00A23F27">
        <w:rPr>
          <w:szCs w:val="24"/>
          <w:lang w:val="fr-CA"/>
        </w:rPr>
        <w:t xml:space="preserve">, 2018 </w:t>
      </w:r>
      <w:r w:rsidR="00A23F27" w:rsidRPr="00A23F27">
        <w:rPr>
          <w:szCs w:val="24"/>
          <w:lang w:val="fr-CA"/>
        </w:rPr>
        <w:t>C</w:t>
      </w:r>
      <w:r w:rsidR="00A23F27">
        <w:rPr>
          <w:szCs w:val="24"/>
          <w:lang w:val="fr-CA"/>
        </w:rPr>
        <w:t>S</w:t>
      </w:r>
      <w:r w:rsidR="00A23F27" w:rsidRPr="00A23F27">
        <w:rPr>
          <w:szCs w:val="24"/>
          <w:lang w:val="fr-CA"/>
        </w:rPr>
        <w:t>C 18,</w:t>
      </w:r>
      <w:r w:rsidR="00A23F27" w:rsidRPr="00A23F27">
        <w:rPr>
          <w:i/>
          <w:szCs w:val="24"/>
          <w:lang w:val="fr-CA"/>
        </w:rPr>
        <w:t xml:space="preserve"> </w:t>
      </w:r>
      <w:r w:rsidR="00A23F27">
        <w:rPr>
          <w:szCs w:val="24"/>
          <w:lang w:val="fr-CA"/>
        </w:rPr>
        <w:t>[2018] 1 R.C.S</w:t>
      </w:r>
      <w:r w:rsidR="00A23F27" w:rsidRPr="00A23F27">
        <w:rPr>
          <w:szCs w:val="24"/>
          <w:lang w:val="fr-CA"/>
        </w:rPr>
        <w:t>. 522</w:t>
      </w:r>
      <w:r w:rsidR="00A23F27">
        <w:rPr>
          <w:szCs w:val="24"/>
          <w:lang w:val="fr-CA"/>
        </w:rPr>
        <w:t>;</w:t>
      </w:r>
      <w:r w:rsidR="00FA10BB" w:rsidRPr="00FA10BB">
        <w:rPr>
          <w:i/>
          <w:szCs w:val="24"/>
          <w:lang w:val="fr-CA"/>
        </w:rPr>
        <w:t xml:space="preserve"> </w:t>
      </w:r>
      <w:r w:rsidR="00FA10BB">
        <w:rPr>
          <w:i/>
          <w:szCs w:val="24"/>
          <w:lang w:val="fr-CA"/>
        </w:rPr>
        <w:t>Brooks c</w:t>
      </w:r>
      <w:r w:rsidR="00FA10BB" w:rsidRPr="00FA10BB">
        <w:rPr>
          <w:i/>
          <w:szCs w:val="24"/>
          <w:lang w:val="fr-CA"/>
        </w:rPr>
        <w:t>. Canada Safeway Ltd.</w:t>
      </w:r>
      <w:r w:rsidR="00FA10BB">
        <w:rPr>
          <w:szCs w:val="24"/>
          <w:lang w:val="fr-CA"/>
        </w:rPr>
        <w:t>, [1989] 1 R.C.S</w:t>
      </w:r>
      <w:r w:rsidR="00FA10BB" w:rsidRPr="00FA10BB">
        <w:rPr>
          <w:szCs w:val="24"/>
          <w:lang w:val="fr-CA"/>
        </w:rPr>
        <w:t>. 1219</w:t>
      </w:r>
      <w:r w:rsidR="00FA10BB">
        <w:rPr>
          <w:szCs w:val="24"/>
          <w:lang w:val="fr-CA"/>
        </w:rPr>
        <w:t>;</w:t>
      </w:r>
      <w:r w:rsidR="00D66FF7" w:rsidRPr="00D66FF7">
        <w:rPr>
          <w:i/>
          <w:lang w:val="fr-CA"/>
        </w:rPr>
        <w:t xml:space="preserve"> </w:t>
      </w:r>
      <w:r w:rsidR="004C386A" w:rsidRPr="00DE618F">
        <w:rPr>
          <w:i/>
          <w:lang w:val="fr-CA"/>
        </w:rPr>
        <w:t>D.H. c. République tchèque</w:t>
      </w:r>
      <w:r w:rsidR="004C386A" w:rsidRPr="00DE618F">
        <w:rPr>
          <w:lang w:val="fr-CA"/>
        </w:rPr>
        <w:t xml:space="preserve">, </w:t>
      </w:r>
      <w:r w:rsidR="004C386A" w:rsidRPr="00DE618F">
        <w:rPr>
          <w:color w:val="000000"/>
          <w:lang w:val="fr-CA"/>
        </w:rPr>
        <w:t>n</w:t>
      </w:r>
      <w:r w:rsidR="004C386A" w:rsidRPr="00DE618F">
        <w:rPr>
          <w:color w:val="000000"/>
          <w:vertAlign w:val="superscript"/>
          <w:lang w:val="fr-CA"/>
        </w:rPr>
        <w:t>o</w:t>
      </w:r>
      <w:r w:rsidR="00036D2D">
        <w:rPr>
          <w:color w:val="000000"/>
          <w:lang w:val="fr-CA"/>
        </w:rPr>
        <w:t> </w:t>
      </w:r>
      <w:r w:rsidR="004C386A" w:rsidRPr="00DE618F">
        <w:rPr>
          <w:color w:val="000000"/>
          <w:lang w:val="fr-CA"/>
        </w:rPr>
        <w:t>57325/00, CEDH 2007</w:t>
      </w:r>
      <w:r w:rsidR="004C386A" w:rsidRPr="00DE618F">
        <w:rPr>
          <w:color w:val="000000"/>
          <w:lang w:val="fr-CA"/>
        </w:rPr>
        <w:noBreakHyphen/>
        <w:t>IV;</w:t>
      </w:r>
      <w:r w:rsidR="004C386A" w:rsidRPr="00DE618F">
        <w:rPr>
          <w:i/>
          <w:lang w:val="fr-CA"/>
        </w:rPr>
        <w:t xml:space="preserve"> </w:t>
      </w:r>
      <w:r w:rsidR="00D66FF7" w:rsidRPr="00DE618F">
        <w:rPr>
          <w:i/>
          <w:lang w:val="fr-CA"/>
        </w:rPr>
        <w:t>Griggs c. Duke Power Co.</w:t>
      </w:r>
      <w:r w:rsidR="00D66FF7" w:rsidRPr="00DE618F">
        <w:rPr>
          <w:lang w:val="fr-CA"/>
        </w:rPr>
        <w:t>, 401 U.S. 424 (1971);</w:t>
      </w:r>
      <w:r w:rsidR="00EA71EF" w:rsidRPr="00DE618F">
        <w:rPr>
          <w:i/>
          <w:lang w:val="fr-CA"/>
        </w:rPr>
        <w:t xml:space="preserve"> Washington, Mayor of </w:t>
      </w:r>
      <w:r w:rsidR="00EA71EF" w:rsidRPr="00FB495F">
        <w:rPr>
          <w:i/>
          <w:lang w:val="fr-CA"/>
        </w:rPr>
        <w:t>Washington, D.C. c. Davis</w:t>
      </w:r>
      <w:r w:rsidR="00EA71EF" w:rsidRPr="00FB495F">
        <w:rPr>
          <w:lang w:val="fr-CA"/>
        </w:rPr>
        <w:t>, 426 U.S. 229 (1976);</w:t>
      </w:r>
      <w:r w:rsidR="000E6B54" w:rsidRPr="00FB495F">
        <w:rPr>
          <w:i/>
          <w:szCs w:val="24"/>
          <w:lang w:val="fr-CA"/>
        </w:rPr>
        <w:t xml:space="preserve"> Watson c. Fort Worth Bank &amp; Trust</w:t>
      </w:r>
      <w:r w:rsidR="000E6B54" w:rsidRPr="00FB495F">
        <w:rPr>
          <w:szCs w:val="24"/>
          <w:lang w:val="fr-CA"/>
        </w:rPr>
        <w:t>, 487 U.S. 977 (1988);</w:t>
      </w:r>
      <w:r w:rsidR="00B40312" w:rsidRPr="00FB495F">
        <w:rPr>
          <w:i/>
          <w:iCs/>
          <w:lang w:val="fr-CA"/>
        </w:rPr>
        <w:t xml:space="preserve"> </w:t>
      </w:r>
      <w:r w:rsidR="00726D60" w:rsidRPr="00FB495F">
        <w:rPr>
          <w:i/>
          <w:lang w:val="fr-CA"/>
        </w:rPr>
        <w:t>Texas Department of Housing and Community Affairs c. Inclusive Communities Project, Inc.</w:t>
      </w:r>
      <w:r w:rsidR="00726D60" w:rsidRPr="00FB495F">
        <w:rPr>
          <w:lang w:val="fr-CA"/>
        </w:rPr>
        <w:t>, 135 S. Ct. 2507 (2015)</w:t>
      </w:r>
      <w:r w:rsidR="002E3FA4" w:rsidRPr="00FB495F">
        <w:rPr>
          <w:lang w:val="fr-CA"/>
        </w:rPr>
        <w:t xml:space="preserve">; </w:t>
      </w:r>
      <w:r w:rsidR="002E3FA4" w:rsidRPr="00FB495F">
        <w:rPr>
          <w:i/>
          <w:lang w:val="fr-CA"/>
        </w:rPr>
        <w:t>Ricci c. DeStefano</w:t>
      </w:r>
      <w:r w:rsidR="002E3FA4" w:rsidRPr="00FB495F">
        <w:rPr>
          <w:lang w:val="fr-CA"/>
        </w:rPr>
        <w:t>, 557 U.S. 557 (2009);</w:t>
      </w:r>
      <w:r w:rsidR="008D23A8" w:rsidRPr="00FB495F">
        <w:rPr>
          <w:i/>
          <w:lang w:val="fr-CA"/>
        </w:rPr>
        <w:t xml:space="preserve"> Smith c. City of Jackson, Mississippi</w:t>
      </w:r>
      <w:r w:rsidR="008D23A8" w:rsidRPr="00FB495F">
        <w:rPr>
          <w:lang w:val="fr-CA"/>
        </w:rPr>
        <w:t>, 544 U.S. 228 (2005);</w:t>
      </w:r>
      <w:r w:rsidR="0052503F" w:rsidRPr="00FB495F">
        <w:rPr>
          <w:i/>
          <w:lang w:val="fr-CA"/>
        </w:rPr>
        <w:t xml:space="preserve"> Symes c. Canada</w:t>
      </w:r>
      <w:r w:rsidR="0052503F" w:rsidRPr="00FB495F">
        <w:rPr>
          <w:lang w:val="fr-CA"/>
        </w:rPr>
        <w:t>, [1993] 4 R.C.S. 695;</w:t>
      </w:r>
      <w:r w:rsidR="00757AD2" w:rsidRPr="00FB495F">
        <w:rPr>
          <w:i/>
          <w:lang w:val="fr-CA"/>
        </w:rPr>
        <w:t xml:space="preserve"> Miceli</w:t>
      </w:r>
      <w:r w:rsidR="002167F7" w:rsidRPr="00FB495F">
        <w:rPr>
          <w:i/>
          <w:lang w:val="fr-CA"/>
        </w:rPr>
        <w:noBreakHyphen/>
      </w:r>
      <w:r w:rsidR="00757AD2" w:rsidRPr="00FB495F">
        <w:rPr>
          <w:i/>
          <w:lang w:val="fr-CA"/>
        </w:rPr>
        <w:t>Riggins c. Canada (</w:t>
      </w:r>
      <w:r w:rsidR="00757AD2" w:rsidRPr="00FB495F">
        <w:rPr>
          <w:i/>
          <w:szCs w:val="24"/>
          <w:lang w:val="fr-CA"/>
        </w:rPr>
        <w:t>Procureur général</w:t>
      </w:r>
      <w:r w:rsidR="00757AD2" w:rsidRPr="00FB495F">
        <w:rPr>
          <w:i/>
          <w:lang w:val="fr-CA"/>
        </w:rPr>
        <w:t>)</w:t>
      </w:r>
      <w:r w:rsidR="00757AD2" w:rsidRPr="00FB495F">
        <w:rPr>
          <w:lang w:val="fr-CA"/>
        </w:rPr>
        <w:t>, 2013 CAF 158, [2014] 4 R.C.F. 709;</w:t>
      </w:r>
      <w:r w:rsidR="00395CF7" w:rsidRPr="00FB495F">
        <w:rPr>
          <w:i/>
          <w:lang w:val="fr-CA"/>
        </w:rPr>
        <w:t xml:space="preserve"> </w:t>
      </w:r>
      <w:r w:rsidR="00DE618F" w:rsidRPr="00FB495F">
        <w:rPr>
          <w:i/>
          <w:lang w:val="fr-CA"/>
        </w:rPr>
        <w:t>Grenon c. Canada</w:t>
      </w:r>
      <w:r w:rsidR="00DE618F" w:rsidRPr="00FB495F">
        <w:rPr>
          <w:lang w:val="fr-CA"/>
        </w:rPr>
        <w:t xml:space="preserve">, 2016 CAF 4; </w:t>
      </w:r>
      <w:r w:rsidR="00395CF7" w:rsidRPr="00FB495F">
        <w:rPr>
          <w:i/>
          <w:lang w:val="fr-CA"/>
        </w:rPr>
        <w:t>Canada (</w:t>
      </w:r>
      <w:r w:rsidR="00395CF7" w:rsidRPr="00FB495F">
        <w:rPr>
          <w:i/>
          <w:szCs w:val="24"/>
          <w:lang w:val="fr-CA"/>
        </w:rPr>
        <w:t>Procureur général</w:t>
      </w:r>
      <w:r w:rsidR="00053600" w:rsidRPr="00FB495F">
        <w:rPr>
          <w:i/>
          <w:lang w:val="fr-CA"/>
        </w:rPr>
        <w:t>) c</w:t>
      </w:r>
      <w:r w:rsidR="00A840B3" w:rsidRPr="00FB495F">
        <w:rPr>
          <w:i/>
          <w:lang w:val="fr-CA"/>
        </w:rPr>
        <w:t>. Lesiuk</w:t>
      </w:r>
      <w:r w:rsidR="00395CF7" w:rsidRPr="00FB495F">
        <w:rPr>
          <w:lang w:val="fr-CA"/>
        </w:rPr>
        <w:t>,</w:t>
      </w:r>
      <w:r w:rsidR="00053600" w:rsidRPr="00FB495F">
        <w:rPr>
          <w:lang w:val="fr-CA"/>
        </w:rPr>
        <w:t xml:space="preserve"> 2003 </w:t>
      </w:r>
      <w:r w:rsidR="00395CF7" w:rsidRPr="00FB495F">
        <w:rPr>
          <w:lang w:val="fr-CA"/>
        </w:rPr>
        <w:t>CA</w:t>
      </w:r>
      <w:r w:rsidR="00053600" w:rsidRPr="00FB495F">
        <w:rPr>
          <w:lang w:val="fr-CA"/>
        </w:rPr>
        <w:t>F</w:t>
      </w:r>
      <w:r w:rsidR="00395CF7" w:rsidRPr="00FB495F">
        <w:rPr>
          <w:lang w:val="fr-CA"/>
        </w:rPr>
        <w:t xml:space="preserve"> 3, </w:t>
      </w:r>
      <w:r w:rsidR="00053600" w:rsidRPr="00FB495F">
        <w:rPr>
          <w:lang w:val="fr-CA"/>
        </w:rPr>
        <w:t xml:space="preserve">[2003] 2 </w:t>
      </w:r>
      <w:r w:rsidR="00395CF7" w:rsidRPr="00FB495F">
        <w:rPr>
          <w:lang w:val="fr-CA"/>
        </w:rPr>
        <w:t>C.</w:t>
      </w:r>
      <w:r w:rsidR="00053600" w:rsidRPr="00FB495F">
        <w:rPr>
          <w:lang w:val="fr-CA"/>
        </w:rPr>
        <w:t>F.</w:t>
      </w:r>
      <w:r w:rsidR="00395CF7" w:rsidRPr="00FB495F">
        <w:rPr>
          <w:lang w:val="fr-CA"/>
        </w:rPr>
        <w:t xml:space="preserve"> 697</w:t>
      </w:r>
      <w:r w:rsidR="00053600" w:rsidRPr="00FB495F">
        <w:rPr>
          <w:lang w:val="fr-CA"/>
        </w:rPr>
        <w:t>;</w:t>
      </w:r>
      <w:r w:rsidR="00013032" w:rsidRPr="00FB495F">
        <w:rPr>
          <w:lang w:val="fr-CA"/>
        </w:rPr>
        <w:t xml:space="preserve"> </w:t>
      </w:r>
      <w:r w:rsidR="00F17D28" w:rsidRPr="00FB495F">
        <w:rPr>
          <w:i/>
          <w:lang w:val="fr-CA"/>
        </w:rPr>
        <w:t>Begum c. Canada (Citoyenneté et Immigration)</w:t>
      </w:r>
      <w:r w:rsidR="00F17D28" w:rsidRPr="00FB495F">
        <w:rPr>
          <w:lang w:val="fr-CA"/>
        </w:rPr>
        <w:t>, 2018 CAF 181, [2019] 2 R.C.F. 488.</w:t>
      </w:r>
    </w:p>
    <w:p w14:paraId="1A0B434F" w14:textId="77777777" w:rsidR="004D7D95" w:rsidRPr="00593AA6" w:rsidRDefault="004D7D95" w:rsidP="0009382E">
      <w:pPr>
        <w:pStyle w:val="SCCNormalDoubleSpacing"/>
        <w:spacing w:after="720" w:line="240" w:lineRule="auto"/>
        <w:rPr>
          <w:b/>
          <w:lang w:val="fr-CA"/>
        </w:rPr>
      </w:pPr>
      <w:r w:rsidRPr="00593AA6">
        <w:rPr>
          <w:b/>
          <w:lang w:val="fr-CA"/>
        </w:rPr>
        <w:lastRenderedPageBreak/>
        <w:t>Lois et règlements cités</w:t>
      </w:r>
    </w:p>
    <w:p w14:paraId="56E2575D" w14:textId="6DC83CFA" w:rsidR="004D7D95" w:rsidRPr="00593AA6" w:rsidRDefault="00C72BCF" w:rsidP="0009382E">
      <w:pPr>
        <w:pStyle w:val="SCCNormalDoubleSpacing"/>
        <w:spacing w:after="240" w:line="240" w:lineRule="auto"/>
        <w:ind w:left="540" w:hanging="540"/>
        <w:rPr>
          <w:lang w:val="fr-CA"/>
        </w:rPr>
      </w:pPr>
      <w:r w:rsidRPr="00593AA6">
        <w:rPr>
          <w:i/>
          <w:lang w:val="fr-CA"/>
        </w:rPr>
        <w:t>Charte canadienne des droits et libertés</w:t>
      </w:r>
      <w:r w:rsidR="0084683B" w:rsidRPr="00593AA6">
        <w:rPr>
          <w:lang w:val="fr-CA"/>
        </w:rPr>
        <w:t xml:space="preserve">, </w:t>
      </w:r>
      <w:r w:rsidR="002167F7">
        <w:rPr>
          <w:lang w:val="fr-CA"/>
        </w:rPr>
        <w:t>art. </w:t>
      </w:r>
      <w:r w:rsidR="00F01C9C" w:rsidRPr="00593AA6">
        <w:rPr>
          <w:lang w:val="fr-CA"/>
        </w:rPr>
        <w:t xml:space="preserve">1, </w:t>
      </w:r>
      <w:r w:rsidR="00855F10">
        <w:rPr>
          <w:lang w:val="fr-CA"/>
        </w:rPr>
        <w:t xml:space="preserve">3, 14, </w:t>
      </w:r>
      <w:r w:rsidR="0084683B" w:rsidRPr="00593AA6">
        <w:rPr>
          <w:lang w:val="fr-CA"/>
        </w:rPr>
        <w:t>15</w:t>
      </w:r>
      <w:r w:rsidR="006F01DB">
        <w:rPr>
          <w:lang w:val="fr-CA"/>
        </w:rPr>
        <w:t>,</w:t>
      </w:r>
      <w:r w:rsidR="00855F10">
        <w:rPr>
          <w:lang w:val="fr-CA"/>
        </w:rPr>
        <w:t xml:space="preserve"> 20, 23,</w:t>
      </w:r>
      <w:r w:rsidR="006F01DB">
        <w:rPr>
          <w:lang w:val="fr-CA"/>
        </w:rPr>
        <w:t xml:space="preserve"> 32</w:t>
      </w:r>
      <w:r w:rsidRPr="00593AA6">
        <w:rPr>
          <w:lang w:val="fr-CA"/>
        </w:rPr>
        <w:t>.</w:t>
      </w:r>
    </w:p>
    <w:p w14:paraId="045B199F" w14:textId="6349AA87" w:rsidR="000D2BAE" w:rsidRPr="00593AA6" w:rsidRDefault="000D2BAE" w:rsidP="0009382E">
      <w:pPr>
        <w:pStyle w:val="SCCNormalDoubleSpacing"/>
        <w:spacing w:after="240" w:line="240" w:lineRule="auto"/>
        <w:ind w:left="540" w:hanging="540"/>
        <w:rPr>
          <w:lang w:val="fr-CA"/>
        </w:rPr>
      </w:pPr>
      <w:r w:rsidRPr="00593AA6">
        <w:rPr>
          <w:i/>
          <w:lang w:val="fr-CA"/>
        </w:rPr>
        <w:t>Loi de l’impôt sur le revenu</w:t>
      </w:r>
      <w:r w:rsidR="00E609AB">
        <w:rPr>
          <w:lang w:val="fr-CA"/>
        </w:rPr>
        <w:t>, L.R.C. 1985, c. </w:t>
      </w:r>
      <w:r w:rsidRPr="00593AA6">
        <w:rPr>
          <w:lang w:val="fr-CA"/>
        </w:rPr>
        <w:t>1 (5</w:t>
      </w:r>
      <w:r w:rsidRPr="00593AA6">
        <w:rPr>
          <w:vertAlign w:val="superscript"/>
          <w:lang w:val="fr-CA"/>
        </w:rPr>
        <w:t>e</w:t>
      </w:r>
      <w:r w:rsidRPr="00593AA6">
        <w:rPr>
          <w:lang w:val="fr-CA"/>
        </w:rPr>
        <w:t xml:space="preserve"> suppl.).</w:t>
      </w:r>
    </w:p>
    <w:p w14:paraId="35107C79" w14:textId="36FD052C" w:rsidR="00B34C28" w:rsidRPr="00593AA6" w:rsidRDefault="00B34C28" w:rsidP="0009382E">
      <w:pPr>
        <w:pStyle w:val="SCCNormalDoubleSpacing"/>
        <w:spacing w:after="240" w:line="240" w:lineRule="auto"/>
        <w:ind w:left="540" w:hanging="540"/>
        <w:rPr>
          <w:lang w:val="fr-CA"/>
        </w:rPr>
      </w:pPr>
      <w:r w:rsidRPr="00593AA6">
        <w:rPr>
          <w:i/>
          <w:lang w:val="fr-CA"/>
        </w:rPr>
        <w:t>Loi sur la pension de retraite de la Gendarmerie royale du Canada</w:t>
      </w:r>
      <w:r w:rsidR="00B61292">
        <w:rPr>
          <w:lang w:val="fr-CA"/>
        </w:rPr>
        <w:t>, L.R.C. 1985, c. </w:t>
      </w:r>
      <w:r w:rsidR="000D2BAE" w:rsidRPr="00593AA6">
        <w:rPr>
          <w:lang w:val="fr-CA"/>
        </w:rPr>
        <w:t>R</w:t>
      </w:r>
      <w:r w:rsidR="002167F7">
        <w:rPr>
          <w:lang w:val="fr-CA"/>
        </w:rPr>
        <w:noBreakHyphen/>
      </w:r>
      <w:r w:rsidR="00720151">
        <w:rPr>
          <w:lang w:val="fr-CA"/>
        </w:rPr>
        <w:t xml:space="preserve">11, </w:t>
      </w:r>
      <w:r w:rsidR="002167F7">
        <w:rPr>
          <w:lang w:val="fr-CA"/>
        </w:rPr>
        <w:t>art. </w:t>
      </w:r>
      <w:r w:rsidR="00720151">
        <w:rPr>
          <w:lang w:val="fr-CA"/>
        </w:rPr>
        <w:t>5, 6</w:t>
      </w:r>
      <w:r w:rsidR="00B61292">
        <w:rPr>
          <w:lang w:val="fr-CA"/>
        </w:rPr>
        <w:t>, 7(1), 29.2.</w:t>
      </w:r>
    </w:p>
    <w:p w14:paraId="68D86705" w14:textId="0FDA9757" w:rsidR="00B00018" w:rsidRPr="00593AA6" w:rsidRDefault="00B00018" w:rsidP="0009382E">
      <w:pPr>
        <w:pStyle w:val="SCCNormalDoubleSpacing"/>
        <w:spacing w:after="240" w:line="240" w:lineRule="auto"/>
        <w:ind w:left="540" w:hanging="540"/>
        <w:rPr>
          <w:lang w:val="fr-CA"/>
        </w:rPr>
      </w:pPr>
      <w:r w:rsidRPr="00593AA6">
        <w:rPr>
          <w:i/>
          <w:lang w:val="fr-CA"/>
        </w:rPr>
        <w:t>Règlement de l’impôt sur le revenu</w:t>
      </w:r>
      <w:r w:rsidR="00E609AB">
        <w:rPr>
          <w:lang w:val="fr-CA"/>
        </w:rPr>
        <w:t>, C.R.C., c. </w:t>
      </w:r>
      <w:r w:rsidR="001E6D65" w:rsidRPr="00593AA6">
        <w:rPr>
          <w:lang w:val="fr-CA"/>
        </w:rPr>
        <w:t>945.</w:t>
      </w:r>
    </w:p>
    <w:p w14:paraId="65DF8EC0" w14:textId="2ACAB144" w:rsidR="00A66CD2" w:rsidRPr="00593AA6" w:rsidRDefault="00A66CD2" w:rsidP="0009382E">
      <w:pPr>
        <w:pStyle w:val="SCCNormalDoubleSpacing"/>
        <w:spacing w:after="720" w:line="240" w:lineRule="auto"/>
        <w:ind w:left="540" w:hanging="540"/>
        <w:rPr>
          <w:lang w:val="fr-CA"/>
        </w:rPr>
      </w:pPr>
      <w:r w:rsidRPr="00593AA6">
        <w:rPr>
          <w:i/>
          <w:lang w:val="fr-CA"/>
        </w:rPr>
        <w:t>Règlement sur la pension de retraite de la Gendarmerie royale du Canada</w:t>
      </w:r>
      <w:r w:rsidR="00E609AB">
        <w:rPr>
          <w:lang w:val="fr-CA"/>
        </w:rPr>
        <w:t>, C.R.C., c. </w:t>
      </w:r>
      <w:r w:rsidR="00CE4E7D">
        <w:rPr>
          <w:lang w:val="fr-CA"/>
        </w:rPr>
        <w:t xml:space="preserve">1393, </w:t>
      </w:r>
      <w:r w:rsidR="002167F7">
        <w:rPr>
          <w:lang w:val="fr-CA"/>
        </w:rPr>
        <w:t>art. </w:t>
      </w:r>
      <w:r w:rsidR="00CE4E7D">
        <w:rPr>
          <w:lang w:val="fr-CA"/>
        </w:rPr>
        <w:t>2.1, 5.2(1)</w:t>
      </w:r>
      <w:r w:rsidR="00FE3227">
        <w:rPr>
          <w:lang w:val="fr-CA"/>
        </w:rPr>
        <w:t>,</w:t>
      </w:r>
      <w:r w:rsidR="00D601F7">
        <w:rPr>
          <w:lang w:val="fr-CA"/>
        </w:rPr>
        <w:t xml:space="preserve"> </w:t>
      </w:r>
      <w:r w:rsidR="00325280">
        <w:rPr>
          <w:lang w:val="fr-CA"/>
        </w:rPr>
        <w:t xml:space="preserve">5.4, </w:t>
      </w:r>
      <w:r w:rsidR="00D601F7">
        <w:rPr>
          <w:lang w:val="fr-CA"/>
        </w:rPr>
        <w:t>10(1)</w:t>
      </w:r>
      <w:r w:rsidR="00EC1FFB">
        <w:rPr>
          <w:lang w:val="fr-CA"/>
        </w:rPr>
        <w:t>, (4)</w:t>
      </w:r>
      <w:r w:rsidR="0081122E">
        <w:rPr>
          <w:lang w:val="fr-CA"/>
        </w:rPr>
        <w:t xml:space="preserve">, </w:t>
      </w:r>
      <w:r w:rsidR="00325280">
        <w:rPr>
          <w:lang w:val="fr-CA"/>
        </w:rPr>
        <w:t xml:space="preserve">10.1, </w:t>
      </w:r>
      <w:r w:rsidR="0081122E">
        <w:rPr>
          <w:lang w:val="fr-CA"/>
        </w:rPr>
        <w:t>10.8</w:t>
      </w:r>
      <w:r w:rsidR="00522048">
        <w:rPr>
          <w:lang w:val="fr-CA"/>
        </w:rPr>
        <w:t>.</w:t>
      </w:r>
    </w:p>
    <w:p w14:paraId="28E69470" w14:textId="77A11CA7" w:rsidR="000C67C5" w:rsidRPr="00593AA6" w:rsidRDefault="008E752C" w:rsidP="0009382E">
      <w:pPr>
        <w:pStyle w:val="SCCNormalDoubleSpacing"/>
        <w:spacing w:after="720" w:line="240" w:lineRule="auto"/>
        <w:ind w:left="540" w:hanging="540"/>
        <w:rPr>
          <w:lang w:val="fr-CA"/>
        </w:rPr>
      </w:pPr>
      <w:r w:rsidRPr="00593AA6">
        <w:rPr>
          <w:b/>
          <w:bCs/>
          <w:color w:val="000000"/>
          <w:lang w:val="fr-CA"/>
        </w:rPr>
        <w:t>Traités et autres instruments internationaux</w:t>
      </w:r>
    </w:p>
    <w:p w14:paraId="1B59A798" w14:textId="12939C8E" w:rsidR="000C67C5" w:rsidRPr="00593AA6" w:rsidRDefault="00EB02C6" w:rsidP="0009382E">
      <w:pPr>
        <w:pStyle w:val="SCCNormalDoubleSpacing"/>
        <w:spacing w:after="720" w:line="240" w:lineRule="auto"/>
        <w:ind w:left="540" w:hanging="540"/>
        <w:rPr>
          <w:lang w:val="fr-CA"/>
        </w:rPr>
      </w:pPr>
      <w:r w:rsidRPr="00593AA6">
        <w:rPr>
          <w:i/>
          <w:lang w:val="fr-CA"/>
        </w:rPr>
        <w:t>Déclaration et Programme d’action de Beijing</w:t>
      </w:r>
      <w:r w:rsidR="005D41FB" w:rsidRPr="00593AA6">
        <w:rPr>
          <w:lang w:val="fr-CA"/>
        </w:rPr>
        <w:t xml:space="preserve">, </w:t>
      </w:r>
      <w:r w:rsidRPr="00593AA6">
        <w:rPr>
          <w:lang w:val="fr-CA"/>
        </w:rPr>
        <w:t xml:space="preserve">Doc. N.U. A/CONF.177/20, </w:t>
      </w:r>
      <w:r w:rsidR="00036D2D">
        <w:rPr>
          <w:lang w:val="fr-CA"/>
        </w:rPr>
        <w:t>17 </w:t>
      </w:r>
      <w:r w:rsidR="00080B21" w:rsidRPr="00593AA6">
        <w:rPr>
          <w:lang w:val="fr-CA"/>
        </w:rPr>
        <w:t>octobre</w:t>
      </w:r>
      <w:r w:rsidR="005D41FB" w:rsidRPr="00593AA6">
        <w:rPr>
          <w:lang w:val="fr-CA"/>
        </w:rPr>
        <w:t xml:space="preserve"> 1995.</w:t>
      </w:r>
    </w:p>
    <w:p w14:paraId="597F2FCF" w14:textId="77777777" w:rsidR="004D7D95" w:rsidRPr="00593AA6" w:rsidRDefault="004D7D95" w:rsidP="0009382E">
      <w:pPr>
        <w:pStyle w:val="SCCNormalDoubleSpacing"/>
        <w:spacing w:after="720" w:line="240" w:lineRule="auto"/>
        <w:rPr>
          <w:b/>
          <w:lang w:val="fr-CA"/>
        </w:rPr>
      </w:pPr>
      <w:r w:rsidRPr="00593AA6">
        <w:rPr>
          <w:b/>
          <w:lang w:val="fr-CA"/>
        </w:rPr>
        <w:t>Doctrine et autres documents cités</w:t>
      </w:r>
    </w:p>
    <w:p w14:paraId="25E6F9D6" w14:textId="1F31953D" w:rsidR="00BB46F1" w:rsidRPr="00705B24" w:rsidRDefault="00BB46F1" w:rsidP="0009382E">
      <w:pPr>
        <w:pStyle w:val="SCCNormalDoubleSpacing"/>
        <w:spacing w:after="240" w:line="240" w:lineRule="auto"/>
        <w:ind w:left="540" w:hanging="540"/>
        <w:rPr>
          <w:lang w:val="en-US"/>
        </w:rPr>
      </w:pPr>
      <w:r w:rsidRPr="00E44CCF">
        <w:rPr>
          <w:lang w:val="fr-CA"/>
        </w:rPr>
        <w:t xml:space="preserve">Bingham, Tom. </w:t>
      </w:r>
      <w:r>
        <w:rPr>
          <w:i/>
        </w:rPr>
        <w:t>The Rule of Law</w:t>
      </w:r>
      <w:r>
        <w:t xml:space="preserve">, </w:t>
      </w:r>
      <w:r>
        <w:rPr>
          <w:color w:val="000000"/>
        </w:rPr>
        <w:t>London, Allen Lane, 2010.</w:t>
      </w:r>
    </w:p>
    <w:p w14:paraId="62866D50" w14:textId="7A1EECA8" w:rsidR="00F60CE6" w:rsidRPr="00D24B91" w:rsidRDefault="00F60CE6" w:rsidP="0009382E">
      <w:pPr>
        <w:pStyle w:val="SCCNormalDoubleSpacing"/>
        <w:spacing w:after="240" w:line="240" w:lineRule="auto"/>
        <w:ind w:left="540" w:hanging="540"/>
        <w:rPr>
          <w:lang w:val="en-US"/>
        </w:rPr>
      </w:pPr>
      <w:r w:rsidRPr="00E44CCF">
        <w:rPr>
          <w:lang w:val="en-US"/>
        </w:rPr>
        <w:t>Bisom</w:t>
      </w:r>
      <w:r w:rsidR="002167F7">
        <w:rPr>
          <w:lang w:val="en-US"/>
        </w:rPr>
        <w:noBreakHyphen/>
      </w:r>
      <w:r w:rsidRPr="00E44CCF">
        <w:rPr>
          <w:lang w:val="en-US"/>
        </w:rPr>
        <w:t xml:space="preserve">Rapp, Susan. </w:t>
      </w:r>
      <w:r w:rsidRPr="00D24B91">
        <w:rPr>
          <w:lang w:val="en-US"/>
        </w:rPr>
        <w:t xml:space="preserve">« What We Know About Equal Employment Opportunity Law After Fifty Years of Trying » (2018), 22 </w:t>
      </w:r>
      <w:r w:rsidRPr="00D24B91">
        <w:rPr>
          <w:i/>
          <w:lang w:val="en-US"/>
        </w:rPr>
        <w:t xml:space="preserve">Employee Rts. &amp; Employment Pol’y J. </w:t>
      </w:r>
      <w:r w:rsidRPr="00D24B91">
        <w:rPr>
          <w:lang w:val="en-US"/>
        </w:rPr>
        <w:t>337.</w:t>
      </w:r>
    </w:p>
    <w:p w14:paraId="1EA3F6C4" w14:textId="5FACE4D9" w:rsidR="00A55383" w:rsidRPr="00D24B91" w:rsidRDefault="00A55383" w:rsidP="0009382E">
      <w:pPr>
        <w:pStyle w:val="SCCNormalDoubleSpacing"/>
        <w:spacing w:after="240" w:line="240" w:lineRule="auto"/>
        <w:ind w:left="540" w:hanging="540"/>
        <w:rPr>
          <w:lang w:val="en-US"/>
        </w:rPr>
      </w:pPr>
      <w:r w:rsidRPr="00D24B91">
        <w:rPr>
          <w:lang w:val="en-US"/>
        </w:rPr>
        <w:t>Bisom</w:t>
      </w:r>
      <w:r w:rsidR="002167F7">
        <w:rPr>
          <w:lang w:val="en-US"/>
        </w:rPr>
        <w:noBreakHyphen/>
      </w:r>
      <w:r w:rsidRPr="00D24B91">
        <w:rPr>
          <w:lang w:val="en-US"/>
        </w:rPr>
        <w:t>Rapp, Susan, and Malcolm Sargeant. « It’s Complicated</w:t>
      </w:r>
      <w:r w:rsidR="002167F7">
        <w:rPr>
          <w:lang w:val="en-US"/>
        </w:rPr>
        <w:t> :</w:t>
      </w:r>
      <w:r w:rsidRPr="00D24B91">
        <w:rPr>
          <w:lang w:val="en-US"/>
        </w:rPr>
        <w:t xml:space="preserve"> Age, Gender, and Lifetime Discrimination Against Working Women — The United States and the U.K. as Examples » (2014), 22 </w:t>
      </w:r>
      <w:r w:rsidRPr="00D24B91">
        <w:rPr>
          <w:i/>
          <w:lang w:val="en-US"/>
        </w:rPr>
        <w:t>Elder L.J.</w:t>
      </w:r>
      <w:r w:rsidRPr="00D24B91">
        <w:rPr>
          <w:lang w:val="en-US"/>
        </w:rPr>
        <w:t xml:space="preserve"> 1.</w:t>
      </w:r>
    </w:p>
    <w:p w14:paraId="3A6D66DF" w14:textId="16861833" w:rsidR="00773402" w:rsidRPr="00D24B91" w:rsidRDefault="00773402" w:rsidP="0009382E">
      <w:pPr>
        <w:pStyle w:val="SCCNormalDoubleSpacing"/>
        <w:spacing w:after="240" w:line="240" w:lineRule="auto"/>
        <w:ind w:left="540" w:hanging="540"/>
        <w:rPr>
          <w:lang w:val="en-US"/>
        </w:rPr>
      </w:pPr>
      <w:r w:rsidRPr="00D24B91">
        <w:rPr>
          <w:lang w:val="en-US"/>
        </w:rPr>
        <w:t>Braun, Evelyn. « Adverse Effect Discrimination</w:t>
      </w:r>
      <w:r w:rsidR="002167F7">
        <w:rPr>
          <w:lang w:val="en-US"/>
        </w:rPr>
        <w:t> :</w:t>
      </w:r>
      <w:r w:rsidRPr="00D24B91">
        <w:rPr>
          <w:lang w:val="en-US"/>
        </w:rPr>
        <w:t xml:space="preserve"> Proving the </w:t>
      </w:r>
      <w:r w:rsidRPr="00D24B91">
        <w:rPr>
          <w:i/>
          <w:lang w:val="en-US"/>
        </w:rPr>
        <w:t xml:space="preserve">Prima Facie </w:t>
      </w:r>
      <w:r w:rsidRPr="00D24B91">
        <w:rPr>
          <w:lang w:val="en-US"/>
        </w:rPr>
        <w:t>Case » (</w:t>
      </w:r>
      <w:r w:rsidR="00CA42C6" w:rsidRPr="00D24B91">
        <w:rPr>
          <w:lang w:val="en-US"/>
        </w:rPr>
        <w:t>2005</w:t>
      </w:r>
      <w:r w:rsidRPr="00D24B91">
        <w:rPr>
          <w:lang w:val="en-US"/>
        </w:rPr>
        <w:t xml:space="preserve">), 11 </w:t>
      </w:r>
      <w:r w:rsidRPr="00D24B91">
        <w:rPr>
          <w:i/>
          <w:lang w:val="en-US"/>
        </w:rPr>
        <w:t xml:space="preserve">R. études const. </w:t>
      </w:r>
      <w:r w:rsidRPr="00D24B91">
        <w:rPr>
          <w:lang w:val="en-US"/>
        </w:rPr>
        <w:t>119.</w:t>
      </w:r>
    </w:p>
    <w:p w14:paraId="4DF072F6" w14:textId="11A0B893" w:rsidR="002D793C" w:rsidRPr="00D24B91" w:rsidRDefault="002D793C" w:rsidP="0009382E">
      <w:pPr>
        <w:pStyle w:val="SCCNormalDoubleSpacing"/>
        <w:spacing w:after="240" w:line="240" w:lineRule="auto"/>
        <w:ind w:left="540" w:hanging="540"/>
        <w:rPr>
          <w:lang w:val="en-US"/>
        </w:rPr>
      </w:pPr>
      <w:r w:rsidRPr="00D24B91">
        <w:rPr>
          <w:lang w:val="en-US"/>
        </w:rPr>
        <w:t xml:space="preserve">British Columbia Law Institute. </w:t>
      </w:r>
      <w:r w:rsidRPr="00D24B91">
        <w:rPr>
          <w:i/>
          <w:lang w:val="en-US"/>
        </w:rPr>
        <w:t>Human Rights and Family Responsibilities</w:t>
      </w:r>
      <w:r w:rsidR="002167F7">
        <w:rPr>
          <w:lang w:val="en-US"/>
        </w:rPr>
        <w:t> </w:t>
      </w:r>
      <w:r w:rsidR="002167F7" w:rsidRPr="00721DEC">
        <w:rPr>
          <w:i/>
          <w:lang w:val="en-US"/>
        </w:rPr>
        <w:t>:</w:t>
      </w:r>
      <w:r w:rsidRPr="00D24B91">
        <w:rPr>
          <w:i/>
          <w:lang w:val="en-US"/>
        </w:rPr>
        <w:t xml:space="preserve"> Family Status Discrimination under Human Rights Law in British Columbia and Canada</w:t>
      </w:r>
      <w:r w:rsidRPr="00D24B91">
        <w:rPr>
          <w:lang w:val="en-US"/>
        </w:rPr>
        <w:t>, Vancouver, 2012.</w:t>
      </w:r>
    </w:p>
    <w:p w14:paraId="7E91D440" w14:textId="04F53529" w:rsidR="00ED0476" w:rsidRPr="00ED0476" w:rsidRDefault="00ED0476" w:rsidP="0009382E">
      <w:pPr>
        <w:pStyle w:val="SCCNormalDoubleSpacing"/>
        <w:spacing w:after="240" w:line="240" w:lineRule="auto"/>
        <w:ind w:left="540" w:hanging="540"/>
        <w:rPr>
          <w:lang w:val="fr-CA"/>
        </w:rPr>
      </w:pPr>
      <w:r w:rsidRPr="00ED0476">
        <w:rPr>
          <w:lang w:val="fr-CA"/>
        </w:rPr>
        <w:lastRenderedPageBreak/>
        <w:t xml:space="preserve">Canada. Chambre des communes. </w:t>
      </w:r>
      <w:r w:rsidRPr="00ED0476">
        <w:rPr>
          <w:i/>
          <w:iCs/>
          <w:lang w:val="fr-CA"/>
        </w:rPr>
        <w:t>Débats de la Chambre des communes</w:t>
      </w:r>
      <w:r w:rsidRPr="00ED0476">
        <w:rPr>
          <w:lang w:val="fr-CA"/>
        </w:rPr>
        <w:t xml:space="preserve">, </w:t>
      </w:r>
      <w:r w:rsidR="002167F7">
        <w:rPr>
          <w:lang w:val="fr-CA"/>
        </w:rPr>
        <w:t>vol. </w:t>
      </w:r>
      <w:r w:rsidRPr="00ED0476">
        <w:rPr>
          <w:lang w:val="fr-CA"/>
        </w:rPr>
        <w:t>VI, 3</w:t>
      </w:r>
      <w:r w:rsidRPr="00ED0476">
        <w:rPr>
          <w:vertAlign w:val="superscript"/>
          <w:lang w:val="fr-CA"/>
        </w:rPr>
        <w:t>e</w:t>
      </w:r>
      <w:r w:rsidRPr="00ED0476">
        <w:rPr>
          <w:lang w:val="fr-CA"/>
        </w:rPr>
        <w:t> sess., 34</w:t>
      </w:r>
      <w:r w:rsidRPr="00ED0476">
        <w:rPr>
          <w:vertAlign w:val="superscript"/>
          <w:lang w:val="fr-CA"/>
        </w:rPr>
        <w:t>e</w:t>
      </w:r>
      <w:r w:rsidRPr="00ED0476">
        <w:rPr>
          <w:lang w:val="fr-CA"/>
        </w:rPr>
        <w:t> lég., 24 </w:t>
      </w:r>
      <w:r>
        <w:rPr>
          <w:lang w:val="fr-CA"/>
        </w:rPr>
        <w:t>février</w:t>
      </w:r>
      <w:r w:rsidRPr="00ED0476">
        <w:rPr>
          <w:lang w:val="fr-CA"/>
        </w:rPr>
        <w:t xml:space="preserve"> 1992, </w:t>
      </w:r>
      <w:r w:rsidR="002167F7">
        <w:rPr>
          <w:lang w:val="fr-CA"/>
        </w:rPr>
        <w:t>p. </w:t>
      </w:r>
      <w:r w:rsidRPr="00ED0476">
        <w:rPr>
          <w:lang w:val="fr-CA"/>
        </w:rPr>
        <w:t>7</w:t>
      </w:r>
      <w:r>
        <w:rPr>
          <w:lang w:val="fr-CA"/>
        </w:rPr>
        <w:t>487</w:t>
      </w:r>
      <w:r w:rsidRPr="00ED0476">
        <w:rPr>
          <w:lang w:val="fr-CA"/>
        </w:rPr>
        <w:t>.</w:t>
      </w:r>
    </w:p>
    <w:p w14:paraId="175E45D6" w14:textId="68AF4E08" w:rsidR="000409AB" w:rsidRPr="00593AA6" w:rsidRDefault="000409AB" w:rsidP="0009382E">
      <w:pPr>
        <w:pStyle w:val="SCCNormalDoubleSpacing"/>
        <w:spacing w:after="240" w:line="240" w:lineRule="auto"/>
        <w:ind w:left="540" w:hanging="540"/>
        <w:rPr>
          <w:color w:val="000000"/>
          <w:lang w:val="fr-CA"/>
        </w:rPr>
      </w:pPr>
      <w:r w:rsidRPr="00593AA6">
        <w:rPr>
          <w:color w:val="000000"/>
          <w:lang w:val="fr-CA"/>
        </w:rPr>
        <w:t xml:space="preserve">Canada. Commission d’enquête sur le travail à temps partiel. </w:t>
      </w:r>
      <w:r w:rsidRPr="00593AA6">
        <w:rPr>
          <w:i/>
          <w:color w:val="000000"/>
          <w:lang w:val="fr-CA"/>
        </w:rPr>
        <w:t>Le travail à temps partiel au Canada</w:t>
      </w:r>
      <w:r w:rsidR="002167F7">
        <w:rPr>
          <w:i/>
          <w:color w:val="000000"/>
          <w:lang w:val="fr-CA"/>
        </w:rPr>
        <w:t> :</w:t>
      </w:r>
      <w:r w:rsidRPr="00593AA6">
        <w:rPr>
          <w:i/>
          <w:color w:val="000000"/>
          <w:lang w:val="fr-CA"/>
        </w:rPr>
        <w:t xml:space="preserve"> Rapport de la Commission d’enquête sur le travail à temps partiel</w:t>
      </w:r>
      <w:r w:rsidRPr="00593AA6">
        <w:rPr>
          <w:color w:val="000000"/>
          <w:lang w:val="fr-CA"/>
        </w:rPr>
        <w:t>, Ottawa, Travail Canada, 1983.</w:t>
      </w:r>
    </w:p>
    <w:p w14:paraId="0D49AB7C" w14:textId="77777777" w:rsidR="004D7D95" w:rsidRPr="00593AA6" w:rsidRDefault="00E65FFD" w:rsidP="0009382E">
      <w:pPr>
        <w:pStyle w:val="SCCNormalDoubleSpacing"/>
        <w:spacing w:after="240" w:line="240" w:lineRule="auto"/>
        <w:ind w:left="540" w:hanging="540"/>
        <w:rPr>
          <w:color w:val="000000"/>
          <w:lang w:val="fr-CA"/>
        </w:rPr>
      </w:pPr>
      <w:r w:rsidRPr="00593AA6">
        <w:rPr>
          <w:color w:val="000000"/>
          <w:lang w:val="fr-CA"/>
        </w:rPr>
        <w:t>Canada. Commission royale d’enquête sur la situation de la femme au Canada. </w:t>
      </w:r>
      <w:r w:rsidRPr="00593AA6">
        <w:rPr>
          <w:i/>
          <w:iCs/>
          <w:color w:val="000000"/>
          <w:lang w:val="fr-CA"/>
        </w:rPr>
        <w:t>Rapport de la Commission royale d’enquête sur la situation de la femme au Canada</w:t>
      </w:r>
      <w:r w:rsidRPr="00593AA6">
        <w:rPr>
          <w:color w:val="000000"/>
          <w:lang w:val="fr-CA"/>
        </w:rPr>
        <w:t>, Ottawa, 1970.</w:t>
      </w:r>
    </w:p>
    <w:p w14:paraId="7B908913" w14:textId="45411B9B" w:rsidR="00203C94" w:rsidRPr="00593AA6" w:rsidRDefault="00203C94" w:rsidP="0009382E">
      <w:pPr>
        <w:pStyle w:val="SCCNormalDoubleSpacing"/>
        <w:spacing w:after="240" w:line="240" w:lineRule="auto"/>
        <w:ind w:left="540" w:hanging="540"/>
        <w:rPr>
          <w:color w:val="000000"/>
          <w:lang w:val="fr-CA"/>
        </w:rPr>
      </w:pPr>
      <w:r w:rsidRPr="00593AA6">
        <w:rPr>
          <w:color w:val="000000"/>
          <w:lang w:val="fr-CA"/>
        </w:rPr>
        <w:t>Canada. Commission royale sur l’égalité en matière d’emploi. </w:t>
      </w:r>
      <w:r w:rsidRPr="00593AA6">
        <w:rPr>
          <w:i/>
          <w:iCs/>
          <w:color w:val="000000"/>
          <w:lang w:val="fr-CA"/>
        </w:rPr>
        <w:t>Rapport de la Commission sur l’égalité en matière d’emploi</w:t>
      </w:r>
      <w:r w:rsidRPr="00593AA6">
        <w:rPr>
          <w:color w:val="000000"/>
          <w:lang w:val="fr-CA"/>
        </w:rPr>
        <w:t>, Ottawa, Approvisionnements et Services Canada, 1984.</w:t>
      </w:r>
    </w:p>
    <w:p w14:paraId="57CD0C6F" w14:textId="4A9D32D2" w:rsidR="00EE64AE" w:rsidRDefault="00EE64AE" w:rsidP="0009382E">
      <w:pPr>
        <w:pStyle w:val="SCCNormalDoubleSpacing"/>
        <w:spacing w:after="240" w:line="240" w:lineRule="auto"/>
        <w:ind w:left="540" w:hanging="540"/>
        <w:rPr>
          <w:lang w:val="fr-CA"/>
        </w:rPr>
      </w:pPr>
      <w:r w:rsidRPr="00593AA6">
        <w:rPr>
          <w:lang w:val="fr-CA"/>
        </w:rPr>
        <w:t xml:space="preserve">Canada. Statistique Canada. </w:t>
      </w:r>
      <w:r w:rsidRPr="00593AA6">
        <w:rPr>
          <w:i/>
          <w:lang w:val="fr-CA"/>
        </w:rPr>
        <w:t>Femmes au Canada</w:t>
      </w:r>
      <w:r w:rsidR="002167F7">
        <w:rPr>
          <w:lang w:val="fr-CA"/>
        </w:rPr>
        <w:t> </w:t>
      </w:r>
      <w:r w:rsidR="002167F7" w:rsidRPr="00721DEC">
        <w:rPr>
          <w:i/>
          <w:lang w:val="fr-CA"/>
        </w:rPr>
        <w:t>:</w:t>
      </w:r>
      <w:r w:rsidRPr="00593AA6">
        <w:rPr>
          <w:i/>
          <w:lang w:val="fr-CA"/>
        </w:rPr>
        <w:t xml:space="preserve"> Rapport statistique fondé sur le sexe</w:t>
      </w:r>
      <w:r w:rsidRPr="00593AA6">
        <w:rPr>
          <w:lang w:val="fr-CA"/>
        </w:rPr>
        <w:t xml:space="preserve">, </w:t>
      </w:r>
      <w:r w:rsidR="0094472B">
        <w:rPr>
          <w:lang w:val="fr-CA"/>
        </w:rPr>
        <w:t>7</w:t>
      </w:r>
      <w:r w:rsidR="0094472B" w:rsidRPr="0094472B">
        <w:rPr>
          <w:vertAlign w:val="superscript"/>
          <w:lang w:val="fr-CA"/>
        </w:rPr>
        <w:t>e</w:t>
      </w:r>
      <w:r w:rsidR="0094472B" w:rsidRPr="0094472B">
        <w:rPr>
          <w:lang w:val="fr-CA"/>
        </w:rPr>
        <w:t> éd</w:t>
      </w:r>
      <w:r w:rsidR="0094472B">
        <w:rPr>
          <w:lang w:val="fr-CA"/>
        </w:rPr>
        <w:t xml:space="preserve">., </w:t>
      </w:r>
      <w:r w:rsidRPr="00593AA6">
        <w:rPr>
          <w:lang w:val="fr-CA"/>
        </w:rPr>
        <w:t>par Melissa Moyser, Ottawa, 2017.</w:t>
      </w:r>
    </w:p>
    <w:p w14:paraId="4389D266" w14:textId="71E8B5AF" w:rsidR="002167F7" w:rsidRPr="00946C89" w:rsidRDefault="002167F7" w:rsidP="002167F7">
      <w:pPr>
        <w:pStyle w:val="SCCNormalDoubleSpacing"/>
        <w:spacing w:after="240" w:line="240" w:lineRule="auto"/>
        <w:ind w:left="540" w:hanging="540"/>
        <w:rPr>
          <w:lang w:val="fr-CA"/>
        </w:rPr>
      </w:pPr>
      <w:r w:rsidRPr="000E6B54">
        <w:rPr>
          <w:lang w:val="fr-CA"/>
        </w:rPr>
        <w:t xml:space="preserve">Canada. </w:t>
      </w:r>
      <w:r w:rsidRPr="00946C89">
        <w:rPr>
          <w:lang w:val="fr-CA"/>
        </w:rPr>
        <w:t xml:space="preserve">Statistique Canada. </w:t>
      </w:r>
      <w:r w:rsidRPr="00946C89">
        <w:rPr>
          <w:i/>
          <w:lang w:val="fr-CA"/>
        </w:rPr>
        <w:t>Tableau 11</w:t>
      </w:r>
      <w:r w:rsidR="00E609AB">
        <w:rPr>
          <w:i/>
          <w:lang w:val="fr-CA"/>
        </w:rPr>
        <w:noBreakHyphen/>
        <w:t>10</w:t>
      </w:r>
      <w:r w:rsidR="00E609AB">
        <w:rPr>
          <w:i/>
          <w:lang w:val="fr-CA"/>
        </w:rPr>
        <w:noBreakHyphen/>
        <w:t>0055</w:t>
      </w:r>
      <w:r w:rsidR="00E609AB">
        <w:rPr>
          <w:i/>
          <w:lang w:val="fr-CA"/>
        </w:rPr>
        <w:noBreakHyphen/>
      </w:r>
      <w:r w:rsidRPr="00946C89">
        <w:rPr>
          <w:i/>
          <w:lang w:val="fr-CA"/>
        </w:rPr>
        <w:t xml:space="preserve">01 — Les </w:t>
      </w:r>
      <w:r>
        <w:rPr>
          <w:i/>
          <w:lang w:val="fr-CA"/>
        </w:rPr>
        <w:t>déclarants à revenu élevé, au Canada</w:t>
      </w:r>
      <w:r>
        <w:rPr>
          <w:lang w:val="fr-CA"/>
        </w:rPr>
        <w:t xml:space="preserve"> </w:t>
      </w:r>
      <w:r w:rsidRPr="00946C89">
        <w:rPr>
          <w:lang w:val="fr-CA"/>
        </w:rPr>
        <w:t>(en ligne :</w:t>
      </w:r>
      <w:r>
        <w:rPr>
          <w:lang w:val="fr-CA"/>
        </w:rPr>
        <w:t> </w:t>
      </w:r>
      <w:r w:rsidRPr="00946C89">
        <w:rPr>
          <w:lang w:val="fr-CA"/>
        </w:rPr>
        <w:t>https://www150.statcan.gc.ca/t1/tbl1/fr/tv.action?pid=1110005501&amp;request_locale=fr; version archivée </w:t>
      </w:r>
      <w:r w:rsidRPr="00721DEC">
        <w:rPr>
          <w:lang w:val="fr-CA"/>
        </w:rPr>
        <w:t>: </w:t>
      </w:r>
      <w:r w:rsidR="00EA51DF" w:rsidRPr="00721DEC">
        <w:rPr>
          <w:rStyle w:val="Hyperlink"/>
          <w:color w:val="auto"/>
          <w:u w:val="none"/>
          <w:lang w:val="fr-CA"/>
        </w:rPr>
        <w:t>https://www.scc-csc.ca/cso-dce/2020SCC-CSC28_1_fra.pdf</w:t>
      </w:r>
      <w:r w:rsidRPr="001744F4">
        <w:rPr>
          <w:lang w:val="fr-CA"/>
        </w:rPr>
        <w:t>).</w:t>
      </w:r>
    </w:p>
    <w:p w14:paraId="5FF1CE92" w14:textId="48996FBE" w:rsidR="00472E54" w:rsidRPr="002167F7" w:rsidRDefault="00E609AB" w:rsidP="0009382E">
      <w:pPr>
        <w:pStyle w:val="SCCNormalDoubleSpacing"/>
        <w:spacing w:after="240" w:line="240" w:lineRule="auto"/>
        <w:ind w:left="540" w:hanging="540"/>
      </w:pPr>
      <w:r>
        <w:rPr>
          <w:lang w:val="en-US"/>
        </w:rPr>
        <w:t>Chaykowski, Richard P., and Lisa </w:t>
      </w:r>
      <w:r w:rsidR="00472E54" w:rsidRPr="009F2DD9">
        <w:rPr>
          <w:lang w:val="en-US"/>
        </w:rPr>
        <w:t>M. Powell. « Women and the Labour Market</w:t>
      </w:r>
      <w:r w:rsidR="002167F7">
        <w:rPr>
          <w:lang w:val="en-US"/>
        </w:rPr>
        <w:t> :</w:t>
      </w:r>
      <w:r w:rsidR="00472E54" w:rsidRPr="009F2DD9">
        <w:rPr>
          <w:lang w:val="en-US"/>
        </w:rPr>
        <w:t xml:space="preserve"> Recent Trends and Policy Issues » (1999), 25 </w:t>
      </w:r>
      <w:r w:rsidR="00472E54" w:rsidRPr="009F2DD9">
        <w:rPr>
          <w:i/>
          <w:lang w:val="en-US"/>
        </w:rPr>
        <w:t>An</w:t>
      </w:r>
      <w:r w:rsidR="002167F7">
        <w:rPr>
          <w:i/>
          <w:lang w:val="en-US"/>
        </w:rPr>
        <w:t>al. </w:t>
      </w:r>
      <w:r w:rsidR="00472E54" w:rsidRPr="009F2DD9">
        <w:rPr>
          <w:i/>
          <w:lang w:val="en-US"/>
        </w:rPr>
        <w:t xml:space="preserve">de pol. </w:t>
      </w:r>
      <w:r w:rsidR="00472E54" w:rsidRPr="002167F7">
        <w:t>S1.</w:t>
      </w:r>
    </w:p>
    <w:p w14:paraId="00AED815" w14:textId="3CC4A7D5" w:rsidR="002C1AAE" w:rsidRPr="009F2DD9" w:rsidRDefault="002C1AAE" w:rsidP="0009382E">
      <w:pPr>
        <w:pStyle w:val="SCCNormalDoubleSpacing"/>
        <w:spacing w:after="240" w:line="240" w:lineRule="auto"/>
        <w:ind w:left="540" w:hanging="540"/>
        <w:rPr>
          <w:color w:val="000000"/>
          <w:lang w:val="en-US"/>
        </w:rPr>
      </w:pPr>
      <w:r w:rsidRPr="009F2DD9">
        <w:rPr>
          <w:lang w:val="en-US"/>
        </w:rPr>
        <w:t>Collins, Hugh, and Tarunabh Khaitan. « Indirect Discrimination Law</w:t>
      </w:r>
      <w:r w:rsidR="002167F7">
        <w:rPr>
          <w:lang w:val="en-US"/>
        </w:rPr>
        <w:t> :</w:t>
      </w:r>
      <w:r w:rsidRPr="009F2DD9">
        <w:rPr>
          <w:lang w:val="en-US"/>
        </w:rPr>
        <w:t xml:space="preserve"> Controversies and Critical Questions », in Hugh Collins and Tarunabh Khaitan, eds., </w:t>
      </w:r>
      <w:r w:rsidRPr="009F2DD9">
        <w:rPr>
          <w:i/>
          <w:lang w:val="en-US"/>
        </w:rPr>
        <w:t>Foundations of Indirect Discrimination Law</w:t>
      </w:r>
      <w:r w:rsidRPr="009F2DD9">
        <w:rPr>
          <w:lang w:val="en-US"/>
        </w:rPr>
        <w:t>,</w:t>
      </w:r>
      <w:r w:rsidRPr="009F2DD9">
        <w:rPr>
          <w:i/>
          <w:lang w:val="en-US"/>
        </w:rPr>
        <w:t xml:space="preserve"> </w:t>
      </w:r>
      <w:r w:rsidRPr="009F2DD9">
        <w:rPr>
          <w:rStyle w:val="solexhl"/>
          <w:rFonts w:eastAsiaTheme="majorEastAsia"/>
          <w:color w:val="000000"/>
          <w:lang w:val="en-US"/>
        </w:rPr>
        <w:t>Portland</w:t>
      </w:r>
      <w:r w:rsidRPr="009F2DD9">
        <w:rPr>
          <w:color w:val="000000"/>
          <w:lang w:val="en-US"/>
        </w:rPr>
        <w:t xml:space="preserve"> (Or.), Hart Publishing, 2018, 1.</w:t>
      </w:r>
    </w:p>
    <w:p w14:paraId="7E85BC8F" w14:textId="6AE02E76" w:rsidR="00E15BAE" w:rsidRPr="00E15BAE" w:rsidRDefault="00E15BAE" w:rsidP="0009382E">
      <w:pPr>
        <w:pStyle w:val="SCCNormalDoubleSpacing"/>
        <w:spacing w:after="240" w:line="240" w:lineRule="auto"/>
        <w:ind w:left="540" w:hanging="540"/>
        <w:rPr>
          <w:lang w:val="en-US"/>
        </w:rPr>
      </w:pPr>
      <w:r w:rsidRPr="00434822">
        <w:rPr>
          <w:lang w:val="fr-CA"/>
        </w:rPr>
        <w:t xml:space="preserve">Comité canadien d’action sur le statut de la femme. </w:t>
      </w:r>
      <w:r w:rsidRPr="00434822">
        <w:rPr>
          <w:i/>
          <w:lang w:val="en-US"/>
        </w:rPr>
        <w:t>Brief on Equality for Women in Pensions, Taxation and Federal Benefits to Parents</w:t>
      </w:r>
      <w:r w:rsidRPr="00434822">
        <w:rPr>
          <w:lang w:val="en-US"/>
        </w:rPr>
        <w:t>, Toronto, 1985.</w:t>
      </w:r>
    </w:p>
    <w:p w14:paraId="47F58E46" w14:textId="6B533539" w:rsidR="00341222" w:rsidRDefault="00341222" w:rsidP="0009382E">
      <w:pPr>
        <w:pStyle w:val="SCCNormalDoubleSpacing"/>
        <w:spacing w:after="240" w:line="240" w:lineRule="auto"/>
        <w:ind w:left="540" w:hanging="540"/>
        <w:rPr>
          <w:color w:val="000000"/>
          <w:lang w:val="fr-CA"/>
        </w:rPr>
      </w:pPr>
      <w:r w:rsidRPr="00593AA6">
        <w:rPr>
          <w:color w:val="000000"/>
          <w:lang w:val="fr-CA"/>
        </w:rPr>
        <w:t xml:space="preserve">Commission du droit de l’Ontario. </w:t>
      </w:r>
      <w:r w:rsidRPr="00593AA6">
        <w:rPr>
          <w:i/>
          <w:color w:val="000000"/>
          <w:lang w:val="fr-CA"/>
        </w:rPr>
        <w:t>Travailleurs vulnérables et travail précaire</w:t>
      </w:r>
      <w:r w:rsidRPr="00593AA6">
        <w:rPr>
          <w:color w:val="000000"/>
          <w:lang w:val="fr-CA"/>
        </w:rPr>
        <w:t>, Toronto, 2012.</w:t>
      </w:r>
    </w:p>
    <w:p w14:paraId="361642D1" w14:textId="1AF32C6E" w:rsidR="00B528D8" w:rsidRPr="00B528D8" w:rsidRDefault="00B528D8" w:rsidP="0009382E">
      <w:pPr>
        <w:pStyle w:val="SCCNormalDoubleSpacing"/>
        <w:spacing w:after="240" w:line="240" w:lineRule="auto"/>
        <w:ind w:left="540" w:hanging="540"/>
        <w:rPr>
          <w:lang w:val="en-US"/>
        </w:rPr>
      </w:pPr>
      <w:r w:rsidRPr="009E628D">
        <w:t>Craig, E</w:t>
      </w:r>
      <w:r>
        <w:t xml:space="preserve">laine. </w:t>
      </w:r>
      <w:r w:rsidRPr="00B528D8">
        <w:rPr>
          <w:lang w:val="en-US"/>
        </w:rPr>
        <w:t>« </w:t>
      </w:r>
      <w:r w:rsidRPr="009E628D">
        <w:t xml:space="preserve">Family as Status in </w:t>
      </w:r>
      <w:r w:rsidRPr="009E628D">
        <w:rPr>
          <w:i/>
        </w:rPr>
        <w:t>Doe v. Canada</w:t>
      </w:r>
      <w:r w:rsidR="002167F7">
        <w:rPr>
          <w:lang w:val="en-US"/>
        </w:rPr>
        <w:t> :</w:t>
      </w:r>
      <w:r w:rsidRPr="009E628D">
        <w:t xml:space="preserve"> Constituting Family </w:t>
      </w:r>
      <w:r>
        <w:t>U</w:t>
      </w:r>
      <w:r w:rsidRPr="009E628D">
        <w:t xml:space="preserve">nder Section 15 of the </w:t>
      </w:r>
      <w:r w:rsidRPr="00CE337D">
        <w:rPr>
          <w:i/>
        </w:rPr>
        <w:t>Charter</w:t>
      </w:r>
      <w:r w:rsidRPr="00CE337D">
        <w:rPr>
          <w:i/>
          <w:lang w:val="en-US"/>
        </w:rPr>
        <w:t> </w:t>
      </w:r>
      <w:r w:rsidRPr="00CE337D">
        <w:rPr>
          <w:lang w:val="en-US"/>
        </w:rPr>
        <w:t>»</w:t>
      </w:r>
      <w:r w:rsidRPr="00CE337D">
        <w:t xml:space="preserve"> (2007), 20</w:t>
      </w:r>
      <w:r w:rsidRPr="009E628D">
        <w:t xml:space="preserve"> </w:t>
      </w:r>
      <w:r>
        <w:rPr>
          <w:i/>
        </w:rPr>
        <w:t>R.N.D.C.</w:t>
      </w:r>
      <w:r w:rsidRPr="009E628D">
        <w:t xml:space="preserve"> 197</w:t>
      </w:r>
      <w:r>
        <w:t>.</w:t>
      </w:r>
    </w:p>
    <w:p w14:paraId="0E55A6AE" w14:textId="36D89DA7" w:rsidR="00F3793D" w:rsidRPr="00593AA6" w:rsidRDefault="00E609AB" w:rsidP="0009382E">
      <w:pPr>
        <w:pStyle w:val="SCCNormalDoubleSpacing"/>
        <w:spacing w:after="240" w:line="240" w:lineRule="auto"/>
        <w:ind w:left="540" w:hanging="540"/>
        <w:rPr>
          <w:lang w:val="fr-CA"/>
        </w:rPr>
      </w:pPr>
      <w:r>
        <w:rPr>
          <w:lang w:val="fr-CA"/>
        </w:rPr>
        <w:t>Demers, Diane </w:t>
      </w:r>
      <w:r w:rsidR="00F3793D" w:rsidRPr="00593AA6">
        <w:rPr>
          <w:lang w:val="fr-CA"/>
        </w:rPr>
        <w:t>L. « La discrimination systémique</w:t>
      </w:r>
      <w:r w:rsidR="002167F7">
        <w:rPr>
          <w:lang w:val="fr-CA"/>
        </w:rPr>
        <w:t> :</w:t>
      </w:r>
      <w:r w:rsidR="00F3793D" w:rsidRPr="00593AA6">
        <w:rPr>
          <w:lang w:val="fr-CA"/>
        </w:rPr>
        <w:t xml:space="preserve"> variation sur un concept unique » (1993), 8 </w:t>
      </w:r>
      <w:r w:rsidR="00F3793D" w:rsidRPr="00593AA6">
        <w:rPr>
          <w:i/>
          <w:lang w:val="fr-CA"/>
        </w:rPr>
        <w:t>R.C.D.S.</w:t>
      </w:r>
      <w:r w:rsidR="00F3793D" w:rsidRPr="00593AA6">
        <w:rPr>
          <w:lang w:val="fr-CA"/>
        </w:rPr>
        <w:t xml:space="preserve"> 83.</w:t>
      </w:r>
    </w:p>
    <w:p w14:paraId="0EBC6924" w14:textId="77777777" w:rsidR="00900DBE" w:rsidRPr="009F2DD9" w:rsidRDefault="00900DBE" w:rsidP="0009382E">
      <w:pPr>
        <w:pStyle w:val="SCCNormalDoubleSpacing"/>
        <w:spacing w:after="240" w:line="240" w:lineRule="auto"/>
        <w:ind w:left="540" w:hanging="540"/>
        <w:rPr>
          <w:lang w:val="en-US"/>
        </w:rPr>
      </w:pPr>
      <w:r w:rsidRPr="009F2DD9">
        <w:rPr>
          <w:lang w:val="en-US" w:bidi="en-US"/>
        </w:rPr>
        <w:t xml:space="preserve">Eberts, Mary, and Kim Stanton. </w:t>
      </w:r>
      <w:r w:rsidRPr="009F2DD9">
        <w:rPr>
          <w:lang w:val="en-US"/>
        </w:rPr>
        <w:t>« </w:t>
      </w:r>
      <w:r w:rsidRPr="009F2DD9">
        <w:rPr>
          <w:lang w:val="en-US" w:bidi="en-US"/>
        </w:rPr>
        <w:t>The Disappearance of the Four Equality Rights and Systemic Discrimination from Canadian Equality Jurisprudence</w:t>
      </w:r>
      <w:r w:rsidRPr="009F2DD9">
        <w:rPr>
          <w:lang w:val="en-US"/>
        </w:rPr>
        <w:t> »</w:t>
      </w:r>
      <w:r w:rsidRPr="009F2DD9">
        <w:rPr>
          <w:lang w:val="en-US" w:bidi="en-US"/>
        </w:rPr>
        <w:t xml:space="preserve"> (2018), 38 </w:t>
      </w:r>
      <w:r w:rsidRPr="009F2DD9">
        <w:rPr>
          <w:i/>
          <w:lang w:val="en-US" w:bidi="en-US"/>
        </w:rPr>
        <w:t>R.N.D.C.</w:t>
      </w:r>
      <w:r w:rsidRPr="009F2DD9">
        <w:rPr>
          <w:lang w:val="en-US" w:bidi="en-US"/>
        </w:rPr>
        <w:t xml:space="preserve"> 89.</w:t>
      </w:r>
    </w:p>
    <w:p w14:paraId="42355328" w14:textId="25F73982" w:rsidR="00EC0B86" w:rsidRPr="00677580" w:rsidRDefault="00EC0B86" w:rsidP="0009382E">
      <w:pPr>
        <w:pStyle w:val="SCCNormalDoubleSpacing"/>
        <w:spacing w:after="240" w:line="240" w:lineRule="auto"/>
        <w:ind w:left="540" w:hanging="540"/>
        <w:rPr>
          <w:lang w:val="en-US"/>
        </w:rPr>
      </w:pPr>
      <w:r w:rsidRPr="009E628D">
        <w:lastRenderedPageBreak/>
        <w:t>Eisen,</w:t>
      </w:r>
      <w:r w:rsidRPr="00954858">
        <w:t xml:space="preserve"> </w:t>
      </w:r>
      <w:r w:rsidRPr="009E628D">
        <w:t>Jessica</w:t>
      </w:r>
      <w:r>
        <w:t xml:space="preserve">. </w:t>
      </w:r>
      <w:r w:rsidRPr="00EC0B86">
        <w:rPr>
          <w:lang w:val="en-US"/>
        </w:rPr>
        <w:t>« </w:t>
      </w:r>
      <w:r w:rsidRPr="009E628D">
        <w:t>Grounding Equality in Social Relations</w:t>
      </w:r>
      <w:r w:rsidR="002167F7">
        <w:rPr>
          <w:lang w:val="en-US"/>
        </w:rPr>
        <w:t> :</w:t>
      </w:r>
      <w:r w:rsidRPr="009E628D">
        <w:t xml:space="preserve"> Suspect Classification, Analogous Grounds and Relational Theory</w:t>
      </w:r>
      <w:r w:rsidRPr="009F2DD9">
        <w:rPr>
          <w:lang w:val="en-US"/>
        </w:rPr>
        <w:t> »</w:t>
      </w:r>
      <w:r w:rsidRPr="009E628D">
        <w:t xml:space="preserve"> (2017), 42 </w:t>
      </w:r>
      <w:r w:rsidRPr="009E628D">
        <w:rPr>
          <w:i/>
        </w:rPr>
        <w:t>Queen’s L.J.</w:t>
      </w:r>
      <w:r w:rsidRPr="009E628D">
        <w:t xml:space="preserve"> 41</w:t>
      </w:r>
      <w:r>
        <w:t>.</w:t>
      </w:r>
    </w:p>
    <w:p w14:paraId="23EBD46C" w14:textId="77777777" w:rsidR="0040451C" w:rsidRPr="009F2DD9" w:rsidRDefault="0040451C" w:rsidP="0009382E">
      <w:pPr>
        <w:pStyle w:val="SCCNormalDoubleSpacing"/>
        <w:spacing w:after="240" w:line="240" w:lineRule="auto"/>
        <w:ind w:left="540" w:hanging="540"/>
        <w:rPr>
          <w:lang w:val="en-US"/>
        </w:rPr>
      </w:pPr>
      <w:r w:rsidRPr="009F2DD9">
        <w:rPr>
          <w:lang w:val="en-US"/>
        </w:rPr>
        <w:t xml:space="preserve">Faraday, Fay. « One Step Forward, Two Steps Back? Substantive Equality, Systemic Discrimination and Pay Equity at the Supreme Court of Canada » (2020), 94 </w:t>
      </w:r>
      <w:r w:rsidRPr="009F2DD9">
        <w:rPr>
          <w:i/>
          <w:lang w:val="en-US"/>
        </w:rPr>
        <w:t xml:space="preserve">S.C.L.R. </w:t>
      </w:r>
      <w:r w:rsidRPr="009F2DD9">
        <w:rPr>
          <w:lang w:val="en-US"/>
        </w:rPr>
        <w:t>(2d) 301.</w:t>
      </w:r>
    </w:p>
    <w:p w14:paraId="3CB9C4F1" w14:textId="1B2A5C0B" w:rsidR="0033064B" w:rsidRPr="009F2DD9" w:rsidRDefault="0033064B" w:rsidP="0009382E">
      <w:pPr>
        <w:pStyle w:val="SCCNormalDoubleSpacing"/>
        <w:spacing w:after="240" w:line="240" w:lineRule="auto"/>
        <w:ind w:left="540" w:hanging="540"/>
        <w:rPr>
          <w:lang w:val="en-US"/>
        </w:rPr>
      </w:pPr>
      <w:r w:rsidRPr="009F2DD9">
        <w:rPr>
          <w:lang w:val="en-US"/>
        </w:rPr>
        <w:t>Fredman, Sandra. « Direct and Indirect Discrimination</w:t>
      </w:r>
      <w:r w:rsidR="002167F7">
        <w:rPr>
          <w:lang w:val="en-US"/>
        </w:rPr>
        <w:t> :</w:t>
      </w:r>
      <w:r w:rsidRPr="009F2DD9">
        <w:rPr>
          <w:lang w:val="en-US"/>
        </w:rPr>
        <w:t xml:space="preserve"> Is There Still a Divide? », in Hugh Collins and Tarunabh Khaitan, eds., </w:t>
      </w:r>
      <w:r w:rsidRPr="009F2DD9">
        <w:rPr>
          <w:i/>
          <w:lang w:val="en-US"/>
        </w:rPr>
        <w:t>Foundations of Indirect Discrimination Law</w:t>
      </w:r>
      <w:r w:rsidRPr="009F2DD9">
        <w:rPr>
          <w:lang w:val="en-US"/>
        </w:rPr>
        <w:t>,</w:t>
      </w:r>
      <w:r w:rsidRPr="009F2DD9">
        <w:rPr>
          <w:rStyle w:val="solexhl"/>
          <w:rFonts w:eastAsiaTheme="majorEastAsia"/>
          <w:color w:val="000000"/>
          <w:lang w:val="en-US"/>
        </w:rPr>
        <w:t xml:space="preserve"> Portland</w:t>
      </w:r>
      <w:r w:rsidRPr="009F2DD9">
        <w:rPr>
          <w:color w:val="000000"/>
          <w:lang w:val="en-US"/>
        </w:rPr>
        <w:t xml:space="preserve"> (Or.), Hart Publishing, 2018, 31.</w:t>
      </w:r>
    </w:p>
    <w:p w14:paraId="4E6980A8" w14:textId="77777777" w:rsidR="00276D32" w:rsidRPr="009F2DD9" w:rsidRDefault="00276D32" w:rsidP="0009382E">
      <w:pPr>
        <w:pStyle w:val="SCCNormalDoubleSpacing"/>
        <w:spacing w:after="240" w:line="240" w:lineRule="auto"/>
        <w:ind w:left="540" w:hanging="540"/>
        <w:rPr>
          <w:lang w:val="en-US"/>
        </w:rPr>
      </w:pPr>
      <w:r w:rsidRPr="009F2DD9">
        <w:rPr>
          <w:lang w:val="en-US"/>
        </w:rPr>
        <w:t xml:space="preserve">Fredman, Sandra. </w:t>
      </w:r>
      <w:r w:rsidRPr="009F2DD9">
        <w:rPr>
          <w:i/>
          <w:lang w:val="en-US"/>
        </w:rPr>
        <w:t>Discrimination Law</w:t>
      </w:r>
      <w:r w:rsidRPr="009F2DD9">
        <w:rPr>
          <w:lang w:val="en-US"/>
        </w:rPr>
        <w:t>, 2nd ed., New York, Oxford University Press, 2011.</w:t>
      </w:r>
    </w:p>
    <w:p w14:paraId="130995BC" w14:textId="510F69BA" w:rsidR="00156C97" w:rsidRDefault="00156C97" w:rsidP="0009382E">
      <w:pPr>
        <w:pStyle w:val="SCCNormalDoubleSpacing"/>
        <w:spacing w:after="240" w:line="240" w:lineRule="auto"/>
        <w:ind w:left="540" w:hanging="540"/>
        <w:rPr>
          <w:lang w:val="en-US"/>
        </w:rPr>
      </w:pPr>
      <w:r w:rsidRPr="009F2DD9">
        <w:rPr>
          <w:lang w:val="en-US"/>
        </w:rPr>
        <w:t>Fredman, Sandra. « The Reason Why</w:t>
      </w:r>
      <w:r w:rsidR="002167F7">
        <w:rPr>
          <w:lang w:val="en-US"/>
        </w:rPr>
        <w:t> :</w:t>
      </w:r>
      <w:r w:rsidRPr="009F2DD9">
        <w:rPr>
          <w:lang w:val="en-US"/>
        </w:rPr>
        <w:t xml:space="preserve"> Unravelling Indirect Discrimination » (2016), 45 </w:t>
      </w:r>
      <w:r w:rsidRPr="009F2DD9">
        <w:rPr>
          <w:i/>
          <w:lang w:val="en-US"/>
        </w:rPr>
        <w:t xml:space="preserve">Indus. L.J. </w:t>
      </w:r>
      <w:r w:rsidRPr="009F2DD9">
        <w:rPr>
          <w:lang w:val="en-US"/>
        </w:rPr>
        <w:t>231.</w:t>
      </w:r>
    </w:p>
    <w:p w14:paraId="47A8248E" w14:textId="64B0C923" w:rsidR="00690D63" w:rsidRDefault="00690D63" w:rsidP="0009382E">
      <w:pPr>
        <w:pStyle w:val="SCCNormalDoubleSpacing"/>
        <w:spacing w:after="240" w:line="240" w:lineRule="auto"/>
        <w:ind w:left="540" w:hanging="540"/>
        <w:rPr>
          <w:lang w:val="en-US"/>
        </w:rPr>
      </w:pPr>
      <w:r w:rsidRPr="0046107E">
        <w:t>Gopnik</w:t>
      </w:r>
      <w:r>
        <w:t>,</w:t>
      </w:r>
      <w:r w:rsidRPr="00F56113">
        <w:t xml:space="preserve"> </w:t>
      </w:r>
      <w:r>
        <w:t xml:space="preserve">Adam. </w:t>
      </w:r>
      <w:r w:rsidRPr="009F2DD9">
        <w:rPr>
          <w:lang w:val="en-US"/>
        </w:rPr>
        <w:t>« </w:t>
      </w:r>
      <w:r>
        <w:rPr>
          <w:lang w:val="en-US"/>
        </w:rPr>
        <w:t>The illiberal imagination</w:t>
      </w:r>
      <w:r w:rsidR="002167F7">
        <w:rPr>
          <w:lang w:val="en-US"/>
        </w:rPr>
        <w:t> :</w:t>
      </w:r>
      <w:r>
        <w:rPr>
          <w:lang w:val="en-US"/>
        </w:rPr>
        <w:t xml:space="preserve"> </w:t>
      </w:r>
      <w:r w:rsidRPr="0046107E">
        <w:rPr>
          <w:lang w:val="en-US"/>
        </w:rPr>
        <w:t xml:space="preserve">Are </w:t>
      </w:r>
      <w:r>
        <w:rPr>
          <w:lang w:val="en-US"/>
        </w:rPr>
        <w:t>l</w:t>
      </w:r>
      <w:r w:rsidRPr="0046107E">
        <w:rPr>
          <w:lang w:val="en-US"/>
        </w:rPr>
        <w:t xml:space="preserve">iberals on the </w:t>
      </w:r>
      <w:r>
        <w:rPr>
          <w:lang w:val="en-US"/>
        </w:rPr>
        <w:t>w</w:t>
      </w:r>
      <w:r w:rsidRPr="0046107E">
        <w:rPr>
          <w:lang w:val="en-US"/>
        </w:rPr>
        <w:t xml:space="preserve">rong </w:t>
      </w:r>
      <w:r>
        <w:rPr>
          <w:lang w:val="en-US"/>
        </w:rPr>
        <w:t>s</w:t>
      </w:r>
      <w:r w:rsidRPr="0046107E">
        <w:rPr>
          <w:lang w:val="en-US"/>
        </w:rPr>
        <w:t xml:space="preserve">ide of </w:t>
      </w:r>
      <w:r>
        <w:rPr>
          <w:lang w:val="en-US"/>
        </w:rPr>
        <w:t>h</w:t>
      </w:r>
      <w:r w:rsidRPr="0046107E">
        <w:rPr>
          <w:lang w:val="en-US"/>
        </w:rPr>
        <w:t>istory?</w:t>
      </w:r>
      <w:r w:rsidRPr="009F2DD9">
        <w:rPr>
          <w:lang w:val="en-US"/>
        </w:rPr>
        <w:t> »</w:t>
      </w:r>
      <w:r>
        <w:rPr>
          <w:lang w:val="en-US"/>
        </w:rPr>
        <w:t>,</w:t>
      </w:r>
      <w:r w:rsidRPr="00F56113">
        <w:rPr>
          <w:lang w:val="en-US"/>
        </w:rPr>
        <w:t xml:space="preserve"> </w:t>
      </w:r>
      <w:r w:rsidRPr="00F56113">
        <w:rPr>
          <w:i/>
          <w:lang w:val="en-US"/>
        </w:rPr>
        <w:t>The New Yorker</w:t>
      </w:r>
      <w:r w:rsidRPr="00F56113">
        <w:rPr>
          <w:lang w:val="en-US"/>
        </w:rPr>
        <w:t>, March</w:t>
      </w:r>
      <w:r>
        <w:rPr>
          <w:lang w:val="en-US"/>
        </w:rPr>
        <w:t xml:space="preserve"> 20,</w:t>
      </w:r>
      <w:r w:rsidRPr="00F56113">
        <w:rPr>
          <w:lang w:val="en-US"/>
        </w:rPr>
        <w:t xml:space="preserve"> 2017</w:t>
      </w:r>
      <w:r>
        <w:rPr>
          <w:lang w:val="en-US"/>
        </w:rPr>
        <w:t>, 88.</w:t>
      </w:r>
    </w:p>
    <w:p w14:paraId="0DD58C0D" w14:textId="66255461" w:rsidR="008057F0" w:rsidRDefault="008057F0" w:rsidP="0009382E">
      <w:pPr>
        <w:pStyle w:val="SCCNormalDoubleSpacing"/>
        <w:spacing w:after="240" w:line="240" w:lineRule="auto"/>
        <w:ind w:left="540" w:hanging="540"/>
        <w:rPr>
          <w:color w:val="000000"/>
        </w:rPr>
      </w:pPr>
      <w:r>
        <w:rPr>
          <w:rStyle w:val="solexhl"/>
          <w:rFonts w:eastAsiaTheme="majorEastAsia"/>
          <w:color w:val="000000"/>
        </w:rPr>
        <w:t>Hogg</w:t>
      </w:r>
      <w:r w:rsidR="00E609AB">
        <w:rPr>
          <w:color w:val="000000"/>
        </w:rPr>
        <w:t>, Peter </w:t>
      </w:r>
      <w:r>
        <w:rPr>
          <w:color w:val="000000"/>
        </w:rPr>
        <w:t xml:space="preserve">W. </w:t>
      </w:r>
      <w:r>
        <w:rPr>
          <w:rStyle w:val="solexhl"/>
          <w:rFonts w:eastAsiaTheme="majorEastAsia"/>
          <w:i/>
          <w:iCs/>
          <w:color w:val="000000"/>
        </w:rPr>
        <w:t>Constitutional</w:t>
      </w:r>
      <w:r>
        <w:rPr>
          <w:i/>
          <w:iCs/>
          <w:color w:val="000000"/>
        </w:rPr>
        <w:t> </w:t>
      </w:r>
      <w:r>
        <w:rPr>
          <w:rStyle w:val="solexhl"/>
          <w:rFonts w:eastAsiaTheme="majorEastAsia"/>
          <w:i/>
          <w:iCs/>
          <w:color w:val="000000"/>
        </w:rPr>
        <w:t>Law</w:t>
      </w:r>
      <w:r>
        <w:rPr>
          <w:i/>
          <w:iCs/>
          <w:color w:val="000000"/>
        </w:rPr>
        <w:t> </w:t>
      </w:r>
      <w:r>
        <w:rPr>
          <w:rStyle w:val="solexhl"/>
          <w:rFonts w:eastAsiaTheme="majorEastAsia"/>
          <w:i/>
          <w:iCs/>
          <w:color w:val="000000"/>
        </w:rPr>
        <w:t>of</w:t>
      </w:r>
      <w:r>
        <w:rPr>
          <w:i/>
          <w:iCs/>
          <w:color w:val="000000"/>
        </w:rPr>
        <w:t> </w:t>
      </w:r>
      <w:r>
        <w:rPr>
          <w:rStyle w:val="solexhl"/>
          <w:rFonts w:eastAsiaTheme="majorEastAsia"/>
          <w:i/>
          <w:iCs/>
          <w:color w:val="000000"/>
        </w:rPr>
        <w:t>Canada</w:t>
      </w:r>
      <w:r>
        <w:rPr>
          <w:color w:val="000000"/>
        </w:rPr>
        <w:t xml:space="preserve">, </w:t>
      </w:r>
      <w:r w:rsidR="002167F7">
        <w:rPr>
          <w:color w:val="000000"/>
        </w:rPr>
        <w:t>vol. </w:t>
      </w:r>
      <w:r>
        <w:rPr>
          <w:color w:val="000000"/>
        </w:rPr>
        <w:t xml:space="preserve">2, 5th ed., Supp., Toronto, Thomson Reuters, 2019 </w:t>
      </w:r>
      <w:r w:rsidR="00721DEC">
        <w:rPr>
          <w:color w:val="000000"/>
        </w:rPr>
        <w:t>(</w:t>
      </w:r>
      <w:r w:rsidRPr="00383FCF">
        <w:rPr>
          <w:color w:val="000000"/>
        </w:rPr>
        <w:t>updated 2019, release 1).</w:t>
      </w:r>
    </w:p>
    <w:p w14:paraId="1BABD52C" w14:textId="2B6A20F3" w:rsidR="00113ED1" w:rsidRDefault="00113ED1" w:rsidP="0009382E">
      <w:pPr>
        <w:pStyle w:val="SCCNormalDoubleSpacing"/>
        <w:spacing w:after="240" w:line="240" w:lineRule="auto"/>
        <w:ind w:left="540" w:hanging="540"/>
      </w:pPr>
      <w:r w:rsidRPr="009A11A0">
        <w:t xml:space="preserve">Hughes, </w:t>
      </w:r>
      <w:r>
        <w:t xml:space="preserve">Patricia. </w:t>
      </w:r>
      <w:r w:rsidRPr="009F2DD9">
        <w:rPr>
          <w:lang w:val="en-US"/>
        </w:rPr>
        <w:t>« </w:t>
      </w:r>
      <w:r w:rsidRPr="009A11A0">
        <w:t>Supreme Court of Can</w:t>
      </w:r>
      <w:r>
        <w:t xml:space="preserve">ada Equality Jurisprudence and </w:t>
      </w:r>
      <w:r w:rsidRPr="009A11A0">
        <w:t>“</w:t>
      </w:r>
      <w:r>
        <w:t>Everyday Life</w:t>
      </w:r>
      <w:r w:rsidRPr="009A11A0">
        <w:t>”</w:t>
      </w:r>
      <w:r w:rsidRPr="009F2DD9">
        <w:rPr>
          <w:lang w:val="en-US"/>
        </w:rPr>
        <w:t xml:space="preserve"> » </w:t>
      </w:r>
      <w:r w:rsidRPr="009A11A0">
        <w:t xml:space="preserve">(2012), 58 </w:t>
      </w:r>
      <w:r w:rsidRPr="009A11A0">
        <w:rPr>
          <w:i/>
        </w:rPr>
        <w:t>S.C.L.R.</w:t>
      </w:r>
      <w:r w:rsidRPr="009A11A0">
        <w:t xml:space="preserve"> (2d) 245</w:t>
      </w:r>
      <w:r>
        <w:t>.</w:t>
      </w:r>
    </w:p>
    <w:p w14:paraId="7BF429C6" w14:textId="2D995A43" w:rsidR="00A047D5" w:rsidRPr="00A047D5" w:rsidRDefault="00A047D5" w:rsidP="0009382E">
      <w:pPr>
        <w:pStyle w:val="SCCNormalDoubleSpacing"/>
        <w:spacing w:after="240" w:line="240" w:lineRule="auto"/>
        <w:ind w:left="540" w:hanging="540"/>
        <w:rPr>
          <w:lang w:val="fr-CA"/>
        </w:rPr>
      </w:pPr>
      <w:r w:rsidRPr="00A047D5">
        <w:rPr>
          <w:lang w:val="fr-CA"/>
        </w:rPr>
        <w:t>Institut canadien d’information sur la santé.</w:t>
      </w:r>
      <w:r>
        <w:rPr>
          <w:lang w:val="fr-CA"/>
        </w:rPr>
        <w:t xml:space="preserve"> </w:t>
      </w:r>
      <w:r>
        <w:rPr>
          <w:i/>
          <w:lang w:val="fr-CA"/>
        </w:rPr>
        <w:t>Le personnel infirmier au Canada, 2019</w:t>
      </w:r>
      <w:r w:rsidR="002167F7">
        <w:rPr>
          <w:i/>
          <w:lang w:val="fr-CA"/>
        </w:rPr>
        <w:t> :</w:t>
      </w:r>
      <w:r w:rsidR="00721DEC">
        <w:rPr>
          <w:i/>
          <w:lang w:val="fr-CA"/>
        </w:rPr>
        <w:t xml:space="preserve"> u</w:t>
      </w:r>
      <w:r>
        <w:rPr>
          <w:i/>
          <w:lang w:val="fr-CA"/>
        </w:rPr>
        <w:t>n regard sur l’effectif et la main</w:t>
      </w:r>
      <w:r w:rsidR="002167F7">
        <w:rPr>
          <w:i/>
          <w:lang w:val="fr-CA"/>
        </w:rPr>
        <w:noBreakHyphen/>
      </w:r>
      <w:r>
        <w:rPr>
          <w:i/>
          <w:lang w:val="fr-CA"/>
        </w:rPr>
        <w:t>d’œuvre</w:t>
      </w:r>
      <w:r>
        <w:rPr>
          <w:lang w:val="fr-CA"/>
        </w:rPr>
        <w:t>, Ottawa, 2020.</w:t>
      </w:r>
    </w:p>
    <w:p w14:paraId="70B47969" w14:textId="47EBCCB1" w:rsidR="00245D00" w:rsidRDefault="00245D00" w:rsidP="0009382E">
      <w:pPr>
        <w:pStyle w:val="SCCNormalDoubleSpacing"/>
        <w:spacing w:after="240" w:line="240" w:lineRule="auto"/>
        <w:ind w:left="540" w:hanging="540"/>
        <w:rPr>
          <w:szCs w:val="24"/>
        </w:rPr>
      </w:pPr>
      <w:r w:rsidRPr="00640995">
        <w:rPr>
          <w:szCs w:val="24"/>
        </w:rPr>
        <w:t>Kanee</w:t>
      </w:r>
      <w:r>
        <w:rPr>
          <w:szCs w:val="24"/>
        </w:rPr>
        <w:t xml:space="preserve">, </w:t>
      </w:r>
      <w:r w:rsidRPr="00640995">
        <w:rPr>
          <w:szCs w:val="24"/>
        </w:rPr>
        <w:t>Lyle</w:t>
      </w:r>
      <w:r>
        <w:rPr>
          <w:szCs w:val="24"/>
        </w:rPr>
        <w:t>,</w:t>
      </w:r>
      <w:r w:rsidRPr="00640995">
        <w:rPr>
          <w:szCs w:val="24"/>
        </w:rPr>
        <w:t xml:space="preserve"> and Adam</w:t>
      </w:r>
      <w:r>
        <w:rPr>
          <w:szCs w:val="24"/>
        </w:rPr>
        <w:t xml:space="preserve"> Cembrowski. </w:t>
      </w:r>
      <w:r w:rsidRPr="009F2DD9">
        <w:rPr>
          <w:lang w:val="en-US"/>
        </w:rPr>
        <w:t>« </w:t>
      </w:r>
      <w:r w:rsidRPr="00640995">
        <w:rPr>
          <w:szCs w:val="24"/>
        </w:rPr>
        <w:t>Family Status Discrimination and the Obligation to Self</w:t>
      </w:r>
      <w:r w:rsidR="002167F7">
        <w:rPr>
          <w:szCs w:val="24"/>
        </w:rPr>
        <w:noBreakHyphen/>
      </w:r>
      <w:r w:rsidRPr="00640995">
        <w:rPr>
          <w:szCs w:val="24"/>
        </w:rPr>
        <w:t>Accommodate</w:t>
      </w:r>
      <w:r w:rsidRPr="009F2DD9">
        <w:rPr>
          <w:lang w:val="en-US"/>
        </w:rPr>
        <w:t> »</w:t>
      </w:r>
      <w:r w:rsidRPr="00640995">
        <w:rPr>
          <w:szCs w:val="24"/>
        </w:rPr>
        <w:t xml:space="preserve"> (2018), 14 </w:t>
      </w:r>
      <w:r w:rsidRPr="00640995">
        <w:rPr>
          <w:i/>
          <w:szCs w:val="24"/>
        </w:rPr>
        <w:t>J.L. &amp; Equality</w:t>
      </w:r>
      <w:r w:rsidRPr="00640995">
        <w:rPr>
          <w:szCs w:val="24"/>
        </w:rPr>
        <w:t xml:space="preserve"> 61</w:t>
      </w:r>
      <w:r>
        <w:rPr>
          <w:szCs w:val="24"/>
        </w:rPr>
        <w:t>.</w:t>
      </w:r>
    </w:p>
    <w:p w14:paraId="1B9298AB" w14:textId="78B1AA4B" w:rsidR="00A8413D" w:rsidRPr="009F2DD9" w:rsidRDefault="00A8413D" w:rsidP="0009382E">
      <w:pPr>
        <w:pStyle w:val="SCCNormalDoubleSpacing"/>
        <w:spacing w:after="240" w:line="240" w:lineRule="auto"/>
        <w:rPr>
          <w:lang w:val="en-US"/>
        </w:rPr>
      </w:pPr>
      <w:r>
        <w:rPr>
          <w:lang w:val="en-US"/>
        </w:rPr>
        <w:t xml:space="preserve">Kaplan, Ari, and Mitch Frazer. </w:t>
      </w:r>
      <w:r>
        <w:rPr>
          <w:i/>
          <w:lang w:val="en-US"/>
        </w:rPr>
        <w:t>Pension Law</w:t>
      </w:r>
      <w:r>
        <w:rPr>
          <w:lang w:val="en-US"/>
        </w:rPr>
        <w:t>, 2nd ed., Toronto, Irwin Law, 2013.</w:t>
      </w:r>
    </w:p>
    <w:p w14:paraId="3E02D6CE" w14:textId="77777777" w:rsidR="000849DA" w:rsidRPr="009F2DD9" w:rsidRDefault="000849DA" w:rsidP="0009382E">
      <w:pPr>
        <w:pStyle w:val="SCCNormalDoubleSpacing"/>
        <w:spacing w:after="240" w:line="240" w:lineRule="auto"/>
        <w:ind w:left="540" w:hanging="540"/>
        <w:rPr>
          <w:lang w:val="en-US"/>
        </w:rPr>
      </w:pPr>
      <w:r w:rsidRPr="009F2DD9">
        <w:rPr>
          <w:lang w:val="en-US"/>
        </w:rPr>
        <w:t xml:space="preserve">Khaitan, Tarunabh. </w:t>
      </w:r>
      <w:r w:rsidRPr="009F2DD9">
        <w:rPr>
          <w:i/>
          <w:lang w:val="en-US"/>
        </w:rPr>
        <w:t>A Theory of Discrimination Law</w:t>
      </w:r>
      <w:r w:rsidRPr="009F2DD9">
        <w:rPr>
          <w:lang w:val="en-US"/>
        </w:rPr>
        <w:t>, New York, Oxford University Press, 2015.</w:t>
      </w:r>
    </w:p>
    <w:p w14:paraId="6837AC09" w14:textId="77777777" w:rsidR="002731AA" w:rsidRDefault="002731AA" w:rsidP="0009382E">
      <w:pPr>
        <w:pStyle w:val="SCCNormalDoubleSpacing"/>
        <w:spacing w:after="240" w:line="240" w:lineRule="auto"/>
        <w:ind w:left="540" w:hanging="540"/>
        <w:rPr>
          <w:color w:val="000000"/>
          <w:lang w:val="en-US"/>
        </w:rPr>
      </w:pPr>
      <w:r w:rsidRPr="009F2DD9">
        <w:rPr>
          <w:lang w:val="en-US"/>
        </w:rPr>
        <w:t xml:space="preserve">Khaitan, Tarunabh, and Sandy Steel. « Wrongs, Group Disadvantage and the Legitimacy of Indirect Discrimination Law », in Hugh Collins and Tarunabh Khaitan, eds., </w:t>
      </w:r>
      <w:r w:rsidRPr="009F2DD9">
        <w:rPr>
          <w:i/>
          <w:lang w:val="en-US"/>
        </w:rPr>
        <w:t>Foundations of Indirect Discrimination Law</w:t>
      </w:r>
      <w:r w:rsidRPr="009F2DD9">
        <w:rPr>
          <w:lang w:val="en-US"/>
        </w:rPr>
        <w:t>,</w:t>
      </w:r>
      <w:r w:rsidRPr="009F2DD9">
        <w:rPr>
          <w:rStyle w:val="solexhl"/>
          <w:rFonts w:eastAsiaTheme="majorEastAsia"/>
          <w:color w:val="000000"/>
          <w:lang w:val="en-US"/>
        </w:rPr>
        <w:t xml:space="preserve"> Portland</w:t>
      </w:r>
      <w:r w:rsidRPr="009F2DD9">
        <w:rPr>
          <w:color w:val="000000"/>
          <w:lang w:val="en-US"/>
        </w:rPr>
        <w:t xml:space="preserve"> (Or.), Hart Publishing, 2018, 197.</w:t>
      </w:r>
    </w:p>
    <w:p w14:paraId="7F3D569D" w14:textId="693FF714" w:rsidR="003B471C" w:rsidRPr="003B471C" w:rsidRDefault="003B471C" w:rsidP="0009382E">
      <w:pPr>
        <w:pStyle w:val="SCCNormalDoubleSpacing"/>
        <w:spacing w:after="240" w:line="240" w:lineRule="auto"/>
        <w:ind w:left="540" w:hanging="540"/>
        <w:rPr>
          <w:color w:val="000000"/>
        </w:rPr>
      </w:pPr>
      <w:r w:rsidRPr="005678CF">
        <w:t xml:space="preserve">Koshan, Jennifer, and Jonnette Watson Hamilton. </w:t>
      </w:r>
      <w:r w:rsidRPr="005678CF">
        <w:rPr>
          <w:lang w:val="en-US"/>
        </w:rPr>
        <w:t>« </w:t>
      </w:r>
      <w:r w:rsidRPr="005678CF">
        <w:t>Meaningless Mantra</w:t>
      </w:r>
      <w:r w:rsidR="002167F7">
        <w:rPr>
          <w:lang w:val="en-US"/>
        </w:rPr>
        <w:t> :</w:t>
      </w:r>
      <w:r w:rsidRPr="005678CF">
        <w:t xml:space="preserve"> Substantive Equality after </w:t>
      </w:r>
      <w:r w:rsidRPr="005678CF">
        <w:rPr>
          <w:i/>
        </w:rPr>
        <w:t>Withler</w:t>
      </w:r>
      <w:r w:rsidRPr="005678CF">
        <w:rPr>
          <w:lang w:val="en-US"/>
        </w:rPr>
        <w:t> »</w:t>
      </w:r>
      <w:r w:rsidRPr="005678CF">
        <w:t xml:space="preserve"> (2011), 16 </w:t>
      </w:r>
      <w:r w:rsidR="005678CF" w:rsidRPr="005678CF">
        <w:rPr>
          <w:i/>
          <w:lang w:val="en-US"/>
        </w:rPr>
        <w:t>R. études const.</w:t>
      </w:r>
      <w:r w:rsidRPr="005678CF">
        <w:rPr>
          <w:i/>
        </w:rPr>
        <w:t xml:space="preserve"> </w:t>
      </w:r>
      <w:r w:rsidRPr="005678CF">
        <w:t>31.</w:t>
      </w:r>
    </w:p>
    <w:p w14:paraId="60D6D8A8" w14:textId="087960B9" w:rsidR="00DB5A23" w:rsidRPr="009F2DD9" w:rsidRDefault="00DB5A23" w:rsidP="0009382E">
      <w:pPr>
        <w:pStyle w:val="SCCNormalDoubleSpacing"/>
        <w:spacing w:after="240" w:line="240" w:lineRule="auto"/>
        <w:ind w:left="540" w:hanging="540"/>
        <w:rPr>
          <w:szCs w:val="24"/>
          <w:lang w:val="en-US"/>
        </w:rPr>
      </w:pPr>
      <w:r w:rsidRPr="009F2DD9">
        <w:rPr>
          <w:szCs w:val="24"/>
          <w:lang w:val="en-US"/>
        </w:rPr>
        <w:t xml:space="preserve">Lawrence, Sonia. </w:t>
      </w:r>
      <w:r w:rsidRPr="009F2DD9">
        <w:rPr>
          <w:lang w:val="en-US"/>
        </w:rPr>
        <w:t>« </w:t>
      </w:r>
      <w:r w:rsidRPr="009F2DD9">
        <w:rPr>
          <w:szCs w:val="24"/>
          <w:lang w:val="en-US"/>
        </w:rPr>
        <w:t>Choice, Equality and Tales of Racial Discrimination</w:t>
      </w:r>
      <w:r w:rsidR="002167F7">
        <w:rPr>
          <w:lang w:val="en-US"/>
        </w:rPr>
        <w:t> :</w:t>
      </w:r>
      <w:r w:rsidRPr="009F2DD9">
        <w:rPr>
          <w:szCs w:val="24"/>
          <w:lang w:val="en-US"/>
        </w:rPr>
        <w:t xml:space="preserve"> Reading the Supreme Court on Section 15</w:t>
      </w:r>
      <w:r w:rsidRPr="009F2DD9">
        <w:rPr>
          <w:lang w:val="en-US"/>
        </w:rPr>
        <w:t> »</w:t>
      </w:r>
      <w:r w:rsidRPr="009F2DD9">
        <w:rPr>
          <w:szCs w:val="24"/>
          <w:lang w:val="en-US"/>
        </w:rPr>
        <w:t xml:space="preserve">, in Sheila McIntyre and Sanda Rodgers, eds., </w:t>
      </w:r>
      <w:r w:rsidRPr="009F2DD9">
        <w:rPr>
          <w:i/>
          <w:szCs w:val="24"/>
          <w:lang w:val="en-US"/>
        </w:rPr>
        <w:lastRenderedPageBreak/>
        <w:t>Diminishing Returns</w:t>
      </w:r>
      <w:r w:rsidR="002167F7">
        <w:rPr>
          <w:lang w:val="en-US"/>
        </w:rPr>
        <w:t> </w:t>
      </w:r>
      <w:r w:rsidR="002167F7" w:rsidRPr="0027023B">
        <w:rPr>
          <w:i/>
          <w:lang w:val="en-US"/>
        </w:rPr>
        <w:t>:</w:t>
      </w:r>
      <w:r w:rsidRPr="009F2DD9">
        <w:rPr>
          <w:i/>
          <w:szCs w:val="24"/>
          <w:lang w:val="en-US"/>
        </w:rPr>
        <w:t xml:space="preserve"> Inequality and the Canadian Charter of Rights and Freedoms</w:t>
      </w:r>
      <w:r w:rsidRPr="009F2DD9">
        <w:rPr>
          <w:szCs w:val="24"/>
          <w:lang w:val="en-US"/>
        </w:rPr>
        <w:t>, Markham (Ont.), LexisNexis, 2006, 115.</w:t>
      </w:r>
    </w:p>
    <w:p w14:paraId="01E4C5BA" w14:textId="39DE2EF7" w:rsidR="00145176" w:rsidRPr="009F2DD9" w:rsidRDefault="00145176" w:rsidP="0009382E">
      <w:pPr>
        <w:pStyle w:val="SCCNormalDoubleSpacing"/>
        <w:spacing w:after="240" w:line="240" w:lineRule="auto"/>
        <w:ind w:left="540" w:hanging="540"/>
        <w:rPr>
          <w:szCs w:val="24"/>
          <w:lang w:val="en-US"/>
        </w:rPr>
      </w:pPr>
      <w:r w:rsidRPr="009F2DD9">
        <w:rPr>
          <w:lang w:val="en-US"/>
        </w:rPr>
        <w:t>Macpherson, Suzi. « Reconciling employment and family care</w:t>
      </w:r>
      <w:r w:rsidR="002167F7">
        <w:rPr>
          <w:lang w:val="en-US"/>
        </w:rPr>
        <w:noBreakHyphen/>
      </w:r>
      <w:r w:rsidRPr="009F2DD9">
        <w:rPr>
          <w:lang w:val="en-US"/>
        </w:rPr>
        <w:t>giving</w:t>
      </w:r>
      <w:r w:rsidR="002167F7">
        <w:rPr>
          <w:lang w:val="en-US"/>
        </w:rPr>
        <w:t> :</w:t>
      </w:r>
      <w:r w:rsidRPr="009F2DD9">
        <w:rPr>
          <w:lang w:val="en-US"/>
        </w:rPr>
        <w:t xml:space="preserve"> a gender analysis of current challenges and future directions for UK policy », in Nicole Busby and Grace James, eds., </w:t>
      </w:r>
      <w:r w:rsidRPr="009F2DD9">
        <w:rPr>
          <w:i/>
          <w:lang w:val="en-US"/>
        </w:rPr>
        <w:t>Families, Care</w:t>
      </w:r>
      <w:r w:rsidR="002167F7">
        <w:rPr>
          <w:i/>
          <w:lang w:val="en-US"/>
        </w:rPr>
        <w:noBreakHyphen/>
      </w:r>
      <w:r w:rsidRPr="009F2DD9">
        <w:rPr>
          <w:i/>
          <w:lang w:val="en-US"/>
        </w:rPr>
        <w:t>giving and Paid Work</w:t>
      </w:r>
      <w:r w:rsidR="002167F7">
        <w:rPr>
          <w:lang w:val="en-US"/>
        </w:rPr>
        <w:t> </w:t>
      </w:r>
      <w:r w:rsidR="002167F7" w:rsidRPr="0027023B">
        <w:rPr>
          <w:i/>
          <w:lang w:val="en-US"/>
        </w:rPr>
        <w:t>:</w:t>
      </w:r>
      <w:r w:rsidRPr="009F2DD9">
        <w:rPr>
          <w:i/>
          <w:lang w:val="en-US"/>
        </w:rPr>
        <w:t xml:space="preserve"> Challenging Labour Law in the 21st Century</w:t>
      </w:r>
      <w:r w:rsidRPr="009F2DD9">
        <w:rPr>
          <w:lang w:val="en-US"/>
        </w:rPr>
        <w:t>, Northampton</w:t>
      </w:r>
      <w:r w:rsidRPr="009F2DD9">
        <w:rPr>
          <w:color w:val="000000"/>
          <w:lang w:val="en-US"/>
        </w:rPr>
        <w:t xml:space="preserve"> (Mass.), Edward Elgar Publishing, 2011, 13.</w:t>
      </w:r>
    </w:p>
    <w:p w14:paraId="2D428265" w14:textId="6AD7F2BB" w:rsidR="00E15237" w:rsidRPr="009F2DD9" w:rsidRDefault="00E15237" w:rsidP="0009382E">
      <w:pPr>
        <w:pStyle w:val="SCCNormalDoubleSpacing"/>
        <w:spacing w:after="240" w:line="240" w:lineRule="auto"/>
        <w:ind w:left="540" w:hanging="540"/>
        <w:rPr>
          <w:lang w:val="en-US"/>
        </w:rPr>
      </w:pPr>
      <w:r w:rsidRPr="009F2DD9">
        <w:rPr>
          <w:lang w:val="en-US"/>
        </w:rPr>
        <w:t>Majury, Diana. « Women Are Themselves to Blame</w:t>
      </w:r>
      <w:r w:rsidR="002167F7">
        <w:rPr>
          <w:lang w:val="en-US"/>
        </w:rPr>
        <w:t> :</w:t>
      </w:r>
      <w:r w:rsidRPr="009F2DD9">
        <w:rPr>
          <w:lang w:val="en-US"/>
        </w:rPr>
        <w:t xml:space="preserve"> Choice as a Justification for Unequal Treatment », in Fay Faraday, Margaret Denike and M. Kate Stephenson, eds., </w:t>
      </w:r>
      <w:r w:rsidRPr="009F2DD9">
        <w:rPr>
          <w:i/>
          <w:lang w:val="en-US"/>
        </w:rPr>
        <w:t>Making Equality Rights Real</w:t>
      </w:r>
      <w:r w:rsidR="002167F7">
        <w:rPr>
          <w:lang w:val="en-US"/>
        </w:rPr>
        <w:t> </w:t>
      </w:r>
      <w:r w:rsidR="002167F7" w:rsidRPr="0027023B">
        <w:rPr>
          <w:i/>
          <w:lang w:val="en-US"/>
        </w:rPr>
        <w:t>:</w:t>
      </w:r>
      <w:r w:rsidRPr="009F2DD9">
        <w:rPr>
          <w:i/>
          <w:lang w:val="en-US"/>
        </w:rPr>
        <w:t xml:space="preserve"> Securing Substantive Equality under the Charter</w:t>
      </w:r>
      <w:r w:rsidRPr="009F2DD9">
        <w:rPr>
          <w:lang w:val="en-US"/>
        </w:rPr>
        <w:t>, Toronto, Irwin Law, 2006, 209.</w:t>
      </w:r>
    </w:p>
    <w:p w14:paraId="39033DD3" w14:textId="32BCBE72" w:rsidR="00C94588" w:rsidRPr="009F2DD9" w:rsidRDefault="00C94588" w:rsidP="0009382E">
      <w:pPr>
        <w:pStyle w:val="SCCNormalDoubleSpacing"/>
        <w:spacing w:after="240" w:line="240" w:lineRule="auto"/>
        <w:ind w:left="540" w:hanging="540"/>
        <w:rPr>
          <w:szCs w:val="24"/>
          <w:lang w:val="en-US"/>
        </w:rPr>
      </w:pPr>
      <w:r w:rsidRPr="009F2DD9">
        <w:rPr>
          <w:szCs w:val="24"/>
          <w:lang w:val="en-US"/>
        </w:rPr>
        <w:t xml:space="preserve">McIntyre, Sheila. </w:t>
      </w:r>
      <w:r w:rsidRPr="009F2DD9">
        <w:rPr>
          <w:lang w:val="en-US"/>
        </w:rPr>
        <w:t>« </w:t>
      </w:r>
      <w:r w:rsidRPr="009F2DD9">
        <w:rPr>
          <w:szCs w:val="24"/>
          <w:lang w:val="en-US"/>
        </w:rPr>
        <w:t>Deference and Dominance</w:t>
      </w:r>
      <w:r w:rsidR="002167F7">
        <w:rPr>
          <w:lang w:val="en-US"/>
        </w:rPr>
        <w:t> :</w:t>
      </w:r>
      <w:r w:rsidRPr="009F2DD9">
        <w:rPr>
          <w:szCs w:val="24"/>
          <w:lang w:val="en-US"/>
        </w:rPr>
        <w:t xml:space="preserve"> Equality Without Substance</w:t>
      </w:r>
      <w:r w:rsidRPr="009F2DD9">
        <w:rPr>
          <w:lang w:val="en-US"/>
        </w:rPr>
        <w:t> »</w:t>
      </w:r>
      <w:r w:rsidRPr="009F2DD9">
        <w:rPr>
          <w:szCs w:val="24"/>
          <w:lang w:val="en-US"/>
        </w:rPr>
        <w:t xml:space="preserve">, in Sheila McIntyre and Sanda Rodgers, eds., </w:t>
      </w:r>
      <w:r w:rsidRPr="009F2DD9">
        <w:rPr>
          <w:i/>
          <w:szCs w:val="24"/>
          <w:lang w:val="en-US"/>
        </w:rPr>
        <w:t>Diminishing Returns</w:t>
      </w:r>
      <w:r w:rsidR="002167F7">
        <w:rPr>
          <w:lang w:val="en-US"/>
        </w:rPr>
        <w:t> </w:t>
      </w:r>
      <w:r w:rsidR="002167F7" w:rsidRPr="0027023B">
        <w:rPr>
          <w:i/>
          <w:lang w:val="en-US"/>
        </w:rPr>
        <w:t>:</w:t>
      </w:r>
      <w:r w:rsidRPr="009F2DD9">
        <w:rPr>
          <w:i/>
          <w:szCs w:val="24"/>
          <w:lang w:val="en-US"/>
        </w:rPr>
        <w:t xml:space="preserve"> Inequality and the Canadian Charter of Rights and Freedoms</w:t>
      </w:r>
      <w:r w:rsidRPr="009F2DD9">
        <w:rPr>
          <w:szCs w:val="24"/>
          <w:lang w:val="en-US"/>
        </w:rPr>
        <w:t>, Markham (Ont.), LexisNexis, 2006, 95.</w:t>
      </w:r>
    </w:p>
    <w:p w14:paraId="01A7A824" w14:textId="6BE7280F" w:rsidR="00E44CCF" w:rsidRDefault="00E609AB" w:rsidP="0009382E">
      <w:pPr>
        <w:pStyle w:val="SCCNormalDoubleSpacing"/>
        <w:spacing w:after="240" w:line="240" w:lineRule="auto"/>
        <w:ind w:left="540" w:hanging="540"/>
        <w:rPr>
          <w:szCs w:val="24"/>
          <w:lang w:val="en-US"/>
        </w:rPr>
      </w:pPr>
      <w:r>
        <w:rPr>
          <w:szCs w:val="24"/>
          <w:lang w:val="en-US"/>
        </w:rPr>
        <w:t>Miller, Bradley </w:t>
      </w:r>
      <w:r w:rsidR="00E44CCF" w:rsidRPr="00820FAB">
        <w:rPr>
          <w:szCs w:val="24"/>
          <w:lang w:val="en-US"/>
        </w:rPr>
        <w:t xml:space="preserve">W. </w:t>
      </w:r>
      <w:r w:rsidR="00E44CCF" w:rsidRPr="009F2DD9">
        <w:rPr>
          <w:lang w:val="en-US"/>
        </w:rPr>
        <w:t>« </w:t>
      </w:r>
      <w:r w:rsidR="00E44CCF" w:rsidRPr="00820FAB">
        <w:rPr>
          <w:szCs w:val="24"/>
          <w:lang w:val="en-US"/>
        </w:rPr>
        <w:t>Justification and Rights Limitations</w:t>
      </w:r>
      <w:r w:rsidR="00E44CCF" w:rsidRPr="009F2DD9">
        <w:rPr>
          <w:lang w:val="en-US"/>
        </w:rPr>
        <w:t> »</w:t>
      </w:r>
      <w:r w:rsidR="00E44CCF" w:rsidRPr="00820FAB">
        <w:rPr>
          <w:szCs w:val="24"/>
          <w:lang w:val="en-US"/>
        </w:rPr>
        <w:t xml:space="preserve">, in Grant Huscroft, ed., </w:t>
      </w:r>
      <w:r w:rsidR="00E44CCF" w:rsidRPr="00820FAB">
        <w:rPr>
          <w:i/>
          <w:szCs w:val="24"/>
          <w:lang w:val="en-US"/>
        </w:rPr>
        <w:t>Expounding the Constitution</w:t>
      </w:r>
      <w:r w:rsidR="002167F7">
        <w:rPr>
          <w:i/>
          <w:szCs w:val="24"/>
          <w:lang w:val="en-US"/>
        </w:rPr>
        <w:t> :</w:t>
      </w:r>
      <w:r w:rsidR="00E44CCF" w:rsidRPr="00820FAB">
        <w:rPr>
          <w:i/>
          <w:szCs w:val="24"/>
          <w:lang w:val="en-US"/>
        </w:rPr>
        <w:t xml:space="preserve"> Essays in Constitutional Theory</w:t>
      </w:r>
      <w:r w:rsidR="00E44CCF">
        <w:rPr>
          <w:szCs w:val="24"/>
          <w:lang w:val="en-US"/>
        </w:rPr>
        <w:t>,</w:t>
      </w:r>
      <w:r w:rsidR="00E44CCF" w:rsidRPr="00820FAB">
        <w:rPr>
          <w:szCs w:val="24"/>
          <w:lang w:val="en-US"/>
        </w:rPr>
        <w:t xml:space="preserve"> </w:t>
      </w:r>
      <w:r w:rsidR="00E44CCF">
        <w:rPr>
          <w:szCs w:val="24"/>
          <w:lang w:val="en-US"/>
        </w:rPr>
        <w:t>New York,</w:t>
      </w:r>
      <w:r w:rsidR="00E44CCF" w:rsidRPr="00820FAB">
        <w:rPr>
          <w:szCs w:val="24"/>
          <w:lang w:val="en-US"/>
        </w:rPr>
        <w:t xml:space="preserve"> Cambridge University Press, 2010, 93.</w:t>
      </w:r>
    </w:p>
    <w:p w14:paraId="41293549" w14:textId="4D887643" w:rsidR="00E15BAE" w:rsidRPr="00E15BAE" w:rsidRDefault="00E15BAE" w:rsidP="0009382E">
      <w:pPr>
        <w:pStyle w:val="SCCNormalDoubleSpacing"/>
        <w:spacing w:after="240" w:line="240" w:lineRule="auto"/>
        <w:ind w:left="540" w:hanging="540"/>
        <w:rPr>
          <w:szCs w:val="24"/>
        </w:rPr>
      </w:pPr>
      <w:r>
        <w:rPr>
          <w:szCs w:val="24"/>
          <w:lang w:val="en-US"/>
        </w:rPr>
        <w:t xml:space="preserve">Miller, Bradley W. </w:t>
      </w:r>
      <w:r w:rsidRPr="009F2DD9">
        <w:rPr>
          <w:lang w:val="en-US"/>
        </w:rPr>
        <w:t>« </w:t>
      </w:r>
      <w:r>
        <w:rPr>
          <w:szCs w:val="24"/>
        </w:rPr>
        <w:t>Majoritarianism and Pathologies of Judicial Review</w:t>
      </w:r>
      <w:r w:rsidRPr="009F2DD9">
        <w:rPr>
          <w:lang w:val="en-US"/>
        </w:rPr>
        <w:t> »</w:t>
      </w:r>
      <w:r>
        <w:rPr>
          <w:szCs w:val="24"/>
        </w:rPr>
        <w:t>, in Gr</w:t>
      </w:r>
      <w:r w:rsidRPr="009C4F7A">
        <w:rPr>
          <w:szCs w:val="24"/>
          <w:lang w:val="en-US"/>
        </w:rPr>
        <w:t>é</w:t>
      </w:r>
      <w:r>
        <w:rPr>
          <w:szCs w:val="24"/>
        </w:rPr>
        <w:t xml:space="preserve">goire Webber et al., </w:t>
      </w:r>
      <w:r>
        <w:rPr>
          <w:i/>
          <w:szCs w:val="24"/>
        </w:rPr>
        <w:t>Legislated Rights</w:t>
      </w:r>
      <w:r w:rsidRPr="009F2DD9">
        <w:rPr>
          <w:lang w:val="en-US"/>
        </w:rPr>
        <w:t> </w:t>
      </w:r>
      <w:r>
        <w:rPr>
          <w:i/>
          <w:szCs w:val="24"/>
        </w:rPr>
        <w:t>: Securing Human Rights through Legislation</w:t>
      </w:r>
      <w:r>
        <w:rPr>
          <w:szCs w:val="24"/>
        </w:rPr>
        <w:t>, New York, Cambridge University Press, 2018, 181.</w:t>
      </w:r>
    </w:p>
    <w:p w14:paraId="3F912619" w14:textId="77777777" w:rsidR="00947A2D" w:rsidRPr="00BF5576" w:rsidRDefault="00947A2D" w:rsidP="0009382E">
      <w:pPr>
        <w:pStyle w:val="SCCNormalDoubleSpacing"/>
        <w:spacing w:after="240" w:line="240" w:lineRule="auto"/>
        <w:ind w:left="540" w:hanging="540"/>
        <w:rPr>
          <w:lang w:val="en-US"/>
        </w:rPr>
      </w:pPr>
      <w:r w:rsidRPr="00BF5576">
        <w:rPr>
          <w:lang w:val="en-US"/>
        </w:rPr>
        <w:t xml:space="preserve">Mize, Selene. « Indirect Discrimination Reconsidered » (2007), </w:t>
      </w:r>
      <w:r w:rsidRPr="00BF5576">
        <w:rPr>
          <w:i/>
          <w:lang w:val="en-US"/>
        </w:rPr>
        <w:t>N.Z.L. Rev.</w:t>
      </w:r>
      <w:r w:rsidRPr="00BF5576">
        <w:rPr>
          <w:lang w:val="en-US"/>
        </w:rPr>
        <w:t xml:space="preserve"> 27.</w:t>
      </w:r>
    </w:p>
    <w:p w14:paraId="01BC6062" w14:textId="59FED5A8" w:rsidR="001051FC" w:rsidRDefault="001051FC" w:rsidP="0009382E">
      <w:pPr>
        <w:pStyle w:val="SCCNormalDoubleSpacing"/>
        <w:spacing w:after="240" w:line="240" w:lineRule="auto"/>
        <w:ind w:left="540" w:hanging="540"/>
        <w:rPr>
          <w:lang w:val="en-US"/>
        </w:rPr>
      </w:pPr>
      <w:r>
        <w:rPr>
          <w:rStyle w:val="solexhl"/>
          <w:rFonts w:eastAsiaTheme="majorEastAsia"/>
          <w:color w:val="000000"/>
        </w:rPr>
        <w:t>Monahan</w:t>
      </w:r>
      <w:r>
        <w:rPr>
          <w:color w:val="000000"/>
        </w:rPr>
        <w:t>, Patrick J., Byron Shaw and Padraic Ryan. </w:t>
      </w:r>
      <w:r>
        <w:rPr>
          <w:i/>
          <w:iCs/>
          <w:color w:val="000000"/>
        </w:rPr>
        <w:t>Constitutional Law</w:t>
      </w:r>
      <w:r>
        <w:rPr>
          <w:color w:val="000000"/>
        </w:rPr>
        <w:t>, 5th ed., Toronto, Irwin Law, 2017.</w:t>
      </w:r>
    </w:p>
    <w:p w14:paraId="5510E348" w14:textId="32AFD8FB" w:rsidR="00BD7D2C" w:rsidRPr="009F2DD9" w:rsidRDefault="00BD7D2C" w:rsidP="0009382E">
      <w:pPr>
        <w:pStyle w:val="SCCNormalDoubleSpacing"/>
        <w:spacing w:after="240" w:line="240" w:lineRule="auto"/>
        <w:ind w:left="540" w:hanging="540"/>
        <w:rPr>
          <w:lang w:val="en-US"/>
        </w:rPr>
      </w:pPr>
      <w:r w:rsidRPr="009F2DD9">
        <w:rPr>
          <w:szCs w:val="24"/>
          <w:lang w:val="en-US"/>
        </w:rPr>
        <w:t xml:space="preserve">Moran, Mayo. </w:t>
      </w:r>
      <w:r w:rsidRPr="009F2DD9">
        <w:rPr>
          <w:lang w:val="en-US"/>
        </w:rPr>
        <w:t>« </w:t>
      </w:r>
      <w:r w:rsidRPr="009F2DD9">
        <w:rPr>
          <w:szCs w:val="24"/>
          <w:lang w:val="en-US"/>
        </w:rPr>
        <w:t>Protesting Too Much</w:t>
      </w:r>
      <w:r w:rsidR="002167F7">
        <w:rPr>
          <w:lang w:val="en-US"/>
        </w:rPr>
        <w:t> :</w:t>
      </w:r>
      <w:r w:rsidRPr="009F2DD9">
        <w:rPr>
          <w:szCs w:val="24"/>
          <w:lang w:val="en-US"/>
        </w:rPr>
        <w:t xml:space="preserve"> Rational Basis Review Under Canada’s Equality Guarantee</w:t>
      </w:r>
      <w:r w:rsidRPr="009F2DD9">
        <w:rPr>
          <w:lang w:val="en-US"/>
        </w:rPr>
        <w:t> »</w:t>
      </w:r>
      <w:r w:rsidRPr="009F2DD9">
        <w:rPr>
          <w:szCs w:val="24"/>
          <w:lang w:val="en-US"/>
        </w:rPr>
        <w:t xml:space="preserve">, in Sheila McIntyre and Sanda Rodgers, eds., </w:t>
      </w:r>
      <w:r w:rsidRPr="009F2DD9">
        <w:rPr>
          <w:i/>
          <w:szCs w:val="24"/>
          <w:lang w:val="en-US"/>
        </w:rPr>
        <w:t>Diminishing Returns</w:t>
      </w:r>
      <w:r w:rsidR="002167F7">
        <w:rPr>
          <w:lang w:val="en-US"/>
        </w:rPr>
        <w:t> </w:t>
      </w:r>
      <w:r w:rsidR="002167F7" w:rsidRPr="006F612B">
        <w:rPr>
          <w:i/>
          <w:lang w:val="en-US"/>
        </w:rPr>
        <w:t>:</w:t>
      </w:r>
      <w:r w:rsidRPr="009F2DD9">
        <w:rPr>
          <w:i/>
          <w:szCs w:val="24"/>
          <w:lang w:val="en-US"/>
        </w:rPr>
        <w:t xml:space="preserve"> Inequality and the Canadian Charter of Rights and Freedoms</w:t>
      </w:r>
      <w:r w:rsidRPr="009F2DD9">
        <w:rPr>
          <w:szCs w:val="24"/>
          <w:lang w:val="en-US"/>
        </w:rPr>
        <w:t>, Markham (Ont.), LexisNexis, 2006, 71.</w:t>
      </w:r>
    </w:p>
    <w:p w14:paraId="157DE72C" w14:textId="77777777" w:rsidR="00466F0B" w:rsidRPr="009F2DD9" w:rsidRDefault="00466F0B" w:rsidP="0009382E">
      <w:pPr>
        <w:pStyle w:val="SCCNormalDoubleSpacing"/>
        <w:spacing w:after="240" w:line="240" w:lineRule="auto"/>
        <w:ind w:left="540" w:hanging="540"/>
        <w:rPr>
          <w:lang w:val="en-US"/>
        </w:rPr>
      </w:pPr>
      <w:r w:rsidRPr="009F2DD9">
        <w:rPr>
          <w:lang w:val="en-US"/>
        </w:rPr>
        <w:t xml:space="preserve">Moreau, Sophia. « The Moral Seriousness of Indirect Discrimination », in Hugh Collins and Tarunabh Khaitan, eds., </w:t>
      </w:r>
      <w:r w:rsidRPr="009F2DD9">
        <w:rPr>
          <w:i/>
          <w:lang w:val="en-US"/>
        </w:rPr>
        <w:t>Foundations of Indirect Discrimination Law</w:t>
      </w:r>
      <w:r w:rsidRPr="009F2DD9">
        <w:rPr>
          <w:lang w:val="en-US"/>
        </w:rPr>
        <w:t>,</w:t>
      </w:r>
      <w:r w:rsidRPr="009F2DD9">
        <w:rPr>
          <w:i/>
          <w:lang w:val="en-US"/>
        </w:rPr>
        <w:t xml:space="preserve"> </w:t>
      </w:r>
      <w:r w:rsidRPr="009F2DD9">
        <w:rPr>
          <w:rStyle w:val="solexhl"/>
          <w:rFonts w:eastAsiaTheme="majorEastAsia"/>
          <w:color w:val="000000"/>
          <w:lang w:val="en-US"/>
        </w:rPr>
        <w:t>Portland</w:t>
      </w:r>
      <w:r w:rsidRPr="009F2DD9">
        <w:rPr>
          <w:color w:val="000000"/>
          <w:lang w:val="en-US"/>
        </w:rPr>
        <w:t xml:space="preserve"> (Or.), Hart Publishing, 2018, 123.</w:t>
      </w:r>
    </w:p>
    <w:p w14:paraId="7B2C5896" w14:textId="77777777" w:rsidR="00720234" w:rsidRPr="00DF36B1" w:rsidRDefault="00720234" w:rsidP="0009382E">
      <w:pPr>
        <w:pStyle w:val="SCCNormalDoubleSpacing"/>
        <w:spacing w:after="240" w:line="240" w:lineRule="auto"/>
        <w:ind w:left="540" w:hanging="540"/>
        <w:rPr>
          <w:lang w:val="fr-CA"/>
        </w:rPr>
      </w:pPr>
      <w:r w:rsidRPr="009F2DD9">
        <w:rPr>
          <w:lang w:val="en-US"/>
        </w:rPr>
        <w:t xml:space="preserve">Moreau, Sophia. « What Is Discrimination? » </w:t>
      </w:r>
      <w:r w:rsidRPr="00DF36B1">
        <w:rPr>
          <w:lang w:val="fr-CA"/>
        </w:rPr>
        <w:t xml:space="preserve">(2010), 38 </w:t>
      </w:r>
      <w:r w:rsidRPr="00DF36B1">
        <w:rPr>
          <w:i/>
          <w:lang w:val="fr-CA"/>
        </w:rPr>
        <w:t>Philosophy &amp; Public Affairs</w:t>
      </w:r>
      <w:r w:rsidRPr="00DF36B1">
        <w:rPr>
          <w:lang w:val="fr-CA"/>
        </w:rPr>
        <w:t xml:space="preserve"> 143.</w:t>
      </w:r>
    </w:p>
    <w:p w14:paraId="0BEABD11" w14:textId="220F203D" w:rsidR="00F26EB5" w:rsidRDefault="00F26EB5" w:rsidP="0009382E">
      <w:pPr>
        <w:pStyle w:val="SCCNormalDoubleSpacing"/>
        <w:spacing w:after="240" w:line="240" w:lineRule="auto"/>
        <w:ind w:left="540" w:hanging="540"/>
        <w:rPr>
          <w:lang w:val="fr-CA"/>
        </w:rPr>
      </w:pPr>
      <w:r>
        <w:rPr>
          <w:lang w:val="fr-CA"/>
        </w:rPr>
        <w:t xml:space="preserve">Ontario. Comité directeur de la Stratégie pour l’équité salariale entre les sexes. </w:t>
      </w:r>
      <w:r w:rsidRPr="00F26EB5">
        <w:rPr>
          <w:i/>
          <w:lang w:val="fr-CA"/>
        </w:rPr>
        <w:t>Rapport final et recommandations du Comité directeur de la Stratégie pour l’équité salariale entre les sexes</w:t>
      </w:r>
      <w:r>
        <w:rPr>
          <w:lang w:val="fr-CA"/>
        </w:rPr>
        <w:t>, Toronto, 2016.</w:t>
      </w:r>
    </w:p>
    <w:p w14:paraId="39039853" w14:textId="3F78F7A8" w:rsidR="00B7740B" w:rsidRPr="00B7740B" w:rsidRDefault="00B7740B" w:rsidP="0009382E">
      <w:pPr>
        <w:pStyle w:val="SCCNormalDoubleSpacing"/>
        <w:spacing w:after="240" w:line="240" w:lineRule="auto"/>
        <w:ind w:left="540" w:hanging="540"/>
        <w:rPr>
          <w:lang w:val="fr-CA"/>
        </w:rPr>
      </w:pPr>
      <w:r>
        <w:rPr>
          <w:lang w:val="fr-CA"/>
        </w:rPr>
        <w:lastRenderedPageBreak/>
        <w:t xml:space="preserve">Ontario. Commission ontarienne des droits de la personne. </w:t>
      </w:r>
      <w:r>
        <w:rPr>
          <w:i/>
          <w:lang w:val="fr-CA"/>
        </w:rPr>
        <w:t>Le coût de la prestation de soins</w:t>
      </w:r>
      <w:r w:rsidR="002167F7">
        <w:rPr>
          <w:i/>
          <w:lang w:val="fr-CA"/>
        </w:rPr>
        <w:t> :</w:t>
      </w:r>
      <w:r>
        <w:rPr>
          <w:i/>
          <w:lang w:val="fr-CA"/>
        </w:rPr>
        <w:t xml:space="preserve"> Rapport de consultation sur la discrimination fondée sur l’état familial</w:t>
      </w:r>
      <w:r>
        <w:rPr>
          <w:lang w:val="fr-CA"/>
        </w:rPr>
        <w:t>, Toronto, 2006.</w:t>
      </w:r>
    </w:p>
    <w:p w14:paraId="12F0ADB4" w14:textId="0045F681" w:rsidR="00175ECB" w:rsidRPr="009F2DD9" w:rsidRDefault="00175ECB" w:rsidP="0009382E">
      <w:pPr>
        <w:pStyle w:val="SCCNormalDoubleSpacing"/>
        <w:spacing w:after="240" w:line="240" w:lineRule="auto"/>
        <w:ind w:left="540" w:hanging="540"/>
        <w:rPr>
          <w:lang w:val="en-US"/>
        </w:rPr>
      </w:pPr>
      <w:r w:rsidRPr="009F2DD9">
        <w:rPr>
          <w:lang w:val="en-US"/>
        </w:rPr>
        <w:t xml:space="preserve">Ontario. Royal Commission on the Status of Pensions in Ontario. </w:t>
      </w:r>
      <w:r w:rsidRPr="009F2DD9">
        <w:rPr>
          <w:i/>
          <w:lang w:val="en-US"/>
        </w:rPr>
        <w:t>Report of the Royal Commission on the Status of Pensions in Ontario</w:t>
      </w:r>
      <w:r w:rsidRPr="009F2DD9">
        <w:rPr>
          <w:lang w:val="en-US"/>
        </w:rPr>
        <w:t>, Toronto, 1980.</w:t>
      </w:r>
    </w:p>
    <w:p w14:paraId="334D3109" w14:textId="080C92A6" w:rsidR="00593AA6" w:rsidRDefault="00593AA6" w:rsidP="0009382E">
      <w:pPr>
        <w:pStyle w:val="SCCNormalDoubleSpacing"/>
        <w:spacing w:after="240" w:line="240" w:lineRule="auto"/>
        <w:ind w:left="540" w:hanging="540"/>
        <w:rPr>
          <w:lang w:val="fr-CA"/>
        </w:rPr>
      </w:pPr>
      <w:r w:rsidRPr="00593AA6">
        <w:rPr>
          <w:lang w:val="fr-CA"/>
        </w:rPr>
        <w:t xml:space="preserve">Organisation internationale du Travail. </w:t>
      </w:r>
      <w:r>
        <w:rPr>
          <w:i/>
          <w:lang w:val="fr-CA"/>
        </w:rPr>
        <w:t>Droits, emplois et sécurité sociale</w:t>
      </w:r>
      <w:r w:rsidR="002167F7">
        <w:rPr>
          <w:i/>
          <w:lang w:val="fr-CA"/>
        </w:rPr>
        <w:t> :</w:t>
      </w:r>
      <w:r>
        <w:rPr>
          <w:i/>
          <w:lang w:val="fr-CA"/>
        </w:rPr>
        <w:t xml:space="preserve"> Une nouvelle vision pour les hommes et les femmes âgés</w:t>
      </w:r>
      <w:r>
        <w:rPr>
          <w:lang w:val="fr-CA"/>
        </w:rPr>
        <w:t>, Genève, 2008.</w:t>
      </w:r>
    </w:p>
    <w:p w14:paraId="4DA4A7E9" w14:textId="11B0C5D3" w:rsidR="00946B3C" w:rsidRPr="00946B3C" w:rsidRDefault="00946B3C" w:rsidP="0009382E">
      <w:pPr>
        <w:pStyle w:val="SCCNormalDoubleSpacing"/>
        <w:spacing w:after="240" w:line="240" w:lineRule="auto"/>
        <w:ind w:left="540" w:hanging="540"/>
        <w:rPr>
          <w:lang w:val="en-US"/>
        </w:rPr>
      </w:pPr>
      <w:r w:rsidRPr="009E628D">
        <w:t>Osborne</w:t>
      </w:r>
      <w:r w:rsidR="002167F7">
        <w:noBreakHyphen/>
      </w:r>
      <w:r w:rsidRPr="009E628D">
        <w:t xml:space="preserve">Brown, </w:t>
      </w:r>
      <w:r>
        <w:t xml:space="preserve">Sheila. </w:t>
      </w:r>
      <w:r w:rsidRPr="009F2DD9">
        <w:rPr>
          <w:lang w:val="en-US"/>
        </w:rPr>
        <w:t>« </w:t>
      </w:r>
      <w:r w:rsidRPr="009E628D">
        <w:t>Discrimination and Family Status</w:t>
      </w:r>
      <w:r w:rsidR="002167F7">
        <w:rPr>
          <w:lang w:val="en-US"/>
        </w:rPr>
        <w:t> :</w:t>
      </w:r>
      <w:r w:rsidRPr="009E628D">
        <w:t xml:space="preserve"> The Test, the Continuing Debate, and the Accommodation Conversation</w:t>
      </w:r>
      <w:r w:rsidRPr="009F2DD9">
        <w:rPr>
          <w:lang w:val="en-US"/>
        </w:rPr>
        <w:t> »</w:t>
      </w:r>
      <w:r w:rsidRPr="009E628D">
        <w:t xml:space="preserve"> (2018), 14 </w:t>
      </w:r>
      <w:r w:rsidRPr="009E628D">
        <w:rPr>
          <w:i/>
        </w:rPr>
        <w:t xml:space="preserve">J.L. &amp; </w:t>
      </w:r>
      <w:r>
        <w:rPr>
          <w:i/>
        </w:rPr>
        <w:t>Equality</w:t>
      </w:r>
      <w:r w:rsidRPr="009E628D">
        <w:t xml:space="preserve"> 87</w:t>
      </w:r>
      <w:r>
        <w:t>.</w:t>
      </w:r>
    </w:p>
    <w:p w14:paraId="5634E54E" w14:textId="7095C382" w:rsidR="00E12C2A" w:rsidRPr="009F2DD9" w:rsidRDefault="00E12C2A" w:rsidP="0009382E">
      <w:pPr>
        <w:pStyle w:val="SCCNormalDoubleSpacing"/>
        <w:spacing w:after="240" w:line="240" w:lineRule="auto"/>
        <w:ind w:left="540" w:hanging="540"/>
        <w:rPr>
          <w:lang w:val="en-US"/>
        </w:rPr>
      </w:pPr>
      <w:r w:rsidRPr="009F2DD9">
        <w:rPr>
          <w:lang w:val="en-US"/>
        </w:rPr>
        <w:t xml:space="preserve">Philipps, Lisa, and Margot Young. « Sex, Tax and the </w:t>
      </w:r>
      <w:r w:rsidRPr="009F2DD9">
        <w:rPr>
          <w:i/>
          <w:lang w:val="en-US"/>
        </w:rPr>
        <w:t>Charter</w:t>
      </w:r>
      <w:r w:rsidR="002167F7">
        <w:rPr>
          <w:lang w:val="en-US"/>
        </w:rPr>
        <w:t> :</w:t>
      </w:r>
      <w:r w:rsidRPr="009F2DD9">
        <w:rPr>
          <w:lang w:val="en-US"/>
        </w:rPr>
        <w:t xml:space="preserve"> A Review of </w:t>
      </w:r>
      <w:r w:rsidRPr="009F2DD9">
        <w:rPr>
          <w:i/>
          <w:lang w:val="en-US"/>
        </w:rPr>
        <w:t>Thibaudeau v. Canada</w:t>
      </w:r>
      <w:r w:rsidRPr="009F2DD9">
        <w:rPr>
          <w:lang w:val="en-US"/>
        </w:rPr>
        <w:t xml:space="preserve"> » (1995), 2 </w:t>
      </w:r>
      <w:r w:rsidRPr="009F2DD9">
        <w:rPr>
          <w:i/>
          <w:lang w:val="en-US"/>
        </w:rPr>
        <w:t>R. études const.</w:t>
      </w:r>
      <w:r w:rsidRPr="009F2DD9">
        <w:rPr>
          <w:lang w:val="en-US"/>
        </w:rPr>
        <w:t xml:space="preserve"> 221.</w:t>
      </w:r>
    </w:p>
    <w:p w14:paraId="327C57B5" w14:textId="77777777" w:rsidR="000423A3" w:rsidRPr="009F2DD9" w:rsidRDefault="000423A3" w:rsidP="0009382E">
      <w:pPr>
        <w:pStyle w:val="SCCNormalDoubleSpacing"/>
        <w:spacing w:after="240" w:line="240" w:lineRule="auto"/>
        <w:ind w:left="540" w:hanging="540"/>
        <w:rPr>
          <w:szCs w:val="24"/>
          <w:lang w:val="en-US"/>
        </w:rPr>
      </w:pPr>
      <w:r w:rsidRPr="009F2DD9">
        <w:rPr>
          <w:lang w:val="en-US" w:bidi="en-US"/>
        </w:rPr>
        <w:t xml:space="preserve">Pothier, Dianne. </w:t>
      </w:r>
      <w:r w:rsidRPr="009F2DD9">
        <w:rPr>
          <w:lang w:val="en-US"/>
        </w:rPr>
        <w:t>« </w:t>
      </w:r>
      <w:r w:rsidRPr="009F2DD9">
        <w:rPr>
          <w:lang w:val="en-US" w:bidi="en-US"/>
        </w:rPr>
        <w:t xml:space="preserve">Connecting Grounds of Discrimination to Real People’s Real Experiences » (2001), 13 </w:t>
      </w:r>
      <w:r w:rsidRPr="009F2DD9">
        <w:rPr>
          <w:i/>
          <w:lang w:val="en-US" w:bidi="en-US"/>
        </w:rPr>
        <w:t xml:space="preserve">R.F.D. </w:t>
      </w:r>
      <w:r w:rsidRPr="009F2DD9">
        <w:rPr>
          <w:lang w:val="en-US" w:bidi="en-US"/>
        </w:rPr>
        <w:t>37.</w:t>
      </w:r>
    </w:p>
    <w:p w14:paraId="3CA3491F" w14:textId="3A57878A" w:rsidR="001A5988" w:rsidRPr="009F2DD9" w:rsidRDefault="001A5988" w:rsidP="0009382E">
      <w:pPr>
        <w:pStyle w:val="SCCNormalDoubleSpacing"/>
        <w:spacing w:after="240" w:line="240" w:lineRule="auto"/>
        <w:ind w:left="540" w:hanging="540"/>
        <w:rPr>
          <w:szCs w:val="24"/>
          <w:lang w:val="en-US"/>
        </w:rPr>
      </w:pPr>
      <w:r w:rsidRPr="009F2DD9">
        <w:rPr>
          <w:szCs w:val="24"/>
          <w:lang w:val="en-US"/>
        </w:rPr>
        <w:t xml:space="preserve">Pothier, Dianne. </w:t>
      </w:r>
      <w:r w:rsidR="00AB5F9B" w:rsidRPr="009F2DD9">
        <w:rPr>
          <w:lang w:val="en-US"/>
        </w:rPr>
        <w:t>« </w:t>
      </w:r>
      <w:r w:rsidRPr="009F2DD9">
        <w:rPr>
          <w:szCs w:val="24"/>
          <w:lang w:val="en-US"/>
        </w:rPr>
        <w:t>M’Aider, Mayday</w:t>
      </w:r>
      <w:r w:rsidR="002167F7">
        <w:rPr>
          <w:lang w:val="en-US"/>
        </w:rPr>
        <w:t> :</w:t>
      </w:r>
      <w:r w:rsidRPr="009F2DD9">
        <w:rPr>
          <w:szCs w:val="24"/>
          <w:lang w:val="en-US"/>
        </w:rPr>
        <w:t xml:space="preserve"> Section 15 of the </w:t>
      </w:r>
      <w:r w:rsidRPr="009F2DD9">
        <w:rPr>
          <w:i/>
          <w:szCs w:val="24"/>
          <w:lang w:val="en-US"/>
        </w:rPr>
        <w:t xml:space="preserve">Charter </w:t>
      </w:r>
      <w:r w:rsidRPr="009F2DD9">
        <w:rPr>
          <w:szCs w:val="24"/>
          <w:lang w:val="en-US"/>
        </w:rPr>
        <w:t>in Distress</w:t>
      </w:r>
      <w:r w:rsidR="00AB5F9B" w:rsidRPr="009F2DD9">
        <w:rPr>
          <w:lang w:val="en-US"/>
        </w:rPr>
        <w:t> »</w:t>
      </w:r>
      <w:r w:rsidRPr="009F2DD9">
        <w:rPr>
          <w:szCs w:val="24"/>
          <w:lang w:val="en-US"/>
        </w:rPr>
        <w:t xml:space="preserve"> (1996), 6 </w:t>
      </w:r>
      <w:r w:rsidRPr="009F2DD9">
        <w:rPr>
          <w:i/>
          <w:szCs w:val="24"/>
          <w:lang w:val="en-US"/>
        </w:rPr>
        <w:t xml:space="preserve">R.N.D.C. </w:t>
      </w:r>
      <w:r w:rsidRPr="009F2DD9">
        <w:rPr>
          <w:szCs w:val="24"/>
          <w:lang w:val="en-US"/>
        </w:rPr>
        <w:t>295.</w:t>
      </w:r>
    </w:p>
    <w:p w14:paraId="27CCBD39" w14:textId="539B2231" w:rsidR="00D07C0A" w:rsidRPr="009F2DD9" w:rsidRDefault="00D07C0A" w:rsidP="0009382E">
      <w:pPr>
        <w:pStyle w:val="SCCNormalDoubleSpacing"/>
        <w:spacing w:after="240" w:line="240" w:lineRule="auto"/>
        <w:ind w:left="540" w:hanging="540"/>
        <w:rPr>
          <w:lang w:val="en-US"/>
        </w:rPr>
      </w:pPr>
      <w:r w:rsidRPr="009F2DD9">
        <w:rPr>
          <w:color w:val="000000"/>
          <w:lang w:val="en-US"/>
        </w:rPr>
        <w:t>Pothier, Dianne. « Tackling Disability Discrimination at Work</w:t>
      </w:r>
      <w:r w:rsidR="002167F7">
        <w:rPr>
          <w:color w:val="000000"/>
          <w:lang w:val="en-US"/>
        </w:rPr>
        <w:t> :</w:t>
      </w:r>
      <w:r w:rsidRPr="009F2DD9">
        <w:rPr>
          <w:color w:val="000000"/>
          <w:lang w:val="en-US"/>
        </w:rPr>
        <w:t xml:space="preserve"> Toward a Systemic Approach » (2010), 4 </w:t>
      </w:r>
      <w:r w:rsidRPr="009F2DD9">
        <w:rPr>
          <w:i/>
          <w:iCs/>
          <w:color w:val="000000"/>
          <w:lang w:val="en-US"/>
        </w:rPr>
        <w:t>R.D.</w:t>
      </w:r>
      <w:r w:rsidR="00926B54">
        <w:rPr>
          <w:i/>
          <w:iCs/>
          <w:color w:val="000000"/>
          <w:lang w:val="en-US"/>
        </w:rPr>
        <w:t xml:space="preserve"> &amp; s</w:t>
      </w:r>
      <w:r w:rsidR="00BD2618">
        <w:rPr>
          <w:i/>
          <w:iCs/>
          <w:color w:val="000000"/>
          <w:lang w:val="en-US"/>
        </w:rPr>
        <w:t>anté McGill</w:t>
      </w:r>
      <w:r w:rsidRPr="009F2DD9">
        <w:rPr>
          <w:color w:val="000000"/>
          <w:lang w:val="en-US"/>
        </w:rPr>
        <w:t> 17.</w:t>
      </w:r>
    </w:p>
    <w:p w14:paraId="0930C3B9" w14:textId="5AC4E759" w:rsidR="006B2B77" w:rsidRPr="009F2DD9" w:rsidRDefault="006B2B77" w:rsidP="0009382E">
      <w:pPr>
        <w:pStyle w:val="SCCNormalDoubleSpacing"/>
        <w:spacing w:after="240" w:line="240" w:lineRule="auto"/>
        <w:ind w:left="540" w:hanging="540"/>
        <w:rPr>
          <w:lang w:val="en-US"/>
        </w:rPr>
      </w:pPr>
      <w:r w:rsidRPr="009F2DD9">
        <w:rPr>
          <w:lang w:val="en-US"/>
        </w:rPr>
        <w:t xml:space="preserve">Puchta, Alicja. </w:t>
      </w:r>
      <w:r w:rsidRPr="009F2DD9">
        <w:rPr>
          <w:color w:val="000000"/>
          <w:lang w:val="en-US"/>
        </w:rPr>
        <w:t>« </w:t>
      </w:r>
      <w:r w:rsidRPr="009F2DD9">
        <w:rPr>
          <w:i/>
          <w:lang w:val="en-US"/>
        </w:rPr>
        <w:t>Quebec v A</w:t>
      </w:r>
      <w:r w:rsidRPr="009F2DD9">
        <w:rPr>
          <w:lang w:val="en-US"/>
        </w:rPr>
        <w:t xml:space="preserve"> and </w:t>
      </w:r>
      <w:r w:rsidRPr="009F2DD9">
        <w:rPr>
          <w:i/>
          <w:lang w:val="en-US"/>
        </w:rPr>
        <w:t>Taypotat</w:t>
      </w:r>
      <w:r w:rsidR="002167F7">
        <w:rPr>
          <w:color w:val="000000"/>
          <w:lang w:val="en-US"/>
        </w:rPr>
        <w:t> :</w:t>
      </w:r>
      <w:r w:rsidRPr="009F2DD9">
        <w:rPr>
          <w:lang w:val="en-US"/>
        </w:rPr>
        <w:t xml:space="preserve"> Unpacking the Supreme Court’s Latest Decisions on Section 15 of the </w:t>
      </w:r>
      <w:r w:rsidRPr="009F2DD9">
        <w:rPr>
          <w:i/>
          <w:lang w:val="en-US"/>
        </w:rPr>
        <w:t>Charter</w:t>
      </w:r>
      <w:r w:rsidRPr="009F2DD9">
        <w:rPr>
          <w:color w:val="000000"/>
          <w:lang w:val="en-US"/>
        </w:rPr>
        <w:t> »</w:t>
      </w:r>
      <w:r w:rsidRPr="009F2DD9">
        <w:rPr>
          <w:lang w:val="en-US"/>
        </w:rPr>
        <w:t xml:space="preserve"> (2018), 55 </w:t>
      </w:r>
      <w:r w:rsidRPr="009F2DD9">
        <w:rPr>
          <w:i/>
          <w:lang w:val="en-US"/>
        </w:rPr>
        <w:t xml:space="preserve">Osgoode Hall L.J. </w:t>
      </w:r>
      <w:r w:rsidRPr="009F2DD9">
        <w:rPr>
          <w:lang w:val="en-US"/>
        </w:rPr>
        <w:t>665.</w:t>
      </w:r>
    </w:p>
    <w:p w14:paraId="2FE7422D" w14:textId="694463B1" w:rsidR="000C2135" w:rsidRPr="00593AA6" w:rsidRDefault="00E609AB" w:rsidP="0009382E">
      <w:pPr>
        <w:pStyle w:val="SCCNormalDoubleSpacing"/>
        <w:spacing w:after="240" w:line="240" w:lineRule="auto"/>
        <w:ind w:left="540" w:hanging="540"/>
        <w:rPr>
          <w:lang w:val="fr-CA"/>
        </w:rPr>
      </w:pPr>
      <w:r>
        <w:rPr>
          <w:szCs w:val="24"/>
          <w:lang w:val="en-US"/>
        </w:rPr>
        <w:t>Réaume, Denise </w:t>
      </w:r>
      <w:r w:rsidR="000C2135" w:rsidRPr="009F2DD9">
        <w:rPr>
          <w:szCs w:val="24"/>
          <w:lang w:val="en-US"/>
        </w:rPr>
        <w:t xml:space="preserve">G. </w:t>
      </w:r>
      <w:r w:rsidR="000C2135" w:rsidRPr="009F2DD9">
        <w:rPr>
          <w:lang w:val="en-US"/>
        </w:rPr>
        <w:t>« </w:t>
      </w:r>
      <w:r w:rsidR="000C2135" w:rsidRPr="009F2DD9">
        <w:rPr>
          <w:szCs w:val="24"/>
          <w:lang w:val="en-US"/>
        </w:rPr>
        <w:t>Harm and Fault in Discrimination Law</w:t>
      </w:r>
      <w:r w:rsidR="002167F7">
        <w:rPr>
          <w:lang w:val="en-US"/>
        </w:rPr>
        <w:t> :</w:t>
      </w:r>
      <w:r w:rsidR="000C2135" w:rsidRPr="009F2DD9">
        <w:rPr>
          <w:szCs w:val="24"/>
          <w:lang w:val="en-US"/>
        </w:rPr>
        <w:t xml:space="preserve"> The Transition from Intentional to Adverse Effect Discrimination</w:t>
      </w:r>
      <w:r w:rsidR="000C2135" w:rsidRPr="009F2DD9">
        <w:rPr>
          <w:lang w:val="en-US"/>
        </w:rPr>
        <w:t> »</w:t>
      </w:r>
      <w:r w:rsidR="000C2135" w:rsidRPr="009F2DD9">
        <w:rPr>
          <w:szCs w:val="24"/>
          <w:lang w:val="en-US"/>
        </w:rPr>
        <w:t xml:space="preserve"> (2001), 2 </w:t>
      </w:r>
      <w:r w:rsidR="000C2135" w:rsidRPr="009F2DD9">
        <w:rPr>
          <w:i/>
          <w:szCs w:val="24"/>
          <w:lang w:val="en-US"/>
        </w:rPr>
        <w:t xml:space="preserve">Theor. </w:t>
      </w:r>
      <w:r w:rsidR="000C2135" w:rsidRPr="00593AA6">
        <w:rPr>
          <w:i/>
          <w:szCs w:val="24"/>
          <w:lang w:val="fr-CA"/>
        </w:rPr>
        <w:t xml:space="preserve">Inq. L. </w:t>
      </w:r>
      <w:r w:rsidR="000C2135" w:rsidRPr="00593AA6">
        <w:rPr>
          <w:szCs w:val="24"/>
          <w:lang w:val="fr-CA"/>
        </w:rPr>
        <w:t>349.</w:t>
      </w:r>
    </w:p>
    <w:p w14:paraId="6C4EF84D" w14:textId="7808E955" w:rsidR="00B020BC" w:rsidRPr="00593AA6" w:rsidRDefault="00B020BC" w:rsidP="0009382E">
      <w:pPr>
        <w:pStyle w:val="SCCNormalDoubleSpacing"/>
        <w:spacing w:after="240" w:line="240" w:lineRule="auto"/>
        <w:ind w:left="540" w:hanging="540"/>
        <w:rPr>
          <w:lang w:val="fr-CA"/>
        </w:rPr>
      </w:pPr>
      <w:r w:rsidRPr="00593AA6">
        <w:rPr>
          <w:lang w:val="fr-CA"/>
        </w:rPr>
        <w:t xml:space="preserve">Rivet, Michèle, </w:t>
      </w:r>
      <w:r w:rsidR="006C0AE0" w:rsidRPr="00593AA6">
        <w:rPr>
          <w:lang w:val="fr-CA"/>
        </w:rPr>
        <w:t>et</w:t>
      </w:r>
      <w:r w:rsidRPr="00593AA6">
        <w:rPr>
          <w:lang w:val="fr-CA"/>
        </w:rPr>
        <w:t xml:space="preserve"> Anne</w:t>
      </w:r>
      <w:r w:rsidR="002167F7">
        <w:rPr>
          <w:lang w:val="fr-CA"/>
        </w:rPr>
        <w:noBreakHyphen/>
      </w:r>
      <w:r w:rsidRPr="00593AA6">
        <w:rPr>
          <w:lang w:val="fr-CA"/>
        </w:rPr>
        <w:t xml:space="preserve">Marie Santorineos. « Juger à l’ère des droits fondamentaux » (2012), 42 </w:t>
      </w:r>
      <w:r w:rsidRPr="00593AA6">
        <w:rPr>
          <w:i/>
          <w:lang w:val="fr-CA"/>
        </w:rPr>
        <w:t>R.D.U.S.</w:t>
      </w:r>
      <w:r w:rsidRPr="00593AA6">
        <w:rPr>
          <w:lang w:val="fr-CA"/>
        </w:rPr>
        <w:t xml:space="preserve"> 363.</w:t>
      </w:r>
    </w:p>
    <w:p w14:paraId="75AC17E6" w14:textId="7768A5E9" w:rsidR="00BA7842" w:rsidRPr="00734CA7" w:rsidRDefault="00BA7842" w:rsidP="0009382E">
      <w:pPr>
        <w:pStyle w:val="SCCNormalDoubleSpacing"/>
        <w:spacing w:after="240" w:line="240" w:lineRule="auto"/>
        <w:ind w:left="540" w:hanging="540"/>
        <w:rPr>
          <w:lang w:val="en-US"/>
        </w:rPr>
      </w:pPr>
      <w:r w:rsidRPr="00CE2D82">
        <w:t xml:space="preserve">Sangiuliano, </w:t>
      </w:r>
      <w:r>
        <w:t xml:space="preserve">Anthony Robert. </w:t>
      </w:r>
      <w:r w:rsidRPr="00B44550">
        <w:rPr>
          <w:lang w:val="en-US"/>
        </w:rPr>
        <w:t>« </w:t>
      </w:r>
      <w:r w:rsidRPr="00CE2D82">
        <w:t xml:space="preserve">Substantive Equality </w:t>
      </w:r>
      <w:r>
        <w:t>A</w:t>
      </w:r>
      <w:r w:rsidRPr="00CE2D82">
        <w:t>s Equal Recognition</w:t>
      </w:r>
      <w:r w:rsidR="002167F7">
        <w:rPr>
          <w:lang w:val="en-US"/>
        </w:rPr>
        <w:t> :</w:t>
      </w:r>
      <w:r w:rsidRPr="00CE2D82">
        <w:t xml:space="preserve"> A New Theory of Section 15 of the </w:t>
      </w:r>
      <w:r w:rsidRPr="00DC45C2">
        <w:rPr>
          <w:i/>
        </w:rPr>
        <w:t>Charter</w:t>
      </w:r>
      <w:r w:rsidRPr="00BA7842">
        <w:rPr>
          <w:lang w:val="en-US"/>
        </w:rPr>
        <w:t> »</w:t>
      </w:r>
      <w:r w:rsidRPr="00CE2D82">
        <w:t xml:space="preserve"> (2015)</w:t>
      </w:r>
      <w:r>
        <w:t>,</w:t>
      </w:r>
      <w:r w:rsidRPr="00CE2D82">
        <w:t xml:space="preserve"> 52 </w:t>
      </w:r>
      <w:r w:rsidRPr="00CE2D82">
        <w:rPr>
          <w:i/>
        </w:rPr>
        <w:t xml:space="preserve">Osgoode Hall L.J. </w:t>
      </w:r>
      <w:r w:rsidRPr="00CE2D82">
        <w:t>60</w:t>
      </w:r>
      <w:r>
        <w:t>1.</w:t>
      </w:r>
    </w:p>
    <w:p w14:paraId="4DC8A3BB" w14:textId="322A152C" w:rsidR="00B44550" w:rsidRPr="00953B0B" w:rsidRDefault="00B44550" w:rsidP="0009382E">
      <w:pPr>
        <w:pStyle w:val="SCCNormalDoubleSpacing"/>
        <w:spacing w:after="240" w:line="240" w:lineRule="auto"/>
        <w:ind w:left="540" w:hanging="540"/>
        <w:rPr>
          <w:lang w:val="en-US"/>
        </w:rPr>
      </w:pPr>
      <w:r w:rsidRPr="009E628D">
        <w:t>Sealy</w:t>
      </w:r>
      <w:r w:rsidR="002167F7">
        <w:noBreakHyphen/>
      </w:r>
      <w:r w:rsidRPr="009E628D">
        <w:t xml:space="preserve">Harrington, </w:t>
      </w:r>
      <w:r>
        <w:t xml:space="preserve">Joshua. </w:t>
      </w:r>
      <w:r w:rsidRPr="00B44550">
        <w:rPr>
          <w:lang w:val="en-US"/>
        </w:rPr>
        <w:t>« </w:t>
      </w:r>
      <w:r w:rsidRPr="009E628D">
        <w:t>Assessing Analogous Grounds</w:t>
      </w:r>
      <w:r w:rsidR="002167F7">
        <w:rPr>
          <w:lang w:val="en-US"/>
        </w:rPr>
        <w:t> :</w:t>
      </w:r>
      <w:r w:rsidRPr="009E628D">
        <w:t xml:space="preserve"> The Doctrinal and Normative Superiority of a Multi</w:t>
      </w:r>
      <w:r w:rsidR="002167F7">
        <w:noBreakHyphen/>
      </w:r>
      <w:r w:rsidRPr="009E628D">
        <w:t>Variable Approach</w:t>
      </w:r>
      <w:r w:rsidRPr="00B44550">
        <w:rPr>
          <w:lang w:val="en-US"/>
        </w:rPr>
        <w:t> »</w:t>
      </w:r>
      <w:r w:rsidRPr="009E628D">
        <w:t xml:space="preserve"> (2013), 10 </w:t>
      </w:r>
      <w:r w:rsidRPr="009E628D">
        <w:rPr>
          <w:i/>
        </w:rPr>
        <w:t xml:space="preserve">J.L. &amp; </w:t>
      </w:r>
      <w:r>
        <w:rPr>
          <w:i/>
        </w:rPr>
        <w:t>Equality</w:t>
      </w:r>
      <w:r w:rsidRPr="009E628D">
        <w:t xml:space="preserve"> 37</w:t>
      </w:r>
      <w:r>
        <w:t>.</w:t>
      </w:r>
    </w:p>
    <w:p w14:paraId="12134CA3" w14:textId="51FB6B27" w:rsidR="00705B24" w:rsidRPr="00CF2589" w:rsidRDefault="00E609AB" w:rsidP="0009382E">
      <w:pPr>
        <w:pStyle w:val="SCCNormalDoubleSpacing"/>
        <w:spacing w:after="240" w:line="240" w:lineRule="auto"/>
        <w:ind w:left="540" w:hanging="540"/>
        <w:rPr>
          <w:lang w:val="en-US"/>
        </w:rPr>
      </w:pPr>
      <w:r>
        <w:t>Sharpe, Robert </w:t>
      </w:r>
      <w:r w:rsidR="00705B24">
        <w:t xml:space="preserve">J. </w:t>
      </w:r>
      <w:r w:rsidR="00705B24">
        <w:rPr>
          <w:i/>
        </w:rPr>
        <w:t>Good Judgment</w:t>
      </w:r>
      <w:r w:rsidR="002167F7">
        <w:rPr>
          <w:i/>
          <w:lang w:val="en-US"/>
        </w:rPr>
        <w:t> :</w:t>
      </w:r>
      <w:r w:rsidR="00705B24">
        <w:rPr>
          <w:i/>
        </w:rPr>
        <w:t xml:space="preserve"> Making Judicial Decisions</w:t>
      </w:r>
      <w:r w:rsidR="00705B24">
        <w:t>, Toronto, University of Toronto Press, 2018.</w:t>
      </w:r>
    </w:p>
    <w:p w14:paraId="75CEF2E3" w14:textId="4D9682B3" w:rsidR="00055E8D" w:rsidRPr="009F2DD9" w:rsidRDefault="00055E8D" w:rsidP="0009382E">
      <w:pPr>
        <w:pStyle w:val="SCCNormalDoubleSpacing"/>
        <w:spacing w:after="240" w:line="240" w:lineRule="auto"/>
        <w:ind w:left="540" w:hanging="540"/>
        <w:rPr>
          <w:lang w:val="en-US"/>
        </w:rPr>
      </w:pPr>
      <w:r w:rsidRPr="009F2DD9">
        <w:rPr>
          <w:lang w:val="en-US"/>
        </w:rPr>
        <w:t>Sheppard, Colleen. « Grounds of Discrimination</w:t>
      </w:r>
      <w:r w:rsidR="002167F7">
        <w:rPr>
          <w:lang w:val="en-US"/>
        </w:rPr>
        <w:t> :</w:t>
      </w:r>
      <w:r w:rsidRPr="009F2DD9">
        <w:rPr>
          <w:lang w:val="en-US"/>
        </w:rPr>
        <w:t xml:space="preserve"> Towards an Inclusive and Contextual Approach » (2001), 80 </w:t>
      </w:r>
      <w:r w:rsidRPr="009F2DD9">
        <w:rPr>
          <w:i/>
          <w:lang w:val="en-US"/>
        </w:rPr>
        <w:t xml:space="preserve">R. du B. can. </w:t>
      </w:r>
      <w:r w:rsidRPr="009F2DD9">
        <w:rPr>
          <w:lang w:val="en-US"/>
        </w:rPr>
        <w:t>893.</w:t>
      </w:r>
    </w:p>
    <w:p w14:paraId="48F3AABB" w14:textId="616B59A8" w:rsidR="000C67C5" w:rsidRPr="009F2DD9" w:rsidRDefault="000C67C5" w:rsidP="0009382E">
      <w:pPr>
        <w:pStyle w:val="SCCNormalDoubleSpacing"/>
        <w:spacing w:after="240" w:line="240" w:lineRule="auto"/>
        <w:ind w:left="540" w:hanging="540"/>
        <w:rPr>
          <w:lang w:val="en-US"/>
        </w:rPr>
      </w:pPr>
      <w:r w:rsidRPr="009F2DD9">
        <w:rPr>
          <w:lang w:val="en-US"/>
        </w:rPr>
        <w:lastRenderedPageBreak/>
        <w:t xml:space="preserve">Sheppard, Colleen. </w:t>
      </w:r>
      <w:r w:rsidRPr="009F2DD9">
        <w:rPr>
          <w:i/>
          <w:iCs/>
          <w:lang w:val="en-US"/>
        </w:rPr>
        <w:t>Inclusive Equality</w:t>
      </w:r>
      <w:r w:rsidR="002167F7">
        <w:rPr>
          <w:i/>
          <w:iCs/>
          <w:lang w:val="en-US"/>
        </w:rPr>
        <w:t> :</w:t>
      </w:r>
      <w:r w:rsidRPr="009F2DD9">
        <w:rPr>
          <w:i/>
          <w:iCs/>
          <w:lang w:val="en-US"/>
        </w:rPr>
        <w:t xml:space="preserve"> The Relational Dimensions of Systemic Discrimination in Canada</w:t>
      </w:r>
      <w:r w:rsidRPr="009F2DD9">
        <w:rPr>
          <w:lang w:val="en-US"/>
        </w:rPr>
        <w:t xml:space="preserve">, </w:t>
      </w:r>
      <w:r w:rsidR="002F6F01" w:rsidRPr="009F2DD9">
        <w:rPr>
          <w:lang w:val="en-US"/>
        </w:rPr>
        <w:t>Montréal</w:t>
      </w:r>
      <w:r w:rsidRPr="009F2DD9">
        <w:rPr>
          <w:lang w:val="en-US"/>
        </w:rPr>
        <w:t>, McGill</w:t>
      </w:r>
      <w:r w:rsidR="002167F7">
        <w:rPr>
          <w:lang w:val="en-US"/>
        </w:rPr>
        <w:noBreakHyphen/>
      </w:r>
      <w:r w:rsidRPr="009F2DD9">
        <w:rPr>
          <w:lang w:val="en-US"/>
        </w:rPr>
        <w:t>Queen’s University Press, 2010.</w:t>
      </w:r>
    </w:p>
    <w:p w14:paraId="0D5D0A2E" w14:textId="5E4B91EC" w:rsidR="00E12493" w:rsidRPr="009F2DD9" w:rsidRDefault="00E12493" w:rsidP="0009382E">
      <w:pPr>
        <w:pStyle w:val="SCCNormalDoubleSpacing"/>
        <w:spacing w:after="240" w:line="240" w:lineRule="auto"/>
        <w:ind w:left="540" w:hanging="540"/>
        <w:rPr>
          <w:szCs w:val="24"/>
          <w:lang w:val="en-US"/>
        </w:rPr>
      </w:pPr>
      <w:r w:rsidRPr="009F2DD9">
        <w:rPr>
          <w:szCs w:val="24"/>
          <w:lang w:val="en-US"/>
        </w:rPr>
        <w:t xml:space="preserve">Sheppard, Colleen. </w:t>
      </w:r>
      <w:r w:rsidRPr="009F2DD9">
        <w:rPr>
          <w:lang w:val="en-US"/>
        </w:rPr>
        <w:t>« </w:t>
      </w:r>
      <w:r w:rsidRPr="009F2DD9">
        <w:rPr>
          <w:szCs w:val="24"/>
          <w:lang w:val="en-US"/>
        </w:rPr>
        <w:t>Mapping anti</w:t>
      </w:r>
      <w:r w:rsidR="002167F7">
        <w:rPr>
          <w:szCs w:val="24"/>
          <w:lang w:val="en-US"/>
        </w:rPr>
        <w:noBreakHyphen/>
      </w:r>
      <w:r w:rsidRPr="009F2DD9">
        <w:rPr>
          <w:szCs w:val="24"/>
          <w:lang w:val="en-US"/>
        </w:rPr>
        <w:t>discrimination law onto inequality at work</w:t>
      </w:r>
      <w:r w:rsidR="002167F7">
        <w:rPr>
          <w:lang w:val="en-US"/>
        </w:rPr>
        <w:t> :</w:t>
      </w:r>
      <w:r w:rsidRPr="009F2DD9">
        <w:rPr>
          <w:szCs w:val="24"/>
          <w:lang w:val="en-US"/>
        </w:rPr>
        <w:t xml:space="preserve"> </w:t>
      </w:r>
      <w:r w:rsidRPr="00B72C4A">
        <w:rPr>
          <w:szCs w:val="24"/>
          <w:lang w:val="en-US"/>
        </w:rPr>
        <w:t>Expanding the meaning of equality in international labour law</w:t>
      </w:r>
      <w:r w:rsidRPr="00B72C4A">
        <w:rPr>
          <w:lang w:val="en-US"/>
        </w:rPr>
        <w:t> »</w:t>
      </w:r>
      <w:r w:rsidRPr="00B72C4A">
        <w:rPr>
          <w:szCs w:val="24"/>
          <w:lang w:val="en-US"/>
        </w:rPr>
        <w:t xml:space="preserve"> (2012), 151 </w:t>
      </w:r>
      <w:r w:rsidR="0006324B" w:rsidRPr="00B72C4A">
        <w:rPr>
          <w:i/>
          <w:szCs w:val="24"/>
          <w:lang w:val="en-US"/>
        </w:rPr>
        <w:t>R</w:t>
      </w:r>
      <w:r w:rsidR="0073171E" w:rsidRPr="00B72C4A">
        <w:rPr>
          <w:i/>
          <w:szCs w:val="24"/>
          <w:lang w:val="en-US"/>
        </w:rPr>
        <w:t>.</w:t>
      </w:r>
      <w:r w:rsidR="0006324B" w:rsidRPr="00B72C4A">
        <w:rPr>
          <w:i/>
          <w:szCs w:val="24"/>
          <w:lang w:val="en-US"/>
        </w:rPr>
        <w:t xml:space="preserve"> </w:t>
      </w:r>
      <w:r w:rsidR="00B72C4A" w:rsidRPr="00B72C4A">
        <w:rPr>
          <w:i/>
          <w:szCs w:val="24"/>
          <w:lang w:val="en-US"/>
        </w:rPr>
        <w:t>i</w:t>
      </w:r>
      <w:r w:rsidR="0073171E" w:rsidRPr="00B72C4A">
        <w:rPr>
          <w:i/>
          <w:szCs w:val="24"/>
          <w:lang w:val="en-US"/>
        </w:rPr>
        <w:t>nt</w:t>
      </w:r>
      <w:r w:rsidR="0006324B" w:rsidRPr="00B72C4A">
        <w:rPr>
          <w:i/>
          <w:szCs w:val="24"/>
          <w:lang w:val="en-US"/>
        </w:rPr>
        <w:t>. T</w:t>
      </w:r>
      <w:r w:rsidR="0073171E" w:rsidRPr="00B72C4A">
        <w:rPr>
          <w:i/>
          <w:szCs w:val="24"/>
          <w:lang w:val="en-US"/>
        </w:rPr>
        <w:t>rav</w:t>
      </w:r>
      <w:r w:rsidRPr="00B72C4A">
        <w:rPr>
          <w:i/>
          <w:szCs w:val="24"/>
          <w:lang w:val="en-US"/>
        </w:rPr>
        <w:t>.</w:t>
      </w:r>
      <w:r w:rsidRPr="00B72C4A">
        <w:rPr>
          <w:szCs w:val="24"/>
          <w:lang w:val="en-US"/>
        </w:rPr>
        <w:t xml:space="preserve"> 1.</w:t>
      </w:r>
    </w:p>
    <w:p w14:paraId="002DDE39" w14:textId="3E5A78D6" w:rsidR="004443F9" w:rsidRPr="009F2DD9" w:rsidRDefault="004443F9" w:rsidP="0009382E">
      <w:pPr>
        <w:pStyle w:val="SCCNormalDoubleSpacing"/>
        <w:spacing w:after="240" w:line="240" w:lineRule="auto"/>
        <w:ind w:left="540" w:hanging="540"/>
        <w:rPr>
          <w:lang w:val="en-US"/>
        </w:rPr>
      </w:pPr>
      <w:r w:rsidRPr="009F2DD9">
        <w:rPr>
          <w:lang w:val="en-US"/>
        </w:rPr>
        <w:t>Sheppard, Colleen. « Of Forest Fires and Systemic Discrimination</w:t>
      </w:r>
      <w:r w:rsidR="002167F7">
        <w:rPr>
          <w:lang w:val="en-US"/>
        </w:rPr>
        <w:t> :</w:t>
      </w:r>
      <w:r w:rsidRPr="009F2DD9">
        <w:rPr>
          <w:lang w:val="en-US"/>
        </w:rPr>
        <w:t xml:space="preserve"> A Review of </w:t>
      </w:r>
      <w:r w:rsidRPr="009F2DD9">
        <w:rPr>
          <w:i/>
          <w:lang w:val="en-US"/>
        </w:rPr>
        <w:t>British Columbia (Public Service Employee Relations Commission) v. B.C.G.S.E.U.</w:t>
      </w:r>
      <w:r w:rsidRPr="009F2DD9">
        <w:rPr>
          <w:lang w:val="en-US"/>
        </w:rPr>
        <w:t xml:space="preserve"> » (2001), 46 </w:t>
      </w:r>
      <w:r w:rsidRPr="009F2DD9">
        <w:rPr>
          <w:i/>
          <w:iCs/>
          <w:color w:val="000000"/>
          <w:lang w:val="en-US"/>
        </w:rPr>
        <w:t>R.D. McGill</w:t>
      </w:r>
      <w:r w:rsidRPr="009F2DD9">
        <w:rPr>
          <w:lang w:val="en-US"/>
        </w:rPr>
        <w:t xml:space="preserve"> 533.</w:t>
      </w:r>
    </w:p>
    <w:p w14:paraId="44ED9F43" w14:textId="6D137B81" w:rsidR="002B2683" w:rsidRPr="009F2DD9" w:rsidRDefault="002B2683" w:rsidP="0009382E">
      <w:pPr>
        <w:pStyle w:val="SCCNormalDoubleSpacing"/>
        <w:spacing w:after="240" w:line="240" w:lineRule="auto"/>
        <w:ind w:left="540" w:hanging="540"/>
        <w:rPr>
          <w:lang w:val="en-US"/>
        </w:rPr>
      </w:pPr>
      <w:r w:rsidRPr="009F2DD9">
        <w:rPr>
          <w:lang w:val="en-US"/>
        </w:rPr>
        <w:t>Shilton, Elizabeth. « Family Status Discrimination</w:t>
      </w:r>
      <w:r w:rsidR="002167F7">
        <w:rPr>
          <w:lang w:val="en-US"/>
        </w:rPr>
        <w:t> :</w:t>
      </w:r>
      <w:r w:rsidRPr="009F2DD9">
        <w:rPr>
          <w:lang w:val="en-US"/>
        </w:rPr>
        <w:t xml:space="preserve"> “Disruption and Great Mischief” or Bridge over the Work</w:t>
      </w:r>
      <w:r w:rsidR="002167F7">
        <w:rPr>
          <w:lang w:val="en-US"/>
        </w:rPr>
        <w:noBreakHyphen/>
      </w:r>
      <w:r w:rsidRPr="009F2DD9">
        <w:rPr>
          <w:lang w:val="en-US"/>
        </w:rPr>
        <w:t xml:space="preserve">Family Divide? » (2018), 14 </w:t>
      </w:r>
      <w:r w:rsidRPr="009F2DD9">
        <w:rPr>
          <w:i/>
          <w:lang w:val="en-US"/>
        </w:rPr>
        <w:t>J.L. &amp; Equality</w:t>
      </w:r>
      <w:r w:rsidRPr="009F2DD9">
        <w:rPr>
          <w:lang w:val="en-US"/>
        </w:rPr>
        <w:t xml:space="preserve"> 33.</w:t>
      </w:r>
    </w:p>
    <w:p w14:paraId="6A7F0611" w14:textId="191312D1" w:rsidR="00947746" w:rsidRPr="009F2DD9" w:rsidRDefault="00947746" w:rsidP="0009382E">
      <w:pPr>
        <w:pStyle w:val="SCCNormalDoubleSpacing"/>
        <w:spacing w:after="240" w:line="240" w:lineRule="auto"/>
        <w:ind w:left="540" w:hanging="540"/>
        <w:rPr>
          <w:lang w:val="en-US"/>
        </w:rPr>
      </w:pPr>
      <w:r w:rsidRPr="009F2DD9">
        <w:rPr>
          <w:lang w:val="en-US"/>
        </w:rPr>
        <w:t xml:space="preserve">Shilton, Elizabeth. « Gender Risk and Employment Pension Plans in Canada » (2013), 17 </w:t>
      </w:r>
      <w:r w:rsidRPr="009F2DD9">
        <w:rPr>
          <w:i/>
          <w:lang w:val="en-US"/>
        </w:rPr>
        <w:t xml:space="preserve">C.L.E.L.J. </w:t>
      </w:r>
      <w:r w:rsidRPr="009F2DD9">
        <w:rPr>
          <w:lang w:val="en-US"/>
        </w:rPr>
        <w:t>101.</w:t>
      </w:r>
    </w:p>
    <w:p w14:paraId="3BC3526E" w14:textId="77777777" w:rsidR="00B51738" w:rsidRPr="009F2DD9" w:rsidRDefault="00B51738" w:rsidP="0009382E">
      <w:pPr>
        <w:pStyle w:val="SCCNormalDoubleSpacing"/>
        <w:spacing w:after="240" w:line="240" w:lineRule="auto"/>
        <w:ind w:left="540" w:hanging="540"/>
        <w:rPr>
          <w:lang w:val="en-US"/>
        </w:rPr>
      </w:pPr>
      <w:r w:rsidRPr="009F2DD9">
        <w:rPr>
          <w:lang w:val="en-US"/>
        </w:rPr>
        <w:t xml:space="preserve">Vizkelety, Béatrice. </w:t>
      </w:r>
      <w:r w:rsidRPr="009F2DD9">
        <w:rPr>
          <w:i/>
          <w:lang w:val="en-US"/>
        </w:rPr>
        <w:t>Proving Discrimination in Canada</w:t>
      </w:r>
      <w:r w:rsidRPr="009F2DD9">
        <w:rPr>
          <w:lang w:val="en-US"/>
        </w:rPr>
        <w:t>, Toronto, Carswell, 1987.</w:t>
      </w:r>
    </w:p>
    <w:p w14:paraId="1BF81CED" w14:textId="0D08579E" w:rsidR="004954EC" w:rsidRPr="009F2DD9" w:rsidRDefault="004954EC" w:rsidP="0009382E">
      <w:pPr>
        <w:pStyle w:val="SCCNormalDoubleSpacing"/>
        <w:spacing w:after="240" w:line="240" w:lineRule="auto"/>
        <w:ind w:left="540" w:hanging="540"/>
        <w:rPr>
          <w:lang w:val="en-US"/>
        </w:rPr>
      </w:pPr>
      <w:r w:rsidRPr="009F2DD9">
        <w:rPr>
          <w:lang w:val="en-US"/>
        </w:rPr>
        <w:t>Watson Hamilton, Jonnette, and Jennifer Koshan. « Adverse Impact</w:t>
      </w:r>
      <w:r w:rsidR="002167F7">
        <w:rPr>
          <w:lang w:val="en-US"/>
        </w:rPr>
        <w:t> :</w:t>
      </w:r>
      <w:r w:rsidRPr="009F2DD9">
        <w:rPr>
          <w:lang w:val="en-US"/>
        </w:rPr>
        <w:t xml:space="preserve"> The Supreme Court’s Approach to Adverse Effects Discrimination under Section 15 of the </w:t>
      </w:r>
      <w:r w:rsidRPr="009F2DD9">
        <w:rPr>
          <w:i/>
          <w:lang w:val="en-US"/>
        </w:rPr>
        <w:t>Charter</w:t>
      </w:r>
      <w:r w:rsidRPr="009F2DD9">
        <w:rPr>
          <w:lang w:val="en-US"/>
        </w:rPr>
        <w:t> »</w:t>
      </w:r>
      <w:r w:rsidRPr="009F2DD9">
        <w:rPr>
          <w:i/>
          <w:lang w:val="en-US"/>
        </w:rPr>
        <w:t xml:space="preserve"> </w:t>
      </w:r>
      <w:r w:rsidRPr="009F2DD9">
        <w:rPr>
          <w:lang w:val="en-US"/>
        </w:rPr>
        <w:t xml:space="preserve">(2015), 19 </w:t>
      </w:r>
      <w:r w:rsidRPr="009F2DD9">
        <w:rPr>
          <w:i/>
          <w:lang w:val="en-US"/>
        </w:rPr>
        <w:t>R. études const.</w:t>
      </w:r>
      <w:r w:rsidRPr="009F2DD9">
        <w:rPr>
          <w:lang w:val="en-US"/>
        </w:rPr>
        <w:t xml:space="preserve"> 191.</w:t>
      </w:r>
    </w:p>
    <w:p w14:paraId="2A72BC34" w14:textId="29D438E7" w:rsidR="00E613F6" w:rsidRDefault="00E613F6" w:rsidP="0009382E">
      <w:pPr>
        <w:pStyle w:val="SCCNormalDoubleSpacing"/>
        <w:spacing w:after="240" w:line="240" w:lineRule="auto"/>
        <w:ind w:left="540" w:hanging="540"/>
        <w:rPr>
          <w:lang w:val="en-US"/>
        </w:rPr>
      </w:pPr>
      <w:r w:rsidRPr="009E628D">
        <w:rPr>
          <w:lang w:val="en-US"/>
        </w:rPr>
        <w:t>Watson Hamilton</w:t>
      </w:r>
      <w:r>
        <w:rPr>
          <w:lang w:val="en-US"/>
        </w:rPr>
        <w:t>,</w:t>
      </w:r>
      <w:r w:rsidRPr="009E628D">
        <w:rPr>
          <w:lang w:val="en-US"/>
        </w:rPr>
        <w:t xml:space="preserve"> Jonnette</w:t>
      </w:r>
      <w:r>
        <w:rPr>
          <w:lang w:val="en-US"/>
        </w:rPr>
        <w:t>,</w:t>
      </w:r>
      <w:r w:rsidRPr="009E628D">
        <w:rPr>
          <w:lang w:val="en-US"/>
        </w:rPr>
        <w:t xml:space="preserve"> </w:t>
      </w:r>
      <w:r>
        <w:rPr>
          <w:lang w:val="en-US"/>
        </w:rPr>
        <w:t xml:space="preserve">and Jennifer Koshan. </w:t>
      </w:r>
      <w:r w:rsidRPr="009F2DD9">
        <w:rPr>
          <w:lang w:val="en-US"/>
        </w:rPr>
        <w:t>« </w:t>
      </w:r>
      <w:r w:rsidRPr="009E628D">
        <w:rPr>
          <w:lang w:val="en-US"/>
        </w:rPr>
        <w:t>Equality Rights and Pay Equity</w:t>
      </w:r>
      <w:r w:rsidR="002167F7">
        <w:rPr>
          <w:lang w:val="en-US"/>
        </w:rPr>
        <w:t> :</w:t>
      </w:r>
      <w:r w:rsidRPr="009E628D">
        <w:rPr>
          <w:lang w:val="en-US"/>
        </w:rPr>
        <w:t xml:space="preserve"> </w:t>
      </w:r>
      <w:r w:rsidR="00896F3E" w:rsidRPr="00896F3E">
        <w:rPr>
          <w:lang w:val="x-none"/>
        </w:rPr>
        <w:t>Déjà</w:t>
      </w:r>
      <w:r w:rsidRPr="00896F3E">
        <w:rPr>
          <w:lang w:val="x-none"/>
        </w:rPr>
        <w:t xml:space="preserve"> Vu in</w:t>
      </w:r>
      <w:r w:rsidRPr="009E628D">
        <w:rPr>
          <w:lang w:val="x-none"/>
        </w:rPr>
        <w:t xml:space="preserve"> the</w:t>
      </w:r>
      <w:r w:rsidRPr="009E628D">
        <w:rPr>
          <w:lang w:val="en-US"/>
        </w:rPr>
        <w:t xml:space="preserve"> </w:t>
      </w:r>
      <w:r w:rsidRPr="009E628D">
        <w:rPr>
          <w:lang w:val="x-none"/>
        </w:rPr>
        <w:t>Supreme Court of Canada</w:t>
      </w:r>
      <w:r w:rsidRPr="009F2DD9">
        <w:rPr>
          <w:lang w:val="en-US"/>
        </w:rPr>
        <w:t> »</w:t>
      </w:r>
      <w:r w:rsidRPr="009E628D">
        <w:rPr>
          <w:lang w:val="en-US"/>
        </w:rPr>
        <w:t xml:space="preserve"> (201</w:t>
      </w:r>
      <w:r>
        <w:rPr>
          <w:lang w:val="en-US"/>
        </w:rPr>
        <w:t>9</w:t>
      </w:r>
      <w:r w:rsidRPr="009E628D">
        <w:rPr>
          <w:lang w:val="en-US"/>
        </w:rPr>
        <w:t xml:space="preserve">), 15 </w:t>
      </w:r>
      <w:r w:rsidRPr="009E628D">
        <w:rPr>
          <w:i/>
        </w:rPr>
        <w:t xml:space="preserve">J.L. &amp; </w:t>
      </w:r>
      <w:r>
        <w:rPr>
          <w:i/>
        </w:rPr>
        <w:t>Equality</w:t>
      </w:r>
      <w:r w:rsidRPr="009E628D">
        <w:t xml:space="preserve"> </w:t>
      </w:r>
      <w:r w:rsidRPr="009E628D">
        <w:rPr>
          <w:lang w:val="en-US"/>
        </w:rPr>
        <w:t>1</w:t>
      </w:r>
      <w:r>
        <w:rPr>
          <w:lang w:val="en-US"/>
        </w:rPr>
        <w:t>.</w:t>
      </w:r>
    </w:p>
    <w:p w14:paraId="5D2B0889" w14:textId="3CC4EC50" w:rsidR="00E02780" w:rsidRPr="009232C6" w:rsidRDefault="00197F46" w:rsidP="0009382E">
      <w:pPr>
        <w:pStyle w:val="SCCNormalDoubleSpacing"/>
        <w:spacing w:after="240" w:line="240" w:lineRule="auto"/>
        <w:ind w:left="540" w:hanging="540"/>
        <w:rPr>
          <w:lang w:val="en-US"/>
        </w:rPr>
      </w:pPr>
      <w:r w:rsidRPr="009F2DD9">
        <w:rPr>
          <w:lang w:val="en-US"/>
        </w:rPr>
        <w:t>Watson Hamilton, Jonnette, and Jennifer Koshan. « </w:t>
      </w:r>
      <w:r w:rsidRPr="009F2DD9">
        <w:rPr>
          <w:i/>
          <w:lang w:val="en-US"/>
        </w:rPr>
        <w:t>Kahkewistahaw First Nation v. Taypotat</w:t>
      </w:r>
      <w:r w:rsidR="002167F7">
        <w:rPr>
          <w:lang w:val="en-US"/>
        </w:rPr>
        <w:t> :</w:t>
      </w:r>
      <w:r w:rsidRPr="009F2DD9">
        <w:rPr>
          <w:i/>
          <w:lang w:val="en-US"/>
        </w:rPr>
        <w:t xml:space="preserve"> </w:t>
      </w:r>
      <w:r w:rsidRPr="009F2DD9">
        <w:rPr>
          <w:lang w:val="en-US"/>
        </w:rPr>
        <w:t>An Arbitrary Approach to Discrimination »</w:t>
      </w:r>
      <w:r w:rsidRPr="009F2DD9">
        <w:rPr>
          <w:i/>
          <w:lang w:val="en-US"/>
        </w:rPr>
        <w:t xml:space="preserve"> </w:t>
      </w:r>
      <w:r w:rsidRPr="009F2DD9">
        <w:rPr>
          <w:lang w:val="en-US"/>
        </w:rPr>
        <w:t xml:space="preserve">(2016), 76 </w:t>
      </w:r>
      <w:r w:rsidRPr="009F2DD9">
        <w:rPr>
          <w:i/>
          <w:lang w:val="en-US"/>
        </w:rPr>
        <w:t>S.C.L.R.</w:t>
      </w:r>
      <w:r w:rsidRPr="009F2DD9">
        <w:rPr>
          <w:lang w:val="en-US"/>
        </w:rPr>
        <w:t xml:space="preserve"> (2d) 243.</w:t>
      </w:r>
    </w:p>
    <w:p w14:paraId="48D51D9E" w14:textId="0E3C09BB" w:rsidR="002A320A" w:rsidRPr="002A320A" w:rsidRDefault="002A320A" w:rsidP="0009382E">
      <w:pPr>
        <w:pStyle w:val="SCCNormalDoubleSpacing"/>
        <w:spacing w:after="240" w:line="240" w:lineRule="auto"/>
        <w:ind w:left="540" w:hanging="540"/>
      </w:pPr>
      <w:r>
        <w:t xml:space="preserve">Young, Claire. </w:t>
      </w:r>
      <w:r w:rsidRPr="002A320A">
        <w:rPr>
          <w:lang w:val="en-US"/>
        </w:rPr>
        <w:t>« </w:t>
      </w:r>
      <w:r w:rsidRPr="009E628D">
        <w:rPr>
          <w:lang w:val="en-US"/>
        </w:rPr>
        <w:t>Pensions, Privatization</w:t>
      </w:r>
      <w:r>
        <w:rPr>
          <w:lang w:val="en-US"/>
        </w:rPr>
        <w:t>,</w:t>
      </w:r>
      <w:r w:rsidRPr="009E628D">
        <w:rPr>
          <w:lang w:val="en-US"/>
        </w:rPr>
        <w:t xml:space="preserve"> and Poverty</w:t>
      </w:r>
      <w:r w:rsidR="002167F7">
        <w:rPr>
          <w:lang w:val="en-US"/>
        </w:rPr>
        <w:t> :</w:t>
      </w:r>
      <w:r w:rsidRPr="009E628D">
        <w:rPr>
          <w:lang w:val="en-US"/>
        </w:rPr>
        <w:t xml:space="preserve"> The Gendered Impact</w:t>
      </w:r>
      <w:r w:rsidRPr="002A320A">
        <w:rPr>
          <w:lang w:val="en-US"/>
        </w:rPr>
        <w:t> »</w:t>
      </w:r>
      <w:r w:rsidRPr="009E628D">
        <w:rPr>
          <w:lang w:val="en-US"/>
        </w:rPr>
        <w:t xml:space="preserve"> (2011), 23 </w:t>
      </w:r>
      <w:r>
        <w:rPr>
          <w:i/>
          <w:lang w:val="en-US"/>
        </w:rPr>
        <w:t>R.F.D.</w:t>
      </w:r>
      <w:r w:rsidRPr="009E628D">
        <w:rPr>
          <w:lang w:val="en-US"/>
        </w:rPr>
        <w:t xml:space="preserve"> 661</w:t>
      </w:r>
      <w:r>
        <w:rPr>
          <w:lang w:val="en-US"/>
        </w:rPr>
        <w:t>.</w:t>
      </w:r>
    </w:p>
    <w:p w14:paraId="02D40F35" w14:textId="18E307D2" w:rsidR="00B51738" w:rsidRPr="009F2DD9" w:rsidRDefault="00B51738" w:rsidP="0009382E">
      <w:pPr>
        <w:pStyle w:val="SCCNormalDoubleSpacing"/>
        <w:spacing w:after="240" w:line="240" w:lineRule="auto"/>
        <w:ind w:left="540" w:hanging="540"/>
        <w:rPr>
          <w:lang w:val="en-US"/>
        </w:rPr>
      </w:pPr>
      <w:r w:rsidRPr="009F2DD9">
        <w:rPr>
          <w:lang w:val="en-US"/>
        </w:rPr>
        <w:t>Young, Margot.</w:t>
      </w:r>
      <w:r w:rsidRPr="009F2DD9">
        <w:rPr>
          <w:szCs w:val="24"/>
          <w:lang w:val="en-US" w:bidi="en-US"/>
        </w:rPr>
        <w:t xml:space="preserve"> </w:t>
      </w:r>
      <w:r w:rsidRPr="009F2DD9">
        <w:rPr>
          <w:lang w:val="en-US"/>
        </w:rPr>
        <w:t>« Blissed Out</w:t>
      </w:r>
      <w:r w:rsidR="002167F7">
        <w:rPr>
          <w:lang w:val="en-US"/>
        </w:rPr>
        <w:t> :</w:t>
      </w:r>
      <w:r w:rsidRPr="009F2DD9">
        <w:rPr>
          <w:lang w:val="en-US"/>
        </w:rPr>
        <w:t xml:space="preserve"> Section 15 at Twenty », in Sheila McIntyre and Sanda Rodgers, eds., </w:t>
      </w:r>
      <w:r w:rsidRPr="009F2DD9">
        <w:rPr>
          <w:i/>
          <w:lang w:val="en-US"/>
        </w:rPr>
        <w:t>Diminishing Returns</w:t>
      </w:r>
      <w:r w:rsidR="002167F7">
        <w:rPr>
          <w:lang w:val="en-US"/>
        </w:rPr>
        <w:t> </w:t>
      </w:r>
      <w:r w:rsidR="002167F7" w:rsidRPr="0048698D">
        <w:rPr>
          <w:i/>
          <w:lang w:val="en-US"/>
        </w:rPr>
        <w:t>:</w:t>
      </w:r>
      <w:r w:rsidRPr="009F2DD9">
        <w:rPr>
          <w:i/>
          <w:lang w:val="en-US"/>
        </w:rPr>
        <w:t xml:space="preserve"> Inequality and the Canadian Charter of Rights and Freedoms</w:t>
      </w:r>
      <w:r w:rsidRPr="009F2DD9">
        <w:rPr>
          <w:lang w:val="en-US"/>
        </w:rPr>
        <w:t xml:space="preserve">, </w:t>
      </w:r>
      <w:r w:rsidRPr="009F2DD9">
        <w:rPr>
          <w:szCs w:val="24"/>
          <w:lang w:val="en-US"/>
        </w:rPr>
        <w:t>Markham (Ont.), LexisNexis, 2006, 45.</w:t>
      </w:r>
    </w:p>
    <w:p w14:paraId="04B2EE8C" w14:textId="68BB4699" w:rsidR="001D2754" w:rsidRPr="00591349" w:rsidRDefault="00FA1EDA" w:rsidP="0009382E">
      <w:pPr>
        <w:pStyle w:val="SCCNormalDoubleSpacing"/>
        <w:spacing w:after="240" w:line="240" w:lineRule="auto"/>
        <w:ind w:left="540" w:hanging="540"/>
      </w:pPr>
      <w:r w:rsidRPr="001D2754">
        <w:rPr>
          <w:szCs w:val="24"/>
          <w:lang w:val="en-US" w:bidi="en-US"/>
        </w:rPr>
        <w:t xml:space="preserve">Young, Margot. </w:t>
      </w:r>
      <w:r w:rsidRPr="001D2754">
        <w:rPr>
          <w:lang w:val="en-US"/>
        </w:rPr>
        <w:t>« </w:t>
      </w:r>
      <w:r w:rsidRPr="001D2754">
        <w:rPr>
          <w:szCs w:val="24"/>
          <w:lang w:val="en-US" w:bidi="en-US"/>
        </w:rPr>
        <w:t>Unequal to the Task</w:t>
      </w:r>
      <w:r w:rsidR="002167F7">
        <w:rPr>
          <w:lang w:val="en-US"/>
        </w:rPr>
        <w:t> :</w:t>
      </w:r>
      <w:r w:rsidRPr="001D2754">
        <w:rPr>
          <w:szCs w:val="24"/>
          <w:lang w:val="en-US" w:bidi="en-US"/>
        </w:rPr>
        <w:t xml:space="preserve"> “Kapp”ing the Substantive Potential of Section 15</w:t>
      </w:r>
      <w:r w:rsidRPr="001D2754">
        <w:rPr>
          <w:lang w:val="en-US"/>
        </w:rPr>
        <w:t> »</w:t>
      </w:r>
      <w:r w:rsidR="001D2754" w:rsidRPr="001D2754">
        <w:rPr>
          <w:szCs w:val="24"/>
          <w:lang w:val="en-US" w:bidi="en-US"/>
        </w:rPr>
        <w:t xml:space="preserve"> </w:t>
      </w:r>
      <w:r w:rsidR="001D2754" w:rsidRPr="001D2754">
        <w:rPr>
          <w:lang w:val="en-US"/>
        </w:rPr>
        <w:t>(</w:t>
      </w:r>
      <w:r w:rsidR="001D2754" w:rsidRPr="001D2754">
        <w:t xml:space="preserve">2010), 50 </w:t>
      </w:r>
      <w:r w:rsidR="001D2754" w:rsidRPr="001D2754">
        <w:rPr>
          <w:i/>
        </w:rPr>
        <w:t>S.C.L.R.</w:t>
      </w:r>
      <w:r w:rsidR="001D2754" w:rsidRPr="001D2754">
        <w:t xml:space="preserve"> (2d) 183.</w:t>
      </w:r>
    </w:p>
    <w:p w14:paraId="27282628" w14:textId="7F04FA67" w:rsidR="001D53E6" w:rsidRPr="00E73348" w:rsidRDefault="001D53E6" w:rsidP="0009382E">
      <w:pPr>
        <w:pStyle w:val="SCCNormalDoubleSpacing"/>
        <w:spacing w:after="720" w:line="240" w:lineRule="auto"/>
        <w:ind w:left="540" w:hanging="540"/>
      </w:pPr>
      <w:r>
        <w:t xml:space="preserve">Yowell, Paul. </w:t>
      </w:r>
      <w:r w:rsidRPr="00BC45FB">
        <w:rPr>
          <w:i/>
        </w:rPr>
        <w:t>Constitutional Rights and Constitutional Design</w:t>
      </w:r>
      <w:r w:rsidR="002167F7">
        <w:rPr>
          <w:lang w:val="en-US"/>
        </w:rPr>
        <w:t> </w:t>
      </w:r>
      <w:r w:rsidR="002167F7" w:rsidRPr="0048698D">
        <w:rPr>
          <w:i/>
          <w:lang w:val="en-US"/>
        </w:rPr>
        <w:t>:</w:t>
      </w:r>
      <w:r w:rsidRPr="00BC45FB">
        <w:rPr>
          <w:i/>
        </w:rPr>
        <w:t xml:space="preserve"> Moral and Empirical Reasoning in Judicial Review</w:t>
      </w:r>
      <w:r>
        <w:t xml:space="preserve">, </w:t>
      </w:r>
      <w:r w:rsidRPr="009F2DD9">
        <w:rPr>
          <w:rStyle w:val="solexhl"/>
          <w:rFonts w:eastAsiaTheme="majorEastAsia"/>
          <w:color w:val="000000"/>
          <w:lang w:val="en-US"/>
        </w:rPr>
        <w:t>Portland</w:t>
      </w:r>
      <w:r w:rsidRPr="009F2DD9">
        <w:rPr>
          <w:color w:val="000000"/>
          <w:lang w:val="en-US"/>
        </w:rPr>
        <w:t xml:space="preserve"> (Or.), Hart Publishing, 2018</w:t>
      </w:r>
      <w:r>
        <w:rPr>
          <w:color w:val="000000"/>
          <w:lang w:val="en-US"/>
        </w:rPr>
        <w:t>.</w:t>
      </w:r>
    </w:p>
    <w:p w14:paraId="026C0B9A" w14:textId="2B2D1BA6" w:rsidR="004D7D95" w:rsidRPr="00593AA6" w:rsidRDefault="001D2972" w:rsidP="0009382E">
      <w:pPr>
        <w:pStyle w:val="SCCNormalDoubleSpacing"/>
        <w:spacing w:after="480"/>
        <w:rPr>
          <w:lang w:val="fr-CA"/>
        </w:rPr>
      </w:pPr>
      <w:r w:rsidRPr="009F2DD9">
        <w:rPr>
          <w:lang w:val="en-US"/>
        </w:rPr>
        <w:tab/>
      </w:r>
      <w:r w:rsidR="004D7D95" w:rsidRPr="00DB78AE">
        <w:rPr>
          <w:lang w:val="en-US"/>
        </w:rPr>
        <w:t>POURVOI contre un arrêt de la Cour d</w:t>
      </w:r>
      <w:r w:rsidR="00546EA0" w:rsidRPr="00DB78AE">
        <w:rPr>
          <w:lang w:val="en-US"/>
        </w:rPr>
        <w:t>’</w:t>
      </w:r>
      <w:r w:rsidR="004D7D95" w:rsidRPr="00DB78AE">
        <w:rPr>
          <w:lang w:val="en-US"/>
        </w:rPr>
        <w:t>appel fédérale</w:t>
      </w:r>
      <w:r w:rsidRPr="00DB78AE">
        <w:rPr>
          <w:lang w:val="en-US"/>
        </w:rPr>
        <w:t xml:space="preserve"> (les juges Gau</w:t>
      </w:r>
      <w:r w:rsidR="00DB78AE" w:rsidRPr="00DB78AE">
        <w:rPr>
          <w:lang w:val="en-US"/>
        </w:rPr>
        <w:t xml:space="preserve">thier, Gleason et Woods), 2018 </w:t>
      </w:r>
      <w:r w:rsidRPr="00DB78AE">
        <w:rPr>
          <w:lang w:val="en-US"/>
        </w:rPr>
        <w:t>CA</w:t>
      </w:r>
      <w:r w:rsidR="00DB78AE" w:rsidRPr="00DB78AE">
        <w:rPr>
          <w:lang w:val="en-US"/>
        </w:rPr>
        <w:t>F</w:t>
      </w:r>
      <w:r w:rsidRPr="00DB78AE">
        <w:rPr>
          <w:lang w:val="en-US"/>
        </w:rPr>
        <w:t xml:space="preserve"> 223, </w:t>
      </w:r>
      <w:r w:rsidR="00DB78AE" w:rsidRPr="00DB78AE">
        <w:rPr>
          <w:lang w:val="en-US"/>
        </w:rPr>
        <w:t xml:space="preserve">[2019] 2 R.C.F. 541, </w:t>
      </w:r>
      <w:r w:rsidRPr="00DB78AE">
        <w:rPr>
          <w:lang w:val="en-US"/>
        </w:rPr>
        <w:t xml:space="preserve">426 C.R.R. (2d) 190, 44 </w:t>
      </w:r>
      <w:r w:rsidRPr="00DB78AE">
        <w:rPr>
          <w:lang w:val="en-US"/>
        </w:rPr>
        <w:lastRenderedPageBreak/>
        <w:t>C.C.P.B. (2</w:t>
      </w:r>
      <w:r w:rsidR="00DB78AE" w:rsidRPr="00DB78AE">
        <w:rPr>
          <w:lang w:val="en-US"/>
        </w:rPr>
        <w:t>n</w:t>
      </w:r>
      <w:r w:rsidRPr="00DB78AE">
        <w:rPr>
          <w:lang w:val="en-US"/>
        </w:rPr>
        <w:t xml:space="preserve">d) 167, 2019 CLLC </w:t>
      </w:r>
      <w:r w:rsidR="00DB78AE" w:rsidRPr="00DB78AE">
        <w:rPr>
          <w:lang w:val="en-US"/>
        </w:rPr>
        <w:t>¶</w:t>
      </w:r>
      <w:r w:rsidRPr="00DB78AE">
        <w:rPr>
          <w:lang w:val="en-US"/>
        </w:rPr>
        <w:t>230</w:t>
      </w:r>
      <w:r w:rsidR="002167F7" w:rsidRPr="00DB78AE">
        <w:rPr>
          <w:lang w:val="en-US"/>
        </w:rPr>
        <w:noBreakHyphen/>
      </w:r>
      <w:r w:rsidR="00DB78AE" w:rsidRPr="00DB78AE">
        <w:rPr>
          <w:lang w:val="en-US"/>
        </w:rPr>
        <w:t>018, [2018] A.C.F</w:t>
      </w:r>
      <w:r w:rsidRPr="00DB78AE">
        <w:rPr>
          <w:lang w:val="en-US"/>
        </w:rPr>
        <w:t xml:space="preserve">. </w:t>
      </w:r>
      <w:r w:rsidR="00DB78AE">
        <w:rPr>
          <w:color w:val="000000"/>
        </w:rPr>
        <w:t>n</w:t>
      </w:r>
      <w:r w:rsidR="00DB78AE">
        <w:rPr>
          <w:color w:val="000000"/>
          <w:vertAlign w:val="superscript"/>
        </w:rPr>
        <w:t>o</w:t>
      </w:r>
      <w:r w:rsidR="00DB78AE">
        <w:rPr>
          <w:color w:val="000000"/>
        </w:rPr>
        <w:t> </w:t>
      </w:r>
      <w:r w:rsidRPr="00DB78AE">
        <w:rPr>
          <w:lang w:val="en-US"/>
        </w:rPr>
        <w:t xml:space="preserve">1228 (QL), 2018 CarswellNat 7614 (WL Can.), qui a </w:t>
      </w:r>
      <w:r w:rsidRPr="00DB2A82">
        <w:rPr>
          <w:lang w:val="en-US"/>
        </w:rPr>
        <w:t xml:space="preserve">confirmé une décision de la juge Kane, 2017 CF 557, [2017] F.C.J. </w:t>
      </w:r>
      <w:r w:rsidR="002167F7" w:rsidRPr="00DB2A82">
        <w:rPr>
          <w:lang w:val="en-US"/>
        </w:rPr>
        <w:t>No. </w:t>
      </w:r>
      <w:r w:rsidRPr="00DB2A82">
        <w:rPr>
          <w:lang w:val="en-US"/>
        </w:rPr>
        <w:t>609</w:t>
      </w:r>
      <w:r w:rsidR="00DB78AE" w:rsidRPr="00DB2A82">
        <w:rPr>
          <w:lang w:val="en-US"/>
        </w:rPr>
        <w:t xml:space="preserve"> (QL)</w:t>
      </w:r>
      <w:r w:rsidRPr="00DB2A82">
        <w:rPr>
          <w:lang w:val="en-US"/>
        </w:rPr>
        <w:t xml:space="preserve">, 2017 CarswellNat 2727 (WL Can.). </w:t>
      </w:r>
      <w:r w:rsidRPr="00DB2A82">
        <w:rPr>
          <w:lang w:val="fr-CA"/>
        </w:rPr>
        <w:t>Pourvoi</w:t>
      </w:r>
      <w:r w:rsidR="00DB78AE" w:rsidRPr="00DB2A82">
        <w:rPr>
          <w:lang w:val="fr-CA"/>
        </w:rPr>
        <w:t xml:space="preserve"> accueilli, les juges Côté, Brown et Rowe sont dissidents.</w:t>
      </w:r>
    </w:p>
    <w:p w14:paraId="2515E05F" w14:textId="77777777" w:rsidR="00556CFA" w:rsidRPr="00593AA6" w:rsidRDefault="00CA08B5" w:rsidP="0009382E">
      <w:pPr>
        <w:pStyle w:val="SCCNormalDoubleSpacing"/>
        <w:spacing w:after="480"/>
        <w:rPr>
          <w:lang w:val="fr-CA"/>
        </w:rPr>
      </w:pPr>
      <w:r w:rsidRPr="00593AA6">
        <w:rPr>
          <w:rStyle w:val="SCCCounselNameChar"/>
          <w:lang w:val="fr-CA"/>
        </w:rPr>
        <w:tab/>
        <w:t>Paul Champ</w:t>
      </w:r>
      <w:r w:rsidRPr="00593AA6">
        <w:rPr>
          <w:rStyle w:val="SCCCounselSeparatorChar"/>
          <w:lang w:val="fr-CA"/>
        </w:rPr>
        <w:t xml:space="preserve"> et </w:t>
      </w:r>
      <w:r w:rsidRPr="00593AA6">
        <w:rPr>
          <w:rStyle w:val="SCCCounselNameChar"/>
          <w:lang w:val="fr-CA"/>
        </w:rPr>
        <w:t>Bijon Roy</w:t>
      </w:r>
      <w:r w:rsidRPr="00593AA6">
        <w:rPr>
          <w:rStyle w:val="SCCCounselPartyRoleChar"/>
          <w:lang w:val="fr-CA"/>
        </w:rPr>
        <w:t>, pour les appelantes.</w:t>
      </w:r>
    </w:p>
    <w:p w14:paraId="58864CA8" w14:textId="0B9AE985" w:rsidR="00556CFA" w:rsidRPr="00593AA6" w:rsidRDefault="00E609AB" w:rsidP="0009382E">
      <w:pPr>
        <w:pStyle w:val="SCCNormalDoubleSpacing"/>
        <w:spacing w:after="480"/>
        <w:rPr>
          <w:lang w:val="fr-CA"/>
        </w:rPr>
      </w:pPr>
      <w:r>
        <w:rPr>
          <w:rStyle w:val="SCCCounselNameChar"/>
          <w:lang w:val="fr-CA"/>
        </w:rPr>
        <w:tab/>
        <w:t>Christopher </w:t>
      </w:r>
      <w:r w:rsidR="00CA08B5" w:rsidRPr="00593AA6">
        <w:rPr>
          <w:rStyle w:val="SCCCounselNameChar"/>
          <w:lang w:val="fr-CA"/>
        </w:rPr>
        <w:t>M. Rupar</w:t>
      </w:r>
      <w:r w:rsidR="00CA08B5" w:rsidRPr="00593AA6">
        <w:rPr>
          <w:rStyle w:val="SCCCounselSeparatorChar"/>
          <w:lang w:val="fr-CA"/>
        </w:rPr>
        <w:t xml:space="preserve">, </w:t>
      </w:r>
      <w:r w:rsidR="00CA08B5" w:rsidRPr="00593AA6">
        <w:rPr>
          <w:rStyle w:val="SCCCounselNameChar"/>
          <w:lang w:val="fr-CA"/>
        </w:rPr>
        <w:t xml:space="preserve">Zoe Oxaal </w:t>
      </w:r>
      <w:r w:rsidR="00CA08B5" w:rsidRPr="00593AA6">
        <w:rPr>
          <w:rStyle w:val="SCCCounselSeparatorChar"/>
          <w:lang w:val="fr-CA"/>
        </w:rPr>
        <w:t>et</w:t>
      </w:r>
      <w:r w:rsidR="00CA08B5" w:rsidRPr="00593AA6">
        <w:rPr>
          <w:rStyle w:val="SCCCounselNameChar"/>
          <w:lang w:val="fr-CA"/>
        </w:rPr>
        <w:t xml:space="preserve"> Gregory Tzemenakis</w:t>
      </w:r>
      <w:r w:rsidR="00CA08B5" w:rsidRPr="00593AA6">
        <w:rPr>
          <w:rStyle w:val="SCCCounselPartyRoleChar"/>
          <w:lang w:val="fr-CA"/>
        </w:rPr>
        <w:t>, pour l</w:t>
      </w:r>
      <w:r w:rsidR="00546EA0" w:rsidRPr="00593AA6">
        <w:rPr>
          <w:rStyle w:val="SCCCounselPartyRoleChar"/>
          <w:lang w:val="fr-CA"/>
        </w:rPr>
        <w:t>’</w:t>
      </w:r>
      <w:r w:rsidR="00CA08B5" w:rsidRPr="00593AA6">
        <w:rPr>
          <w:rStyle w:val="SCCCounselPartyRoleChar"/>
          <w:lang w:val="fr-CA"/>
        </w:rPr>
        <w:t>intimé.</w:t>
      </w:r>
    </w:p>
    <w:p w14:paraId="7BCB9003" w14:textId="2AE59C7D" w:rsidR="00556CFA" w:rsidRPr="00593AA6" w:rsidRDefault="00E609AB" w:rsidP="0009382E">
      <w:pPr>
        <w:pStyle w:val="SCCNormalDoubleSpacing"/>
        <w:spacing w:after="480"/>
        <w:rPr>
          <w:lang w:val="fr-CA"/>
        </w:rPr>
      </w:pPr>
      <w:r>
        <w:rPr>
          <w:rStyle w:val="SCCCounselNameChar"/>
          <w:lang w:val="fr-CA"/>
        </w:rPr>
        <w:tab/>
        <w:t>Rochelle </w:t>
      </w:r>
      <w:r w:rsidR="00CA08B5" w:rsidRPr="00593AA6">
        <w:rPr>
          <w:rStyle w:val="SCCCounselNameChar"/>
          <w:lang w:val="fr-CA"/>
        </w:rPr>
        <w:t>S. Fox</w:t>
      </w:r>
      <w:r w:rsidR="00CA08B5" w:rsidRPr="00593AA6">
        <w:rPr>
          <w:rStyle w:val="SCCCounselSeparatorChar"/>
          <w:lang w:val="fr-CA"/>
        </w:rPr>
        <w:t xml:space="preserve"> et </w:t>
      </w:r>
      <w:r w:rsidR="00CA08B5" w:rsidRPr="00593AA6">
        <w:rPr>
          <w:rStyle w:val="SCCCounselNameChar"/>
          <w:lang w:val="fr-CA"/>
        </w:rPr>
        <w:t>Yashoda Ranganathan</w:t>
      </w:r>
      <w:r w:rsidR="00CA08B5" w:rsidRPr="00593AA6">
        <w:rPr>
          <w:rStyle w:val="SCCCounselPartyRoleChar"/>
          <w:lang w:val="fr-CA"/>
        </w:rPr>
        <w:t>, pour l</w:t>
      </w:r>
      <w:r w:rsidR="00546EA0" w:rsidRPr="00593AA6">
        <w:rPr>
          <w:rStyle w:val="SCCCounselPartyRoleChar"/>
          <w:lang w:val="fr-CA"/>
        </w:rPr>
        <w:t>’</w:t>
      </w:r>
      <w:r w:rsidR="009232C6">
        <w:rPr>
          <w:rStyle w:val="SCCCounselPartyRoleChar"/>
          <w:lang w:val="fr-CA"/>
        </w:rPr>
        <w:t>intervenant le procureur général</w:t>
      </w:r>
      <w:r w:rsidR="00CA08B5" w:rsidRPr="00593AA6">
        <w:rPr>
          <w:rStyle w:val="SCCCounselPartyRoleChar"/>
          <w:lang w:val="fr-CA"/>
        </w:rPr>
        <w:t xml:space="preserve"> de l</w:t>
      </w:r>
      <w:r w:rsidR="00546EA0" w:rsidRPr="00593AA6">
        <w:rPr>
          <w:rStyle w:val="SCCCounselPartyRoleChar"/>
          <w:lang w:val="fr-CA"/>
        </w:rPr>
        <w:t>’</w:t>
      </w:r>
      <w:r w:rsidR="00CA08B5" w:rsidRPr="00593AA6">
        <w:rPr>
          <w:rStyle w:val="SCCCounselPartyRoleChar"/>
          <w:lang w:val="fr-CA"/>
        </w:rPr>
        <w:t>Ontario.</w:t>
      </w:r>
    </w:p>
    <w:p w14:paraId="59704E95" w14:textId="29B0DE4E" w:rsidR="00556CFA" w:rsidRPr="00593AA6" w:rsidRDefault="00CA08B5" w:rsidP="0009382E">
      <w:pPr>
        <w:pStyle w:val="SCCNormalDoubleSpacing"/>
        <w:spacing w:after="480"/>
        <w:rPr>
          <w:lang w:val="fr-CA"/>
        </w:rPr>
      </w:pPr>
      <w:r w:rsidRPr="00593AA6">
        <w:rPr>
          <w:rStyle w:val="SCCCounselNameChar"/>
          <w:lang w:val="fr-CA"/>
        </w:rPr>
        <w:tab/>
        <w:t>Amélie Pelletier Desrosiers</w:t>
      </w:r>
      <w:r w:rsidRPr="00593AA6">
        <w:rPr>
          <w:rStyle w:val="SCCCounselSeparatorChar"/>
          <w:lang w:val="fr-CA"/>
        </w:rPr>
        <w:t xml:space="preserve"> et </w:t>
      </w:r>
      <w:r w:rsidRPr="00593AA6">
        <w:rPr>
          <w:rStyle w:val="SCCCounselNameChar"/>
          <w:lang w:val="fr-CA"/>
        </w:rPr>
        <w:t>Catheryne Bélanger</w:t>
      </w:r>
      <w:r w:rsidRPr="00593AA6">
        <w:rPr>
          <w:rStyle w:val="SCCCounselPartyRoleChar"/>
          <w:lang w:val="fr-CA"/>
        </w:rPr>
        <w:t>, pour l</w:t>
      </w:r>
      <w:r w:rsidR="00546EA0" w:rsidRPr="00593AA6">
        <w:rPr>
          <w:rStyle w:val="SCCCounselPartyRoleChar"/>
          <w:lang w:val="fr-CA"/>
        </w:rPr>
        <w:t>’</w:t>
      </w:r>
      <w:r w:rsidR="00005B50">
        <w:rPr>
          <w:rStyle w:val="SCCCounselPartyRoleChar"/>
          <w:lang w:val="fr-CA"/>
        </w:rPr>
        <w:t>intervenante la p</w:t>
      </w:r>
      <w:r w:rsidRPr="00593AA6">
        <w:rPr>
          <w:rStyle w:val="SCCCounselPartyRoleChar"/>
          <w:lang w:val="fr-CA"/>
        </w:rPr>
        <w:t>rocureure générale du Québec.</w:t>
      </w:r>
    </w:p>
    <w:p w14:paraId="057BA67C" w14:textId="3FEED182" w:rsidR="00556CFA" w:rsidRPr="00593AA6" w:rsidRDefault="00CA08B5" w:rsidP="0009382E">
      <w:pPr>
        <w:pStyle w:val="SCCNormalDoubleSpacing"/>
        <w:spacing w:after="480"/>
        <w:rPr>
          <w:lang w:val="fr-CA"/>
        </w:rPr>
      </w:pPr>
      <w:r w:rsidRPr="00593AA6">
        <w:rPr>
          <w:rStyle w:val="SCCCounselNameChar"/>
          <w:lang w:val="fr-CA"/>
        </w:rPr>
        <w:tab/>
        <w:t>Danielle Bisnar</w:t>
      </w:r>
      <w:r w:rsidRPr="00593AA6">
        <w:rPr>
          <w:rStyle w:val="SCCCounselSeparatorChar"/>
          <w:lang w:val="fr-CA"/>
        </w:rPr>
        <w:t xml:space="preserve">, </w:t>
      </w:r>
      <w:r w:rsidR="00796CE1">
        <w:rPr>
          <w:rStyle w:val="SCCCounselNameChar"/>
          <w:lang w:val="fr-CA"/>
        </w:rPr>
        <w:t>Kate</w:t>
      </w:r>
      <w:r w:rsidRPr="00593AA6">
        <w:rPr>
          <w:rStyle w:val="SCCCounselNameChar"/>
          <w:lang w:val="fr-CA"/>
        </w:rPr>
        <w:t xml:space="preserve"> Hughes </w:t>
      </w:r>
      <w:r w:rsidRPr="00593AA6">
        <w:rPr>
          <w:rStyle w:val="SCCCounselSeparatorChar"/>
          <w:lang w:val="fr-CA"/>
        </w:rPr>
        <w:t xml:space="preserve">et </w:t>
      </w:r>
      <w:r w:rsidRPr="00593AA6">
        <w:rPr>
          <w:rStyle w:val="SCCCounselNameChar"/>
          <w:lang w:val="fr-CA"/>
        </w:rPr>
        <w:t>Janet Borowy</w:t>
      </w:r>
      <w:r w:rsidRPr="00593AA6">
        <w:rPr>
          <w:rStyle w:val="SCCCounselPartyRoleChar"/>
          <w:lang w:val="fr-CA"/>
        </w:rPr>
        <w:t>, pour l</w:t>
      </w:r>
      <w:r w:rsidR="00546EA0" w:rsidRPr="00593AA6">
        <w:rPr>
          <w:rStyle w:val="SCCCounselPartyRoleChar"/>
          <w:lang w:val="fr-CA"/>
        </w:rPr>
        <w:t>’</w:t>
      </w:r>
      <w:r w:rsidRPr="00593AA6">
        <w:rPr>
          <w:rStyle w:val="SCCCounselPartyRoleChar"/>
          <w:lang w:val="fr-CA"/>
        </w:rPr>
        <w:t>intervenant le Fonds d</w:t>
      </w:r>
      <w:r w:rsidR="00546EA0" w:rsidRPr="00593AA6">
        <w:rPr>
          <w:rStyle w:val="SCCCounselPartyRoleChar"/>
          <w:lang w:val="fr-CA"/>
        </w:rPr>
        <w:t>’</w:t>
      </w:r>
      <w:r w:rsidRPr="00593AA6">
        <w:rPr>
          <w:rStyle w:val="SCCCounselPartyRoleChar"/>
          <w:lang w:val="fr-CA"/>
        </w:rPr>
        <w:t>action et d</w:t>
      </w:r>
      <w:r w:rsidR="00546EA0" w:rsidRPr="00593AA6">
        <w:rPr>
          <w:rStyle w:val="SCCCounselPartyRoleChar"/>
          <w:lang w:val="fr-CA"/>
        </w:rPr>
        <w:t>’</w:t>
      </w:r>
      <w:r w:rsidRPr="00593AA6">
        <w:rPr>
          <w:rStyle w:val="SCCCounselPartyRoleChar"/>
          <w:lang w:val="fr-CA"/>
        </w:rPr>
        <w:t>éducation juridiques pour les femmes inc.</w:t>
      </w:r>
    </w:p>
    <w:p w14:paraId="0A9252B6" w14:textId="52B71639" w:rsidR="00556CFA" w:rsidRPr="00593AA6" w:rsidRDefault="00CA08B5" w:rsidP="0009382E">
      <w:pPr>
        <w:pStyle w:val="SCCNormalDoubleSpacing"/>
        <w:spacing w:after="480"/>
        <w:rPr>
          <w:lang w:val="fr-CA"/>
        </w:rPr>
      </w:pPr>
      <w:r w:rsidRPr="00593AA6">
        <w:rPr>
          <w:rStyle w:val="SCCCounselNameChar"/>
          <w:lang w:val="fr-CA"/>
        </w:rPr>
        <w:tab/>
        <w:t>Andrew Astritis</w:t>
      </w:r>
      <w:r w:rsidRPr="00593AA6">
        <w:rPr>
          <w:rStyle w:val="SCCCounselSeparatorChar"/>
          <w:lang w:val="fr-CA"/>
        </w:rPr>
        <w:t xml:space="preserve"> et </w:t>
      </w:r>
      <w:r w:rsidRPr="00593AA6">
        <w:rPr>
          <w:rStyle w:val="SCCCounselNameChar"/>
          <w:lang w:val="fr-CA"/>
        </w:rPr>
        <w:t>Morgan Rowe</w:t>
      </w:r>
      <w:r w:rsidRPr="00593AA6">
        <w:rPr>
          <w:rStyle w:val="SCCCounselPartyRoleChar"/>
          <w:lang w:val="fr-CA"/>
        </w:rPr>
        <w:t>, pour l</w:t>
      </w:r>
      <w:r w:rsidR="00546EA0" w:rsidRPr="00593AA6">
        <w:rPr>
          <w:rStyle w:val="SCCCounselPartyRoleChar"/>
          <w:lang w:val="fr-CA"/>
        </w:rPr>
        <w:t>’</w:t>
      </w:r>
      <w:r w:rsidR="00927CD7">
        <w:rPr>
          <w:rStyle w:val="SCCCounselPartyRoleChar"/>
          <w:lang w:val="fr-CA"/>
        </w:rPr>
        <w:t>intervenante l’Alliance de la F</w:t>
      </w:r>
      <w:r w:rsidRPr="00593AA6">
        <w:rPr>
          <w:rStyle w:val="SCCCounselPartyRoleChar"/>
          <w:lang w:val="fr-CA"/>
        </w:rPr>
        <w:t>onction publique du Canada.</w:t>
      </w:r>
    </w:p>
    <w:p w14:paraId="23A4281F" w14:textId="2208D689" w:rsidR="00804EA2" w:rsidRDefault="00CA08B5" w:rsidP="00804EA2">
      <w:pPr>
        <w:pStyle w:val="SCCNormalDoubleSpacing"/>
        <w:spacing w:after="480"/>
        <w:rPr>
          <w:rStyle w:val="SCCCounselPartyRoleChar"/>
          <w:lang w:val="fr-CA"/>
        </w:rPr>
      </w:pPr>
      <w:r w:rsidRPr="00593AA6">
        <w:rPr>
          <w:rStyle w:val="SCCCounselNameChar"/>
          <w:lang w:val="fr-CA"/>
        </w:rPr>
        <w:tab/>
        <w:t>Christopher Rootham</w:t>
      </w:r>
      <w:r w:rsidRPr="00593AA6">
        <w:rPr>
          <w:rStyle w:val="SCCCounselSeparatorChar"/>
          <w:lang w:val="fr-CA"/>
        </w:rPr>
        <w:t xml:space="preserve"> et </w:t>
      </w:r>
      <w:r w:rsidRPr="00593AA6">
        <w:rPr>
          <w:rStyle w:val="SCCCounselNameChar"/>
          <w:lang w:val="fr-CA"/>
        </w:rPr>
        <w:t>Andrew Montague</w:t>
      </w:r>
      <w:r w:rsidR="002167F7">
        <w:rPr>
          <w:rStyle w:val="SCCCounselNameChar"/>
          <w:lang w:val="fr-CA"/>
        </w:rPr>
        <w:noBreakHyphen/>
      </w:r>
      <w:r w:rsidRPr="00593AA6">
        <w:rPr>
          <w:rStyle w:val="SCCCounselNameChar"/>
          <w:lang w:val="fr-CA"/>
        </w:rPr>
        <w:t>Reinholdt</w:t>
      </w:r>
      <w:r w:rsidRPr="00593AA6">
        <w:rPr>
          <w:rStyle w:val="SCCCounselPartyRoleChar"/>
          <w:lang w:val="fr-CA"/>
        </w:rPr>
        <w:t>, pour l</w:t>
      </w:r>
      <w:r w:rsidR="00546EA0" w:rsidRPr="00593AA6">
        <w:rPr>
          <w:rStyle w:val="SCCCounselPartyRoleChar"/>
          <w:lang w:val="fr-CA"/>
        </w:rPr>
        <w:t>’</w:t>
      </w:r>
      <w:r w:rsidRPr="00593AA6">
        <w:rPr>
          <w:rStyle w:val="SCCCounselPartyRoleChar"/>
          <w:lang w:val="fr-CA"/>
        </w:rPr>
        <w:t>in</w:t>
      </w:r>
      <w:r w:rsidR="00311A8F">
        <w:rPr>
          <w:rStyle w:val="SCCCounselPartyRoleChar"/>
          <w:lang w:val="fr-CA"/>
        </w:rPr>
        <w:t>tervenante la Fédération de la police n</w:t>
      </w:r>
      <w:r w:rsidRPr="00593AA6">
        <w:rPr>
          <w:rStyle w:val="SCCCounselPartyRoleChar"/>
          <w:lang w:val="fr-CA"/>
        </w:rPr>
        <w:t>ationale.</w:t>
      </w:r>
    </w:p>
    <w:p w14:paraId="0AD4A45A" w14:textId="47597017" w:rsidR="00804EA2" w:rsidRPr="00807A5C" w:rsidRDefault="00804EA2" w:rsidP="00744EAD">
      <w:pPr>
        <w:spacing w:after="480" w:line="480" w:lineRule="auto"/>
        <w:ind w:firstLine="1170"/>
        <w:rPr>
          <w:lang w:val="fr-CA"/>
        </w:rPr>
      </w:pPr>
      <w:r w:rsidRPr="004E526C">
        <w:rPr>
          <w:lang w:val="fr-CA"/>
        </w:rPr>
        <w:lastRenderedPageBreak/>
        <w:t xml:space="preserve">Version française du jugement </w:t>
      </w:r>
      <w:r>
        <w:rPr>
          <w:lang w:val="fr-CA"/>
        </w:rPr>
        <w:t xml:space="preserve">du juge en chef Wagner et </w:t>
      </w:r>
      <w:r w:rsidRPr="004E526C">
        <w:rPr>
          <w:lang w:val="fr-CA"/>
        </w:rPr>
        <w:t xml:space="preserve">des juges Abella, Moldaver, Karakatsanis, Martin </w:t>
      </w:r>
      <w:r>
        <w:rPr>
          <w:lang w:val="fr-CA"/>
        </w:rPr>
        <w:t>et Kasirer</w:t>
      </w:r>
      <w:r w:rsidRPr="004E526C">
        <w:rPr>
          <w:lang w:val="fr-CA"/>
        </w:rPr>
        <w:t xml:space="preserve"> rendu par</w:t>
      </w:r>
    </w:p>
    <w:p w14:paraId="1AB1D243" w14:textId="0E453B73" w:rsidR="00804EA2" w:rsidRPr="00807A5C" w:rsidRDefault="0048698D" w:rsidP="00804EA2">
      <w:pPr>
        <w:pStyle w:val="ParaNoNdepar-AltN"/>
        <w:rPr>
          <w:rFonts w:cs="Times New Roman"/>
          <w:lang w:val="fr-CA"/>
        </w:rPr>
      </w:pPr>
      <w:r w:rsidRPr="0048698D">
        <w:rPr>
          <w:smallCaps/>
          <w:lang w:val="fr-CA"/>
        </w:rPr>
        <w:t>La juge Abella</w:t>
      </w:r>
      <w:r w:rsidRPr="00807A5C">
        <w:rPr>
          <w:lang w:val="fr-CA"/>
        </w:rPr>
        <w:t xml:space="preserve"> — </w:t>
      </w:r>
      <w:r w:rsidR="00804EA2" w:rsidRPr="00807A5C">
        <w:rPr>
          <w:rFonts w:cs="Times New Roman"/>
          <w:lang w:val="fr-CA"/>
        </w:rPr>
        <w:t>En 1970, la Commission royale d’enquête sur la situation de la femme au Canada a établi un plan d’action galvanique pour lever les obstacles juridiques, économiques, sociaux et politiques à une participation pleine et équitable des femmes canadiennes auxquels font face ces dernières depuis des générations. Bon nombre des iniquités relevées par la Commission ont été corrigées avec brio et les femmes de tout le pays ont pu bénéficier d’un énorme changement progressiste. Mais malgré la vague d’initiatives législatives et le réalignement positif de nombreuses attentes sociales, la vaste portée des stéréotypes bien ancrés sur le rôle des femmes dans la famille continue de façonner le monde du travail.</w:t>
      </w:r>
    </w:p>
    <w:p w14:paraId="32DC0558" w14:textId="1A43C454" w:rsidR="00804EA2" w:rsidRPr="00807A5C" w:rsidRDefault="00804EA2" w:rsidP="00804EA2">
      <w:pPr>
        <w:pStyle w:val="ParaNoNdepar-AltN"/>
        <w:rPr>
          <w:rFonts w:cs="Times New Roman"/>
          <w:lang w:val="fr-CA"/>
        </w:rPr>
      </w:pPr>
      <w:r w:rsidRPr="00807A5C">
        <w:rPr>
          <w:rFonts w:cs="Times New Roman"/>
          <w:lang w:val="fr-CA"/>
        </w:rPr>
        <w:t>Cela se voit notamment dans la façon dont les femmes sont rémunérées en général, entre autres lorsqu’elles veulent combiner leurs responsabilités familiales et le travail à temps partiel. Comme la Commission royale l’a mentionné, « il faut trouver le moyen d’accorder [aux employés à temps partiel] des salaires et des conditions de travail qui ne soient pas moins équitables que ceux qui sont consentis aux employés à plein temps » (</w:t>
      </w:r>
      <w:r w:rsidRPr="00807A5C">
        <w:rPr>
          <w:rFonts w:cs="Times New Roman"/>
          <w:i/>
          <w:lang w:val="fr-CA"/>
        </w:rPr>
        <w:t>Rapport de la Commission royale d’enquête sur la situation de la femme au Canada</w:t>
      </w:r>
      <w:r w:rsidRPr="00807A5C">
        <w:rPr>
          <w:rFonts w:cs="Times New Roman"/>
          <w:lang w:val="fr-CA"/>
        </w:rPr>
        <w:t xml:space="preserve">, </w:t>
      </w:r>
      <w:r>
        <w:rPr>
          <w:rFonts w:cs="Times New Roman"/>
          <w:lang w:val="fr-CA"/>
        </w:rPr>
        <w:t>p. </w:t>
      </w:r>
      <w:r w:rsidR="00ED1A78">
        <w:rPr>
          <w:rFonts w:cs="Times New Roman"/>
          <w:lang w:val="fr-CA"/>
        </w:rPr>
        <w:t>119</w:t>
      </w:r>
      <w:r w:rsidRPr="00807A5C">
        <w:rPr>
          <w:rFonts w:cs="Times New Roman"/>
          <w:lang w:val="fr-CA"/>
        </w:rPr>
        <w:t>). Cinquante ans plus tard, le présent pourvoi soulève encore la même question.</w:t>
      </w:r>
    </w:p>
    <w:p w14:paraId="3DC5D2DE" w14:textId="77777777" w:rsidR="00804EA2" w:rsidRPr="00807A5C" w:rsidRDefault="00804EA2" w:rsidP="00804EA2">
      <w:pPr>
        <w:pStyle w:val="ParaNoNdepar-AltN"/>
        <w:rPr>
          <w:rFonts w:cs="Times New Roman"/>
          <w:lang w:val="fr-CA"/>
        </w:rPr>
      </w:pPr>
      <w:r w:rsidRPr="00807A5C">
        <w:rPr>
          <w:rFonts w:cs="Times New Roman"/>
          <w:lang w:val="fr-CA"/>
        </w:rPr>
        <w:t xml:space="preserve">Les membres de la Gendarmerie royale du Canada (« GRC ») reçoivent des prestations d’un régime de pension à leur retraite. Des prestations supérieures sont </w:t>
      </w:r>
      <w:r w:rsidRPr="00807A5C">
        <w:rPr>
          <w:rFonts w:cs="Times New Roman"/>
          <w:lang w:val="fr-CA"/>
        </w:rPr>
        <w:lastRenderedPageBreak/>
        <w:t>accordées aux membres qui ont touché un salaire élevé et ont servi à temps plein pendant une longue période ininterrompue. Certains trous dans les états de service d’un membre — comme une suspension ou des congés non payés — peuvent être comblés grâce à un processus de « rachat » qui permet au membre de toucher des prestations de pension complètes. Les membres à temps plein qui ont temporairement réduit leurs heures de travail dans le cadre d’une entente de partage de poste ne bénéficient pas de cette option. Presque tous les participants au programme de partage de poste sont des femmes et la plupart d’entre elles ont réduit leurs heures de travail pour prendre soin de leurs enfants.</w:t>
      </w:r>
    </w:p>
    <w:p w14:paraId="69375694" w14:textId="77777777" w:rsidR="00804EA2" w:rsidRPr="00807A5C" w:rsidRDefault="00804EA2" w:rsidP="00804EA2">
      <w:pPr>
        <w:pStyle w:val="ParaNoNdepar-AltN"/>
        <w:rPr>
          <w:rFonts w:cs="Times New Roman"/>
          <w:lang w:val="fr-CA"/>
        </w:rPr>
      </w:pPr>
      <w:r w:rsidRPr="00807A5C">
        <w:rPr>
          <w:rFonts w:cs="Times New Roman"/>
          <w:lang w:val="fr-CA"/>
        </w:rPr>
        <w:t>Trois membres retraitées de la GRC prétendent que les conséquences d’un partage de poste sur leur pension sont discriminatoires envers les femmes et contreviennent au par</w:t>
      </w:r>
      <w:r>
        <w:rPr>
          <w:rFonts w:cs="Times New Roman"/>
          <w:lang w:val="fr-CA"/>
        </w:rPr>
        <w:t>.</w:t>
      </w:r>
      <w:r w:rsidRPr="00807A5C">
        <w:rPr>
          <w:rFonts w:cs="Times New Roman"/>
          <w:lang w:val="fr-CA"/>
        </w:rPr>
        <w:t xml:space="preserve"> 15(1) de la </w:t>
      </w:r>
      <w:r w:rsidRPr="00807A5C">
        <w:rPr>
          <w:rFonts w:cs="Times New Roman"/>
          <w:i/>
          <w:lang w:val="fr-CA"/>
        </w:rPr>
        <w:t>Charte canadienne des droits et libertés</w:t>
      </w:r>
      <w:r w:rsidRPr="00807A5C">
        <w:rPr>
          <w:rFonts w:cs="Times New Roman"/>
          <w:lang w:val="fr-CA"/>
        </w:rPr>
        <w:t>. La Cour fédérale a rejeté leur prétention (2017 CF 557). La juge de première instance a conclu que le programme de partage de poste n’était pas défavorable comparativement au congé non payé et que, même si c’était le cas, tout inconvénient est le résultat d’un choix personnel de l’employé de participer au programme et non de son sexe ou de sa situation familiale. La Cour d’appel fédérale a confirmé la décision de la juge de première instance ([2019] 2 R.C.F. 541).</w:t>
      </w:r>
    </w:p>
    <w:p w14:paraId="0B0153FF" w14:textId="77777777" w:rsidR="00804EA2" w:rsidRPr="00807A5C" w:rsidRDefault="00804EA2" w:rsidP="00804EA2">
      <w:pPr>
        <w:pStyle w:val="ParaNoNdepar-AltN"/>
        <w:rPr>
          <w:rFonts w:cs="Times New Roman"/>
          <w:lang w:val="fr-CA"/>
        </w:rPr>
      </w:pPr>
      <w:r w:rsidRPr="00807A5C">
        <w:rPr>
          <w:rFonts w:cs="Times New Roman"/>
          <w:lang w:val="fr-CA"/>
        </w:rPr>
        <w:t xml:space="preserve">J’accueillerais le pourvoi. Les membres à temps plein de la GRC qui partagent un poste doivent sacrifier leurs prestations de pension en raison d’une réduction temporaire de leurs heures de travail. Cet arrangement a une incidence </w:t>
      </w:r>
      <w:r w:rsidRPr="00807A5C">
        <w:rPr>
          <w:rFonts w:cs="Times New Roman"/>
          <w:lang w:val="fr-CA"/>
        </w:rPr>
        <w:lastRenderedPageBreak/>
        <w:t>disproportionnée sur les femmes et perpétue leur désavantage historique. Il s’agit d’une violation évidente à leur droit à l’égalité garanti par le par</w:t>
      </w:r>
      <w:r>
        <w:rPr>
          <w:rFonts w:cs="Times New Roman"/>
          <w:lang w:val="fr-CA"/>
        </w:rPr>
        <w:t>.</w:t>
      </w:r>
      <w:r w:rsidRPr="00807A5C">
        <w:rPr>
          <w:rFonts w:cs="Times New Roman"/>
          <w:lang w:val="fr-CA"/>
        </w:rPr>
        <w:t xml:space="preserve"> 15(1) de la </w:t>
      </w:r>
      <w:r w:rsidRPr="00807A5C">
        <w:rPr>
          <w:rFonts w:cs="Times New Roman"/>
          <w:i/>
          <w:lang w:val="fr-CA"/>
        </w:rPr>
        <w:t>Charte</w:t>
      </w:r>
      <w:r w:rsidRPr="00807A5C">
        <w:rPr>
          <w:rFonts w:cs="Times New Roman"/>
          <w:lang w:val="fr-CA"/>
        </w:rPr>
        <w:t xml:space="preserve">. </w:t>
      </w:r>
    </w:p>
    <w:p w14:paraId="4D000426" w14:textId="77777777" w:rsidR="00804EA2" w:rsidRPr="00807A5C" w:rsidRDefault="00804EA2" w:rsidP="00804EA2">
      <w:pPr>
        <w:pStyle w:val="Title1LevelTitre1Niveau-AltL"/>
        <w:numPr>
          <w:ilvl w:val="0"/>
          <w:numId w:val="0"/>
        </w:numPr>
        <w:spacing w:before="0" w:after="240" w:line="276" w:lineRule="auto"/>
        <w:ind w:left="576" w:hanging="576"/>
        <w:contextualSpacing/>
        <w:rPr>
          <w:rFonts w:cs="Times New Roman"/>
          <w:u w:val="none"/>
          <w:lang w:val="fr-CA"/>
        </w:rPr>
      </w:pPr>
      <w:r w:rsidRPr="00807A5C">
        <w:rPr>
          <w:rFonts w:cs="Times New Roman"/>
          <w:lang w:val="fr-CA"/>
        </w:rPr>
        <w:t>Contexte</w:t>
      </w:r>
    </w:p>
    <w:p w14:paraId="14AC0D95" w14:textId="77777777" w:rsidR="00804EA2" w:rsidRPr="00807A5C" w:rsidRDefault="00804EA2" w:rsidP="00804EA2">
      <w:pPr>
        <w:pStyle w:val="ParaNoNdepar-AltN"/>
        <w:rPr>
          <w:rFonts w:cs="Times New Roman"/>
          <w:lang w:val="fr-CA"/>
        </w:rPr>
      </w:pPr>
      <w:r w:rsidRPr="00807A5C">
        <w:rPr>
          <w:rFonts w:cs="Times New Roman"/>
          <w:lang w:val="fr-CA"/>
        </w:rPr>
        <w:t>M</w:t>
      </w:r>
      <w:r w:rsidRPr="00807A5C">
        <w:rPr>
          <w:rFonts w:cs="Times New Roman"/>
          <w:vertAlign w:val="superscript"/>
          <w:lang w:val="fr-CA"/>
        </w:rPr>
        <w:t>me</w:t>
      </w:r>
      <w:r w:rsidRPr="00807A5C">
        <w:rPr>
          <w:rFonts w:cs="Times New Roman"/>
          <w:lang w:val="fr-CA"/>
        </w:rPr>
        <w:t> Fraser, M</w:t>
      </w:r>
      <w:r w:rsidRPr="00807A5C">
        <w:rPr>
          <w:rFonts w:cs="Times New Roman"/>
          <w:vertAlign w:val="superscript"/>
          <w:lang w:val="fr-CA"/>
        </w:rPr>
        <w:t>me</w:t>
      </w:r>
      <w:r w:rsidRPr="00807A5C">
        <w:rPr>
          <w:rFonts w:cs="Times New Roman"/>
          <w:lang w:val="fr-CA"/>
        </w:rPr>
        <w:t> Pilgrim et M</w:t>
      </w:r>
      <w:r w:rsidRPr="00807A5C">
        <w:rPr>
          <w:rFonts w:cs="Times New Roman"/>
          <w:vertAlign w:val="superscript"/>
          <w:lang w:val="fr-CA"/>
        </w:rPr>
        <w:t>me</w:t>
      </w:r>
      <w:r w:rsidRPr="00807A5C">
        <w:rPr>
          <w:rFonts w:cs="Times New Roman"/>
          <w:lang w:val="fr-CA"/>
        </w:rPr>
        <w:t> Fox ont servi en tant que policières dans la GRC pendant plus de 25 ans. M</w:t>
      </w:r>
      <w:r w:rsidRPr="00807A5C">
        <w:rPr>
          <w:rFonts w:cs="Times New Roman"/>
          <w:vertAlign w:val="superscript"/>
          <w:lang w:val="fr-CA"/>
        </w:rPr>
        <w:t>me</w:t>
      </w:r>
      <w:r w:rsidRPr="00807A5C">
        <w:rPr>
          <w:rFonts w:cs="Times New Roman"/>
          <w:lang w:val="fr-CA"/>
        </w:rPr>
        <w:t> Fraser a été affectée à Fort Saskatchewan, en Alberta, où elle a travaillé des quarts rotatifs de 10 heures, 7 jours par semaine. M</w:t>
      </w:r>
      <w:r w:rsidRPr="00807A5C">
        <w:rPr>
          <w:rFonts w:cs="Times New Roman"/>
          <w:vertAlign w:val="superscript"/>
          <w:lang w:val="fr-CA"/>
        </w:rPr>
        <w:t>me</w:t>
      </w:r>
      <w:r w:rsidRPr="00807A5C">
        <w:rPr>
          <w:rFonts w:cs="Times New Roman"/>
          <w:lang w:val="fr-CA"/>
        </w:rPr>
        <w:t> Pilgrim a travaillé au sein de la Section des infractions commerciales à Québec. M</w:t>
      </w:r>
      <w:r w:rsidRPr="00807A5C">
        <w:rPr>
          <w:rFonts w:cs="Times New Roman"/>
          <w:vertAlign w:val="superscript"/>
          <w:lang w:val="fr-CA"/>
        </w:rPr>
        <w:t>me</w:t>
      </w:r>
      <w:r w:rsidRPr="00807A5C">
        <w:rPr>
          <w:rFonts w:cs="Times New Roman"/>
          <w:lang w:val="fr-CA"/>
        </w:rPr>
        <w:t> Fox a commencé sa carrière de policière à Toronto avant d’être transférée dans une petite collectivité du centre de Terre</w:t>
      </w:r>
      <w:r>
        <w:rPr>
          <w:rFonts w:cs="Times New Roman"/>
          <w:lang w:val="fr-CA"/>
        </w:rPr>
        <w:noBreakHyphen/>
      </w:r>
      <w:r w:rsidRPr="00807A5C">
        <w:rPr>
          <w:rFonts w:cs="Times New Roman"/>
          <w:lang w:val="fr-CA"/>
        </w:rPr>
        <w:t xml:space="preserve">Neuve. </w:t>
      </w:r>
    </w:p>
    <w:p w14:paraId="2791D68F" w14:textId="77777777" w:rsidR="00804EA2" w:rsidRPr="00807A5C" w:rsidRDefault="00804EA2" w:rsidP="00804EA2">
      <w:pPr>
        <w:pStyle w:val="ParaNoNdepar-AltN"/>
        <w:rPr>
          <w:rFonts w:cs="Times New Roman"/>
          <w:lang w:val="fr-CA"/>
        </w:rPr>
      </w:pPr>
      <w:r w:rsidRPr="00807A5C">
        <w:rPr>
          <w:rFonts w:cs="Times New Roman"/>
          <w:lang w:val="fr-CA"/>
        </w:rPr>
        <w:t>M</w:t>
      </w:r>
      <w:r w:rsidRPr="00807A5C">
        <w:rPr>
          <w:rFonts w:cs="Times New Roman"/>
          <w:vertAlign w:val="superscript"/>
          <w:lang w:val="fr-CA"/>
        </w:rPr>
        <w:t>me</w:t>
      </w:r>
      <w:r w:rsidRPr="00807A5C">
        <w:rPr>
          <w:rFonts w:cs="Times New Roman"/>
          <w:lang w:val="fr-CA"/>
        </w:rPr>
        <w:t> Fraser, M</w:t>
      </w:r>
      <w:r w:rsidRPr="00807A5C">
        <w:rPr>
          <w:rFonts w:cs="Times New Roman"/>
          <w:vertAlign w:val="superscript"/>
          <w:lang w:val="fr-CA"/>
        </w:rPr>
        <w:t>me</w:t>
      </w:r>
      <w:r w:rsidRPr="00807A5C">
        <w:rPr>
          <w:rFonts w:cs="Times New Roman"/>
          <w:lang w:val="fr-CA"/>
        </w:rPr>
        <w:t> Pilgrim et M</w:t>
      </w:r>
      <w:r w:rsidRPr="00807A5C">
        <w:rPr>
          <w:rFonts w:cs="Times New Roman"/>
          <w:vertAlign w:val="superscript"/>
          <w:lang w:val="fr-CA"/>
        </w:rPr>
        <w:t>me</w:t>
      </w:r>
      <w:r w:rsidRPr="00807A5C">
        <w:rPr>
          <w:rFonts w:cs="Times New Roman"/>
          <w:lang w:val="fr-CA"/>
        </w:rPr>
        <w:t> Fox ont pris des congés de maternité au début et au milieu des années 1990. Lorsqu’elles ont repris le service à temps plein, elles ont eu de la difficulté à concilier leurs obligations professionnelles et le fait de s’occuper de leurs enfants. M</w:t>
      </w:r>
      <w:r w:rsidRPr="00807A5C">
        <w:rPr>
          <w:rFonts w:cs="Times New Roman"/>
          <w:vertAlign w:val="superscript"/>
          <w:lang w:val="fr-CA"/>
        </w:rPr>
        <w:t>me</w:t>
      </w:r>
      <w:r w:rsidRPr="00807A5C">
        <w:rPr>
          <w:rFonts w:cs="Times New Roman"/>
          <w:lang w:val="fr-CA"/>
        </w:rPr>
        <w:t> Fraser dit s’être sentie [</w:t>
      </w:r>
      <w:r w:rsidRPr="00807A5C">
        <w:rPr>
          <w:rFonts w:cs="Times New Roman"/>
          <w:smallCaps/>
          <w:lang w:val="fr-CA"/>
        </w:rPr>
        <w:t>traduction</w:t>
      </w:r>
      <w:r w:rsidRPr="00807A5C">
        <w:rPr>
          <w:rFonts w:cs="Times New Roman"/>
          <w:lang w:val="fr-CA"/>
        </w:rPr>
        <w:t>] « dépassée » lorsqu’elle a tenté d’établir un équilibre entre son travail et sa famille; M</w:t>
      </w:r>
      <w:r w:rsidRPr="00807A5C">
        <w:rPr>
          <w:rFonts w:cs="Times New Roman"/>
          <w:vertAlign w:val="superscript"/>
          <w:lang w:val="fr-CA"/>
        </w:rPr>
        <w:t>me</w:t>
      </w:r>
      <w:r w:rsidRPr="00807A5C">
        <w:rPr>
          <w:rFonts w:cs="Times New Roman"/>
          <w:lang w:val="fr-CA"/>
        </w:rPr>
        <w:t> Pilgrim avait l’impression de courir [</w:t>
      </w:r>
      <w:r w:rsidRPr="00807A5C">
        <w:rPr>
          <w:rFonts w:cs="Times New Roman"/>
          <w:smallCaps/>
          <w:lang w:val="fr-CA"/>
        </w:rPr>
        <w:t>traduction</w:t>
      </w:r>
      <w:r w:rsidRPr="00807A5C">
        <w:rPr>
          <w:rFonts w:cs="Times New Roman"/>
          <w:lang w:val="fr-CA"/>
        </w:rPr>
        <w:t>] « sur un tapis roulant »; et M</w:t>
      </w:r>
      <w:r w:rsidRPr="00807A5C">
        <w:rPr>
          <w:rFonts w:cs="Times New Roman"/>
          <w:vertAlign w:val="superscript"/>
          <w:lang w:val="fr-CA"/>
        </w:rPr>
        <w:t>me</w:t>
      </w:r>
      <w:r w:rsidRPr="00807A5C">
        <w:rPr>
          <w:rFonts w:cs="Times New Roman"/>
          <w:lang w:val="fr-CA"/>
        </w:rPr>
        <w:t> Fox a décrit l’expérience comme étant [</w:t>
      </w:r>
      <w:r w:rsidRPr="00807A5C">
        <w:rPr>
          <w:rFonts w:cs="Times New Roman"/>
          <w:smallCaps/>
          <w:lang w:val="fr-CA"/>
        </w:rPr>
        <w:t>traduction</w:t>
      </w:r>
      <w:r w:rsidRPr="00807A5C">
        <w:rPr>
          <w:rFonts w:cs="Times New Roman"/>
          <w:lang w:val="fr-CA"/>
        </w:rPr>
        <w:t>] « l’enfer sur Terre ». En raison de ces difficultés, M</w:t>
      </w:r>
      <w:r w:rsidRPr="00807A5C">
        <w:rPr>
          <w:rFonts w:cs="Times New Roman"/>
          <w:vertAlign w:val="superscript"/>
          <w:lang w:val="fr-CA"/>
        </w:rPr>
        <w:t>me</w:t>
      </w:r>
      <w:r w:rsidRPr="00807A5C">
        <w:rPr>
          <w:rFonts w:cs="Times New Roman"/>
          <w:lang w:val="fr-CA"/>
        </w:rPr>
        <w:t> Fox a pris sa retraite de la GRC en 1994, et M</w:t>
      </w:r>
      <w:r w:rsidRPr="00807A5C">
        <w:rPr>
          <w:rFonts w:cs="Times New Roman"/>
          <w:vertAlign w:val="superscript"/>
          <w:lang w:val="fr-CA"/>
        </w:rPr>
        <w:t>me</w:t>
      </w:r>
      <w:r w:rsidRPr="00807A5C">
        <w:rPr>
          <w:rFonts w:cs="Times New Roman"/>
          <w:lang w:val="fr-CA"/>
        </w:rPr>
        <w:t> Fraser a pris un congé non payé en 1997. À cette époque, la GRC ne permettait pas à ses membres réguliers de travailler à temps partiel.</w:t>
      </w:r>
    </w:p>
    <w:p w14:paraId="20E10617" w14:textId="77777777" w:rsidR="00804EA2" w:rsidRPr="00807A5C" w:rsidRDefault="00804EA2" w:rsidP="00804EA2">
      <w:pPr>
        <w:pStyle w:val="ParaNoNdepar-AltN"/>
        <w:rPr>
          <w:rFonts w:cs="Times New Roman"/>
          <w:lang w:val="fr-CA"/>
        </w:rPr>
      </w:pPr>
      <w:r w:rsidRPr="00807A5C">
        <w:rPr>
          <w:rFonts w:cs="Times New Roman"/>
          <w:lang w:val="fr-CA"/>
        </w:rPr>
        <w:lastRenderedPageBreak/>
        <w:t>En décembre 1997, la GRC a mis en place un programme de partage de poste afin d’offrir à ses membres une solution de rechange au congé non payé. Selon ce programme, deux ou trois membres de la GRC pouvaient se partager les responsabilités d’un poste à temps plein, ce qui permettait à chacun des participants de faire moins d’heures qu’un employé à temps plein. Les parties à une entente de partage de poste pouvaient être tenues, moyennant un préavis d’un mois, de reprendre le travail à temps plein selon les besoins administratifs ou opérationnels.</w:t>
      </w:r>
    </w:p>
    <w:p w14:paraId="73B36789" w14:textId="77E006F2" w:rsidR="00804EA2" w:rsidRPr="00807A5C" w:rsidRDefault="00804EA2" w:rsidP="00804EA2">
      <w:pPr>
        <w:pStyle w:val="ParaNoNdepar-AltN"/>
        <w:rPr>
          <w:rFonts w:cs="Times New Roman"/>
          <w:lang w:val="fr-CA"/>
        </w:rPr>
      </w:pPr>
      <w:r w:rsidRPr="00807A5C">
        <w:rPr>
          <w:rFonts w:cs="Times New Roman"/>
          <w:lang w:val="fr-CA"/>
        </w:rPr>
        <w:t xml:space="preserve">Le partage de poste se voulait </w:t>
      </w:r>
      <w:r w:rsidR="00B4299A" w:rsidRPr="00807A5C">
        <w:rPr>
          <w:rFonts w:cs="Times New Roman"/>
          <w:lang w:val="fr-CA"/>
        </w:rPr>
        <w:t>[</w:t>
      </w:r>
      <w:r w:rsidR="00B4299A" w:rsidRPr="00807A5C">
        <w:rPr>
          <w:rFonts w:cs="Times New Roman"/>
          <w:smallCaps/>
          <w:lang w:val="fr-CA"/>
        </w:rPr>
        <w:t>traduction</w:t>
      </w:r>
      <w:r w:rsidR="00B4299A" w:rsidRPr="00807A5C">
        <w:rPr>
          <w:rFonts w:cs="Times New Roman"/>
          <w:lang w:val="fr-CA"/>
        </w:rPr>
        <w:t xml:space="preserve">] </w:t>
      </w:r>
      <w:r w:rsidRPr="00807A5C">
        <w:rPr>
          <w:rFonts w:cs="Times New Roman"/>
          <w:lang w:val="fr-CA"/>
        </w:rPr>
        <w:t>« mutuellement avantageux » pour la GRC et les membres participants. Ces derniers pouvaient « continuer de collaborer avec la GRC tout en adoptant un horaire de travail qui répondait mieux aux besoins de leur sit</w:t>
      </w:r>
      <w:r w:rsidR="00B4299A">
        <w:rPr>
          <w:rFonts w:cs="Times New Roman"/>
          <w:lang w:val="fr-CA"/>
        </w:rPr>
        <w:t>uation personnelle » (d.</w:t>
      </w:r>
      <w:r w:rsidRPr="00807A5C">
        <w:rPr>
          <w:rFonts w:cs="Times New Roman"/>
          <w:lang w:val="fr-CA"/>
        </w:rPr>
        <w:t>a</w:t>
      </w:r>
      <w:r w:rsidR="00B4299A">
        <w:rPr>
          <w:rFonts w:cs="Times New Roman"/>
          <w:lang w:val="fr-CA"/>
        </w:rPr>
        <w:t>.</w:t>
      </w:r>
      <w:r w:rsidRPr="00807A5C">
        <w:rPr>
          <w:rFonts w:cs="Times New Roman"/>
          <w:lang w:val="fr-CA"/>
        </w:rPr>
        <w:t xml:space="preserve">, </w:t>
      </w:r>
      <w:r>
        <w:rPr>
          <w:rFonts w:cs="Times New Roman"/>
          <w:lang w:val="fr-CA"/>
        </w:rPr>
        <w:t>vol. </w:t>
      </w:r>
      <w:r w:rsidRPr="00807A5C">
        <w:rPr>
          <w:rFonts w:cs="Times New Roman"/>
          <w:lang w:val="fr-CA"/>
        </w:rPr>
        <w:t xml:space="preserve">V, </w:t>
      </w:r>
      <w:r>
        <w:rPr>
          <w:rFonts w:cs="Times New Roman"/>
          <w:lang w:val="fr-CA"/>
        </w:rPr>
        <w:t>p. </w:t>
      </w:r>
      <w:r w:rsidRPr="00807A5C">
        <w:rPr>
          <w:rFonts w:cs="Times New Roman"/>
          <w:lang w:val="fr-CA"/>
        </w:rPr>
        <w:t>810). La GRC profitait des services des participants, ce qui aidait entre autres à combler le manque de personnel dans les petites collectivités et dans les situations d’urgence.</w:t>
      </w:r>
    </w:p>
    <w:p w14:paraId="4497E20A" w14:textId="77777777" w:rsidR="00804EA2" w:rsidRPr="00807A5C" w:rsidRDefault="00804EA2" w:rsidP="00804EA2">
      <w:pPr>
        <w:pStyle w:val="ParaNoNdepar-AltN"/>
        <w:rPr>
          <w:rFonts w:cs="Times New Roman"/>
          <w:lang w:val="fr-CA"/>
        </w:rPr>
      </w:pPr>
      <w:r w:rsidRPr="00807A5C">
        <w:rPr>
          <w:rFonts w:cs="Times New Roman"/>
          <w:lang w:val="fr-CA"/>
        </w:rPr>
        <w:t>M</w:t>
      </w:r>
      <w:r w:rsidRPr="00807A5C">
        <w:rPr>
          <w:rFonts w:cs="Times New Roman"/>
          <w:vertAlign w:val="superscript"/>
          <w:lang w:val="fr-CA"/>
        </w:rPr>
        <w:t>me</w:t>
      </w:r>
      <w:r w:rsidRPr="00807A5C">
        <w:rPr>
          <w:rFonts w:cs="Times New Roman"/>
          <w:lang w:val="fr-CA"/>
        </w:rPr>
        <w:t> Fraser, M</w:t>
      </w:r>
      <w:r w:rsidRPr="00807A5C">
        <w:rPr>
          <w:rFonts w:cs="Times New Roman"/>
          <w:vertAlign w:val="superscript"/>
          <w:lang w:val="fr-CA"/>
        </w:rPr>
        <w:t>me</w:t>
      </w:r>
      <w:r w:rsidRPr="00807A5C">
        <w:rPr>
          <w:rFonts w:cs="Times New Roman"/>
          <w:lang w:val="fr-CA"/>
        </w:rPr>
        <w:t> Fox et M</w:t>
      </w:r>
      <w:r w:rsidRPr="00807A5C">
        <w:rPr>
          <w:rFonts w:cs="Times New Roman"/>
          <w:vertAlign w:val="superscript"/>
          <w:lang w:val="fr-CA"/>
        </w:rPr>
        <w:t>me</w:t>
      </w:r>
      <w:r w:rsidRPr="00807A5C">
        <w:rPr>
          <w:rFonts w:cs="Times New Roman"/>
          <w:lang w:val="fr-CA"/>
        </w:rPr>
        <w:t xml:space="preserve"> Pilgrim se sont inscrites au programme de partage de poste, tout comme 137 autres membres de la GRC entre 1997 et 2011. La plupart des participants étaient des femmes ayant des enfants. De 2010 à 2014, tous les membres de la GRC qui partageaient un poste étaient des femmes, et la plupart disaient s’être inscrites au programme parce qu’elles voulaient s’occuper de leurs enfants. </w:t>
      </w:r>
    </w:p>
    <w:p w14:paraId="11C7696F" w14:textId="77777777" w:rsidR="00804EA2" w:rsidRPr="00807A5C" w:rsidRDefault="00804EA2" w:rsidP="00804EA2">
      <w:pPr>
        <w:pStyle w:val="ParaNoNdepar-AltN"/>
        <w:rPr>
          <w:rFonts w:cs="Times New Roman"/>
          <w:lang w:val="fr-CA"/>
        </w:rPr>
      </w:pPr>
      <w:r w:rsidRPr="00807A5C">
        <w:rPr>
          <w:rFonts w:cs="Times New Roman"/>
          <w:lang w:val="fr-CA"/>
        </w:rPr>
        <w:t>Après s’être inscrites au programme de partage de poste, M</w:t>
      </w:r>
      <w:r w:rsidRPr="00807A5C">
        <w:rPr>
          <w:rFonts w:cs="Times New Roman"/>
          <w:vertAlign w:val="superscript"/>
          <w:lang w:val="fr-CA"/>
        </w:rPr>
        <w:t>me</w:t>
      </w:r>
      <w:r w:rsidRPr="00807A5C">
        <w:rPr>
          <w:rFonts w:cs="Times New Roman"/>
          <w:lang w:val="fr-CA"/>
        </w:rPr>
        <w:t> Fraser, M</w:t>
      </w:r>
      <w:r w:rsidRPr="00807A5C">
        <w:rPr>
          <w:rFonts w:cs="Times New Roman"/>
          <w:vertAlign w:val="superscript"/>
          <w:lang w:val="fr-CA"/>
        </w:rPr>
        <w:t>me</w:t>
      </w:r>
      <w:r w:rsidRPr="00807A5C">
        <w:rPr>
          <w:rFonts w:cs="Times New Roman"/>
          <w:lang w:val="fr-CA"/>
        </w:rPr>
        <w:t> Fox et M</w:t>
      </w:r>
      <w:r w:rsidRPr="00807A5C">
        <w:rPr>
          <w:rFonts w:cs="Times New Roman"/>
          <w:vertAlign w:val="superscript"/>
          <w:lang w:val="fr-CA"/>
        </w:rPr>
        <w:t>me</w:t>
      </w:r>
      <w:r w:rsidRPr="00807A5C">
        <w:rPr>
          <w:rFonts w:cs="Times New Roman"/>
          <w:lang w:val="fr-CA"/>
        </w:rPr>
        <w:t xml:space="preserve"> Pilgrim se sont rendu compte que leur participation au programme </w:t>
      </w:r>
      <w:r w:rsidRPr="00807A5C">
        <w:rPr>
          <w:rFonts w:cs="Times New Roman"/>
          <w:lang w:val="fr-CA"/>
        </w:rPr>
        <w:lastRenderedPageBreak/>
        <w:t>aurait des conséquences sur leur pension. Pour bien comprendre ces conséquences, il faut procéder à un bref examen du régime de pension de la GRC.</w:t>
      </w:r>
    </w:p>
    <w:p w14:paraId="2A248BF6" w14:textId="3C4D6A59" w:rsidR="00804EA2" w:rsidRPr="00807A5C" w:rsidRDefault="00804EA2" w:rsidP="00804EA2">
      <w:pPr>
        <w:pStyle w:val="ParaNoNdepar-AltN"/>
        <w:rPr>
          <w:rFonts w:cs="Times New Roman"/>
          <w:lang w:val="fr-CA"/>
        </w:rPr>
      </w:pPr>
      <w:r w:rsidRPr="00807A5C">
        <w:rPr>
          <w:rFonts w:cs="Times New Roman"/>
          <w:lang w:val="fr-CA"/>
        </w:rPr>
        <w:t>Tous les membres de la GRC embauchés pour travailler au moins 12 heures par semaine doivent s’inscrire à un régime de pension prévu par la loi et y contribuer</w:t>
      </w:r>
      <w:r w:rsidR="00CE212F">
        <w:rPr>
          <w:rStyle w:val="FootnoteReference"/>
          <w:rFonts w:cs="Times New Roman"/>
          <w:lang w:val="fr-CA"/>
        </w:rPr>
        <w:footnoteReference w:id="1"/>
      </w:r>
      <w:r w:rsidRPr="00807A5C">
        <w:rPr>
          <w:rFonts w:cs="Times New Roman"/>
          <w:lang w:val="fr-CA"/>
        </w:rPr>
        <w:t>. À leur retraite, les membres reçoivent des prestations en fonction notamment de leurs années de service</w:t>
      </w:r>
      <w:r w:rsidR="00CE212F">
        <w:rPr>
          <w:rStyle w:val="FootnoteReference"/>
          <w:rFonts w:cs="Times New Roman"/>
          <w:lang w:val="fr-CA"/>
        </w:rPr>
        <w:footnoteReference w:id="2"/>
      </w:r>
      <w:r w:rsidRPr="00807A5C">
        <w:rPr>
          <w:rFonts w:cs="Times New Roman"/>
          <w:lang w:val="fr-CA"/>
        </w:rPr>
        <w:t>. Une année de travail compte pour une année de service ouvrant droit à pension. Plus le nombre d’années de service ouvrant droit à pension est élevé plus les prestations de pension sont élevées.</w:t>
      </w:r>
    </w:p>
    <w:p w14:paraId="571A1E87" w14:textId="77777777" w:rsidR="00804EA2" w:rsidRPr="00807A5C" w:rsidRDefault="00804EA2" w:rsidP="00804EA2">
      <w:pPr>
        <w:pStyle w:val="ParaNoNdepar-AltN"/>
        <w:rPr>
          <w:rFonts w:cs="Times New Roman"/>
          <w:lang w:val="fr-CA"/>
        </w:rPr>
      </w:pPr>
      <w:r w:rsidRPr="00807A5C">
        <w:rPr>
          <w:rFonts w:cs="Times New Roman"/>
          <w:lang w:val="fr-CA"/>
        </w:rPr>
        <w:t>Les années de travail à temps plein et à temps partiel sont traitées différemment lors du calcul des prestations de pension. Le travail à temps partiel est calculé au prorata pour tenir compte du nombre moins élevé d’heures travaillées. Il a donc moins de valeur que le travail à temps plein dans la formule utilisée pour calculer les prestations de pension.</w:t>
      </w:r>
    </w:p>
    <w:p w14:paraId="201209CC" w14:textId="77777777" w:rsidR="00804EA2" w:rsidRPr="00807A5C" w:rsidRDefault="00804EA2" w:rsidP="00804EA2">
      <w:pPr>
        <w:pStyle w:val="ParaNoNdepar-AltN"/>
        <w:rPr>
          <w:rFonts w:cs="Times New Roman"/>
          <w:lang w:val="fr-CA"/>
        </w:rPr>
      </w:pPr>
      <w:r w:rsidRPr="00807A5C">
        <w:rPr>
          <w:rFonts w:cs="Times New Roman"/>
          <w:lang w:val="fr-CA"/>
        </w:rPr>
        <w:t xml:space="preserve">Les membres de la GRC accumulent du service à temps plein ouvrant droit à pension à l’égard des périodes pendant lesquelles ils sont embauchés pour travailler 40 heures par semaine. Ils peuvent également traiter certains trous dans leur période de </w:t>
      </w:r>
      <w:r w:rsidRPr="00807A5C">
        <w:rPr>
          <w:rFonts w:cs="Times New Roman"/>
          <w:lang w:val="fr-CA"/>
        </w:rPr>
        <w:lastRenderedPageBreak/>
        <w:t>service à temps plein (par exemple un congé non payé) comme une période de service à temps plein ouvrant droit à pension. Au retour d’un congé non payé, un membre peut « racheter » le service manquant en payant les cotisations que lui</w:t>
      </w:r>
      <w:r>
        <w:rPr>
          <w:rFonts w:cs="Times New Roman"/>
          <w:lang w:val="fr-CA"/>
        </w:rPr>
        <w:noBreakHyphen/>
      </w:r>
      <w:r w:rsidRPr="00807A5C">
        <w:rPr>
          <w:rFonts w:cs="Times New Roman"/>
          <w:lang w:val="fr-CA"/>
        </w:rPr>
        <w:t>même et la GRC auraient versées s’il avait travaillé activement. Cela permet d’augmenter le nombre d’années de service ouvrant droit à pension du membre, et donc d’augmenter la pension à laquelle il a droit.</w:t>
      </w:r>
    </w:p>
    <w:p w14:paraId="6F0E8809" w14:textId="77777777" w:rsidR="00804EA2" w:rsidRPr="00807A5C" w:rsidRDefault="00804EA2" w:rsidP="00804EA2">
      <w:pPr>
        <w:pStyle w:val="ParaNoNdepar-AltN"/>
        <w:rPr>
          <w:rFonts w:cs="Times New Roman"/>
          <w:lang w:val="fr-CA"/>
        </w:rPr>
      </w:pPr>
      <w:r w:rsidRPr="00807A5C">
        <w:rPr>
          <w:rFonts w:cs="Times New Roman"/>
          <w:lang w:val="fr-CA"/>
        </w:rPr>
        <w:t>M</w:t>
      </w:r>
      <w:r w:rsidRPr="00807A5C">
        <w:rPr>
          <w:rFonts w:cs="Times New Roman"/>
          <w:vertAlign w:val="superscript"/>
          <w:lang w:val="fr-CA"/>
        </w:rPr>
        <w:t>me</w:t>
      </w:r>
      <w:r w:rsidRPr="00807A5C">
        <w:rPr>
          <w:rFonts w:cs="Times New Roman"/>
          <w:lang w:val="fr-CA"/>
        </w:rPr>
        <w:t> Fraser, M</w:t>
      </w:r>
      <w:r w:rsidRPr="00807A5C">
        <w:rPr>
          <w:rFonts w:cs="Times New Roman"/>
          <w:vertAlign w:val="superscript"/>
          <w:lang w:val="fr-CA"/>
        </w:rPr>
        <w:t>me</w:t>
      </w:r>
      <w:r w:rsidRPr="00807A5C">
        <w:rPr>
          <w:rFonts w:cs="Times New Roman"/>
          <w:lang w:val="fr-CA"/>
        </w:rPr>
        <w:t> Fox et M</w:t>
      </w:r>
      <w:r w:rsidRPr="00807A5C">
        <w:rPr>
          <w:rFonts w:cs="Times New Roman"/>
          <w:vertAlign w:val="superscript"/>
          <w:lang w:val="fr-CA"/>
        </w:rPr>
        <w:t>me</w:t>
      </w:r>
      <w:r w:rsidRPr="00807A5C">
        <w:rPr>
          <w:rFonts w:cs="Times New Roman"/>
          <w:lang w:val="fr-CA"/>
        </w:rPr>
        <w:t> Pilgrim s’attendaient à ce que le programme de partage de poste donne droit au rachat des périodes de service à temps plein ouvrant droit à pension, comme c’est le cas pour les congés non payés. Dans les deux situations, affirment</w:t>
      </w:r>
      <w:r>
        <w:rPr>
          <w:rFonts w:cs="Times New Roman"/>
          <w:lang w:val="fr-CA"/>
        </w:rPr>
        <w:noBreakHyphen/>
      </w:r>
      <w:r w:rsidRPr="00807A5C">
        <w:rPr>
          <w:rFonts w:cs="Times New Roman"/>
          <w:lang w:val="fr-CA"/>
        </w:rPr>
        <w:t>elles, il y a une interruption temporaire du service régulier pour les membres qui travaillent à temps plein, soit une diminution de 12 à moins de 40 heures de travail par semaine en cas de partage de poste, alors qu’en cas de congé non payé, le nombre d’heures hebdomadaires travaillées devenait nul. Selon elles, il était logique que les membres dans les deux situations aient le droit de « racheter » leur service perdu et les prestations de pension connexes.</w:t>
      </w:r>
    </w:p>
    <w:p w14:paraId="1B85B290" w14:textId="77777777" w:rsidR="00804EA2" w:rsidRPr="00807A5C" w:rsidRDefault="00804EA2" w:rsidP="00804EA2">
      <w:pPr>
        <w:pStyle w:val="ParaNoNdepar-AltN"/>
        <w:rPr>
          <w:rFonts w:cs="Times New Roman"/>
          <w:lang w:val="fr-CA"/>
        </w:rPr>
      </w:pPr>
      <w:r w:rsidRPr="00807A5C">
        <w:rPr>
          <w:rFonts w:cs="Times New Roman"/>
          <w:lang w:val="fr-CA"/>
        </w:rPr>
        <w:t>La GRC a initialement accepté cette position dans ses communications avec M</w:t>
      </w:r>
      <w:r w:rsidRPr="00807A5C">
        <w:rPr>
          <w:rFonts w:cs="Times New Roman"/>
          <w:vertAlign w:val="superscript"/>
          <w:lang w:val="fr-CA"/>
        </w:rPr>
        <w:t>me</w:t>
      </w:r>
      <w:r w:rsidRPr="00807A5C">
        <w:rPr>
          <w:rFonts w:cs="Times New Roman"/>
          <w:lang w:val="fr-CA"/>
        </w:rPr>
        <w:t> Pilgrim. Toutefois, par la suite, elle a adopté la position selon laquelle le partage de poste était du travail à temps partiel pour lequel les participants n’avaient pas le droit de racheter des périodes de service à temps plein ouvrant droit à pension.</w:t>
      </w:r>
    </w:p>
    <w:p w14:paraId="2F3A79A3" w14:textId="7DCCC244" w:rsidR="00804EA2" w:rsidRPr="00DA58A4" w:rsidRDefault="00804EA2" w:rsidP="00DA58A4">
      <w:pPr>
        <w:pStyle w:val="ParaNoNdepar-AltN"/>
        <w:rPr>
          <w:rFonts w:cs="Times New Roman"/>
          <w:lang w:val="fr-CA"/>
        </w:rPr>
      </w:pPr>
      <w:r w:rsidRPr="00807A5C">
        <w:rPr>
          <w:rFonts w:cs="Times New Roman"/>
          <w:lang w:val="fr-CA"/>
        </w:rPr>
        <w:t xml:space="preserve">Lorsqu’ils ont été informés qu’ils ne pourraient pas racheter de service à temps plein ouvrant droit à pension pour la période où ils partageaient un poste, les </w:t>
      </w:r>
      <w:r w:rsidRPr="00807A5C">
        <w:rPr>
          <w:rFonts w:cs="Times New Roman"/>
          <w:lang w:val="fr-CA"/>
        </w:rPr>
        <w:lastRenderedPageBreak/>
        <w:t>participants au programme ont fait part de leurs préoccupations auprès de la haute direction. Dans une note de service adressée au commissaire de la GRC, 14 femmes membres de la GRC dans l’ensemble du pays ont expliqué pourquoi elles considéraient que les conséquences du partage de poste sur leur pension étaient illogiques et injustes</w:t>
      </w:r>
      <w:r>
        <w:rPr>
          <w:rFonts w:cs="Times New Roman"/>
          <w:lang w:val="fr-CA"/>
        </w:rPr>
        <w:t> :</w:t>
      </w:r>
    </w:p>
    <w:p w14:paraId="715932C3" w14:textId="707397ED" w:rsidR="00804EA2" w:rsidRDefault="00804EA2" w:rsidP="00804EA2">
      <w:pPr>
        <w:pStyle w:val="Citation-AltC"/>
        <w:spacing w:after="240"/>
        <w:ind w:left="1168" w:hanging="1168"/>
        <w:contextualSpacing w:val="0"/>
        <w:rPr>
          <w:lang w:val="fr-CA"/>
        </w:rPr>
      </w:pPr>
      <w:r w:rsidRPr="00807A5C">
        <w:rPr>
          <w:lang w:val="fr-CA"/>
        </w:rPr>
        <w:tab/>
      </w:r>
      <w:r w:rsidRPr="00807A5C">
        <w:rPr>
          <w:lang w:val="fr-CA"/>
        </w:rPr>
        <w:tab/>
      </w:r>
      <w:r w:rsidR="00DA58A4" w:rsidRPr="00807A5C">
        <w:rPr>
          <w:lang w:val="fr-CA"/>
        </w:rPr>
        <w:t>[</w:t>
      </w:r>
      <w:r w:rsidR="00DA58A4" w:rsidRPr="00807A5C">
        <w:rPr>
          <w:smallCaps/>
          <w:lang w:val="fr-CA"/>
        </w:rPr>
        <w:t>traduction</w:t>
      </w:r>
      <w:r w:rsidR="00DA58A4" w:rsidRPr="00807A5C">
        <w:rPr>
          <w:lang w:val="fr-CA"/>
        </w:rPr>
        <w:t>]</w:t>
      </w:r>
      <w:r w:rsidRPr="00807A5C">
        <w:rPr>
          <w:lang w:val="fr-CA"/>
        </w:rPr>
        <w:t>Les membres qui reviennent travailler à temps plein après un congé de maternité, un congé non payé (CNP), un CNP autofinancé ou une mesure disciplinaire (suspension sans solde) ont la possibilité de racheter leurs droits à pension. Les membres qui reviennent au travail après un long congé de maladie et une longue mesure disciplinaire (suspension avec solde) conservent leurs droits à pension — même s’ils n’ont pas travaillé. Les membres qui ont quitté la Gendarmerie et sont réembauchés peuvent racheter leurs droits à pension. [. . .] Par conséquent, il serait logique que les membres qui reviennent travailler à temps plein après une entente de partage de poste aient le droit à la même possibilité de racheter leurs droits à pension.</w:t>
      </w:r>
    </w:p>
    <w:p w14:paraId="6091BF92" w14:textId="6C091A41" w:rsidR="00804EA2" w:rsidRPr="00807A5C" w:rsidRDefault="000B0DEF" w:rsidP="000B0DEF">
      <w:pPr>
        <w:pStyle w:val="Citation-AltC"/>
        <w:spacing w:after="240"/>
        <w:ind w:left="1168" w:hanging="1168"/>
        <w:contextualSpacing w:val="0"/>
        <w:jc w:val="center"/>
        <w:rPr>
          <w:lang w:val="fr-CA"/>
        </w:rPr>
      </w:pPr>
      <w:r>
        <w:rPr>
          <w:lang w:val="fr-CA"/>
        </w:rPr>
        <w:t>. . .</w:t>
      </w:r>
    </w:p>
    <w:p w14:paraId="526F3E79" w14:textId="77777777" w:rsidR="00804EA2" w:rsidRPr="00807A5C" w:rsidRDefault="00804EA2" w:rsidP="00804EA2">
      <w:pPr>
        <w:pStyle w:val="Citation-AltC"/>
        <w:ind w:hanging="1166"/>
        <w:rPr>
          <w:rFonts w:eastAsiaTheme="minorHAnsi"/>
          <w:lang w:val="fr-CA"/>
        </w:rPr>
      </w:pPr>
      <w:r w:rsidRPr="00807A5C">
        <w:rPr>
          <w:lang w:val="fr-CA"/>
        </w:rPr>
        <w:tab/>
      </w:r>
      <w:r w:rsidRPr="00807A5C">
        <w:rPr>
          <w:lang w:val="fr-CA"/>
        </w:rPr>
        <w:tab/>
        <w:t>Le partage de poste est une mesure progressiste, proactive et innovatrice pour la GRC. Il est temps d’aider les membres qui choisissent de partager un poste plutôt que de les pénaliser d’avoir choisi une possibilité qui leur a été offerte par la Gendarmerie. Il est important que la direction se rappelle que ce ne sont pas seulement les membres qui profitent du partage de poste, mais aussi la GRC. Cet arrangement permet à la Gendarmerie de conserver son investissement dans les ressources humaines et de garder des membres qui sont formés, compétents et qui ont de l’expérience. Il offre ainsi un bassin de gens qualifiés à qui on peut faire appel en situation d’urgence. Les membres qui partagent un poste se tiennent au fait des nouvelles technologies, lois et formations, entre autres, parce qu’ils continuent de travailler. Pourquoi la GRC pénalise</w:t>
      </w:r>
      <w:r>
        <w:rPr>
          <w:lang w:val="fr-CA"/>
        </w:rPr>
        <w:noBreakHyphen/>
      </w:r>
      <w:r w:rsidRPr="00807A5C">
        <w:rPr>
          <w:lang w:val="fr-CA"/>
        </w:rPr>
        <w:t>t</w:t>
      </w:r>
      <w:r>
        <w:rPr>
          <w:lang w:val="fr-CA"/>
        </w:rPr>
        <w:noBreakHyphen/>
      </w:r>
      <w:r w:rsidRPr="00807A5C">
        <w:rPr>
          <w:lang w:val="fr-CA"/>
        </w:rPr>
        <w:t>elle ceux qui choisissent de partager un poste alors qu’elle profite de l’arrangement?</w:t>
      </w:r>
      <w:r w:rsidRPr="00807A5C">
        <w:rPr>
          <w:rFonts w:eastAsiaTheme="minorHAnsi"/>
          <w:lang w:val="fr-CA"/>
        </w:rPr>
        <w:t xml:space="preserve"> </w:t>
      </w:r>
    </w:p>
    <w:p w14:paraId="10BC7A28" w14:textId="2E944A63" w:rsidR="00804EA2" w:rsidRPr="00807A5C" w:rsidRDefault="00804EA2" w:rsidP="00804EA2">
      <w:pPr>
        <w:pStyle w:val="ParaNoNdepar-AltN"/>
        <w:rPr>
          <w:rFonts w:cs="Times New Roman"/>
          <w:lang w:val="fr-CA"/>
        </w:rPr>
      </w:pPr>
      <w:r w:rsidRPr="00807A5C">
        <w:rPr>
          <w:rFonts w:cs="Times New Roman"/>
          <w:lang w:val="fr-CA"/>
        </w:rPr>
        <w:t>Le commissaire adjoint de la GRC de l’époque, G.</w:t>
      </w:r>
      <w:r>
        <w:rPr>
          <w:rFonts w:cs="Times New Roman"/>
          <w:lang w:val="fr-CA"/>
        </w:rPr>
        <w:t> </w:t>
      </w:r>
      <w:r w:rsidRPr="00807A5C">
        <w:rPr>
          <w:rFonts w:cs="Times New Roman"/>
          <w:lang w:val="fr-CA"/>
        </w:rPr>
        <w:t>J. Loeppky, a répondu à la note de service et a reconnu qu’il [</w:t>
      </w:r>
      <w:r w:rsidRPr="00807A5C">
        <w:rPr>
          <w:rFonts w:cs="Times New Roman"/>
          <w:smallCaps/>
          <w:lang w:val="fr-CA"/>
        </w:rPr>
        <w:t>traduction</w:t>
      </w:r>
      <w:r w:rsidRPr="00807A5C">
        <w:rPr>
          <w:rFonts w:cs="Times New Roman"/>
          <w:lang w:val="fr-CA"/>
        </w:rPr>
        <w:t>] « y avait peut</w:t>
      </w:r>
      <w:r>
        <w:rPr>
          <w:rFonts w:cs="Times New Roman"/>
          <w:lang w:val="fr-CA"/>
        </w:rPr>
        <w:noBreakHyphen/>
      </w:r>
      <w:r w:rsidRPr="00807A5C">
        <w:rPr>
          <w:rFonts w:cs="Times New Roman"/>
          <w:lang w:val="fr-CA"/>
        </w:rPr>
        <w:t xml:space="preserve">être un élément d’iniquité » dans l’approche de la GRC. Il a soumis la question au Comité consultatif des pensions de retraite de la GRC, qui a retenu les services d’un actuaire afin d’obtenir </w:t>
      </w:r>
      <w:r w:rsidRPr="00807A5C">
        <w:rPr>
          <w:rFonts w:cs="Times New Roman"/>
          <w:lang w:val="fr-CA"/>
        </w:rPr>
        <w:lastRenderedPageBreak/>
        <w:t xml:space="preserve">des conseils sur les options disponibles. L’actuaire a reconnu que le régime de pension de la GRC pouvait être modifié en vertu de la </w:t>
      </w:r>
      <w:r w:rsidRPr="00807A5C">
        <w:rPr>
          <w:rFonts w:cs="Times New Roman"/>
          <w:i/>
          <w:lang w:val="fr-CA"/>
        </w:rPr>
        <w:t>Loi de l’impôt sur le revenu</w:t>
      </w:r>
      <w:r w:rsidRPr="00807A5C">
        <w:rPr>
          <w:rFonts w:cs="Times New Roman"/>
          <w:lang w:val="fr-CA"/>
        </w:rPr>
        <w:t xml:space="preserve"> et du </w:t>
      </w:r>
      <w:r w:rsidRPr="00807A5C">
        <w:rPr>
          <w:rFonts w:cs="Times New Roman"/>
          <w:i/>
          <w:lang w:val="fr-CA"/>
        </w:rPr>
        <w:t>Règlement de l’impôt sur le revenu</w:t>
      </w:r>
      <w:r w:rsidR="00192947">
        <w:rPr>
          <w:rStyle w:val="FootnoteReference"/>
          <w:rFonts w:cs="Times New Roman"/>
          <w:i/>
          <w:lang w:val="fr-CA"/>
        </w:rPr>
        <w:footnoteReference w:id="3"/>
      </w:r>
      <w:r w:rsidRPr="00807A5C">
        <w:rPr>
          <w:rFonts w:cs="Times New Roman"/>
          <w:lang w:val="fr-CA"/>
        </w:rPr>
        <w:t xml:space="preserve"> afin d’étendre les droits de rachat de pension aux participants au programme de partage de poste. Il a noté que la souplesse prévue au </w:t>
      </w:r>
      <w:r w:rsidRPr="00807A5C">
        <w:rPr>
          <w:rFonts w:cs="Times New Roman"/>
          <w:i/>
          <w:lang w:val="fr-CA"/>
        </w:rPr>
        <w:t xml:space="preserve">Règlement de l’impôt sur le revenu </w:t>
      </w:r>
      <w:r w:rsidRPr="00807A5C">
        <w:rPr>
          <w:rFonts w:cs="Times New Roman"/>
          <w:lang w:val="fr-CA"/>
        </w:rPr>
        <w:t>[</w:t>
      </w:r>
      <w:r w:rsidRPr="00807A5C">
        <w:rPr>
          <w:rFonts w:cs="Times New Roman"/>
          <w:smallCaps/>
          <w:lang w:val="fr-CA"/>
        </w:rPr>
        <w:t>traduction</w:t>
      </w:r>
      <w:r w:rsidRPr="00807A5C">
        <w:rPr>
          <w:rFonts w:cs="Times New Roman"/>
          <w:lang w:val="fr-CA"/>
        </w:rPr>
        <w:t>] « est particulièrement utile pour répondre aux demandes de réduction des heures de travail des employés à diverses étapes de leur vie familiale ou de leur carrière » (</w:t>
      </w:r>
      <w:r>
        <w:rPr>
          <w:rFonts w:cs="Times New Roman"/>
          <w:lang w:val="fr-CA"/>
        </w:rPr>
        <w:t>p. </w:t>
      </w:r>
      <w:r w:rsidRPr="00807A5C">
        <w:rPr>
          <w:rFonts w:cs="Times New Roman"/>
          <w:lang w:val="fr-CA"/>
        </w:rPr>
        <w:t>459).</w:t>
      </w:r>
    </w:p>
    <w:p w14:paraId="08CFE134" w14:textId="2B07DFB1" w:rsidR="00804EA2" w:rsidRPr="002D413D" w:rsidRDefault="00804EA2" w:rsidP="002D413D">
      <w:pPr>
        <w:pStyle w:val="ParaNoNdepar-AltN"/>
        <w:rPr>
          <w:rFonts w:cs="Times New Roman"/>
          <w:lang w:val="fr-CA"/>
        </w:rPr>
      </w:pPr>
      <w:r w:rsidRPr="00807A5C">
        <w:rPr>
          <w:rFonts w:cs="Times New Roman"/>
          <w:lang w:val="fr-CA"/>
        </w:rPr>
        <w:t>Alors que ce processus était en cours, trois employées de la GRC ont déposé des griefs internes pour contester le rejet de leurs demandes de rachat de service à temps plein ouvrant droit à pension pour la période où elles ont partagé un poste. Le Comité externe d’examen de la GRC a rendu une décision en leur faveur. Selon lui, il n’y avait aucun obstacle d’ordre juridique à ce que la GRC définisse le partage de poste comme une combinaison d’heures travaillées et de période de congé non payé. Le Comité a cité une politique similaire du Conseil du Trésor au sujet des heures de travail de certains fonctionnaires sur le point de prendre leur retraite</w:t>
      </w:r>
      <w:r>
        <w:rPr>
          <w:rFonts w:cs="Times New Roman"/>
          <w:lang w:val="fr-CA"/>
        </w:rPr>
        <w:t> :</w:t>
      </w:r>
    </w:p>
    <w:p w14:paraId="29FF2FE7" w14:textId="39DB5094" w:rsidR="00804EA2" w:rsidRPr="00807A5C" w:rsidRDefault="00804EA2" w:rsidP="00804EA2">
      <w:pPr>
        <w:pStyle w:val="Citation-AltC"/>
        <w:ind w:hanging="1166"/>
        <w:rPr>
          <w:lang w:val="fr-CA"/>
        </w:rPr>
      </w:pPr>
      <w:r w:rsidRPr="00807A5C">
        <w:rPr>
          <w:lang w:val="fr-CA"/>
        </w:rPr>
        <w:tab/>
      </w:r>
      <w:r>
        <w:rPr>
          <w:lang w:val="fr-CA"/>
        </w:rPr>
        <w:tab/>
      </w:r>
      <w:r w:rsidR="002D413D" w:rsidRPr="00807A5C">
        <w:rPr>
          <w:lang w:val="fr-CA"/>
        </w:rPr>
        <w:t>[</w:t>
      </w:r>
      <w:r w:rsidR="002D413D" w:rsidRPr="00807A5C">
        <w:rPr>
          <w:smallCaps/>
          <w:lang w:val="fr-CA"/>
        </w:rPr>
        <w:t>traduction</w:t>
      </w:r>
      <w:r w:rsidR="002D413D" w:rsidRPr="00807A5C">
        <w:rPr>
          <w:lang w:val="fr-CA"/>
        </w:rPr>
        <w:t xml:space="preserve">] </w:t>
      </w:r>
      <w:r w:rsidR="002D413D">
        <w:rPr>
          <w:lang w:val="fr-CA"/>
        </w:rPr>
        <w:t>. . .</w:t>
      </w:r>
      <w:r w:rsidRPr="00807A5C">
        <w:rPr>
          <w:lang w:val="fr-CA"/>
        </w:rPr>
        <w:t xml:space="preserve"> il existe un précédent pour une telle catégorisation. En 1999, le Conseil du Trésor a mis en place un programme de congé de transition préalable à la retraite en créant la </w:t>
      </w:r>
      <w:r w:rsidRPr="00410FE8">
        <w:rPr>
          <w:i/>
          <w:lang w:val="fr-CA"/>
        </w:rPr>
        <w:t>Politique sur les congés de transition préalable à la retraite</w:t>
      </w:r>
      <w:r w:rsidRPr="00807A5C">
        <w:rPr>
          <w:lang w:val="fr-CA"/>
        </w:rPr>
        <w:t xml:space="preserve">. Cette politique permettait à certains employés de la fonction publique près de la retraite de réduire leurs heures de travail jusqu’à un maximum de 40 %. Leur paie était réduite en conséquence, mais les heures non travaillées étaient traitées comme des </w:t>
      </w:r>
      <w:r w:rsidRPr="00807A5C">
        <w:rPr>
          <w:lang w:val="fr-CA"/>
        </w:rPr>
        <w:lastRenderedPageBreak/>
        <w:t>congés non payés pour la paie, les déductions, les allocations, les autres congés, les avantages sociaux et les pensions.</w:t>
      </w:r>
    </w:p>
    <w:p w14:paraId="3DDD8A9C" w14:textId="77777777" w:rsidR="00804EA2" w:rsidRPr="00807A5C" w:rsidRDefault="00804EA2" w:rsidP="00804EA2">
      <w:pPr>
        <w:pStyle w:val="ParaNoNdepar-AltN"/>
        <w:rPr>
          <w:rFonts w:cs="Times New Roman"/>
          <w:lang w:val="fr-CA"/>
        </w:rPr>
      </w:pPr>
      <w:r w:rsidRPr="00807A5C">
        <w:rPr>
          <w:rFonts w:cs="Times New Roman"/>
          <w:lang w:val="fr-CA"/>
        </w:rPr>
        <w:t>Le commissaire par intérim de la GRC, William Sweeney, n’a pas suivi les recommandations du Comité externe d’examen et a rejeté les griefs. À son avis, il était légalement impossible de définir le partage de poste comme étant une combinaison de travail à temps plein et de congé non payé. Même s’il était [</w:t>
      </w:r>
      <w:r w:rsidRPr="00807A5C">
        <w:rPr>
          <w:rFonts w:cs="Times New Roman"/>
          <w:smallCaps/>
          <w:lang w:val="fr-CA"/>
        </w:rPr>
        <w:t>traduction</w:t>
      </w:r>
      <w:r w:rsidRPr="00807A5C">
        <w:rPr>
          <w:rFonts w:cs="Times New Roman"/>
          <w:lang w:val="fr-CA"/>
        </w:rPr>
        <w:t>] « extrêmement sensible » aux griefs, il a conclu que le fait de considérer le partage de poste comme du travail à temps partiel n’était pas discriminatoire.</w:t>
      </w:r>
    </w:p>
    <w:p w14:paraId="771B4667" w14:textId="77777777" w:rsidR="00804EA2" w:rsidRPr="00807A5C" w:rsidRDefault="00804EA2" w:rsidP="00804EA2">
      <w:pPr>
        <w:pStyle w:val="ParaNoNdepar-AltN"/>
        <w:rPr>
          <w:rFonts w:cs="Times New Roman"/>
          <w:lang w:val="fr-CA"/>
        </w:rPr>
      </w:pPr>
      <w:r w:rsidRPr="00807A5C">
        <w:rPr>
          <w:rFonts w:cs="Times New Roman"/>
          <w:lang w:val="fr-CA"/>
        </w:rPr>
        <w:t>Par suite de la décision du commissaire, M</w:t>
      </w:r>
      <w:r w:rsidRPr="00807A5C">
        <w:rPr>
          <w:rFonts w:cs="Times New Roman"/>
          <w:vertAlign w:val="superscript"/>
          <w:lang w:val="fr-CA"/>
        </w:rPr>
        <w:t>me</w:t>
      </w:r>
      <w:r w:rsidRPr="00807A5C">
        <w:rPr>
          <w:rFonts w:cs="Times New Roman"/>
          <w:lang w:val="fr-CA"/>
        </w:rPr>
        <w:t> Fraser, M</w:t>
      </w:r>
      <w:r w:rsidRPr="00807A5C">
        <w:rPr>
          <w:rFonts w:cs="Times New Roman"/>
          <w:vertAlign w:val="superscript"/>
          <w:lang w:val="fr-CA"/>
        </w:rPr>
        <w:t>me</w:t>
      </w:r>
      <w:r w:rsidRPr="00807A5C">
        <w:rPr>
          <w:rFonts w:cs="Times New Roman"/>
          <w:lang w:val="fr-CA"/>
        </w:rPr>
        <w:t> Fox et M</w:t>
      </w:r>
      <w:r w:rsidRPr="00807A5C">
        <w:rPr>
          <w:rFonts w:cs="Times New Roman"/>
          <w:vertAlign w:val="superscript"/>
          <w:lang w:val="fr-CA"/>
        </w:rPr>
        <w:t>me</w:t>
      </w:r>
      <w:r w:rsidRPr="00807A5C">
        <w:rPr>
          <w:rFonts w:cs="Times New Roman"/>
          <w:lang w:val="fr-CA"/>
        </w:rPr>
        <w:t xml:space="preserve"> Pilgrim ont déposé la présente demande fondée sur la </w:t>
      </w:r>
      <w:r w:rsidRPr="00807A5C">
        <w:rPr>
          <w:rFonts w:cs="Times New Roman"/>
          <w:i/>
          <w:lang w:val="fr-CA"/>
        </w:rPr>
        <w:t>Charte</w:t>
      </w:r>
      <w:r w:rsidRPr="00807A5C">
        <w:rPr>
          <w:rFonts w:cs="Times New Roman"/>
          <w:lang w:val="fr-CA"/>
        </w:rPr>
        <w:t xml:space="preserve">. Elles ont fait valoir deux points. Premièrement, elles ont affirmé que le régime de pension, interprété correctement, permet à ceux qui participent au programme de partage de poste de racheter des périodes de service à temps plein ouvrant droit à pension. Deuxièmement, si cela </w:t>
      </w:r>
      <w:r w:rsidRPr="00807A5C">
        <w:rPr>
          <w:rFonts w:cs="Times New Roman"/>
          <w:i/>
          <w:lang w:val="fr-CA"/>
        </w:rPr>
        <w:t>n’</w:t>
      </w:r>
      <w:r w:rsidRPr="00807A5C">
        <w:rPr>
          <w:rFonts w:cs="Times New Roman"/>
          <w:lang w:val="fr-CA"/>
        </w:rPr>
        <w:t xml:space="preserve">était </w:t>
      </w:r>
      <w:r w:rsidRPr="00807A5C">
        <w:rPr>
          <w:rFonts w:cs="Times New Roman"/>
          <w:i/>
          <w:lang w:val="fr-CA"/>
        </w:rPr>
        <w:t>pas</w:t>
      </w:r>
      <w:r w:rsidRPr="00807A5C">
        <w:rPr>
          <w:rFonts w:cs="Times New Roman"/>
          <w:lang w:val="fr-CA"/>
        </w:rPr>
        <w:t xml:space="preserve"> possible, elles ont soutenu que le régime de pension enfreignait le </w:t>
      </w:r>
      <w:r>
        <w:rPr>
          <w:rFonts w:cs="Times New Roman"/>
          <w:lang w:val="fr-CA"/>
        </w:rPr>
        <w:t>par. </w:t>
      </w:r>
      <w:r w:rsidRPr="00807A5C">
        <w:rPr>
          <w:rFonts w:cs="Times New Roman"/>
          <w:lang w:val="fr-CA"/>
        </w:rPr>
        <w:t xml:space="preserve">15(1) de la </w:t>
      </w:r>
      <w:r w:rsidRPr="00807A5C">
        <w:rPr>
          <w:rFonts w:cs="Times New Roman"/>
          <w:i/>
          <w:lang w:val="fr-CA"/>
        </w:rPr>
        <w:t>Charte</w:t>
      </w:r>
      <w:r w:rsidRPr="00807A5C">
        <w:rPr>
          <w:rFonts w:cs="Times New Roman"/>
          <w:lang w:val="fr-CA"/>
        </w:rPr>
        <w:t xml:space="preserve"> parce qu’il empêchait les femmes ayant des enfants — soit la majorité des participants au programme — de contribuer à leurs pensions au même titre que les membres qui travaillent à temps plein ou qui prennent des congés non payés. Pour appuyer leur demande, M</w:t>
      </w:r>
      <w:r w:rsidRPr="00807A5C">
        <w:rPr>
          <w:rFonts w:cs="Times New Roman"/>
          <w:vertAlign w:val="superscript"/>
          <w:lang w:val="fr-CA"/>
        </w:rPr>
        <w:t>me</w:t>
      </w:r>
      <w:r w:rsidRPr="00807A5C">
        <w:rPr>
          <w:rFonts w:cs="Times New Roman"/>
          <w:lang w:val="fr-CA"/>
        </w:rPr>
        <w:t> Fraser, M</w:t>
      </w:r>
      <w:r w:rsidRPr="00807A5C">
        <w:rPr>
          <w:rFonts w:cs="Times New Roman"/>
          <w:vertAlign w:val="superscript"/>
          <w:lang w:val="fr-CA"/>
        </w:rPr>
        <w:t>me</w:t>
      </w:r>
      <w:r w:rsidRPr="00807A5C">
        <w:rPr>
          <w:rFonts w:cs="Times New Roman"/>
          <w:lang w:val="fr-CA"/>
        </w:rPr>
        <w:t> Fox et M</w:t>
      </w:r>
      <w:r w:rsidRPr="00807A5C">
        <w:rPr>
          <w:rFonts w:cs="Times New Roman"/>
          <w:vertAlign w:val="superscript"/>
          <w:lang w:val="fr-CA"/>
        </w:rPr>
        <w:t>me</w:t>
      </w:r>
      <w:r w:rsidRPr="00807A5C">
        <w:rPr>
          <w:rFonts w:cs="Times New Roman"/>
          <w:lang w:val="fr-CA"/>
        </w:rPr>
        <w:t xml:space="preserve"> Pilgrim ont déposé des témoignages d’experts et d’autres documents portant sur les désavantages auxquels les femmes ayant des enfants font face sur le marché du travail. </w:t>
      </w:r>
    </w:p>
    <w:p w14:paraId="6C68E569" w14:textId="77777777" w:rsidR="00804EA2" w:rsidRPr="00807A5C" w:rsidRDefault="00804EA2" w:rsidP="00804EA2">
      <w:pPr>
        <w:pStyle w:val="ParaNoNdepar-AltN"/>
        <w:rPr>
          <w:rFonts w:cs="Times New Roman"/>
          <w:lang w:val="fr-CA"/>
        </w:rPr>
      </w:pPr>
      <w:r w:rsidRPr="00807A5C">
        <w:rPr>
          <w:rFonts w:cs="Times New Roman"/>
          <w:lang w:val="fr-CA"/>
        </w:rPr>
        <w:lastRenderedPageBreak/>
        <w:t xml:space="preserve">La juge de première instance a conclu que le partage de poste constituait un travail à temps partiel pour lequel les participants ne peuvent pas racheter du service à temps plein ouvrant droit à pension. À son avis, cette conclusion ne contrevenait pas au </w:t>
      </w:r>
      <w:r>
        <w:rPr>
          <w:rFonts w:cs="Times New Roman"/>
          <w:lang w:val="fr-CA"/>
        </w:rPr>
        <w:t>par. </w:t>
      </w:r>
      <w:r w:rsidRPr="00807A5C">
        <w:rPr>
          <w:rFonts w:cs="Times New Roman"/>
          <w:lang w:val="fr-CA"/>
        </w:rPr>
        <w:t>15(1) parce qu’il n’y avait pas suffisamment d’éléments de preuve pour démontrer que le partage de poste était désavantageux par rapport au congé non payé. Même en supposant que le partage de poste ait des conséquences négatives, celles</w:t>
      </w:r>
      <w:r>
        <w:rPr>
          <w:rFonts w:cs="Times New Roman"/>
          <w:lang w:val="fr-CA"/>
        </w:rPr>
        <w:noBreakHyphen/>
      </w:r>
      <w:r w:rsidRPr="00807A5C">
        <w:rPr>
          <w:rFonts w:cs="Times New Roman"/>
          <w:lang w:val="fr-CA"/>
        </w:rPr>
        <w:t xml:space="preserve">ci découlaient du choix du participant de s’inscrire au programme. La demande fondée sur la </w:t>
      </w:r>
      <w:r w:rsidRPr="00807A5C">
        <w:rPr>
          <w:rFonts w:cs="Times New Roman"/>
          <w:i/>
          <w:lang w:val="fr-CA"/>
        </w:rPr>
        <w:t>Charte</w:t>
      </w:r>
      <w:r w:rsidRPr="00807A5C">
        <w:rPr>
          <w:rFonts w:cs="Times New Roman"/>
          <w:lang w:val="fr-CA"/>
        </w:rPr>
        <w:t xml:space="preserve"> a donc été rejetée.</w:t>
      </w:r>
    </w:p>
    <w:p w14:paraId="0F35E110" w14:textId="77777777" w:rsidR="00804EA2" w:rsidRPr="00807A5C" w:rsidRDefault="00804EA2" w:rsidP="00804EA2">
      <w:pPr>
        <w:pStyle w:val="ParaNoNdepar-AltN"/>
        <w:rPr>
          <w:rFonts w:cs="Times New Roman"/>
          <w:lang w:val="fr-CA"/>
        </w:rPr>
      </w:pPr>
      <w:r w:rsidRPr="00807A5C">
        <w:rPr>
          <w:rFonts w:cs="Times New Roman"/>
          <w:lang w:val="fr-CA"/>
        </w:rPr>
        <w:t>L’appel interjeté à la Cour d’appel fédérale a également été rejeté. La cour a jugé que les membres de la GRC qui partageaient un poste ne recevaient pas une rémunération inférieure à celle des membres en congé non payé et que tout effet préjudiciable subi par les participants au programme de partage de poste découlait de leur choix de travailler à temps partiel et non du régime de pension.</w:t>
      </w:r>
    </w:p>
    <w:p w14:paraId="2107D64A" w14:textId="77777777" w:rsidR="00804EA2" w:rsidRPr="00807A5C" w:rsidRDefault="00804EA2" w:rsidP="00804EA2">
      <w:pPr>
        <w:pStyle w:val="ParaNoNdepar-AltN"/>
        <w:rPr>
          <w:rFonts w:cs="Times New Roman"/>
          <w:lang w:val="fr-CA"/>
        </w:rPr>
      </w:pPr>
      <w:r w:rsidRPr="00807A5C">
        <w:rPr>
          <w:rFonts w:cs="Times New Roman"/>
          <w:lang w:val="fr-CA"/>
        </w:rPr>
        <w:t>Pour les motifs qui suivent, j’accueillerais le pourvoi.</w:t>
      </w:r>
    </w:p>
    <w:p w14:paraId="44B4A68E" w14:textId="77777777" w:rsidR="00804EA2" w:rsidRPr="00807A5C" w:rsidRDefault="00804EA2" w:rsidP="00804EA2">
      <w:pPr>
        <w:pStyle w:val="Title1LevelTitre1Niveau-AltL"/>
        <w:numPr>
          <w:ilvl w:val="0"/>
          <w:numId w:val="0"/>
        </w:numPr>
        <w:ind w:left="576" w:hanging="576"/>
        <w:rPr>
          <w:rFonts w:cs="Times New Roman"/>
          <w:lang w:val="fr-CA"/>
        </w:rPr>
      </w:pPr>
      <w:r w:rsidRPr="00807A5C">
        <w:rPr>
          <w:rFonts w:cs="Times New Roman"/>
          <w:lang w:val="fr-CA"/>
        </w:rPr>
        <w:t>Analyse</w:t>
      </w:r>
    </w:p>
    <w:p w14:paraId="61666EF9" w14:textId="725EBC93" w:rsidR="00804EA2" w:rsidRPr="00807A5C" w:rsidRDefault="00804EA2" w:rsidP="00804EA2">
      <w:pPr>
        <w:pStyle w:val="ParaNoNdepar-AltN"/>
        <w:rPr>
          <w:rFonts w:cs="Times New Roman"/>
          <w:lang w:val="fr-CA"/>
        </w:rPr>
      </w:pPr>
      <w:r w:rsidRPr="00807A5C">
        <w:rPr>
          <w:rFonts w:cs="Times New Roman"/>
          <w:lang w:val="fr-CA"/>
        </w:rPr>
        <w:t>Contrairement aux membres à temps plein qui ont un horaire de travail régulier</w:t>
      </w:r>
      <w:r w:rsidR="003D7C9E">
        <w:rPr>
          <w:rStyle w:val="FootnoteReference"/>
          <w:rFonts w:cs="Times New Roman"/>
          <w:lang w:val="fr-CA"/>
        </w:rPr>
        <w:footnoteReference w:id="4"/>
      </w:r>
      <w:r w:rsidRPr="00807A5C">
        <w:rPr>
          <w:rFonts w:cs="Times New Roman"/>
          <w:lang w:val="fr-CA"/>
        </w:rPr>
        <w:t xml:space="preserve">, qui sont suspendus ou qui prennent des congés non payés, les membres à temps plein de la GRC qui partagent un poste sont considérés comme des travailleurs </w:t>
      </w:r>
      <w:r w:rsidRPr="00807A5C">
        <w:rPr>
          <w:rFonts w:cs="Times New Roman"/>
          <w:lang w:val="fr-CA"/>
        </w:rPr>
        <w:lastRenderedPageBreak/>
        <w:t xml:space="preserve">à temps partiel au sens du </w:t>
      </w:r>
      <w:r w:rsidRPr="00807A5C">
        <w:rPr>
          <w:rFonts w:cs="Times New Roman"/>
          <w:i/>
          <w:iCs/>
          <w:lang w:val="fr-CA"/>
        </w:rPr>
        <w:t>Règlement</w:t>
      </w:r>
      <w:r w:rsidRPr="00807A5C">
        <w:rPr>
          <w:rFonts w:cs="Times New Roman"/>
          <w:lang w:val="fr-CA"/>
        </w:rPr>
        <w:t xml:space="preserve"> et ne peuvent pas, selon les modalités du régime de pension, racheter des périodes de service à temps plein ouvrant droit à pension. M</w:t>
      </w:r>
      <w:r w:rsidRPr="00807A5C">
        <w:rPr>
          <w:rFonts w:cs="Times New Roman"/>
          <w:vertAlign w:val="superscript"/>
          <w:lang w:val="fr-CA"/>
        </w:rPr>
        <w:t>me</w:t>
      </w:r>
      <w:r w:rsidRPr="00807A5C">
        <w:rPr>
          <w:rFonts w:cs="Times New Roman"/>
          <w:lang w:val="fr-CA"/>
        </w:rPr>
        <w:t xml:space="preserve"> Fraser et ses collègues soutiennent que cette restriction constitue une violation du </w:t>
      </w:r>
      <w:r>
        <w:rPr>
          <w:rFonts w:cs="Times New Roman"/>
          <w:lang w:val="fr-CA"/>
        </w:rPr>
        <w:t>par. </w:t>
      </w:r>
      <w:r w:rsidRPr="00807A5C">
        <w:rPr>
          <w:rFonts w:cs="Times New Roman"/>
          <w:lang w:val="fr-CA"/>
        </w:rPr>
        <w:t xml:space="preserve">15(1) de la </w:t>
      </w:r>
      <w:r w:rsidRPr="00807A5C">
        <w:rPr>
          <w:rFonts w:cs="Times New Roman"/>
          <w:i/>
          <w:lang w:val="fr-CA"/>
        </w:rPr>
        <w:t>Charte</w:t>
      </w:r>
      <w:r w:rsidRPr="00807A5C">
        <w:rPr>
          <w:rFonts w:cs="Times New Roman"/>
          <w:lang w:val="fr-CA"/>
        </w:rPr>
        <w:t xml:space="preserve"> fondée sur le sexe ou, à titre subsidiaire, sur le statut de famille ou le statut de parent.</w:t>
      </w:r>
    </w:p>
    <w:p w14:paraId="31BC3B0C" w14:textId="77777777" w:rsidR="00804EA2" w:rsidRPr="00807A5C" w:rsidRDefault="00804EA2" w:rsidP="00804EA2">
      <w:pPr>
        <w:pStyle w:val="ParaNoNdepar-AltN"/>
        <w:rPr>
          <w:rFonts w:cs="Times New Roman"/>
          <w:lang w:val="fr-CA"/>
        </w:rPr>
      </w:pPr>
      <w:r w:rsidRPr="00807A5C">
        <w:rPr>
          <w:rFonts w:cs="Times New Roman"/>
          <w:lang w:val="fr-CA"/>
        </w:rPr>
        <w:t xml:space="preserve">Le paragraphe 15(1) de la </w:t>
      </w:r>
      <w:r w:rsidRPr="00807A5C">
        <w:rPr>
          <w:rFonts w:cs="Times New Roman"/>
          <w:i/>
          <w:lang w:val="fr-CA"/>
        </w:rPr>
        <w:t>Charte</w:t>
      </w:r>
      <w:r w:rsidRPr="00807A5C">
        <w:rPr>
          <w:rFonts w:cs="Times New Roman"/>
          <w:lang w:val="fr-CA"/>
        </w:rPr>
        <w:t xml:space="preserve"> prévoit ce qui suit</w:t>
      </w:r>
      <w:r>
        <w:rPr>
          <w:rFonts w:cs="Times New Roman"/>
          <w:lang w:val="fr-CA"/>
        </w:rPr>
        <w:t> :</w:t>
      </w:r>
    </w:p>
    <w:p w14:paraId="1D32071D" w14:textId="77777777" w:rsidR="00804EA2" w:rsidRPr="00807A5C" w:rsidRDefault="00804EA2" w:rsidP="00804EA2">
      <w:pPr>
        <w:pStyle w:val="Citation-AltC"/>
        <w:ind w:hanging="1166"/>
        <w:rPr>
          <w:lang w:val="fr-CA"/>
        </w:rPr>
      </w:pPr>
      <w:r>
        <w:rPr>
          <w:b/>
          <w:lang w:val="fr-CA"/>
        </w:rPr>
        <w:tab/>
      </w:r>
      <w:r w:rsidRPr="00807A5C">
        <w:rPr>
          <w:b/>
          <w:lang w:val="fr-CA"/>
        </w:rPr>
        <w:t>15.</w:t>
      </w:r>
      <w:r w:rsidRPr="00807A5C">
        <w:rPr>
          <w:lang w:val="fr-CA"/>
        </w:rPr>
        <w:t xml:space="preserve"> (1) La loi ne fait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 </w:t>
      </w:r>
    </w:p>
    <w:p w14:paraId="2347AF84" w14:textId="77777777" w:rsidR="00804EA2" w:rsidRPr="00807A5C" w:rsidRDefault="00804EA2" w:rsidP="00804EA2">
      <w:pPr>
        <w:pStyle w:val="ParaNoNdepar-AltN"/>
        <w:tabs>
          <w:tab w:val="clear" w:pos="1152"/>
          <w:tab w:val="left" w:pos="1166"/>
        </w:tabs>
        <w:rPr>
          <w:rFonts w:cs="Times New Roman"/>
          <w:lang w:val="fr-CA"/>
        </w:rPr>
      </w:pPr>
      <w:r w:rsidRPr="00807A5C">
        <w:rPr>
          <w:rFonts w:cs="Times New Roman"/>
          <w:lang w:val="fr-CA"/>
        </w:rPr>
        <w:t>Le paragraphe 15(1) reflète un engagement profond à promouvoir l’égalité et à prévenir la discrimination contre les groupes défavorisés (</w:t>
      </w:r>
      <w:r w:rsidRPr="00807A5C">
        <w:rPr>
          <w:rFonts w:cs="Times New Roman"/>
          <w:i/>
          <w:lang w:val="fr-CA"/>
        </w:rPr>
        <w:t>Québec (Procureur général) c. A</w:t>
      </w:r>
      <w:r w:rsidRPr="00807A5C">
        <w:rPr>
          <w:rFonts w:cs="Times New Roman"/>
          <w:lang w:val="fr-CA"/>
        </w:rPr>
        <w:t xml:space="preserve">, </w:t>
      </w:r>
      <w:r w:rsidRPr="00807A5C">
        <w:rPr>
          <w:rFonts w:cs="Times New Roman"/>
          <w:bCs/>
          <w:lang w:val="fr-CA"/>
        </w:rPr>
        <w:t>[2013] 1 R.C.S. 61</w:t>
      </w:r>
      <w:r w:rsidRPr="00807A5C">
        <w:rPr>
          <w:rFonts w:cs="Times New Roman"/>
          <w:lang w:val="fr-CA"/>
        </w:rPr>
        <w:t xml:space="preserve">, </w:t>
      </w:r>
      <w:r>
        <w:rPr>
          <w:rFonts w:cs="Times New Roman"/>
          <w:lang w:val="fr-CA"/>
        </w:rPr>
        <w:t>par. </w:t>
      </w:r>
      <w:r w:rsidRPr="00807A5C">
        <w:rPr>
          <w:rFonts w:cs="Times New Roman"/>
          <w:lang w:val="fr-CA"/>
        </w:rPr>
        <w:t xml:space="preserve">332; </w:t>
      </w:r>
      <w:r w:rsidRPr="00807A5C">
        <w:rPr>
          <w:rFonts w:cs="Times New Roman"/>
          <w:i/>
          <w:lang w:val="fr-CA"/>
        </w:rPr>
        <w:t xml:space="preserve">Première Nation de </w:t>
      </w:r>
      <w:r w:rsidRPr="00807A5C">
        <w:rPr>
          <w:rFonts w:cs="Times New Roman"/>
          <w:bCs/>
          <w:i/>
          <w:iCs/>
          <w:lang w:val="fr-CA"/>
        </w:rPr>
        <w:t>Kahkewistahaw c. Taypotat</w:t>
      </w:r>
      <w:r w:rsidRPr="00807A5C">
        <w:rPr>
          <w:rFonts w:cs="Times New Roman"/>
          <w:bCs/>
          <w:lang w:val="fr-CA"/>
        </w:rPr>
        <w:t xml:space="preserve">, [2015] 2 R.C.S. 548, </w:t>
      </w:r>
      <w:r>
        <w:rPr>
          <w:rFonts w:cs="Times New Roman"/>
          <w:bCs/>
          <w:lang w:val="fr-CA"/>
        </w:rPr>
        <w:t>par. </w:t>
      </w:r>
      <w:r w:rsidRPr="00807A5C">
        <w:rPr>
          <w:rFonts w:cs="Times New Roman"/>
          <w:bCs/>
          <w:lang w:val="fr-CA"/>
        </w:rPr>
        <w:t>19</w:t>
      </w:r>
      <w:r>
        <w:rPr>
          <w:rFonts w:cs="Times New Roman"/>
          <w:bCs/>
          <w:lang w:val="fr-CA"/>
        </w:rPr>
        <w:noBreakHyphen/>
      </w:r>
      <w:r w:rsidRPr="00807A5C">
        <w:rPr>
          <w:rFonts w:cs="Times New Roman"/>
          <w:bCs/>
          <w:lang w:val="fr-CA"/>
        </w:rPr>
        <w:t>20</w:t>
      </w:r>
      <w:r w:rsidRPr="00807A5C">
        <w:rPr>
          <w:rFonts w:cs="Times New Roman"/>
          <w:lang w:val="fr-CA"/>
        </w:rPr>
        <w:t xml:space="preserve">). Pour prouver une violation </w:t>
      </w:r>
      <w:r w:rsidRPr="00807A5C">
        <w:rPr>
          <w:rFonts w:cs="Times New Roman"/>
          <w:i/>
          <w:lang w:val="fr-CA"/>
        </w:rPr>
        <w:t xml:space="preserve">prima facie </w:t>
      </w:r>
      <w:r w:rsidRPr="00807A5C">
        <w:rPr>
          <w:rFonts w:cs="Times New Roman"/>
          <w:lang w:val="fr-CA"/>
        </w:rPr>
        <w:t xml:space="preserve">du </w:t>
      </w:r>
      <w:r>
        <w:rPr>
          <w:rFonts w:cs="Times New Roman"/>
          <w:lang w:val="fr-CA"/>
        </w:rPr>
        <w:t>par. </w:t>
      </w:r>
      <w:r w:rsidRPr="00807A5C">
        <w:rPr>
          <w:rFonts w:cs="Times New Roman"/>
          <w:lang w:val="fr-CA"/>
        </w:rPr>
        <w:t>15(1), le demandeur doit démontrer que la loi contestée ou l’acte de l’État</w:t>
      </w:r>
      <w:r>
        <w:rPr>
          <w:rFonts w:cs="Times New Roman"/>
          <w:lang w:val="fr-CA"/>
        </w:rPr>
        <w:t> :</w:t>
      </w:r>
    </w:p>
    <w:p w14:paraId="1025157A" w14:textId="77777777" w:rsidR="00804EA2" w:rsidRPr="00807A5C" w:rsidRDefault="00804EA2" w:rsidP="008C1281">
      <w:pPr>
        <w:pStyle w:val="Citation-AltC"/>
        <w:numPr>
          <w:ilvl w:val="0"/>
          <w:numId w:val="8"/>
        </w:numPr>
        <w:spacing w:after="240" w:line="480" w:lineRule="auto"/>
        <w:ind w:left="450" w:hanging="447"/>
        <w:contextualSpacing w:val="0"/>
        <w:rPr>
          <w:lang w:val="fr-CA"/>
        </w:rPr>
      </w:pPr>
      <w:r w:rsidRPr="00807A5C">
        <w:rPr>
          <w:lang w:val="fr-CA"/>
        </w:rPr>
        <w:t>crée, à première vue ou de par son effet, une distinction fondée sur un motif énuméré ou analogue;</w:t>
      </w:r>
    </w:p>
    <w:p w14:paraId="79B59779" w14:textId="77777777" w:rsidR="00804EA2" w:rsidRPr="00807A5C" w:rsidRDefault="00804EA2" w:rsidP="008C1281">
      <w:pPr>
        <w:pStyle w:val="Citation-AltC"/>
        <w:numPr>
          <w:ilvl w:val="0"/>
          <w:numId w:val="8"/>
        </w:numPr>
        <w:spacing w:after="480" w:line="480" w:lineRule="auto"/>
        <w:ind w:left="446" w:hanging="446"/>
        <w:contextualSpacing w:val="0"/>
        <w:rPr>
          <w:lang w:val="fr-CA"/>
        </w:rPr>
      </w:pPr>
      <w:r w:rsidRPr="00807A5C">
        <w:rPr>
          <w:lang w:val="fr-CA"/>
        </w:rPr>
        <w:t>impose un fardeau ou nie un avantage d’une manière qui a pour effet de renforcer, de perpétuer ou d’accentuer le désavantage.</w:t>
      </w:r>
    </w:p>
    <w:p w14:paraId="4680F8F7" w14:textId="77777777" w:rsidR="00804EA2" w:rsidRPr="00807A5C" w:rsidRDefault="00804EA2" w:rsidP="00804EA2">
      <w:pPr>
        <w:pStyle w:val="Citation-AltC"/>
        <w:ind w:left="0"/>
        <w:rPr>
          <w:lang w:val="fr-CA"/>
        </w:rPr>
      </w:pPr>
      <w:r w:rsidRPr="00807A5C">
        <w:rPr>
          <w:lang w:val="fr-CA"/>
        </w:rPr>
        <w:lastRenderedPageBreak/>
        <w:t>(</w:t>
      </w:r>
      <w:r w:rsidRPr="00807A5C">
        <w:rPr>
          <w:i/>
          <w:lang w:val="fr-CA"/>
        </w:rPr>
        <w:t xml:space="preserve">Québec (Procureure générale) c. Alliance du personnel professionnel et technique de la </w:t>
      </w:r>
      <w:r w:rsidRPr="00807A5C">
        <w:rPr>
          <w:bCs/>
          <w:i/>
          <w:lang w:val="fr-CA"/>
        </w:rPr>
        <w:t>santé et des services sociaux</w:t>
      </w:r>
      <w:r w:rsidRPr="00807A5C">
        <w:rPr>
          <w:bCs/>
          <w:lang w:val="fr-CA"/>
        </w:rPr>
        <w:t xml:space="preserve">, [2018] 1 R.C.S. 464, </w:t>
      </w:r>
      <w:r>
        <w:rPr>
          <w:bCs/>
          <w:lang w:val="fr-CA"/>
        </w:rPr>
        <w:t>par. </w:t>
      </w:r>
      <w:r w:rsidRPr="00807A5C">
        <w:rPr>
          <w:bCs/>
          <w:lang w:val="fr-CA"/>
        </w:rPr>
        <w:t>25;</w:t>
      </w:r>
      <w:r w:rsidRPr="00807A5C">
        <w:rPr>
          <w:i/>
          <w:lang w:val="fr-CA"/>
        </w:rPr>
        <w:t xml:space="preserve"> Centrale des syndicats du </w:t>
      </w:r>
      <w:r w:rsidRPr="00807A5C">
        <w:rPr>
          <w:bCs/>
          <w:i/>
          <w:lang w:val="fr-CA"/>
        </w:rPr>
        <w:t>Québec c. Québec (Procureure générale)</w:t>
      </w:r>
      <w:r w:rsidRPr="00807A5C">
        <w:rPr>
          <w:bCs/>
          <w:lang w:val="fr-CA"/>
        </w:rPr>
        <w:t xml:space="preserve">, [2018] 1 R.C.S. 522, </w:t>
      </w:r>
      <w:r>
        <w:rPr>
          <w:bCs/>
          <w:lang w:val="fr-CA"/>
        </w:rPr>
        <w:t>par. </w:t>
      </w:r>
      <w:r w:rsidRPr="00807A5C">
        <w:rPr>
          <w:bCs/>
          <w:lang w:val="fr-CA"/>
        </w:rPr>
        <w:t>22.)</w:t>
      </w:r>
    </w:p>
    <w:p w14:paraId="5CDBE6E2" w14:textId="77777777" w:rsidR="00804EA2" w:rsidRPr="00807A5C" w:rsidRDefault="00804EA2" w:rsidP="00804EA2">
      <w:pPr>
        <w:pStyle w:val="ParaNoNdepar-AltN"/>
        <w:rPr>
          <w:rFonts w:cs="Times New Roman"/>
          <w:lang w:val="fr-CA"/>
        </w:rPr>
      </w:pPr>
      <w:r w:rsidRPr="00807A5C">
        <w:rPr>
          <w:rFonts w:cs="Times New Roman"/>
          <w:lang w:val="fr-CA"/>
        </w:rPr>
        <w:t>M</w:t>
      </w:r>
      <w:r w:rsidRPr="00807A5C">
        <w:rPr>
          <w:rFonts w:cs="Times New Roman"/>
          <w:vertAlign w:val="superscript"/>
          <w:lang w:val="fr-CA"/>
        </w:rPr>
        <w:t>me</w:t>
      </w:r>
      <w:r w:rsidRPr="00807A5C">
        <w:rPr>
          <w:rFonts w:cs="Times New Roman"/>
          <w:lang w:val="fr-CA"/>
        </w:rPr>
        <w:t xml:space="preserve"> Fraser ne suggère pas que les conséquences négatives du partage de poste sur la pension sont explicitement fondées sur le sexe. Elle affirme plutôt qu’elles </w:t>
      </w:r>
      <w:r w:rsidRPr="00807A5C">
        <w:rPr>
          <w:rFonts w:cs="Times New Roman"/>
          <w:i/>
          <w:lang w:val="fr-CA"/>
        </w:rPr>
        <w:t>désavantagent</w:t>
      </w:r>
      <w:r w:rsidRPr="00807A5C">
        <w:rPr>
          <w:rFonts w:cs="Times New Roman"/>
          <w:lang w:val="fr-CA"/>
        </w:rPr>
        <w:t xml:space="preserve"> les femmes ayant des enfants.</w:t>
      </w:r>
    </w:p>
    <w:p w14:paraId="46DA13F0" w14:textId="69855C32" w:rsidR="00804EA2" w:rsidRPr="009022DA" w:rsidRDefault="00804EA2" w:rsidP="009022DA">
      <w:pPr>
        <w:pStyle w:val="ParaNoNdepar-AltN"/>
        <w:rPr>
          <w:rFonts w:cs="Times New Roman"/>
          <w:lang w:val="fr-CA"/>
        </w:rPr>
      </w:pPr>
      <w:r w:rsidRPr="00807A5C">
        <w:rPr>
          <w:rFonts w:cs="Times New Roman"/>
          <w:lang w:val="fr-CA"/>
        </w:rPr>
        <w:t xml:space="preserve">Les universitaires se sont beaucoup penchés sur la façon dont les effets préjudiciables ou la discrimination systémique se traduisent (voir, par exemple, Colleen Sheppard, </w:t>
      </w:r>
      <w:r w:rsidRPr="00807A5C">
        <w:rPr>
          <w:rFonts w:cs="Times New Roman"/>
          <w:i/>
          <w:lang w:val="fr-CA"/>
        </w:rPr>
        <w:t>Inclusive Equality</w:t>
      </w:r>
      <w:r w:rsidR="00C77C16">
        <w:rPr>
          <w:rFonts w:cs="Times New Roman"/>
          <w:i/>
          <w:lang w:val="fr-CA"/>
        </w:rPr>
        <w:t> </w:t>
      </w:r>
      <w:r w:rsidRPr="00807A5C">
        <w:rPr>
          <w:rFonts w:cs="Times New Roman"/>
          <w:i/>
          <w:lang w:val="fr-CA"/>
        </w:rPr>
        <w:t>: The Relational Dimensions of Systemic Discrimination in Canada</w:t>
      </w:r>
      <w:r w:rsidRPr="00807A5C">
        <w:rPr>
          <w:rFonts w:cs="Times New Roman"/>
          <w:lang w:val="fr-CA"/>
        </w:rPr>
        <w:t xml:space="preserve"> (2010), </w:t>
      </w:r>
      <w:r>
        <w:rPr>
          <w:rFonts w:cs="Times New Roman"/>
          <w:lang w:val="fr-CA"/>
        </w:rPr>
        <w:t>p. </w:t>
      </w:r>
      <w:r w:rsidRPr="00807A5C">
        <w:rPr>
          <w:rFonts w:cs="Times New Roman"/>
          <w:lang w:val="fr-CA"/>
        </w:rPr>
        <w:t>19</w:t>
      </w:r>
      <w:r>
        <w:rPr>
          <w:rFonts w:cs="Times New Roman"/>
          <w:lang w:val="fr-CA"/>
        </w:rPr>
        <w:noBreakHyphen/>
      </w:r>
      <w:r w:rsidRPr="00807A5C">
        <w:rPr>
          <w:rFonts w:cs="Times New Roman"/>
          <w:lang w:val="fr-CA"/>
        </w:rPr>
        <w:t>21; Evelyn Braun, « Adverse Effect Discrimination</w:t>
      </w:r>
      <w:r w:rsidR="00FB495F">
        <w:rPr>
          <w:rFonts w:cs="Times New Roman"/>
          <w:lang w:val="fr-CA"/>
        </w:rPr>
        <w:t> </w:t>
      </w:r>
      <w:r w:rsidRPr="00807A5C">
        <w:rPr>
          <w:rFonts w:cs="Times New Roman"/>
          <w:lang w:val="fr-CA"/>
        </w:rPr>
        <w:t xml:space="preserve">: Proving the </w:t>
      </w:r>
      <w:r w:rsidRPr="00807A5C">
        <w:rPr>
          <w:rFonts w:cs="Times New Roman"/>
          <w:i/>
          <w:lang w:val="fr-CA"/>
        </w:rPr>
        <w:t xml:space="preserve">Prima Facie </w:t>
      </w:r>
      <w:r w:rsidRPr="00807A5C">
        <w:rPr>
          <w:rFonts w:cs="Times New Roman"/>
          <w:lang w:val="fr-CA"/>
        </w:rPr>
        <w:t xml:space="preserve">Case » (2005), 11 </w:t>
      </w:r>
      <w:r w:rsidRPr="00807A5C">
        <w:rPr>
          <w:rFonts w:cs="Times New Roman"/>
          <w:i/>
          <w:lang w:val="fr-CA"/>
        </w:rPr>
        <w:t>R</w:t>
      </w:r>
      <w:r>
        <w:rPr>
          <w:rFonts w:cs="Times New Roman"/>
          <w:i/>
          <w:lang w:val="fr-CA"/>
        </w:rPr>
        <w:t>.</w:t>
      </w:r>
      <w:r w:rsidRPr="00807A5C">
        <w:rPr>
          <w:rFonts w:cs="Times New Roman"/>
          <w:i/>
          <w:lang w:val="fr-CA"/>
        </w:rPr>
        <w:t xml:space="preserve"> études const</w:t>
      </w:r>
      <w:r>
        <w:rPr>
          <w:rFonts w:cs="Times New Roman"/>
          <w:i/>
          <w:lang w:val="fr-CA"/>
        </w:rPr>
        <w:t>.</w:t>
      </w:r>
      <w:r w:rsidRPr="00807A5C">
        <w:rPr>
          <w:rFonts w:cs="Times New Roman"/>
          <w:i/>
          <w:lang w:val="fr-CA"/>
        </w:rPr>
        <w:t xml:space="preserve"> </w:t>
      </w:r>
      <w:r w:rsidRPr="00410FE8">
        <w:rPr>
          <w:rFonts w:cs="Times New Roman"/>
        </w:rPr>
        <w:t xml:space="preserve">119; Jonnette Watson Hamilton et Jennifer Koshan, « Adverse Impact: The Supreme Court’s Approach to Adverse Effects Discrimination under Section 15 of the </w:t>
      </w:r>
      <w:r w:rsidRPr="00410FE8">
        <w:rPr>
          <w:rFonts w:cs="Times New Roman"/>
          <w:i/>
        </w:rPr>
        <w:t>Charter</w:t>
      </w:r>
      <w:r w:rsidRPr="00410FE8">
        <w:rPr>
          <w:rFonts w:cs="Times New Roman"/>
        </w:rPr>
        <w:t> »</w:t>
      </w:r>
      <w:r w:rsidRPr="00410FE8">
        <w:rPr>
          <w:rFonts w:cs="Times New Roman"/>
          <w:i/>
        </w:rPr>
        <w:t xml:space="preserve"> </w:t>
      </w:r>
      <w:r w:rsidRPr="00410FE8">
        <w:rPr>
          <w:rFonts w:cs="Times New Roman"/>
        </w:rPr>
        <w:t xml:space="preserve">(2015), 19 </w:t>
      </w:r>
      <w:r w:rsidRPr="00410FE8">
        <w:rPr>
          <w:rFonts w:cs="Times New Roman"/>
          <w:i/>
        </w:rPr>
        <w:t xml:space="preserve">R. études const. </w:t>
      </w:r>
      <w:r w:rsidRPr="00807A5C">
        <w:rPr>
          <w:rFonts w:cs="Times New Roman"/>
          <w:lang w:val="fr-CA"/>
        </w:rPr>
        <w:t>191; Michèle Rivet et Anne</w:t>
      </w:r>
      <w:r>
        <w:rPr>
          <w:rFonts w:cs="Times New Roman"/>
          <w:lang w:val="fr-CA"/>
        </w:rPr>
        <w:noBreakHyphen/>
      </w:r>
      <w:r w:rsidRPr="00807A5C">
        <w:rPr>
          <w:rFonts w:cs="Times New Roman"/>
          <w:lang w:val="fr-CA"/>
        </w:rPr>
        <w:t xml:space="preserve">Marie Santorineos, « Juger à l’ère des droits fondamentaux » (2012), 42 </w:t>
      </w:r>
      <w:r w:rsidRPr="00807A5C">
        <w:rPr>
          <w:rFonts w:cs="Times New Roman"/>
          <w:i/>
          <w:lang w:val="fr-CA"/>
        </w:rPr>
        <w:t>R.D.U.S.</w:t>
      </w:r>
      <w:r w:rsidRPr="00807A5C">
        <w:rPr>
          <w:rFonts w:cs="Times New Roman"/>
          <w:lang w:val="fr-CA"/>
        </w:rPr>
        <w:t xml:space="preserve"> 363, </w:t>
      </w:r>
      <w:r>
        <w:rPr>
          <w:rFonts w:cs="Times New Roman"/>
          <w:lang w:val="fr-CA"/>
        </w:rPr>
        <w:t>p. </w:t>
      </w:r>
      <w:r w:rsidRPr="00807A5C">
        <w:rPr>
          <w:rFonts w:cs="Times New Roman"/>
          <w:lang w:val="fr-CA"/>
        </w:rPr>
        <w:t>374; Diane L. Demers, « La discrimination systémique</w:t>
      </w:r>
      <w:r>
        <w:rPr>
          <w:rFonts w:cs="Times New Roman"/>
          <w:lang w:val="fr-CA"/>
        </w:rPr>
        <w:t> :</w:t>
      </w:r>
      <w:r w:rsidRPr="00807A5C">
        <w:rPr>
          <w:rFonts w:cs="Times New Roman"/>
          <w:lang w:val="fr-CA"/>
        </w:rPr>
        <w:t xml:space="preserve"> variation sur un concept unique » (1993), 8 </w:t>
      </w:r>
      <w:r w:rsidRPr="00807A5C">
        <w:rPr>
          <w:rFonts w:cs="Times New Roman"/>
          <w:i/>
          <w:lang w:val="fr-CA"/>
        </w:rPr>
        <w:t>R.C.D.S.</w:t>
      </w:r>
      <w:r w:rsidRPr="00807A5C">
        <w:rPr>
          <w:rFonts w:cs="Times New Roman"/>
          <w:lang w:val="fr-CA"/>
        </w:rPr>
        <w:t xml:space="preserve"> 83; Lisa Philipps et Margot Young, « Sex, Tax and the </w:t>
      </w:r>
      <w:r w:rsidRPr="00807A5C">
        <w:rPr>
          <w:rFonts w:cs="Times New Roman"/>
          <w:i/>
          <w:lang w:val="fr-CA"/>
        </w:rPr>
        <w:t>Charter</w:t>
      </w:r>
      <w:r w:rsidR="00FB495F">
        <w:rPr>
          <w:rFonts w:cs="Times New Roman"/>
          <w:i/>
          <w:lang w:val="fr-CA"/>
        </w:rPr>
        <w:t> </w:t>
      </w:r>
      <w:r w:rsidRPr="00807A5C">
        <w:rPr>
          <w:rFonts w:cs="Times New Roman"/>
          <w:lang w:val="fr-CA"/>
        </w:rPr>
        <w:t xml:space="preserve">: A Review of </w:t>
      </w:r>
      <w:r w:rsidRPr="00807A5C">
        <w:rPr>
          <w:rFonts w:cs="Times New Roman"/>
          <w:i/>
          <w:lang w:val="fr-CA"/>
        </w:rPr>
        <w:t>Thibaudeau v. Canada</w:t>
      </w:r>
      <w:r w:rsidRPr="00807A5C">
        <w:rPr>
          <w:rFonts w:cs="Times New Roman"/>
          <w:lang w:val="fr-CA"/>
        </w:rPr>
        <w:t xml:space="preserve"> » (1995), 2 </w:t>
      </w:r>
      <w:r w:rsidRPr="00807A5C">
        <w:rPr>
          <w:rFonts w:cs="Times New Roman"/>
          <w:i/>
          <w:lang w:val="fr-CA"/>
        </w:rPr>
        <w:t>R</w:t>
      </w:r>
      <w:r>
        <w:rPr>
          <w:rFonts w:cs="Times New Roman"/>
          <w:i/>
          <w:lang w:val="fr-CA"/>
        </w:rPr>
        <w:t>.</w:t>
      </w:r>
      <w:r w:rsidRPr="00807A5C">
        <w:rPr>
          <w:rFonts w:cs="Times New Roman"/>
          <w:i/>
          <w:lang w:val="fr-CA"/>
        </w:rPr>
        <w:t xml:space="preserve"> études const</w:t>
      </w:r>
      <w:r>
        <w:rPr>
          <w:rFonts w:cs="Times New Roman"/>
          <w:i/>
          <w:lang w:val="fr-CA"/>
        </w:rPr>
        <w:t>.</w:t>
      </w:r>
      <w:r w:rsidRPr="00807A5C">
        <w:rPr>
          <w:rFonts w:cs="Times New Roman"/>
          <w:i/>
          <w:lang w:val="fr-CA"/>
        </w:rPr>
        <w:t xml:space="preserve"> </w:t>
      </w:r>
      <w:r w:rsidRPr="00807A5C">
        <w:rPr>
          <w:rFonts w:cs="Times New Roman"/>
          <w:lang w:val="fr-CA"/>
        </w:rPr>
        <w:t>221). Comme le souligne la professeure Colleen Sheppard</w:t>
      </w:r>
      <w:r>
        <w:rPr>
          <w:rFonts w:cs="Times New Roman"/>
          <w:lang w:val="fr-CA"/>
        </w:rPr>
        <w:t> :</w:t>
      </w:r>
    </w:p>
    <w:p w14:paraId="373BAFC9" w14:textId="1711F17C" w:rsidR="00804EA2" w:rsidRPr="00807A5C" w:rsidRDefault="00804EA2" w:rsidP="00B83A3B">
      <w:pPr>
        <w:pStyle w:val="Citation-AltC"/>
        <w:spacing w:after="480"/>
        <w:ind w:hanging="1166"/>
        <w:contextualSpacing w:val="0"/>
        <w:rPr>
          <w:lang w:val="fr-CA"/>
        </w:rPr>
      </w:pPr>
      <w:r w:rsidRPr="00807A5C">
        <w:rPr>
          <w:lang w:val="fr-CA"/>
        </w:rPr>
        <w:tab/>
      </w:r>
      <w:r w:rsidRPr="00807A5C">
        <w:rPr>
          <w:lang w:val="fr-CA"/>
        </w:rPr>
        <w:tab/>
      </w:r>
      <w:r w:rsidR="009022DA" w:rsidRPr="00807A5C">
        <w:rPr>
          <w:lang w:val="fr-CA"/>
        </w:rPr>
        <w:t>[</w:t>
      </w:r>
      <w:r w:rsidR="009022DA" w:rsidRPr="00807A5C">
        <w:rPr>
          <w:smallCaps/>
          <w:lang w:val="fr-CA"/>
        </w:rPr>
        <w:t>traduction</w:t>
      </w:r>
      <w:r w:rsidR="009022DA" w:rsidRPr="00807A5C">
        <w:rPr>
          <w:lang w:val="fr-CA"/>
        </w:rPr>
        <w:t>]</w:t>
      </w:r>
      <w:r w:rsidR="00B83A3B">
        <w:rPr>
          <w:lang w:val="fr-CA"/>
        </w:rPr>
        <w:t xml:space="preserve"> </w:t>
      </w:r>
      <w:r w:rsidRPr="00807A5C">
        <w:rPr>
          <w:lang w:val="fr-CA"/>
        </w:rPr>
        <w:t>Pourquoi est</w:t>
      </w:r>
      <w:r>
        <w:rPr>
          <w:lang w:val="fr-CA"/>
        </w:rPr>
        <w:noBreakHyphen/>
      </w:r>
      <w:r w:rsidRPr="00807A5C">
        <w:rPr>
          <w:lang w:val="fr-CA"/>
        </w:rPr>
        <w:t xml:space="preserve">ce aussi crucial de mieux comprendre la discrimination par suite d’un effet préjudiciable? Parce que si nous ne le faisons pas, il y a un grand risque que la discrimination intégrée à des politiques, des règles ou des procédures institutionnelles qui semblent neutres ne soit pas reconnue comme de la discrimination. Ce risque est </w:t>
      </w:r>
      <w:r w:rsidRPr="00807A5C">
        <w:rPr>
          <w:lang w:val="fr-CA"/>
        </w:rPr>
        <w:lastRenderedPageBreak/>
        <w:t>accentué par la nécessité, dans les lois anti</w:t>
      </w:r>
      <w:r>
        <w:rPr>
          <w:lang w:val="fr-CA"/>
        </w:rPr>
        <w:noBreakHyphen/>
      </w:r>
      <w:r w:rsidRPr="00807A5C">
        <w:rPr>
          <w:lang w:val="fr-CA"/>
        </w:rPr>
        <w:t>discrimination, d’établir un lien entre l’expérience de l’exclusion, le préjudice ou le désavantage et un motif de discrimination reconnu. [. . .] Nous avons besoin d’une théorie sophistiquée et cohérente en matière de discrimination par suite d’un effet préjudiciable pour aider les demandeurs, les avocats et les décideurs à faire face aux complexités des manifestations de la discrimination systémique.</w:t>
      </w:r>
    </w:p>
    <w:p w14:paraId="07D38472" w14:textId="417451F6" w:rsidR="00804EA2" w:rsidRPr="00807A5C" w:rsidRDefault="00804EA2" w:rsidP="00B83A3B">
      <w:pPr>
        <w:pStyle w:val="Citation-AltC"/>
        <w:ind w:left="0"/>
        <w:rPr>
          <w:lang w:val="en-US"/>
        </w:rPr>
      </w:pPr>
      <w:r w:rsidRPr="00807A5C">
        <w:rPr>
          <w:lang w:val="en-US"/>
        </w:rPr>
        <w:t>(« Of Forest Fires and Systemic Discrimination</w:t>
      </w:r>
      <w:r w:rsidR="00B83A3B">
        <w:rPr>
          <w:lang w:val="en-US"/>
        </w:rPr>
        <w:t> </w:t>
      </w:r>
      <w:r w:rsidRPr="00807A5C">
        <w:rPr>
          <w:lang w:val="en-US"/>
        </w:rPr>
        <w:t xml:space="preserve">: A Review of </w:t>
      </w:r>
      <w:r w:rsidRPr="00807A5C">
        <w:rPr>
          <w:i/>
          <w:lang w:val="en-US"/>
        </w:rPr>
        <w:t>British Columbia (Public Service Employee Relations Commission) v. B.C.G.S.E.U.</w:t>
      </w:r>
      <w:r w:rsidRPr="00807A5C">
        <w:rPr>
          <w:lang w:val="en-US"/>
        </w:rPr>
        <w:t xml:space="preserve"> » (2001), 46 </w:t>
      </w:r>
      <w:r w:rsidRPr="00807A5C">
        <w:rPr>
          <w:i/>
          <w:lang w:val="en-US"/>
        </w:rPr>
        <w:t>R.D.</w:t>
      </w:r>
      <w:r w:rsidRPr="00807A5C">
        <w:rPr>
          <w:lang w:val="en-US"/>
        </w:rPr>
        <w:t xml:space="preserve"> </w:t>
      </w:r>
      <w:r w:rsidRPr="00807A5C">
        <w:rPr>
          <w:i/>
          <w:lang w:val="en-US"/>
        </w:rPr>
        <w:t xml:space="preserve">McGill </w:t>
      </w:r>
      <w:r w:rsidRPr="00807A5C">
        <w:rPr>
          <w:lang w:val="en-US"/>
        </w:rPr>
        <w:t xml:space="preserve">533, </w:t>
      </w:r>
      <w:r>
        <w:rPr>
          <w:lang w:val="en-US"/>
        </w:rPr>
        <w:t>p. </w:t>
      </w:r>
      <w:r w:rsidRPr="00807A5C">
        <w:rPr>
          <w:lang w:val="en-US"/>
        </w:rPr>
        <w:t xml:space="preserve">542; voir aussi Braun, </w:t>
      </w:r>
      <w:r>
        <w:rPr>
          <w:lang w:val="en-US"/>
        </w:rPr>
        <w:t>p. </w:t>
      </w:r>
      <w:r w:rsidRPr="00807A5C">
        <w:rPr>
          <w:lang w:val="en-US"/>
        </w:rPr>
        <w:t>122.)</w:t>
      </w:r>
    </w:p>
    <w:p w14:paraId="588CB565" w14:textId="77777777" w:rsidR="00804EA2" w:rsidRPr="00807A5C" w:rsidRDefault="00804EA2" w:rsidP="00804EA2">
      <w:pPr>
        <w:pStyle w:val="ParaNoNdepar-AltN"/>
        <w:tabs>
          <w:tab w:val="clear" w:pos="1152"/>
          <w:tab w:val="left" w:pos="1166"/>
        </w:tabs>
        <w:rPr>
          <w:rFonts w:cs="Times New Roman"/>
          <w:lang w:val="fr-CA"/>
        </w:rPr>
      </w:pPr>
      <w:r w:rsidRPr="00807A5C">
        <w:rPr>
          <w:rFonts w:cs="Times New Roman"/>
          <w:lang w:val="fr-CA"/>
        </w:rPr>
        <w:t xml:space="preserve">Il est utile de commencer par définir le concept. La discrimination par suite d’un effet préjudiciable survient lorsqu’une loi en apparence neutre a une incidence disproportionnée sur des membres de groupes bénéficiant d’une protection contre la discrimination fondée sur un motif énuméré ou analogue (voir Watson Hamilton et Koshan (2015), </w:t>
      </w:r>
      <w:r>
        <w:rPr>
          <w:rFonts w:cs="Times New Roman"/>
          <w:lang w:val="fr-CA"/>
        </w:rPr>
        <w:t>p. </w:t>
      </w:r>
      <w:r w:rsidRPr="00807A5C">
        <w:rPr>
          <w:rFonts w:cs="Times New Roman"/>
          <w:lang w:val="fr-CA"/>
        </w:rPr>
        <w:t xml:space="preserve">196; Sheppard (2001), </w:t>
      </w:r>
      <w:r>
        <w:rPr>
          <w:rFonts w:cs="Times New Roman"/>
          <w:lang w:val="fr-CA"/>
        </w:rPr>
        <w:t>p. </w:t>
      </w:r>
      <w:r w:rsidRPr="00807A5C">
        <w:rPr>
          <w:rFonts w:cs="Times New Roman"/>
          <w:lang w:val="fr-CA"/>
        </w:rPr>
        <w:t xml:space="preserve">549; voir aussi </w:t>
      </w:r>
      <w:r w:rsidRPr="00807A5C">
        <w:rPr>
          <w:rFonts w:cs="Times New Roman"/>
          <w:i/>
          <w:lang w:val="fr-CA"/>
        </w:rPr>
        <w:t>Withler c. Canada (Procureur général)</w:t>
      </w:r>
      <w:r w:rsidRPr="00807A5C">
        <w:rPr>
          <w:rFonts w:cs="Times New Roman"/>
          <w:lang w:val="fr-CA"/>
        </w:rPr>
        <w:t xml:space="preserve">, [2011] 1 R.C.S. 396, </w:t>
      </w:r>
      <w:r>
        <w:rPr>
          <w:rFonts w:cs="Times New Roman"/>
          <w:lang w:val="fr-CA"/>
        </w:rPr>
        <w:t>par. </w:t>
      </w:r>
      <w:r w:rsidRPr="00807A5C">
        <w:rPr>
          <w:rFonts w:cs="Times New Roman"/>
          <w:lang w:val="fr-CA"/>
        </w:rPr>
        <w:t xml:space="preserve">64; </w:t>
      </w:r>
      <w:r w:rsidRPr="00807A5C">
        <w:rPr>
          <w:rFonts w:cs="Times New Roman"/>
          <w:i/>
          <w:lang w:val="fr-CA"/>
        </w:rPr>
        <w:t>Taypotat</w:t>
      </w:r>
      <w:r w:rsidRPr="00807A5C">
        <w:rPr>
          <w:rFonts w:cs="Times New Roman"/>
          <w:lang w:val="fr-CA"/>
        </w:rPr>
        <w:t xml:space="preserve">, </w:t>
      </w:r>
      <w:r>
        <w:rPr>
          <w:rFonts w:cs="Times New Roman"/>
          <w:lang w:val="fr-CA"/>
        </w:rPr>
        <w:t>par. </w:t>
      </w:r>
      <w:r w:rsidRPr="00807A5C">
        <w:rPr>
          <w:rFonts w:cs="Times New Roman"/>
          <w:lang w:val="fr-CA"/>
        </w:rPr>
        <w:t>22). Plutôt que de cibler explicitement ceux qui font partie des groupes protégés contre une différence de traitement, la loi les désavantage indirectement (Sophia Moreau, « What Is Discrimination? » (2010), 38 </w:t>
      </w:r>
      <w:r w:rsidRPr="00807A5C">
        <w:rPr>
          <w:rFonts w:cs="Times New Roman"/>
          <w:i/>
          <w:lang w:val="fr-CA"/>
        </w:rPr>
        <w:t>Philosophy &amp; Public Affairs</w:t>
      </w:r>
      <w:r w:rsidRPr="00807A5C">
        <w:rPr>
          <w:rFonts w:cs="Times New Roman"/>
          <w:lang w:val="fr-CA"/>
        </w:rPr>
        <w:t xml:space="preserve"> 143, </w:t>
      </w:r>
      <w:r>
        <w:rPr>
          <w:rFonts w:cs="Times New Roman"/>
          <w:lang w:val="fr-CA"/>
        </w:rPr>
        <w:t>p. </w:t>
      </w:r>
      <w:r w:rsidRPr="00807A5C">
        <w:rPr>
          <w:rFonts w:cs="Times New Roman"/>
          <w:lang w:val="fr-CA"/>
        </w:rPr>
        <w:t xml:space="preserve">155). </w:t>
      </w:r>
    </w:p>
    <w:p w14:paraId="2917D56F" w14:textId="128E1E7C" w:rsidR="00804EA2" w:rsidRPr="00807A5C" w:rsidRDefault="00804EA2" w:rsidP="00804EA2">
      <w:pPr>
        <w:pStyle w:val="ParaNoNdepar-AltN"/>
        <w:tabs>
          <w:tab w:val="clear" w:pos="1152"/>
          <w:tab w:val="left" w:pos="1166"/>
        </w:tabs>
        <w:rPr>
          <w:rFonts w:cs="Times New Roman"/>
          <w:lang w:val="en-US"/>
        </w:rPr>
      </w:pPr>
      <w:r w:rsidRPr="00807A5C">
        <w:rPr>
          <w:rFonts w:cs="Times New Roman"/>
          <w:lang w:val="fr-CA"/>
        </w:rPr>
        <w:t>La sensibilisation accrue à ce qu’est la discrimination par suite d’un effet préjudiciable est [</w:t>
      </w:r>
      <w:r w:rsidRPr="00807A5C">
        <w:rPr>
          <w:rFonts w:cs="Times New Roman"/>
          <w:smallCaps/>
          <w:lang w:val="fr-CA"/>
        </w:rPr>
        <w:t>traduction</w:t>
      </w:r>
      <w:r w:rsidRPr="00807A5C">
        <w:rPr>
          <w:rFonts w:cs="Times New Roman"/>
          <w:lang w:val="fr-CA"/>
        </w:rPr>
        <w:t>] « une tendance centrale dans l’évolution du droit en matière de discrimination », qui marque le passage d’une conception de la discrimination fondée sur la faute vers un modèle fondé sur les effets qui examine avec un regard critique les systèmes, les structures et leurs répercussions sur les groupes défavorisés (Denise G. Réaume, « Harm and Fault in Discrimination Law</w:t>
      </w:r>
      <w:r w:rsidR="00B83A3B">
        <w:rPr>
          <w:rFonts w:cs="Times New Roman"/>
          <w:lang w:val="fr-CA"/>
        </w:rPr>
        <w:t> </w:t>
      </w:r>
      <w:r w:rsidRPr="00807A5C">
        <w:rPr>
          <w:rFonts w:cs="Times New Roman"/>
          <w:lang w:val="fr-CA"/>
        </w:rPr>
        <w:t xml:space="preserve">: The Transition from Intentional to Adverse Effect Discrimination » (2001), 2 </w:t>
      </w:r>
      <w:r w:rsidRPr="00807A5C">
        <w:rPr>
          <w:rFonts w:cs="Times New Roman"/>
          <w:i/>
          <w:lang w:val="fr-CA"/>
        </w:rPr>
        <w:t xml:space="preserve">Theor. Inq. </w:t>
      </w:r>
      <w:r w:rsidRPr="00807A5C">
        <w:rPr>
          <w:rFonts w:cs="Times New Roman"/>
          <w:i/>
          <w:lang w:val="fr-CA"/>
        </w:rPr>
        <w:lastRenderedPageBreak/>
        <w:t xml:space="preserve">L. </w:t>
      </w:r>
      <w:r w:rsidRPr="00807A5C">
        <w:rPr>
          <w:rFonts w:cs="Times New Roman"/>
          <w:lang w:val="fr-CA"/>
        </w:rPr>
        <w:t xml:space="preserve">349, </w:t>
      </w:r>
      <w:r>
        <w:rPr>
          <w:rFonts w:cs="Times New Roman"/>
          <w:lang w:val="fr-CA"/>
        </w:rPr>
        <w:t>p. </w:t>
      </w:r>
      <w:r w:rsidRPr="00807A5C">
        <w:rPr>
          <w:rFonts w:cs="Times New Roman"/>
          <w:lang w:val="fr-CA"/>
        </w:rPr>
        <w:t>350</w:t>
      </w:r>
      <w:r>
        <w:rPr>
          <w:rFonts w:cs="Times New Roman"/>
          <w:lang w:val="fr-CA"/>
        </w:rPr>
        <w:noBreakHyphen/>
      </w:r>
      <w:r w:rsidRPr="00807A5C">
        <w:rPr>
          <w:rFonts w:cs="Times New Roman"/>
          <w:lang w:val="fr-CA"/>
        </w:rPr>
        <w:t xml:space="preserve">351; voir aussi Béatrice Vizkelety, </w:t>
      </w:r>
      <w:r w:rsidRPr="00807A5C">
        <w:rPr>
          <w:rFonts w:cs="Times New Roman"/>
          <w:i/>
          <w:lang w:val="fr-CA"/>
        </w:rPr>
        <w:t xml:space="preserve">Proving Discrimination in Canada </w:t>
      </w:r>
      <w:r w:rsidRPr="00807A5C">
        <w:rPr>
          <w:rFonts w:cs="Times New Roman"/>
          <w:lang w:val="fr-CA"/>
        </w:rPr>
        <w:t xml:space="preserve">(1987), </w:t>
      </w:r>
      <w:r>
        <w:rPr>
          <w:rFonts w:cs="Times New Roman"/>
          <w:lang w:val="fr-CA"/>
        </w:rPr>
        <w:t>p. </w:t>
      </w:r>
      <w:r w:rsidRPr="00807A5C">
        <w:rPr>
          <w:rFonts w:cs="Times New Roman"/>
          <w:lang w:val="fr-CA"/>
        </w:rPr>
        <w:t xml:space="preserve">18; Sheppard (2010), </w:t>
      </w:r>
      <w:r>
        <w:rPr>
          <w:rFonts w:cs="Times New Roman"/>
          <w:lang w:val="fr-CA"/>
        </w:rPr>
        <w:t>p. </w:t>
      </w:r>
      <w:r w:rsidRPr="00807A5C">
        <w:rPr>
          <w:rFonts w:cs="Times New Roman"/>
          <w:lang w:val="fr-CA"/>
        </w:rPr>
        <w:t>19</w:t>
      </w:r>
      <w:r>
        <w:rPr>
          <w:rFonts w:cs="Times New Roman"/>
          <w:lang w:val="fr-CA"/>
        </w:rPr>
        <w:noBreakHyphen/>
      </w:r>
      <w:r w:rsidRPr="00807A5C">
        <w:rPr>
          <w:rFonts w:cs="Times New Roman"/>
          <w:lang w:val="fr-CA"/>
        </w:rPr>
        <w:t xml:space="preserve">20). Ce passage s’est accompagné de la reconnaissance que la discrimination est </w:t>
      </w:r>
      <w:r w:rsidRPr="00807A5C">
        <w:rPr>
          <w:rFonts w:cs="Times New Roman"/>
          <w:smallCaps/>
          <w:lang w:val="fr-CA"/>
        </w:rPr>
        <w:t>[traduction</w:t>
      </w:r>
      <w:r w:rsidRPr="00807A5C">
        <w:rPr>
          <w:rFonts w:cs="Times New Roman"/>
          <w:lang w:val="fr-CA"/>
        </w:rPr>
        <w:t xml:space="preserve">] « souvent le résultat du fait d’agir comme nous l’avons toujours fait », et que les gouvernements doivent se montrer « particulièrement vigilants à l’égard des effets de leurs propres politiques » sur les membres de groupes défavorisés (Fay Faraday, « One Step Forward, Two Steps Back? </w:t>
      </w:r>
      <w:r w:rsidRPr="00807A5C">
        <w:rPr>
          <w:rFonts w:cs="Times New Roman"/>
        </w:rPr>
        <w:t xml:space="preserve">Substantive Equality, Systemic Discrimination and Pay Equity at the Supreme Court of Canada » (2020), 94 </w:t>
      </w:r>
      <w:r w:rsidRPr="00807A5C">
        <w:rPr>
          <w:rFonts w:cs="Times New Roman"/>
          <w:i/>
        </w:rPr>
        <w:t xml:space="preserve">S.C.L.R. </w:t>
      </w:r>
      <w:r w:rsidRPr="00807A5C">
        <w:rPr>
          <w:rFonts w:cs="Times New Roman"/>
        </w:rPr>
        <w:t xml:space="preserve">(2d) 301, </w:t>
      </w:r>
      <w:r>
        <w:rPr>
          <w:rFonts w:cs="Times New Roman"/>
        </w:rPr>
        <w:t>p. </w:t>
      </w:r>
      <w:r w:rsidRPr="00807A5C">
        <w:rPr>
          <w:rFonts w:cs="Times New Roman"/>
        </w:rPr>
        <w:t>310; Sophia Moreau, « The Moral Seriousness of Indirect Discrimination »</w:t>
      </w:r>
      <w:r w:rsidR="00B83A3B">
        <w:rPr>
          <w:rFonts w:cs="Times New Roman"/>
        </w:rPr>
        <w:t>,</w:t>
      </w:r>
      <w:r w:rsidRPr="00807A5C">
        <w:rPr>
          <w:rFonts w:cs="Times New Roman"/>
        </w:rPr>
        <w:t xml:space="preserve"> dans Hugh Collins et Tarunabh Khaitan, dir., </w:t>
      </w:r>
      <w:r w:rsidRPr="00807A5C">
        <w:rPr>
          <w:rFonts w:cs="Times New Roman"/>
          <w:i/>
        </w:rPr>
        <w:t xml:space="preserve">Foundations of Indirect Discrimination Law </w:t>
      </w:r>
      <w:r w:rsidRPr="00807A5C">
        <w:rPr>
          <w:rFonts w:cs="Times New Roman"/>
        </w:rPr>
        <w:t xml:space="preserve">(2018), 123, </w:t>
      </w:r>
      <w:r>
        <w:rPr>
          <w:rFonts w:cs="Times New Roman"/>
        </w:rPr>
        <w:t>p. </w:t>
      </w:r>
      <w:r w:rsidRPr="00807A5C">
        <w:rPr>
          <w:rFonts w:cs="Times New Roman"/>
        </w:rPr>
        <w:t>145).</w:t>
      </w:r>
    </w:p>
    <w:p w14:paraId="1263D2D4" w14:textId="77777777" w:rsidR="00804EA2" w:rsidRPr="00807A5C" w:rsidRDefault="00804EA2" w:rsidP="00804EA2">
      <w:pPr>
        <w:pStyle w:val="ParaNoNdepar-AltN"/>
        <w:rPr>
          <w:rFonts w:cs="Times New Roman"/>
          <w:lang w:val="fr-CA"/>
        </w:rPr>
      </w:pPr>
      <w:r w:rsidRPr="00807A5C">
        <w:rPr>
          <w:rFonts w:cs="Times New Roman"/>
          <w:lang w:val="fr-CA"/>
        </w:rPr>
        <w:t xml:space="preserve">L’arrêt </w:t>
      </w:r>
      <w:r w:rsidRPr="00807A5C">
        <w:rPr>
          <w:rFonts w:cs="Times New Roman"/>
          <w:i/>
          <w:lang w:val="fr-CA"/>
        </w:rPr>
        <w:t>Griggs c. Duke Power Co.</w:t>
      </w:r>
      <w:r w:rsidRPr="00807A5C">
        <w:rPr>
          <w:rFonts w:cs="Times New Roman"/>
          <w:lang w:val="fr-CA"/>
        </w:rPr>
        <w:t>, 401 U.S. 424 (1971) a été l’un des premiers arrêts à appliquer ce concept, et il constitue un exemple classique de discrimination par suite d’un effet préjudiciable. L’employeur obligeait ses employés à détenir un diplôme d’études secondaires et à réussir des tests uniformes pour pouvoir travailler dans certains services d’une centrale électrique. Aucune de ces exigences n’était liée substantiellement à un bon rendement au travail, mais les deux avaient pour effet de disqualifier les Afro</w:t>
      </w:r>
      <w:r>
        <w:rPr>
          <w:rFonts w:cs="Times New Roman"/>
          <w:lang w:val="fr-CA"/>
        </w:rPr>
        <w:noBreakHyphen/>
      </w:r>
      <w:r w:rsidRPr="00807A5C">
        <w:rPr>
          <w:rFonts w:cs="Times New Roman"/>
          <w:lang w:val="fr-CA"/>
        </w:rPr>
        <w:t>Américains dans une proportion beaucoup plus élevée que les candidats blancs.</w:t>
      </w:r>
    </w:p>
    <w:p w14:paraId="1A9BB7C7" w14:textId="77777777" w:rsidR="00804EA2" w:rsidRPr="00807A5C" w:rsidRDefault="00804EA2" w:rsidP="00804EA2">
      <w:pPr>
        <w:pStyle w:val="ParaNoNdepar-AltN"/>
        <w:rPr>
          <w:rFonts w:cs="Times New Roman"/>
          <w:lang w:val="fr-CA"/>
        </w:rPr>
      </w:pPr>
      <w:r w:rsidRPr="00807A5C">
        <w:rPr>
          <w:rFonts w:cs="Times New Roman"/>
          <w:lang w:val="fr-CA"/>
        </w:rPr>
        <w:t>La Cour suprême des États</w:t>
      </w:r>
      <w:r>
        <w:rPr>
          <w:rFonts w:cs="Times New Roman"/>
          <w:lang w:val="fr-CA"/>
        </w:rPr>
        <w:noBreakHyphen/>
      </w:r>
      <w:r w:rsidRPr="00807A5C">
        <w:rPr>
          <w:rFonts w:cs="Times New Roman"/>
          <w:lang w:val="fr-CA"/>
        </w:rPr>
        <w:t xml:space="preserve">Unis a conclu que les exigences en matière d’études et les tests imposés allaient à l’encontre du titre VII du </w:t>
      </w:r>
      <w:r w:rsidRPr="00807A5C">
        <w:rPr>
          <w:rFonts w:cs="Times New Roman"/>
          <w:i/>
          <w:lang w:val="fr-CA"/>
        </w:rPr>
        <w:t>Civil Rights Act of 1964</w:t>
      </w:r>
      <w:r w:rsidRPr="00807A5C">
        <w:rPr>
          <w:rFonts w:cs="Times New Roman"/>
          <w:lang w:val="fr-CA"/>
        </w:rPr>
        <w:t>, Pub. L. 88</w:t>
      </w:r>
      <w:r>
        <w:rPr>
          <w:rFonts w:cs="Times New Roman"/>
          <w:lang w:val="fr-CA"/>
        </w:rPr>
        <w:noBreakHyphen/>
      </w:r>
      <w:r w:rsidRPr="00807A5C">
        <w:rPr>
          <w:rFonts w:cs="Times New Roman"/>
          <w:lang w:val="fr-CA"/>
        </w:rPr>
        <w:t xml:space="preserve">352, 78 Stat. 241 (1964). La cour a souligné que cette loi interdisait </w:t>
      </w:r>
      <w:r w:rsidRPr="00807A5C">
        <w:rPr>
          <w:rFonts w:cs="Times New Roman"/>
          <w:lang w:val="fr-CA"/>
        </w:rPr>
        <w:lastRenderedPageBreak/>
        <w:t>les [</w:t>
      </w:r>
      <w:r w:rsidRPr="00807A5C">
        <w:rPr>
          <w:rFonts w:cs="Times New Roman"/>
          <w:smallCaps/>
          <w:lang w:val="fr-CA"/>
        </w:rPr>
        <w:t>traduction</w:t>
      </w:r>
      <w:r w:rsidRPr="00807A5C">
        <w:rPr>
          <w:rFonts w:cs="Times New Roman"/>
          <w:lang w:val="fr-CA"/>
        </w:rPr>
        <w:t>] « pratiques équitables sur le plan de la forme, mais discriminatoires dans leur application »</w:t>
      </w:r>
      <w:r>
        <w:rPr>
          <w:rFonts w:cs="Times New Roman"/>
          <w:lang w:val="fr-CA"/>
        </w:rPr>
        <w:t> :</w:t>
      </w:r>
    </w:p>
    <w:p w14:paraId="31642171" w14:textId="7EA90C21" w:rsidR="00804EA2" w:rsidRPr="00807A5C" w:rsidRDefault="00804EA2" w:rsidP="00804EA2">
      <w:pPr>
        <w:pStyle w:val="Citation-AltC"/>
        <w:ind w:hanging="1166"/>
        <w:rPr>
          <w:lang w:val="fr-CA"/>
        </w:rPr>
      </w:pPr>
      <w:r w:rsidRPr="00807A5C">
        <w:rPr>
          <w:lang w:val="fr-CA"/>
        </w:rPr>
        <w:tab/>
      </w:r>
      <w:r w:rsidRPr="00807A5C">
        <w:rPr>
          <w:lang w:val="fr-CA"/>
        </w:rPr>
        <w:tab/>
        <w:t xml:space="preserve">Le Congrès reconnaît que les tests ou les critères d’emploi ou de promotion peuvent ne pas offrir une occasion équitable tout comme c’est le cas du lait offert dans la fable du renard et de la cigogne. </w:t>
      </w:r>
      <w:r>
        <w:rPr>
          <w:lang w:val="fr-CA"/>
        </w:rPr>
        <w:t>Au contraire, i</w:t>
      </w:r>
      <w:r w:rsidRPr="00807A5C">
        <w:rPr>
          <w:lang w:val="fr-CA"/>
        </w:rPr>
        <w:t xml:space="preserve">l </w:t>
      </w:r>
      <w:r w:rsidRPr="00807A5C">
        <w:rPr>
          <w:i/>
          <w:lang w:val="fr-CA"/>
        </w:rPr>
        <w:t>exige maintenant que la situation du chercheur d’emploi soit prise en compte</w:t>
      </w:r>
      <w:r w:rsidRPr="00807A5C">
        <w:rPr>
          <w:lang w:val="fr-CA"/>
        </w:rPr>
        <w:t>. Pour reprendre le lien avec la fable, il prévoit que le récipient dans lequel le lait est offert en soit un que tous les chercheurs d’emploi peuvent utiliser. La Loi n’interdit pas seulement la discrimination manifeste, mais aussi les pratiques dont la forme est équitable, mais l’application est discriminatoire. [. . .] Une bonne intention ou une absence d’intention discriminatoire ne pardonne pas des procédures ou des mécanismes d’examen qui agissent comme un « obstacle intégré » à l’égard des groupes minoritaires et qui n’ont aucun lien avec l’évaluation des capacités à accomplir le travail demand</w:t>
      </w:r>
      <w:r w:rsidR="002A593C">
        <w:rPr>
          <w:lang w:val="fr-CA"/>
        </w:rPr>
        <w:t>é. [Italique ajouté</w:t>
      </w:r>
      <w:r w:rsidRPr="00807A5C">
        <w:rPr>
          <w:lang w:val="fr-CA"/>
        </w:rPr>
        <w:t xml:space="preserve">; </w:t>
      </w:r>
      <w:r>
        <w:rPr>
          <w:lang w:val="fr-CA"/>
        </w:rPr>
        <w:t>p. </w:t>
      </w:r>
      <w:r w:rsidRPr="00807A5C">
        <w:rPr>
          <w:lang w:val="fr-CA"/>
        </w:rPr>
        <w:t>431</w:t>
      </w:r>
      <w:r>
        <w:rPr>
          <w:lang w:val="fr-CA"/>
        </w:rPr>
        <w:noBreakHyphen/>
      </w:r>
      <w:r w:rsidRPr="00807A5C">
        <w:rPr>
          <w:lang w:val="fr-CA"/>
        </w:rPr>
        <w:t>432.]</w:t>
      </w:r>
    </w:p>
    <w:p w14:paraId="6963AB10" w14:textId="77777777" w:rsidR="00804EA2" w:rsidRPr="00807A5C" w:rsidRDefault="00804EA2" w:rsidP="00804EA2">
      <w:pPr>
        <w:pStyle w:val="ParaNoNdepar-AltN"/>
        <w:tabs>
          <w:tab w:val="clear" w:pos="1152"/>
          <w:tab w:val="left" w:pos="1166"/>
        </w:tabs>
        <w:rPr>
          <w:rFonts w:cs="Times New Roman"/>
          <w:lang w:val="fr-CA"/>
        </w:rPr>
      </w:pPr>
      <w:r w:rsidRPr="00807A5C">
        <w:rPr>
          <w:rFonts w:cs="Times New Roman"/>
          <w:lang w:val="fr-CA"/>
        </w:rPr>
        <w:t>L’arrêt</w:t>
      </w:r>
      <w:r>
        <w:rPr>
          <w:rFonts w:cs="Times New Roman"/>
          <w:lang w:val="fr-CA"/>
        </w:rPr>
        <w:t xml:space="preserve"> </w:t>
      </w:r>
      <w:r w:rsidRPr="00807A5C">
        <w:rPr>
          <w:rFonts w:cs="Times New Roman"/>
          <w:i/>
          <w:lang w:val="fr-CA"/>
        </w:rPr>
        <w:t>Griggs</w:t>
      </w:r>
      <w:r w:rsidRPr="00807A5C">
        <w:rPr>
          <w:rFonts w:cs="Times New Roman"/>
          <w:lang w:val="fr-CA"/>
        </w:rPr>
        <w:t xml:space="preserve"> explique que l’application de règles [</w:t>
      </w:r>
      <w:r w:rsidRPr="00807A5C">
        <w:rPr>
          <w:rFonts w:cs="Times New Roman"/>
          <w:smallCaps/>
          <w:lang w:val="fr-CA"/>
        </w:rPr>
        <w:t>traduction</w:t>
      </w:r>
      <w:r w:rsidRPr="00807A5C">
        <w:rPr>
          <w:rFonts w:cs="Times New Roman"/>
          <w:lang w:val="fr-CA"/>
        </w:rPr>
        <w:t>] « neutres » pourrait entraîner des inégalités de fond pour des groupes défavorisés. L’appartenance à ces groupes s’accompagne souvent d’un éventail unique d’obstacles physiques, économiques et sociaux. Les lois qui attribuent des avantages ou des fardeaux sans tenir compte de ces différences — sans tenir compte de la [</w:t>
      </w:r>
      <w:r w:rsidRPr="00807A5C">
        <w:rPr>
          <w:rFonts w:cs="Times New Roman"/>
          <w:smallCaps/>
          <w:lang w:val="fr-CA"/>
        </w:rPr>
        <w:t>traduction</w:t>
      </w:r>
      <w:r w:rsidRPr="00807A5C">
        <w:rPr>
          <w:rFonts w:cs="Times New Roman"/>
          <w:lang w:val="fr-CA"/>
        </w:rPr>
        <w:t>] « situation du chercheur d’emploi », comme dans l’arrêt </w:t>
      </w:r>
      <w:r w:rsidRPr="00807A5C">
        <w:rPr>
          <w:rFonts w:cs="Times New Roman"/>
          <w:i/>
          <w:lang w:val="fr-CA"/>
        </w:rPr>
        <w:t>Griggs</w:t>
      </w:r>
      <w:r w:rsidRPr="00807A5C">
        <w:rPr>
          <w:rFonts w:cs="Times New Roman"/>
          <w:lang w:val="fr-CA"/>
        </w:rPr>
        <w:t> — sont les principales cibles des allégations de discrimination indirecte. Je souscris à l’opinion suivante exprimée par les professeures Lisa Philipps et Margot Young</w:t>
      </w:r>
      <w:r>
        <w:rPr>
          <w:rFonts w:cs="Times New Roman"/>
          <w:lang w:val="fr-CA"/>
        </w:rPr>
        <w:t> :</w:t>
      </w:r>
    </w:p>
    <w:p w14:paraId="20E82C09" w14:textId="10890933" w:rsidR="00804EA2" w:rsidRPr="00807A5C" w:rsidRDefault="00804EA2" w:rsidP="00804EA2">
      <w:pPr>
        <w:pStyle w:val="Citation-AltC"/>
        <w:spacing w:after="360"/>
        <w:ind w:left="1168" w:hanging="1168"/>
        <w:rPr>
          <w:lang w:val="fr-CA"/>
        </w:rPr>
      </w:pPr>
      <w:r w:rsidRPr="00807A5C">
        <w:rPr>
          <w:lang w:val="fr-CA"/>
        </w:rPr>
        <w:tab/>
      </w:r>
      <w:r w:rsidRPr="00807A5C">
        <w:rPr>
          <w:lang w:val="fr-CA"/>
        </w:rPr>
        <w:tab/>
      </w:r>
      <w:r w:rsidR="00367A7B" w:rsidRPr="00807A5C">
        <w:rPr>
          <w:lang w:val="fr-CA"/>
        </w:rPr>
        <w:t>[</w:t>
      </w:r>
      <w:r w:rsidR="00367A7B" w:rsidRPr="00807A5C">
        <w:rPr>
          <w:smallCaps/>
          <w:lang w:val="fr-CA"/>
        </w:rPr>
        <w:t>traduction</w:t>
      </w:r>
      <w:r w:rsidR="00367A7B" w:rsidRPr="00807A5C">
        <w:rPr>
          <w:lang w:val="fr-CA"/>
        </w:rPr>
        <w:t>]</w:t>
      </w:r>
      <w:r>
        <w:rPr>
          <w:lang w:val="fr-CA"/>
        </w:rPr>
        <w:t>n</w:t>
      </w:r>
      <w:r w:rsidRPr="00807A5C">
        <w:rPr>
          <w:lang w:val="fr-CA"/>
        </w:rPr>
        <w:t xml:space="preserve">ous ne sommes pas toujours conscients des façons dont les distinctions que nous établissons [. . .] font intervenir l’identité des groupes et en ciblent certains en les traitant différemment. Cela s’explique par le fait que la constellation de facteurs ou de caractéristiques qui forment l’identité passent souvent pour des traits, des comportements, des choix ou des situations purement individuels sans lien les uns avec les autres. Pourtant, dans la réalité sociale, ils peuvent être étroitement liés à un </w:t>
      </w:r>
      <w:r w:rsidRPr="00807A5C">
        <w:rPr>
          <w:lang w:val="fr-CA"/>
        </w:rPr>
        <w:lastRenderedPageBreak/>
        <w:t>groupe ou à un autre. La loi doit donc reconnaître que les actes de l’État peuvent être discriminatoires, même s’il n’existe aucun élément de preuve évident d’une telle discrimination à première vue et si cela n’était pas l’intention. [</w:t>
      </w:r>
      <w:r>
        <w:rPr>
          <w:lang w:val="fr-CA"/>
        </w:rPr>
        <w:t>p. </w:t>
      </w:r>
      <w:r w:rsidR="00367A7B">
        <w:rPr>
          <w:lang w:val="fr-CA"/>
        </w:rPr>
        <w:t>258</w:t>
      </w:r>
      <w:r w:rsidRPr="00807A5C">
        <w:rPr>
          <w:lang w:val="fr-CA"/>
        </w:rPr>
        <w:t>]</w:t>
      </w:r>
    </w:p>
    <w:p w14:paraId="05EE1077" w14:textId="77777777" w:rsidR="00804EA2" w:rsidRPr="00807A5C" w:rsidRDefault="00804EA2" w:rsidP="00804EA2">
      <w:pPr>
        <w:pStyle w:val="ContinueParaSuitedupar-AltP"/>
        <w:rPr>
          <w:rFonts w:cs="Times New Roman"/>
          <w:lang w:val="fr-CA"/>
        </w:rPr>
      </w:pPr>
      <w:r w:rsidRPr="00807A5C">
        <w:rPr>
          <w:rFonts w:cs="Times New Roman"/>
          <w:lang w:val="fr-CA"/>
        </w:rPr>
        <w:t xml:space="preserve">(Voir aussi Sandra Fredman, </w:t>
      </w:r>
      <w:r w:rsidRPr="00807A5C">
        <w:rPr>
          <w:rFonts w:cs="Times New Roman"/>
          <w:i/>
          <w:lang w:val="fr-CA"/>
        </w:rPr>
        <w:t xml:space="preserve">Discrimination Law </w:t>
      </w:r>
      <w:r w:rsidRPr="00807A5C">
        <w:rPr>
          <w:rFonts w:cs="Times New Roman"/>
          <w:lang w:val="fr-CA"/>
        </w:rPr>
        <w:t>(2</w:t>
      </w:r>
      <w:r w:rsidRPr="00807A5C">
        <w:rPr>
          <w:rFonts w:cs="Times New Roman"/>
          <w:vertAlign w:val="superscript"/>
          <w:lang w:val="fr-CA"/>
        </w:rPr>
        <w:t>e</w:t>
      </w:r>
      <w:r w:rsidRPr="00807A5C">
        <w:rPr>
          <w:rFonts w:cs="Times New Roman"/>
          <w:lang w:val="fr-CA"/>
        </w:rPr>
        <w:t xml:space="preserve"> éd. 2011), </w:t>
      </w:r>
      <w:r>
        <w:rPr>
          <w:rFonts w:cs="Times New Roman"/>
          <w:lang w:val="fr-CA"/>
        </w:rPr>
        <w:t>p. </w:t>
      </w:r>
      <w:r w:rsidRPr="00807A5C">
        <w:rPr>
          <w:rFonts w:cs="Times New Roman"/>
          <w:lang w:val="fr-CA"/>
        </w:rPr>
        <w:t>38 et 108.)</w:t>
      </w:r>
    </w:p>
    <w:p w14:paraId="18FA6BBE" w14:textId="20E94D8F" w:rsidR="00804EA2" w:rsidRPr="00807A5C" w:rsidRDefault="00804EA2" w:rsidP="00804EA2">
      <w:pPr>
        <w:pStyle w:val="ParaNoNdepar-AltN"/>
        <w:rPr>
          <w:rFonts w:cs="Times New Roman"/>
          <w:lang w:val="fr-CA"/>
        </w:rPr>
      </w:pPr>
      <w:r w:rsidRPr="00807A5C">
        <w:rPr>
          <w:rFonts w:cs="Times New Roman"/>
          <w:lang w:val="fr-CA"/>
        </w:rPr>
        <w:t>Lutter contre la discrimination par suite d’un effet préjudiciable peut être l’une des [</w:t>
      </w:r>
      <w:r w:rsidRPr="00807A5C">
        <w:rPr>
          <w:rFonts w:cs="Times New Roman"/>
          <w:smallCaps/>
          <w:lang w:val="fr-CA"/>
        </w:rPr>
        <w:t>traduction</w:t>
      </w:r>
      <w:r w:rsidRPr="00807A5C">
        <w:rPr>
          <w:rFonts w:cs="Times New Roman"/>
          <w:lang w:val="fr-CA"/>
        </w:rPr>
        <w:t>] « mesures juridiques les plus efficaces dont disposent les groupes défavorisés de la société pour faire valoir leur droit à la justice » (Hugh Collins et Tarunabh Khaitan, « Indirect Discrimination Law</w:t>
      </w:r>
      <w:r w:rsidR="00D812C3">
        <w:rPr>
          <w:rFonts w:cs="Times New Roman"/>
          <w:lang w:val="fr-CA"/>
        </w:rPr>
        <w:t> </w:t>
      </w:r>
      <w:r w:rsidRPr="00807A5C">
        <w:rPr>
          <w:rFonts w:cs="Times New Roman"/>
          <w:lang w:val="fr-CA"/>
        </w:rPr>
        <w:t>: Controversies and Critical Questions »</w:t>
      </w:r>
      <w:r w:rsidR="00D812C3">
        <w:rPr>
          <w:rFonts w:cs="Times New Roman"/>
          <w:lang w:val="fr-CA"/>
        </w:rPr>
        <w:t>,</w:t>
      </w:r>
      <w:r w:rsidRPr="00807A5C">
        <w:rPr>
          <w:rFonts w:cs="Times New Roman"/>
          <w:lang w:val="fr-CA"/>
        </w:rPr>
        <w:t xml:space="preserve"> dans Hugh Collins et Tarunabh Khaitan, dir., </w:t>
      </w:r>
      <w:r w:rsidRPr="00807A5C">
        <w:rPr>
          <w:rFonts w:cs="Times New Roman"/>
          <w:i/>
          <w:lang w:val="fr-CA"/>
        </w:rPr>
        <w:t xml:space="preserve">Foundations of Indirect Discrimination Law </w:t>
      </w:r>
      <w:r w:rsidRPr="00807A5C">
        <w:rPr>
          <w:rFonts w:cs="Times New Roman"/>
          <w:lang w:val="fr-CA"/>
        </w:rPr>
        <w:t xml:space="preserve">(2018), 1, </w:t>
      </w:r>
      <w:r>
        <w:rPr>
          <w:rFonts w:cs="Times New Roman"/>
          <w:lang w:val="fr-CA"/>
        </w:rPr>
        <w:t>p. </w:t>
      </w:r>
      <w:r w:rsidRPr="00807A5C">
        <w:rPr>
          <w:rFonts w:cs="Times New Roman"/>
          <w:lang w:val="fr-CA"/>
        </w:rPr>
        <w:t>30). Non seulement une telle discrimination est</w:t>
      </w:r>
      <w:r>
        <w:rPr>
          <w:rFonts w:cs="Times New Roman"/>
          <w:lang w:val="fr-CA"/>
        </w:rPr>
        <w:noBreakHyphen/>
      </w:r>
      <w:r w:rsidRPr="00807A5C">
        <w:rPr>
          <w:rFonts w:cs="Times New Roman"/>
          <w:lang w:val="fr-CA"/>
        </w:rPr>
        <w:t xml:space="preserve">elle « beaucoup plus courante que la forme plus rudimentaire </w:t>
      </w:r>
      <w:r w:rsidR="00331A32">
        <w:rPr>
          <w:rFonts w:cs="Times New Roman"/>
          <w:lang w:val="fr-CA"/>
        </w:rPr>
        <w:t xml:space="preserve">que constitue la </w:t>
      </w:r>
      <w:r w:rsidRPr="00807A5C">
        <w:rPr>
          <w:rFonts w:cs="Times New Roman"/>
          <w:lang w:val="fr-CA"/>
        </w:rPr>
        <w:t>discrimination directe flagrante »</w:t>
      </w:r>
      <w:r w:rsidR="00367A7B">
        <w:rPr>
          <w:rStyle w:val="FootnoteReference"/>
          <w:rFonts w:cs="Times New Roman"/>
          <w:lang w:val="fr-CA"/>
        </w:rPr>
        <w:footnoteReference w:id="5"/>
      </w:r>
      <w:r w:rsidRPr="00807A5C">
        <w:rPr>
          <w:rFonts w:cs="Times New Roman"/>
          <w:lang w:val="fr-CA"/>
        </w:rPr>
        <w:t>, mais elle représente souvent une plus grande menace pour les aspirations à l’égalité des groupes défavorisés</w:t>
      </w:r>
      <w:r>
        <w:rPr>
          <w:rFonts w:cs="Times New Roman"/>
          <w:lang w:val="fr-CA"/>
        </w:rPr>
        <w:t> :</w:t>
      </w:r>
    </w:p>
    <w:p w14:paraId="67C9E437" w14:textId="3FA4DFF6" w:rsidR="00804EA2" w:rsidRPr="00807A5C" w:rsidRDefault="00804EA2" w:rsidP="00FD349F">
      <w:pPr>
        <w:pStyle w:val="Citation-AltC"/>
        <w:spacing w:after="480"/>
        <w:ind w:hanging="1166"/>
        <w:contextualSpacing w:val="0"/>
        <w:rPr>
          <w:lang w:val="fr-CA" w:bidi="en-US"/>
        </w:rPr>
      </w:pPr>
      <w:r w:rsidRPr="00807A5C">
        <w:rPr>
          <w:lang w:val="fr-CA" w:bidi="en-US"/>
        </w:rPr>
        <w:tab/>
      </w:r>
      <w:r w:rsidR="0004493C" w:rsidRPr="00807A5C">
        <w:rPr>
          <w:lang w:val="fr-CA" w:bidi="en-US"/>
        </w:rPr>
        <w:t>[</w:t>
      </w:r>
      <w:r w:rsidR="0004493C" w:rsidRPr="00807A5C">
        <w:rPr>
          <w:smallCaps/>
          <w:lang w:val="fr-CA" w:bidi="en-US"/>
        </w:rPr>
        <w:t>traduction</w:t>
      </w:r>
      <w:r w:rsidR="0004493C" w:rsidRPr="00807A5C">
        <w:rPr>
          <w:lang w:val="fr-CA" w:bidi="en-US"/>
        </w:rPr>
        <w:t xml:space="preserve">] </w:t>
      </w:r>
      <w:r w:rsidR="0004493C">
        <w:rPr>
          <w:lang w:val="fr-CA" w:bidi="en-US"/>
        </w:rPr>
        <w:t>. . .</w:t>
      </w:r>
      <w:r w:rsidRPr="00807A5C">
        <w:rPr>
          <w:lang w:val="fr-CA" w:bidi="en-US"/>
        </w:rPr>
        <w:t xml:space="preserve"> il est encore plus courant de voir des situations où la discrimination se manifeste dans une relation d’emploi, une loi ou un programme gouvernemental ou un contexte scolaire, où il n’y a pas de « vilain » identifiable, pas d’acte précis pouvant être considéré comme étant « discriminatoire » et où, vu de l’extérieur, un ensemble de règles ou de pratiques appliquées partout semble neutre. Cette structure invisible et les pratiques qui l’accompagnent sont une limite importante aux aspirations à l’égalité de beaucoup de gens qui doivent naviguer dans cette structure, mais dont les caractéristiques ne correspondent pas à celles des personnes à qui cette structure est censée profiter. </w:t>
      </w:r>
    </w:p>
    <w:p w14:paraId="4744F2A3" w14:textId="04BB9A0C" w:rsidR="00804EA2" w:rsidRPr="00807A5C" w:rsidRDefault="00804EA2" w:rsidP="00FD349F">
      <w:pPr>
        <w:pStyle w:val="Citation-AltC"/>
        <w:ind w:left="0"/>
        <w:rPr>
          <w:lang w:val="en-US"/>
        </w:rPr>
      </w:pPr>
      <w:r w:rsidRPr="00807A5C">
        <w:rPr>
          <w:lang w:val="en-US" w:bidi="en-US"/>
        </w:rPr>
        <w:lastRenderedPageBreak/>
        <w:t xml:space="preserve">(Mary Eberts et Kim Stanton, « The Disappearance of the Four Equality Rights and Systemic Discrimination from Canadian Equality Jurisprudence » (2018), 38 </w:t>
      </w:r>
      <w:r w:rsidRPr="00807A5C">
        <w:rPr>
          <w:i/>
          <w:lang w:val="en-US" w:bidi="en-US"/>
        </w:rPr>
        <w:t xml:space="preserve">R.N.D.C. </w:t>
      </w:r>
      <w:r w:rsidRPr="00807A5C">
        <w:rPr>
          <w:lang w:val="en-US" w:bidi="en-US"/>
        </w:rPr>
        <w:t xml:space="preserve">89, </w:t>
      </w:r>
      <w:r>
        <w:rPr>
          <w:lang w:val="en-US" w:bidi="en-US"/>
        </w:rPr>
        <w:t>p. </w:t>
      </w:r>
      <w:r w:rsidRPr="00807A5C">
        <w:rPr>
          <w:lang w:val="en-US" w:bidi="en-US"/>
        </w:rPr>
        <w:t>92)</w:t>
      </w:r>
    </w:p>
    <w:p w14:paraId="3B1D3D31" w14:textId="03D4BB49" w:rsidR="00804EA2" w:rsidRPr="00807A5C" w:rsidRDefault="00804EA2" w:rsidP="00804EA2">
      <w:pPr>
        <w:pStyle w:val="ParaNoNdepar-AltN"/>
        <w:rPr>
          <w:rFonts w:cs="Times New Roman"/>
          <w:lang w:val="fr-CA"/>
        </w:rPr>
      </w:pPr>
      <w:r w:rsidRPr="00807A5C">
        <w:rPr>
          <w:rFonts w:cs="Times New Roman"/>
          <w:lang w:val="fr-CA"/>
        </w:rPr>
        <w:t>En reconnaissant l’effet d’exclusion qu’a ce genre de discrimination, les tribunaux peuvent mieux examiner [</w:t>
      </w:r>
      <w:r w:rsidRPr="00807A5C">
        <w:rPr>
          <w:rFonts w:cs="Times New Roman"/>
          <w:smallCaps/>
          <w:lang w:val="fr-CA"/>
        </w:rPr>
        <w:t>traduction</w:t>
      </w:r>
      <w:r w:rsidRPr="00807A5C">
        <w:rPr>
          <w:rFonts w:cs="Times New Roman"/>
          <w:lang w:val="fr-CA"/>
        </w:rPr>
        <w:t>] « la discrimination sous se</w:t>
      </w:r>
      <w:r w:rsidR="00BD5CF0">
        <w:rPr>
          <w:rFonts w:cs="Times New Roman"/>
          <w:lang w:val="fr-CA"/>
        </w:rPr>
        <w:t>s diverses formes », y compris</w:t>
      </w:r>
      <w:r w:rsidRPr="00807A5C">
        <w:rPr>
          <w:rFonts w:cs="Times New Roman"/>
          <w:lang w:val="fr-CA"/>
        </w:rPr>
        <w:t xml:space="preserve"> « sur le plan systémique ou institutionnel » (Vizkelety, </w:t>
      </w:r>
      <w:r>
        <w:rPr>
          <w:rFonts w:cs="Times New Roman"/>
          <w:lang w:val="fr-CA"/>
        </w:rPr>
        <w:t>p. </w:t>
      </w:r>
      <w:r w:rsidRPr="00807A5C">
        <w:rPr>
          <w:rFonts w:cs="Times New Roman"/>
          <w:lang w:val="fr-CA"/>
        </w:rPr>
        <w:t>viii; voir aussi Colleen Sheppard, « Mapping anti</w:t>
      </w:r>
      <w:r>
        <w:rPr>
          <w:rFonts w:cs="Times New Roman"/>
          <w:lang w:val="fr-CA"/>
        </w:rPr>
        <w:noBreakHyphen/>
      </w:r>
      <w:r w:rsidRPr="00807A5C">
        <w:rPr>
          <w:rFonts w:cs="Times New Roman"/>
          <w:lang w:val="fr-CA"/>
        </w:rPr>
        <w:t>discrimination law onto inequality at work</w:t>
      </w:r>
      <w:r w:rsidR="00BD5CF0">
        <w:rPr>
          <w:rFonts w:cs="Times New Roman"/>
          <w:lang w:val="fr-CA"/>
        </w:rPr>
        <w:t> </w:t>
      </w:r>
      <w:r w:rsidRPr="00807A5C">
        <w:rPr>
          <w:rFonts w:cs="Times New Roman"/>
          <w:lang w:val="fr-CA"/>
        </w:rPr>
        <w:t>: Expanding the meaning of equality in international labour law</w:t>
      </w:r>
      <w:r>
        <w:rPr>
          <w:rFonts w:cs="Times New Roman"/>
          <w:lang w:val="fr-CA"/>
        </w:rPr>
        <w:t> »</w:t>
      </w:r>
      <w:r w:rsidRPr="00807A5C">
        <w:rPr>
          <w:rFonts w:cs="Times New Roman"/>
          <w:lang w:val="fr-CA"/>
        </w:rPr>
        <w:t xml:space="preserve"> (2012), 151 </w:t>
      </w:r>
      <w:r w:rsidRPr="00807A5C">
        <w:rPr>
          <w:rFonts w:cs="Times New Roman"/>
          <w:i/>
          <w:lang w:val="fr-CA"/>
        </w:rPr>
        <w:t>R</w:t>
      </w:r>
      <w:r>
        <w:rPr>
          <w:rFonts w:cs="Times New Roman"/>
          <w:i/>
          <w:lang w:val="fr-CA"/>
        </w:rPr>
        <w:t>.</w:t>
      </w:r>
      <w:r w:rsidRPr="00807A5C">
        <w:rPr>
          <w:rFonts w:cs="Times New Roman"/>
          <w:i/>
          <w:lang w:val="fr-CA"/>
        </w:rPr>
        <w:t xml:space="preserve"> int</w:t>
      </w:r>
      <w:r>
        <w:rPr>
          <w:rFonts w:cs="Times New Roman"/>
          <w:i/>
          <w:lang w:val="fr-CA"/>
        </w:rPr>
        <w:t xml:space="preserve">. </w:t>
      </w:r>
      <w:r w:rsidRPr="00807A5C">
        <w:rPr>
          <w:rFonts w:cs="Times New Roman"/>
          <w:i/>
          <w:lang w:val="fr-CA"/>
        </w:rPr>
        <w:t>Trav</w:t>
      </w:r>
      <w:r>
        <w:rPr>
          <w:rFonts w:cs="Times New Roman"/>
          <w:i/>
          <w:lang w:val="fr-CA"/>
        </w:rPr>
        <w:t>.</w:t>
      </w:r>
      <w:r w:rsidRPr="00807A5C">
        <w:rPr>
          <w:rFonts w:cs="Times New Roman"/>
          <w:lang w:val="fr-CA"/>
        </w:rPr>
        <w:t xml:space="preserve"> 1, </w:t>
      </w:r>
      <w:r>
        <w:rPr>
          <w:rFonts w:cs="Times New Roman"/>
          <w:lang w:val="fr-CA"/>
        </w:rPr>
        <w:t>p. </w:t>
      </w:r>
      <w:r w:rsidRPr="00807A5C">
        <w:rPr>
          <w:rFonts w:cs="Times New Roman"/>
          <w:lang w:val="fr-CA"/>
        </w:rPr>
        <w:t xml:space="preserve">8; Faraday, </w:t>
      </w:r>
      <w:r>
        <w:rPr>
          <w:rFonts w:cs="Times New Roman"/>
          <w:lang w:val="fr-CA"/>
        </w:rPr>
        <w:t>p. </w:t>
      </w:r>
      <w:r w:rsidRPr="00807A5C">
        <w:rPr>
          <w:rFonts w:cs="Times New Roman"/>
          <w:lang w:val="fr-CA"/>
        </w:rPr>
        <w:t>319). Remédier à la discrimination par suite d’un effet préjudiciable permet aux tribunaux </w:t>
      </w:r>
    </w:p>
    <w:p w14:paraId="74F86927" w14:textId="03704358" w:rsidR="00804EA2" w:rsidRPr="00807A5C" w:rsidRDefault="00804EA2" w:rsidP="00BD5CF0">
      <w:pPr>
        <w:pStyle w:val="Citation-AltC"/>
        <w:spacing w:after="480"/>
        <w:ind w:hanging="1166"/>
        <w:contextualSpacing w:val="0"/>
        <w:rPr>
          <w:lang w:val="fr-CA"/>
        </w:rPr>
      </w:pPr>
      <w:r>
        <w:rPr>
          <w:lang w:val="fr-CA"/>
        </w:rPr>
        <w:tab/>
      </w:r>
      <w:r>
        <w:rPr>
          <w:lang w:val="fr-CA"/>
        </w:rPr>
        <w:tab/>
      </w:r>
      <w:r w:rsidR="00BD5CF0" w:rsidRPr="00807A5C">
        <w:rPr>
          <w:lang w:val="fr-CA"/>
        </w:rPr>
        <w:t>[</w:t>
      </w:r>
      <w:r w:rsidR="00BD5CF0" w:rsidRPr="00807A5C">
        <w:rPr>
          <w:smallCaps/>
          <w:lang w:val="fr-CA"/>
        </w:rPr>
        <w:t>traduction</w:t>
      </w:r>
      <w:r w:rsidR="00BD5CF0" w:rsidRPr="00807A5C">
        <w:rPr>
          <w:lang w:val="fr-CA"/>
        </w:rPr>
        <w:t xml:space="preserve">] </w:t>
      </w:r>
      <w:r w:rsidRPr="00807A5C">
        <w:rPr>
          <w:lang w:val="fr-CA"/>
        </w:rPr>
        <w:t>[de toucher au] cœur de la question de l’égalité, [au] but de la transformation, [à] l’examen de la façon dont les institutions et les rapports doivent être modifiés pour les rendre disponibles, accessibles, significatifs et gratifiants pour la multitude de groupes qui composent notre société.</w:t>
      </w:r>
    </w:p>
    <w:p w14:paraId="78E6E1CB" w14:textId="1952FE73" w:rsidR="00804EA2" w:rsidRPr="00BD5CF0" w:rsidRDefault="00804EA2" w:rsidP="00BD5CF0">
      <w:pPr>
        <w:pStyle w:val="Citation-AltC"/>
        <w:ind w:left="0"/>
        <w:rPr>
          <w:lang w:val="en-US"/>
        </w:rPr>
      </w:pPr>
      <w:r w:rsidRPr="00807A5C">
        <w:rPr>
          <w:lang w:val="en-US"/>
        </w:rPr>
        <w:t>(</w:t>
      </w:r>
      <w:r w:rsidRPr="00807A5C">
        <w:rPr>
          <w:i/>
          <w:lang w:val="en-US"/>
        </w:rPr>
        <w:t>Meiorin</w:t>
      </w:r>
      <w:r w:rsidRPr="00807A5C">
        <w:rPr>
          <w:lang w:val="en-US"/>
        </w:rPr>
        <w:t xml:space="preserve">, </w:t>
      </w:r>
      <w:r>
        <w:rPr>
          <w:lang w:val="en-US"/>
        </w:rPr>
        <w:t>par. </w:t>
      </w:r>
      <w:r w:rsidRPr="00807A5C">
        <w:rPr>
          <w:lang w:val="en-US"/>
        </w:rPr>
        <w:t xml:space="preserve">41, citant Shelagh Day et Gwen Brodsky, « The Duty to Accommodate: Who Will Benefit? » </w:t>
      </w:r>
      <w:r w:rsidRPr="00BD5CF0">
        <w:rPr>
          <w:lang w:val="en-US"/>
        </w:rPr>
        <w:t xml:space="preserve">(1996), 75 </w:t>
      </w:r>
      <w:r w:rsidRPr="00BD5CF0">
        <w:rPr>
          <w:i/>
          <w:lang w:val="en-US"/>
        </w:rPr>
        <w:t xml:space="preserve">Rev. </w:t>
      </w:r>
      <w:r w:rsidR="00BD5CF0">
        <w:rPr>
          <w:i/>
          <w:lang w:val="en-US"/>
        </w:rPr>
        <w:t xml:space="preserve">du </w:t>
      </w:r>
      <w:r w:rsidRPr="00BD5CF0">
        <w:rPr>
          <w:i/>
          <w:lang w:val="en-US"/>
        </w:rPr>
        <w:t xml:space="preserve">B. Can. </w:t>
      </w:r>
      <w:r w:rsidRPr="00BD5CF0">
        <w:rPr>
          <w:lang w:val="en-US"/>
        </w:rPr>
        <w:t>433, p. 462)</w:t>
      </w:r>
    </w:p>
    <w:p w14:paraId="4C7126DA" w14:textId="77777777" w:rsidR="00804EA2" w:rsidRPr="00807A5C" w:rsidRDefault="00804EA2" w:rsidP="00804EA2">
      <w:pPr>
        <w:pStyle w:val="ParaNoNdepar-AltN"/>
        <w:rPr>
          <w:rFonts w:cs="Times New Roman"/>
          <w:lang w:val="fr-CA"/>
        </w:rPr>
      </w:pPr>
      <w:r w:rsidRPr="00807A5C">
        <w:rPr>
          <w:rFonts w:cs="Times New Roman"/>
          <w:lang w:val="fr-CA"/>
        </w:rPr>
        <w:t>Notre Cour s’est penchée pour la première fois sur la discrimination par suite d’un effet préjudiciable dans l’arrêt </w:t>
      </w:r>
      <w:r w:rsidRPr="00807A5C">
        <w:rPr>
          <w:rFonts w:cs="Times New Roman"/>
          <w:i/>
          <w:lang w:val="fr-CA"/>
        </w:rPr>
        <w:t>Commission ontarienne des droits de la personne c. Simpsons</w:t>
      </w:r>
      <w:r>
        <w:rPr>
          <w:rFonts w:cs="Times New Roman"/>
          <w:i/>
          <w:lang w:val="fr-CA"/>
        </w:rPr>
        <w:noBreakHyphen/>
      </w:r>
      <w:r w:rsidRPr="00807A5C">
        <w:rPr>
          <w:rFonts w:cs="Times New Roman"/>
          <w:i/>
          <w:lang w:val="fr-CA"/>
        </w:rPr>
        <w:t>Sears Ltd.</w:t>
      </w:r>
      <w:r w:rsidRPr="00807A5C">
        <w:rPr>
          <w:rFonts w:cs="Times New Roman"/>
          <w:lang w:val="fr-CA"/>
        </w:rPr>
        <w:t xml:space="preserve">, [1985] 2 R.C.S. 536. Les employés d’un grand magasin devaient périodiquement travailler les vendredis et les samedis soirs. Therese O’Malley, une employée du magasin et membre de l’église adventiste du septième jour, était tenue par sa foi d’observer le sabbat du coucher du soleil le vendredi au coucher du soleil le samedi. Elle a déposé une plainte contre le magasin en vertu du </w:t>
      </w:r>
      <w:r w:rsidRPr="00807A5C">
        <w:rPr>
          <w:rFonts w:cs="Times New Roman"/>
          <w:i/>
          <w:lang w:val="fr-CA"/>
        </w:rPr>
        <w:lastRenderedPageBreak/>
        <w:t>Code ontarien des droits de la personne</w:t>
      </w:r>
      <w:r w:rsidRPr="00807A5C">
        <w:rPr>
          <w:rFonts w:cs="Times New Roman"/>
          <w:lang w:val="fr-CA"/>
        </w:rPr>
        <w:t>, L.R.O. 1980, c. 340, alléguant que la règle l’obligeant à travailler les samedis constituait de la discrimination fondée sur la religion.</w:t>
      </w:r>
    </w:p>
    <w:p w14:paraId="2BEC47A6" w14:textId="77777777" w:rsidR="00804EA2" w:rsidRPr="00807A5C" w:rsidRDefault="00804EA2" w:rsidP="00804EA2">
      <w:pPr>
        <w:pStyle w:val="ParaNoNdepar-AltN"/>
        <w:rPr>
          <w:rFonts w:cs="Times New Roman"/>
          <w:lang w:val="fr-CA"/>
        </w:rPr>
      </w:pPr>
      <w:r w:rsidRPr="00807A5C">
        <w:rPr>
          <w:rFonts w:cs="Times New Roman"/>
          <w:lang w:val="fr-CA"/>
        </w:rPr>
        <w:t xml:space="preserve">S’exprimant au nom de la Cour à l’unanimité, le juge McIntyre lui a donné raison. Il a souligné que le </w:t>
      </w:r>
      <w:r w:rsidRPr="00807A5C">
        <w:rPr>
          <w:rFonts w:cs="Times New Roman"/>
          <w:i/>
          <w:lang w:val="fr-CA"/>
        </w:rPr>
        <w:t>Code ontarien des droits de la personne</w:t>
      </w:r>
      <w:r w:rsidRPr="00807A5C">
        <w:rPr>
          <w:rFonts w:cs="Times New Roman"/>
          <w:lang w:val="fr-CA"/>
        </w:rPr>
        <w:t xml:space="preserve"> visait à protéger contre le « résultat ou l’effet » d’une conduite discriminatoire (</w:t>
      </w:r>
      <w:r>
        <w:rPr>
          <w:rFonts w:cs="Times New Roman"/>
          <w:lang w:val="fr-CA"/>
        </w:rPr>
        <w:t>p. </w:t>
      </w:r>
      <w:r w:rsidRPr="00807A5C">
        <w:rPr>
          <w:rFonts w:cs="Times New Roman"/>
          <w:lang w:val="fr-CA"/>
        </w:rPr>
        <w:t>547). Citant l’arrêt </w:t>
      </w:r>
      <w:r w:rsidRPr="00807A5C">
        <w:rPr>
          <w:rFonts w:cs="Times New Roman"/>
          <w:i/>
          <w:lang w:val="fr-CA"/>
        </w:rPr>
        <w:t>Griggs</w:t>
      </w:r>
      <w:r w:rsidRPr="00807A5C">
        <w:rPr>
          <w:rFonts w:cs="Times New Roman"/>
          <w:lang w:val="fr-CA"/>
        </w:rPr>
        <w:t xml:space="preserve"> et plusieurs décisions canadiennes, le juge McIntyre a conclu que la </w:t>
      </w:r>
      <w:r w:rsidRPr="00807A5C">
        <w:rPr>
          <w:rFonts w:cs="Times New Roman"/>
          <w:i/>
          <w:lang w:val="fr-CA"/>
        </w:rPr>
        <w:t xml:space="preserve">Loi </w:t>
      </w:r>
      <w:r w:rsidRPr="00807A5C">
        <w:rPr>
          <w:rFonts w:cs="Times New Roman"/>
          <w:lang w:val="fr-CA"/>
        </w:rPr>
        <w:t>interdisait la discrimination par suite d’un effet préjudiciable, qu’il a distingué ainsi de la discrimination directe</w:t>
      </w:r>
      <w:r>
        <w:rPr>
          <w:rFonts w:cs="Times New Roman"/>
          <w:lang w:val="fr-CA"/>
        </w:rPr>
        <w:t> :</w:t>
      </w:r>
      <w:r w:rsidRPr="00807A5C">
        <w:rPr>
          <w:rFonts w:cs="Times New Roman"/>
          <w:lang w:val="fr-CA"/>
        </w:rPr>
        <w:t> </w:t>
      </w:r>
    </w:p>
    <w:p w14:paraId="2285659A" w14:textId="77777777" w:rsidR="00804EA2" w:rsidRPr="00807A5C" w:rsidRDefault="00804EA2" w:rsidP="00804EA2">
      <w:pPr>
        <w:pStyle w:val="Citation-AltC"/>
        <w:ind w:hanging="1166"/>
        <w:rPr>
          <w:lang w:val="fr-CA"/>
        </w:rPr>
      </w:pPr>
      <w:r w:rsidRPr="00807A5C">
        <w:rPr>
          <w:lang w:val="fr-CA"/>
        </w:rPr>
        <w:tab/>
      </w:r>
      <w:r w:rsidRPr="00807A5C">
        <w:rPr>
          <w:lang w:val="fr-CA"/>
        </w:rPr>
        <w:tab/>
        <w:t xml:space="preserve">On doit faire la distinction entre ce que je qualifierais de discrimination directe et ce qu’on a déjà désigné comme le concept de la discrimination par suite d’un effet préjudiciable en matière d’emploi. À cet égard, il y a discrimination directe lorsqu’un employeur adopte une pratique ou une règle qui, à première vue, établit une distinction pour un motif prohibé. Par exemple, “Ici, on n’embauche aucun catholique, aucune femme ni aucun Noir”. En l’espèce, il est évident que personne ne conteste que la discrimination directe de cette nature contrevient à la Loi. D’autre part, il y a le concept de la discrimination par suite d’un effet préjudiciable. Ce genre de discrimination se produit lorsqu’un employeur adopte, pour des raisons d’affaires véritables, une règle ou une norme qui est neutre à première vue et qui s’applique également à tous les employés, mais qui a un effet discriminatoire pour un motif prohibé sur un seul employé ou un groupe d’employés en ce qu’elle leur impose, en raison d’une caractéristique spéciale de cet employé ou de ce groupe d’employés, des obligations, des peines ou des conditions restrictives non imposées aux autres employés. </w:t>
      </w:r>
      <w:r w:rsidRPr="00807A5C">
        <w:t>[</w:t>
      </w:r>
      <w:r>
        <w:rPr>
          <w:lang w:val="fr-CA"/>
        </w:rPr>
        <w:t>p. </w:t>
      </w:r>
      <w:r w:rsidRPr="00807A5C">
        <w:rPr>
          <w:lang w:val="fr-CA"/>
        </w:rPr>
        <w:t>551]</w:t>
      </w:r>
    </w:p>
    <w:p w14:paraId="7297848F" w14:textId="77777777" w:rsidR="00804EA2" w:rsidRPr="00807A5C" w:rsidRDefault="00804EA2" w:rsidP="00804EA2">
      <w:pPr>
        <w:pStyle w:val="ParaNoNdepar-AltN"/>
        <w:rPr>
          <w:rFonts w:cs="Times New Roman"/>
          <w:lang w:val="fr-CA"/>
        </w:rPr>
      </w:pPr>
      <w:r w:rsidRPr="00807A5C">
        <w:rPr>
          <w:rFonts w:cs="Times New Roman"/>
          <w:lang w:val="fr-CA"/>
        </w:rPr>
        <w:t xml:space="preserve">L’arrêt </w:t>
      </w:r>
      <w:r w:rsidRPr="00807A5C">
        <w:rPr>
          <w:rFonts w:cs="Times New Roman"/>
          <w:i/>
          <w:lang w:val="fr-CA"/>
        </w:rPr>
        <w:t>Simpsons</w:t>
      </w:r>
      <w:r>
        <w:rPr>
          <w:rFonts w:cs="Times New Roman"/>
          <w:i/>
          <w:lang w:val="fr-CA"/>
        </w:rPr>
        <w:noBreakHyphen/>
      </w:r>
      <w:r w:rsidRPr="00807A5C">
        <w:rPr>
          <w:rFonts w:cs="Times New Roman"/>
          <w:i/>
          <w:lang w:val="fr-CA"/>
        </w:rPr>
        <w:t>Sears</w:t>
      </w:r>
      <w:r w:rsidRPr="00807A5C">
        <w:rPr>
          <w:rFonts w:cs="Times New Roman"/>
          <w:lang w:val="fr-CA"/>
        </w:rPr>
        <w:t xml:space="preserve"> a été la première de plusieurs décisions sur les droits de la personne où notre Cour s’est attaquée à la discrimination par suite d’un effet préjudiciable. Dans l’arrêt </w:t>
      </w:r>
      <w:r w:rsidRPr="00807A5C">
        <w:rPr>
          <w:rFonts w:cs="Times New Roman"/>
          <w:i/>
          <w:lang w:val="fr-CA"/>
        </w:rPr>
        <w:t xml:space="preserve">Compagnie des chemins de fer nationaux du Canada </w:t>
      </w:r>
      <w:r w:rsidRPr="00807A5C">
        <w:rPr>
          <w:rFonts w:cs="Times New Roman"/>
          <w:i/>
          <w:lang w:val="fr-CA"/>
        </w:rPr>
        <w:lastRenderedPageBreak/>
        <w:t>c. Canada (Commission canadienne des droits de la personne)</w:t>
      </w:r>
      <w:r w:rsidRPr="00807A5C">
        <w:rPr>
          <w:rFonts w:cs="Times New Roman"/>
          <w:lang w:val="fr-CA"/>
        </w:rPr>
        <w:t>, [1987] 1 R.C.S. 1114 (« </w:t>
      </w:r>
      <w:r w:rsidRPr="00807A5C">
        <w:rPr>
          <w:rFonts w:cs="Times New Roman"/>
          <w:i/>
          <w:lang w:val="fr-CA"/>
        </w:rPr>
        <w:t>Action Travail</w:t>
      </w:r>
      <w:r w:rsidRPr="00807A5C">
        <w:rPr>
          <w:rFonts w:cs="Times New Roman"/>
          <w:lang w:val="fr-CA"/>
        </w:rPr>
        <w:t> »), le juge en chef Dickson a confirmé le bien</w:t>
      </w:r>
      <w:r>
        <w:rPr>
          <w:rFonts w:cs="Times New Roman"/>
          <w:lang w:val="fr-CA"/>
        </w:rPr>
        <w:noBreakHyphen/>
      </w:r>
      <w:r w:rsidRPr="00807A5C">
        <w:rPr>
          <w:rFonts w:cs="Times New Roman"/>
          <w:lang w:val="fr-CA"/>
        </w:rPr>
        <w:t>fondé d’une allégation de discrimination formulée contre un employeur dont les pratiques en matière d’embauche et d’avancement faisaient en sorte que les femmes étaient grandement sous</w:t>
      </w:r>
      <w:r>
        <w:rPr>
          <w:rFonts w:cs="Times New Roman"/>
          <w:lang w:val="fr-CA"/>
        </w:rPr>
        <w:noBreakHyphen/>
      </w:r>
      <w:r w:rsidRPr="00807A5C">
        <w:rPr>
          <w:rFonts w:cs="Times New Roman"/>
          <w:lang w:val="fr-CA"/>
        </w:rPr>
        <w:t>représentées dans certains emplois. Certaines de ces pratiques semblaient neutres à première vue, mais le juge en chef Dickson a souligné l’importance d’analyser « les conséquences des pratiques et des systèmes d’emploi »</w:t>
      </w:r>
      <w:r>
        <w:rPr>
          <w:rFonts w:cs="Times New Roman"/>
          <w:lang w:val="fr-CA"/>
        </w:rPr>
        <w:t> :</w:t>
      </w:r>
    </w:p>
    <w:p w14:paraId="39C543F5" w14:textId="77777777" w:rsidR="00804EA2" w:rsidRPr="00807A5C" w:rsidRDefault="00804EA2" w:rsidP="00804EA2">
      <w:pPr>
        <w:pStyle w:val="Citation-AltC"/>
        <w:spacing w:after="240"/>
        <w:ind w:left="1168" w:hanging="1168"/>
        <w:contextualSpacing w:val="0"/>
        <w:rPr>
          <w:lang w:val="fr-CA"/>
        </w:rPr>
      </w:pPr>
      <w:r>
        <w:rPr>
          <w:lang w:val="fr-CA"/>
        </w:rPr>
        <w:tab/>
      </w:r>
      <w:r>
        <w:rPr>
          <w:lang w:val="fr-CA"/>
        </w:rPr>
        <w:tab/>
      </w:r>
      <w:r w:rsidRPr="00807A5C">
        <w:rPr>
          <w:lang w:val="fr-CA"/>
        </w:rPr>
        <w:t xml:space="preserve">On </w:t>
      </w:r>
      <w:r w:rsidRPr="00EA4E09">
        <w:rPr>
          <w:lang w:val="fr-CA"/>
        </w:rPr>
        <w:t>trouve</w:t>
      </w:r>
      <w:r w:rsidRPr="00807A5C">
        <w:rPr>
          <w:lang w:val="fr-CA"/>
        </w:rPr>
        <w:t xml:space="preserve"> une étude exhaustive de la « discrimination systémique » au Canada dans le rapport Abella sur l’égalité en matière d’emploi. </w:t>
      </w:r>
    </w:p>
    <w:p w14:paraId="5FCCD7F5" w14:textId="074EB816" w:rsidR="00804EA2" w:rsidRPr="00807A5C" w:rsidRDefault="00BD5CF0" w:rsidP="00804EA2">
      <w:pPr>
        <w:pStyle w:val="Citation-AltC"/>
        <w:spacing w:after="240"/>
        <w:ind w:left="1168" w:hanging="1166"/>
        <w:contextualSpacing w:val="0"/>
        <w:jc w:val="center"/>
        <w:rPr>
          <w:lang w:val="fr-CA"/>
        </w:rPr>
      </w:pPr>
      <w:r>
        <w:rPr>
          <w:lang w:val="fr-CA"/>
        </w:rPr>
        <w:tab/>
        <w:t>. . .</w:t>
      </w:r>
    </w:p>
    <w:p w14:paraId="5085B68F" w14:textId="385125B0" w:rsidR="00804EA2" w:rsidRPr="00807A5C" w:rsidRDefault="00804EA2" w:rsidP="00804EA2">
      <w:pPr>
        <w:pStyle w:val="Citation-AltC"/>
        <w:spacing w:after="240"/>
        <w:ind w:left="1168" w:hanging="1168"/>
        <w:contextualSpacing w:val="0"/>
        <w:rPr>
          <w:lang w:val="fr-CA"/>
        </w:rPr>
      </w:pPr>
      <w:r>
        <w:rPr>
          <w:lang w:val="fr-CA"/>
        </w:rPr>
        <w:tab/>
      </w:r>
      <w:r>
        <w:rPr>
          <w:lang w:val="fr-CA"/>
        </w:rPr>
        <w:tab/>
      </w:r>
      <w:r w:rsidR="00BD5CF0">
        <w:rPr>
          <w:lang w:val="fr-CA"/>
        </w:rPr>
        <w:t>. . .</w:t>
      </w:r>
      <w:r w:rsidRPr="00807A5C">
        <w:rPr>
          <w:lang w:val="fr-CA"/>
        </w:rPr>
        <w:t xml:space="preserve"> la discrimination s’entend des pratiques ou des attitudes qui, de par leur conception ou par voie de conséquence, gênent l’accès des particuliers ou des groupes à des possibilités d’emplois, en raison de caractéristique</w:t>
      </w:r>
      <w:r w:rsidR="00BD5CF0">
        <w:rPr>
          <w:lang w:val="fr-CA"/>
        </w:rPr>
        <w:t>s qui leur sont prêtées à tort . . .</w:t>
      </w:r>
    </w:p>
    <w:p w14:paraId="34B95CA6" w14:textId="77777777" w:rsidR="00804EA2" w:rsidRPr="00807A5C" w:rsidRDefault="00804EA2" w:rsidP="00804EA2">
      <w:pPr>
        <w:pStyle w:val="Citation-AltC"/>
        <w:spacing w:after="240"/>
        <w:ind w:left="1168" w:hanging="1168"/>
        <w:contextualSpacing w:val="0"/>
        <w:rPr>
          <w:lang w:val="fr-CA"/>
        </w:rPr>
      </w:pPr>
      <w:r>
        <w:rPr>
          <w:lang w:val="fr-CA"/>
        </w:rPr>
        <w:tab/>
      </w:r>
      <w:r>
        <w:rPr>
          <w:lang w:val="fr-CA"/>
        </w:rPr>
        <w:tab/>
      </w:r>
      <w:r w:rsidRPr="00807A5C">
        <w:rPr>
          <w:lang w:val="fr-CA"/>
        </w:rPr>
        <w:t>La question n’est pas de savoir si la discrimination est intentionnelle ou si elle est simplement involontaire, c’est</w:t>
      </w:r>
      <w:r>
        <w:rPr>
          <w:lang w:val="fr-CA"/>
        </w:rPr>
        <w:noBreakHyphen/>
      </w:r>
      <w:r w:rsidRPr="00807A5C">
        <w:rPr>
          <w:lang w:val="fr-CA"/>
        </w:rPr>
        <w:t>à</w:t>
      </w:r>
      <w:r>
        <w:rPr>
          <w:lang w:val="fr-CA"/>
        </w:rPr>
        <w:noBreakHyphen/>
      </w:r>
      <w:r w:rsidRPr="00807A5C">
        <w:rPr>
          <w:lang w:val="fr-CA"/>
        </w:rPr>
        <w:t>dire découlant du système lui</w:t>
      </w:r>
      <w:r>
        <w:rPr>
          <w:lang w:val="fr-CA"/>
        </w:rPr>
        <w:noBreakHyphen/>
      </w:r>
      <w:r w:rsidRPr="00807A5C">
        <w:rPr>
          <w:lang w:val="fr-CA"/>
        </w:rPr>
        <w:t xml:space="preserve">même. </w:t>
      </w:r>
      <w:r w:rsidRPr="00807A5C">
        <w:rPr>
          <w:i/>
          <w:lang w:val="fr-CA"/>
        </w:rPr>
        <w:t>Si des pratiques occasionnent des répercussions néfastes pour certains groupes, c’est une indication qu’elles sont peut</w:t>
      </w:r>
      <w:r>
        <w:rPr>
          <w:i/>
          <w:lang w:val="fr-CA"/>
        </w:rPr>
        <w:noBreakHyphen/>
      </w:r>
      <w:r w:rsidRPr="00807A5C">
        <w:rPr>
          <w:i/>
          <w:lang w:val="fr-CA"/>
        </w:rPr>
        <w:t>être discriminatoires</w:t>
      </w:r>
      <w:r w:rsidRPr="00BD5CF0">
        <w:rPr>
          <w:i/>
          <w:lang w:val="fr-CA"/>
        </w:rPr>
        <w:t>.</w:t>
      </w:r>
      <w:r w:rsidRPr="00807A5C">
        <w:rPr>
          <w:lang w:val="fr-CA"/>
        </w:rPr>
        <w:t xml:space="preserve"> </w:t>
      </w:r>
    </w:p>
    <w:p w14:paraId="462417D5" w14:textId="368199B8" w:rsidR="00804EA2" w:rsidRPr="00807A5C" w:rsidRDefault="00804EA2" w:rsidP="00804EA2">
      <w:pPr>
        <w:pStyle w:val="Citation-AltC"/>
        <w:ind w:hanging="1166"/>
        <w:rPr>
          <w:lang w:val="fr-CA"/>
        </w:rPr>
      </w:pPr>
      <w:r>
        <w:rPr>
          <w:lang w:val="fr-CA"/>
        </w:rPr>
        <w:tab/>
      </w:r>
      <w:r>
        <w:rPr>
          <w:lang w:val="fr-CA"/>
        </w:rPr>
        <w:tab/>
      </w:r>
      <w:r w:rsidRPr="00807A5C">
        <w:rPr>
          <w:lang w:val="fr-CA"/>
        </w:rPr>
        <w:t>Voilà pourquoi il est important d’analyser les conséquences des pratiques et des systèmes d’emploi</w:t>
      </w:r>
      <w:r w:rsidR="00BD5CF0">
        <w:rPr>
          <w:lang w:val="fr-CA"/>
        </w:rPr>
        <w:t> </w:t>
      </w:r>
      <w:r w:rsidRPr="00807A5C">
        <w:rPr>
          <w:lang w:val="fr-CA"/>
        </w:rPr>
        <w:t>. . . [Italiques</w:t>
      </w:r>
      <w:r w:rsidR="00BD5CF0">
        <w:rPr>
          <w:lang w:val="fr-CA"/>
        </w:rPr>
        <w:t xml:space="preserve"> ajouté</w:t>
      </w:r>
      <w:r w:rsidRPr="00807A5C">
        <w:rPr>
          <w:lang w:val="fr-CA"/>
        </w:rPr>
        <w:t xml:space="preserve">; </w:t>
      </w:r>
      <w:r>
        <w:rPr>
          <w:lang w:val="fr-CA"/>
        </w:rPr>
        <w:t>p. </w:t>
      </w:r>
      <w:r w:rsidRPr="00807A5C">
        <w:rPr>
          <w:lang w:val="fr-CA"/>
        </w:rPr>
        <w:t>1138</w:t>
      </w:r>
      <w:r>
        <w:rPr>
          <w:lang w:val="fr-CA"/>
        </w:rPr>
        <w:noBreakHyphen/>
      </w:r>
      <w:r w:rsidRPr="00807A5C">
        <w:rPr>
          <w:lang w:val="fr-CA"/>
        </w:rPr>
        <w:t xml:space="preserve">1139.] </w:t>
      </w:r>
    </w:p>
    <w:p w14:paraId="71B323D0" w14:textId="14AAB941" w:rsidR="00804EA2" w:rsidRPr="00807A5C" w:rsidRDefault="00804EA2" w:rsidP="00804EA2">
      <w:pPr>
        <w:pStyle w:val="ParaNoNdepar-AltN"/>
        <w:rPr>
          <w:rFonts w:cs="Times New Roman"/>
          <w:lang w:val="fr-CA"/>
        </w:rPr>
      </w:pPr>
      <w:r w:rsidRPr="00807A5C">
        <w:rPr>
          <w:rFonts w:cs="Times New Roman"/>
          <w:lang w:val="fr-CA"/>
        </w:rPr>
        <w:t>Ces principes ont vite été importés dans la jurisprudence de notre Cour sur l’art</w:t>
      </w:r>
      <w:r>
        <w:rPr>
          <w:rFonts w:cs="Times New Roman"/>
          <w:lang w:val="fr-CA"/>
        </w:rPr>
        <w:t>.</w:t>
      </w:r>
      <w:r w:rsidRPr="00807A5C">
        <w:rPr>
          <w:rFonts w:cs="Times New Roman"/>
          <w:lang w:val="fr-CA"/>
        </w:rPr>
        <w:t> 15. Dans l’</w:t>
      </w:r>
      <w:r>
        <w:rPr>
          <w:rFonts w:cs="Times New Roman"/>
          <w:lang w:val="fr-CA"/>
        </w:rPr>
        <w:t xml:space="preserve">arrêt </w:t>
      </w:r>
      <w:r w:rsidRPr="00807A5C">
        <w:rPr>
          <w:rFonts w:cs="Times New Roman"/>
          <w:i/>
          <w:lang w:val="fr-CA"/>
        </w:rPr>
        <w:t>Andrews c. Law Society of British Columbia</w:t>
      </w:r>
      <w:r w:rsidR="00441137">
        <w:rPr>
          <w:rFonts w:cs="Times New Roman"/>
          <w:lang w:val="fr-CA"/>
        </w:rPr>
        <w:t>, [1989] 1</w:t>
      </w:r>
      <w:r w:rsidRPr="00807A5C">
        <w:rPr>
          <w:rFonts w:cs="Times New Roman"/>
          <w:lang w:val="fr-CA"/>
        </w:rPr>
        <w:t> R.C.S. 143, la Cour a rejeté l’idée de la « similitude » ou théorie formelle de l’égalité, qualifiant plutôt l’égalité réelle de prémisse philosophique de l’art</w:t>
      </w:r>
      <w:r>
        <w:rPr>
          <w:rFonts w:cs="Times New Roman"/>
          <w:lang w:val="fr-CA"/>
        </w:rPr>
        <w:t xml:space="preserve">. </w:t>
      </w:r>
      <w:r w:rsidRPr="00807A5C">
        <w:rPr>
          <w:rFonts w:cs="Times New Roman"/>
          <w:lang w:val="fr-CA"/>
        </w:rPr>
        <w:t xml:space="preserve">15 et décrivant une théorie de l’égalité axée sur « l’effet de la loi sur l’individu ou le groupe concerné » </w:t>
      </w:r>
      <w:r w:rsidRPr="00807A5C">
        <w:rPr>
          <w:rFonts w:cs="Times New Roman"/>
          <w:lang w:val="fr-CA"/>
        </w:rPr>
        <w:lastRenderedPageBreak/>
        <w:t>(</w:t>
      </w:r>
      <w:r>
        <w:rPr>
          <w:rFonts w:cs="Times New Roman"/>
          <w:lang w:val="fr-CA"/>
        </w:rPr>
        <w:t>p. </w:t>
      </w:r>
      <w:r w:rsidRPr="00807A5C">
        <w:rPr>
          <w:rFonts w:cs="Times New Roman"/>
          <w:lang w:val="fr-CA"/>
        </w:rPr>
        <w:t>165). En développant cette théorie, le juge McIntyre a catégoriquement rejeté l’approche adoptée par la Cour d’appel de la Colombie</w:t>
      </w:r>
      <w:r>
        <w:rPr>
          <w:rFonts w:cs="Times New Roman"/>
          <w:lang w:val="fr-CA"/>
        </w:rPr>
        <w:noBreakHyphen/>
      </w:r>
      <w:r w:rsidRPr="00807A5C">
        <w:rPr>
          <w:rFonts w:cs="Times New Roman"/>
          <w:lang w:val="fr-CA"/>
        </w:rPr>
        <w:t>Britannique à l’égard de l’art</w:t>
      </w:r>
      <w:r>
        <w:rPr>
          <w:rFonts w:cs="Times New Roman"/>
          <w:lang w:val="fr-CA"/>
        </w:rPr>
        <w:t>.</w:t>
      </w:r>
      <w:r w:rsidRPr="00807A5C">
        <w:rPr>
          <w:rFonts w:cs="Times New Roman"/>
          <w:lang w:val="fr-CA"/>
        </w:rPr>
        <w:t> 15. Celle</w:t>
      </w:r>
      <w:r>
        <w:rPr>
          <w:rFonts w:cs="Times New Roman"/>
          <w:lang w:val="fr-CA"/>
        </w:rPr>
        <w:noBreakHyphen/>
      </w:r>
      <w:r w:rsidRPr="00807A5C">
        <w:rPr>
          <w:rFonts w:cs="Times New Roman"/>
          <w:lang w:val="fr-CA"/>
        </w:rPr>
        <w:t>ci avait défini le [</w:t>
      </w:r>
      <w:r w:rsidRPr="00807A5C">
        <w:rPr>
          <w:rFonts w:cs="Times New Roman"/>
          <w:smallCaps/>
          <w:lang w:val="fr-CA"/>
        </w:rPr>
        <w:t>traduction</w:t>
      </w:r>
      <w:r w:rsidRPr="00807A5C">
        <w:rPr>
          <w:rFonts w:cs="Times New Roman"/>
          <w:lang w:val="fr-CA"/>
        </w:rPr>
        <w:t>] « sens fondamental » de l’égalité comme signifiant que « </w:t>
      </w:r>
      <w:r w:rsidRPr="00807A5C">
        <w:rPr>
          <w:rFonts w:cs="Times New Roman"/>
          <w:szCs w:val="20"/>
          <w:lang w:val="fr-CA"/>
        </w:rPr>
        <w:t>les personnes qui se trouvent dans “une situation analogue doivent être traitées de façon analogue” » ((1986), 2 B.C.L.R. (2</w:t>
      </w:r>
      <w:r>
        <w:rPr>
          <w:rFonts w:cs="Times New Roman"/>
          <w:szCs w:val="20"/>
          <w:lang w:val="fr-CA"/>
        </w:rPr>
        <w:t>d</w:t>
      </w:r>
      <w:r w:rsidRPr="00807A5C">
        <w:rPr>
          <w:rFonts w:cs="Times New Roman"/>
          <w:szCs w:val="20"/>
          <w:lang w:val="fr-CA"/>
        </w:rPr>
        <w:t xml:space="preserve">) 305, </w:t>
      </w:r>
      <w:r>
        <w:rPr>
          <w:rFonts w:cs="Times New Roman"/>
          <w:szCs w:val="20"/>
          <w:lang w:val="fr-CA"/>
        </w:rPr>
        <w:t>p. </w:t>
      </w:r>
      <w:r w:rsidRPr="00807A5C">
        <w:rPr>
          <w:rFonts w:cs="Times New Roman"/>
          <w:szCs w:val="20"/>
          <w:lang w:val="fr-CA"/>
        </w:rPr>
        <w:t xml:space="preserve">311, citant Joseph Tussman et Jacobus tenBroek, « The Equal Protection of the Laws » (1949), 37 </w:t>
      </w:r>
      <w:r w:rsidRPr="00807A5C">
        <w:rPr>
          <w:rFonts w:cs="Times New Roman"/>
          <w:i/>
          <w:szCs w:val="20"/>
          <w:lang w:val="fr-CA"/>
        </w:rPr>
        <w:t>C</w:t>
      </w:r>
      <w:r>
        <w:rPr>
          <w:rFonts w:cs="Times New Roman"/>
          <w:i/>
          <w:szCs w:val="20"/>
          <w:lang w:val="fr-CA"/>
        </w:rPr>
        <w:t>al. </w:t>
      </w:r>
      <w:r w:rsidRPr="00807A5C">
        <w:rPr>
          <w:rFonts w:cs="Times New Roman"/>
          <w:i/>
          <w:szCs w:val="20"/>
          <w:lang w:val="fr-CA"/>
        </w:rPr>
        <w:t>L. Rev.</w:t>
      </w:r>
      <w:r w:rsidRPr="00807A5C">
        <w:rPr>
          <w:rFonts w:cs="Times New Roman"/>
          <w:szCs w:val="20"/>
          <w:lang w:val="fr-CA"/>
        </w:rPr>
        <w:t xml:space="preserve"> 341, </w:t>
      </w:r>
      <w:r>
        <w:rPr>
          <w:rFonts w:cs="Times New Roman"/>
          <w:szCs w:val="20"/>
          <w:lang w:val="fr-CA"/>
        </w:rPr>
        <w:t>p. </w:t>
      </w:r>
      <w:r w:rsidRPr="00807A5C">
        <w:rPr>
          <w:rFonts w:cs="Times New Roman"/>
          <w:szCs w:val="20"/>
          <w:lang w:val="fr-CA"/>
        </w:rPr>
        <w:t>344). Le juge McIntyre a dit que cette approche comportait un « grave défaut » parce que « la simple égalité d’application de la loi à des groupes ou à des individus qui se trouvent dans une situation analogue ne peut constituer un critère réaliste en ce qui concerne la violation des droits à l’égalité » (</w:t>
      </w:r>
      <w:r>
        <w:rPr>
          <w:rFonts w:cs="Times New Roman"/>
          <w:szCs w:val="20"/>
          <w:lang w:val="fr-CA"/>
        </w:rPr>
        <w:t>p. </w:t>
      </w:r>
      <w:r w:rsidRPr="00807A5C">
        <w:rPr>
          <w:rFonts w:cs="Times New Roman"/>
          <w:szCs w:val="20"/>
          <w:lang w:val="fr-CA"/>
        </w:rPr>
        <w:t>165</w:t>
      </w:r>
      <w:r>
        <w:rPr>
          <w:rFonts w:cs="Times New Roman"/>
          <w:szCs w:val="20"/>
          <w:lang w:val="fr-CA"/>
        </w:rPr>
        <w:noBreakHyphen/>
      </w:r>
      <w:r w:rsidRPr="00807A5C">
        <w:rPr>
          <w:rFonts w:cs="Times New Roman"/>
          <w:szCs w:val="20"/>
          <w:lang w:val="fr-CA"/>
        </w:rPr>
        <w:t>167).</w:t>
      </w:r>
    </w:p>
    <w:p w14:paraId="0071CFD0" w14:textId="77777777" w:rsidR="00804EA2" w:rsidRPr="00807A5C" w:rsidRDefault="00804EA2" w:rsidP="00804EA2">
      <w:pPr>
        <w:pStyle w:val="ParaNoNdepar-AltN"/>
        <w:rPr>
          <w:rFonts w:cs="Times New Roman"/>
          <w:lang w:val="fr-CA"/>
        </w:rPr>
      </w:pPr>
      <w:r w:rsidRPr="00807A5C">
        <w:rPr>
          <w:rFonts w:cs="Times New Roman"/>
          <w:lang w:val="fr-CA"/>
        </w:rPr>
        <w:t>Se fondant sur la jurisprudence de notre Cour en matière de droits de la personne, tout en reconnaissant que « </w:t>
      </w:r>
      <w:r w:rsidRPr="00807A5C">
        <w:rPr>
          <w:rFonts w:cs="Times New Roman"/>
          <w:szCs w:val="20"/>
          <w:lang w:val="fr-CA"/>
        </w:rPr>
        <w:t>ce ne sont pas toutes les distinctions et différenciations créées par la loi qui sont discriminatoires » (</w:t>
      </w:r>
      <w:r>
        <w:rPr>
          <w:rFonts w:cs="Times New Roman"/>
          <w:szCs w:val="20"/>
          <w:lang w:val="fr-CA"/>
        </w:rPr>
        <w:t>p. </w:t>
      </w:r>
      <w:r w:rsidRPr="00807A5C">
        <w:rPr>
          <w:rFonts w:cs="Times New Roman"/>
          <w:szCs w:val="20"/>
          <w:lang w:val="fr-CA"/>
        </w:rPr>
        <w:t>182), le juge McIntyre a avalisé une conception de l’égalité et de la discrimination qui était axée sur les effets réels d’une loi sur un groupe de demandeurs plutôt que sur l’objectif ou la neutralité apparente de cette loi</w:t>
      </w:r>
      <w:r>
        <w:rPr>
          <w:rFonts w:cs="Times New Roman"/>
          <w:szCs w:val="20"/>
          <w:lang w:val="fr-CA"/>
        </w:rPr>
        <w:t> :</w:t>
      </w:r>
    </w:p>
    <w:p w14:paraId="293E0BBF" w14:textId="77777777" w:rsidR="00804EA2" w:rsidRPr="00807A5C" w:rsidRDefault="00804EA2" w:rsidP="00804EA2">
      <w:pPr>
        <w:pStyle w:val="Citation-AltC"/>
        <w:spacing w:after="240"/>
        <w:ind w:left="1440" w:hanging="1440"/>
        <w:contextualSpacing w:val="0"/>
        <w:rPr>
          <w:szCs w:val="20"/>
          <w:lang w:val="fr-CA"/>
        </w:rPr>
      </w:pPr>
      <w:r w:rsidRPr="00807A5C">
        <w:rPr>
          <w:szCs w:val="20"/>
          <w:lang w:val="fr-CA"/>
        </w:rPr>
        <w:tab/>
        <w:t xml:space="preserve">J’affirmerais alors que la discrimination peut se décrire comme une distinction, intentionnelle ou non, mais fondée sur des motifs relatifs à des </w:t>
      </w:r>
      <w:r w:rsidRPr="00807A5C">
        <w:rPr>
          <w:lang w:val="fr-CA"/>
        </w:rPr>
        <w:t>caractéristiques</w:t>
      </w:r>
      <w:r w:rsidRPr="00807A5C">
        <w:rPr>
          <w:szCs w:val="20"/>
          <w:lang w:val="fr-CA"/>
        </w:rPr>
        <w:t xml:space="preserve"> personnelles d’un individu ou d’un groupe d’individus, qui a pour effet d’imposer à cet individu ou à ce groupe des fardeaux, des obligations ou des désavantages non imposés à d’autres ou d’empêcher ou de restreindre l’accès aux possibilités, aux bénéfices et aux avantages offerts à d’autres membres de la société. [</w:t>
      </w:r>
      <w:r>
        <w:rPr>
          <w:szCs w:val="20"/>
          <w:lang w:val="fr-CA"/>
        </w:rPr>
        <w:t>p. </w:t>
      </w:r>
      <w:r w:rsidRPr="00807A5C">
        <w:rPr>
          <w:szCs w:val="20"/>
          <w:lang w:val="fr-CA"/>
        </w:rPr>
        <w:t>174]</w:t>
      </w:r>
    </w:p>
    <w:p w14:paraId="4C55662B" w14:textId="77777777" w:rsidR="00804EA2" w:rsidRPr="00807A5C" w:rsidRDefault="00804EA2" w:rsidP="00804EA2">
      <w:pPr>
        <w:pStyle w:val="ContinueParaSuitedupar-AltP"/>
        <w:rPr>
          <w:rFonts w:cs="Times New Roman"/>
          <w:lang w:val="fr-CA" w:bidi="en-US"/>
        </w:rPr>
      </w:pPr>
      <w:r w:rsidRPr="00807A5C">
        <w:rPr>
          <w:rFonts w:cs="Times New Roman"/>
          <w:lang w:val="fr-CA" w:bidi="en-US"/>
        </w:rPr>
        <w:lastRenderedPageBreak/>
        <w:t xml:space="preserve">L’arrêt </w:t>
      </w:r>
      <w:r w:rsidRPr="00807A5C">
        <w:rPr>
          <w:rFonts w:cs="Times New Roman"/>
          <w:i/>
          <w:lang w:val="fr-CA" w:bidi="en-US"/>
        </w:rPr>
        <w:t>Andrews</w:t>
      </w:r>
      <w:r w:rsidRPr="00807A5C">
        <w:rPr>
          <w:rFonts w:cs="Times New Roman"/>
          <w:lang w:val="fr-CA" w:bidi="en-US"/>
        </w:rPr>
        <w:t xml:space="preserve"> s’est révélé un solide modèle en matière d’égalité réelle qui a été « enrichi mais qui n’a jamais été abandonné » par la jurisprudence ultérieure (</w:t>
      </w:r>
      <w:r w:rsidRPr="00807A5C">
        <w:rPr>
          <w:rFonts w:cs="Times New Roman"/>
          <w:i/>
          <w:lang w:val="fr-CA" w:bidi="en-US"/>
        </w:rPr>
        <w:t>R. c. Kapp</w:t>
      </w:r>
      <w:r w:rsidRPr="00807A5C">
        <w:rPr>
          <w:rFonts w:cs="Times New Roman"/>
          <w:lang w:val="fr-CA" w:bidi="en-US"/>
        </w:rPr>
        <w:t xml:space="preserve">, [2008] 2 R.C.S. 483, </w:t>
      </w:r>
      <w:r>
        <w:rPr>
          <w:rFonts w:cs="Times New Roman"/>
          <w:lang w:val="fr-CA" w:bidi="en-US"/>
        </w:rPr>
        <w:t>par. </w:t>
      </w:r>
      <w:r w:rsidRPr="00807A5C">
        <w:rPr>
          <w:rFonts w:cs="Times New Roman"/>
          <w:lang w:val="fr-CA" w:bidi="en-US"/>
        </w:rPr>
        <w:t>14). Il a constitué un remède contre l’exclusion et une recette pour l’inclusion.</w:t>
      </w:r>
    </w:p>
    <w:p w14:paraId="033D656A" w14:textId="77777777" w:rsidR="00804EA2" w:rsidRPr="00807A5C" w:rsidRDefault="00804EA2" w:rsidP="00804EA2">
      <w:pPr>
        <w:pStyle w:val="ParaNoNdepar-AltN"/>
        <w:rPr>
          <w:rFonts w:cs="Times New Roman"/>
          <w:lang w:val="fr-CA"/>
        </w:rPr>
      </w:pPr>
      <w:r w:rsidRPr="00807A5C">
        <w:rPr>
          <w:rFonts w:cs="Times New Roman"/>
          <w:lang w:val="fr-CA"/>
        </w:rPr>
        <w:t>Nos décisions subséquentes n’ont laissé aucun doute sur le fait que l’égalité réelle est la « norme fondamentale » du cadre établi à l’égard de l’</w:t>
      </w:r>
      <w:r>
        <w:rPr>
          <w:rFonts w:cs="Times New Roman"/>
          <w:lang w:val="fr-CA"/>
        </w:rPr>
        <w:t>art. </w:t>
      </w:r>
      <w:r w:rsidRPr="00807A5C">
        <w:rPr>
          <w:rFonts w:cs="Times New Roman"/>
          <w:lang w:val="fr-CA"/>
        </w:rPr>
        <w:t>15 (</w:t>
      </w:r>
      <w:r w:rsidRPr="00807A5C">
        <w:rPr>
          <w:rFonts w:cs="Times New Roman"/>
          <w:i/>
          <w:lang w:val="fr-CA"/>
        </w:rPr>
        <w:t>Withler</w:t>
      </w:r>
      <w:r w:rsidRPr="00807A5C">
        <w:rPr>
          <w:rFonts w:cs="Times New Roman"/>
          <w:lang w:val="fr-CA"/>
        </w:rPr>
        <w:t xml:space="preserve">, </w:t>
      </w:r>
      <w:r>
        <w:rPr>
          <w:rFonts w:cs="Times New Roman"/>
          <w:lang w:val="fr-CA"/>
        </w:rPr>
        <w:t>par. </w:t>
      </w:r>
      <w:r w:rsidRPr="00807A5C">
        <w:rPr>
          <w:rFonts w:cs="Times New Roman"/>
          <w:lang w:val="fr-CA"/>
        </w:rPr>
        <w:t xml:space="preserve">2; voir aussi </w:t>
      </w:r>
      <w:r w:rsidRPr="00807A5C">
        <w:rPr>
          <w:rFonts w:cs="Times New Roman"/>
          <w:i/>
          <w:lang w:val="fr-CA"/>
        </w:rPr>
        <w:t>Kapp</w:t>
      </w:r>
      <w:r w:rsidRPr="00807A5C">
        <w:rPr>
          <w:rFonts w:cs="Times New Roman"/>
          <w:lang w:val="fr-CA"/>
        </w:rPr>
        <w:t xml:space="preserve">, </w:t>
      </w:r>
      <w:r>
        <w:rPr>
          <w:rFonts w:cs="Times New Roman"/>
          <w:lang w:val="fr-CA"/>
        </w:rPr>
        <w:t>par. </w:t>
      </w:r>
      <w:r w:rsidRPr="00807A5C">
        <w:rPr>
          <w:rFonts w:cs="Times New Roman"/>
          <w:lang w:val="fr-CA"/>
        </w:rPr>
        <w:t>15</w:t>
      </w:r>
      <w:r>
        <w:rPr>
          <w:rFonts w:cs="Times New Roman"/>
          <w:lang w:val="fr-CA"/>
        </w:rPr>
        <w:noBreakHyphen/>
      </w:r>
      <w:r w:rsidRPr="00807A5C">
        <w:rPr>
          <w:rFonts w:cs="Times New Roman"/>
          <w:lang w:val="fr-CA"/>
        </w:rPr>
        <w:t xml:space="preserve">16; </w:t>
      </w:r>
      <w:r w:rsidRPr="00807A5C">
        <w:rPr>
          <w:rFonts w:cs="Times New Roman"/>
          <w:i/>
          <w:lang w:val="fr-CA"/>
        </w:rPr>
        <w:t>Alliance</w:t>
      </w:r>
      <w:r w:rsidRPr="00807A5C">
        <w:rPr>
          <w:rFonts w:cs="Times New Roman"/>
          <w:lang w:val="fr-CA"/>
        </w:rPr>
        <w:t xml:space="preserve">, </w:t>
      </w:r>
      <w:r>
        <w:rPr>
          <w:rFonts w:cs="Times New Roman"/>
          <w:lang w:val="fr-CA"/>
        </w:rPr>
        <w:t>par. </w:t>
      </w:r>
      <w:r w:rsidRPr="00807A5C">
        <w:rPr>
          <w:rFonts w:cs="Times New Roman"/>
          <w:lang w:val="fr-CA"/>
        </w:rPr>
        <w:t>25) et que l’égalité réelle exige que l’on porte attention à « tous les éléments contextuels de la situation du groupe de demandeurs », à « l’effet réel de la mesure législative sur leur situation » et aux « désavantages systémiques persistants [qui] ont eu pour effet de restreindre les possibilités offertes » aux membres du groupe (</w:t>
      </w:r>
      <w:r w:rsidRPr="00807A5C">
        <w:rPr>
          <w:rFonts w:cs="Times New Roman"/>
          <w:i/>
          <w:lang w:val="fr-CA"/>
        </w:rPr>
        <w:t>Withler</w:t>
      </w:r>
      <w:r w:rsidRPr="00807A5C">
        <w:rPr>
          <w:rFonts w:cs="Times New Roman"/>
          <w:lang w:val="fr-CA"/>
        </w:rPr>
        <w:t xml:space="preserve">, </w:t>
      </w:r>
      <w:r>
        <w:rPr>
          <w:rFonts w:cs="Times New Roman"/>
          <w:lang w:val="fr-CA"/>
        </w:rPr>
        <w:t>par. </w:t>
      </w:r>
      <w:r w:rsidRPr="00807A5C">
        <w:rPr>
          <w:rFonts w:cs="Times New Roman"/>
          <w:lang w:val="fr-CA"/>
        </w:rPr>
        <w:t xml:space="preserve">43; </w:t>
      </w:r>
      <w:r w:rsidRPr="00807A5C">
        <w:rPr>
          <w:rFonts w:cs="Times New Roman"/>
          <w:i/>
          <w:lang w:val="fr-CA"/>
        </w:rPr>
        <w:t>Taypotat</w:t>
      </w:r>
      <w:r w:rsidRPr="00807A5C">
        <w:rPr>
          <w:rFonts w:cs="Times New Roman"/>
          <w:lang w:val="fr-CA"/>
        </w:rPr>
        <w:t xml:space="preserve">, </w:t>
      </w:r>
      <w:r>
        <w:rPr>
          <w:rFonts w:cs="Times New Roman"/>
          <w:lang w:val="fr-CA"/>
        </w:rPr>
        <w:t>par. </w:t>
      </w:r>
      <w:r w:rsidRPr="00807A5C">
        <w:rPr>
          <w:rFonts w:cs="Times New Roman"/>
          <w:lang w:val="fr-CA"/>
        </w:rPr>
        <w:t xml:space="preserve">17; voir également </w:t>
      </w:r>
      <w:r w:rsidRPr="00807A5C">
        <w:rPr>
          <w:rFonts w:cs="Times New Roman"/>
          <w:i/>
          <w:lang w:val="fr-CA"/>
        </w:rPr>
        <w:t>Québec c. A</w:t>
      </w:r>
      <w:r w:rsidRPr="00807A5C">
        <w:rPr>
          <w:rFonts w:cs="Times New Roman"/>
          <w:lang w:val="fr-CA"/>
        </w:rPr>
        <w:t xml:space="preserve">, </w:t>
      </w:r>
      <w:r>
        <w:rPr>
          <w:rFonts w:cs="Times New Roman"/>
          <w:lang w:val="fr-CA"/>
        </w:rPr>
        <w:t>par. </w:t>
      </w:r>
      <w:r w:rsidRPr="00807A5C">
        <w:rPr>
          <w:rFonts w:cs="Times New Roman"/>
          <w:lang w:val="fr-CA"/>
        </w:rPr>
        <w:t>327</w:t>
      </w:r>
      <w:r>
        <w:rPr>
          <w:rFonts w:cs="Times New Roman"/>
          <w:lang w:val="fr-CA"/>
        </w:rPr>
        <w:noBreakHyphen/>
      </w:r>
      <w:r w:rsidRPr="00807A5C">
        <w:rPr>
          <w:rFonts w:cs="Times New Roman"/>
          <w:lang w:val="fr-CA"/>
        </w:rPr>
        <w:t xml:space="preserve">332; </w:t>
      </w:r>
      <w:r w:rsidRPr="00807A5C">
        <w:rPr>
          <w:rFonts w:cs="Times New Roman"/>
          <w:i/>
          <w:lang w:val="fr-CA"/>
        </w:rPr>
        <w:t>Alliance</w:t>
      </w:r>
      <w:r w:rsidRPr="00807A5C">
        <w:rPr>
          <w:rFonts w:cs="Times New Roman"/>
          <w:lang w:val="fr-CA"/>
        </w:rPr>
        <w:t xml:space="preserve">, </w:t>
      </w:r>
      <w:r>
        <w:rPr>
          <w:rFonts w:cs="Times New Roman"/>
          <w:lang w:val="fr-CA"/>
        </w:rPr>
        <w:t>par. </w:t>
      </w:r>
      <w:r w:rsidRPr="00807A5C">
        <w:rPr>
          <w:rFonts w:cs="Times New Roman"/>
          <w:lang w:val="fr-CA"/>
        </w:rPr>
        <w:t xml:space="preserve">28; </w:t>
      </w:r>
      <w:r w:rsidRPr="00807A5C">
        <w:rPr>
          <w:rFonts w:cs="Times New Roman"/>
          <w:i/>
          <w:lang w:val="fr-CA"/>
        </w:rPr>
        <w:t>Centrale</w:t>
      </w:r>
      <w:r w:rsidRPr="00807A5C">
        <w:rPr>
          <w:rFonts w:cs="Times New Roman"/>
          <w:lang w:val="fr-CA"/>
        </w:rPr>
        <w:t xml:space="preserve">, </w:t>
      </w:r>
      <w:r>
        <w:rPr>
          <w:rFonts w:cs="Times New Roman"/>
          <w:lang w:val="fr-CA"/>
        </w:rPr>
        <w:t>par. </w:t>
      </w:r>
      <w:r w:rsidRPr="00807A5C">
        <w:rPr>
          <w:rFonts w:cs="Times New Roman"/>
          <w:lang w:val="fr-CA"/>
        </w:rPr>
        <w:t>35).</w:t>
      </w:r>
    </w:p>
    <w:p w14:paraId="656850F2" w14:textId="77777777" w:rsidR="00804EA2" w:rsidRPr="00807A5C" w:rsidRDefault="00804EA2" w:rsidP="00804EA2">
      <w:pPr>
        <w:pStyle w:val="ParaNoNdepar-AltN"/>
        <w:rPr>
          <w:rFonts w:cs="Times New Roman"/>
          <w:lang w:val="fr-CA"/>
        </w:rPr>
      </w:pPr>
      <w:r w:rsidRPr="00807A5C">
        <w:rPr>
          <w:rFonts w:cs="Times New Roman"/>
          <w:lang w:val="fr-CA"/>
        </w:rPr>
        <w:t xml:space="preserve">Appliquant ces principes, notre Cour a reconnu l’existence de la discrimination par suite d’un effet préjudiciable au regard du </w:t>
      </w:r>
      <w:r>
        <w:rPr>
          <w:rFonts w:cs="Times New Roman"/>
          <w:lang w:val="fr-CA"/>
        </w:rPr>
        <w:t>par. </w:t>
      </w:r>
      <w:r w:rsidRPr="00807A5C">
        <w:rPr>
          <w:rFonts w:cs="Times New Roman"/>
          <w:lang w:val="fr-CA"/>
        </w:rPr>
        <w:t xml:space="preserve">15(1). Dans l’arrêt </w:t>
      </w:r>
      <w:r w:rsidRPr="00807A5C">
        <w:rPr>
          <w:rFonts w:cs="Times New Roman"/>
          <w:i/>
          <w:lang w:val="fr-CA"/>
        </w:rPr>
        <w:t>Eldridge c. Colombie</w:t>
      </w:r>
      <w:r>
        <w:rPr>
          <w:rFonts w:cs="Times New Roman"/>
          <w:i/>
          <w:lang w:val="fr-CA"/>
        </w:rPr>
        <w:noBreakHyphen/>
      </w:r>
      <w:r w:rsidRPr="00807A5C">
        <w:rPr>
          <w:rFonts w:cs="Times New Roman"/>
          <w:i/>
          <w:lang w:val="fr-CA"/>
        </w:rPr>
        <w:t>Britannique (Procureur général)</w:t>
      </w:r>
      <w:r w:rsidRPr="00807A5C">
        <w:rPr>
          <w:rFonts w:cs="Times New Roman"/>
          <w:lang w:val="fr-CA"/>
        </w:rPr>
        <w:t xml:space="preserve">, [1997] 3 R.C.S. 624, elle a reconnu que les personnes ayant une perte d’acuité auditive subissaient un effet différent dans le système de santé, parce qu’elles étaient incapables d’obtenir les services d’interprètes. La Cour a confirmé que les « effets préjudiciables de règles d’application générale » pouvaient entraîner une violation du </w:t>
      </w:r>
      <w:r>
        <w:rPr>
          <w:rFonts w:cs="Times New Roman"/>
          <w:lang w:val="fr-CA"/>
        </w:rPr>
        <w:t>par. </w:t>
      </w:r>
      <w:r w:rsidRPr="00807A5C">
        <w:rPr>
          <w:rFonts w:cs="Times New Roman"/>
          <w:lang w:val="fr-CA"/>
        </w:rPr>
        <w:t>15(1) (</w:t>
      </w:r>
      <w:r>
        <w:rPr>
          <w:rFonts w:cs="Times New Roman"/>
          <w:lang w:val="fr-CA"/>
        </w:rPr>
        <w:t>par. </w:t>
      </w:r>
      <w:r w:rsidRPr="00807A5C">
        <w:rPr>
          <w:rFonts w:cs="Times New Roman"/>
          <w:lang w:val="fr-CA"/>
        </w:rPr>
        <w:t>77).</w:t>
      </w:r>
    </w:p>
    <w:p w14:paraId="6DF65205" w14:textId="77777777" w:rsidR="00804EA2" w:rsidRPr="00807A5C" w:rsidRDefault="00804EA2" w:rsidP="00804EA2">
      <w:pPr>
        <w:pStyle w:val="ParaNoNdepar-AltN"/>
        <w:rPr>
          <w:rFonts w:cs="Times New Roman"/>
          <w:lang w:val="fr-CA"/>
        </w:rPr>
      </w:pPr>
      <w:r w:rsidRPr="00807A5C">
        <w:rPr>
          <w:rFonts w:cs="Times New Roman"/>
          <w:lang w:val="fr-CA"/>
        </w:rPr>
        <w:t>De même, dans l’arrêt </w:t>
      </w:r>
      <w:r w:rsidRPr="00807A5C">
        <w:rPr>
          <w:rFonts w:cs="Times New Roman"/>
          <w:i/>
          <w:lang w:val="fr-CA"/>
        </w:rPr>
        <w:t>Vriend c. Alberta</w:t>
      </w:r>
      <w:r w:rsidRPr="00807A5C">
        <w:rPr>
          <w:rFonts w:cs="Times New Roman"/>
          <w:lang w:val="fr-CA"/>
        </w:rPr>
        <w:t xml:space="preserve">, [1998] 1 R.C.S. 493, la Cour a déclaré inconstitutionnelle une loi de l’Alberta sur les droits de la personne qui ne </w:t>
      </w:r>
      <w:r w:rsidRPr="00807A5C">
        <w:rPr>
          <w:rFonts w:cs="Times New Roman"/>
          <w:lang w:val="fr-CA"/>
        </w:rPr>
        <w:lastRenderedPageBreak/>
        <w:t>reconnaissait pas l’orientation sexuelle comme un motif de distinction illicite, parce que cette loi avait un « effet disproportionné » sur les membres de la communauté LGBTQ+</w:t>
      </w:r>
      <w:r>
        <w:rPr>
          <w:rFonts w:cs="Times New Roman"/>
          <w:lang w:val="fr-CA"/>
        </w:rPr>
        <w:t> :</w:t>
      </w:r>
    </w:p>
    <w:p w14:paraId="1DB56F32" w14:textId="47BC2EA8" w:rsidR="00804EA2" w:rsidRPr="00807A5C" w:rsidRDefault="00441137" w:rsidP="00804EA2">
      <w:pPr>
        <w:pStyle w:val="Citation-AltC"/>
        <w:ind w:hanging="1166"/>
      </w:pPr>
      <w:r>
        <w:rPr>
          <w:lang w:val="fr-CA"/>
        </w:rPr>
        <w:tab/>
        <w:t>. . .</w:t>
      </w:r>
      <w:r w:rsidR="00804EA2" w:rsidRPr="00807A5C">
        <w:rPr>
          <w:lang w:val="fr-CA"/>
        </w:rPr>
        <w:t xml:space="preserve"> il y a en apparence une certaine égalité formelle</w:t>
      </w:r>
      <w:r w:rsidR="00804EA2">
        <w:rPr>
          <w:lang w:val="fr-CA"/>
        </w:rPr>
        <w:t> :</w:t>
      </w:r>
      <w:r w:rsidR="00804EA2" w:rsidRPr="00807A5C">
        <w:rPr>
          <w:lang w:val="fr-CA"/>
        </w:rPr>
        <w:t xml:space="preserve"> les homosexuels ont un même droit à la protection de [la Loi] que les hétérosexuels dans la mesure où ils peuvent saisir la commission d’une plainte de discrimination fondée sur l’un des motifs actuellement énumérés. Cependant, </w:t>
      </w:r>
      <w:r w:rsidR="00804EA2" w:rsidRPr="00807A5C">
        <w:rPr>
          <w:i/>
          <w:lang w:val="fr-CA"/>
        </w:rPr>
        <w:t>compte tenu de la réalité sociale de la discrimination exercée contre les homosexuels</w:t>
      </w:r>
      <w:r w:rsidR="00804EA2" w:rsidRPr="00807A5C">
        <w:rPr>
          <w:lang w:val="fr-CA"/>
        </w:rPr>
        <w:t xml:space="preserve">, l’exclusion de l’orientation sexuelle </w:t>
      </w:r>
      <w:r w:rsidR="00804EA2" w:rsidRPr="00807A5C">
        <w:rPr>
          <w:i/>
          <w:lang w:val="fr-CA"/>
        </w:rPr>
        <w:t>a de toute évidence un effet disproportionné sur ces derniers par comparaison avec les hétérosexuels</w:t>
      </w:r>
      <w:r w:rsidR="00804EA2" w:rsidRPr="00807A5C">
        <w:rPr>
          <w:lang w:val="fr-CA"/>
        </w:rPr>
        <w:t>. En raison de son caractère trop limitatif, [la Loi] nie donc aux homosexuels le droit à l’égalité réelle. [It</w:t>
      </w:r>
      <w:r>
        <w:rPr>
          <w:lang w:val="fr-CA"/>
        </w:rPr>
        <w:t>alique ajouté</w:t>
      </w:r>
      <w:r w:rsidR="00804EA2" w:rsidRPr="00807A5C">
        <w:rPr>
          <w:lang w:val="fr-CA"/>
        </w:rPr>
        <w:t xml:space="preserve">; </w:t>
      </w:r>
      <w:r w:rsidR="00804EA2">
        <w:rPr>
          <w:lang w:val="fr-CA"/>
        </w:rPr>
        <w:t>par. </w:t>
      </w:r>
      <w:r w:rsidR="00804EA2" w:rsidRPr="00807A5C">
        <w:rPr>
          <w:lang w:val="fr-CA"/>
        </w:rPr>
        <w:t>82.</w:t>
      </w:r>
      <w:r w:rsidR="00804EA2" w:rsidRPr="00807A5C">
        <w:t>]</w:t>
      </w:r>
    </w:p>
    <w:p w14:paraId="5477A1DC" w14:textId="5BAF12E5" w:rsidR="00804EA2" w:rsidRPr="00807A5C" w:rsidRDefault="00804EA2" w:rsidP="00804EA2">
      <w:pPr>
        <w:pStyle w:val="ParaNoNdepar-AltN"/>
        <w:rPr>
          <w:rFonts w:cs="Times New Roman"/>
          <w:lang w:val="fr-CA"/>
        </w:rPr>
      </w:pPr>
      <w:r w:rsidRPr="00807A5C">
        <w:rPr>
          <w:rFonts w:cs="Times New Roman"/>
          <w:lang w:val="fr-CA"/>
        </w:rPr>
        <w:t xml:space="preserve">Dans plusieurs autres décisions, notre Cour a confirmé que, « non seulement la </w:t>
      </w:r>
      <w:r w:rsidRPr="00807A5C">
        <w:rPr>
          <w:rFonts w:cs="Times New Roman"/>
          <w:i/>
          <w:lang w:val="fr-CA"/>
        </w:rPr>
        <w:t>Charte</w:t>
      </w:r>
      <w:r w:rsidRPr="00807A5C">
        <w:rPr>
          <w:rFonts w:cs="Times New Roman"/>
          <w:lang w:val="fr-CA"/>
        </w:rPr>
        <w:t xml:space="preserve"> confère une protection contre une discrimination directe ou intentionnelle, mais encore elle confère une protection contre la discrimination par suite d’un effet préjudiciable » (</w:t>
      </w:r>
      <w:r w:rsidRPr="00807A5C">
        <w:rPr>
          <w:rFonts w:cs="Times New Roman"/>
          <w:i/>
          <w:lang w:val="fr-CA"/>
        </w:rPr>
        <w:t>McKinney c. Université de Guelph</w:t>
      </w:r>
      <w:r w:rsidRPr="00807A5C">
        <w:rPr>
          <w:rFonts w:cs="Times New Roman"/>
          <w:lang w:val="fr-CA"/>
        </w:rPr>
        <w:t xml:space="preserve">, [1990] 3 R.C.S. 229, </w:t>
      </w:r>
      <w:r>
        <w:rPr>
          <w:rFonts w:cs="Times New Roman"/>
          <w:lang w:val="fr-CA"/>
        </w:rPr>
        <w:t>p. </w:t>
      </w:r>
      <w:r w:rsidRPr="00807A5C">
        <w:rPr>
          <w:rFonts w:cs="Times New Roman"/>
          <w:lang w:val="fr-CA"/>
        </w:rPr>
        <w:t xml:space="preserve">279; </w:t>
      </w:r>
      <w:r w:rsidRPr="00807A5C">
        <w:rPr>
          <w:rFonts w:cs="Times New Roman"/>
          <w:i/>
          <w:lang w:val="fr-CA"/>
        </w:rPr>
        <w:t>Tétreault</w:t>
      </w:r>
      <w:r>
        <w:rPr>
          <w:rFonts w:cs="Times New Roman"/>
          <w:i/>
          <w:lang w:val="fr-CA"/>
        </w:rPr>
        <w:noBreakHyphen/>
      </w:r>
      <w:r w:rsidRPr="00807A5C">
        <w:rPr>
          <w:rFonts w:cs="Times New Roman"/>
          <w:i/>
          <w:lang w:val="fr-CA"/>
        </w:rPr>
        <w:t>Gadoury c. Canada (Commission de l’Emploi et de l’Immigration)</w:t>
      </w:r>
      <w:r w:rsidRPr="00807A5C">
        <w:rPr>
          <w:rFonts w:cs="Times New Roman"/>
          <w:lang w:val="fr-CA"/>
        </w:rPr>
        <w:t xml:space="preserve">, [1991] 2 R.C.S. 22, </w:t>
      </w:r>
      <w:r>
        <w:rPr>
          <w:rFonts w:cs="Times New Roman"/>
          <w:lang w:val="fr-CA"/>
        </w:rPr>
        <w:t>p. </w:t>
      </w:r>
      <w:r w:rsidRPr="00807A5C">
        <w:rPr>
          <w:rFonts w:cs="Times New Roman"/>
          <w:lang w:val="fr-CA"/>
        </w:rPr>
        <w:t xml:space="preserve">41; voir aussi </w:t>
      </w:r>
      <w:r w:rsidR="00587F87">
        <w:rPr>
          <w:rFonts w:cs="Times New Roman"/>
          <w:i/>
          <w:lang w:val="fr-CA"/>
        </w:rPr>
        <w:t>Law c. Canada (Ministre de l’emploi et de l’i</w:t>
      </w:r>
      <w:r w:rsidRPr="00807A5C">
        <w:rPr>
          <w:rFonts w:cs="Times New Roman"/>
          <w:i/>
          <w:lang w:val="fr-CA"/>
        </w:rPr>
        <w:t>mmigration)</w:t>
      </w:r>
      <w:r w:rsidRPr="00807A5C">
        <w:rPr>
          <w:rFonts w:cs="Times New Roman"/>
          <w:lang w:val="fr-CA"/>
        </w:rPr>
        <w:t xml:space="preserve">, [1999] 1 R.C.S. 497, </w:t>
      </w:r>
      <w:r>
        <w:rPr>
          <w:rFonts w:cs="Times New Roman"/>
          <w:lang w:val="fr-CA"/>
        </w:rPr>
        <w:t>par. </w:t>
      </w:r>
      <w:r w:rsidRPr="00807A5C">
        <w:rPr>
          <w:rFonts w:cs="Times New Roman"/>
          <w:lang w:val="fr-CA"/>
        </w:rPr>
        <w:t xml:space="preserve">36; </w:t>
      </w:r>
      <w:r w:rsidRPr="00807A5C">
        <w:rPr>
          <w:rFonts w:cs="Times New Roman"/>
          <w:i/>
          <w:lang w:val="fr-CA"/>
        </w:rPr>
        <w:t>Withler</w:t>
      </w:r>
      <w:r w:rsidRPr="00807A5C">
        <w:rPr>
          <w:rFonts w:cs="Times New Roman"/>
          <w:lang w:val="fr-CA"/>
        </w:rPr>
        <w:t xml:space="preserve">, </w:t>
      </w:r>
      <w:r>
        <w:rPr>
          <w:rFonts w:cs="Times New Roman"/>
          <w:lang w:val="fr-CA"/>
        </w:rPr>
        <w:t>par. </w:t>
      </w:r>
      <w:r w:rsidRPr="00807A5C">
        <w:rPr>
          <w:rFonts w:cs="Times New Roman"/>
          <w:lang w:val="fr-CA"/>
        </w:rPr>
        <w:t xml:space="preserve">64; </w:t>
      </w:r>
      <w:r w:rsidRPr="00807A5C">
        <w:rPr>
          <w:rFonts w:cs="Times New Roman"/>
          <w:i/>
          <w:lang w:val="fr-CA"/>
        </w:rPr>
        <w:t>Taypotat</w:t>
      </w:r>
      <w:r w:rsidRPr="00807A5C">
        <w:rPr>
          <w:rFonts w:cs="Times New Roman"/>
          <w:lang w:val="fr-CA"/>
        </w:rPr>
        <w:t xml:space="preserve">, </w:t>
      </w:r>
      <w:r>
        <w:rPr>
          <w:rFonts w:cs="Times New Roman"/>
          <w:lang w:val="fr-CA"/>
        </w:rPr>
        <w:t>par. </w:t>
      </w:r>
      <w:r w:rsidRPr="00807A5C">
        <w:rPr>
          <w:rFonts w:cs="Times New Roman"/>
          <w:lang w:val="fr-CA"/>
        </w:rPr>
        <w:t xml:space="preserve">23). </w:t>
      </w:r>
    </w:p>
    <w:p w14:paraId="0C8966D1" w14:textId="77777777" w:rsidR="00804EA2" w:rsidRPr="00807A5C" w:rsidRDefault="00804EA2" w:rsidP="00804EA2">
      <w:pPr>
        <w:pStyle w:val="ParaNoNdepar-AltN"/>
        <w:rPr>
          <w:rFonts w:cs="Times New Roman"/>
          <w:lang w:val="fr-CA"/>
        </w:rPr>
      </w:pPr>
      <w:r w:rsidRPr="00807A5C">
        <w:rPr>
          <w:rFonts w:cs="Times New Roman"/>
          <w:lang w:val="fr-CA"/>
        </w:rPr>
        <w:t xml:space="preserve">Notre Cour a tout récemment examiné cette question dans l’arrêt </w:t>
      </w:r>
      <w:r w:rsidRPr="00807A5C">
        <w:rPr>
          <w:rFonts w:cs="Times New Roman"/>
          <w:i/>
          <w:lang w:val="fr-CA"/>
        </w:rPr>
        <w:t>Taypotat</w:t>
      </w:r>
      <w:r w:rsidRPr="00807A5C">
        <w:rPr>
          <w:rFonts w:cs="Times New Roman"/>
          <w:lang w:val="fr-CA"/>
        </w:rPr>
        <w:t xml:space="preserve">. Bien qu’elle ait conclu qu’aucune discrimination n’avait été démontrée au vu des faits de l’affaire, la Cour a reconnu que « des exigences à première vue neutres, comme celles relatives au niveau de scolarité » peuvent violer le </w:t>
      </w:r>
      <w:r>
        <w:rPr>
          <w:rFonts w:cs="Times New Roman"/>
          <w:lang w:val="fr-CA"/>
        </w:rPr>
        <w:t>par. </w:t>
      </w:r>
      <w:r w:rsidRPr="00807A5C">
        <w:rPr>
          <w:rFonts w:cs="Times New Roman"/>
          <w:lang w:val="fr-CA"/>
        </w:rPr>
        <w:t>15(1) en raison de leur « effet disproportionné » sur les groupes protégés (</w:t>
      </w:r>
      <w:r>
        <w:rPr>
          <w:rFonts w:cs="Times New Roman"/>
          <w:lang w:val="fr-CA"/>
        </w:rPr>
        <w:t>par. </w:t>
      </w:r>
      <w:r w:rsidRPr="00807A5C">
        <w:rPr>
          <w:rFonts w:cs="Times New Roman"/>
          <w:lang w:val="fr-CA"/>
        </w:rPr>
        <w:t>15 et 22).</w:t>
      </w:r>
    </w:p>
    <w:p w14:paraId="0E3A1700" w14:textId="7C6CE92D" w:rsidR="00804EA2" w:rsidRPr="00807A5C" w:rsidRDefault="00804EA2" w:rsidP="00804EA2">
      <w:pPr>
        <w:pStyle w:val="ParaNoNdepar-AltN"/>
        <w:rPr>
          <w:rFonts w:cs="Times New Roman"/>
          <w:lang w:val="fr-CA"/>
        </w:rPr>
      </w:pPr>
      <w:r w:rsidRPr="00807A5C">
        <w:rPr>
          <w:rFonts w:cs="Times New Roman"/>
          <w:lang w:val="fr-CA"/>
        </w:rPr>
        <w:lastRenderedPageBreak/>
        <w:t>Il ne fait donc aucun doute que la discrimination par suite d’un effet préjudiciable « </w:t>
      </w:r>
      <w:r w:rsidR="00D26DE9">
        <w:rPr>
          <w:rFonts w:cs="Times New Roman"/>
          <w:lang w:val="fr-CA"/>
        </w:rPr>
        <w:t>transgresse</w:t>
      </w:r>
      <w:r w:rsidRPr="00807A5C">
        <w:rPr>
          <w:rFonts w:cs="Times New Roman"/>
          <w:lang w:val="fr-CA"/>
        </w:rPr>
        <w:t xml:space="preserve"> la norme fondamentale d’égalité réelle » qui sous</w:t>
      </w:r>
      <w:r>
        <w:rPr>
          <w:rFonts w:cs="Times New Roman"/>
          <w:lang w:val="fr-CA"/>
        </w:rPr>
        <w:noBreakHyphen/>
      </w:r>
      <w:r w:rsidRPr="00807A5C">
        <w:rPr>
          <w:rFonts w:cs="Times New Roman"/>
          <w:lang w:val="fr-CA"/>
        </w:rPr>
        <w:t>tend la jurisprudence de notre Cour sur l’égalité (</w:t>
      </w:r>
      <w:r w:rsidRPr="00807A5C">
        <w:rPr>
          <w:rFonts w:cs="Times New Roman"/>
          <w:i/>
          <w:lang w:val="fr-CA"/>
        </w:rPr>
        <w:t>Withler</w:t>
      </w:r>
      <w:r w:rsidRPr="00807A5C">
        <w:rPr>
          <w:rFonts w:cs="Times New Roman"/>
          <w:lang w:val="fr-CA"/>
        </w:rPr>
        <w:t xml:space="preserve">, </w:t>
      </w:r>
      <w:r>
        <w:rPr>
          <w:rFonts w:cs="Times New Roman"/>
          <w:lang w:val="fr-CA"/>
        </w:rPr>
        <w:t>par. </w:t>
      </w:r>
      <w:r w:rsidRPr="00807A5C">
        <w:rPr>
          <w:rFonts w:cs="Times New Roman"/>
          <w:lang w:val="fr-CA"/>
        </w:rPr>
        <w:t>2). La reconnaissance du fait qu’un traitement identique ou neutre à première vue peut « fréquemment engendrer de graves inégalités » touche au cœur de l’égalité réelle (</w:t>
      </w:r>
      <w:r w:rsidRPr="00807A5C">
        <w:rPr>
          <w:rFonts w:cs="Times New Roman"/>
          <w:i/>
          <w:lang w:val="fr-CA"/>
        </w:rPr>
        <w:t>Andrews</w:t>
      </w:r>
      <w:r w:rsidRPr="00807A5C">
        <w:rPr>
          <w:rFonts w:cs="Times New Roman"/>
          <w:lang w:val="fr-CA"/>
        </w:rPr>
        <w:t xml:space="preserve">, </w:t>
      </w:r>
      <w:r>
        <w:rPr>
          <w:rFonts w:cs="Times New Roman"/>
          <w:lang w:val="fr-CA"/>
        </w:rPr>
        <w:t>p. </w:t>
      </w:r>
      <w:r w:rsidRPr="00807A5C">
        <w:rPr>
          <w:rFonts w:cs="Times New Roman"/>
          <w:lang w:val="fr-CA"/>
        </w:rPr>
        <w:t>164). C’est précisément ce qui arrive quand des lois « neutres » ignorent les « véritables caractéristiques [d’un] groupe qui l’empêchent de jouir des avantages de la société »</w:t>
      </w:r>
      <w:r w:rsidRPr="00807A5C">
        <w:rPr>
          <w:rFonts w:cs="Times New Roman"/>
          <w:lang w:val="fr-CA" w:bidi="en-US"/>
        </w:rPr>
        <w:t xml:space="preserve"> (</w:t>
      </w:r>
      <w:r w:rsidRPr="00807A5C">
        <w:rPr>
          <w:rFonts w:cs="Times New Roman"/>
          <w:i/>
          <w:lang w:val="fr-CA" w:bidi="en-US"/>
        </w:rPr>
        <w:t>Eaton c. Conseil scolaire du comté de Brant</w:t>
      </w:r>
      <w:r w:rsidRPr="00807A5C">
        <w:rPr>
          <w:rFonts w:cs="Times New Roman"/>
          <w:lang w:val="fr-CA" w:bidi="en-US"/>
        </w:rPr>
        <w:t xml:space="preserve">, [1997] 1 R.C.S. 241, </w:t>
      </w:r>
      <w:r>
        <w:rPr>
          <w:rFonts w:cs="Times New Roman"/>
          <w:lang w:val="fr-CA" w:bidi="en-US"/>
        </w:rPr>
        <w:t>par. </w:t>
      </w:r>
      <w:r w:rsidRPr="00807A5C">
        <w:rPr>
          <w:rFonts w:cs="Times New Roman"/>
          <w:lang w:val="fr-CA" w:bidi="en-US"/>
        </w:rPr>
        <w:t xml:space="preserve">67; </w:t>
      </w:r>
      <w:r w:rsidRPr="00807A5C">
        <w:rPr>
          <w:rFonts w:cs="Times New Roman"/>
          <w:i/>
          <w:lang w:val="fr-CA" w:bidi="en-US"/>
        </w:rPr>
        <w:t>Eldridge</w:t>
      </w:r>
      <w:r w:rsidRPr="00807A5C">
        <w:rPr>
          <w:rFonts w:cs="Times New Roman"/>
          <w:lang w:val="fr-CA" w:bidi="en-US"/>
        </w:rPr>
        <w:t xml:space="preserve">, </w:t>
      </w:r>
      <w:r>
        <w:rPr>
          <w:rFonts w:cs="Times New Roman"/>
          <w:lang w:val="fr-CA" w:bidi="en-US"/>
        </w:rPr>
        <w:t>par. </w:t>
      </w:r>
      <w:r w:rsidRPr="00807A5C">
        <w:rPr>
          <w:rFonts w:cs="Times New Roman"/>
          <w:lang w:val="fr-CA" w:bidi="en-US"/>
        </w:rPr>
        <w:t>65)</w:t>
      </w:r>
      <w:r w:rsidRPr="00807A5C">
        <w:rPr>
          <w:rFonts w:cs="Times New Roman"/>
          <w:lang w:val="fr-CA"/>
        </w:rPr>
        <w:t xml:space="preserve">. </w:t>
      </w:r>
    </w:p>
    <w:p w14:paraId="659121E1" w14:textId="77777777" w:rsidR="00804EA2" w:rsidRPr="00807A5C" w:rsidRDefault="00804EA2" w:rsidP="00804EA2">
      <w:pPr>
        <w:pStyle w:val="ParaNoNdepar-AltN"/>
        <w:rPr>
          <w:rFonts w:cs="Times New Roman"/>
          <w:lang w:val="fr-CA"/>
        </w:rPr>
      </w:pPr>
      <w:r w:rsidRPr="00807A5C">
        <w:rPr>
          <w:rFonts w:cs="Times New Roman"/>
          <w:lang w:val="fr-CA"/>
        </w:rPr>
        <w:t>La « norme fondamentale » du cadre actuel de l’</w:t>
      </w:r>
      <w:r>
        <w:rPr>
          <w:rFonts w:cs="Times New Roman"/>
          <w:lang w:val="fr-CA"/>
        </w:rPr>
        <w:t>art. </w:t>
      </w:r>
      <w:r w:rsidRPr="00807A5C">
        <w:rPr>
          <w:rFonts w:cs="Times New Roman"/>
          <w:lang w:val="fr-CA"/>
        </w:rPr>
        <w:t>15 garantissant l’égalité réelle est également la valeur centrale dans les cas de discrimination par suite d’un effet préjudiciable (</w:t>
      </w:r>
      <w:r w:rsidRPr="00807A5C">
        <w:rPr>
          <w:rFonts w:cs="Times New Roman"/>
          <w:i/>
          <w:lang w:val="fr-CA"/>
        </w:rPr>
        <w:t>Withler</w:t>
      </w:r>
      <w:r w:rsidRPr="00807A5C">
        <w:rPr>
          <w:rFonts w:cs="Times New Roman"/>
          <w:lang w:val="fr-CA"/>
        </w:rPr>
        <w:t xml:space="preserve">, </w:t>
      </w:r>
      <w:r>
        <w:rPr>
          <w:rFonts w:cs="Times New Roman"/>
          <w:lang w:val="fr-CA"/>
        </w:rPr>
        <w:t>par. </w:t>
      </w:r>
      <w:r w:rsidRPr="00807A5C">
        <w:rPr>
          <w:rFonts w:cs="Times New Roman"/>
          <w:lang w:val="fr-CA"/>
        </w:rPr>
        <w:t xml:space="preserve">2; Watson Hamilton et Koshan (2015), </w:t>
      </w:r>
      <w:r>
        <w:rPr>
          <w:rFonts w:cs="Times New Roman"/>
          <w:lang w:val="fr-CA"/>
        </w:rPr>
        <w:t>p. </w:t>
      </w:r>
      <w:r w:rsidRPr="00807A5C">
        <w:rPr>
          <w:rFonts w:cs="Times New Roman"/>
          <w:lang w:val="fr-CA"/>
        </w:rPr>
        <w:t xml:space="preserve">192 et 197). Notre Cour n’a jamais laissé entendre que les affaires de discrimination par suite d’un effet préjudiciable devraient être réglées au moyen d’une approche différente (voir, par exemple, </w:t>
      </w:r>
      <w:r w:rsidRPr="00807A5C">
        <w:rPr>
          <w:rFonts w:cs="Times New Roman"/>
          <w:i/>
          <w:lang w:val="fr-CA"/>
        </w:rPr>
        <w:t>Andrews</w:t>
      </w:r>
      <w:r w:rsidRPr="00807A5C">
        <w:rPr>
          <w:rFonts w:cs="Times New Roman"/>
          <w:lang w:val="fr-CA"/>
        </w:rPr>
        <w:t xml:space="preserve">, </w:t>
      </w:r>
      <w:r>
        <w:rPr>
          <w:rFonts w:cs="Times New Roman"/>
          <w:lang w:val="fr-CA"/>
        </w:rPr>
        <w:t>p. </w:t>
      </w:r>
      <w:r w:rsidRPr="00807A5C">
        <w:rPr>
          <w:rFonts w:cs="Times New Roman"/>
          <w:lang w:val="fr-CA"/>
        </w:rPr>
        <w:t>173</w:t>
      </w:r>
      <w:r>
        <w:rPr>
          <w:rFonts w:cs="Times New Roman"/>
          <w:lang w:val="fr-CA"/>
        </w:rPr>
        <w:noBreakHyphen/>
      </w:r>
      <w:r w:rsidRPr="00807A5C">
        <w:rPr>
          <w:rFonts w:cs="Times New Roman"/>
          <w:lang w:val="fr-CA"/>
        </w:rPr>
        <w:t xml:space="preserve">174; </w:t>
      </w:r>
      <w:r w:rsidRPr="00807A5C">
        <w:rPr>
          <w:rFonts w:cs="Times New Roman"/>
          <w:i/>
          <w:lang w:val="fr-CA"/>
        </w:rPr>
        <w:t>Eldridge</w:t>
      </w:r>
      <w:r w:rsidRPr="00807A5C">
        <w:rPr>
          <w:rFonts w:cs="Times New Roman"/>
          <w:lang w:val="fr-CA"/>
        </w:rPr>
        <w:t xml:space="preserve">, </w:t>
      </w:r>
      <w:r>
        <w:rPr>
          <w:rFonts w:cs="Times New Roman"/>
          <w:lang w:val="fr-CA"/>
        </w:rPr>
        <w:t>par. </w:t>
      </w:r>
      <w:r w:rsidRPr="00807A5C">
        <w:rPr>
          <w:rFonts w:cs="Times New Roman"/>
          <w:lang w:val="fr-CA"/>
        </w:rPr>
        <w:t>59</w:t>
      </w:r>
      <w:r>
        <w:rPr>
          <w:rFonts w:cs="Times New Roman"/>
          <w:lang w:val="fr-CA"/>
        </w:rPr>
        <w:noBreakHyphen/>
      </w:r>
      <w:r w:rsidRPr="00807A5C">
        <w:rPr>
          <w:rFonts w:cs="Times New Roman"/>
          <w:lang w:val="fr-CA"/>
        </w:rPr>
        <w:t xml:space="preserve">60; </w:t>
      </w:r>
      <w:r w:rsidRPr="00807A5C">
        <w:rPr>
          <w:rFonts w:cs="Times New Roman"/>
          <w:i/>
          <w:lang w:val="fr-CA"/>
        </w:rPr>
        <w:t>Vriend</w:t>
      </w:r>
      <w:r w:rsidRPr="00807A5C">
        <w:rPr>
          <w:rFonts w:cs="Times New Roman"/>
          <w:lang w:val="fr-CA"/>
        </w:rPr>
        <w:t xml:space="preserve">, </w:t>
      </w:r>
      <w:r>
        <w:rPr>
          <w:rFonts w:cs="Times New Roman"/>
          <w:lang w:val="fr-CA"/>
        </w:rPr>
        <w:t>par. </w:t>
      </w:r>
      <w:r w:rsidRPr="00807A5C">
        <w:rPr>
          <w:rFonts w:cs="Times New Roman"/>
          <w:lang w:val="fr-CA"/>
        </w:rPr>
        <w:t>81</w:t>
      </w:r>
      <w:r>
        <w:rPr>
          <w:rFonts w:cs="Times New Roman"/>
          <w:lang w:val="fr-CA"/>
        </w:rPr>
        <w:noBreakHyphen/>
      </w:r>
      <w:r w:rsidRPr="00807A5C">
        <w:rPr>
          <w:rFonts w:cs="Times New Roman"/>
          <w:lang w:val="fr-CA"/>
        </w:rPr>
        <w:t>82 et 87</w:t>
      </w:r>
      <w:r>
        <w:rPr>
          <w:rFonts w:cs="Times New Roman"/>
          <w:lang w:val="fr-CA"/>
        </w:rPr>
        <w:noBreakHyphen/>
      </w:r>
      <w:r w:rsidRPr="00807A5C">
        <w:rPr>
          <w:rFonts w:cs="Times New Roman"/>
          <w:lang w:val="fr-CA"/>
        </w:rPr>
        <w:t xml:space="preserve">89; </w:t>
      </w:r>
      <w:r w:rsidRPr="00807A5C">
        <w:rPr>
          <w:rFonts w:cs="Times New Roman"/>
          <w:i/>
          <w:lang w:val="fr-CA"/>
        </w:rPr>
        <w:t>Law</w:t>
      </w:r>
      <w:r w:rsidRPr="00807A5C">
        <w:rPr>
          <w:rFonts w:cs="Times New Roman"/>
          <w:lang w:val="fr-CA"/>
        </w:rPr>
        <w:t xml:space="preserve">, </w:t>
      </w:r>
      <w:r>
        <w:rPr>
          <w:rFonts w:cs="Times New Roman"/>
          <w:lang w:val="fr-CA"/>
        </w:rPr>
        <w:t>par. </w:t>
      </w:r>
      <w:r w:rsidRPr="00807A5C">
        <w:rPr>
          <w:rFonts w:cs="Times New Roman"/>
          <w:lang w:val="fr-CA"/>
        </w:rPr>
        <w:t>36</w:t>
      </w:r>
      <w:r>
        <w:rPr>
          <w:rFonts w:cs="Times New Roman"/>
          <w:lang w:val="fr-CA"/>
        </w:rPr>
        <w:noBreakHyphen/>
      </w:r>
      <w:r w:rsidRPr="00807A5C">
        <w:rPr>
          <w:rFonts w:cs="Times New Roman"/>
          <w:lang w:val="fr-CA"/>
        </w:rPr>
        <w:t xml:space="preserve">39; </w:t>
      </w:r>
      <w:r w:rsidRPr="00807A5C">
        <w:rPr>
          <w:rFonts w:cs="Times New Roman"/>
          <w:i/>
          <w:lang w:val="fr-CA"/>
        </w:rPr>
        <w:t>Taypotat</w:t>
      </w:r>
      <w:r w:rsidRPr="00807A5C">
        <w:rPr>
          <w:rFonts w:cs="Times New Roman"/>
          <w:lang w:val="fr-CA"/>
        </w:rPr>
        <w:t xml:space="preserve">, </w:t>
      </w:r>
      <w:r>
        <w:rPr>
          <w:rFonts w:cs="Times New Roman"/>
          <w:lang w:val="fr-CA"/>
        </w:rPr>
        <w:t>par. </w:t>
      </w:r>
      <w:r w:rsidRPr="00807A5C">
        <w:rPr>
          <w:rFonts w:cs="Times New Roman"/>
          <w:lang w:val="fr-CA"/>
        </w:rPr>
        <w:t>19</w:t>
      </w:r>
      <w:r>
        <w:rPr>
          <w:rFonts w:cs="Times New Roman"/>
          <w:lang w:val="fr-CA"/>
        </w:rPr>
        <w:noBreakHyphen/>
      </w:r>
      <w:r w:rsidRPr="00807A5C">
        <w:rPr>
          <w:rFonts w:cs="Times New Roman"/>
          <w:lang w:val="fr-CA"/>
        </w:rPr>
        <w:t xml:space="preserve">22; </w:t>
      </w:r>
      <w:r w:rsidRPr="00807A5C">
        <w:rPr>
          <w:rFonts w:cs="Times New Roman"/>
          <w:i/>
          <w:lang w:val="fr-CA"/>
        </w:rPr>
        <w:t>Alliance</w:t>
      </w:r>
      <w:r w:rsidRPr="00807A5C">
        <w:rPr>
          <w:rFonts w:cs="Times New Roman"/>
          <w:lang w:val="fr-CA"/>
        </w:rPr>
        <w:t xml:space="preserve">, </w:t>
      </w:r>
      <w:r>
        <w:rPr>
          <w:rFonts w:cs="Times New Roman"/>
          <w:lang w:val="fr-CA"/>
        </w:rPr>
        <w:t>par. </w:t>
      </w:r>
      <w:r w:rsidRPr="00807A5C">
        <w:rPr>
          <w:rFonts w:cs="Times New Roman"/>
          <w:lang w:val="fr-CA"/>
        </w:rPr>
        <w:t xml:space="preserve">25). Au contraire, nous avons précisé que la même approche s’applique, peu importe que la discrimination alléguée soit directe ou indirecte. L’arrêt </w:t>
      </w:r>
      <w:r w:rsidRPr="00807A5C">
        <w:rPr>
          <w:rFonts w:cs="Times New Roman"/>
          <w:i/>
          <w:lang w:val="fr-CA"/>
        </w:rPr>
        <w:t>Withler</w:t>
      </w:r>
      <w:r w:rsidRPr="00807A5C">
        <w:rPr>
          <w:rFonts w:cs="Times New Roman"/>
          <w:lang w:val="fr-CA"/>
        </w:rPr>
        <w:t xml:space="preserve"> laisse peu de doute à cet égard</w:t>
      </w:r>
      <w:r>
        <w:rPr>
          <w:rFonts w:cs="Times New Roman"/>
          <w:lang w:val="fr-CA"/>
        </w:rPr>
        <w:t> :</w:t>
      </w:r>
    </w:p>
    <w:p w14:paraId="0BCDAE80" w14:textId="0FEA9404" w:rsidR="00804EA2" w:rsidRPr="00807A5C" w:rsidRDefault="00804EA2" w:rsidP="00804EA2">
      <w:pPr>
        <w:pStyle w:val="Citation-AltC"/>
        <w:spacing w:after="240"/>
        <w:ind w:left="1168" w:hanging="1168"/>
        <w:contextualSpacing w:val="0"/>
        <w:rPr>
          <w:lang w:val="fr-CA"/>
        </w:rPr>
      </w:pPr>
      <w:r w:rsidRPr="00807A5C">
        <w:rPr>
          <w:lang w:val="fr-CA"/>
        </w:rPr>
        <w:tab/>
      </w:r>
      <w:r w:rsidRPr="00807A5C">
        <w:rPr>
          <w:lang w:val="fr-CA"/>
        </w:rPr>
        <w:tab/>
        <w:t xml:space="preserve">Comme nous l’avons vu, l’analyse de l’égalité réelle pour l’application du </w:t>
      </w:r>
      <w:r>
        <w:rPr>
          <w:lang w:val="fr-CA"/>
        </w:rPr>
        <w:t>par. </w:t>
      </w:r>
      <w:r w:rsidRPr="00807A5C">
        <w:rPr>
          <w:lang w:val="fr-CA"/>
        </w:rPr>
        <w:t>15(1) comporte deux étapes [. . .]</w:t>
      </w:r>
      <w:r w:rsidR="003765AE">
        <w:rPr>
          <w:lang w:val="fr-CA"/>
        </w:rPr>
        <w:t>.</w:t>
      </w:r>
      <w:r w:rsidRPr="00807A5C">
        <w:rPr>
          <w:lang w:val="fr-CA"/>
        </w:rPr>
        <w:t xml:space="preserve"> Le rôle de la comparaison consiste, à la première étape</w:t>
      </w:r>
      <w:r w:rsidR="003765AE">
        <w:rPr>
          <w:lang w:val="fr-CA"/>
        </w:rPr>
        <w:t>, à établir l’existence d’une « distinction </w:t>
      </w:r>
      <w:r w:rsidRPr="00807A5C">
        <w:rPr>
          <w:lang w:val="fr-CA"/>
        </w:rPr>
        <w:t>».</w:t>
      </w:r>
    </w:p>
    <w:p w14:paraId="6CAC1E58" w14:textId="17220A1C" w:rsidR="00804EA2" w:rsidRPr="00807A5C" w:rsidRDefault="003765AE" w:rsidP="00804EA2">
      <w:pPr>
        <w:pStyle w:val="Citation-AltC"/>
        <w:spacing w:after="240"/>
        <w:ind w:left="1168" w:hanging="1168"/>
        <w:contextualSpacing w:val="0"/>
        <w:jc w:val="center"/>
        <w:rPr>
          <w:lang w:val="fr-CA"/>
        </w:rPr>
      </w:pPr>
      <w:r>
        <w:rPr>
          <w:lang w:val="fr-CA"/>
        </w:rPr>
        <w:tab/>
        <w:t>. . .</w:t>
      </w:r>
    </w:p>
    <w:p w14:paraId="2214F880" w14:textId="18CBA71C" w:rsidR="00804EA2" w:rsidRPr="00807A5C" w:rsidRDefault="00804EA2" w:rsidP="00804EA2">
      <w:pPr>
        <w:pStyle w:val="Citation-AltC"/>
        <w:ind w:hanging="1166"/>
        <w:rPr>
          <w:lang w:val="fr-CA"/>
        </w:rPr>
      </w:pPr>
      <w:r w:rsidRPr="00807A5C">
        <w:rPr>
          <w:lang w:val="fr-CA"/>
        </w:rPr>
        <w:lastRenderedPageBreak/>
        <w:tab/>
      </w:r>
      <w:r w:rsidRPr="00807A5C">
        <w:rPr>
          <w:lang w:val="fr-CA"/>
        </w:rPr>
        <w:tab/>
        <w:t xml:space="preserve">Dans certains cas, il sera relativement simple d’établir l’existence d’une distinction, par exemple lorsque la loi, à sa face même, crée une distinction fondée sur un motif énuméré ou analogue (discrimination directe). [. . .] Dans </w:t>
      </w:r>
      <w:r w:rsidRPr="00807A5C">
        <w:rPr>
          <w:i/>
          <w:lang w:val="fr-CA"/>
        </w:rPr>
        <w:t>d’autres cas, ce sera plus difficile, parce que les allégations portent sur une discrimination indirecte</w:t>
      </w:r>
      <w:r>
        <w:rPr>
          <w:i/>
          <w:lang w:val="fr-CA"/>
        </w:rPr>
        <w:t> :</w:t>
      </w:r>
      <w:r w:rsidRPr="00807A5C">
        <w:rPr>
          <w:i/>
          <w:lang w:val="fr-CA"/>
        </w:rPr>
        <w:t xml:space="preserve"> bien qu’elle prévoie un traitement égal pour tous, la loi a un effet négatif disproportionné sur un groupe ou une personne identifiable par des facteurs liés à des motifs énumérés ou analogues</w:t>
      </w:r>
      <w:r w:rsidRPr="00807A5C">
        <w:rPr>
          <w:lang w:val="fr-CA"/>
        </w:rPr>
        <w:t xml:space="preserve">. [. . .] Dans ce cas, le demandeur aura une tâche plus lourde </w:t>
      </w:r>
      <w:r w:rsidRPr="00807A5C">
        <w:rPr>
          <w:i/>
          <w:lang w:val="fr-CA"/>
        </w:rPr>
        <w:t>à la première étape</w:t>
      </w:r>
      <w:r w:rsidRPr="00807A5C">
        <w:rPr>
          <w:lang w:val="fr-CA"/>
        </w:rPr>
        <w:t xml:space="preserve">. L’existence d’un désavantage historique ou sociologique pourrait aider à démontrer que la loi impose au demandeur un fardeau qu’elle n’impose pas à d’autres ou lui refuse un avantage qu’elle accorde à d’autres. Le débat sera centré sur l’effet de la loi et sur la situation du groupe de demandeurs. </w:t>
      </w:r>
      <w:r w:rsidR="003765AE">
        <w:rPr>
          <w:lang w:val="en-US"/>
        </w:rPr>
        <w:t>[Italique</w:t>
      </w:r>
      <w:r w:rsidRPr="00807A5C">
        <w:rPr>
          <w:lang w:val="en-US"/>
        </w:rPr>
        <w:t xml:space="preserve"> ajo</w:t>
      </w:r>
      <w:r w:rsidR="003765AE">
        <w:rPr>
          <w:lang w:val="en-US"/>
        </w:rPr>
        <w:t>uté</w:t>
      </w:r>
      <w:r w:rsidRPr="00807A5C">
        <w:t xml:space="preserve">; </w:t>
      </w:r>
      <w:r>
        <w:t>par. </w:t>
      </w:r>
      <w:r w:rsidRPr="00807A5C">
        <w:t>61</w:t>
      </w:r>
      <w:r>
        <w:noBreakHyphen/>
      </w:r>
      <w:r w:rsidRPr="00807A5C">
        <w:t>62 et 64.]</w:t>
      </w:r>
    </w:p>
    <w:p w14:paraId="198E1AF2" w14:textId="77777777" w:rsidR="00804EA2" w:rsidRPr="00807A5C" w:rsidRDefault="00804EA2" w:rsidP="00804EA2">
      <w:pPr>
        <w:pStyle w:val="ParaNoNdepar-AltN"/>
        <w:rPr>
          <w:rFonts w:cs="Times New Roman"/>
          <w:lang w:val="fr-CA"/>
        </w:rPr>
      </w:pPr>
      <w:r w:rsidRPr="00807A5C">
        <w:rPr>
          <w:rFonts w:cs="Times New Roman"/>
          <w:lang w:val="fr-CA"/>
        </w:rPr>
        <w:t xml:space="preserve">Dans le contexte des droits de la personne, notre Cour n’a pas utilisé d’analyses juridiques différentes pour la discrimination directe et la discrimination indirecte depuis l’arrêt </w:t>
      </w:r>
      <w:r w:rsidRPr="00807A5C">
        <w:rPr>
          <w:rFonts w:cs="Times New Roman"/>
          <w:i/>
          <w:lang w:val="fr-CA"/>
        </w:rPr>
        <w:t>Meiorin</w:t>
      </w:r>
      <w:r w:rsidRPr="00807A5C">
        <w:rPr>
          <w:rFonts w:cs="Times New Roman"/>
          <w:lang w:val="fr-CA"/>
        </w:rPr>
        <w:t xml:space="preserve"> (</w:t>
      </w:r>
      <w:r>
        <w:rPr>
          <w:rFonts w:cs="Times New Roman"/>
          <w:lang w:val="fr-CA"/>
        </w:rPr>
        <w:t>par. </w:t>
      </w:r>
      <w:r w:rsidRPr="00807A5C">
        <w:rPr>
          <w:rFonts w:cs="Times New Roman"/>
          <w:lang w:val="fr-CA"/>
        </w:rPr>
        <w:t>50</w:t>
      </w:r>
      <w:r>
        <w:rPr>
          <w:rFonts w:cs="Times New Roman"/>
          <w:lang w:val="fr-CA"/>
        </w:rPr>
        <w:noBreakHyphen/>
      </w:r>
      <w:r w:rsidRPr="00807A5C">
        <w:rPr>
          <w:rFonts w:cs="Times New Roman"/>
          <w:lang w:val="fr-CA"/>
        </w:rPr>
        <w:t xml:space="preserve">54; voir aussi </w:t>
      </w:r>
      <w:r w:rsidRPr="00807A5C">
        <w:rPr>
          <w:rFonts w:cs="Times New Roman"/>
          <w:i/>
          <w:lang w:val="fr-CA"/>
        </w:rPr>
        <w:t>Colombie</w:t>
      </w:r>
      <w:r>
        <w:rPr>
          <w:rFonts w:cs="Times New Roman"/>
          <w:i/>
          <w:lang w:val="fr-CA"/>
        </w:rPr>
        <w:noBreakHyphen/>
      </w:r>
      <w:r w:rsidRPr="00807A5C">
        <w:rPr>
          <w:rFonts w:cs="Times New Roman"/>
          <w:i/>
          <w:lang w:val="fr-CA"/>
        </w:rPr>
        <w:t>Britannique (Superintendent of Motor Vehicles) c. Colombie</w:t>
      </w:r>
      <w:r>
        <w:rPr>
          <w:rFonts w:cs="Times New Roman"/>
          <w:i/>
          <w:lang w:val="fr-CA"/>
        </w:rPr>
        <w:noBreakHyphen/>
      </w:r>
      <w:r w:rsidRPr="00807A5C">
        <w:rPr>
          <w:rFonts w:cs="Times New Roman"/>
          <w:i/>
          <w:lang w:val="fr-CA"/>
        </w:rPr>
        <w:t>Britannique (Council of Human Rights)</w:t>
      </w:r>
      <w:r w:rsidRPr="00807A5C">
        <w:rPr>
          <w:rFonts w:cs="Times New Roman"/>
          <w:lang w:val="fr-CA"/>
        </w:rPr>
        <w:t xml:space="preserve">, [1999] 3 R.C.S. 868, </w:t>
      </w:r>
      <w:r>
        <w:rPr>
          <w:rFonts w:cs="Times New Roman"/>
          <w:lang w:val="fr-CA"/>
        </w:rPr>
        <w:t>par. </w:t>
      </w:r>
      <w:r w:rsidRPr="00807A5C">
        <w:rPr>
          <w:rFonts w:cs="Times New Roman"/>
          <w:lang w:val="fr-CA"/>
        </w:rPr>
        <w:t>18</w:t>
      </w:r>
      <w:r>
        <w:rPr>
          <w:rFonts w:cs="Times New Roman"/>
          <w:lang w:val="fr-CA"/>
        </w:rPr>
        <w:noBreakHyphen/>
      </w:r>
      <w:r w:rsidRPr="00807A5C">
        <w:rPr>
          <w:rFonts w:cs="Times New Roman"/>
          <w:lang w:val="fr-CA"/>
        </w:rPr>
        <w:t xml:space="preserve">19; </w:t>
      </w:r>
      <w:r w:rsidRPr="00807A5C">
        <w:rPr>
          <w:rFonts w:cs="Times New Roman"/>
          <w:i/>
          <w:lang w:val="fr-CA"/>
        </w:rPr>
        <w:t>Moore c. Colombie</w:t>
      </w:r>
      <w:r>
        <w:rPr>
          <w:rFonts w:cs="Times New Roman"/>
          <w:i/>
          <w:lang w:val="fr-CA"/>
        </w:rPr>
        <w:noBreakHyphen/>
      </w:r>
      <w:r w:rsidRPr="00807A5C">
        <w:rPr>
          <w:rFonts w:cs="Times New Roman"/>
          <w:i/>
          <w:lang w:val="fr-CA"/>
        </w:rPr>
        <w:t>Britannique (Éducation)</w:t>
      </w:r>
      <w:r w:rsidRPr="00807A5C">
        <w:rPr>
          <w:rFonts w:cs="Times New Roman"/>
          <w:lang w:val="fr-CA"/>
        </w:rPr>
        <w:t xml:space="preserve">, [2012] 3 R.C.S. 360, </w:t>
      </w:r>
      <w:r>
        <w:rPr>
          <w:rFonts w:cs="Times New Roman"/>
          <w:lang w:val="fr-CA"/>
        </w:rPr>
        <w:t>par. </w:t>
      </w:r>
      <w:r w:rsidRPr="00807A5C">
        <w:rPr>
          <w:rFonts w:cs="Times New Roman"/>
          <w:lang w:val="fr-CA"/>
        </w:rPr>
        <w:t xml:space="preserve">61). À mon avis, une approche unifiée est tout aussi justifiée pour ce qui est de la </w:t>
      </w:r>
      <w:r w:rsidRPr="00807A5C">
        <w:rPr>
          <w:rFonts w:cs="Times New Roman"/>
          <w:i/>
          <w:lang w:val="fr-CA"/>
        </w:rPr>
        <w:t>Charte</w:t>
      </w:r>
      <w:r w:rsidRPr="00807A5C">
        <w:rPr>
          <w:rFonts w:cs="Times New Roman"/>
          <w:lang w:val="fr-CA"/>
        </w:rPr>
        <w:t>.</w:t>
      </w:r>
    </w:p>
    <w:p w14:paraId="7BAC8496" w14:textId="77777777" w:rsidR="00804EA2" w:rsidRPr="00807A5C" w:rsidRDefault="00804EA2" w:rsidP="00804EA2">
      <w:pPr>
        <w:pStyle w:val="ParaNoNdepar-AltN"/>
        <w:rPr>
          <w:rFonts w:cs="Times New Roman"/>
          <w:lang w:val="fr-CA"/>
        </w:rPr>
      </w:pPr>
      <w:r w:rsidRPr="00807A5C">
        <w:rPr>
          <w:rFonts w:cs="Times New Roman"/>
          <w:lang w:val="fr-CA"/>
        </w:rPr>
        <w:t xml:space="preserve">Afin de prouver qu’il y a discrimination prohibée par le </w:t>
      </w:r>
      <w:r>
        <w:rPr>
          <w:rFonts w:cs="Times New Roman"/>
          <w:lang w:val="fr-CA"/>
        </w:rPr>
        <w:t>par. </w:t>
      </w:r>
      <w:r w:rsidRPr="00807A5C">
        <w:rPr>
          <w:rFonts w:cs="Times New Roman"/>
          <w:lang w:val="fr-CA"/>
        </w:rPr>
        <w:t xml:space="preserve">15(1), les demandeurs doivent démontrer qu’une loi ou une politique crée une distinction fondée sur un motif protégé et qu’elle perpétue, renforce ou accentue un désavantage. Ces exigences ne nécessitent pas d’examen dans les cas de discrimination par suite d’un effet préjudiciable. Il faut cependant expliquer clairement ce qui permet de reconnaître cette discrimination, car la loi contestée n’inclura pas, à première vue, de distinctions </w:t>
      </w:r>
      <w:r w:rsidRPr="00807A5C">
        <w:rPr>
          <w:rFonts w:cs="Times New Roman"/>
          <w:lang w:val="fr-CA"/>
        </w:rPr>
        <w:lastRenderedPageBreak/>
        <w:t>fondées des motifs interdits (</w:t>
      </w:r>
      <w:r w:rsidRPr="00807A5C">
        <w:rPr>
          <w:rFonts w:cs="Times New Roman"/>
          <w:i/>
          <w:lang w:val="fr-CA"/>
        </w:rPr>
        <w:t>Withler</w:t>
      </w:r>
      <w:r w:rsidRPr="00807A5C">
        <w:rPr>
          <w:rFonts w:cs="Times New Roman"/>
          <w:lang w:val="fr-CA"/>
        </w:rPr>
        <w:t xml:space="preserve">, </w:t>
      </w:r>
      <w:r>
        <w:rPr>
          <w:rFonts w:cs="Times New Roman"/>
          <w:lang w:val="fr-CA"/>
        </w:rPr>
        <w:t>par. </w:t>
      </w:r>
      <w:r w:rsidRPr="00807A5C">
        <w:rPr>
          <w:rFonts w:cs="Times New Roman"/>
          <w:lang w:val="fr-CA"/>
        </w:rPr>
        <w:t>64). De telles distinctions doivent être établies en examinant l’</w:t>
      </w:r>
      <w:r w:rsidRPr="00807A5C">
        <w:rPr>
          <w:rFonts w:cs="Times New Roman"/>
          <w:i/>
          <w:lang w:val="fr-CA"/>
        </w:rPr>
        <w:t>incidence</w:t>
      </w:r>
      <w:r w:rsidRPr="00807A5C">
        <w:rPr>
          <w:rFonts w:cs="Times New Roman"/>
          <w:lang w:val="fr-CA"/>
        </w:rPr>
        <w:t xml:space="preserve"> de la loi (</w:t>
      </w:r>
      <w:r w:rsidRPr="00807A5C">
        <w:rPr>
          <w:rFonts w:cs="Times New Roman"/>
          <w:i/>
          <w:lang w:val="fr-CA"/>
        </w:rPr>
        <w:t>Alliance</w:t>
      </w:r>
      <w:r w:rsidRPr="00807A5C">
        <w:rPr>
          <w:rFonts w:cs="Times New Roman"/>
          <w:lang w:val="fr-CA"/>
        </w:rPr>
        <w:t xml:space="preserve">, </w:t>
      </w:r>
      <w:r>
        <w:rPr>
          <w:rFonts w:cs="Times New Roman"/>
          <w:lang w:val="fr-CA"/>
        </w:rPr>
        <w:t>par. </w:t>
      </w:r>
      <w:r w:rsidRPr="00807A5C">
        <w:rPr>
          <w:rFonts w:cs="Times New Roman"/>
          <w:lang w:val="fr-CA"/>
        </w:rPr>
        <w:t>25).</w:t>
      </w:r>
    </w:p>
    <w:p w14:paraId="2467640F" w14:textId="416F3C77" w:rsidR="00804EA2" w:rsidRPr="00807A5C" w:rsidRDefault="00804EA2" w:rsidP="00804EA2">
      <w:pPr>
        <w:pStyle w:val="ParaNoNdepar-AltN"/>
        <w:rPr>
          <w:rFonts w:cs="Times New Roman"/>
          <w:lang w:val="fr-CA"/>
        </w:rPr>
      </w:pPr>
      <w:r w:rsidRPr="00807A5C">
        <w:rPr>
          <w:rFonts w:cs="Times New Roman"/>
          <w:lang w:val="fr-CA"/>
        </w:rPr>
        <w:t xml:space="preserve">Cet examen est souvent qualifié de recherche de l’effet « disproportionné » sur les membres des groupes protégés (voir </w:t>
      </w:r>
      <w:r w:rsidRPr="00807A5C">
        <w:rPr>
          <w:rFonts w:cs="Times New Roman"/>
          <w:i/>
          <w:lang w:val="fr-CA"/>
        </w:rPr>
        <w:t>Vriend</w:t>
      </w:r>
      <w:r w:rsidRPr="00807A5C">
        <w:rPr>
          <w:rFonts w:cs="Times New Roman"/>
          <w:lang w:val="fr-CA"/>
        </w:rPr>
        <w:t xml:space="preserve">, </w:t>
      </w:r>
      <w:r>
        <w:rPr>
          <w:rFonts w:cs="Times New Roman"/>
          <w:lang w:val="fr-CA"/>
        </w:rPr>
        <w:t>par. </w:t>
      </w:r>
      <w:r w:rsidRPr="00807A5C">
        <w:rPr>
          <w:rFonts w:cs="Times New Roman"/>
          <w:lang w:val="fr-CA"/>
        </w:rPr>
        <w:t>82;</w:t>
      </w:r>
      <w:r w:rsidRPr="00807A5C">
        <w:rPr>
          <w:rFonts w:cs="Times New Roman"/>
          <w:i/>
          <w:lang w:val="fr-CA"/>
        </w:rPr>
        <w:t xml:space="preserve"> Withler</w:t>
      </w:r>
      <w:r w:rsidRPr="00807A5C">
        <w:rPr>
          <w:rFonts w:cs="Times New Roman"/>
          <w:lang w:val="fr-CA"/>
        </w:rPr>
        <w:t xml:space="preserve">, </w:t>
      </w:r>
      <w:r>
        <w:rPr>
          <w:rFonts w:cs="Times New Roman"/>
          <w:lang w:val="fr-CA"/>
        </w:rPr>
        <w:t>par. </w:t>
      </w:r>
      <w:r w:rsidRPr="00807A5C">
        <w:rPr>
          <w:rFonts w:cs="Times New Roman"/>
          <w:lang w:val="fr-CA"/>
        </w:rPr>
        <w:t xml:space="preserve">64; </w:t>
      </w:r>
      <w:r w:rsidRPr="00807A5C">
        <w:rPr>
          <w:rFonts w:cs="Times New Roman"/>
          <w:i/>
          <w:lang w:val="fr-CA"/>
        </w:rPr>
        <w:t>Taypotat</w:t>
      </w:r>
      <w:r w:rsidRPr="00807A5C">
        <w:rPr>
          <w:rFonts w:cs="Times New Roman"/>
          <w:lang w:val="fr-CA"/>
        </w:rPr>
        <w:t xml:space="preserve">, </w:t>
      </w:r>
      <w:r>
        <w:rPr>
          <w:rFonts w:cs="Times New Roman"/>
          <w:lang w:val="fr-CA"/>
        </w:rPr>
        <w:t>par. </w:t>
      </w:r>
      <w:r w:rsidRPr="00807A5C">
        <w:rPr>
          <w:rFonts w:cs="Times New Roman"/>
          <w:lang w:val="fr-CA"/>
        </w:rPr>
        <w:t>21</w:t>
      </w:r>
      <w:r>
        <w:rPr>
          <w:rFonts w:cs="Times New Roman"/>
          <w:lang w:val="fr-CA"/>
        </w:rPr>
        <w:noBreakHyphen/>
      </w:r>
      <w:r w:rsidRPr="00807A5C">
        <w:rPr>
          <w:rFonts w:cs="Times New Roman"/>
          <w:lang w:val="fr-CA"/>
        </w:rPr>
        <w:t xml:space="preserve">23; </w:t>
      </w:r>
      <w:r w:rsidRPr="00807A5C">
        <w:rPr>
          <w:rFonts w:cs="Times New Roman"/>
          <w:i/>
          <w:lang w:val="fr-CA"/>
        </w:rPr>
        <w:t>Action Travail</w:t>
      </w:r>
      <w:r w:rsidRPr="00807A5C">
        <w:rPr>
          <w:rFonts w:cs="Times New Roman"/>
          <w:lang w:val="fr-CA"/>
        </w:rPr>
        <w:t xml:space="preserve">, </w:t>
      </w:r>
      <w:r>
        <w:rPr>
          <w:rFonts w:cs="Times New Roman"/>
          <w:lang w:val="fr-CA"/>
        </w:rPr>
        <w:t>p. </w:t>
      </w:r>
      <w:r w:rsidRPr="00807A5C">
        <w:rPr>
          <w:rFonts w:cs="Times New Roman"/>
          <w:lang w:val="fr-CA"/>
        </w:rPr>
        <w:t xml:space="preserve">1139; </w:t>
      </w:r>
      <w:r w:rsidRPr="00807A5C">
        <w:rPr>
          <w:rFonts w:cs="Times New Roman"/>
          <w:i/>
          <w:lang w:val="fr-CA"/>
        </w:rPr>
        <w:t>Egan c. Canada</w:t>
      </w:r>
      <w:r w:rsidRPr="00807A5C">
        <w:rPr>
          <w:rFonts w:cs="Times New Roman"/>
          <w:lang w:val="fr-CA"/>
        </w:rPr>
        <w:t xml:space="preserve">, [1995] 2 R.C.S. 513, </w:t>
      </w:r>
      <w:r>
        <w:rPr>
          <w:rFonts w:cs="Times New Roman"/>
          <w:lang w:val="fr-CA"/>
        </w:rPr>
        <w:t>par. </w:t>
      </w:r>
      <w:r w:rsidRPr="00807A5C">
        <w:rPr>
          <w:rFonts w:cs="Times New Roman"/>
          <w:lang w:val="fr-CA"/>
        </w:rPr>
        <w:t xml:space="preserve">138, les juges Cory et Iacobucci, dissidents; Moreau (2010), </w:t>
      </w:r>
      <w:r>
        <w:rPr>
          <w:rFonts w:cs="Times New Roman"/>
          <w:lang w:val="fr-CA"/>
        </w:rPr>
        <w:t>p. </w:t>
      </w:r>
      <w:r w:rsidRPr="00807A5C">
        <w:rPr>
          <w:rFonts w:cs="Times New Roman"/>
          <w:lang w:val="fr-CA"/>
        </w:rPr>
        <w:t xml:space="preserve">154; Braun, </w:t>
      </w:r>
      <w:r>
        <w:rPr>
          <w:rFonts w:cs="Times New Roman"/>
          <w:lang w:val="fr-CA"/>
        </w:rPr>
        <w:t>p. </w:t>
      </w:r>
      <w:r w:rsidRPr="00807A5C">
        <w:rPr>
          <w:rFonts w:cs="Times New Roman"/>
          <w:lang w:val="fr-CA"/>
        </w:rPr>
        <w:t>124</w:t>
      </w:r>
      <w:r>
        <w:rPr>
          <w:rFonts w:cs="Times New Roman"/>
          <w:lang w:val="fr-CA"/>
        </w:rPr>
        <w:noBreakHyphen/>
      </w:r>
      <w:r w:rsidRPr="00807A5C">
        <w:rPr>
          <w:rFonts w:cs="Times New Roman"/>
          <w:lang w:val="fr-CA"/>
        </w:rPr>
        <w:t xml:space="preserve">125; Vizkelety, </w:t>
      </w:r>
      <w:r>
        <w:rPr>
          <w:rFonts w:cs="Times New Roman"/>
          <w:lang w:val="fr-CA"/>
        </w:rPr>
        <w:t>p. </w:t>
      </w:r>
      <w:r w:rsidRPr="00807A5C">
        <w:rPr>
          <w:rFonts w:cs="Times New Roman"/>
          <w:lang w:val="fr-CA"/>
        </w:rPr>
        <w:t xml:space="preserve">176; </w:t>
      </w:r>
      <w:r>
        <w:rPr>
          <w:rFonts w:cs="Times New Roman"/>
          <w:lang w:val="fr-CA"/>
        </w:rPr>
        <w:t xml:space="preserve">Watson </w:t>
      </w:r>
      <w:r w:rsidRPr="00807A5C">
        <w:rPr>
          <w:rFonts w:cs="Times New Roman"/>
          <w:lang w:val="fr-CA"/>
        </w:rPr>
        <w:t>Hamilton et Koshan</w:t>
      </w:r>
      <w:r>
        <w:rPr>
          <w:rFonts w:cs="Times New Roman"/>
          <w:lang w:val="fr-CA"/>
        </w:rPr>
        <w:t xml:space="preserve"> (2015)</w:t>
      </w:r>
      <w:r w:rsidRPr="00807A5C">
        <w:rPr>
          <w:rFonts w:cs="Times New Roman"/>
          <w:lang w:val="fr-CA"/>
        </w:rPr>
        <w:t xml:space="preserve">, </w:t>
      </w:r>
      <w:r>
        <w:rPr>
          <w:rFonts w:cs="Times New Roman"/>
          <w:lang w:val="fr-CA"/>
        </w:rPr>
        <w:t>p. </w:t>
      </w:r>
      <w:r w:rsidRPr="00807A5C">
        <w:rPr>
          <w:rFonts w:cs="Times New Roman"/>
          <w:lang w:val="fr-CA"/>
        </w:rPr>
        <w:t xml:space="preserve">196; Collins et Khaitan, </w:t>
      </w:r>
      <w:r>
        <w:rPr>
          <w:rFonts w:cs="Times New Roman"/>
          <w:lang w:val="fr-CA"/>
        </w:rPr>
        <w:t>p. </w:t>
      </w:r>
      <w:r w:rsidRPr="00807A5C">
        <w:rPr>
          <w:rFonts w:cs="Times New Roman"/>
          <w:lang w:val="fr-CA"/>
        </w:rPr>
        <w:t>3</w:t>
      </w:r>
      <w:r>
        <w:rPr>
          <w:rFonts w:cs="Times New Roman"/>
          <w:lang w:val="fr-CA"/>
        </w:rPr>
        <w:noBreakHyphen/>
      </w:r>
      <w:r w:rsidRPr="00807A5C">
        <w:rPr>
          <w:rFonts w:cs="Times New Roman"/>
          <w:lang w:val="fr-CA"/>
        </w:rPr>
        <w:t>4; Dianne Pothier, « M’Aider, Mayday</w:t>
      </w:r>
      <w:r>
        <w:rPr>
          <w:rFonts w:cs="Times New Roman"/>
          <w:lang w:val="fr-CA"/>
        </w:rPr>
        <w:t> :</w:t>
      </w:r>
      <w:r w:rsidRPr="00807A5C">
        <w:rPr>
          <w:rFonts w:cs="Times New Roman"/>
          <w:lang w:val="fr-CA"/>
        </w:rPr>
        <w:t xml:space="preserve"> Section 15 of the </w:t>
      </w:r>
      <w:r w:rsidRPr="00807A5C">
        <w:rPr>
          <w:rFonts w:cs="Times New Roman"/>
          <w:i/>
          <w:lang w:val="fr-CA"/>
        </w:rPr>
        <w:t xml:space="preserve">Charter </w:t>
      </w:r>
      <w:r w:rsidRPr="00807A5C">
        <w:rPr>
          <w:rFonts w:cs="Times New Roman"/>
          <w:lang w:val="fr-CA"/>
        </w:rPr>
        <w:t>in Distress » (1996), 6 </w:t>
      </w:r>
      <w:r w:rsidRPr="00807A5C">
        <w:rPr>
          <w:rFonts w:cs="Times New Roman"/>
          <w:i/>
          <w:lang w:val="fr-CA"/>
        </w:rPr>
        <w:t>R.N.D.C.</w:t>
      </w:r>
      <w:r w:rsidR="005B03D4">
        <w:rPr>
          <w:rFonts w:cs="Times New Roman"/>
          <w:lang w:val="fr-CA"/>
        </w:rPr>
        <w:t> 295</w:t>
      </w:r>
      <w:r w:rsidRPr="00807A5C">
        <w:rPr>
          <w:rFonts w:cs="Times New Roman"/>
          <w:lang w:val="fr-CA"/>
        </w:rPr>
        <w:t xml:space="preserve">, </w:t>
      </w:r>
      <w:r>
        <w:rPr>
          <w:rFonts w:cs="Times New Roman"/>
          <w:lang w:val="fr-CA"/>
        </w:rPr>
        <w:t>p. </w:t>
      </w:r>
      <w:r w:rsidRPr="00807A5C">
        <w:rPr>
          <w:rFonts w:cs="Times New Roman"/>
          <w:lang w:val="fr-CA"/>
        </w:rPr>
        <w:t xml:space="preserve">322). </w:t>
      </w:r>
    </w:p>
    <w:p w14:paraId="2D7646C7" w14:textId="77777777" w:rsidR="00804EA2" w:rsidRPr="00807A5C" w:rsidRDefault="00804EA2" w:rsidP="00804EA2">
      <w:pPr>
        <w:pStyle w:val="ParaNoNdepar-AltN"/>
        <w:rPr>
          <w:rFonts w:cs="Times New Roman"/>
          <w:lang w:val="fr-CA"/>
        </w:rPr>
      </w:pPr>
      <w:r w:rsidRPr="00807A5C">
        <w:rPr>
          <w:rFonts w:cs="Times New Roman"/>
          <w:lang w:val="fr-CA"/>
        </w:rPr>
        <w:t>Autrement dit, pour qu’une loi crée par son effet une distinction fondée sur des motifs interdits, elle doit avoir un effet disproportionné sur les membres d’un groupe protégé. Si c’est le cas, la première étape de l’analyse relative à l’</w:t>
      </w:r>
      <w:r>
        <w:rPr>
          <w:rFonts w:cs="Times New Roman"/>
          <w:lang w:val="fr-CA"/>
        </w:rPr>
        <w:t>art. </w:t>
      </w:r>
      <w:r w:rsidRPr="00807A5C">
        <w:rPr>
          <w:rFonts w:cs="Times New Roman"/>
          <w:lang w:val="fr-CA"/>
        </w:rPr>
        <w:t>15 est franchie.</w:t>
      </w:r>
    </w:p>
    <w:p w14:paraId="2D860408" w14:textId="1CFD4849" w:rsidR="00804EA2" w:rsidRPr="00807A5C" w:rsidRDefault="00804EA2" w:rsidP="00804EA2">
      <w:pPr>
        <w:pStyle w:val="ParaNoNdepar-AltN"/>
        <w:rPr>
          <w:rFonts w:cs="Times New Roman"/>
          <w:lang w:val="fr-CA"/>
        </w:rPr>
      </w:pPr>
      <w:r w:rsidRPr="00807A5C">
        <w:rPr>
          <w:rFonts w:cs="Times New Roman"/>
          <w:lang w:val="fr-CA"/>
        </w:rPr>
        <w:t>Comment cela fonctionne</w:t>
      </w:r>
      <w:r>
        <w:rPr>
          <w:rFonts w:cs="Times New Roman"/>
          <w:lang w:val="fr-CA"/>
        </w:rPr>
        <w:noBreakHyphen/>
      </w:r>
      <w:r w:rsidRPr="00807A5C">
        <w:rPr>
          <w:rFonts w:cs="Times New Roman"/>
          <w:lang w:val="fr-CA"/>
        </w:rPr>
        <w:t>t</w:t>
      </w:r>
      <w:r>
        <w:rPr>
          <w:rFonts w:cs="Times New Roman"/>
          <w:lang w:val="fr-CA"/>
        </w:rPr>
        <w:noBreakHyphen/>
      </w:r>
      <w:r w:rsidRPr="00807A5C">
        <w:rPr>
          <w:rFonts w:cs="Times New Roman"/>
          <w:lang w:val="fr-CA"/>
        </w:rPr>
        <w:t xml:space="preserve">il en pratique? Plutôt que de se demander si une loi cible explicitement un groupe protégé et le traite différemment, le tribunal doit se demander si elle le fait indirectement par suite de son effet sur les membres de ce groupe (voir </w:t>
      </w:r>
      <w:r w:rsidRPr="00807A5C">
        <w:rPr>
          <w:rFonts w:cs="Times New Roman"/>
          <w:i/>
          <w:lang w:val="fr-CA"/>
        </w:rPr>
        <w:t>Eldridge</w:t>
      </w:r>
      <w:r w:rsidRPr="00807A5C">
        <w:rPr>
          <w:rFonts w:cs="Times New Roman"/>
          <w:lang w:val="fr-CA"/>
        </w:rPr>
        <w:t xml:space="preserve">, </w:t>
      </w:r>
      <w:r>
        <w:rPr>
          <w:rFonts w:cs="Times New Roman"/>
          <w:lang w:val="fr-CA"/>
        </w:rPr>
        <w:t>par. </w:t>
      </w:r>
      <w:r w:rsidRPr="00807A5C">
        <w:rPr>
          <w:rFonts w:cs="Times New Roman"/>
          <w:lang w:val="fr-CA"/>
        </w:rPr>
        <w:t>60</w:t>
      </w:r>
      <w:r>
        <w:rPr>
          <w:rFonts w:cs="Times New Roman"/>
          <w:lang w:val="fr-CA"/>
        </w:rPr>
        <w:noBreakHyphen/>
      </w:r>
      <w:r w:rsidRPr="00807A5C">
        <w:rPr>
          <w:rFonts w:cs="Times New Roman"/>
          <w:lang w:val="fr-CA"/>
        </w:rPr>
        <w:t xml:space="preserve">62; </w:t>
      </w:r>
      <w:r w:rsidRPr="00807A5C">
        <w:rPr>
          <w:rFonts w:cs="Times New Roman"/>
          <w:i/>
          <w:lang w:val="fr-CA"/>
        </w:rPr>
        <w:t>Vriend</w:t>
      </w:r>
      <w:r w:rsidRPr="00807A5C">
        <w:rPr>
          <w:rFonts w:cs="Times New Roman"/>
          <w:lang w:val="fr-CA"/>
        </w:rPr>
        <w:t xml:space="preserve">, </w:t>
      </w:r>
      <w:r>
        <w:rPr>
          <w:rFonts w:cs="Times New Roman"/>
          <w:lang w:val="fr-CA"/>
        </w:rPr>
        <w:t>par. </w:t>
      </w:r>
      <w:r w:rsidRPr="00807A5C">
        <w:rPr>
          <w:rFonts w:cs="Times New Roman"/>
          <w:lang w:val="fr-CA"/>
        </w:rPr>
        <w:t xml:space="preserve">82). Par exemple, une loi peut comporter des règles en apparence neutres, des restrictions ou des critères qui agissent en fait comme des « obstacles intégrés » pour les membres des groupes protégés. L’obligation de passer des tests dont il est question dans l’arrêt </w:t>
      </w:r>
      <w:r w:rsidRPr="00807A5C">
        <w:rPr>
          <w:rFonts w:cs="Times New Roman"/>
          <w:i/>
          <w:lang w:val="fr-CA"/>
        </w:rPr>
        <w:t>Griggs</w:t>
      </w:r>
      <w:r w:rsidRPr="00807A5C">
        <w:rPr>
          <w:rFonts w:cs="Times New Roman"/>
          <w:lang w:val="fr-CA"/>
        </w:rPr>
        <w:t xml:space="preserve"> en est l’exemple paradigmatique. Parmi les autres exemples, notons l’obligation de satisfaire à une </w:t>
      </w:r>
      <w:r w:rsidRPr="00807A5C">
        <w:rPr>
          <w:rFonts w:cs="Times New Roman"/>
          <w:lang w:val="fr-CA"/>
        </w:rPr>
        <w:lastRenderedPageBreak/>
        <w:t>norme aérobique dans l’arrêt </w:t>
      </w:r>
      <w:r w:rsidRPr="00807A5C">
        <w:rPr>
          <w:rFonts w:cs="Times New Roman"/>
          <w:i/>
          <w:lang w:val="fr-CA"/>
        </w:rPr>
        <w:t>Meiorin</w:t>
      </w:r>
      <w:r w:rsidRPr="00807A5C">
        <w:rPr>
          <w:rFonts w:cs="Times New Roman"/>
          <w:lang w:val="fr-CA"/>
        </w:rPr>
        <w:t xml:space="preserve"> et la politique obligeant les employés à travailler les samedis dans l’arrêt </w:t>
      </w:r>
      <w:r w:rsidRPr="00807A5C">
        <w:rPr>
          <w:rFonts w:cs="Times New Roman"/>
          <w:i/>
          <w:lang w:val="fr-CA"/>
        </w:rPr>
        <w:t>Simpson</w:t>
      </w:r>
      <w:r>
        <w:rPr>
          <w:rFonts w:cs="Times New Roman"/>
          <w:i/>
          <w:lang w:val="fr-CA"/>
        </w:rPr>
        <w:noBreakHyphen/>
      </w:r>
      <w:r w:rsidRPr="00807A5C">
        <w:rPr>
          <w:rFonts w:cs="Times New Roman"/>
          <w:i/>
          <w:lang w:val="fr-CA"/>
        </w:rPr>
        <w:t>Sears</w:t>
      </w:r>
      <w:r w:rsidRPr="00807A5C">
        <w:rPr>
          <w:rFonts w:cs="Times New Roman"/>
          <w:lang w:val="fr-CA"/>
        </w:rPr>
        <w:t xml:space="preserve"> (voir aussi </w:t>
      </w:r>
      <w:r w:rsidRPr="00807A5C">
        <w:rPr>
          <w:rFonts w:cs="Times New Roman"/>
          <w:i/>
          <w:lang w:val="fr-CA"/>
        </w:rPr>
        <w:t>Central Alberta Dairy Pool c. Alberta (</w:t>
      </w:r>
      <w:r w:rsidR="00846A17">
        <w:rPr>
          <w:rFonts w:cs="Times New Roman"/>
          <w:i/>
          <w:lang w:val="fr-CA"/>
        </w:rPr>
        <w:t>Human Rights Commission</w:t>
      </w:r>
      <w:r w:rsidRPr="00807A5C">
        <w:rPr>
          <w:rFonts w:cs="Times New Roman"/>
          <w:i/>
          <w:lang w:val="fr-CA"/>
        </w:rPr>
        <w:t>)</w:t>
      </w:r>
      <w:r w:rsidRPr="00807A5C">
        <w:rPr>
          <w:rFonts w:cs="Times New Roman"/>
          <w:lang w:val="fr-CA"/>
        </w:rPr>
        <w:t>, [1990] 2 R.C.S. 489). Pour évaluer l’effet préjudiciable de ces politiques, les tribunaux sont allés au</w:t>
      </w:r>
      <w:r>
        <w:rPr>
          <w:rFonts w:cs="Times New Roman"/>
          <w:lang w:val="fr-CA"/>
        </w:rPr>
        <w:noBreakHyphen/>
      </w:r>
      <w:r w:rsidRPr="00807A5C">
        <w:rPr>
          <w:rFonts w:cs="Times New Roman"/>
          <w:lang w:val="fr-CA"/>
        </w:rPr>
        <w:t xml:space="preserve">delà des critères en apparence neutres sur lesquels elles reposaient et se sont demandé si elles avaient pour effet de désavantager les membres des groupes protégés (Moreau (2018), </w:t>
      </w:r>
      <w:r>
        <w:rPr>
          <w:rFonts w:cs="Times New Roman"/>
          <w:lang w:val="fr-CA"/>
        </w:rPr>
        <w:t>p. </w:t>
      </w:r>
      <w:r w:rsidRPr="00807A5C">
        <w:rPr>
          <w:rFonts w:cs="Times New Roman"/>
          <w:lang w:val="fr-CA"/>
        </w:rPr>
        <w:t>125).</w:t>
      </w:r>
    </w:p>
    <w:p w14:paraId="0955622E" w14:textId="4100BB42" w:rsidR="00804EA2" w:rsidRPr="00807A5C" w:rsidRDefault="00804EA2" w:rsidP="00804EA2">
      <w:pPr>
        <w:pStyle w:val="ParaNoNdepar-AltN"/>
        <w:rPr>
          <w:rFonts w:cs="Times New Roman"/>
          <w:lang w:val="fr-CA"/>
        </w:rPr>
      </w:pPr>
      <w:r w:rsidRPr="00807A5C">
        <w:rPr>
          <w:rFonts w:cs="Times New Roman"/>
          <w:lang w:val="fr-CA"/>
        </w:rPr>
        <w:t>Dans d’autres affaires, le pr</w:t>
      </w:r>
      <w:r w:rsidR="00296D95">
        <w:rPr>
          <w:rFonts w:cs="Times New Roman"/>
          <w:lang w:val="fr-CA"/>
        </w:rPr>
        <w:t>oblème n’est pas la présence d’</w:t>
      </w:r>
      <w:r w:rsidRPr="00807A5C">
        <w:rPr>
          <w:rFonts w:cs="Times New Roman"/>
          <w:lang w:val="fr-CA"/>
        </w:rPr>
        <w:t>« obstacles » intégrés à la loi, mais l’</w:t>
      </w:r>
      <w:r w:rsidRPr="00807A5C">
        <w:rPr>
          <w:rFonts w:cs="Times New Roman"/>
          <w:i/>
          <w:lang w:val="fr-CA"/>
        </w:rPr>
        <w:t>absence</w:t>
      </w:r>
      <w:r w:rsidRPr="00807A5C">
        <w:rPr>
          <w:rFonts w:cs="Times New Roman"/>
          <w:lang w:val="fr-CA"/>
        </w:rPr>
        <w:t xml:space="preserve"> de mesures d’adaptation pour les membres des groupes protégés (Tarunabh Khaitan, </w:t>
      </w:r>
      <w:r w:rsidRPr="00807A5C">
        <w:rPr>
          <w:rFonts w:cs="Times New Roman"/>
          <w:i/>
          <w:lang w:val="fr-CA"/>
        </w:rPr>
        <w:t>A Theory of Discrimination Law</w:t>
      </w:r>
      <w:r w:rsidRPr="00807A5C">
        <w:rPr>
          <w:rFonts w:cs="Times New Roman"/>
          <w:lang w:val="fr-CA"/>
        </w:rPr>
        <w:t xml:space="preserve"> (2015), </w:t>
      </w:r>
      <w:r>
        <w:rPr>
          <w:rFonts w:cs="Times New Roman"/>
          <w:lang w:val="fr-CA"/>
        </w:rPr>
        <w:t>p. </w:t>
      </w:r>
      <w:r w:rsidRPr="00807A5C">
        <w:rPr>
          <w:rFonts w:cs="Times New Roman"/>
          <w:lang w:val="fr-CA"/>
        </w:rPr>
        <w:t>77; Dianne Pothier, « Tackling Disability Discrimination at Work</w:t>
      </w:r>
      <w:r w:rsidR="00296D95">
        <w:rPr>
          <w:rFonts w:cs="Times New Roman"/>
          <w:lang w:val="fr-CA"/>
        </w:rPr>
        <w:t> </w:t>
      </w:r>
      <w:r w:rsidRPr="00807A5C">
        <w:rPr>
          <w:rFonts w:cs="Times New Roman"/>
          <w:lang w:val="fr-CA"/>
        </w:rPr>
        <w:t xml:space="preserve">: Towards a Systemic Approach » (2010), 4 </w:t>
      </w:r>
      <w:r w:rsidR="00296D95">
        <w:rPr>
          <w:rFonts w:cs="Times New Roman"/>
          <w:i/>
          <w:lang w:val="fr-CA"/>
        </w:rPr>
        <w:t xml:space="preserve">R.D. &amp; santé McGill </w:t>
      </w:r>
      <w:r w:rsidRPr="00807A5C">
        <w:rPr>
          <w:rFonts w:cs="Times New Roman"/>
          <w:lang w:val="fr-CA"/>
        </w:rPr>
        <w:t xml:space="preserve">17, </w:t>
      </w:r>
      <w:r>
        <w:rPr>
          <w:rFonts w:cs="Times New Roman"/>
          <w:lang w:val="fr-CA"/>
        </w:rPr>
        <w:t>p. </w:t>
      </w:r>
      <w:r w:rsidRPr="00807A5C">
        <w:rPr>
          <w:rFonts w:cs="Times New Roman"/>
          <w:lang w:val="fr-CA"/>
        </w:rPr>
        <w:t>23</w:t>
      </w:r>
      <w:r>
        <w:rPr>
          <w:rFonts w:cs="Times New Roman"/>
          <w:lang w:val="fr-CA"/>
        </w:rPr>
        <w:noBreakHyphen/>
      </w:r>
      <w:r w:rsidRPr="00807A5C">
        <w:rPr>
          <w:rFonts w:cs="Times New Roman"/>
          <w:lang w:val="fr-CA"/>
        </w:rPr>
        <w:t xml:space="preserve">24). L’arrêt </w:t>
      </w:r>
      <w:r w:rsidRPr="00807A5C">
        <w:rPr>
          <w:rFonts w:cs="Times New Roman"/>
          <w:i/>
          <w:lang w:val="fr-CA"/>
        </w:rPr>
        <w:t>Eldridge</w:t>
      </w:r>
      <w:r w:rsidRPr="00807A5C">
        <w:rPr>
          <w:rFonts w:cs="Times New Roman"/>
          <w:lang w:val="fr-CA"/>
        </w:rPr>
        <w:t xml:space="preserve"> représente un bon exemple. Selon le régime de soins de santé en cause dans cette affaire, </w:t>
      </w:r>
      <w:r w:rsidRPr="00807A5C">
        <w:rPr>
          <w:rFonts w:cs="Times New Roman"/>
          <w:i/>
          <w:lang w:val="fr-CA"/>
        </w:rPr>
        <w:t>aucun</w:t>
      </w:r>
      <w:r w:rsidRPr="00807A5C">
        <w:rPr>
          <w:rFonts w:cs="Times New Roman"/>
          <w:lang w:val="fr-CA"/>
        </w:rPr>
        <w:t xml:space="preserve"> patient ne pouvait obtenir les services d’interprètes gestuels — mais ce manque d’accès avait un effet disproportionné sur les personnes ayant une perte d’acuité auditive et qui avaient besoin d’un interprète pour bien communiquer avec les fournisseurs de soins de santé (</w:t>
      </w:r>
      <w:r>
        <w:rPr>
          <w:rFonts w:cs="Times New Roman"/>
          <w:lang w:val="fr-CA"/>
        </w:rPr>
        <w:t>par. </w:t>
      </w:r>
      <w:r w:rsidRPr="00807A5C">
        <w:rPr>
          <w:rFonts w:cs="Times New Roman"/>
          <w:lang w:val="fr-CA"/>
        </w:rPr>
        <w:t xml:space="preserve">69, 71 et 83). </w:t>
      </w:r>
    </w:p>
    <w:p w14:paraId="2BA425D3" w14:textId="4BD64372" w:rsidR="00804EA2" w:rsidRPr="00807A5C" w:rsidRDefault="00804EA2" w:rsidP="00804EA2">
      <w:pPr>
        <w:pStyle w:val="ParaNoNdepar-AltN"/>
        <w:rPr>
          <w:rFonts w:cs="Times New Roman"/>
          <w:lang w:val="fr-CA"/>
        </w:rPr>
      </w:pPr>
      <w:r w:rsidRPr="00807A5C">
        <w:rPr>
          <w:rFonts w:cs="Times New Roman"/>
          <w:lang w:val="fr-CA"/>
        </w:rPr>
        <w:t xml:space="preserve">Un effet disproportionné peut se prouver de différentes façons. Dans l’arrêt </w:t>
      </w:r>
      <w:r w:rsidRPr="00807A5C">
        <w:rPr>
          <w:rFonts w:cs="Times New Roman"/>
          <w:i/>
          <w:lang w:val="fr-CA"/>
        </w:rPr>
        <w:t>Eldridge</w:t>
      </w:r>
      <w:r w:rsidRPr="00807A5C">
        <w:rPr>
          <w:rFonts w:cs="Times New Roman"/>
          <w:lang w:val="fr-CA"/>
        </w:rPr>
        <w:t xml:space="preserve">, son existence a été établie parce que « la </w:t>
      </w:r>
      <w:r w:rsidRPr="00807A5C">
        <w:rPr>
          <w:rFonts w:cs="Times New Roman"/>
          <w:i/>
          <w:lang w:val="fr-CA"/>
        </w:rPr>
        <w:t>qualité</w:t>
      </w:r>
      <w:r w:rsidRPr="00807A5C">
        <w:rPr>
          <w:rFonts w:cs="Times New Roman"/>
          <w:lang w:val="fr-CA"/>
        </w:rPr>
        <w:t xml:space="preserve"> des soins reçus par les [personnes ayant une perte d’acuité auditive] était inférieure à celle des soins offerts aux entendants » (</w:t>
      </w:r>
      <w:r>
        <w:rPr>
          <w:rFonts w:cs="Times New Roman"/>
          <w:lang w:val="fr-CA"/>
        </w:rPr>
        <w:t>par. </w:t>
      </w:r>
      <w:r w:rsidR="00926B54">
        <w:rPr>
          <w:rFonts w:cs="Times New Roman"/>
          <w:lang w:val="fr-CA"/>
        </w:rPr>
        <w:t>83 (italique ajouté</w:t>
      </w:r>
      <w:r w:rsidRPr="00807A5C">
        <w:rPr>
          <w:rFonts w:cs="Times New Roman"/>
          <w:lang w:val="fr-CA"/>
        </w:rPr>
        <w:t xml:space="preserve">)). Par comparaison, dans les affaires </w:t>
      </w:r>
      <w:r w:rsidRPr="00807A5C">
        <w:rPr>
          <w:rFonts w:cs="Times New Roman"/>
          <w:i/>
          <w:lang w:val="fr-CA"/>
        </w:rPr>
        <w:t>Griggs</w:t>
      </w:r>
      <w:r w:rsidRPr="00807A5C">
        <w:rPr>
          <w:rFonts w:cs="Times New Roman"/>
          <w:lang w:val="fr-CA"/>
        </w:rPr>
        <w:t xml:space="preserve"> et </w:t>
      </w:r>
      <w:r w:rsidRPr="00807A5C">
        <w:rPr>
          <w:rFonts w:cs="Times New Roman"/>
          <w:i/>
          <w:lang w:val="fr-CA"/>
        </w:rPr>
        <w:t>Meiorin</w:t>
      </w:r>
      <w:r w:rsidRPr="00807A5C">
        <w:rPr>
          <w:rFonts w:cs="Times New Roman"/>
          <w:lang w:val="fr-CA"/>
        </w:rPr>
        <w:t xml:space="preserve">, l’effet pertinent était le </w:t>
      </w:r>
      <w:r w:rsidRPr="00807A5C">
        <w:rPr>
          <w:rFonts w:cs="Times New Roman"/>
          <w:i/>
          <w:lang w:val="fr-CA"/>
        </w:rPr>
        <w:t>taux</w:t>
      </w:r>
      <w:r w:rsidRPr="00807A5C">
        <w:rPr>
          <w:rFonts w:cs="Times New Roman"/>
          <w:lang w:val="fr-CA"/>
        </w:rPr>
        <w:t xml:space="preserve"> plus élevé de disqualification des </w:t>
      </w:r>
      <w:r w:rsidRPr="00807A5C">
        <w:rPr>
          <w:rFonts w:cs="Times New Roman"/>
          <w:lang w:val="fr-CA"/>
        </w:rPr>
        <w:lastRenderedPageBreak/>
        <w:t>Afro</w:t>
      </w:r>
      <w:r>
        <w:rPr>
          <w:rFonts w:cs="Times New Roman"/>
          <w:lang w:val="fr-CA"/>
        </w:rPr>
        <w:noBreakHyphen/>
      </w:r>
      <w:r w:rsidRPr="00807A5C">
        <w:rPr>
          <w:rFonts w:cs="Times New Roman"/>
          <w:lang w:val="fr-CA"/>
        </w:rPr>
        <w:t xml:space="preserve">Américains et des femmes en matière d’emploi. Ces deux cas sont des exemples de façons dont une loi ou une politique peut avoir un effet disproportionné sur les membres d’un groupe protégé. Les arrêts </w:t>
      </w:r>
      <w:r w:rsidRPr="00807A5C">
        <w:rPr>
          <w:rFonts w:cs="Times New Roman"/>
          <w:i/>
          <w:lang w:val="fr-CA"/>
        </w:rPr>
        <w:t>Griggs</w:t>
      </w:r>
      <w:r w:rsidRPr="00807A5C">
        <w:rPr>
          <w:rFonts w:cs="Times New Roman"/>
          <w:lang w:val="fr-CA"/>
        </w:rPr>
        <w:t xml:space="preserve">, </w:t>
      </w:r>
      <w:r w:rsidRPr="00807A5C">
        <w:rPr>
          <w:rFonts w:cs="Times New Roman"/>
          <w:i/>
          <w:lang w:val="fr-CA"/>
        </w:rPr>
        <w:t>Meiorin</w:t>
      </w:r>
      <w:r w:rsidRPr="00807A5C">
        <w:rPr>
          <w:rFonts w:cs="Times New Roman"/>
          <w:lang w:val="fr-CA"/>
        </w:rPr>
        <w:t xml:space="preserve"> et d’autres décisions faisant autorité ne laissent aucun doute qu’un effet disproportionné peut être démontré si les membres de groupes protégés se voient refuser des avantages ou imposer des fardeaux plus fréquemment que d’autres. Une différence au titre de la « qualité » du traitement réservé aux personnes concernées, comme dans </w:t>
      </w:r>
      <w:r w:rsidRPr="00807A5C">
        <w:rPr>
          <w:rFonts w:cs="Times New Roman"/>
          <w:i/>
          <w:lang w:val="fr-CA"/>
        </w:rPr>
        <w:t>Eldridge</w:t>
      </w:r>
      <w:r w:rsidRPr="00807A5C">
        <w:rPr>
          <w:rFonts w:cs="Times New Roman"/>
          <w:lang w:val="fr-CA"/>
        </w:rPr>
        <w:t xml:space="preserve">, peut renforcer une allégation d’effet disproportionné, mais il ne s’agit pas d’un élément nécessaire (Philipps et Young, </w:t>
      </w:r>
      <w:r>
        <w:rPr>
          <w:rFonts w:cs="Times New Roman"/>
          <w:lang w:val="fr-CA"/>
        </w:rPr>
        <w:t>p. </w:t>
      </w:r>
      <w:r w:rsidRPr="00807A5C">
        <w:rPr>
          <w:rFonts w:cs="Times New Roman"/>
          <w:lang w:val="fr-CA"/>
        </w:rPr>
        <w:t>244</w:t>
      </w:r>
      <w:r>
        <w:rPr>
          <w:rFonts w:cs="Times New Roman"/>
          <w:lang w:val="fr-CA"/>
        </w:rPr>
        <w:noBreakHyphen/>
      </w:r>
      <w:r w:rsidRPr="00807A5C">
        <w:rPr>
          <w:rFonts w:cs="Times New Roman"/>
          <w:lang w:val="fr-CA"/>
        </w:rPr>
        <w:t xml:space="preserve">245; voir aussi Pothier (1996), </w:t>
      </w:r>
      <w:r>
        <w:rPr>
          <w:rFonts w:cs="Times New Roman"/>
          <w:lang w:val="fr-CA"/>
        </w:rPr>
        <w:t>p. </w:t>
      </w:r>
      <w:r w:rsidRPr="00807A5C">
        <w:rPr>
          <w:rFonts w:cs="Times New Roman"/>
          <w:lang w:val="fr-CA"/>
        </w:rPr>
        <w:t xml:space="preserve">322; Selene Mize, « Indirect Discrimination Reconsidered » (2007), </w:t>
      </w:r>
      <w:r w:rsidRPr="00807A5C">
        <w:rPr>
          <w:rFonts w:cs="Times New Roman"/>
          <w:i/>
          <w:lang w:val="fr-CA"/>
        </w:rPr>
        <w:t>N.Z.L. Rev.</w:t>
      </w:r>
      <w:r w:rsidRPr="00807A5C">
        <w:rPr>
          <w:rFonts w:cs="Times New Roman"/>
          <w:lang w:val="fr-CA"/>
        </w:rPr>
        <w:t xml:space="preserve"> 27, </w:t>
      </w:r>
      <w:r>
        <w:rPr>
          <w:rFonts w:cs="Times New Roman"/>
          <w:lang w:val="fr-CA"/>
        </w:rPr>
        <w:t>p. </w:t>
      </w:r>
      <w:r w:rsidRPr="00807A5C">
        <w:rPr>
          <w:rFonts w:cs="Times New Roman"/>
          <w:lang w:val="fr-CA"/>
        </w:rPr>
        <w:t>39).</w:t>
      </w:r>
    </w:p>
    <w:p w14:paraId="534BE272" w14:textId="77777777" w:rsidR="00804EA2" w:rsidRPr="00807A5C" w:rsidRDefault="00804EA2" w:rsidP="00804EA2">
      <w:pPr>
        <w:pStyle w:val="ParaNoNdepar-AltN"/>
        <w:rPr>
          <w:rFonts w:cs="Times New Roman"/>
          <w:lang w:val="fr-CA"/>
        </w:rPr>
      </w:pPr>
      <w:r w:rsidRPr="00807A5C">
        <w:rPr>
          <w:rFonts w:cs="Times New Roman"/>
          <w:lang w:val="fr-CA"/>
        </w:rPr>
        <w:t>Deux types d’éléments de preuve sont particulièrement utiles pour prouver qu’une loi a un effet disproportionné sur des membres d’un groupe protégé. Le premier porte sur la situation du groupe de demandeurs. Le deuxième porte sur les conséquences de la loi.</w:t>
      </w:r>
    </w:p>
    <w:p w14:paraId="213B249B" w14:textId="3A65DCEF" w:rsidR="00804EA2" w:rsidRPr="00807A5C" w:rsidRDefault="00804EA2" w:rsidP="00804EA2">
      <w:pPr>
        <w:pStyle w:val="ParaNoNdepar-AltN"/>
        <w:rPr>
          <w:rFonts w:cs="Times New Roman"/>
          <w:lang w:val="fr-CA"/>
        </w:rPr>
      </w:pPr>
      <w:r w:rsidRPr="00807A5C">
        <w:rPr>
          <w:rFonts w:cs="Times New Roman"/>
          <w:lang w:val="fr-CA"/>
        </w:rPr>
        <w:t>Les éléments de preuve sur les obstacles, notamment physiques, sociaux ou culturels qui décrivent « la situation du groupe de demandeurs » sont utiles aux tribunaux (</w:t>
      </w:r>
      <w:r w:rsidRPr="00807A5C">
        <w:rPr>
          <w:rFonts w:cs="Times New Roman"/>
          <w:i/>
          <w:lang w:val="fr-CA"/>
        </w:rPr>
        <w:t>Withler</w:t>
      </w:r>
      <w:r w:rsidRPr="00807A5C">
        <w:rPr>
          <w:rFonts w:cs="Times New Roman"/>
          <w:lang w:val="fr-CA"/>
        </w:rPr>
        <w:t xml:space="preserve">, </w:t>
      </w:r>
      <w:r>
        <w:rPr>
          <w:rFonts w:cs="Times New Roman"/>
          <w:lang w:val="fr-CA"/>
        </w:rPr>
        <w:t>par. </w:t>
      </w:r>
      <w:r w:rsidRPr="00807A5C">
        <w:rPr>
          <w:rFonts w:cs="Times New Roman"/>
          <w:lang w:val="fr-CA"/>
        </w:rPr>
        <w:t xml:space="preserve">43; voir aussi </w:t>
      </w:r>
      <w:r>
        <w:rPr>
          <w:rFonts w:cs="Times New Roman"/>
          <w:lang w:val="fr-CA"/>
        </w:rPr>
        <w:t>par. </w:t>
      </w:r>
      <w:r w:rsidRPr="00807A5C">
        <w:rPr>
          <w:rFonts w:cs="Times New Roman"/>
          <w:lang w:val="fr-CA"/>
        </w:rPr>
        <w:t xml:space="preserve">64). Ces éléments peuvent provenir du demandeur, de témoins experts ou d’un avis juridique (voir </w:t>
      </w:r>
      <w:r w:rsidRPr="00807A5C">
        <w:rPr>
          <w:rFonts w:cs="Times New Roman"/>
          <w:i/>
          <w:lang w:val="fr-CA"/>
        </w:rPr>
        <w:t>R. c. Spence</w:t>
      </w:r>
      <w:r w:rsidRPr="00807A5C">
        <w:rPr>
          <w:rFonts w:cs="Times New Roman"/>
          <w:lang w:val="fr-CA"/>
        </w:rPr>
        <w:t xml:space="preserve">, [2005] 3 R.C.S. 458). De tels éléments de preuve ont pour objectif de démontrer que l’appartenance au groupe de demandeurs est associée à certaines caractéristiques qui ont désavantagé des membres du groupe, comme l’incapacité de travailler les samedis </w:t>
      </w:r>
      <w:r w:rsidRPr="00807A5C">
        <w:rPr>
          <w:rFonts w:cs="Times New Roman"/>
          <w:lang w:val="fr-CA"/>
        </w:rPr>
        <w:lastRenderedPageBreak/>
        <w:t>ou une capacité aérobique moindre (</w:t>
      </w:r>
      <w:r w:rsidRPr="00807A5C">
        <w:rPr>
          <w:rFonts w:cs="Times New Roman"/>
          <w:i/>
          <w:lang w:val="fr-CA"/>
        </w:rPr>
        <w:t>Homer c. Chief Constable of West Yorkshire Police</w:t>
      </w:r>
      <w:r w:rsidRPr="00807A5C">
        <w:rPr>
          <w:rFonts w:cs="Times New Roman"/>
          <w:lang w:val="fr-CA"/>
        </w:rPr>
        <w:t>, [2012] 3 All E.R. 1287</w:t>
      </w:r>
      <w:r w:rsidR="00926B54">
        <w:rPr>
          <w:rFonts w:cs="Times New Roman"/>
          <w:lang w:val="fr-CA"/>
        </w:rPr>
        <w:t xml:space="preserve"> (S.C.)</w:t>
      </w:r>
      <w:r w:rsidRPr="00807A5C">
        <w:rPr>
          <w:rFonts w:cs="Times New Roman"/>
          <w:lang w:val="fr-CA"/>
        </w:rPr>
        <w:t xml:space="preserve">, </w:t>
      </w:r>
      <w:r>
        <w:rPr>
          <w:rFonts w:cs="Times New Roman"/>
          <w:lang w:val="fr-CA"/>
        </w:rPr>
        <w:t>par. </w:t>
      </w:r>
      <w:r w:rsidRPr="00807A5C">
        <w:rPr>
          <w:rFonts w:cs="Times New Roman"/>
          <w:lang w:val="fr-CA"/>
        </w:rPr>
        <w:t xml:space="preserve">14; </w:t>
      </w:r>
      <w:r w:rsidRPr="00807A5C">
        <w:rPr>
          <w:rFonts w:cs="Times New Roman"/>
          <w:i/>
          <w:lang w:val="fr-CA"/>
        </w:rPr>
        <w:t>Simpsons</w:t>
      </w:r>
      <w:r>
        <w:rPr>
          <w:rFonts w:cs="Times New Roman"/>
          <w:i/>
          <w:lang w:val="fr-CA"/>
        </w:rPr>
        <w:noBreakHyphen/>
      </w:r>
      <w:r w:rsidRPr="00807A5C">
        <w:rPr>
          <w:rFonts w:cs="Times New Roman"/>
          <w:i/>
          <w:lang w:val="fr-CA"/>
        </w:rPr>
        <w:t>Sears</w:t>
      </w:r>
      <w:r w:rsidRPr="00807A5C">
        <w:rPr>
          <w:rFonts w:cs="Times New Roman"/>
          <w:lang w:val="fr-CA"/>
        </w:rPr>
        <w:t xml:space="preserve">; </w:t>
      </w:r>
      <w:r w:rsidRPr="00807A5C">
        <w:rPr>
          <w:rFonts w:cs="Times New Roman"/>
          <w:i/>
          <w:lang w:val="fr-CA"/>
        </w:rPr>
        <w:t>Meiorin</w:t>
      </w:r>
      <w:r w:rsidRPr="00807A5C">
        <w:rPr>
          <w:rFonts w:cs="Times New Roman"/>
          <w:lang w:val="fr-CA"/>
        </w:rPr>
        <w:t xml:space="preserve">, </w:t>
      </w:r>
      <w:r>
        <w:rPr>
          <w:rFonts w:cs="Times New Roman"/>
          <w:lang w:val="fr-CA"/>
        </w:rPr>
        <w:t>par. </w:t>
      </w:r>
      <w:r w:rsidRPr="00807A5C">
        <w:rPr>
          <w:rFonts w:cs="Times New Roman"/>
          <w:lang w:val="fr-CA"/>
        </w:rPr>
        <w:t>11). Ces liens peuvent révéler que des politiques en apparence neutres sont « bien conçue[s] pour certains mais pas pour d’autres » (</w:t>
      </w:r>
      <w:r w:rsidRPr="00807A5C">
        <w:rPr>
          <w:rFonts w:cs="Times New Roman"/>
          <w:i/>
          <w:lang w:val="fr-CA"/>
        </w:rPr>
        <w:t>Meiorin</w:t>
      </w:r>
      <w:r w:rsidRPr="00807A5C">
        <w:rPr>
          <w:rFonts w:cs="Times New Roman"/>
          <w:lang w:val="fr-CA"/>
        </w:rPr>
        <w:t xml:space="preserve">, </w:t>
      </w:r>
      <w:r>
        <w:rPr>
          <w:rFonts w:cs="Times New Roman"/>
          <w:lang w:val="fr-CA"/>
        </w:rPr>
        <w:t>par. </w:t>
      </w:r>
      <w:r w:rsidRPr="00807A5C">
        <w:rPr>
          <w:rFonts w:cs="Times New Roman"/>
          <w:lang w:val="fr-CA"/>
        </w:rPr>
        <w:t>41). Dans l’évaluation de la preuve au sujet du groupe, les tribunaux doivent garder à l’esprit le fait que les questions qui touchent principalement certains groupes sont parfois sous</w:t>
      </w:r>
      <w:r>
        <w:rPr>
          <w:rFonts w:cs="Times New Roman"/>
          <w:lang w:val="fr-CA"/>
        </w:rPr>
        <w:noBreakHyphen/>
      </w:r>
      <w:r w:rsidRPr="00807A5C">
        <w:rPr>
          <w:rFonts w:cs="Times New Roman"/>
          <w:lang w:val="fr-CA"/>
        </w:rPr>
        <w:t>documentées. Les demandeurs en question peuvent être obligés de recourir davantage à leurs propres éléments de preuve ou à ceux d’autres membres de leur groupe, plutôt qu’à des rapports gouvernementaux, études universitaires ou témoignages d’experts.</w:t>
      </w:r>
    </w:p>
    <w:p w14:paraId="74F80514" w14:textId="77777777" w:rsidR="00804EA2" w:rsidRPr="00807A5C" w:rsidRDefault="00804EA2" w:rsidP="00804EA2">
      <w:pPr>
        <w:pStyle w:val="ParaNoNdepar-AltN"/>
        <w:rPr>
          <w:rFonts w:cs="Times New Roman"/>
          <w:lang w:val="fr-CA"/>
        </w:rPr>
      </w:pPr>
      <w:r w:rsidRPr="00807A5C">
        <w:rPr>
          <w:rFonts w:cs="Times New Roman"/>
          <w:lang w:val="fr-CA"/>
        </w:rPr>
        <w:t>Des éléments de preuve sur les conséquences pratiques de la loi ou politique contestée (ou d’une loi ou politique essentiellement semblable) sont également utiles aux tribunaux. Des éléments de preuve sur « les conséquences des pratiques et des systèmes » peuvent démontrer concrètement que les membres de groupes protégés subissent un effet disproportionné (</w:t>
      </w:r>
      <w:r w:rsidRPr="00807A5C">
        <w:rPr>
          <w:rFonts w:cs="Times New Roman"/>
          <w:i/>
          <w:lang w:val="fr-CA"/>
        </w:rPr>
        <w:t>Action Travail</w:t>
      </w:r>
      <w:r w:rsidRPr="00807A5C">
        <w:rPr>
          <w:rFonts w:cs="Times New Roman"/>
          <w:lang w:val="fr-CA"/>
        </w:rPr>
        <w:t xml:space="preserve">, </w:t>
      </w:r>
      <w:r>
        <w:rPr>
          <w:rFonts w:cs="Times New Roman"/>
          <w:lang w:val="fr-CA"/>
        </w:rPr>
        <w:t>p. </w:t>
      </w:r>
      <w:r w:rsidRPr="00807A5C">
        <w:rPr>
          <w:rFonts w:cs="Times New Roman"/>
          <w:lang w:val="fr-CA"/>
        </w:rPr>
        <w:t xml:space="preserve">1139; Vizkelety, </w:t>
      </w:r>
      <w:r>
        <w:rPr>
          <w:rFonts w:cs="Times New Roman"/>
          <w:lang w:val="fr-CA"/>
        </w:rPr>
        <w:t>p. </w:t>
      </w:r>
      <w:r w:rsidRPr="00807A5C">
        <w:rPr>
          <w:rFonts w:cs="Times New Roman"/>
          <w:lang w:val="fr-CA"/>
        </w:rPr>
        <w:t>170</w:t>
      </w:r>
      <w:r>
        <w:rPr>
          <w:rFonts w:cs="Times New Roman"/>
          <w:lang w:val="fr-CA"/>
        </w:rPr>
        <w:noBreakHyphen/>
      </w:r>
      <w:r w:rsidRPr="00807A5C">
        <w:rPr>
          <w:rFonts w:cs="Times New Roman"/>
          <w:lang w:val="fr-CA"/>
        </w:rPr>
        <w:t xml:space="preserve">174). Cette preuve peut inclure des statistiques, surtout si le bassin de gens touchés négativement par un critère ou une norme compte </w:t>
      </w:r>
      <w:r w:rsidRPr="00807A5C">
        <w:rPr>
          <w:rFonts w:cs="Times New Roman"/>
          <w:i/>
          <w:lang w:val="fr-CA"/>
        </w:rPr>
        <w:t>à la fois</w:t>
      </w:r>
      <w:r w:rsidRPr="00807A5C">
        <w:rPr>
          <w:rFonts w:cs="Times New Roman"/>
          <w:lang w:val="fr-CA"/>
        </w:rPr>
        <w:t xml:space="preserve"> des membres d’un groupe protégé </w:t>
      </w:r>
      <w:r w:rsidRPr="00807A5C">
        <w:rPr>
          <w:rFonts w:cs="Times New Roman"/>
          <w:i/>
          <w:lang w:val="fr-CA"/>
        </w:rPr>
        <w:t>et</w:t>
      </w:r>
      <w:r w:rsidRPr="00807A5C">
        <w:rPr>
          <w:rFonts w:cs="Times New Roman"/>
          <w:lang w:val="fr-CA"/>
        </w:rPr>
        <w:t xml:space="preserve"> des membres des groupes plus avantagés (Sheppard (2001), </w:t>
      </w:r>
      <w:r>
        <w:rPr>
          <w:rFonts w:cs="Times New Roman"/>
          <w:lang w:val="fr-CA"/>
        </w:rPr>
        <w:t>p. </w:t>
      </w:r>
      <w:r w:rsidRPr="00807A5C">
        <w:rPr>
          <w:rFonts w:cs="Times New Roman"/>
          <w:lang w:val="fr-CA"/>
        </w:rPr>
        <w:t>545</w:t>
      </w:r>
      <w:r>
        <w:rPr>
          <w:rFonts w:cs="Times New Roman"/>
          <w:lang w:val="fr-CA"/>
        </w:rPr>
        <w:noBreakHyphen/>
      </w:r>
      <w:r w:rsidRPr="00807A5C">
        <w:rPr>
          <w:rFonts w:cs="Times New Roman"/>
          <w:lang w:val="fr-CA"/>
        </w:rPr>
        <w:t xml:space="preserve">546; Braun, </w:t>
      </w:r>
      <w:r>
        <w:rPr>
          <w:rFonts w:cs="Times New Roman"/>
          <w:lang w:val="fr-CA"/>
        </w:rPr>
        <w:t>p. </w:t>
      </w:r>
      <w:r w:rsidRPr="00807A5C">
        <w:rPr>
          <w:rFonts w:cs="Times New Roman"/>
          <w:lang w:val="fr-CA"/>
        </w:rPr>
        <w:t>120</w:t>
      </w:r>
      <w:r>
        <w:rPr>
          <w:rFonts w:cs="Times New Roman"/>
          <w:lang w:val="fr-CA"/>
        </w:rPr>
        <w:noBreakHyphen/>
      </w:r>
      <w:r w:rsidRPr="00807A5C">
        <w:rPr>
          <w:rFonts w:cs="Times New Roman"/>
          <w:lang w:val="fr-CA"/>
        </w:rPr>
        <w:t xml:space="preserve">121). </w:t>
      </w:r>
    </w:p>
    <w:p w14:paraId="69E7C800" w14:textId="68C4C7F6" w:rsidR="00804EA2" w:rsidRPr="00807A5C" w:rsidRDefault="00804EA2" w:rsidP="00804EA2">
      <w:pPr>
        <w:pStyle w:val="ParaNoNdepar-AltN"/>
        <w:rPr>
          <w:rFonts w:cs="Times New Roman"/>
          <w:lang w:val="fr-CA"/>
        </w:rPr>
      </w:pPr>
      <w:r w:rsidRPr="00807A5C">
        <w:rPr>
          <w:rFonts w:cs="Times New Roman"/>
          <w:lang w:val="fr-CA"/>
        </w:rPr>
        <w:t xml:space="preserve">Il n’existe aucune mesure universelle permettant de déterminer le niveau de disparité statistique nécessaire pour démonter qu’il y a un effet disproportionné, et la Cour ne devrait pas, à mon avis, concevoir de règles rigides à cet égard. L’objectif </w:t>
      </w:r>
      <w:r w:rsidRPr="00807A5C">
        <w:rPr>
          <w:rFonts w:cs="Times New Roman"/>
          <w:lang w:val="fr-CA"/>
        </w:rPr>
        <w:lastRenderedPageBreak/>
        <w:t>de la preuve statistique, en fin de compte, est d’établir l’existence [</w:t>
      </w:r>
      <w:r w:rsidRPr="00807A5C">
        <w:rPr>
          <w:rFonts w:cs="Times New Roman"/>
          <w:smallCaps/>
          <w:lang w:val="fr-CA"/>
        </w:rPr>
        <w:t>traduction</w:t>
      </w:r>
      <w:r w:rsidRPr="00807A5C">
        <w:rPr>
          <w:rFonts w:cs="Times New Roman"/>
          <w:lang w:val="fr-CA"/>
        </w:rPr>
        <w:t>] « </w:t>
      </w:r>
      <w:r w:rsidR="004D4583" w:rsidRPr="00807A5C">
        <w:rPr>
          <w:rFonts w:cs="Times New Roman"/>
          <w:lang w:val="fr-CA"/>
        </w:rPr>
        <w:t>[d’]</w:t>
      </w:r>
      <w:r w:rsidRPr="00807A5C">
        <w:rPr>
          <w:rFonts w:cs="Times New Roman"/>
          <w:lang w:val="fr-CA"/>
        </w:rPr>
        <w:t xml:space="preserve">un comportement distinct d’exclusion ou de préjudice statistiquement important et qui n’est pas simplement le résultat de la chance » (Sheppard (2001), </w:t>
      </w:r>
      <w:r>
        <w:rPr>
          <w:rFonts w:cs="Times New Roman"/>
          <w:lang w:val="fr-CA"/>
        </w:rPr>
        <w:t>p. </w:t>
      </w:r>
      <w:r w:rsidRPr="00807A5C">
        <w:rPr>
          <w:rFonts w:cs="Times New Roman"/>
          <w:lang w:val="fr-CA"/>
        </w:rPr>
        <w:t xml:space="preserve">546; voir aussi Vizkelety, </w:t>
      </w:r>
      <w:r>
        <w:rPr>
          <w:rFonts w:cs="Times New Roman"/>
          <w:lang w:val="fr-CA"/>
        </w:rPr>
        <w:t>p. </w:t>
      </w:r>
      <w:r w:rsidRPr="00807A5C">
        <w:rPr>
          <w:rFonts w:cs="Times New Roman"/>
          <w:lang w:val="fr-CA"/>
        </w:rPr>
        <w:t xml:space="preserve">175; Fredman (2011), </w:t>
      </w:r>
      <w:r>
        <w:rPr>
          <w:rFonts w:cs="Times New Roman"/>
          <w:lang w:val="fr-CA"/>
        </w:rPr>
        <w:t>p. </w:t>
      </w:r>
      <w:r w:rsidRPr="00807A5C">
        <w:rPr>
          <w:rFonts w:cs="Times New Roman"/>
          <w:lang w:val="fr-CA"/>
        </w:rPr>
        <w:t>186</w:t>
      </w:r>
      <w:r>
        <w:rPr>
          <w:rFonts w:cs="Times New Roman"/>
          <w:lang w:val="fr-CA"/>
        </w:rPr>
        <w:noBreakHyphen/>
      </w:r>
      <w:r w:rsidRPr="00807A5C">
        <w:rPr>
          <w:rFonts w:cs="Times New Roman"/>
          <w:lang w:val="fr-CA"/>
        </w:rPr>
        <w:t>187). Le poids accordé aux statistiques dépendra, entre autres, de la qualité de celles</w:t>
      </w:r>
      <w:r>
        <w:rPr>
          <w:rFonts w:cs="Times New Roman"/>
          <w:lang w:val="fr-CA"/>
        </w:rPr>
        <w:noBreakHyphen/>
      </w:r>
      <w:r w:rsidRPr="00807A5C">
        <w:rPr>
          <w:rFonts w:cs="Times New Roman"/>
          <w:lang w:val="fr-CA"/>
        </w:rPr>
        <w:t xml:space="preserve">ci et de la méthode utilisée pour les obtenir (Vizkelety, </w:t>
      </w:r>
      <w:r>
        <w:rPr>
          <w:rFonts w:cs="Times New Roman"/>
          <w:lang w:val="fr-CA"/>
        </w:rPr>
        <w:t>p. </w:t>
      </w:r>
      <w:r w:rsidRPr="00807A5C">
        <w:rPr>
          <w:rFonts w:cs="Times New Roman"/>
          <w:lang w:val="fr-CA"/>
        </w:rPr>
        <w:t>178</w:t>
      </w:r>
      <w:r>
        <w:rPr>
          <w:rFonts w:cs="Times New Roman"/>
          <w:lang w:val="fr-CA"/>
        </w:rPr>
        <w:noBreakHyphen/>
      </w:r>
      <w:r w:rsidRPr="00807A5C">
        <w:rPr>
          <w:rFonts w:cs="Times New Roman"/>
          <w:lang w:val="fr-CA"/>
        </w:rPr>
        <w:t xml:space="preserve">184). </w:t>
      </w:r>
    </w:p>
    <w:p w14:paraId="7BF08C07" w14:textId="77777777" w:rsidR="00804EA2" w:rsidRPr="00807A5C" w:rsidRDefault="00804EA2" w:rsidP="00804EA2">
      <w:pPr>
        <w:pStyle w:val="ParaNoNdepar-AltN"/>
        <w:rPr>
          <w:rFonts w:cs="Times New Roman"/>
          <w:lang w:val="fr-CA"/>
        </w:rPr>
      </w:pPr>
      <w:r w:rsidRPr="00807A5C">
        <w:rPr>
          <w:rFonts w:cs="Times New Roman"/>
          <w:lang w:val="fr-CA"/>
        </w:rPr>
        <w:t xml:space="preserve">Idéalement, les allégations de discrimination par suite d’un effet préjudiciable doivent être étayées par des éléments de preuve sur la situation du groupe de demandeurs </w:t>
      </w:r>
      <w:r w:rsidRPr="00807A5C">
        <w:rPr>
          <w:rFonts w:cs="Times New Roman"/>
          <w:i/>
          <w:lang w:val="fr-CA"/>
        </w:rPr>
        <w:t>et</w:t>
      </w:r>
      <w:r w:rsidRPr="00807A5C">
        <w:rPr>
          <w:rFonts w:cs="Times New Roman"/>
          <w:lang w:val="fr-CA"/>
        </w:rPr>
        <w:t xml:space="preserve"> sur les effets de la loi contestée. Sans autre chose, des éléments de preuve sur la situation du groupe de demandeurs peuvent constituer une simple « accumulation d’intuitions » s’ils sont trop éloignés de la situation réelle dans le lieu de travail, la communauté ou l’institution faisant l’objet de l’allégation de discrimination (</w:t>
      </w:r>
      <w:r w:rsidRPr="00807A5C">
        <w:rPr>
          <w:rFonts w:cs="Times New Roman"/>
          <w:i/>
          <w:lang w:val="fr-CA"/>
        </w:rPr>
        <w:t>Taypotat</w:t>
      </w:r>
      <w:r w:rsidRPr="00807A5C">
        <w:rPr>
          <w:rFonts w:cs="Times New Roman"/>
          <w:lang w:val="fr-CA"/>
        </w:rPr>
        <w:t xml:space="preserve">, </w:t>
      </w:r>
      <w:r>
        <w:rPr>
          <w:rFonts w:cs="Times New Roman"/>
          <w:lang w:val="fr-CA"/>
        </w:rPr>
        <w:t>par. </w:t>
      </w:r>
      <w:r w:rsidRPr="00807A5C">
        <w:rPr>
          <w:rFonts w:cs="Times New Roman"/>
          <w:lang w:val="fr-CA"/>
        </w:rPr>
        <w:t xml:space="preserve">34). La preuve de disparité statistique, quant à elle, peut comporter des lacunes importantes laissant la porte ouverte à des résultats qui ne sont pas fiables. Les faiblesses de chaque type d’éléments de preuve peuvent être surmontées si les deux types sont présents (Braun, </w:t>
      </w:r>
      <w:r>
        <w:rPr>
          <w:rFonts w:cs="Times New Roman"/>
          <w:lang w:val="fr-CA"/>
        </w:rPr>
        <w:t>p. </w:t>
      </w:r>
      <w:r w:rsidRPr="00807A5C">
        <w:rPr>
          <w:rFonts w:cs="Times New Roman"/>
          <w:lang w:val="fr-CA"/>
        </w:rPr>
        <w:t xml:space="preserve">135; Vizkelety, </w:t>
      </w:r>
      <w:r>
        <w:rPr>
          <w:rFonts w:cs="Times New Roman"/>
          <w:lang w:val="fr-CA"/>
        </w:rPr>
        <w:t>p. </w:t>
      </w:r>
      <w:r w:rsidRPr="00807A5C">
        <w:rPr>
          <w:rFonts w:cs="Times New Roman"/>
          <w:lang w:val="fr-CA"/>
        </w:rPr>
        <w:t xml:space="preserve">192; </w:t>
      </w:r>
      <w:r w:rsidRPr="00807A5C">
        <w:rPr>
          <w:rFonts w:cs="Times New Roman"/>
          <w:i/>
          <w:lang w:val="fr-CA"/>
        </w:rPr>
        <w:t xml:space="preserve">Vancouver Area Network of Drug Users c. Downtown Vancouver Business Improvement Association </w:t>
      </w:r>
      <w:r w:rsidRPr="00807A5C">
        <w:rPr>
          <w:rFonts w:cs="Times New Roman"/>
          <w:lang w:val="fr-CA"/>
        </w:rPr>
        <w:t>(2018), 10 B.C.L.R. (6</w:t>
      </w:r>
      <w:r>
        <w:rPr>
          <w:rFonts w:cs="Times New Roman"/>
          <w:lang w:val="fr-CA"/>
        </w:rPr>
        <w:t>th</w:t>
      </w:r>
      <w:r w:rsidRPr="00807A5C">
        <w:rPr>
          <w:rFonts w:cs="Times New Roman"/>
          <w:lang w:val="fr-CA"/>
        </w:rPr>
        <w:t xml:space="preserve">) 175 (C.A.), </w:t>
      </w:r>
      <w:r>
        <w:rPr>
          <w:rFonts w:cs="Times New Roman"/>
          <w:lang w:val="fr-CA"/>
        </w:rPr>
        <w:t>par. </w:t>
      </w:r>
      <w:r w:rsidRPr="00807A5C">
        <w:rPr>
          <w:rFonts w:cs="Times New Roman"/>
          <w:lang w:val="fr-CA"/>
        </w:rPr>
        <w:t>98). La professeure Colleen Sheppard (2001) reconnaît cette possibilité</w:t>
      </w:r>
      <w:r>
        <w:rPr>
          <w:rFonts w:cs="Times New Roman"/>
          <w:lang w:val="fr-CA"/>
        </w:rPr>
        <w:t> :</w:t>
      </w:r>
    </w:p>
    <w:p w14:paraId="5D577AF6" w14:textId="7F93073C" w:rsidR="00804EA2" w:rsidRPr="00807A5C" w:rsidRDefault="00804EA2" w:rsidP="00804EA2">
      <w:pPr>
        <w:pStyle w:val="Citation-AltC"/>
        <w:ind w:hanging="1166"/>
        <w:rPr>
          <w:lang w:val="fr-CA"/>
        </w:rPr>
      </w:pPr>
      <w:r w:rsidRPr="00807A5C">
        <w:rPr>
          <w:lang w:val="fr-CA"/>
        </w:rPr>
        <w:tab/>
      </w:r>
      <w:r w:rsidRPr="00807A5C">
        <w:rPr>
          <w:lang w:val="fr-CA"/>
        </w:rPr>
        <w:tab/>
      </w:r>
      <w:r w:rsidR="009A44EB" w:rsidRPr="00807A5C">
        <w:rPr>
          <w:lang w:val="fr-CA"/>
        </w:rPr>
        <w:t>[</w:t>
      </w:r>
      <w:r w:rsidR="009A44EB" w:rsidRPr="00807A5C">
        <w:rPr>
          <w:smallCaps/>
          <w:lang w:val="fr-CA"/>
        </w:rPr>
        <w:t>traduction</w:t>
      </w:r>
      <w:r w:rsidR="009A44EB" w:rsidRPr="00807A5C">
        <w:rPr>
          <w:lang w:val="fr-CA"/>
        </w:rPr>
        <w:t>]</w:t>
      </w:r>
      <w:r w:rsidR="009A44EB">
        <w:rPr>
          <w:lang w:val="fr-CA"/>
        </w:rPr>
        <w:t xml:space="preserve"> </w:t>
      </w:r>
      <w:r w:rsidRPr="00807A5C">
        <w:rPr>
          <w:lang w:val="fr-CA"/>
        </w:rPr>
        <w:t xml:space="preserve">Bien que dans certains cas, la correspondance évidente entre certaines catégories et le genre ou la composition raciale de cette catégorie rende les allégations de discrimination fondée sur le sexe ou la race relativement faciles à étayer, dans d’autres cas, la prépondérance </w:t>
      </w:r>
      <w:r w:rsidRPr="00807A5C">
        <w:rPr>
          <w:lang w:val="fr-CA"/>
        </w:rPr>
        <w:lastRenderedPageBreak/>
        <w:t>statistique peut être moins prononcée. Dans de tels cas, il peut aussi être important d’examiner les composantes qualitatives du préjudice qui constitue la discrimination. [</w:t>
      </w:r>
      <w:r>
        <w:rPr>
          <w:lang w:val="fr-CA"/>
        </w:rPr>
        <w:t>p. </w:t>
      </w:r>
      <w:r w:rsidRPr="00807A5C">
        <w:rPr>
          <w:lang w:val="fr-CA"/>
        </w:rPr>
        <w:t>548]</w:t>
      </w:r>
    </w:p>
    <w:p w14:paraId="0015181F" w14:textId="765C73D9" w:rsidR="00804EA2" w:rsidRPr="00807A5C" w:rsidRDefault="00804EA2" w:rsidP="00804EA2">
      <w:pPr>
        <w:pStyle w:val="ParaNoNdepar-AltN"/>
        <w:rPr>
          <w:rFonts w:cs="Times New Roman"/>
          <w:lang w:val="fr-CA"/>
        </w:rPr>
      </w:pPr>
      <w:r w:rsidRPr="00807A5C">
        <w:rPr>
          <w:rFonts w:cs="Times New Roman"/>
          <w:lang w:val="fr-CA"/>
        </w:rPr>
        <w:t>Cela ne veut pas dire, évidemment, que les deux types d’éléments de preuve sont toujours requis. Dans certains cas, les éléments de preuve concernant un groupe démontreront un lien si puissant avec certains traits — comme celui entre la grossesse et le sexe — que l’effet disproportionné sur les membres de ce groupe « sera visible et immédiat » (</w:t>
      </w:r>
      <w:r w:rsidRPr="00807A5C">
        <w:rPr>
          <w:rFonts w:cs="Times New Roman"/>
          <w:i/>
          <w:lang w:val="fr-CA"/>
        </w:rPr>
        <w:t>Taypotat</w:t>
      </w:r>
      <w:r w:rsidRPr="00807A5C">
        <w:rPr>
          <w:rFonts w:cs="Times New Roman"/>
          <w:lang w:val="fr-CA"/>
        </w:rPr>
        <w:t xml:space="preserve">, </w:t>
      </w:r>
      <w:r>
        <w:rPr>
          <w:rFonts w:cs="Times New Roman"/>
          <w:lang w:val="fr-CA"/>
        </w:rPr>
        <w:t>par. </w:t>
      </w:r>
      <w:r w:rsidRPr="00807A5C">
        <w:rPr>
          <w:rFonts w:cs="Times New Roman"/>
          <w:lang w:val="fr-CA"/>
        </w:rPr>
        <w:t xml:space="preserve">33; voir aussi Fredman (2011), </w:t>
      </w:r>
      <w:r>
        <w:rPr>
          <w:rFonts w:cs="Times New Roman"/>
          <w:lang w:val="fr-CA"/>
        </w:rPr>
        <w:t>p. </w:t>
      </w:r>
      <w:r w:rsidRPr="00807A5C">
        <w:rPr>
          <w:rFonts w:cs="Times New Roman"/>
          <w:lang w:val="fr-CA"/>
        </w:rPr>
        <w:t>187</w:t>
      </w:r>
      <w:r>
        <w:rPr>
          <w:rFonts w:cs="Times New Roman"/>
          <w:lang w:val="fr-CA"/>
        </w:rPr>
        <w:noBreakHyphen/>
      </w:r>
      <w:r w:rsidRPr="00807A5C">
        <w:rPr>
          <w:rFonts w:cs="Times New Roman"/>
          <w:lang w:val="fr-CA"/>
        </w:rPr>
        <w:t xml:space="preserve">188; Sheppard (2001), </w:t>
      </w:r>
      <w:r>
        <w:rPr>
          <w:rFonts w:cs="Times New Roman"/>
          <w:lang w:val="fr-CA"/>
        </w:rPr>
        <w:t>p. </w:t>
      </w:r>
      <w:r w:rsidRPr="00807A5C">
        <w:rPr>
          <w:rFonts w:cs="Times New Roman"/>
          <w:lang w:val="fr-CA"/>
        </w:rPr>
        <w:t>544</w:t>
      </w:r>
      <w:r>
        <w:rPr>
          <w:rFonts w:cs="Times New Roman"/>
          <w:lang w:val="fr-CA"/>
        </w:rPr>
        <w:noBreakHyphen/>
      </w:r>
      <w:r w:rsidRPr="00807A5C">
        <w:rPr>
          <w:rFonts w:cs="Times New Roman"/>
          <w:lang w:val="fr-CA"/>
        </w:rPr>
        <w:t xml:space="preserve">545; </w:t>
      </w:r>
      <w:r w:rsidRPr="00807A5C">
        <w:rPr>
          <w:rFonts w:cs="Times New Roman"/>
          <w:i/>
          <w:lang w:val="fr-CA"/>
        </w:rPr>
        <w:t>Gaz métropolitain inc. c. Commission des droits de la personne et des droits de la jeunesse</w:t>
      </w:r>
      <w:r w:rsidRPr="00807A5C">
        <w:rPr>
          <w:rFonts w:cs="Times New Roman"/>
          <w:lang w:val="fr-CA"/>
        </w:rPr>
        <w:t>,</w:t>
      </w:r>
      <w:r w:rsidRPr="00807A5C">
        <w:rPr>
          <w:rFonts w:cs="Times New Roman"/>
          <w:i/>
          <w:lang w:val="fr-CA"/>
        </w:rPr>
        <w:t xml:space="preserve"> </w:t>
      </w:r>
      <w:r w:rsidR="00052712" w:rsidRPr="00807A5C">
        <w:rPr>
          <w:lang w:val="fr-CA"/>
        </w:rPr>
        <w:t>[</w:t>
      </w:r>
      <w:r w:rsidRPr="00807A5C">
        <w:rPr>
          <w:rFonts w:cs="Times New Roman"/>
          <w:lang w:val="fr-CA"/>
        </w:rPr>
        <w:t>2011</w:t>
      </w:r>
      <w:r w:rsidR="00052712" w:rsidRPr="00807A5C">
        <w:rPr>
          <w:lang w:val="fr-CA"/>
        </w:rPr>
        <w:t>]</w:t>
      </w:r>
      <w:r w:rsidRPr="00807A5C">
        <w:rPr>
          <w:rFonts w:cs="Times New Roman"/>
          <w:lang w:val="fr-CA"/>
        </w:rPr>
        <w:t xml:space="preserve"> </w:t>
      </w:r>
      <w:r w:rsidR="00052712">
        <w:rPr>
          <w:rFonts w:cs="Times New Roman"/>
          <w:lang w:val="fr-CA"/>
        </w:rPr>
        <w:t>R.J.Q. 1253 (C.A.)</w:t>
      </w:r>
      <w:r w:rsidRPr="00807A5C">
        <w:rPr>
          <w:rFonts w:cs="Times New Roman"/>
          <w:lang w:val="fr-CA"/>
        </w:rPr>
        <w:t xml:space="preserve">, </w:t>
      </w:r>
      <w:r>
        <w:rPr>
          <w:rFonts w:cs="Times New Roman"/>
          <w:lang w:val="fr-CA"/>
        </w:rPr>
        <w:t>par. </w:t>
      </w:r>
      <w:r w:rsidR="00052712">
        <w:rPr>
          <w:rFonts w:cs="Times New Roman"/>
          <w:lang w:val="fr-CA"/>
        </w:rPr>
        <w:t>27 et 47</w:t>
      </w:r>
      <w:r w:rsidRPr="00807A5C">
        <w:rPr>
          <w:rFonts w:cs="Times New Roman"/>
          <w:lang w:val="fr-CA"/>
        </w:rPr>
        <w:t xml:space="preserve">; </w:t>
      </w:r>
      <w:r w:rsidRPr="00807A5C">
        <w:rPr>
          <w:rFonts w:cs="Times New Roman"/>
          <w:bCs/>
          <w:i/>
          <w:iCs/>
          <w:lang w:val="fr-CA"/>
        </w:rPr>
        <w:t>Oršuš</w:t>
      </w:r>
      <w:r w:rsidRPr="00807A5C">
        <w:rPr>
          <w:rFonts w:cs="Times New Roman"/>
          <w:i/>
          <w:lang w:val="fr-CA"/>
        </w:rPr>
        <w:t xml:space="preserve"> c. Croatie</w:t>
      </w:r>
      <w:r w:rsidR="00170E9C">
        <w:rPr>
          <w:rFonts w:cs="Times New Roman"/>
          <w:lang w:val="fr-CA"/>
        </w:rPr>
        <w:t>, n</w:t>
      </w:r>
      <w:r w:rsidRPr="00807A5C">
        <w:rPr>
          <w:rFonts w:cs="Times New Roman"/>
          <w:vertAlign w:val="superscript"/>
          <w:lang w:val="fr-CA"/>
        </w:rPr>
        <w:t>o</w:t>
      </w:r>
      <w:r w:rsidRPr="00807A5C">
        <w:rPr>
          <w:rFonts w:cs="Times New Roman"/>
          <w:lang w:val="fr-CA"/>
        </w:rPr>
        <w:t xml:space="preserve"> 15766/03, CEDH 2010</w:t>
      </w:r>
      <w:r>
        <w:rPr>
          <w:rFonts w:cs="Times New Roman"/>
          <w:lang w:val="fr-CA"/>
        </w:rPr>
        <w:noBreakHyphen/>
      </w:r>
      <w:r w:rsidRPr="00807A5C">
        <w:rPr>
          <w:rFonts w:cs="Times New Roman"/>
          <w:lang w:val="fr-CA"/>
        </w:rPr>
        <w:t xml:space="preserve">II, </w:t>
      </w:r>
      <w:r>
        <w:rPr>
          <w:rFonts w:cs="Times New Roman"/>
          <w:lang w:val="fr-CA"/>
        </w:rPr>
        <w:t>par. </w:t>
      </w:r>
      <w:r w:rsidRPr="00807A5C">
        <w:rPr>
          <w:rFonts w:cs="Times New Roman"/>
          <w:lang w:val="fr-CA"/>
        </w:rPr>
        <w:t xml:space="preserve">153). </w:t>
      </w:r>
    </w:p>
    <w:p w14:paraId="444B0E31" w14:textId="77777777" w:rsidR="00804EA2" w:rsidRPr="00807A5C" w:rsidRDefault="00804EA2" w:rsidP="00804EA2">
      <w:pPr>
        <w:pStyle w:val="ParaNoNdepar-AltN"/>
        <w:rPr>
          <w:rFonts w:cs="Times New Roman"/>
          <w:lang w:val="fr-CA"/>
        </w:rPr>
      </w:pPr>
      <w:r w:rsidRPr="00807A5C">
        <w:rPr>
          <w:rFonts w:cs="Times New Roman"/>
          <w:lang w:val="fr-CA"/>
        </w:rPr>
        <w:t>De même, des disparités statistiques claires et constantes peuvent démontrer l’existence d’un effet disproportionné sur les membres de groupes protégés, même si la raison précise de l’effet est inconnue. La professeur</w:t>
      </w:r>
      <w:r>
        <w:rPr>
          <w:rFonts w:cs="Times New Roman"/>
          <w:lang w:val="fr-CA"/>
        </w:rPr>
        <w:t>e</w:t>
      </w:r>
      <w:r w:rsidRPr="00807A5C">
        <w:rPr>
          <w:rFonts w:cs="Times New Roman"/>
          <w:lang w:val="fr-CA"/>
        </w:rPr>
        <w:t xml:space="preserve"> Sandra Fredman s’oppose vigoureusement à l’idée d’obliger les demandeurs à préciser [</w:t>
      </w:r>
      <w:r w:rsidRPr="00807A5C">
        <w:rPr>
          <w:rFonts w:cs="Times New Roman"/>
          <w:smallCaps/>
          <w:lang w:val="fr-CA"/>
        </w:rPr>
        <w:t>traduction</w:t>
      </w:r>
      <w:r w:rsidRPr="00807A5C">
        <w:rPr>
          <w:rFonts w:cs="Times New Roman"/>
          <w:lang w:val="fr-CA"/>
        </w:rPr>
        <w:t>] « la raison pour laquelle » ils sont désavantagés par une règle ou une politique</w:t>
      </w:r>
      <w:r>
        <w:rPr>
          <w:rFonts w:cs="Times New Roman"/>
          <w:lang w:val="fr-CA"/>
        </w:rPr>
        <w:t> :</w:t>
      </w:r>
    </w:p>
    <w:p w14:paraId="68C9379F" w14:textId="77777777" w:rsidR="00804EA2" w:rsidRPr="00807A5C" w:rsidRDefault="00804EA2" w:rsidP="000B68E7">
      <w:pPr>
        <w:pStyle w:val="Citation-AltC"/>
        <w:spacing w:after="480"/>
        <w:ind w:hanging="1166"/>
        <w:contextualSpacing w:val="0"/>
        <w:rPr>
          <w:lang w:val="fr-CA"/>
        </w:rPr>
      </w:pPr>
      <w:r w:rsidRPr="00807A5C">
        <w:rPr>
          <w:lang w:val="fr-CA"/>
        </w:rPr>
        <w:tab/>
        <w:t>Le fait d’exiger des demandeurs qu’ils démontrent la « raison pour laquelle » la PCP [la politique, le critère ou la pratique] désavantage le groupe dans son ensemble en revient à mal interpréter de manière fondamentale la signification de la discrimination indirecte. C’est l’effet distinct d’une politique, d’un critère ou d’une pratique en soi sur le groupe qui constitue de la discrimination à première vue.</w:t>
      </w:r>
    </w:p>
    <w:p w14:paraId="0A67B8DD" w14:textId="5BA293C4" w:rsidR="00804EA2" w:rsidRPr="000B68E7" w:rsidRDefault="00804EA2" w:rsidP="000B68E7">
      <w:pPr>
        <w:pStyle w:val="Citation-AltC"/>
        <w:ind w:left="0"/>
        <w:rPr>
          <w:lang w:val="en-US"/>
        </w:rPr>
      </w:pPr>
      <w:r w:rsidRPr="00807A5C">
        <w:rPr>
          <w:lang w:val="en-US"/>
        </w:rPr>
        <w:t>(« Direct and Indirect Discrimination</w:t>
      </w:r>
      <w:r w:rsidR="000B68E7">
        <w:rPr>
          <w:lang w:val="en-US"/>
        </w:rPr>
        <w:t> </w:t>
      </w:r>
      <w:r w:rsidRPr="00807A5C">
        <w:rPr>
          <w:lang w:val="en-US"/>
        </w:rPr>
        <w:t>: Is There Still a Divide? »</w:t>
      </w:r>
      <w:r w:rsidR="000B68E7">
        <w:rPr>
          <w:lang w:val="en-US"/>
        </w:rPr>
        <w:t>,</w:t>
      </w:r>
      <w:r w:rsidRPr="00807A5C">
        <w:rPr>
          <w:lang w:val="en-US"/>
        </w:rPr>
        <w:t xml:space="preserve"> dans Hugh Collins et Tarunabh Khaitan, dir., </w:t>
      </w:r>
      <w:r w:rsidRPr="00807A5C">
        <w:rPr>
          <w:i/>
          <w:lang w:val="en-US"/>
        </w:rPr>
        <w:t xml:space="preserve">Foundations of Indirect Discrimination Law </w:t>
      </w:r>
      <w:r w:rsidRPr="00807A5C">
        <w:rPr>
          <w:lang w:val="en-US"/>
        </w:rPr>
        <w:t xml:space="preserve">(2018), 31, </w:t>
      </w:r>
      <w:r>
        <w:rPr>
          <w:lang w:val="en-US"/>
        </w:rPr>
        <w:t>p. </w:t>
      </w:r>
      <w:r w:rsidRPr="00807A5C">
        <w:rPr>
          <w:lang w:val="en-US"/>
        </w:rPr>
        <w:t xml:space="preserve">46; </w:t>
      </w:r>
      <w:r w:rsidRPr="00807A5C">
        <w:rPr>
          <w:lang w:val="en-US"/>
        </w:rPr>
        <w:lastRenderedPageBreak/>
        <w:t>voir aussi Sandra Fredman, « The Reason Why</w:t>
      </w:r>
      <w:r w:rsidR="000B68E7">
        <w:rPr>
          <w:lang w:val="en-US"/>
        </w:rPr>
        <w:t> </w:t>
      </w:r>
      <w:r w:rsidRPr="00807A5C">
        <w:rPr>
          <w:lang w:val="en-US"/>
        </w:rPr>
        <w:t xml:space="preserve">: Unravelling Indirect Discrimination » (2016), 45 </w:t>
      </w:r>
      <w:r w:rsidRPr="00807A5C">
        <w:rPr>
          <w:i/>
          <w:lang w:val="en-US"/>
        </w:rPr>
        <w:t>Indus. L.J.</w:t>
      </w:r>
      <w:r w:rsidRPr="00807A5C">
        <w:rPr>
          <w:lang w:val="en-US"/>
        </w:rPr>
        <w:t xml:space="preserve"> </w:t>
      </w:r>
      <w:r w:rsidRPr="000B68E7">
        <w:rPr>
          <w:lang w:val="en-US"/>
        </w:rPr>
        <w:t>231.)</w:t>
      </w:r>
    </w:p>
    <w:p w14:paraId="482BB18E" w14:textId="77777777" w:rsidR="00804EA2" w:rsidRPr="00807A5C" w:rsidRDefault="00804EA2" w:rsidP="00804EA2">
      <w:pPr>
        <w:pStyle w:val="ParaNoNdepar-AltN"/>
        <w:rPr>
          <w:rFonts w:cs="Times New Roman"/>
          <w:lang w:val="fr-CA"/>
        </w:rPr>
      </w:pPr>
      <w:r w:rsidRPr="00807A5C">
        <w:rPr>
          <w:rFonts w:cs="Times New Roman"/>
          <w:lang w:val="fr-CA"/>
        </w:rPr>
        <w:t>Je suis d’accord. S’il existe des disparités claires et constantes dans la façon dont une loi affecte un groupe de demandeurs, je ne vois aucune raison d’exiger de ceux</w:t>
      </w:r>
      <w:r>
        <w:rPr>
          <w:rFonts w:cs="Times New Roman"/>
          <w:lang w:val="fr-CA"/>
        </w:rPr>
        <w:noBreakHyphen/>
      </w:r>
      <w:r w:rsidRPr="00807A5C">
        <w:rPr>
          <w:rFonts w:cs="Times New Roman"/>
          <w:lang w:val="fr-CA"/>
        </w:rPr>
        <w:t xml:space="preserve">ci qu’ils assument le fardeau additionnel d’expliquer </w:t>
      </w:r>
      <w:r w:rsidRPr="00807A5C">
        <w:rPr>
          <w:rFonts w:cs="Times New Roman"/>
          <w:i/>
          <w:lang w:val="fr-CA"/>
        </w:rPr>
        <w:t>pourquoi</w:t>
      </w:r>
      <w:r w:rsidRPr="00807A5C">
        <w:rPr>
          <w:rFonts w:cs="Times New Roman"/>
          <w:lang w:val="fr-CA"/>
        </w:rPr>
        <w:t xml:space="preserve"> la loi a un tel effet. En pareils cas, la preuve statistique est en soi un signe convaincant que la loi n’a pas été structurée de manière à tenir compte de la situation du groupe protégé (voir Fredman (2011), </w:t>
      </w:r>
      <w:r>
        <w:rPr>
          <w:rFonts w:cs="Times New Roman"/>
          <w:lang w:val="fr-CA"/>
        </w:rPr>
        <w:t>p. </w:t>
      </w:r>
      <w:r w:rsidRPr="00807A5C">
        <w:rPr>
          <w:rFonts w:cs="Times New Roman"/>
          <w:lang w:val="fr-CA"/>
        </w:rPr>
        <w:t xml:space="preserve">181; Vizkelety, </w:t>
      </w:r>
      <w:r>
        <w:rPr>
          <w:rFonts w:cs="Times New Roman"/>
          <w:lang w:val="fr-CA"/>
        </w:rPr>
        <w:t>p. </w:t>
      </w:r>
      <w:r w:rsidRPr="00807A5C">
        <w:rPr>
          <w:rFonts w:cs="Times New Roman"/>
          <w:lang w:val="fr-CA"/>
        </w:rPr>
        <w:t>174</w:t>
      </w:r>
      <w:r>
        <w:rPr>
          <w:rFonts w:cs="Times New Roman"/>
          <w:lang w:val="fr-CA"/>
        </w:rPr>
        <w:noBreakHyphen/>
      </w:r>
      <w:r w:rsidRPr="00807A5C">
        <w:rPr>
          <w:rFonts w:cs="Times New Roman"/>
          <w:lang w:val="fr-CA"/>
        </w:rPr>
        <w:t xml:space="preserve">176; </w:t>
      </w:r>
      <w:r w:rsidRPr="00807A5C">
        <w:rPr>
          <w:rFonts w:cs="Times New Roman"/>
          <w:i/>
          <w:lang w:val="fr-CA"/>
        </w:rPr>
        <w:t>Action Travail</w:t>
      </w:r>
      <w:r w:rsidRPr="00807A5C">
        <w:rPr>
          <w:rFonts w:cs="Times New Roman"/>
          <w:lang w:val="fr-CA"/>
        </w:rPr>
        <w:t xml:space="preserve">, </w:t>
      </w:r>
      <w:r>
        <w:rPr>
          <w:rFonts w:cs="Times New Roman"/>
          <w:lang w:val="fr-CA"/>
        </w:rPr>
        <w:t>p. </w:t>
      </w:r>
      <w:r w:rsidRPr="00807A5C">
        <w:rPr>
          <w:rFonts w:cs="Times New Roman"/>
          <w:lang w:val="fr-CA"/>
        </w:rPr>
        <w:t xml:space="preserve">1139). </w:t>
      </w:r>
    </w:p>
    <w:p w14:paraId="4F476210" w14:textId="475AEFAA" w:rsidR="00804EA2" w:rsidRPr="00807A5C" w:rsidRDefault="00804EA2" w:rsidP="00804EA2">
      <w:pPr>
        <w:pStyle w:val="ParaNoNdepar-AltN"/>
        <w:rPr>
          <w:rFonts w:cs="Times New Roman"/>
          <w:lang w:val="fr-CA"/>
        </w:rPr>
      </w:pPr>
      <w:r w:rsidRPr="00807A5C">
        <w:rPr>
          <w:rFonts w:cs="Times New Roman"/>
          <w:lang w:val="fr-CA"/>
        </w:rPr>
        <w:t>La Cour suprême du Royaume</w:t>
      </w:r>
      <w:r>
        <w:rPr>
          <w:rFonts w:cs="Times New Roman"/>
          <w:lang w:val="fr-CA"/>
        </w:rPr>
        <w:noBreakHyphen/>
      </w:r>
      <w:r w:rsidRPr="00807A5C">
        <w:rPr>
          <w:rFonts w:cs="Times New Roman"/>
          <w:lang w:val="fr-CA"/>
        </w:rPr>
        <w:t>Uni est parvenue à une conclusion semblable dans l’arrêt </w:t>
      </w:r>
      <w:r w:rsidRPr="00807A5C">
        <w:rPr>
          <w:rFonts w:cs="Times New Roman"/>
          <w:i/>
          <w:lang w:val="fr-CA"/>
        </w:rPr>
        <w:t>Essop</w:t>
      </w:r>
      <w:r w:rsidRPr="00807A5C">
        <w:rPr>
          <w:rFonts w:cs="Times New Roman"/>
          <w:lang w:val="fr-CA"/>
        </w:rPr>
        <w:t xml:space="preserve"> </w:t>
      </w:r>
      <w:r w:rsidRPr="00807A5C">
        <w:rPr>
          <w:rFonts w:cs="Times New Roman"/>
          <w:i/>
          <w:lang w:val="fr-CA"/>
        </w:rPr>
        <w:t>c. Home Office (U.K. Border Agency)</w:t>
      </w:r>
      <w:r w:rsidRPr="00807A5C">
        <w:rPr>
          <w:rFonts w:cs="Times New Roman"/>
          <w:lang w:val="fr-CA"/>
        </w:rPr>
        <w:t>, [2017] 3 All E.R. 551</w:t>
      </w:r>
      <w:r w:rsidR="006E7387">
        <w:rPr>
          <w:rFonts w:cs="Times New Roman"/>
          <w:lang w:val="fr-CA"/>
        </w:rPr>
        <w:t xml:space="preserve"> (S.C.)</w:t>
      </w:r>
      <w:r w:rsidRPr="00807A5C">
        <w:rPr>
          <w:rFonts w:cs="Times New Roman"/>
          <w:lang w:val="fr-CA"/>
        </w:rPr>
        <w:t>. La question en litige dans cette affaire concernait un processus d’évaluation des qualifications essentielles que les agents d’immigration devaient réussir pour être promus. Il a été démontré que les minorités raciales et les candidats plus âgés étaient moins susceptibles de réussir l’évaluation, mais on ne disposait d’aucun élément de preuve expliquant cette disparité (</w:t>
      </w:r>
      <w:r>
        <w:rPr>
          <w:rFonts w:cs="Times New Roman"/>
          <w:lang w:val="fr-CA"/>
        </w:rPr>
        <w:t>par. </w:t>
      </w:r>
      <w:r w:rsidRPr="00807A5C">
        <w:rPr>
          <w:rFonts w:cs="Times New Roman"/>
          <w:lang w:val="fr-CA"/>
        </w:rPr>
        <w:t>9).</w:t>
      </w:r>
    </w:p>
    <w:p w14:paraId="0089D29D" w14:textId="77777777" w:rsidR="00804EA2" w:rsidRPr="00807A5C" w:rsidRDefault="00804EA2" w:rsidP="00804EA2">
      <w:pPr>
        <w:pStyle w:val="ParaNoNdepar-AltN"/>
        <w:rPr>
          <w:rFonts w:cs="Times New Roman"/>
          <w:lang w:val="fr-CA"/>
        </w:rPr>
      </w:pPr>
      <w:r w:rsidRPr="00807A5C">
        <w:rPr>
          <w:rFonts w:cs="Times New Roman"/>
          <w:lang w:val="fr-CA"/>
        </w:rPr>
        <w:t>La Cour suprême a conclu qu’il y avait un effet distinct. Lady Hale, présidente adjointe de la cour, a expliqué qu’un demandeur n’a pas besoin [</w:t>
      </w:r>
      <w:r w:rsidRPr="00807A5C">
        <w:rPr>
          <w:rFonts w:cs="Times New Roman"/>
          <w:smallCaps/>
          <w:lang w:val="fr-CA"/>
        </w:rPr>
        <w:t>traduction</w:t>
      </w:r>
      <w:r w:rsidRPr="00807A5C">
        <w:rPr>
          <w:rFonts w:cs="Times New Roman"/>
          <w:lang w:val="fr-CA"/>
        </w:rPr>
        <w:t>] « d’établir la raison pour laquelle le groupe subit un désavantage particulier » (</w:t>
      </w:r>
      <w:r>
        <w:rPr>
          <w:rFonts w:cs="Times New Roman"/>
          <w:lang w:val="fr-CA"/>
        </w:rPr>
        <w:t>par. </w:t>
      </w:r>
      <w:r w:rsidRPr="00807A5C">
        <w:rPr>
          <w:rFonts w:cs="Times New Roman"/>
          <w:lang w:val="fr-CA"/>
        </w:rPr>
        <w:t>33). Elle a souligné qu’une telle exigence faisait en sorte qu’il était plus difficile de lutter contre « les obstacles cachés qui ne sont pas faciles à prévoir ou à déceler » (</w:t>
      </w:r>
      <w:r>
        <w:rPr>
          <w:rFonts w:cs="Times New Roman"/>
          <w:lang w:val="fr-CA"/>
        </w:rPr>
        <w:t>par. </w:t>
      </w:r>
      <w:r w:rsidRPr="00807A5C">
        <w:rPr>
          <w:rFonts w:cs="Times New Roman"/>
          <w:lang w:val="fr-CA"/>
        </w:rPr>
        <w:t xml:space="preserve">25). Elle a également reconnu qu’il arrive « fréquemment que </w:t>
      </w:r>
      <w:r w:rsidRPr="00807A5C">
        <w:rPr>
          <w:rFonts w:cs="Times New Roman"/>
          <w:lang w:val="fr-CA"/>
        </w:rPr>
        <w:lastRenderedPageBreak/>
        <w:t xml:space="preserve">l’existence d’un effet distinct ou d’un désavantage particulier soit établie au moyen d’une preuve statistique » — ce qui serait impossible si les demandeurs </w:t>
      </w:r>
      <w:r w:rsidRPr="00807A5C">
        <w:rPr>
          <w:rFonts w:cs="Times New Roman"/>
          <w:i/>
          <w:lang w:val="fr-CA"/>
        </w:rPr>
        <w:t>étaient tenus</w:t>
      </w:r>
      <w:r w:rsidRPr="00807A5C">
        <w:rPr>
          <w:rFonts w:cs="Times New Roman"/>
          <w:lang w:val="fr-CA"/>
        </w:rPr>
        <w:t xml:space="preserve"> d’expliquer chaque disparité statistique (</w:t>
      </w:r>
      <w:r>
        <w:rPr>
          <w:rFonts w:cs="Times New Roman"/>
          <w:lang w:val="fr-CA"/>
        </w:rPr>
        <w:t>par. </w:t>
      </w:r>
      <w:r w:rsidRPr="00807A5C">
        <w:rPr>
          <w:rFonts w:cs="Times New Roman"/>
          <w:lang w:val="fr-CA"/>
        </w:rPr>
        <w:t>28).</w:t>
      </w:r>
    </w:p>
    <w:p w14:paraId="4261797F" w14:textId="545C83F8" w:rsidR="00804EA2" w:rsidRPr="00807A5C" w:rsidRDefault="00804EA2" w:rsidP="00804EA2">
      <w:pPr>
        <w:pStyle w:val="ParaNoNdepar-AltN"/>
        <w:rPr>
          <w:rFonts w:cs="Times New Roman"/>
          <w:lang w:val="fr-CA"/>
        </w:rPr>
      </w:pPr>
      <w:r w:rsidRPr="00807A5C">
        <w:rPr>
          <w:rFonts w:cs="Times New Roman"/>
          <w:lang w:val="fr-CA"/>
        </w:rPr>
        <w:t xml:space="preserve">L’arrêt </w:t>
      </w:r>
      <w:r w:rsidRPr="00807A5C">
        <w:rPr>
          <w:rFonts w:cs="Times New Roman"/>
          <w:i/>
          <w:lang w:val="fr-CA"/>
        </w:rPr>
        <w:t>Essop</w:t>
      </w:r>
      <w:r w:rsidRPr="00807A5C">
        <w:rPr>
          <w:rFonts w:cs="Times New Roman"/>
          <w:lang w:val="fr-CA"/>
        </w:rPr>
        <w:t xml:space="preserve"> a confirmé une approche souple permettant d’établir l’existence d’un effet distinct, selon laquelle une preuve de disparité statistique et de désavantage sur le groupe dans son ensemble pouvait suffire à étayer une allégation, mais ne constituait pas une exigence rigide (voir aussi </w:t>
      </w:r>
      <w:r w:rsidRPr="00807A5C">
        <w:rPr>
          <w:rFonts w:cs="Times New Roman"/>
          <w:i/>
          <w:lang w:val="fr-CA"/>
        </w:rPr>
        <w:t>O’Connor c. Bar Standards Board</w:t>
      </w:r>
      <w:r w:rsidRPr="00807A5C">
        <w:rPr>
          <w:rFonts w:cs="Times New Roman"/>
          <w:lang w:val="fr-CA"/>
        </w:rPr>
        <w:t>, [2018] 2 All E.R. 779</w:t>
      </w:r>
      <w:r w:rsidR="006E7387">
        <w:rPr>
          <w:rFonts w:cs="Times New Roman"/>
          <w:lang w:val="fr-CA"/>
        </w:rPr>
        <w:t xml:space="preserve"> (S.C.)</w:t>
      </w:r>
      <w:r w:rsidRPr="00807A5C">
        <w:rPr>
          <w:rFonts w:cs="Times New Roman"/>
          <w:lang w:val="fr-CA"/>
        </w:rPr>
        <w:t xml:space="preserve">, </w:t>
      </w:r>
      <w:r>
        <w:rPr>
          <w:rFonts w:cs="Times New Roman"/>
          <w:lang w:val="fr-CA"/>
        </w:rPr>
        <w:t>par. </w:t>
      </w:r>
      <w:r w:rsidRPr="00807A5C">
        <w:rPr>
          <w:rFonts w:cs="Times New Roman"/>
          <w:lang w:val="fr-CA"/>
        </w:rPr>
        <w:t xml:space="preserve">43). La Cour européenne des droits de l’homme a elle aussi conclu que, « lorsqu’il s’agit d’évaluer l’incidence de mesures ou de pratiques sur un individu ou sur un groupe, les statistiques qui, après avoir été soumises à un examen critique de la Cour, paraissent fiables et significatives </w:t>
      </w:r>
      <w:r w:rsidRPr="00807A5C">
        <w:rPr>
          <w:rFonts w:cs="Times New Roman"/>
          <w:i/>
          <w:lang w:val="fr-CA"/>
        </w:rPr>
        <w:t>suffisent pour constituer le commencement de preuve à apporter par le requérant</w:t>
      </w:r>
      <w:r w:rsidRPr="00807A5C">
        <w:rPr>
          <w:rFonts w:cs="Times New Roman"/>
          <w:lang w:val="fr-CA"/>
        </w:rPr>
        <w:t> »; cependant, « [c]ela ne veut [. . .] pas dire que la production des statistiques soit indispensable pour prouver la discrimination indirecte » (</w:t>
      </w:r>
      <w:r w:rsidR="006E7387">
        <w:rPr>
          <w:rFonts w:cs="Times New Roman"/>
          <w:i/>
          <w:lang w:val="fr-CA"/>
        </w:rPr>
        <w:t>D.H. c. République t</w:t>
      </w:r>
      <w:r w:rsidRPr="00807A5C">
        <w:rPr>
          <w:rFonts w:cs="Times New Roman"/>
          <w:i/>
          <w:lang w:val="fr-CA"/>
        </w:rPr>
        <w:t>chèque</w:t>
      </w:r>
      <w:r w:rsidR="006E7387">
        <w:rPr>
          <w:rFonts w:cs="Times New Roman"/>
          <w:lang w:val="fr-CA"/>
        </w:rPr>
        <w:t>, n</w:t>
      </w:r>
      <w:r w:rsidRPr="00807A5C">
        <w:rPr>
          <w:rFonts w:cs="Times New Roman"/>
          <w:vertAlign w:val="superscript"/>
          <w:lang w:val="fr-CA"/>
        </w:rPr>
        <w:t>o </w:t>
      </w:r>
      <w:r w:rsidRPr="00807A5C">
        <w:rPr>
          <w:rFonts w:cs="Times New Roman"/>
          <w:lang w:val="fr-CA"/>
        </w:rPr>
        <w:t>57325/00, CEDH 2017</w:t>
      </w:r>
      <w:r>
        <w:rPr>
          <w:rFonts w:cs="Times New Roman"/>
          <w:lang w:val="fr-CA"/>
        </w:rPr>
        <w:noBreakHyphen/>
      </w:r>
      <w:r w:rsidRPr="00807A5C">
        <w:rPr>
          <w:rFonts w:cs="Times New Roman"/>
          <w:lang w:val="fr-CA"/>
        </w:rPr>
        <w:t xml:space="preserve">IV, </w:t>
      </w:r>
      <w:r>
        <w:rPr>
          <w:rFonts w:cs="Times New Roman"/>
          <w:lang w:val="fr-CA"/>
        </w:rPr>
        <w:t>par. </w:t>
      </w:r>
      <w:r w:rsidRPr="00807A5C">
        <w:rPr>
          <w:rFonts w:cs="Times New Roman"/>
          <w:lang w:val="fr-CA"/>
        </w:rPr>
        <w:t>188 (ital</w:t>
      </w:r>
      <w:r w:rsidR="006E7387">
        <w:rPr>
          <w:rFonts w:cs="Times New Roman"/>
          <w:lang w:val="fr-CA"/>
        </w:rPr>
        <w:t>ique ajouté</w:t>
      </w:r>
      <w:r w:rsidRPr="00807A5C">
        <w:rPr>
          <w:rFonts w:cs="Times New Roman"/>
          <w:lang w:val="fr-CA"/>
        </w:rPr>
        <w:t xml:space="preserve">); voir aussi </w:t>
      </w:r>
      <w:r w:rsidRPr="00807A5C">
        <w:rPr>
          <w:rFonts w:cs="Times New Roman"/>
          <w:bCs/>
          <w:i/>
          <w:iCs/>
          <w:lang w:val="fr-CA"/>
        </w:rPr>
        <w:t>Oršuš</w:t>
      </w:r>
      <w:r w:rsidRPr="00807A5C">
        <w:rPr>
          <w:rFonts w:cs="Times New Roman"/>
          <w:lang w:val="fr-CA"/>
        </w:rPr>
        <w:t xml:space="preserve">, </w:t>
      </w:r>
      <w:r>
        <w:rPr>
          <w:rFonts w:cs="Times New Roman"/>
          <w:lang w:val="fr-CA"/>
        </w:rPr>
        <w:t>par. </w:t>
      </w:r>
      <w:r w:rsidRPr="00807A5C">
        <w:rPr>
          <w:rFonts w:cs="Times New Roman"/>
          <w:lang w:val="fr-CA"/>
        </w:rPr>
        <w:t>152</w:t>
      </w:r>
      <w:r>
        <w:rPr>
          <w:rFonts w:cs="Times New Roman"/>
          <w:lang w:val="fr-CA"/>
        </w:rPr>
        <w:noBreakHyphen/>
      </w:r>
      <w:r w:rsidRPr="00807A5C">
        <w:rPr>
          <w:rFonts w:cs="Times New Roman"/>
          <w:lang w:val="fr-CA"/>
        </w:rPr>
        <w:t xml:space="preserve">153; </w:t>
      </w:r>
      <w:r w:rsidRPr="00807A5C">
        <w:rPr>
          <w:rFonts w:cs="Times New Roman"/>
          <w:i/>
          <w:lang w:val="fr-CA"/>
        </w:rPr>
        <w:t xml:space="preserve">Horváth </w:t>
      </w:r>
      <w:r w:rsidR="006E7387">
        <w:rPr>
          <w:rFonts w:cs="Times New Roman"/>
          <w:i/>
          <w:lang w:val="fr-CA"/>
        </w:rPr>
        <w:t>and</w:t>
      </w:r>
      <w:r w:rsidRPr="00807A5C">
        <w:rPr>
          <w:rFonts w:cs="Times New Roman"/>
          <w:i/>
          <w:lang w:val="fr-CA"/>
        </w:rPr>
        <w:t xml:space="preserve"> Kiss c. Hongrie</w:t>
      </w:r>
      <w:r w:rsidRPr="00807A5C">
        <w:rPr>
          <w:rFonts w:cs="Times New Roman"/>
          <w:lang w:val="fr-CA"/>
        </w:rPr>
        <w:t xml:space="preserve">, [2013] E.L.R. 102 (C.E.D.H.), </w:t>
      </w:r>
      <w:r>
        <w:rPr>
          <w:rFonts w:cs="Times New Roman"/>
          <w:lang w:val="fr-CA"/>
        </w:rPr>
        <w:t>par. </w:t>
      </w:r>
      <w:r w:rsidRPr="00807A5C">
        <w:rPr>
          <w:rFonts w:cs="Times New Roman"/>
          <w:lang w:val="fr-CA"/>
        </w:rPr>
        <w:t xml:space="preserve">107). </w:t>
      </w:r>
    </w:p>
    <w:p w14:paraId="307EDA46" w14:textId="77777777" w:rsidR="00804EA2" w:rsidRPr="00807A5C" w:rsidRDefault="00804EA2" w:rsidP="00804EA2">
      <w:pPr>
        <w:pStyle w:val="ParaNoNdepar-AltN"/>
        <w:rPr>
          <w:rFonts w:cs="Times New Roman"/>
          <w:lang w:val="fr-CA"/>
        </w:rPr>
      </w:pPr>
      <w:r w:rsidRPr="00807A5C">
        <w:rPr>
          <w:rFonts w:cs="Times New Roman"/>
          <w:lang w:val="fr-CA"/>
        </w:rPr>
        <w:t>Je souscris à cette approche. Tant une preuve de disparité statistique qu’une preuve de désavantage sur le groupe dans son ensemble peuvent démontrer un effet disproportionné, mais aucune n’est obligatoire et leur importance variera selon l’affaire.</w:t>
      </w:r>
    </w:p>
    <w:p w14:paraId="0D888C45" w14:textId="77777777" w:rsidR="00804EA2" w:rsidRPr="00807A5C" w:rsidRDefault="00804EA2" w:rsidP="00804EA2">
      <w:pPr>
        <w:pStyle w:val="ParaNoNdepar-AltN"/>
        <w:rPr>
          <w:rFonts w:cs="Times New Roman"/>
          <w:lang w:val="fr-CA"/>
        </w:rPr>
      </w:pPr>
      <w:r w:rsidRPr="00807A5C">
        <w:rPr>
          <w:rFonts w:cs="Times New Roman"/>
          <w:lang w:val="fr-CA"/>
        </w:rPr>
        <w:t xml:space="preserve">Je tiens à faire quelques autres observations. </w:t>
      </w:r>
    </w:p>
    <w:p w14:paraId="4A79E891" w14:textId="77777777" w:rsidR="00804EA2" w:rsidRPr="00807A5C" w:rsidRDefault="00804EA2" w:rsidP="00804EA2">
      <w:pPr>
        <w:pStyle w:val="ParaNoNdepar-AltN"/>
        <w:rPr>
          <w:rFonts w:cs="Times New Roman"/>
          <w:lang w:val="fr-CA"/>
        </w:rPr>
      </w:pPr>
      <w:r w:rsidRPr="00807A5C">
        <w:rPr>
          <w:rFonts w:cs="Times New Roman"/>
          <w:lang w:val="fr-CA"/>
        </w:rPr>
        <w:lastRenderedPageBreak/>
        <w:t xml:space="preserve">Premièrement, la question de savoir si le législateur </w:t>
      </w:r>
      <w:r w:rsidRPr="00807A5C">
        <w:rPr>
          <w:rFonts w:cs="Times New Roman"/>
          <w:i/>
          <w:lang w:val="fr-CA"/>
        </w:rPr>
        <w:t>avait l’intention</w:t>
      </w:r>
      <w:r w:rsidRPr="00807A5C">
        <w:rPr>
          <w:rFonts w:cs="Times New Roman"/>
          <w:lang w:val="fr-CA"/>
        </w:rPr>
        <w:t xml:space="preserve"> de créer un effet distinct n’est pas pertinente (Sheppard (2001), </w:t>
      </w:r>
      <w:r>
        <w:rPr>
          <w:rFonts w:cs="Times New Roman"/>
          <w:lang w:val="fr-CA"/>
        </w:rPr>
        <w:t>p. </w:t>
      </w:r>
      <w:r w:rsidRPr="00807A5C">
        <w:rPr>
          <w:rFonts w:cs="Times New Roman"/>
          <w:lang w:val="fr-CA"/>
        </w:rPr>
        <w:t>543</w:t>
      </w:r>
      <w:r>
        <w:rPr>
          <w:rFonts w:cs="Times New Roman"/>
          <w:lang w:val="fr-CA"/>
        </w:rPr>
        <w:noBreakHyphen/>
      </w:r>
      <w:r w:rsidRPr="00807A5C">
        <w:rPr>
          <w:rFonts w:cs="Times New Roman"/>
          <w:lang w:val="fr-CA"/>
        </w:rPr>
        <w:t xml:space="preserve">544; Watson Hamilton et Koshan (2015), </w:t>
      </w:r>
      <w:r>
        <w:rPr>
          <w:rFonts w:cs="Times New Roman"/>
          <w:lang w:val="fr-CA"/>
        </w:rPr>
        <w:t>p. </w:t>
      </w:r>
      <w:r w:rsidRPr="00807A5C">
        <w:rPr>
          <w:rFonts w:cs="Times New Roman"/>
          <w:lang w:val="fr-CA"/>
        </w:rPr>
        <w:t>196</w:t>
      </w:r>
      <w:r>
        <w:rPr>
          <w:rFonts w:cs="Times New Roman"/>
          <w:lang w:val="fr-CA"/>
        </w:rPr>
        <w:noBreakHyphen/>
      </w:r>
      <w:r w:rsidRPr="00807A5C">
        <w:rPr>
          <w:rFonts w:cs="Times New Roman"/>
          <w:lang w:val="fr-CA"/>
        </w:rPr>
        <w:t xml:space="preserve">197; Faraday, </w:t>
      </w:r>
      <w:r>
        <w:rPr>
          <w:rFonts w:cs="Times New Roman"/>
          <w:lang w:val="fr-CA"/>
        </w:rPr>
        <w:t>p. </w:t>
      </w:r>
      <w:r w:rsidRPr="00807A5C">
        <w:rPr>
          <w:rFonts w:cs="Times New Roman"/>
          <w:lang w:val="fr-CA"/>
        </w:rPr>
        <w:t xml:space="preserve">310). Il n’a jamais été obligatoire de fournir une preuve de l’intention discriminatoire pour étayer une allégation de violation du </w:t>
      </w:r>
      <w:r>
        <w:rPr>
          <w:rFonts w:cs="Times New Roman"/>
          <w:lang w:val="fr-CA"/>
        </w:rPr>
        <w:t>par. </w:t>
      </w:r>
      <w:r w:rsidRPr="00807A5C">
        <w:rPr>
          <w:rFonts w:cs="Times New Roman"/>
          <w:lang w:val="fr-CA"/>
        </w:rPr>
        <w:t>15(1) (</w:t>
      </w:r>
      <w:r w:rsidRPr="00807A5C">
        <w:rPr>
          <w:rFonts w:cs="Times New Roman"/>
          <w:i/>
          <w:lang w:val="fr-CA"/>
        </w:rPr>
        <w:t>Andrews</w:t>
      </w:r>
      <w:r w:rsidRPr="00807A5C">
        <w:rPr>
          <w:rFonts w:cs="Times New Roman"/>
          <w:lang w:val="fr-CA"/>
        </w:rPr>
        <w:t xml:space="preserve">, </w:t>
      </w:r>
      <w:r>
        <w:rPr>
          <w:rFonts w:cs="Times New Roman"/>
          <w:lang w:val="fr-CA"/>
        </w:rPr>
        <w:t>p. </w:t>
      </w:r>
      <w:r w:rsidRPr="00807A5C">
        <w:rPr>
          <w:rFonts w:cs="Times New Roman"/>
          <w:lang w:val="fr-CA"/>
        </w:rPr>
        <w:t>173</w:t>
      </w:r>
      <w:r>
        <w:rPr>
          <w:rFonts w:cs="Times New Roman"/>
          <w:lang w:val="fr-CA"/>
        </w:rPr>
        <w:noBreakHyphen/>
      </w:r>
      <w:r w:rsidRPr="00807A5C">
        <w:rPr>
          <w:rFonts w:cs="Times New Roman"/>
          <w:lang w:val="fr-CA"/>
        </w:rPr>
        <w:t xml:space="preserve">174; </w:t>
      </w:r>
      <w:r w:rsidRPr="00807A5C">
        <w:rPr>
          <w:rFonts w:cs="Times New Roman"/>
          <w:i/>
          <w:lang w:val="fr-CA"/>
        </w:rPr>
        <w:t>Eldridge</w:t>
      </w:r>
      <w:r w:rsidRPr="00807A5C">
        <w:rPr>
          <w:rFonts w:cs="Times New Roman"/>
          <w:lang w:val="fr-CA"/>
        </w:rPr>
        <w:t xml:space="preserve">, </w:t>
      </w:r>
      <w:r>
        <w:rPr>
          <w:rFonts w:cs="Times New Roman"/>
          <w:lang w:val="fr-CA"/>
        </w:rPr>
        <w:t>par. </w:t>
      </w:r>
      <w:r w:rsidRPr="00807A5C">
        <w:rPr>
          <w:rFonts w:cs="Times New Roman"/>
          <w:lang w:val="fr-CA"/>
        </w:rPr>
        <w:t xml:space="preserve">62; </w:t>
      </w:r>
      <w:r w:rsidRPr="00807A5C">
        <w:rPr>
          <w:rFonts w:cs="Times New Roman"/>
          <w:i/>
          <w:lang w:val="fr-CA"/>
        </w:rPr>
        <w:t>Vriend</w:t>
      </w:r>
      <w:r w:rsidRPr="00807A5C">
        <w:rPr>
          <w:rFonts w:cs="Times New Roman"/>
          <w:lang w:val="fr-CA"/>
        </w:rPr>
        <w:t xml:space="preserve">, </w:t>
      </w:r>
      <w:r>
        <w:rPr>
          <w:rFonts w:cs="Times New Roman"/>
          <w:lang w:val="fr-CA"/>
        </w:rPr>
        <w:t>par. </w:t>
      </w:r>
      <w:r w:rsidRPr="00807A5C">
        <w:rPr>
          <w:rFonts w:cs="Times New Roman"/>
          <w:lang w:val="fr-CA"/>
        </w:rPr>
        <w:t xml:space="preserve">93; </w:t>
      </w:r>
      <w:r w:rsidRPr="00807A5C">
        <w:rPr>
          <w:rFonts w:cs="Times New Roman"/>
          <w:i/>
          <w:lang w:val="fr-CA"/>
        </w:rPr>
        <w:t>Alliance</w:t>
      </w:r>
      <w:r w:rsidRPr="00807A5C">
        <w:rPr>
          <w:rFonts w:cs="Times New Roman"/>
          <w:lang w:val="fr-CA"/>
        </w:rPr>
        <w:t xml:space="preserve">, </w:t>
      </w:r>
      <w:r>
        <w:rPr>
          <w:rFonts w:cs="Times New Roman"/>
          <w:lang w:val="fr-CA"/>
        </w:rPr>
        <w:t>par. </w:t>
      </w:r>
      <w:r w:rsidRPr="00807A5C">
        <w:rPr>
          <w:rFonts w:cs="Times New Roman"/>
          <w:lang w:val="fr-CA"/>
        </w:rPr>
        <w:t xml:space="preserve">28; </w:t>
      </w:r>
      <w:r w:rsidRPr="00807A5C">
        <w:rPr>
          <w:rFonts w:cs="Times New Roman"/>
          <w:i/>
          <w:lang w:val="fr-CA"/>
        </w:rPr>
        <w:t>Centrale</w:t>
      </w:r>
      <w:r w:rsidRPr="00807A5C">
        <w:rPr>
          <w:rFonts w:cs="Times New Roman"/>
          <w:lang w:val="fr-CA"/>
        </w:rPr>
        <w:t xml:space="preserve">, </w:t>
      </w:r>
      <w:r>
        <w:rPr>
          <w:rFonts w:cs="Times New Roman"/>
          <w:lang w:val="fr-CA"/>
        </w:rPr>
        <w:t>par. </w:t>
      </w:r>
      <w:r w:rsidRPr="00807A5C">
        <w:rPr>
          <w:rFonts w:cs="Times New Roman"/>
          <w:lang w:val="fr-CA"/>
        </w:rPr>
        <w:t xml:space="preserve">35). L’existence d’un objectif d’amélioration de la situation ne suffit pas non plus à soustraire une loi à l’examen fondé sur le </w:t>
      </w:r>
      <w:r>
        <w:rPr>
          <w:rFonts w:cs="Times New Roman"/>
          <w:lang w:val="fr-CA"/>
        </w:rPr>
        <w:t>par. </w:t>
      </w:r>
      <w:r w:rsidRPr="00807A5C">
        <w:rPr>
          <w:rFonts w:cs="Times New Roman"/>
          <w:lang w:val="fr-CA"/>
        </w:rPr>
        <w:t xml:space="preserve">15(1) de la </w:t>
      </w:r>
      <w:r w:rsidRPr="00807A5C">
        <w:rPr>
          <w:rFonts w:cs="Times New Roman"/>
          <w:i/>
          <w:iCs/>
          <w:lang w:val="fr-CA"/>
        </w:rPr>
        <w:t>Charte</w:t>
      </w:r>
      <w:r w:rsidRPr="00807A5C">
        <w:rPr>
          <w:rFonts w:cs="Times New Roman"/>
          <w:lang w:val="fr-CA"/>
        </w:rPr>
        <w:t xml:space="preserve"> (</w:t>
      </w:r>
      <w:r w:rsidRPr="00807A5C">
        <w:rPr>
          <w:rFonts w:cs="Times New Roman"/>
          <w:i/>
          <w:iCs/>
          <w:lang w:val="fr-CA"/>
        </w:rPr>
        <w:t>Centrale</w:t>
      </w:r>
      <w:r w:rsidRPr="00807A5C">
        <w:rPr>
          <w:rFonts w:cs="Times New Roman"/>
          <w:lang w:val="fr-CA"/>
        </w:rPr>
        <w:t xml:space="preserve">, </w:t>
      </w:r>
      <w:r>
        <w:rPr>
          <w:rFonts w:cs="Times New Roman"/>
          <w:lang w:val="fr-CA"/>
        </w:rPr>
        <w:t>par. </w:t>
      </w:r>
      <w:r w:rsidRPr="00807A5C">
        <w:rPr>
          <w:rFonts w:cs="Times New Roman"/>
          <w:lang w:val="fr-CA"/>
        </w:rPr>
        <w:t xml:space="preserve">8 et 35; </w:t>
      </w:r>
      <w:r w:rsidRPr="00807A5C">
        <w:rPr>
          <w:rFonts w:cs="Times New Roman"/>
          <w:i/>
          <w:iCs/>
          <w:lang w:val="fr-CA"/>
        </w:rPr>
        <w:t>Alliance</w:t>
      </w:r>
      <w:r w:rsidRPr="00807A5C">
        <w:rPr>
          <w:rFonts w:cs="Times New Roman"/>
          <w:lang w:val="fr-CA"/>
        </w:rPr>
        <w:t xml:space="preserve">, </w:t>
      </w:r>
      <w:r>
        <w:rPr>
          <w:rFonts w:cs="Times New Roman"/>
          <w:lang w:val="fr-CA"/>
        </w:rPr>
        <w:t>par. </w:t>
      </w:r>
      <w:r w:rsidRPr="00807A5C">
        <w:rPr>
          <w:rFonts w:cs="Times New Roman"/>
          <w:lang w:val="fr-CA"/>
        </w:rPr>
        <w:t>32</w:t>
      </w:r>
      <w:r>
        <w:rPr>
          <w:rFonts w:cs="Times New Roman"/>
          <w:lang w:val="fr-CA"/>
        </w:rPr>
        <w:noBreakHyphen/>
      </w:r>
      <w:r w:rsidRPr="00807A5C">
        <w:rPr>
          <w:rFonts w:cs="Times New Roman"/>
          <w:lang w:val="fr-CA"/>
        </w:rPr>
        <w:t>33).</w:t>
      </w:r>
    </w:p>
    <w:p w14:paraId="41DBD0AD" w14:textId="0F22D210" w:rsidR="00804EA2" w:rsidRPr="00807A5C" w:rsidRDefault="00804EA2" w:rsidP="00804EA2">
      <w:pPr>
        <w:pStyle w:val="ParaNoNdepar-AltN"/>
        <w:rPr>
          <w:rFonts w:cs="Times New Roman"/>
          <w:lang w:val="fr-CA"/>
        </w:rPr>
      </w:pPr>
      <w:r w:rsidRPr="00807A5C">
        <w:rPr>
          <w:rFonts w:cs="Times New Roman"/>
          <w:lang w:val="fr-CA"/>
        </w:rPr>
        <w:t>Deuxièmement, si les demandeurs réussissent à démontrer qu’une loi a un effet disproportionné sur les membres d’un groupe protégé, ils n’ont pas besoin de prouver indépendamment que la caractéristique protégée a [</w:t>
      </w:r>
      <w:r w:rsidRPr="00807A5C">
        <w:rPr>
          <w:rFonts w:cs="Times New Roman"/>
          <w:smallCaps/>
          <w:lang w:val="fr-CA"/>
        </w:rPr>
        <w:t>traduction</w:t>
      </w:r>
      <w:r w:rsidRPr="00807A5C">
        <w:rPr>
          <w:rFonts w:cs="Times New Roman"/>
          <w:lang w:val="fr-CA"/>
        </w:rPr>
        <w:t>] « causé » l’effet disproportionné (Tarunabh Khaitan et Sandy Steel, « Wrongs, Group Disadvantage and the Legitimacy of Indirect Discrimination Law »</w:t>
      </w:r>
      <w:r w:rsidR="00FD3CD2">
        <w:rPr>
          <w:rFonts w:cs="Times New Roman"/>
          <w:lang w:val="fr-CA"/>
        </w:rPr>
        <w:t>,</w:t>
      </w:r>
      <w:r w:rsidRPr="00807A5C">
        <w:rPr>
          <w:rFonts w:cs="Times New Roman"/>
          <w:lang w:val="fr-CA"/>
        </w:rPr>
        <w:t xml:space="preserve"> dans Hugh Collins et Tarunabh Khaitan, dir., </w:t>
      </w:r>
      <w:r w:rsidRPr="00807A5C">
        <w:rPr>
          <w:rFonts w:cs="Times New Roman"/>
          <w:i/>
          <w:lang w:val="fr-CA"/>
        </w:rPr>
        <w:t xml:space="preserve">Foundations of Indirect Discrimination Law </w:t>
      </w:r>
      <w:r w:rsidRPr="00807A5C">
        <w:rPr>
          <w:rFonts w:cs="Times New Roman"/>
          <w:lang w:val="fr-CA"/>
        </w:rPr>
        <w:t xml:space="preserve">(2018), </w:t>
      </w:r>
      <w:r>
        <w:rPr>
          <w:rFonts w:cs="Times New Roman"/>
          <w:lang w:val="fr-CA"/>
        </w:rPr>
        <w:t>197, p. </w:t>
      </w:r>
      <w:r w:rsidRPr="00807A5C">
        <w:rPr>
          <w:rFonts w:cs="Times New Roman"/>
          <w:lang w:val="fr-CA"/>
        </w:rPr>
        <w:t>203</w:t>
      </w:r>
      <w:r>
        <w:rPr>
          <w:rFonts w:cs="Times New Roman"/>
          <w:lang w:val="fr-CA"/>
        </w:rPr>
        <w:noBreakHyphen/>
      </w:r>
      <w:r w:rsidRPr="00807A5C">
        <w:rPr>
          <w:rFonts w:cs="Times New Roman"/>
          <w:lang w:val="fr-CA"/>
        </w:rPr>
        <w:t xml:space="preserve">204 et 220; Fredman (2018), </w:t>
      </w:r>
      <w:r>
        <w:rPr>
          <w:rFonts w:cs="Times New Roman"/>
          <w:lang w:val="fr-CA"/>
        </w:rPr>
        <w:t>p. </w:t>
      </w:r>
      <w:r w:rsidRPr="00807A5C">
        <w:rPr>
          <w:rFonts w:cs="Times New Roman"/>
          <w:lang w:val="fr-CA"/>
        </w:rPr>
        <w:t xml:space="preserve">46; Braun, </w:t>
      </w:r>
      <w:r>
        <w:rPr>
          <w:rFonts w:cs="Times New Roman"/>
          <w:lang w:val="fr-CA"/>
        </w:rPr>
        <w:t>p. </w:t>
      </w:r>
      <w:r w:rsidRPr="00807A5C">
        <w:rPr>
          <w:rFonts w:cs="Times New Roman"/>
          <w:lang w:val="fr-CA"/>
        </w:rPr>
        <w:t xml:space="preserve">146; Watson Hamilton et Koshan (2015), </w:t>
      </w:r>
      <w:r>
        <w:rPr>
          <w:rFonts w:cs="Times New Roman"/>
          <w:lang w:val="fr-CA"/>
        </w:rPr>
        <w:t>p. </w:t>
      </w:r>
      <w:r w:rsidRPr="00807A5C">
        <w:rPr>
          <w:rFonts w:cs="Times New Roman"/>
          <w:lang w:val="fr-CA"/>
        </w:rPr>
        <w:t xml:space="preserve">197; </w:t>
      </w:r>
      <w:r w:rsidRPr="00807A5C">
        <w:rPr>
          <w:rFonts w:cs="Times New Roman"/>
          <w:i/>
          <w:lang w:val="fr-CA"/>
        </w:rPr>
        <w:t>West Yorkshire Police</w:t>
      </w:r>
      <w:r w:rsidRPr="00807A5C">
        <w:rPr>
          <w:rFonts w:cs="Times New Roman"/>
          <w:lang w:val="fr-CA"/>
        </w:rPr>
        <w:t xml:space="preserve">, </w:t>
      </w:r>
      <w:r>
        <w:rPr>
          <w:rFonts w:cs="Times New Roman"/>
          <w:lang w:val="fr-CA"/>
        </w:rPr>
        <w:t>par. </w:t>
      </w:r>
      <w:r w:rsidRPr="00807A5C">
        <w:rPr>
          <w:rFonts w:cs="Times New Roman"/>
          <w:lang w:val="fr-CA"/>
        </w:rPr>
        <w:t>12</w:t>
      </w:r>
      <w:r>
        <w:rPr>
          <w:rFonts w:cs="Times New Roman"/>
          <w:lang w:val="fr-CA"/>
        </w:rPr>
        <w:noBreakHyphen/>
      </w:r>
      <w:r w:rsidRPr="00807A5C">
        <w:rPr>
          <w:rFonts w:cs="Times New Roman"/>
          <w:lang w:val="fr-CA"/>
        </w:rPr>
        <w:t xml:space="preserve">14; </w:t>
      </w:r>
      <w:r w:rsidRPr="00807A5C">
        <w:rPr>
          <w:rFonts w:cs="Times New Roman"/>
          <w:i/>
          <w:lang w:val="fr-CA"/>
        </w:rPr>
        <w:t>Essop</w:t>
      </w:r>
      <w:r w:rsidRPr="00807A5C">
        <w:rPr>
          <w:rFonts w:cs="Times New Roman"/>
          <w:lang w:val="fr-CA"/>
        </w:rPr>
        <w:t xml:space="preserve">, </w:t>
      </w:r>
      <w:r>
        <w:rPr>
          <w:rFonts w:cs="Times New Roman"/>
          <w:lang w:val="fr-CA"/>
        </w:rPr>
        <w:t>par. </w:t>
      </w:r>
      <w:r w:rsidRPr="00807A5C">
        <w:rPr>
          <w:rFonts w:cs="Times New Roman"/>
          <w:lang w:val="fr-CA"/>
        </w:rPr>
        <w:t>24</w:t>
      </w:r>
      <w:r>
        <w:rPr>
          <w:rFonts w:cs="Times New Roman"/>
          <w:lang w:val="fr-CA"/>
        </w:rPr>
        <w:noBreakHyphen/>
      </w:r>
      <w:r w:rsidRPr="00807A5C">
        <w:rPr>
          <w:rFonts w:cs="Times New Roman"/>
          <w:lang w:val="fr-CA"/>
        </w:rPr>
        <w:t xml:space="preserve">27). Autrement dit, il n’était pas nécessaire pour le demandeur dans l’affaire </w:t>
      </w:r>
      <w:r w:rsidRPr="00807A5C">
        <w:rPr>
          <w:rFonts w:cs="Times New Roman"/>
          <w:i/>
          <w:lang w:val="fr-CA"/>
        </w:rPr>
        <w:t>Griggs</w:t>
      </w:r>
      <w:r w:rsidRPr="00807A5C">
        <w:rPr>
          <w:rFonts w:cs="Times New Roman"/>
          <w:lang w:val="fr-CA"/>
        </w:rPr>
        <w:t xml:space="preserve"> d’aborder la question de savoir si son exclusion était fondée sur sa </w:t>
      </w:r>
      <w:r w:rsidRPr="00807A5C">
        <w:rPr>
          <w:rFonts w:cs="Times New Roman"/>
          <w:i/>
          <w:lang w:val="fr-CA"/>
        </w:rPr>
        <w:t>race</w:t>
      </w:r>
      <w:r w:rsidRPr="00807A5C">
        <w:rPr>
          <w:rFonts w:cs="Times New Roman"/>
          <w:lang w:val="fr-CA"/>
        </w:rPr>
        <w:t xml:space="preserve"> ou sur le fait qu’</w:t>
      </w:r>
      <w:r w:rsidRPr="00807A5C">
        <w:rPr>
          <w:rFonts w:cs="Times New Roman"/>
          <w:i/>
          <w:lang w:val="fr-CA"/>
        </w:rPr>
        <w:t>il ne possédait pas de diplôme d’études secondaires</w:t>
      </w:r>
      <w:r w:rsidRPr="00807A5C">
        <w:rPr>
          <w:rFonts w:cs="Times New Roman"/>
          <w:lang w:val="fr-CA"/>
        </w:rPr>
        <w:t>. L’objectif global de l’analyse de l’effet préjudiciable était de démontrer que le fait d’exiger un diplôme d’études secondaires comme critère d’emploi avait un effet disproportionné sur les Afro</w:t>
      </w:r>
      <w:r>
        <w:rPr>
          <w:rFonts w:cs="Times New Roman"/>
          <w:lang w:val="fr-CA"/>
        </w:rPr>
        <w:noBreakHyphen/>
      </w:r>
      <w:r w:rsidRPr="00807A5C">
        <w:rPr>
          <w:rFonts w:cs="Times New Roman"/>
          <w:lang w:val="fr-CA"/>
        </w:rPr>
        <w:t xml:space="preserve">Américains (Fredman (2011), </w:t>
      </w:r>
      <w:r>
        <w:rPr>
          <w:rFonts w:cs="Times New Roman"/>
          <w:lang w:val="fr-CA"/>
        </w:rPr>
        <w:t>p. </w:t>
      </w:r>
      <w:r w:rsidRPr="00807A5C">
        <w:rPr>
          <w:rFonts w:cs="Times New Roman"/>
          <w:lang w:val="fr-CA"/>
        </w:rPr>
        <w:t xml:space="preserve">189). </w:t>
      </w:r>
    </w:p>
    <w:p w14:paraId="28E15A0F" w14:textId="77777777" w:rsidR="00804EA2" w:rsidRPr="00807A5C" w:rsidRDefault="00804EA2" w:rsidP="00804EA2">
      <w:pPr>
        <w:pStyle w:val="ParaNoNdepar-AltN"/>
        <w:rPr>
          <w:rFonts w:cs="Times New Roman"/>
          <w:lang w:val="fr-CA"/>
        </w:rPr>
      </w:pPr>
      <w:r w:rsidRPr="00807A5C">
        <w:rPr>
          <w:rFonts w:cs="Times New Roman"/>
          <w:lang w:val="fr-CA"/>
        </w:rPr>
        <w:lastRenderedPageBreak/>
        <w:t xml:space="preserve">Il n’est pas non plus nécessaire de se demander si la loi a en soi pour effet de créer des obstacles sociaux ou physiques de fond qui ont rendu une règle, une exigence ou un critère particulier désavantageux pour le groupe de demandeurs. Si l’on revient à l’affaire </w:t>
      </w:r>
      <w:r w:rsidRPr="00807A5C">
        <w:rPr>
          <w:rFonts w:cs="Times New Roman"/>
          <w:i/>
          <w:lang w:val="fr-CA"/>
        </w:rPr>
        <w:t>Griggs</w:t>
      </w:r>
      <w:r w:rsidRPr="00807A5C">
        <w:rPr>
          <w:rFonts w:cs="Times New Roman"/>
          <w:lang w:val="fr-CA"/>
        </w:rPr>
        <w:t>, cela reviendrait à se demander si Duke Power Co. était responsable du pourcentage peu élevé d’Afro</w:t>
      </w:r>
      <w:r>
        <w:rPr>
          <w:rFonts w:cs="Times New Roman"/>
          <w:lang w:val="fr-CA"/>
        </w:rPr>
        <w:noBreakHyphen/>
      </w:r>
      <w:r w:rsidRPr="00807A5C">
        <w:rPr>
          <w:rFonts w:cs="Times New Roman"/>
          <w:lang w:val="fr-CA"/>
        </w:rPr>
        <w:t xml:space="preserve">Américains détenant un diplôme d’études secondaires. Visiblement, ce n’était pas le cas — mais cette question n’était absolument pas pertinente pour décider si un effet disproportionné avait été établi. Il a toujours été nécessaire dans l’examen requis par le </w:t>
      </w:r>
      <w:r>
        <w:rPr>
          <w:rFonts w:cs="Times New Roman"/>
          <w:lang w:val="fr-CA"/>
        </w:rPr>
        <w:t>par. </w:t>
      </w:r>
      <w:r w:rsidRPr="00807A5C">
        <w:rPr>
          <w:rFonts w:cs="Times New Roman"/>
          <w:lang w:val="fr-CA"/>
        </w:rPr>
        <w:t>15(1) de porter attention aux désavantages systémiques touchant les membres des groupes protégés, même si ces désavantages ne sont pas créés par l’État (</w:t>
      </w:r>
      <w:r w:rsidRPr="00807A5C">
        <w:rPr>
          <w:rFonts w:cs="Times New Roman"/>
          <w:i/>
          <w:lang w:val="fr-CA"/>
        </w:rPr>
        <w:t>Alliance</w:t>
      </w:r>
      <w:r w:rsidRPr="00807A5C">
        <w:rPr>
          <w:rFonts w:cs="Times New Roman"/>
          <w:lang w:val="fr-CA"/>
        </w:rPr>
        <w:t xml:space="preserve">, </w:t>
      </w:r>
      <w:r>
        <w:rPr>
          <w:rFonts w:cs="Times New Roman"/>
          <w:lang w:val="fr-CA"/>
        </w:rPr>
        <w:t>par. </w:t>
      </w:r>
      <w:r w:rsidRPr="00807A5C">
        <w:rPr>
          <w:rFonts w:cs="Times New Roman"/>
          <w:lang w:val="fr-CA"/>
        </w:rPr>
        <w:t xml:space="preserve">41; </w:t>
      </w:r>
      <w:r w:rsidRPr="00807A5C">
        <w:rPr>
          <w:rFonts w:cs="Times New Roman"/>
          <w:i/>
          <w:lang w:val="fr-CA"/>
        </w:rPr>
        <w:t>Centrale</w:t>
      </w:r>
      <w:r w:rsidRPr="00807A5C">
        <w:rPr>
          <w:rFonts w:cs="Times New Roman"/>
          <w:lang w:val="fr-CA"/>
        </w:rPr>
        <w:t xml:space="preserve">, </w:t>
      </w:r>
      <w:r>
        <w:rPr>
          <w:rFonts w:cs="Times New Roman"/>
          <w:lang w:val="fr-CA"/>
        </w:rPr>
        <w:t>par. </w:t>
      </w:r>
      <w:r w:rsidRPr="00807A5C">
        <w:rPr>
          <w:rFonts w:cs="Times New Roman"/>
          <w:lang w:val="fr-CA"/>
        </w:rPr>
        <w:t xml:space="preserve">32; </w:t>
      </w:r>
      <w:r w:rsidRPr="00807A5C">
        <w:rPr>
          <w:rFonts w:cs="Times New Roman"/>
          <w:i/>
          <w:lang w:val="fr-CA"/>
        </w:rPr>
        <w:t>Vriend</w:t>
      </w:r>
      <w:r w:rsidRPr="00807A5C">
        <w:rPr>
          <w:rFonts w:cs="Times New Roman"/>
          <w:lang w:val="fr-CA"/>
        </w:rPr>
        <w:t xml:space="preserve">, </w:t>
      </w:r>
      <w:r>
        <w:rPr>
          <w:rFonts w:cs="Times New Roman"/>
          <w:lang w:val="fr-CA"/>
        </w:rPr>
        <w:t>par. </w:t>
      </w:r>
      <w:r w:rsidRPr="00807A5C">
        <w:rPr>
          <w:rFonts w:cs="Times New Roman"/>
          <w:lang w:val="fr-CA"/>
        </w:rPr>
        <w:t xml:space="preserve">84 et 97; </w:t>
      </w:r>
      <w:r w:rsidRPr="00807A5C">
        <w:rPr>
          <w:rFonts w:cs="Times New Roman"/>
          <w:i/>
          <w:lang w:val="fr-CA"/>
        </w:rPr>
        <w:t>Eldridge</w:t>
      </w:r>
      <w:r w:rsidRPr="00807A5C">
        <w:rPr>
          <w:rFonts w:cs="Times New Roman"/>
          <w:lang w:val="fr-CA"/>
        </w:rPr>
        <w:t xml:space="preserve">, </w:t>
      </w:r>
      <w:r>
        <w:rPr>
          <w:rFonts w:cs="Times New Roman"/>
          <w:lang w:val="fr-CA"/>
        </w:rPr>
        <w:t>par. </w:t>
      </w:r>
      <w:r w:rsidRPr="00807A5C">
        <w:rPr>
          <w:rFonts w:cs="Times New Roman"/>
          <w:lang w:val="fr-CA"/>
        </w:rPr>
        <w:t>64</w:t>
      </w:r>
      <w:r>
        <w:rPr>
          <w:rFonts w:cs="Times New Roman"/>
          <w:lang w:val="fr-CA"/>
        </w:rPr>
        <w:noBreakHyphen/>
      </w:r>
      <w:r w:rsidRPr="00807A5C">
        <w:rPr>
          <w:rFonts w:cs="Times New Roman"/>
          <w:lang w:val="fr-CA"/>
        </w:rPr>
        <w:t xml:space="preserve">66; </w:t>
      </w:r>
      <w:r w:rsidRPr="00807A5C">
        <w:rPr>
          <w:rFonts w:cs="Times New Roman"/>
          <w:i/>
          <w:lang w:val="fr-CA"/>
        </w:rPr>
        <w:t>Eaton</w:t>
      </w:r>
      <w:r w:rsidRPr="00807A5C">
        <w:rPr>
          <w:rFonts w:cs="Times New Roman"/>
          <w:lang w:val="fr-CA"/>
        </w:rPr>
        <w:t xml:space="preserve">, </w:t>
      </w:r>
      <w:r>
        <w:rPr>
          <w:rFonts w:cs="Times New Roman"/>
          <w:lang w:val="fr-CA"/>
        </w:rPr>
        <w:t>par. </w:t>
      </w:r>
      <w:r w:rsidRPr="00807A5C">
        <w:rPr>
          <w:rFonts w:cs="Times New Roman"/>
          <w:lang w:val="fr-CA"/>
        </w:rPr>
        <w:t xml:space="preserve">67; </w:t>
      </w:r>
      <w:r w:rsidRPr="00807A5C">
        <w:rPr>
          <w:rFonts w:cs="Times New Roman"/>
          <w:i/>
          <w:lang w:val="fr-CA"/>
        </w:rPr>
        <w:t>R. c. Turpin</w:t>
      </w:r>
      <w:r w:rsidRPr="00807A5C">
        <w:rPr>
          <w:rFonts w:cs="Times New Roman"/>
          <w:lang w:val="fr-CA"/>
        </w:rPr>
        <w:t xml:space="preserve">, [1989] 1 R.C.S. 1296, </w:t>
      </w:r>
      <w:r>
        <w:rPr>
          <w:rFonts w:cs="Times New Roman"/>
          <w:lang w:val="fr-CA"/>
        </w:rPr>
        <w:t>p. </w:t>
      </w:r>
      <w:r w:rsidRPr="00807A5C">
        <w:rPr>
          <w:rFonts w:cs="Times New Roman"/>
          <w:lang w:val="fr-CA"/>
        </w:rPr>
        <w:t>1331</w:t>
      </w:r>
      <w:r>
        <w:rPr>
          <w:rFonts w:cs="Times New Roman"/>
          <w:lang w:val="fr-CA"/>
        </w:rPr>
        <w:noBreakHyphen/>
      </w:r>
      <w:r w:rsidRPr="00807A5C">
        <w:rPr>
          <w:rFonts w:cs="Times New Roman"/>
          <w:lang w:val="fr-CA"/>
        </w:rPr>
        <w:t xml:space="preserve">1332). </w:t>
      </w:r>
    </w:p>
    <w:p w14:paraId="6848C9CA" w14:textId="65C08E9A" w:rsidR="00804EA2" w:rsidRPr="00807A5C" w:rsidRDefault="00804EA2" w:rsidP="00804EA2">
      <w:pPr>
        <w:pStyle w:val="ParaNoNdepar-AltN"/>
        <w:rPr>
          <w:rFonts w:cs="Times New Roman"/>
          <w:lang w:val="fr-CA"/>
        </w:rPr>
      </w:pPr>
      <w:r w:rsidRPr="00807A5C">
        <w:rPr>
          <w:rFonts w:cs="Times New Roman"/>
          <w:lang w:val="fr-CA"/>
        </w:rPr>
        <w:t>Troisièmement, les demandeurs n’ont pas à démontrer que les critères, les caractéristiques ou les autres facteurs utilisés dans la loi contestée affectent tous les membres d’un groupe protégé de la même manière. Notre Cour considère depuis longtemps que le fait « [q]ue la discrimination ne soit que partielle n’en change pas la nature »</w:t>
      </w:r>
      <w:r w:rsidRPr="00807A5C">
        <w:rPr>
          <w:rFonts w:cs="Times New Roman"/>
          <w:lang w:val="fr-CA" w:bidi="en-US"/>
        </w:rPr>
        <w:t xml:space="preserve"> (</w:t>
      </w:r>
      <w:r w:rsidRPr="00807A5C">
        <w:rPr>
          <w:rFonts w:cs="Times New Roman"/>
          <w:i/>
          <w:lang w:val="fr-CA"/>
        </w:rPr>
        <w:t>Brooks c. Canada Safeway Ltd.</w:t>
      </w:r>
      <w:r w:rsidRPr="00807A5C">
        <w:rPr>
          <w:rFonts w:cs="Times New Roman"/>
          <w:lang w:val="fr-CA"/>
        </w:rPr>
        <w:t xml:space="preserve">, [1989] 1 R.C.S. 1219, </w:t>
      </w:r>
      <w:r>
        <w:rPr>
          <w:rFonts w:cs="Times New Roman"/>
          <w:lang w:val="fr-CA"/>
        </w:rPr>
        <w:t>p. </w:t>
      </w:r>
      <w:r w:rsidRPr="00807A5C">
        <w:rPr>
          <w:rFonts w:cs="Times New Roman"/>
          <w:lang w:val="fr-CA"/>
        </w:rPr>
        <w:t>1248, citant James MacPherson, « Sex Discrimination in Canada</w:t>
      </w:r>
      <w:r w:rsidR="00155C65">
        <w:rPr>
          <w:rFonts w:cs="Times New Roman"/>
          <w:lang w:val="fr-CA"/>
        </w:rPr>
        <w:t> </w:t>
      </w:r>
      <w:r w:rsidRPr="00807A5C">
        <w:rPr>
          <w:rFonts w:cs="Times New Roman"/>
          <w:lang w:val="fr-CA"/>
        </w:rPr>
        <w:t xml:space="preserve">: Taking Stock at the Start of a New Decade » (1980), 1 </w:t>
      </w:r>
      <w:r w:rsidRPr="00807A5C">
        <w:rPr>
          <w:rFonts w:cs="Times New Roman"/>
          <w:i/>
          <w:lang w:val="fr-CA"/>
        </w:rPr>
        <w:t>C.H.R.R.</w:t>
      </w:r>
      <w:r w:rsidRPr="00807A5C">
        <w:rPr>
          <w:rFonts w:cs="Times New Roman"/>
          <w:lang w:val="fr-CA"/>
        </w:rPr>
        <w:t xml:space="preserve"> C/7, </w:t>
      </w:r>
      <w:r>
        <w:rPr>
          <w:rFonts w:cs="Times New Roman"/>
          <w:lang w:val="fr-CA"/>
        </w:rPr>
        <w:t>p. </w:t>
      </w:r>
      <w:r w:rsidRPr="00807A5C">
        <w:rPr>
          <w:rFonts w:cs="Times New Roman"/>
          <w:lang w:val="fr-CA"/>
        </w:rPr>
        <w:t>C/11</w:t>
      </w:r>
      <w:r w:rsidRPr="00807A5C">
        <w:rPr>
          <w:rFonts w:cs="Times New Roman"/>
          <w:lang w:val="fr-CA" w:bidi="en-US"/>
        </w:rPr>
        <w:t xml:space="preserve">). Dans l’arrêt </w:t>
      </w:r>
      <w:r w:rsidRPr="00807A5C">
        <w:rPr>
          <w:rFonts w:cs="Times New Roman"/>
          <w:i/>
          <w:lang w:val="fr-CA" w:bidi="en-US"/>
        </w:rPr>
        <w:t>Brooks</w:t>
      </w:r>
      <w:r w:rsidRPr="00807A5C">
        <w:rPr>
          <w:rFonts w:cs="Times New Roman"/>
          <w:lang w:val="fr-CA" w:bidi="en-US"/>
        </w:rPr>
        <w:t xml:space="preserve">, la Cour a jugé que le fait que le régime établi par une entreprise refusait des prestations aux employées durant leur grossesse constituait de la discrimination fondée sur le sexe. L’employeur avait fait valoir que le régime ne refusait pas de prestations aux « femmes », mais </w:t>
      </w:r>
      <w:r w:rsidRPr="00807A5C">
        <w:rPr>
          <w:rFonts w:cs="Times New Roman"/>
          <w:lang w:val="fr-CA" w:bidi="en-US"/>
        </w:rPr>
        <w:lastRenderedPageBreak/>
        <w:t xml:space="preserve">seulement aux « femmes enceintes » </w:t>
      </w:r>
      <w:r w:rsidRPr="00807A5C">
        <w:rPr>
          <w:rFonts w:cs="Times New Roman"/>
          <w:lang w:val="fr-CA"/>
        </w:rPr>
        <w:t>(</w:t>
      </w:r>
      <w:r>
        <w:rPr>
          <w:rFonts w:cs="Times New Roman"/>
          <w:lang w:val="fr-CA"/>
        </w:rPr>
        <w:t>p. </w:t>
      </w:r>
      <w:r w:rsidRPr="00807A5C">
        <w:rPr>
          <w:rFonts w:cs="Times New Roman"/>
          <w:lang w:val="fr-CA"/>
        </w:rPr>
        <w:t xml:space="preserve">1248, citant MacPherson, </w:t>
      </w:r>
      <w:r>
        <w:rPr>
          <w:rFonts w:cs="Times New Roman"/>
          <w:lang w:val="fr-CA"/>
        </w:rPr>
        <w:t>p. </w:t>
      </w:r>
      <w:r w:rsidRPr="00807A5C">
        <w:rPr>
          <w:rFonts w:cs="Times New Roman"/>
          <w:lang w:val="fr-CA"/>
        </w:rPr>
        <w:t>C/11)</w:t>
      </w:r>
      <w:r w:rsidRPr="00807A5C">
        <w:rPr>
          <w:rFonts w:cs="Times New Roman"/>
          <w:lang w:val="fr-CA" w:bidi="en-US"/>
        </w:rPr>
        <w:t>. S’exprimant au nom de la Cour, le juge en chef Dickson a expliqué que les pratiques « partiellement discriminatoires » ne sont pas moins discriminatoires que celles qui défavorisent tous les membres d’un groupe protégé (</w:t>
      </w:r>
      <w:r>
        <w:rPr>
          <w:rFonts w:cs="Times New Roman"/>
          <w:lang w:val="fr-CA" w:bidi="en-US"/>
        </w:rPr>
        <w:t>p. </w:t>
      </w:r>
      <w:r w:rsidRPr="00807A5C">
        <w:rPr>
          <w:rFonts w:cs="Times New Roman"/>
          <w:lang w:val="fr-CA" w:bidi="en-US"/>
        </w:rPr>
        <w:t>1247</w:t>
      </w:r>
      <w:r>
        <w:rPr>
          <w:rFonts w:cs="Times New Roman"/>
          <w:lang w:val="fr-CA" w:bidi="en-US"/>
        </w:rPr>
        <w:noBreakHyphen/>
      </w:r>
      <w:r w:rsidRPr="00807A5C">
        <w:rPr>
          <w:rFonts w:cs="Times New Roman"/>
          <w:lang w:val="fr-CA" w:bidi="en-US"/>
        </w:rPr>
        <w:t>1248).</w:t>
      </w:r>
    </w:p>
    <w:p w14:paraId="4B722A24" w14:textId="77777777" w:rsidR="00804EA2" w:rsidRPr="00807A5C" w:rsidRDefault="00804EA2" w:rsidP="00804EA2">
      <w:pPr>
        <w:pStyle w:val="ParaNoNdepar-AltN"/>
        <w:rPr>
          <w:rFonts w:cs="Times New Roman"/>
          <w:lang w:val="fr-CA"/>
        </w:rPr>
      </w:pPr>
      <w:r w:rsidRPr="00807A5C">
        <w:rPr>
          <w:rFonts w:cs="Times New Roman"/>
          <w:lang w:val="fr-CA" w:bidi="en-US"/>
        </w:rPr>
        <w:t xml:space="preserve">La Cour a réitéré ce principe dans l’arrêt </w:t>
      </w:r>
      <w:r w:rsidRPr="00807A5C">
        <w:rPr>
          <w:rFonts w:cs="Times New Roman"/>
          <w:i/>
          <w:lang w:val="fr-CA"/>
        </w:rPr>
        <w:t>Janzen c. Platy Enterprises Ltd.</w:t>
      </w:r>
      <w:r w:rsidRPr="00807A5C">
        <w:rPr>
          <w:rFonts w:cs="Times New Roman"/>
          <w:lang w:val="fr-CA"/>
        </w:rPr>
        <w:t>, [1989] 1 R.C.S. 1252, où elle a conclu que le harcèlement sexuel dont avait fait l’objet deux employées constituait de la discrimination fondée sur le sexe. Elle a rejeté l’argument de l’employeur selon lequel il n’y avait eu aucune discrimination fondée sur le sexe, parce que certaines des employées du magasin avaient été harcelées sexuellement. Le juge en chef Dickson a réitéré l’approche relative à la discrimination partielle qu’il avait précédemment exposée dans l’arrêt </w:t>
      </w:r>
      <w:r w:rsidRPr="00807A5C">
        <w:rPr>
          <w:rFonts w:cs="Times New Roman"/>
          <w:i/>
          <w:lang w:val="fr-CA"/>
        </w:rPr>
        <w:t>Brooks</w:t>
      </w:r>
      <w:r>
        <w:rPr>
          <w:rFonts w:cs="Times New Roman"/>
          <w:lang w:val="fr-CA"/>
        </w:rPr>
        <w:t> :</w:t>
      </w:r>
    </w:p>
    <w:p w14:paraId="75C78629" w14:textId="17B60589" w:rsidR="00804EA2" w:rsidRPr="00807A5C" w:rsidRDefault="00804EA2" w:rsidP="00804EA2">
      <w:pPr>
        <w:pStyle w:val="Citation-AltC"/>
        <w:ind w:hanging="1166"/>
        <w:rPr>
          <w:lang w:val="fr-CA" w:bidi="en-US"/>
        </w:rPr>
      </w:pPr>
      <w:r w:rsidRPr="00807A5C">
        <w:rPr>
          <w:lang w:val="fr-CA" w:bidi="en-US"/>
        </w:rPr>
        <w:tab/>
        <w:t xml:space="preserve">S’il fallait, pour conclure à la discrimination, que tous les membres du groupe visé soient traités de façon identique, la protection législative contre la discrimination aurait peu ou pas de valeur. En effet, </w:t>
      </w:r>
      <w:r w:rsidRPr="00807A5C">
        <w:rPr>
          <w:i/>
          <w:lang w:val="fr-CA" w:bidi="en-US"/>
        </w:rPr>
        <w:t>il arrive rarement qu’une mesure discriminatoire soit si nettement exprimée qu’elle s’applique de façon identique à tous les membres du groupe‑cible</w:t>
      </w:r>
      <w:r w:rsidRPr="00807A5C">
        <w:rPr>
          <w:lang w:val="fr-CA" w:bidi="en-US"/>
        </w:rPr>
        <w:t xml:space="preserve">. Dans presque tous les cas de discrimination, la mesure discriminatoire comporte divers éléments de sorte que certains membres du groupe concerné ne sont pas atteints, tout au moins de façon directe, par la mesure discriminatoire. </w:t>
      </w:r>
      <w:r w:rsidRPr="00807A5C">
        <w:rPr>
          <w:i/>
          <w:lang w:val="fr-CA" w:bidi="en-US"/>
        </w:rPr>
        <w:t>Refuser de conclure à la discrimination dans les circonstances de ce pourvoi équivaut à nier l’existence de la discrimination chaque fois que les pratiques discriminatoires ne touchent pas l’ensemble du groupe‑cible</w:t>
      </w:r>
      <w:r w:rsidRPr="00807A5C">
        <w:rPr>
          <w:lang w:val="fr-CA" w:bidi="en-US"/>
        </w:rPr>
        <w:t xml:space="preserve">. C’est affirmer, par exemple, que l’employeur qui n’engage une femme que si elle a deux fois plus de diplômes qu’un homme n’est pas coupable de discrimination sexuelle si, en dépit de cette politique, il engage tout de </w:t>
      </w:r>
      <w:r w:rsidR="00155C65">
        <w:rPr>
          <w:lang w:val="fr-CA" w:bidi="en-US"/>
        </w:rPr>
        <w:t>même quelques femmes. [Italique ajouté</w:t>
      </w:r>
      <w:r w:rsidRPr="00807A5C">
        <w:rPr>
          <w:lang w:val="fr-CA" w:bidi="en-US"/>
        </w:rPr>
        <w:t xml:space="preserve">; </w:t>
      </w:r>
      <w:r>
        <w:rPr>
          <w:lang w:val="fr-CA" w:bidi="en-US"/>
        </w:rPr>
        <w:t>p. </w:t>
      </w:r>
      <w:r w:rsidRPr="00807A5C">
        <w:rPr>
          <w:lang w:val="fr-CA" w:bidi="en-US"/>
        </w:rPr>
        <w:t>1288</w:t>
      </w:r>
      <w:r>
        <w:rPr>
          <w:lang w:val="fr-CA" w:bidi="en-US"/>
        </w:rPr>
        <w:noBreakHyphen/>
      </w:r>
      <w:r w:rsidRPr="00807A5C">
        <w:rPr>
          <w:lang w:val="fr-CA" w:bidi="en-US"/>
        </w:rPr>
        <w:t>1289.]</w:t>
      </w:r>
    </w:p>
    <w:p w14:paraId="0272BFFF" w14:textId="15F8976D" w:rsidR="00804EA2" w:rsidRPr="00807A5C" w:rsidRDefault="00804EA2" w:rsidP="00804EA2">
      <w:pPr>
        <w:pStyle w:val="ParaNoNdepar-AltN"/>
        <w:rPr>
          <w:rFonts w:cs="Times New Roman"/>
          <w:lang w:val="fr-CA" w:bidi="en-US"/>
        </w:rPr>
      </w:pPr>
      <w:r w:rsidRPr="00807A5C">
        <w:rPr>
          <w:rFonts w:cs="Times New Roman"/>
          <w:lang w:val="fr-CA" w:bidi="en-US"/>
        </w:rPr>
        <w:t xml:space="preserve">L’approche adoptée par la Cour dans les arrêts </w:t>
      </w:r>
      <w:r w:rsidRPr="00807A5C">
        <w:rPr>
          <w:rFonts w:cs="Times New Roman"/>
          <w:i/>
          <w:lang w:val="fr-CA" w:bidi="en-US"/>
        </w:rPr>
        <w:t xml:space="preserve">Brooks </w:t>
      </w:r>
      <w:r w:rsidRPr="00807A5C">
        <w:rPr>
          <w:rFonts w:cs="Times New Roman"/>
          <w:lang w:val="fr-CA" w:bidi="en-US"/>
        </w:rPr>
        <w:t xml:space="preserve">et </w:t>
      </w:r>
      <w:r w:rsidRPr="00807A5C">
        <w:rPr>
          <w:rFonts w:cs="Times New Roman"/>
          <w:i/>
          <w:lang w:val="fr-CA" w:bidi="en-US"/>
        </w:rPr>
        <w:t>Janzen</w:t>
      </w:r>
      <w:r w:rsidRPr="00807A5C">
        <w:rPr>
          <w:rFonts w:cs="Times New Roman"/>
          <w:lang w:val="fr-CA" w:bidi="en-US"/>
        </w:rPr>
        <w:t xml:space="preserve"> [</w:t>
      </w:r>
      <w:r w:rsidRPr="00807A5C">
        <w:rPr>
          <w:rFonts w:cs="Times New Roman"/>
          <w:smallCaps/>
          <w:lang w:val="fr-CA" w:bidi="en-US"/>
        </w:rPr>
        <w:t>traduction</w:t>
      </w:r>
      <w:r w:rsidRPr="00807A5C">
        <w:rPr>
          <w:rFonts w:cs="Times New Roman"/>
          <w:lang w:val="fr-CA" w:bidi="en-US"/>
        </w:rPr>
        <w:t xml:space="preserve">] « a eu des répercussions évidentes pour les demandes fondées sur de </w:t>
      </w:r>
      <w:r w:rsidRPr="00807A5C">
        <w:rPr>
          <w:rFonts w:cs="Times New Roman"/>
          <w:lang w:val="fr-CA" w:bidi="en-US"/>
        </w:rPr>
        <w:lastRenderedPageBreak/>
        <w:t xml:space="preserve">nombreux motifs de discrimination » (Dianne Pothier, « Connecting Grounds of Discrimination to Real People’s Real Experiences » (2001), 13 </w:t>
      </w:r>
      <w:r w:rsidR="00155C65">
        <w:rPr>
          <w:rFonts w:cs="Times New Roman"/>
          <w:i/>
          <w:lang w:val="fr-CA" w:bidi="en-US"/>
        </w:rPr>
        <w:t>R.F.D.</w:t>
      </w:r>
      <w:r w:rsidRPr="00807A5C">
        <w:rPr>
          <w:rFonts w:cs="Times New Roman"/>
          <w:i/>
          <w:lang w:val="fr-CA" w:bidi="en-US"/>
        </w:rPr>
        <w:t xml:space="preserve"> </w:t>
      </w:r>
      <w:r w:rsidRPr="00807A5C">
        <w:rPr>
          <w:rFonts w:cs="Times New Roman"/>
          <w:lang w:val="fr-CA" w:bidi="en-US"/>
        </w:rPr>
        <w:t xml:space="preserve">37, </w:t>
      </w:r>
      <w:r>
        <w:rPr>
          <w:rFonts w:cs="Times New Roman"/>
          <w:lang w:val="fr-CA" w:bidi="en-US"/>
        </w:rPr>
        <w:t>p. </w:t>
      </w:r>
      <w:r w:rsidRPr="00807A5C">
        <w:rPr>
          <w:rFonts w:cs="Times New Roman"/>
          <w:lang w:val="fr-CA" w:bidi="en-US"/>
        </w:rPr>
        <w:t>58). Comme l’a expliqué Dianne Pothier</w:t>
      </w:r>
      <w:r>
        <w:rPr>
          <w:rFonts w:cs="Times New Roman"/>
          <w:lang w:val="fr-CA" w:bidi="en-US"/>
        </w:rPr>
        <w:t> :</w:t>
      </w:r>
    </w:p>
    <w:p w14:paraId="2C594663" w14:textId="1A05549A" w:rsidR="00804EA2" w:rsidRPr="00807A5C" w:rsidRDefault="00804EA2" w:rsidP="00804EA2">
      <w:pPr>
        <w:pStyle w:val="Citation-AltC"/>
        <w:ind w:left="1168" w:hanging="1168"/>
        <w:contextualSpacing w:val="0"/>
        <w:rPr>
          <w:lang w:val="fr-CA"/>
        </w:rPr>
      </w:pPr>
      <w:r w:rsidRPr="00807A5C">
        <w:rPr>
          <w:lang w:val="fr-CA"/>
        </w:rPr>
        <w:tab/>
      </w:r>
      <w:r w:rsidR="00155C65" w:rsidRPr="00807A5C">
        <w:rPr>
          <w:lang w:val="fr-CA" w:bidi="en-US"/>
        </w:rPr>
        <w:t>[</w:t>
      </w:r>
      <w:r w:rsidR="00155C65" w:rsidRPr="00807A5C">
        <w:rPr>
          <w:smallCaps/>
          <w:lang w:val="fr-CA"/>
        </w:rPr>
        <w:t>traduction</w:t>
      </w:r>
      <w:r w:rsidR="00155C65" w:rsidRPr="00807A5C">
        <w:rPr>
          <w:lang w:val="fr-CA" w:bidi="en-US"/>
        </w:rPr>
        <w:t>]</w:t>
      </w:r>
      <w:r w:rsidR="00155C65">
        <w:rPr>
          <w:lang w:val="fr-CA" w:bidi="en-US"/>
        </w:rPr>
        <w:t xml:space="preserve"> </w:t>
      </w:r>
      <w:r w:rsidRPr="00807A5C">
        <w:rPr>
          <w:lang w:val="fr-CA"/>
        </w:rPr>
        <w:t xml:space="preserve">Il est facile de passer de l’affirmation, comme dans </w:t>
      </w:r>
      <w:r w:rsidRPr="00807A5C">
        <w:rPr>
          <w:i/>
          <w:lang w:val="fr-CA"/>
        </w:rPr>
        <w:t>Janzen</w:t>
      </w:r>
      <w:r w:rsidRPr="007543FD">
        <w:rPr>
          <w:i/>
          <w:lang w:val="fr-CA"/>
        </w:rPr>
        <w:t>,</w:t>
      </w:r>
      <w:r w:rsidRPr="00807A5C">
        <w:rPr>
          <w:i/>
          <w:lang w:val="fr-CA"/>
        </w:rPr>
        <w:t xml:space="preserve"> </w:t>
      </w:r>
      <w:r w:rsidRPr="00807A5C">
        <w:rPr>
          <w:lang w:val="fr-CA"/>
        </w:rPr>
        <w:t xml:space="preserve">que toutes les femmes n’ont pas à être touchées pour qu’il y ait discrimination fondée sur le sexe à accepter également que divers groupes de femmes [. . .] peut être atteintes différemment par ce type de discrimination ou vivre des expériences différentes à cet égard. L’arrêt </w:t>
      </w:r>
      <w:r w:rsidRPr="00807A5C">
        <w:rPr>
          <w:i/>
          <w:lang w:val="fr-CA"/>
        </w:rPr>
        <w:t xml:space="preserve">Janzen </w:t>
      </w:r>
      <w:r w:rsidRPr="00807A5C">
        <w:rPr>
          <w:lang w:val="fr-CA"/>
        </w:rPr>
        <w:t xml:space="preserve">établit en outre qu’on ne peut faire échec à une demande reposant, par exemple, à la fois sur le sexe et la race simplement en disant qu’il ne pouvait s’agir de discrimination fondée sur le sexe parce que les femmes blanches n’ont pas été touchées ou qu’il ne pouvait s’agir de discrimination fondée sur la race parce que les hommes noirs ne l’ont pas été. </w:t>
      </w:r>
      <w:r w:rsidRPr="00807A5C">
        <w:t>[</w:t>
      </w:r>
      <w:r>
        <w:rPr>
          <w:lang w:val="fr-CA"/>
        </w:rPr>
        <w:t>p. </w:t>
      </w:r>
      <w:r w:rsidRPr="00807A5C">
        <w:rPr>
          <w:lang w:val="fr-CA"/>
        </w:rPr>
        <w:t xml:space="preserve">58] </w:t>
      </w:r>
    </w:p>
    <w:p w14:paraId="77EE1660" w14:textId="77777777" w:rsidR="00804EA2" w:rsidRPr="00807A5C" w:rsidRDefault="00804EA2" w:rsidP="00804EA2">
      <w:pPr>
        <w:pStyle w:val="ParaNoNdepar-AltN"/>
        <w:rPr>
          <w:rFonts w:cs="Times New Roman"/>
          <w:lang w:val="fr-CA"/>
        </w:rPr>
      </w:pPr>
      <w:r w:rsidRPr="00807A5C">
        <w:rPr>
          <w:rFonts w:cs="Times New Roman"/>
          <w:lang w:val="fr-CA"/>
        </w:rPr>
        <w:t>La Cour a par la suite confirmé que « l’hétérogénéité d’un groupe de demandeurs n’est pas fatale à une plainte de discrimination » (</w:t>
      </w:r>
      <w:r w:rsidRPr="00807A5C">
        <w:rPr>
          <w:rFonts w:cs="Times New Roman"/>
          <w:i/>
          <w:lang w:val="fr-CA"/>
        </w:rPr>
        <w:t>Québec c. A</w:t>
      </w:r>
      <w:r w:rsidRPr="00807A5C">
        <w:rPr>
          <w:rFonts w:cs="Times New Roman"/>
          <w:lang w:val="fr-CA"/>
        </w:rPr>
        <w:t xml:space="preserve">, </w:t>
      </w:r>
      <w:r>
        <w:rPr>
          <w:rFonts w:cs="Times New Roman"/>
          <w:lang w:val="fr-CA"/>
        </w:rPr>
        <w:t>par. </w:t>
      </w:r>
      <w:r w:rsidRPr="00807A5C">
        <w:rPr>
          <w:rFonts w:cs="Times New Roman"/>
          <w:lang w:val="fr-CA"/>
        </w:rPr>
        <w:t xml:space="preserve">354). Par exemple, dans l’arrêt </w:t>
      </w:r>
      <w:r w:rsidRPr="00807A5C">
        <w:rPr>
          <w:rFonts w:cs="Times New Roman"/>
          <w:i/>
          <w:lang w:val="fr-CA"/>
        </w:rPr>
        <w:t>Québec c. A</w:t>
      </w:r>
      <w:r w:rsidRPr="00807A5C">
        <w:rPr>
          <w:rFonts w:cs="Times New Roman"/>
          <w:lang w:val="fr-CA"/>
        </w:rPr>
        <w:t xml:space="preserve">, elle a conclu que certaines dispositions du </w:t>
      </w:r>
      <w:r w:rsidRPr="00807A5C">
        <w:rPr>
          <w:rFonts w:cs="Times New Roman"/>
          <w:i/>
          <w:lang w:val="fr-CA"/>
        </w:rPr>
        <w:t>Code civil du Québec</w:t>
      </w:r>
      <w:r w:rsidRPr="00807A5C">
        <w:rPr>
          <w:rFonts w:cs="Times New Roman"/>
          <w:lang w:val="fr-CA"/>
        </w:rPr>
        <w:t xml:space="preserve"> établissant une distinction entre les conjoints de fait et les couples légalement mariés aux fins du soutien alimentaire et du partage des biens constituaient de la discrimination fondée sur l’état matrimoni</w:t>
      </w:r>
      <w:r>
        <w:rPr>
          <w:rFonts w:cs="Times New Roman"/>
          <w:lang w:val="fr-CA"/>
        </w:rPr>
        <w:t>al. </w:t>
      </w:r>
      <w:r w:rsidRPr="00807A5C">
        <w:rPr>
          <w:rFonts w:cs="Times New Roman"/>
          <w:lang w:val="fr-CA"/>
        </w:rPr>
        <w:t>Elle a tiré cette conclusion même s’il existait « un éventail de besoins ou de situations de vulnérabilité à l’intérieur du groupe des conjoints de fait » (</w:t>
      </w:r>
      <w:r>
        <w:rPr>
          <w:rFonts w:cs="Times New Roman"/>
          <w:lang w:val="fr-CA"/>
        </w:rPr>
        <w:t>par. </w:t>
      </w:r>
      <w:r w:rsidRPr="00807A5C">
        <w:rPr>
          <w:rFonts w:cs="Times New Roman"/>
          <w:lang w:val="fr-CA"/>
        </w:rPr>
        <w:t xml:space="preserve">354). De même, dans l’arrêt </w:t>
      </w:r>
      <w:r w:rsidRPr="00807A5C">
        <w:rPr>
          <w:rFonts w:cs="Times New Roman"/>
          <w:i/>
          <w:lang w:val="fr-CA"/>
        </w:rPr>
        <w:t>Nouvelle</w:t>
      </w:r>
      <w:r>
        <w:rPr>
          <w:rFonts w:cs="Times New Roman"/>
          <w:i/>
          <w:lang w:val="fr-CA"/>
        </w:rPr>
        <w:noBreakHyphen/>
      </w:r>
      <w:r w:rsidRPr="00807A5C">
        <w:rPr>
          <w:rFonts w:cs="Times New Roman"/>
          <w:i/>
          <w:lang w:val="fr-CA"/>
        </w:rPr>
        <w:t>Écosse (Workers’ Compensation Board) c. Martin</w:t>
      </w:r>
      <w:r w:rsidRPr="00807A5C">
        <w:rPr>
          <w:rFonts w:cs="Times New Roman"/>
          <w:lang w:val="fr-CA"/>
        </w:rPr>
        <w:t xml:space="preserve">, [2003] 2 R.C.S. 504, la Cour a conclu qu’un régime d’indemnisation provincial offrant des prestations moins élevées aux personnes souffrant de douleur chronique constituait de la discrimination fondée sur l’incapacité. Elle a confirmé qu’une « différence de traitement peut reposer sur un motif énuméré même lorsque les membres du groupe pertinent ne sont pas tous également </w:t>
      </w:r>
      <w:r w:rsidRPr="00807A5C">
        <w:rPr>
          <w:rFonts w:cs="Times New Roman"/>
          <w:lang w:val="fr-CA"/>
        </w:rPr>
        <w:lastRenderedPageBreak/>
        <w:t>maltraités » (</w:t>
      </w:r>
      <w:r>
        <w:rPr>
          <w:rFonts w:cs="Times New Roman"/>
          <w:lang w:val="fr-CA"/>
        </w:rPr>
        <w:t>par. </w:t>
      </w:r>
      <w:r w:rsidRPr="00807A5C">
        <w:rPr>
          <w:rFonts w:cs="Times New Roman"/>
          <w:lang w:val="fr-CA"/>
        </w:rPr>
        <w:t xml:space="preserve">76; voir aussi </w:t>
      </w:r>
      <w:r w:rsidRPr="00807A5C">
        <w:rPr>
          <w:rFonts w:cs="Times New Roman"/>
          <w:i/>
          <w:lang w:val="fr-CA"/>
        </w:rPr>
        <w:t>Centrale</w:t>
      </w:r>
      <w:r w:rsidRPr="00807A5C">
        <w:rPr>
          <w:rFonts w:cs="Times New Roman"/>
          <w:lang w:val="fr-CA"/>
        </w:rPr>
        <w:t xml:space="preserve">, </w:t>
      </w:r>
      <w:r>
        <w:rPr>
          <w:rFonts w:cs="Times New Roman"/>
          <w:lang w:val="fr-CA"/>
        </w:rPr>
        <w:t>par. </w:t>
      </w:r>
      <w:r w:rsidRPr="00807A5C">
        <w:rPr>
          <w:rFonts w:cs="Times New Roman"/>
          <w:lang w:val="fr-CA"/>
        </w:rPr>
        <w:t xml:space="preserve">28; Pothier (2010), </w:t>
      </w:r>
      <w:r>
        <w:rPr>
          <w:rFonts w:cs="Times New Roman"/>
          <w:lang w:val="fr-CA"/>
        </w:rPr>
        <w:t>p. </w:t>
      </w:r>
      <w:r w:rsidRPr="00807A5C">
        <w:rPr>
          <w:rFonts w:cs="Times New Roman"/>
          <w:lang w:val="fr-CA"/>
        </w:rPr>
        <w:t>35</w:t>
      </w:r>
      <w:r>
        <w:rPr>
          <w:rFonts w:cs="Times New Roman"/>
          <w:lang w:val="fr-CA"/>
        </w:rPr>
        <w:noBreakHyphen/>
      </w:r>
      <w:r w:rsidRPr="00807A5C">
        <w:rPr>
          <w:rFonts w:cs="Times New Roman"/>
          <w:lang w:val="fr-CA"/>
        </w:rPr>
        <w:t xml:space="preserve">36; Watson Hamilton et Koshan (2015), </w:t>
      </w:r>
      <w:r>
        <w:rPr>
          <w:rFonts w:cs="Times New Roman"/>
          <w:lang w:val="fr-CA"/>
        </w:rPr>
        <w:t>p. </w:t>
      </w:r>
      <w:r w:rsidRPr="00807A5C">
        <w:rPr>
          <w:rFonts w:cs="Times New Roman"/>
          <w:lang w:val="fr-CA"/>
        </w:rPr>
        <w:t>197</w:t>
      </w:r>
      <w:r>
        <w:rPr>
          <w:rFonts w:cs="Times New Roman"/>
          <w:lang w:val="fr-CA"/>
        </w:rPr>
        <w:noBreakHyphen/>
      </w:r>
      <w:r w:rsidRPr="00807A5C">
        <w:rPr>
          <w:rFonts w:cs="Times New Roman"/>
          <w:lang w:val="fr-CA"/>
        </w:rPr>
        <w:t>198;</w:t>
      </w:r>
      <w:r w:rsidRPr="00807A5C">
        <w:rPr>
          <w:rFonts w:eastAsia="Times New Roman" w:cs="Times New Roman"/>
          <w:szCs w:val="24"/>
          <w:lang w:val="fr-CA"/>
        </w:rPr>
        <w:t xml:space="preserve"> Braun</w:t>
      </w:r>
      <w:r w:rsidRPr="00807A5C">
        <w:rPr>
          <w:rFonts w:cs="Times New Roman"/>
          <w:lang w:val="fr-CA"/>
        </w:rPr>
        <w:t xml:space="preserve">, </w:t>
      </w:r>
      <w:r>
        <w:rPr>
          <w:rFonts w:cs="Times New Roman"/>
          <w:lang w:val="fr-CA"/>
        </w:rPr>
        <w:t>p. </w:t>
      </w:r>
      <w:r w:rsidRPr="00807A5C">
        <w:rPr>
          <w:rFonts w:eastAsia="Times New Roman" w:cs="Times New Roman"/>
          <w:szCs w:val="24"/>
          <w:lang w:val="fr-CA"/>
        </w:rPr>
        <w:t xml:space="preserve">147; Sheppard (2001), </w:t>
      </w:r>
      <w:r>
        <w:rPr>
          <w:rFonts w:cs="Times New Roman"/>
          <w:lang w:val="fr-CA" w:bidi="en-US"/>
        </w:rPr>
        <w:t>p. </w:t>
      </w:r>
      <w:r w:rsidRPr="00807A5C">
        <w:rPr>
          <w:rFonts w:cs="Times New Roman"/>
          <w:lang w:val="fr-CA" w:bidi="en-US"/>
        </w:rPr>
        <w:t>549).</w:t>
      </w:r>
    </w:p>
    <w:p w14:paraId="03DD4A57" w14:textId="6F5FF41E" w:rsidR="00804EA2" w:rsidRPr="00807A5C" w:rsidRDefault="00804EA2" w:rsidP="00804EA2">
      <w:pPr>
        <w:pStyle w:val="ParaNoNdepar-AltN"/>
        <w:rPr>
          <w:rFonts w:cs="Times New Roman"/>
          <w:lang w:val="fr-CA"/>
        </w:rPr>
      </w:pPr>
      <w:r w:rsidRPr="00807A5C">
        <w:rPr>
          <w:rFonts w:cs="Times New Roman"/>
          <w:lang w:val="fr-CA"/>
        </w:rPr>
        <w:t>Cela nous amène à la deuxième étape de l’analyse relative à l’</w:t>
      </w:r>
      <w:r>
        <w:rPr>
          <w:rFonts w:cs="Times New Roman"/>
          <w:lang w:val="fr-CA"/>
        </w:rPr>
        <w:t>art. </w:t>
      </w:r>
      <w:r w:rsidRPr="00807A5C">
        <w:rPr>
          <w:rFonts w:cs="Times New Roman"/>
          <w:lang w:val="fr-CA"/>
        </w:rPr>
        <w:t>15</w:t>
      </w:r>
      <w:r>
        <w:rPr>
          <w:rFonts w:cs="Times New Roman"/>
          <w:lang w:val="fr-CA"/>
        </w:rPr>
        <w:t> :</w:t>
      </w:r>
      <w:r w:rsidRPr="00807A5C">
        <w:rPr>
          <w:rFonts w:cs="Times New Roman"/>
          <w:lang w:val="fr-CA"/>
        </w:rPr>
        <w:t xml:space="preserve"> la question de savoir si la loi a pour effet de renforcer, de perpétuer ou d’accentuer un désavantage (</w:t>
      </w:r>
      <w:r w:rsidRPr="00807A5C">
        <w:rPr>
          <w:rFonts w:cs="Times New Roman"/>
          <w:i/>
          <w:lang w:val="fr-CA"/>
        </w:rPr>
        <w:t>Alliance</w:t>
      </w:r>
      <w:r w:rsidRPr="00807A5C">
        <w:rPr>
          <w:rFonts w:cs="Times New Roman"/>
          <w:lang w:val="fr-CA"/>
        </w:rPr>
        <w:t xml:space="preserve">, </w:t>
      </w:r>
      <w:r>
        <w:rPr>
          <w:rFonts w:cs="Times New Roman"/>
          <w:lang w:val="fr-CA"/>
        </w:rPr>
        <w:t>par. </w:t>
      </w:r>
      <w:r w:rsidRPr="00807A5C">
        <w:rPr>
          <w:rFonts w:cs="Times New Roman"/>
          <w:lang w:val="fr-CA"/>
        </w:rPr>
        <w:t>25). Cet examen se déroule habituellement de la même façon dans les cas d’effet distinct et de discrimination explicite. Il n’existe pas de « modèle rigide » de facteurs pertinents à prendre en considération dans cette analyse (</w:t>
      </w:r>
      <w:r>
        <w:rPr>
          <w:rFonts w:cs="Times New Roman"/>
          <w:i/>
          <w:lang w:val="fr-CA"/>
        </w:rPr>
        <w:t>Québec c. A</w:t>
      </w:r>
      <w:r w:rsidRPr="00807A5C">
        <w:rPr>
          <w:rFonts w:cs="Times New Roman"/>
          <w:lang w:val="fr-CA"/>
        </w:rPr>
        <w:t xml:space="preserve">, </w:t>
      </w:r>
      <w:r>
        <w:rPr>
          <w:rFonts w:cs="Times New Roman"/>
          <w:lang w:val="fr-CA"/>
        </w:rPr>
        <w:t>par. </w:t>
      </w:r>
      <w:r w:rsidRPr="00807A5C">
        <w:rPr>
          <w:rFonts w:cs="Times New Roman"/>
          <w:lang w:val="fr-CA"/>
        </w:rPr>
        <w:t>3</w:t>
      </w:r>
      <w:r w:rsidR="00BF19BC">
        <w:rPr>
          <w:rFonts w:cs="Times New Roman"/>
          <w:lang w:val="fr-CA"/>
        </w:rPr>
        <w:t>3</w:t>
      </w:r>
      <w:r w:rsidRPr="00807A5C">
        <w:rPr>
          <w:rFonts w:cs="Times New Roman"/>
          <w:lang w:val="fr-CA"/>
        </w:rPr>
        <w:t xml:space="preserve">1, citant </w:t>
      </w:r>
      <w:r w:rsidRPr="00807A5C">
        <w:rPr>
          <w:rFonts w:cs="Times New Roman"/>
          <w:i/>
          <w:lang w:val="fr-CA"/>
        </w:rPr>
        <w:t>Withler</w:t>
      </w:r>
      <w:r w:rsidRPr="00807A5C">
        <w:rPr>
          <w:rFonts w:cs="Times New Roman"/>
          <w:lang w:val="fr-CA"/>
        </w:rPr>
        <w:t xml:space="preserve">, </w:t>
      </w:r>
      <w:r>
        <w:rPr>
          <w:rFonts w:cs="Times New Roman"/>
          <w:lang w:val="fr-CA"/>
        </w:rPr>
        <w:t>par. </w:t>
      </w:r>
      <w:r w:rsidRPr="00807A5C">
        <w:rPr>
          <w:rFonts w:cs="Times New Roman"/>
          <w:lang w:val="fr-CA"/>
        </w:rPr>
        <w:t>66). L’objectif est d’examiner l’effet du préjudice causé au groupe touché. Le préjudice peut inclure [</w:t>
      </w:r>
      <w:r w:rsidRPr="00807A5C">
        <w:rPr>
          <w:rFonts w:cs="Times New Roman"/>
          <w:smallCaps/>
          <w:lang w:val="fr-CA"/>
        </w:rPr>
        <w:t>traduction</w:t>
      </w:r>
      <w:r w:rsidRPr="00807A5C">
        <w:rPr>
          <w:rFonts w:cs="Times New Roman"/>
          <w:lang w:val="fr-CA"/>
        </w:rPr>
        <w:t xml:space="preserve">] « une exclusion ou un désavantage économique, une exclusion sociale [. . .] des préjudices psychologiques [. . .] des préjudices physiques [. . .], [ou] une exclusion politique », et il doit être examiné à la lumière des désavantages systémiques ou historiques auxquels fait face le groupe de demandeurs (Sheppard (2010), </w:t>
      </w:r>
      <w:r>
        <w:rPr>
          <w:rFonts w:cs="Times New Roman"/>
          <w:lang w:val="fr-CA"/>
        </w:rPr>
        <w:t>p. </w:t>
      </w:r>
      <w:r w:rsidRPr="00807A5C">
        <w:rPr>
          <w:rFonts w:cs="Times New Roman"/>
          <w:lang w:val="fr-CA"/>
        </w:rPr>
        <w:t>62</w:t>
      </w:r>
      <w:r>
        <w:rPr>
          <w:rFonts w:cs="Times New Roman"/>
          <w:lang w:val="fr-CA"/>
        </w:rPr>
        <w:noBreakHyphen/>
      </w:r>
      <w:r w:rsidRPr="00807A5C">
        <w:rPr>
          <w:rFonts w:cs="Times New Roman"/>
          <w:lang w:val="fr-CA"/>
        </w:rPr>
        <w:t xml:space="preserve">63 (soulignement supprimé)). </w:t>
      </w:r>
    </w:p>
    <w:p w14:paraId="5B79A539" w14:textId="356C322E" w:rsidR="00804EA2" w:rsidRPr="00807A5C" w:rsidRDefault="00804EA2" w:rsidP="00804EA2">
      <w:pPr>
        <w:pStyle w:val="ParaNoNdepar-AltN"/>
        <w:rPr>
          <w:rFonts w:cs="Times New Roman"/>
          <w:lang w:val="fr-CA"/>
        </w:rPr>
      </w:pPr>
      <w:r w:rsidRPr="00807A5C">
        <w:rPr>
          <w:rFonts w:cs="Times New Roman"/>
          <w:lang w:val="fr-CA"/>
        </w:rPr>
        <w:t xml:space="preserve">Le but de l’examen est de faire en sorte que le </w:t>
      </w:r>
      <w:r>
        <w:rPr>
          <w:rFonts w:cs="Times New Roman"/>
          <w:lang w:val="fr-CA"/>
        </w:rPr>
        <w:t>par. </w:t>
      </w:r>
      <w:r w:rsidRPr="00807A5C">
        <w:rPr>
          <w:rFonts w:cs="Times New Roman"/>
          <w:lang w:val="fr-CA"/>
        </w:rPr>
        <w:t>15(1) reste axé sur la protection des groupes qui sont défavorisés et exclus en raison de leurs caractéristiques, de même que sur la protection des personnes [</w:t>
      </w:r>
      <w:r w:rsidRPr="00807A5C">
        <w:rPr>
          <w:rFonts w:cs="Times New Roman"/>
          <w:smallCaps/>
          <w:lang w:val="fr-CA"/>
        </w:rPr>
        <w:t>traduction</w:t>
      </w:r>
      <w:r w:rsidRPr="00807A5C">
        <w:rPr>
          <w:rFonts w:cs="Times New Roman"/>
          <w:lang w:val="fr-CA"/>
        </w:rPr>
        <w:t>] « qui appartiennent à plus d’un groupe socialement défavorisé dans la société » (Colleen Sheppard, « Grounds of Discrimination</w:t>
      </w:r>
      <w:r w:rsidR="00103D64">
        <w:rPr>
          <w:rFonts w:cs="Times New Roman"/>
          <w:lang w:val="fr-CA"/>
        </w:rPr>
        <w:t> </w:t>
      </w:r>
      <w:r w:rsidRPr="00807A5C">
        <w:rPr>
          <w:rFonts w:cs="Times New Roman"/>
          <w:lang w:val="fr-CA"/>
        </w:rPr>
        <w:t xml:space="preserve">: Towards an Inclusive and Contextual Approach » (2001), 80 </w:t>
      </w:r>
      <w:r w:rsidRPr="00807A5C">
        <w:rPr>
          <w:rFonts w:cs="Times New Roman"/>
          <w:i/>
          <w:lang w:val="fr-CA"/>
        </w:rPr>
        <w:t xml:space="preserve">Rev. </w:t>
      </w:r>
      <w:r w:rsidR="00103D64">
        <w:rPr>
          <w:rFonts w:cs="Times New Roman"/>
          <w:i/>
          <w:lang w:val="fr-CA"/>
        </w:rPr>
        <w:t xml:space="preserve">du </w:t>
      </w:r>
      <w:r w:rsidRPr="00807A5C">
        <w:rPr>
          <w:rFonts w:cs="Times New Roman"/>
          <w:i/>
          <w:lang w:val="fr-CA"/>
        </w:rPr>
        <w:t xml:space="preserve">B. can. </w:t>
      </w:r>
      <w:r w:rsidRPr="00807A5C">
        <w:rPr>
          <w:rFonts w:cs="Times New Roman"/>
          <w:lang w:val="fr-CA"/>
        </w:rPr>
        <w:t xml:space="preserve">893, </w:t>
      </w:r>
      <w:r>
        <w:rPr>
          <w:rFonts w:cs="Times New Roman"/>
          <w:lang w:val="fr-CA"/>
        </w:rPr>
        <w:t>p. </w:t>
      </w:r>
      <w:r w:rsidRPr="00807A5C">
        <w:rPr>
          <w:rFonts w:cs="Times New Roman"/>
          <w:lang w:val="fr-CA"/>
        </w:rPr>
        <w:t xml:space="preserve">896; voir aussi </w:t>
      </w:r>
      <w:r w:rsidRPr="00807A5C">
        <w:rPr>
          <w:rFonts w:cs="Times New Roman"/>
          <w:i/>
          <w:lang w:val="fr-CA"/>
        </w:rPr>
        <w:t>Withler</w:t>
      </w:r>
      <w:r w:rsidRPr="00807A5C">
        <w:rPr>
          <w:rFonts w:cs="Times New Roman"/>
          <w:lang w:val="fr-CA"/>
        </w:rPr>
        <w:t xml:space="preserve">, </w:t>
      </w:r>
      <w:r>
        <w:rPr>
          <w:rFonts w:cs="Times New Roman"/>
          <w:lang w:val="fr-CA"/>
        </w:rPr>
        <w:t>par. </w:t>
      </w:r>
      <w:r w:rsidRPr="00807A5C">
        <w:rPr>
          <w:rFonts w:cs="Times New Roman"/>
          <w:lang w:val="fr-CA"/>
        </w:rPr>
        <w:t xml:space="preserve">58). Comme la Cour l’a précisé dans </w:t>
      </w:r>
      <w:r w:rsidRPr="00807A5C">
        <w:rPr>
          <w:rFonts w:cs="Times New Roman"/>
          <w:i/>
          <w:lang w:val="fr-CA"/>
        </w:rPr>
        <w:t>Québec c. A</w:t>
      </w:r>
      <w:r w:rsidRPr="00807A5C">
        <w:rPr>
          <w:rFonts w:cs="Times New Roman"/>
          <w:lang w:val="fr-CA"/>
        </w:rPr>
        <w:t xml:space="preserve"> au moment d’aborder la deuxième étape de l’analyse relative à l’</w:t>
      </w:r>
      <w:r>
        <w:rPr>
          <w:rFonts w:cs="Times New Roman"/>
          <w:lang w:val="fr-CA"/>
        </w:rPr>
        <w:t>art. </w:t>
      </w:r>
      <w:r w:rsidRPr="00807A5C">
        <w:rPr>
          <w:rFonts w:cs="Times New Roman"/>
          <w:lang w:val="fr-CA"/>
        </w:rPr>
        <w:t>15</w:t>
      </w:r>
      <w:r>
        <w:rPr>
          <w:rFonts w:cs="Times New Roman"/>
          <w:lang w:val="fr-CA"/>
        </w:rPr>
        <w:t> :</w:t>
      </w:r>
    </w:p>
    <w:p w14:paraId="64C46FB2" w14:textId="77777777" w:rsidR="00804EA2" w:rsidRPr="00807A5C" w:rsidRDefault="00804EA2" w:rsidP="0061523E">
      <w:pPr>
        <w:pStyle w:val="Citation-AltC"/>
        <w:spacing w:after="480"/>
        <w:ind w:hanging="1166"/>
        <w:contextualSpacing w:val="0"/>
        <w:rPr>
          <w:lang w:val="fr-CA"/>
        </w:rPr>
      </w:pPr>
      <w:r w:rsidRPr="00807A5C">
        <w:rPr>
          <w:lang w:val="fr-CA"/>
        </w:rPr>
        <w:lastRenderedPageBreak/>
        <w:tab/>
      </w:r>
      <w:r w:rsidRPr="00807A5C">
        <w:rPr>
          <w:lang w:val="fr-CA"/>
        </w:rPr>
        <w:tab/>
        <w:t>À la base, l’</w:t>
      </w:r>
      <w:r>
        <w:rPr>
          <w:lang w:val="fr-CA"/>
        </w:rPr>
        <w:t>art. </w:t>
      </w:r>
      <w:r w:rsidRPr="00807A5C">
        <w:rPr>
          <w:lang w:val="fr-CA"/>
        </w:rPr>
        <w:t>15 résulte d’une prise de conscience que certains groupes ont depuis longtemps été victimes de discrimination, et qu’il faut mettre fin à la perpétuation de cette discrimination. [</w:t>
      </w:r>
      <w:r>
        <w:rPr>
          <w:lang w:val="fr-CA"/>
        </w:rPr>
        <w:t>par. </w:t>
      </w:r>
      <w:r w:rsidRPr="00807A5C">
        <w:rPr>
          <w:lang w:val="fr-CA"/>
        </w:rPr>
        <w:t>332]</w:t>
      </w:r>
    </w:p>
    <w:p w14:paraId="5EFDE065" w14:textId="77777777" w:rsidR="00804EA2" w:rsidRPr="00807A5C" w:rsidRDefault="00804EA2" w:rsidP="00804EA2">
      <w:pPr>
        <w:pStyle w:val="ContinueParaSuitedupar-AltP"/>
        <w:rPr>
          <w:rFonts w:cs="Times New Roman"/>
          <w:lang w:val="fr-CA"/>
        </w:rPr>
      </w:pPr>
      <w:r w:rsidRPr="00807A5C">
        <w:rPr>
          <w:rFonts w:cs="Times New Roman"/>
          <w:lang w:val="fr-CA"/>
        </w:rPr>
        <w:t xml:space="preserve">(Voir aussi </w:t>
      </w:r>
      <w:r w:rsidRPr="00807A5C">
        <w:rPr>
          <w:rFonts w:cs="Times New Roman"/>
          <w:i/>
          <w:lang w:val="fr-CA"/>
        </w:rPr>
        <w:t>Taypotat</w:t>
      </w:r>
      <w:r w:rsidRPr="00807A5C">
        <w:rPr>
          <w:rFonts w:cs="Times New Roman"/>
          <w:lang w:val="fr-CA"/>
        </w:rPr>
        <w:t xml:space="preserve">, </w:t>
      </w:r>
      <w:r>
        <w:rPr>
          <w:rFonts w:cs="Times New Roman"/>
          <w:lang w:val="fr-CA"/>
        </w:rPr>
        <w:t>par. </w:t>
      </w:r>
      <w:r w:rsidRPr="00807A5C">
        <w:rPr>
          <w:rFonts w:cs="Times New Roman"/>
          <w:lang w:val="fr-CA"/>
        </w:rPr>
        <w:t>20.)</w:t>
      </w:r>
    </w:p>
    <w:p w14:paraId="4C966FA3" w14:textId="77777777" w:rsidR="00804EA2" w:rsidRPr="00807A5C" w:rsidRDefault="00804EA2" w:rsidP="00804EA2">
      <w:pPr>
        <w:pStyle w:val="ParaNoNdepar-AltN"/>
        <w:rPr>
          <w:rFonts w:cs="Times New Roman"/>
          <w:lang w:val="fr-CA"/>
        </w:rPr>
      </w:pPr>
      <w:r w:rsidRPr="00807A5C">
        <w:rPr>
          <w:rFonts w:cs="Times New Roman"/>
          <w:lang w:val="fr-CA"/>
        </w:rPr>
        <w:t xml:space="preserve">En particulier, la présence de préjugés et l’application de stéréotypes sociaux ne sont pas nécessairement des facteurs à prendre en compte dans l’analyse relative au </w:t>
      </w:r>
      <w:r>
        <w:rPr>
          <w:rFonts w:cs="Times New Roman"/>
          <w:lang w:val="fr-CA"/>
        </w:rPr>
        <w:t>par. </w:t>
      </w:r>
      <w:r w:rsidRPr="00807A5C">
        <w:rPr>
          <w:rFonts w:cs="Times New Roman"/>
          <w:lang w:val="fr-CA"/>
        </w:rPr>
        <w:t>15(1). Ceux</w:t>
      </w:r>
      <w:r>
        <w:rPr>
          <w:rFonts w:cs="Times New Roman"/>
          <w:lang w:val="fr-CA"/>
        </w:rPr>
        <w:noBreakHyphen/>
      </w:r>
      <w:r w:rsidRPr="00807A5C">
        <w:rPr>
          <w:rFonts w:cs="Times New Roman"/>
          <w:lang w:val="fr-CA"/>
        </w:rPr>
        <w:t>ci peuvent aider à démontrer qu’une loi a des effets négatifs sur un groupe particulier, mais ils ne sont « ni des éléments particuliers du critère établi dans l’arrêt </w:t>
      </w:r>
      <w:r w:rsidRPr="00807A5C">
        <w:rPr>
          <w:rFonts w:cs="Times New Roman"/>
          <w:i/>
          <w:lang w:val="fr-CA"/>
        </w:rPr>
        <w:t>Andrews</w:t>
      </w:r>
      <w:r w:rsidRPr="00807A5C">
        <w:rPr>
          <w:rFonts w:cs="Times New Roman"/>
          <w:lang w:val="fr-CA"/>
        </w:rPr>
        <w:t>, ni des catégories auxquelles doit se rattacher la plainte de discrimination » (</w:t>
      </w:r>
      <w:r w:rsidRPr="00807A5C">
        <w:rPr>
          <w:rFonts w:cs="Times New Roman"/>
          <w:i/>
          <w:lang w:val="fr-CA"/>
        </w:rPr>
        <w:t>Québec c. A</w:t>
      </w:r>
      <w:r w:rsidRPr="00807A5C">
        <w:rPr>
          <w:rFonts w:cs="Times New Roman"/>
          <w:lang w:val="fr-CA"/>
        </w:rPr>
        <w:t xml:space="preserve">, au </w:t>
      </w:r>
      <w:r>
        <w:rPr>
          <w:rFonts w:cs="Times New Roman"/>
          <w:lang w:val="fr-CA"/>
        </w:rPr>
        <w:t>para. </w:t>
      </w:r>
      <w:r w:rsidRPr="00807A5C">
        <w:rPr>
          <w:rFonts w:cs="Times New Roman"/>
          <w:lang w:val="fr-CA"/>
        </w:rPr>
        <w:t>329), car </w:t>
      </w:r>
    </w:p>
    <w:p w14:paraId="42459E1A" w14:textId="6630BEB8" w:rsidR="00804EA2" w:rsidRPr="00807A5C" w:rsidRDefault="00804EA2" w:rsidP="0061523E">
      <w:pPr>
        <w:pStyle w:val="Citation-AltC"/>
        <w:spacing w:after="480"/>
        <w:ind w:hanging="1166"/>
        <w:contextualSpacing w:val="0"/>
      </w:pPr>
      <w:r w:rsidRPr="00807A5C">
        <w:rPr>
          <w:lang w:val="fr-CA"/>
        </w:rPr>
        <w:tab/>
      </w:r>
      <w:r w:rsidRPr="00807A5C">
        <w:rPr>
          <w:lang w:val="fr-CA"/>
        </w:rPr>
        <w:tab/>
        <w:t xml:space="preserve">[i]l faut se garder de considérer que les arrêts </w:t>
      </w:r>
      <w:r w:rsidRPr="00807A5C">
        <w:rPr>
          <w:i/>
          <w:lang w:val="fr-CA"/>
        </w:rPr>
        <w:t>Kapp</w:t>
      </w:r>
      <w:r w:rsidRPr="00807A5C">
        <w:rPr>
          <w:lang w:val="fr-CA"/>
        </w:rPr>
        <w:t xml:space="preserve"> et </w:t>
      </w:r>
      <w:r w:rsidRPr="00807A5C">
        <w:rPr>
          <w:i/>
          <w:lang w:val="fr-CA"/>
        </w:rPr>
        <w:t>Withler</w:t>
      </w:r>
      <w:r w:rsidRPr="00807A5C">
        <w:rPr>
          <w:lang w:val="fr-CA"/>
        </w:rPr>
        <w:t xml:space="preserve"> ont pour effet d’imposer aux demandeurs invoquant l’</w:t>
      </w:r>
      <w:r>
        <w:rPr>
          <w:lang w:val="fr-CA"/>
        </w:rPr>
        <w:t>art. </w:t>
      </w:r>
      <w:r w:rsidRPr="00807A5C">
        <w:rPr>
          <w:lang w:val="fr-CA"/>
        </w:rPr>
        <w:t xml:space="preserve">15 l’obligation additionnelle de prouver qu’une distinction perpétue une attitude imbue de préjugés ou de stéréotypes à leur endroit. Une telle démarche s’attache à tort à la question de savoir s’il existe une </w:t>
      </w:r>
      <w:r w:rsidRPr="00807A5C">
        <w:rPr>
          <w:i/>
          <w:lang w:val="fr-CA"/>
        </w:rPr>
        <w:t>attitude</w:t>
      </w:r>
      <w:r w:rsidRPr="00807A5C">
        <w:rPr>
          <w:lang w:val="fr-CA"/>
        </w:rPr>
        <w:t xml:space="preserve">, plutôt qu’un effet, discriminatoire, contrairement aux enseignements des arrêts </w:t>
      </w:r>
      <w:r w:rsidRPr="00807A5C">
        <w:rPr>
          <w:i/>
          <w:lang w:val="fr-CA"/>
        </w:rPr>
        <w:t>Andrews</w:t>
      </w:r>
      <w:r w:rsidRPr="00807A5C">
        <w:rPr>
          <w:lang w:val="fr-CA"/>
        </w:rPr>
        <w:t xml:space="preserve">, </w:t>
      </w:r>
      <w:r w:rsidRPr="00807A5C">
        <w:rPr>
          <w:i/>
          <w:lang w:val="fr-CA"/>
        </w:rPr>
        <w:t>Kapp</w:t>
      </w:r>
      <w:r w:rsidRPr="00807A5C">
        <w:rPr>
          <w:lang w:val="fr-CA"/>
        </w:rPr>
        <w:t xml:space="preserve"> et </w:t>
      </w:r>
      <w:r w:rsidRPr="00807A5C">
        <w:rPr>
          <w:i/>
          <w:lang w:val="fr-CA"/>
        </w:rPr>
        <w:t>Withler</w:t>
      </w:r>
      <w:r w:rsidR="0061523E">
        <w:rPr>
          <w:lang w:val="fr-CA"/>
        </w:rPr>
        <w:t>. [En italique</w:t>
      </w:r>
      <w:r w:rsidRPr="00807A5C">
        <w:rPr>
          <w:lang w:val="fr-CA"/>
        </w:rPr>
        <w:t xml:space="preserve"> dans l’original; </w:t>
      </w:r>
      <w:r>
        <w:rPr>
          <w:lang w:val="fr-CA"/>
        </w:rPr>
        <w:t>par. </w:t>
      </w:r>
      <w:r w:rsidRPr="00807A5C">
        <w:rPr>
          <w:lang w:val="fr-CA"/>
        </w:rPr>
        <w:t>327.</w:t>
      </w:r>
      <w:r w:rsidRPr="00807A5C">
        <w:t>]</w:t>
      </w:r>
    </w:p>
    <w:p w14:paraId="03CF15C7" w14:textId="77777777" w:rsidR="00804EA2" w:rsidRPr="00807A5C" w:rsidRDefault="00804EA2" w:rsidP="00804EA2">
      <w:pPr>
        <w:pStyle w:val="ContinueParaSuitedupar-AltP"/>
        <w:rPr>
          <w:rFonts w:cs="Times New Roman"/>
          <w:lang w:val="fr-CA"/>
        </w:rPr>
      </w:pPr>
      <w:r w:rsidRPr="00807A5C">
        <w:rPr>
          <w:rFonts w:cs="Times New Roman"/>
          <w:lang w:val="fr-CA"/>
        </w:rPr>
        <w:t xml:space="preserve">(Voir aussi </w:t>
      </w:r>
      <w:r>
        <w:rPr>
          <w:rFonts w:cs="Times New Roman"/>
          <w:lang w:val="fr-CA"/>
        </w:rPr>
        <w:t>par. </w:t>
      </w:r>
      <w:r w:rsidRPr="00807A5C">
        <w:rPr>
          <w:rFonts w:cs="Times New Roman"/>
          <w:lang w:val="fr-CA"/>
        </w:rPr>
        <w:t>329</w:t>
      </w:r>
      <w:r>
        <w:rPr>
          <w:rFonts w:cs="Times New Roman"/>
          <w:lang w:val="fr-CA"/>
        </w:rPr>
        <w:noBreakHyphen/>
      </w:r>
      <w:r w:rsidRPr="00807A5C">
        <w:rPr>
          <w:rFonts w:cs="Times New Roman"/>
          <w:lang w:val="fr-CA"/>
        </w:rPr>
        <w:t>331.)</w:t>
      </w:r>
    </w:p>
    <w:p w14:paraId="3A832DF6" w14:textId="41669E23" w:rsidR="00804EA2" w:rsidRPr="00807A5C" w:rsidRDefault="00804EA2" w:rsidP="00804EA2">
      <w:pPr>
        <w:pStyle w:val="ParaNoNdepar-AltN"/>
        <w:rPr>
          <w:rFonts w:cs="Times New Roman"/>
          <w:lang w:val="fr-CA"/>
        </w:rPr>
      </w:pPr>
      <w:r w:rsidRPr="00807A5C">
        <w:rPr>
          <w:rFonts w:cs="Times New Roman"/>
          <w:lang w:val="fr-CA"/>
        </w:rPr>
        <w:t xml:space="preserve">Qui plus est, la perpétuation du désavantage ne devient pas moins grave au regard du </w:t>
      </w:r>
      <w:r>
        <w:rPr>
          <w:rFonts w:cs="Times New Roman"/>
          <w:lang w:val="fr-CA"/>
        </w:rPr>
        <w:t>par. </w:t>
      </w:r>
      <w:r w:rsidRPr="00807A5C">
        <w:rPr>
          <w:rFonts w:cs="Times New Roman"/>
          <w:lang w:val="fr-CA"/>
        </w:rPr>
        <w:t xml:space="preserve">15(1) simplement parce qu’elle était </w:t>
      </w:r>
      <w:r w:rsidRPr="00807A5C">
        <w:rPr>
          <w:rFonts w:cs="Times New Roman"/>
          <w:i/>
          <w:lang w:val="fr-CA"/>
        </w:rPr>
        <w:t>pertinente</w:t>
      </w:r>
      <w:r w:rsidRPr="00807A5C">
        <w:rPr>
          <w:rFonts w:cs="Times New Roman"/>
          <w:lang w:val="fr-CA"/>
        </w:rPr>
        <w:t xml:space="preserve"> à l’égard d’un objectif légitime de l’État. Je suis d’accord avec la doyenne Mayo Moran sur le fait que l’ajout d’un critère de pertinence à l’analyse relative au </w:t>
      </w:r>
      <w:r>
        <w:rPr>
          <w:rFonts w:cs="Times New Roman"/>
          <w:lang w:val="fr-CA"/>
        </w:rPr>
        <w:t>par. </w:t>
      </w:r>
      <w:r w:rsidRPr="00807A5C">
        <w:rPr>
          <w:rFonts w:cs="Times New Roman"/>
          <w:lang w:val="fr-CA"/>
        </w:rPr>
        <w:t>15(1) — même en tant que facteur contextuel parmi d’autres — risque de réduire l’examen à une simple recherche du [</w:t>
      </w:r>
      <w:r w:rsidRPr="00807A5C">
        <w:rPr>
          <w:rFonts w:cs="Times New Roman"/>
          <w:smallCaps/>
          <w:lang w:val="fr-CA"/>
        </w:rPr>
        <w:t>traduction</w:t>
      </w:r>
      <w:r w:rsidRPr="00807A5C">
        <w:rPr>
          <w:rFonts w:cs="Times New Roman"/>
          <w:lang w:val="fr-CA"/>
        </w:rPr>
        <w:t>] « fondement rationnel » de la loi contestée (« Protesting Too Much</w:t>
      </w:r>
      <w:r w:rsidR="0061523E">
        <w:rPr>
          <w:rFonts w:cs="Times New Roman"/>
          <w:lang w:val="fr-CA"/>
        </w:rPr>
        <w:t> </w:t>
      </w:r>
      <w:r w:rsidRPr="00807A5C">
        <w:rPr>
          <w:rFonts w:cs="Times New Roman"/>
          <w:lang w:val="fr-CA"/>
        </w:rPr>
        <w:t xml:space="preserve">: </w:t>
      </w:r>
      <w:r w:rsidRPr="00807A5C">
        <w:rPr>
          <w:rFonts w:cs="Times New Roman"/>
          <w:lang w:val="fr-CA"/>
        </w:rPr>
        <w:lastRenderedPageBreak/>
        <w:t>Rational Basis Review Under Canada’s Equality Guarantee »</w:t>
      </w:r>
      <w:r w:rsidR="0061523E">
        <w:rPr>
          <w:rFonts w:cs="Times New Roman"/>
          <w:lang w:val="fr-CA"/>
        </w:rPr>
        <w:t>,</w:t>
      </w:r>
      <w:r w:rsidRPr="00807A5C">
        <w:rPr>
          <w:rFonts w:cs="Times New Roman"/>
          <w:lang w:val="fr-CA"/>
        </w:rPr>
        <w:t xml:space="preserve"> dans Sheila McIntyre et Sanda Rodgers, dir., </w:t>
      </w:r>
      <w:r w:rsidRPr="00807A5C">
        <w:rPr>
          <w:rFonts w:cs="Times New Roman"/>
          <w:i/>
          <w:lang w:val="fr-CA"/>
        </w:rPr>
        <w:t>Diminishing Returns</w:t>
      </w:r>
      <w:r w:rsidR="0061523E">
        <w:rPr>
          <w:rFonts w:cs="Times New Roman"/>
          <w:i/>
          <w:lang w:val="fr-CA"/>
        </w:rPr>
        <w:t> </w:t>
      </w:r>
      <w:r w:rsidRPr="00807A5C">
        <w:rPr>
          <w:rFonts w:cs="Times New Roman"/>
          <w:i/>
          <w:lang w:val="fr-CA"/>
        </w:rPr>
        <w:t>: Inequality and the Canadian Charter of Rights and Freedoms</w:t>
      </w:r>
      <w:r w:rsidRPr="00807A5C">
        <w:rPr>
          <w:rFonts w:cs="Times New Roman"/>
          <w:lang w:val="fr-CA"/>
        </w:rPr>
        <w:t xml:space="preserve"> (2006), 71, </w:t>
      </w:r>
      <w:r>
        <w:rPr>
          <w:rFonts w:cs="Times New Roman"/>
          <w:lang w:val="fr-CA"/>
        </w:rPr>
        <w:t>p. </w:t>
      </w:r>
      <w:r w:rsidRPr="00807A5C">
        <w:rPr>
          <w:rFonts w:cs="Times New Roman"/>
          <w:lang w:val="fr-CA"/>
        </w:rPr>
        <w:t>81</w:t>
      </w:r>
      <w:r>
        <w:rPr>
          <w:rFonts w:cs="Times New Roman"/>
          <w:lang w:val="fr-CA"/>
        </w:rPr>
        <w:noBreakHyphen/>
      </w:r>
      <w:r w:rsidRPr="00807A5C">
        <w:rPr>
          <w:rFonts w:cs="Times New Roman"/>
          <w:lang w:val="fr-CA"/>
        </w:rPr>
        <w:t xml:space="preserve">84; Eberts et Stanton, </w:t>
      </w:r>
      <w:r>
        <w:rPr>
          <w:rFonts w:cs="Times New Roman"/>
          <w:lang w:val="fr-CA"/>
        </w:rPr>
        <w:t>p. </w:t>
      </w:r>
      <w:r w:rsidRPr="00807A5C">
        <w:rPr>
          <w:rFonts w:cs="Times New Roman"/>
          <w:lang w:val="fr-CA"/>
        </w:rPr>
        <w:t>90 et 119</w:t>
      </w:r>
      <w:r>
        <w:rPr>
          <w:rFonts w:cs="Times New Roman"/>
          <w:lang w:val="fr-CA"/>
        </w:rPr>
        <w:noBreakHyphen/>
      </w:r>
      <w:r w:rsidR="0061523E">
        <w:rPr>
          <w:rFonts w:cs="Times New Roman"/>
          <w:lang w:val="fr-CA"/>
        </w:rPr>
        <w:t>120; Sheila</w:t>
      </w:r>
      <w:r w:rsidRPr="00807A5C">
        <w:rPr>
          <w:rFonts w:cs="Times New Roman"/>
          <w:lang w:val="fr-CA"/>
        </w:rPr>
        <w:t xml:space="preserve"> McIntyre, « Deference and Dominance</w:t>
      </w:r>
      <w:r w:rsidR="0061523E">
        <w:rPr>
          <w:rFonts w:cs="Times New Roman"/>
          <w:lang w:val="fr-CA"/>
        </w:rPr>
        <w:t> </w:t>
      </w:r>
      <w:r w:rsidRPr="00807A5C">
        <w:rPr>
          <w:rFonts w:cs="Times New Roman"/>
          <w:lang w:val="fr-CA"/>
        </w:rPr>
        <w:t>: Equality Without Substance »</w:t>
      </w:r>
      <w:r w:rsidR="0061523E">
        <w:rPr>
          <w:rFonts w:cs="Times New Roman"/>
          <w:lang w:val="fr-CA"/>
        </w:rPr>
        <w:t>,</w:t>
      </w:r>
      <w:r w:rsidRPr="00807A5C">
        <w:rPr>
          <w:rFonts w:cs="Times New Roman"/>
          <w:lang w:val="fr-CA"/>
        </w:rPr>
        <w:t xml:space="preserve"> dans Sheila McIntyre et Sanda Rodgers, dir., </w:t>
      </w:r>
      <w:r w:rsidRPr="00807A5C">
        <w:rPr>
          <w:rFonts w:cs="Times New Roman"/>
          <w:i/>
          <w:lang w:val="fr-CA"/>
        </w:rPr>
        <w:t>Diminishing Returns</w:t>
      </w:r>
      <w:r w:rsidR="0061523E">
        <w:rPr>
          <w:rFonts w:cs="Times New Roman"/>
          <w:i/>
          <w:lang w:val="fr-CA"/>
        </w:rPr>
        <w:t> </w:t>
      </w:r>
      <w:r w:rsidRPr="00807A5C">
        <w:rPr>
          <w:rFonts w:cs="Times New Roman"/>
          <w:i/>
          <w:lang w:val="fr-CA"/>
        </w:rPr>
        <w:t xml:space="preserve">: Inequality and the Canadian Charter of Rights and Freedoms </w:t>
      </w:r>
      <w:r w:rsidRPr="00807A5C">
        <w:rPr>
          <w:rFonts w:cs="Times New Roman"/>
          <w:lang w:val="fr-CA"/>
        </w:rPr>
        <w:t xml:space="preserve">(2006), 95, </w:t>
      </w:r>
      <w:r>
        <w:rPr>
          <w:rFonts w:cs="Times New Roman"/>
          <w:lang w:val="fr-CA"/>
        </w:rPr>
        <w:t>p. </w:t>
      </w:r>
      <w:r w:rsidRPr="00807A5C">
        <w:rPr>
          <w:rFonts w:cs="Times New Roman"/>
          <w:lang w:val="fr-CA"/>
        </w:rPr>
        <w:t>108</w:t>
      </w:r>
      <w:r>
        <w:rPr>
          <w:rFonts w:cs="Times New Roman"/>
          <w:lang w:val="fr-CA"/>
        </w:rPr>
        <w:noBreakHyphen/>
      </w:r>
      <w:r w:rsidRPr="00807A5C">
        <w:rPr>
          <w:rFonts w:cs="Times New Roman"/>
          <w:lang w:val="fr-CA"/>
        </w:rPr>
        <w:t xml:space="preserve">113). Le critère à appliquer pour déterminer s’il y a violation à première vue du </w:t>
      </w:r>
      <w:r>
        <w:rPr>
          <w:rFonts w:cs="Times New Roman"/>
          <w:lang w:val="fr-CA"/>
        </w:rPr>
        <w:t>par. </w:t>
      </w:r>
      <w:r w:rsidRPr="00807A5C">
        <w:rPr>
          <w:rFonts w:cs="Times New Roman"/>
          <w:lang w:val="fr-CA"/>
        </w:rPr>
        <w:t>15(1) concerne l’effet discriminatoire de la loi sur les groupes défavorisés et non la question de savoir si la distinction est justifiée, un examen qu’il convient d’effectuer au regard de l’article premier (</w:t>
      </w:r>
      <w:r w:rsidRPr="00807A5C">
        <w:rPr>
          <w:rFonts w:cs="Times New Roman"/>
          <w:i/>
          <w:lang w:val="fr-CA"/>
        </w:rPr>
        <w:t>Andrews</w:t>
      </w:r>
      <w:r w:rsidRPr="00807A5C">
        <w:rPr>
          <w:rFonts w:cs="Times New Roman"/>
          <w:lang w:val="fr-CA"/>
        </w:rPr>
        <w:t xml:space="preserve">, </w:t>
      </w:r>
      <w:r>
        <w:rPr>
          <w:rFonts w:cs="Times New Roman"/>
          <w:lang w:val="fr-CA"/>
        </w:rPr>
        <w:t>p. </w:t>
      </w:r>
      <w:r w:rsidRPr="00807A5C">
        <w:rPr>
          <w:rFonts w:cs="Times New Roman"/>
          <w:lang w:val="fr-CA"/>
        </w:rPr>
        <w:t>181</w:t>
      </w:r>
      <w:r>
        <w:rPr>
          <w:rFonts w:cs="Times New Roman"/>
          <w:lang w:val="fr-CA"/>
        </w:rPr>
        <w:noBreakHyphen/>
      </w:r>
      <w:r w:rsidRPr="00807A5C">
        <w:rPr>
          <w:rFonts w:cs="Times New Roman"/>
          <w:lang w:val="fr-CA"/>
        </w:rPr>
        <w:t>182;</w:t>
      </w:r>
      <w:r w:rsidRPr="00807A5C">
        <w:rPr>
          <w:rFonts w:cs="Times New Roman"/>
          <w:i/>
          <w:lang w:val="fr-CA"/>
        </w:rPr>
        <w:t xml:space="preserve"> Turpin</w:t>
      </w:r>
      <w:r w:rsidRPr="00807A5C">
        <w:rPr>
          <w:rFonts w:cs="Times New Roman"/>
          <w:lang w:val="fr-CA"/>
        </w:rPr>
        <w:t xml:space="preserve">, </w:t>
      </w:r>
      <w:r>
        <w:rPr>
          <w:rFonts w:cs="Times New Roman"/>
          <w:lang w:val="fr-CA"/>
        </w:rPr>
        <w:t>p. </w:t>
      </w:r>
      <w:r w:rsidRPr="00807A5C">
        <w:rPr>
          <w:rFonts w:cs="Times New Roman"/>
          <w:lang w:val="fr-CA"/>
        </w:rPr>
        <w:t>1325</w:t>
      </w:r>
      <w:r>
        <w:rPr>
          <w:rFonts w:cs="Times New Roman"/>
          <w:lang w:val="fr-CA"/>
        </w:rPr>
        <w:noBreakHyphen/>
      </w:r>
      <w:r w:rsidRPr="00807A5C">
        <w:rPr>
          <w:rFonts w:cs="Times New Roman"/>
          <w:lang w:val="fr-CA"/>
        </w:rPr>
        <w:t xml:space="preserve">1326; </w:t>
      </w:r>
      <w:r w:rsidRPr="00807A5C">
        <w:rPr>
          <w:rFonts w:cs="Times New Roman"/>
          <w:i/>
          <w:lang w:val="fr-CA"/>
        </w:rPr>
        <w:t>Miron c. Trudel</w:t>
      </w:r>
      <w:r w:rsidRPr="00807A5C">
        <w:rPr>
          <w:rFonts w:cs="Times New Roman"/>
          <w:lang w:val="fr-CA"/>
        </w:rPr>
        <w:t xml:space="preserve">, [1995] 2 R.C.S. 418, </w:t>
      </w:r>
      <w:r>
        <w:rPr>
          <w:rFonts w:cs="Times New Roman"/>
          <w:lang w:val="fr-CA"/>
        </w:rPr>
        <w:t>par. </w:t>
      </w:r>
      <w:r w:rsidRPr="00807A5C">
        <w:rPr>
          <w:rFonts w:cs="Times New Roman"/>
          <w:lang w:val="fr-CA"/>
        </w:rPr>
        <w:t>129</w:t>
      </w:r>
      <w:r>
        <w:rPr>
          <w:rFonts w:cs="Times New Roman"/>
          <w:lang w:val="fr-CA"/>
        </w:rPr>
        <w:noBreakHyphen/>
      </w:r>
      <w:r w:rsidRPr="00807A5C">
        <w:rPr>
          <w:rFonts w:cs="Times New Roman"/>
          <w:lang w:val="fr-CA"/>
        </w:rPr>
        <w:t xml:space="preserve">130; </w:t>
      </w:r>
      <w:r w:rsidRPr="00807A5C">
        <w:rPr>
          <w:rFonts w:cs="Times New Roman"/>
          <w:i/>
          <w:lang w:val="fr-CA"/>
        </w:rPr>
        <w:t>Eldridge</w:t>
      </w:r>
      <w:r w:rsidRPr="00807A5C">
        <w:rPr>
          <w:rFonts w:cs="Times New Roman"/>
          <w:lang w:val="fr-CA"/>
        </w:rPr>
        <w:t xml:space="preserve">, </w:t>
      </w:r>
      <w:r>
        <w:rPr>
          <w:rFonts w:cs="Times New Roman"/>
          <w:lang w:val="fr-CA"/>
        </w:rPr>
        <w:t>par. </w:t>
      </w:r>
      <w:r w:rsidRPr="00807A5C">
        <w:rPr>
          <w:rFonts w:cs="Times New Roman"/>
          <w:lang w:val="fr-CA"/>
        </w:rPr>
        <w:t xml:space="preserve">77 et 79; </w:t>
      </w:r>
      <w:r w:rsidRPr="00807A5C">
        <w:rPr>
          <w:rFonts w:cs="Times New Roman"/>
          <w:i/>
          <w:lang w:val="fr-CA"/>
        </w:rPr>
        <w:t>Québec c. A</w:t>
      </w:r>
      <w:r w:rsidRPr="00807A5C">
        <w:rPr>
          <w:rFonts w:cs="Times New Roman"/>
          <w:lang w:val="fr-CA"/>
        </w:rPr>
        <w:t xml:space="preserve">, </w:t>
      </w:r>
      <w:r>
        <w:rPr>
          <w:rFonts w:cs="Times New Roman"/>
          <w:lang w:val="fr-CA"/>
        </w:rPr>
        <w:t>par. </w:t>
      </w:r>
      <w:r w:rsidRPr="00807A5C">
        <w:rPr>
          <w:rFonts w:cs="Times New Roman"/>
          <w:lang w:val="fr-CA"/>
        </w:rPr>
        <w:t xml:space="preserve">333; </w:t>
      </w:r>
      <w:r w:rsidRPr="00807A5C">
        <w:rPr>
          <w:rFonts w:cs="Times New Roman"/>
          <w:i/>
          <w:lang w:val="fr-CA"/>
        </w:rPr>
        <w:t>Centrale</w:t>
      </w:r>
      <w:r w:rsidRPr="00807A5C">
        <w:rPr>
          <w:rFonts w:cs="Times New Roman"/>
          <w:bCs/>
          <w:lang w:val="fr-CA"/>
        </w:rPr>
        <w:t xml:space="preserve">, </w:t>
      </w:r>
      <w:r>
        <w:rPr>
          <w:rFonts w:cs="Times New Roman"/>
          <w:bCs/>
          <w:lang w:val="fr-CA"/>
        </w:rPr>
        <w:t>par. </w:t>
      </w:r>
      <w:r w:rsidRPr="00807A5C">
        <w:rPr>
          <w:rFonts w:cs="Times New Roman"/>
          <w:bCs/>
          <w:lang w:val="fr-CA"/>
        </w:rPr>
        <w:t>35)</w:t>
      </w:r>
      <w:r w:rsidRPr="00807A5C">
        <w:rPr>
          <w:rFonts w:cs="Times New Roman"/>
          <w:lang w:val="fr-CA"/>
        </w:rPr>
        <w:t>.</w:t>
      </w:r>
    </w:p>
    <w:p w14:paraId="558718D2" w14:textId="633568B0" w:rsidR="00804EA2" w:rsidRPr="00807A5C" w:rsidRDefault="00804EA2" w:rsidP="00804EA2">
      <w:pPr>
        <w:pStyle w:val="ParaNoNdepar-AltN"/>
        <w:rPr>
          <w:rFonts w:cs="Times New Roman"/>
          <w:lang w:val="fr-CA"/>
        </w:rPr>
      </w:pPr>
      <w:r w:rsidRPr="00807A5C">
        <w:rPr>
          <w:rFonts w:cs="Times New Roman"/>
          <w:lang w:val="fr-CA"/>
        </w:rPr>
        <w:t xml:space="preserve">De même, un demandeur n’est pas tenu de prouver que la distinction est arbitraire pour démontrer une violation à première vue du </w:t>
      </w:r>
      <w:r>
        <w:rPr>
          <w:rFonts w:cs="Times New Roman"/>
          <w:lang w:val="fr-CA"/>
        </w:rPr>
        <w:t>par. </w:t>
      </w:r>
      <w:r w:rsidRPr="00807A5C">
        <w:rPr>
          <w:rFonts w:cs="Times New Roman"/>
          <w:lang w:val="fr-CA"/>
        </w:rPr>
        <w:t xml:space="preserve">15(1). C’est au gouvernement qu’il incombe de démontrer que la loi </w:t>
      </w:r>
      <w:r w:rsidRPr="00807A5C">
        <w:rPr>
          <w:rFonts w:cs="Times New Roman"/>
          <w:i/>
          <w:lang w:val="fr-CA"/>
        </w:rPr>
        <w:t>n’</w:t>
      </w:r>
      <w:r w:rsidRPr="00807A5C">
        <w:rPr>
          <w:rFonts w:cs="Times New Roman"/>
          <w:lang w:val="fr-CA"/>
        </w:rPr>
        <w:t xml:space="preserve">est </w:t>
      </w:r>
      <w:r w:rsidRPr="00807A5C">
        <w:rPr>
          <w:rFonts w:cs="Times New Roman"/>
          <w:i/>
          <w:lang w:val="fr-CA"/>
        </w:rPr>
        <w:t>pas</w:t>
      </w:r>
      <w:r w:rsidRPr="00807A5C">
        <w:rPr>
          <w:rFonts w:cs="Times New Roman"/>
          <w:lang w:val="fr-CA"/>
        </w:rPr>
        <w:t xml:space="preserve"> arbitraire dans les observations qu’il présente pour justifier l’atteinte au regard de l’article premier (voir Eberts et Stanton, </w:t>
      </w:r>
      <w:r>
        <w:rPr>
          <w:rFonts w:cs="Times New Roman"/>
          <w:lang w:val="fr-CA"/>
        </w:rPr>
        <w:t>p. </w:t>
      </w:r>
      <w:r w:rsidRPr="00807A5C">
        <w:rPr>
          <w:rFonts w:cs="Times New Roman"/>
          <w:lang w:val="fr-CA"/>
        </w:rPr>
        <w:t>117; Jonnette Watson Hamilton et Jennifer Koshan, « </w:t>
      </w:r>
      <w:r w:rsidRPr="00807A5C">
        <w:rPr>
          <w:rFonts w:cs="Times New Roman"/>
          <w:i/>
          <w:lang w:val="fr-CA"/>
        </w:rPr>
        <w:t>Kahkewistahaw First Nation v. Taypotat</w:t>
      </w:r>
      <w:r w:rsidR="00630DC4">
        <w:rPr>
          <w:rFonts w:cs="Times New Roman"/>
          <w:i/>
          <w:lang w:val="fr-CA"/>
        </w:rPr>
        <w:t xml:space="preserve"> </w:t>
      </w:r>
      <w:r w:rsidRPr="00807A5C">
        <w:rPr>
          <w:rFonts w:cs="Times New Roman"/>
          <w:lang w:val="fr-CA"/>
        </w:rPr>
        <w:t>:</w:t>
      </w:r>
      <w:r w:rsidRPr="00807A5C">
        <w:rPr>
          <w:rFonts w:cs="Times New Roman"/>
          <w:i/>
          <w:lang w:val="fr-CA"/>
        </w:rPr>
        <w:t xml:space="preserve"> </w:t>
      </w:r>
      <w:r w:rsidRPr="00807A5C">
        <w:rPr>
          <w:rFonts w:cs="Times New Roman"/>
          <w:lang w:val="fr-CA"/>
        </w:rPr>
        <w:t xml:space="preserve">An Arbitrary Approach to Discrimination » (2016), 76 </w:t>
      </w:r>
      <w:r w:rsidRPr="00410FE8">
        <w:rPr>
          <w:rFonts w:cs="Times New Roman"/>
          <w:i/>
          <w:lang w:val="fr-CA"/>
        </w:rPr>
        <w:t>S.C.L.R.</w:t>
      </w:r>
      <w:r w:rsidRPr="00807A5C">
        <w:rPr>
          <w:rFonts w:cs="Times New Roman"/>
          <w:lang w:val="fr-CA"/>
        </w:rPr>
        <w:t xml:space="preserve"> (2</w:t>
      </w:r>
      <w:r>
        <w:rPr>
          <w:rFonts w:cs="Times New Roman"/>
          <w:lang w:val="fr-CA"/>
        </w:rPr>
        <w:t>d</w:t>
      </w:r>
      <w:r w:rsidRPr="00807A5C">
        <w:rPr>
          <w:rFonts w:cs="Times New Roman"/>
          <w:lang w:val="fr-CA"/>
        </w:rPr>
        <w:t xml:space="preserve">) 243, </w:t>
      </w:r>
      <w:r>
        <w:rPr>
          <w:rFonts w:cs="Times New Roman"/>
          <w:lang w:val="fr-CA"/>
        </w:rPr>
        <w:t>p. </w:t>
      </w:r>
      <w:r w:rsidRPr="00807A5C">
        <w:rPr>
          <w:rFonts w:cs="Times New Roman"/>
          <w:lang w:val="fr-CA"/>
        </w:rPr>
        <w:t>259</w:t>
      </w:r>
      <w:r>
        <w:rPr>
          <w:rFonts w:cs="Times New Roman"/>
          <w:lang w:val="fr-CA"/>
        </w:rPr>
        <w:noBreakHyphen/>
      </w:r>
      <w:r w:rsidRPr="00807A5C">
        <w:rPr>
          <w:rFonts w:cs="Times New Roman"/>
          <w:lang w:val="fr-CA"/>
        </w:rPr>
        <w:t>260; Alicja Puchta, « </w:t>
      </w:r>
      <w:r w:rsidR="00630DC4">
        <w:rPr>
          <w:rFonts w:cs="Times New Roman"/>
          <w:i/>
          <w:lang w:val="fr-CA"/>
        </w:rPr>
        <w:t>Quebec v</w:t>
      </w:r>
      <w:r w:rsidRPr="00807A5C">
        <w:rPr>
          <w:rFonts w:cs="Times New Roman"/>
          <w:i/>
          <w:lang w:val="fr-CA"/>
        </w:rPr>
        <w:t xml:space="preserve"> A</w:t>
      </w:r>
      <w:r w:rsidRPr="00807A5C">
        <w:rPr>
          <w:rFonts w:cs="Times New Roman"/>
          <w:lang w:val="fr-CA"/>
        </w:rPr>
        <w:t xml:space="preserve"> and </w:t>
      </w:r>
      <w:r w:rsidRPr="00807A5C">
        <w:rPr>
          <w:rFonts w:cs="Times New Roman"/>
          <w:i/>
          <w:lang w:val="fr-CA"/>
        </w:rPr>
        <w:t>Taypotat</w:t>
      </w:r>
      <w:r w:rsidR="00630DC4">
        <w:rPr>
          <w:rFonts w:cs="Times New Roman"/>
          <w:i/>
          <w:lang w:val="fr-CA"/>
        </w:rPr>
        <w:t> </w:t>
      </w:r>
      <w:r w:rsidRPr="00807A5C">
        <w:rPr>
          <w:rFonts w:cs="Times New Roman"/>
          <w:lang w:val="fr-CA"/>
        </w:rPr>
        <w:t xml:space="preserve">: Unpacking the Supreme Court’s Latest Decisions on Section 15 of the </w:t>
      </w:r>
      <w:r w:rsidRPr="00807A5C">
        <w:rPr>
          <w:rFonts w:cs="Times New Roman"/>
          <w:i/>
          <w:lang w:val="fr-CA"/>
        </w:rPr>
        <w:t>Charter</w:t>
      </w:r>
      <w:r w:rsidRPr="00807A5C">
        <w:rPr>
          <w:rFonts w:cs="Times New Roman"/>
          <w:lang w:val="fr-CA"/>
        </w:rPr>
        <w:t xml:space="preserve"> » (2018), 55 </w:t>
      </w:r>
      <w:r w:rsidRPr="00807A5C">
        <w:rPr>
          <w:rFonts w:cs="Times New Roman"/>
          <w:i/>
          <w:lang w:val="fr-CA"/>
        </w:rPr>
        <w:t xml:space="preserve">Osgoode Hall L.J. </w:t>
      </w:r>
      <w:r w:rsidRPr="00807A5C">
        <w:rPr>
          <w:rFonts w:cs="Times New Roman"/>
          <w:lang w:val="fr-CA"/>
        </w:rPr>
        <w:t xml:space="preserve">665, </w:t>
      </w:r>
      <w:r>
        <w:rPr>
          <w:rFonts w:cs="Times New Roman"/>
          <w:lang w:val="fr-CA"/>
        </w:rPr>
        <w:t>p. </w:t>
      </w:r>
      <w:r w:rsidRPr="00807A5C">
        <w:rPr>
          <w:rFonts w:cs="Times New Roman"/>
          <w:lang w:val="fr-CA"/>
        </w:rPr>
        <w:t>704).</w:t>
      </w:r>
    </w:p>
    <w:p w14:paraId="3AD0240E" w14:textId="77777777" w:rsidR="00804EA2" w:rsidRPr="00807A5C" w:rsidRDefault="00804EA2" w:rsidP="00804EA2">
      <w:pPr>
        <w:pStyle w:val="ParaNoNdepar-AltN"/>
        <w:rPr>
          <w:rFonts w:cs="Times New Roman"/>
          <w:lang w:val="fr-CA"/>
        </w:rPr>
      </w:pPr>
      <w:r w:rsidRPr="00807A5C">
        <w:rPr>
          <w:rFonts w:cs="Times New Roman"/>
          <w:lang w:val="fr-CA"/>
        </w:rPr>
        <w:lastRenderedPageBreak/>
        <w:t>En résumé, donc, la première étape de l’analyse relative à l’</w:t>
      </w:r>
      <w:r>
        <w:rPr>
          <w:rFonts w:cs="Times New Roman"/>
          <w:lang w:val="fr-CA"/>
        </w:rPr>
        <w:t>art. </w:t>
      </w:r>
      <w:r w:rsidRPr="00807A5C">
        <w:rPr>
          <w:rFonts w:cs="Times New Roman"/>
          <w:lang w:val="fr-CA"/>
        </w:rPr>
        <w:t>15 vise à établir que la loi impose un traitement différent sur la base de motifs protégés, soit explicitement soit par un effet préjudiciable. À la deuxième étape, la Cour doit se demander si la loi a pour effet de renforcer, de perpétuer ou d’accentuer un désavantage (</w:t>
      </w:r>
      <w:r w:rsidRPr="00807A5C">
        <w:rPr>
          <w:rFonts w:cs="Times New Roman"/>
          <w:i/>
          <w:lang w:val="fr-CA"/>
        </w:rPr>
        <w:t>Alliance</w:t>
      </w:r>
      <w:r w:rsidRPr="00807A5C">
        <w:rPr>
          <w:rFonts w:cs="Times New Roman"/>
          <w:lang w:val="fr-CA"/>
        </w:rPr>
        <w:t xml:space="preserve">, </w:t>
      </w:r>
      <w:r>
        <w:rPr>
          <w:rFonts w:cs="Times New Roman"/>
          <w:lang w:val="fr-CA"/>
        </w:rPr>
        <w:t>par. </w:t>
      </w:r>
      <w:r w:rsidRPr="00807A5C">
        <w:rPr>
          <w:rFonts w:cs="Times New Roman"/>
          <w:lang w:val="fr-CA"/>
        </w:rPr>
        <w:t>25).</w:t>
      </w:r>
    </w:p>
    <w:p w14:paraId="5E03F8E9" w14:textId="77777777" w:rsidR="00804EA2" w:rsidRPr="00807A5C" w:rsidRDefault="00804EA2" w:rsidP="00804EA2">
      <w:pPr>
        <w:pStyle w:val="ParaNoNdepar-AltN"/>
        <w:rPr>
          <w:rFonts w:cs="Times New Roman"/>
          <w:lang w:val="fr-CA"/>
        </w:rPr>
      </w:pPr>
      <w:r w:rsidRPr="00807A5C">
        <w:rPr>
          <w:rFonts w:cs="Times New Roman"/>
          <w:lang w:val="fr-CA"/>
        </w:rPr>
        <w:t>Lorsque c’est possible, les deux étapes de l’analyse doivent rester distinctes, mais il se peut évidemment qu’il y ait un chevauchement dans les cas d’effet préjudiciable en raison de [</w:t>
      </w:r>
      <w:r w:rsidRPr="00807A5C">
        <w:rPr>
          <w:rFonts w:cs="Times New Roman"/>
          <w:smallCaps/>
          <w:lang w:val="fr-CA"/>
        </w:rPr>
        <w:t>traduction</w:t>
      </w:r>
      <w:r w:rsidRPr="00807A5C">
        <w:rPr>
          <w:rFonts w:cs="Times New Roman"/>
          <w:lang w:val="fr-CA"/>
        </w:rPr>
        <w:t xml:space="preserve">] « l’impossibilité d’établir des catégories strictes » (Sheppard (2010), </w:t>
      </w:r>
      <w:r>
        <w:rPr>
          <w:rFonts w:cs="Times New Roman"/>
          <w:lang w:val="fr-CA"/>
        </w:rPr>
        <w:t>p. </w:t>
      </w:r>
      <w:r w:rsidRPr="00807A5C">
        <w:rPr>
          <w:rFonts w:cs="Times New Roman"/>
          <w:lang w:val="fr-CA"/>
        </w:rPr>
        <w:t xml:space="preserve">21). En fin de compte, ce qui importe, c’est que le tribunal se pose les questions pertinentes nécessaires lors de l’analyse relative au </w:t>
      </w:r>
      <w:r>
        <w:rPr>
          <w:rFonts w:cs="Times New Roman"/>
          <w:lang w:val="fr-CA"/>
        </w:rPr>
        <w:t>par. </w:t>
      </w:r>
      <w:r w:rsidRPr="00807A5C">
        <w:rPr>
          <w:rFonts w:cs="Times New Roman"/>
          <w:lang w:val="fr-CA"/>
        </w:rPr>
        <w:t>15(1) et y réponde, et non qu’il maintienne des cloisons étanches entre les deux étapes de l’analyse.</w:t>
      </w:r>
    </w:p>
    <w:p w14:paraId="5970FBF4" w14:textId="77777777" w:rsidR="00804EA2" w:rsidRPr="00807A5C" w:rsidRDefault="00804EA2" w:rsidP="00804EA2">
      <w:pPr>
        <w:pStyle w:val="Title1LevelTitre1Niveau-AltL"/>
        <w:numPr>
          <w:ilvl w:val="0"/>
          <w:numId w:val="0"/>
        </w:numPr>
        <w:ind w:left="576" w:hanging="576"/>
        <w:rPr>
          <w:rFonts w:cs="Times New Roman"/>
          <w:lang w:val="fr-CA"/>
        </w:rPr>
      </w:pPr>
      <w:r w:rsidRPr="00807A5C">
        <w:rPr>
          <w:rFonts w:cs="Times New Roman"/>
          <w:lang w:val="fr-CA"/>
        </w:rPr>
        <w:t>Application</w:t>
      </w:r>
    </w:p>
    <w:p w14:paraId="5E7E9C66" w14:textId="77777777" w:rsidR="00804EA2" w:rsidRPr="00807A5C" w:rsidRDefault="00804EA2" w:rsidP="00804EA2">
      <w:pPr>
        <w:pStyle w:val="ParaNoNdepar-AltN"/>
        <w:rPr>
          <w:rFonts w:cs="Times New Roman"/>
          <w:lang w:val="fr-CA"/>
        </w:rPr>
      </w:pPr>
      <w:r w:rsidRPr="00807A5C">
        <w:rPr>
          <w:rFonts w:cs="Times New Roman"/>
          <w:lang w:val="fr-CA"/>
        </w:rPr>
        <w:t>Revenons maintenant à la demande dont nous sommes saisis en l’espèce. Comme nous l’avons mentionné précédemment, le régime de pension de la GRC permet à ses membres à temps plein qui ont un horaire de travail régulier, qui sont suspendus ou qui prennent des congés non payés de racheter des périodes de service à temps plein ouvrant droit à pension. Les membres à temps plein qui réduisent temporairement leurs heures dans le cadre d’une entente de partage de poste sont toutefois considérés comme des employés à temps partiel au sens du</w:t>
      </w:r>
      <w:r w:rsidRPr="00807A5C">
        <w:rPr>
          <w:rFonts w:cs="Times New Roman"/>
          <w:i/>
          <w:iCs/>
          <w:lang w:val="fr-CA"/>
        </w:rPr>
        <w:t xml:space="preserve"> Règlement</w:t>
      </w:r>
      <w:r w:rsidRPr="00807A5C">
        <w:rPr>
          <w:rFonts w:cs="Times New Roman"/>
          <w:lang w:val="fr-CA"/>
        </w:rPr>
        <w:t xml:space="preserve"> et ils ne peuvent racheter de période de service à temps plein ouvrant droit à pension.</w:t>
      </w:r>
    </w:p>
    <w:p w14:paraId="3A42F050" w14:textId="77777777" w:rsidR="00804EA2" w:rsidRPr="00807A5C" w:rsidRDefault="00804EA2" w:rsidP="00804EA2">
      <w:pPr>
        <w:pStyle w:val="ParaNoNdepar-AltN"/>
        <w:rPr>
          <w:rFonts w:cs="Times New Roman"/>
          <w:lang w:val="fr-CA"/>
        </w:rPr>
      </w:pPr>
      <w:r w:rsidRPr="00807A5C">
        <w:rPr>
          <w:rFonts w:cs="Times New Roman"/>
          <w:lang w:val="fr-CA"/>
        </w:rPr>
        <w:lastRenderedPageBreak/>
        <w:t>Ainsi, selon le régime de pension, la réduction temporaire des heures de travail d’un membre à temps plein de la GRC fait en sorte qu’il perd des prestations de pension potentielles. La question est de savoir si cette entente de partage de poste a un effet disproportionné sur les femmes.</w:t>
      </w:r>
    </w:p>
    <w:p w14:paraId="3509FF2F" w14:textId="77777777" w:rsidR="00804EA2" w:rsidRPr="00807A5C" w:rsidRDefault="00804EA2" w:rsidP="00804EA2">
      <w:pPr>
        <w:pStyle w:val="ParaNoNdepar-AltN"/>
        <w:rPr>
          <w:rFonts w:cs="Times New Roman"/>
          <w:lang w:val="fr-CA"/>
        </w:rPr>
      </w:pPr>
      <w:r w:rsidRPr="00807A5C">
        <w:rPr>
          <w:rFonts w:cs="Times New Roman"/>
          <w:lang w:val="fr-CA"/>
        </w:rPr>
        <w:t xml:space="preserve">La Cour fédérale et la Cour d’appel fédérale ont reconnu que la vaste majorité des membres participant au programme de partage de poste qui perdent des prestations de pension sont des femmes ayant des enfants. Cependant, à leur avis, ces pertes ont été subies parce que « les appelantes [. . .] ont choisi de conclure une entente de partage de poste » et non à cause de leur sexe ou de leur statut de parent (motifs de la C.A., </w:t>
      </w:r>
      <w:r>
        <w:rPr>
          <w:rFonts w:cs="Times New Roman"/>
          <w:lang w:val="fr-CA"/>
        </w:rPr>
        <w:t>par. </w:t>
      </w:r>
      <w:r w:rsidRPr="00807A5C">
        <w:rPr>
          <w:rFonts w:cs="Times New Roman"/>
          <w:lang w:val="fr-CA"/>
        </w:rPr>
        <w:t>53).</w:t>
      </w:r>
    </w:p>
    <w:p w14:paraId="5B8F8AE9" w14:textId="77777777" w:rsidR="00804EA2" w:rsidRPr="00807A5C" w:rsidRDefault="00804EA2" w:rsidP="00804EA2">
      <w:pPr>
        <w:pStyle w:val="ParaNoNdepar-AltN"/>
        <w:rPr>
          <w:rFonts w:cs="Times New Roman"/>
          <w:lang w:val="fr-CA"/>
        </w:rPr>
      </w:pPr>
      <w:r w:rsidRPr="00807A5C">
        <w:rPr>
          <w:rFonts w:cs="Times New Roman"/>
          <w:lang w:val="fr-CA"/>
        </w:rPr>
        <w:t>En fondant le rejet de la demande de M</w:t>
      </w:r>
      <w:r w:rsidRPr="00807A5C">
        <w:rPr>
          <w:rFonts w:cs="Times New Roman"/>
          <w:vertAlign w:val="superscript"/>
          <w:lang w:val="fr-CA"/>
        </w:rPr>
        <w:t>me</w:t>
      </w:r>
      <w:r w:rsidRPr="00807A5C">
        <w:rPr>
          <w:rFonts w:cs="Times New Roman"/>
          <w:lang w:val="fr-CA"/>
        </w:rPr>
        <w:t xml:space="preserve"> Fraser sur le « choix » qu’a fait cette dernière de conclure une entente de partage de poste, la Cour fédérale et la Cour d’appel fédérale ont, soit dit en tout respect, mal interprété la jurisprudence de notre Cour sur le </w:t>
      </w:r>
      <w:r>
        <w:rPr>
          <w:rFonts w:cs="Times New Roman"/>
          <w:lang w:val="fr-CA"/>
        </w:rPr>
        <w:t>par. </w:t>
      </w:r>
      <w:r w:rsidRPr="00807A5C">
        <w:rPr>
          <w:rFonts w:cs="Times New Roman"/>
          <w:lang w:val="fr-CA"/>
        </w:rPr>
        <w:t>15(1). La Cour a toujours conclu qu’une différence de traitement pouvait être discriminatoire même si elle est fondée sur des choix faits par l’individu ou le groupe touché.</w:t>
      </w:r>
    </w:p>
    <w:p w14:paraId="2CD0E882" w14:textId="77777777" w:rsidR="00804EA2" w:rsidRPr="00807A5C" w:rsidRDefault="00804EA2" w:rsidP="00804EA2">
      <w:pPr>
        <w:pStyle w:val="ParaNoNdepar-AltN"/>
        <w:rPr>
          <w:rFonts w:cs="Times New Roman"/>
          <w:lang w:val="fr-CA"/>
        </w:rPr>
      </w:pPr>
      <w:r w:rsidRPr="00807A5C">
        <w:rPr>
          <w:rFonts w:cs="Times New Roman"/>
          <w:lang w:val="fr-CA"/>
        </w:rPr>
        <w:t xml:space="preserve">Dans l’arrêt </w:t>
      </w:r>
      <w:r w:rsidRPr="00807A5C">
        <w:rPr>
          <w:rFonts w:cs="Times New Roman"/>
          <w:i/>
          <w:lang w:val="fr-CA"/>
        </w:rPr>
        <w:t>Brooks</w:t>
      </w:r>
      <w:r w:rsidRPr="00807A5C">
        <w:rPr>
          <w:rFonts w:cs="Times New Roman"/>
          <w:lang w:val="fr-CA"/>
        </w:rPr>
        <w:t>, par exemple, le juge en chef Dickson a rejeté l’argument d’un employeur selon lequel le fait d’offrir des prestations moindres aux femmes enceintes ne constitue pas de la discrimination fondée sur le sexe, parce que la grossesse est « voulue » (</w:t>
      </w:r>
      <w:r>
        <w:rPr>
          <w:rFonts w:cs="Times New Roman"/>
          <w:lang w:val="fr-CA"/>
        </w:rPr>
        <w:t>p. </w:t>
      </w:r>
      <w:r w:rsidRPr="00807A5C">
        <w:rPr>
          <w:rFonts w:cs="Times New Roman"/>
          <w:lang w:val="fr-CA"/>
        </w:rPr>
        <w:t>1237</w:t>
      </w:r>
      <w:r>
        <w:rPr>
          <w:rFonts w:cs="Times New Roman"/>
          <w:lang w:val="fr-CA"/>
        </w:rPr>
        <w:noBreakHyphen/>
      </w:r>
      <w:r w:rsidRPr="00807A5C">
        <w:rPr>
          <w:rFonts w:cs="Times New Roman"/>
          <w:lang w:val="fr-CA"/>
        </w:rPr>
        <w:t xml:space="preserve">1238). Après cet arrêt, la Cour a « maintes fois rejeté des arguments voulant que l’existence d’un choix empêche de conclure qu’une </w:t>
      </w:r>
      <w:r w:rsidRPr="00807A5C">
        <w:rPr>
          <w:rFonts w:cs="Times New Roman"/>
          <w:lang w:val="fr-CA"/>
        </w:rPr>
        <w:lastRenderedPageBreak/>
        <w:t>distinction constitue de la discrimination » (</w:t>
      </w:r>
      <w:r w:rsidRPr="00807A5C">
        <w:rPr>
          <w:rFonts w:cs="Times New Roman"/>
          <w:i/>
          <w:lang w:val="fr-CA"/>
        </w:rPr>
        <w:t>Québec c. A</w:t>
      </w:r>
      <w:r w:rsidRPr="00807A5C">
        <w:rPr>
          <w:rFonts w:cs="Times New Roman"/>
          <w:lang w:val="fr-CA"/>
        </w:rPr>
        <w:t xml:space="preserve">, </w:t>
      </w:r>
      <w:r>
        <w:rPr>
          <w:rFonts w:cs="Times New Roman"/>
          <w:lang w:val="fr-CA"/>
        </w:rPr>
        <w:t>par. </w:t>
      </w:r>
      <w:r w:rsidRPr="00807A5C">
        <w:rPr>
          <w:rFonts w:cs="Times New Roman"/>
          <w:lang w:val="fr-CA"/>
        </w:rPr>
        <w:t xml:space="preserve">336). Dans l’arrêt </w:t>
      </w:r>
      <w:r w:rsidRPr="00807A5C">
        <w:rPr>
          <w:rFonts w:cs="Times New Roman"/>
          <w:i/>
          <w:lang w:val="fr-CA"/>
        </w:rPr>
        <w:t>Lavoie c. Canada</w:t>
      </w:r>
      <w:r w:rsidRPr="00807A5C">
        <w:rPr>
          <w:rFonts w:cs="Times New Roman"/>
          <w:lang w:val="fr-CA"/>
        </w:rPr>
        <w:t xml:space="preserve">, [2002] 1 R.C.S. 769, par exemple, la Cour a conclu qu’une loi qui accorde un traitement préférentiel aux citoyens canadiens enfreignait le </w:t>
      </w:r>
      <w:r>
        <w:rPr>
          <w:rFonts w:cs="Times New Roman"/>
          <w:lang w:val="fr-CA"/>
        </w:rPr>
        <w:t>par. </w:t>
      </w:r>
      <w:r w:rsidRPr="00807A5C">
        <w:rPr>
          <w:rFonts w:cs="Times New Roman"/>
          <w:lang w:val="fr-CA"/>
        </w:rPr>
        <w:t>15(1), malgré l’argument avancé par le gouvernement suivant lequel le fait de devenir un citoyen canadien était un choix. S’accordant sur ce point, la juge en chef McLachlin et la juge L’Heureux</w:t>
      </w:r>
      <w:r>
        <w:rPr>
          <w:rFonts w:cs="Times New Roman"/>
          <w:lang w:val="fr-CA"/>
        </w:rPr>
        <w:noBreakHyphen/>
      </w:r>
      <w:r w:rsidRPr="00807A5C">
        <w:rPr>
          <w:rFonts w:cs="Times New Roman"/>
          <w:lang w:val="fr-CA"/>
        </w:rPr>
        <w:t>Dubé l’ont énoncé clairement</w:t>
      </w:r>
      <w:r>
        <w:rPr>
          <w:rFonts w:cs="Times New Roman"/>
          <w:lang w:val="fr-CA"/>
        </w:rPr>
        <w:t> :</w:t>
      </w:r>
      <w:r w:rsidRPr="00807A5C">
        <w:rPr>
          <w:rFonts w:cs="Times New Roman"/>
          <w:lang w:val="fr-CA"/>
        </w:rPr>
        <w:t xml:space="preserve"> </w:t>
      </w:r>
    </w:p>
    <w:p w14:paraId="6574913A" w14:textId="206CD0B3" w:rsidR="00804EA2" w:rsidRPr="00807A5C" w:rsidRDefault="00804EA2" w:rsidP="007F6EDE">
      <w:pPr>
        <w:pStyle w:val="Citation-AltC"/>
        <w:spacing w:after="480"/>
        <w:ind w:hanging="1166"/>
        <w:contextualSpacing w:val="0"/>
        <w:rPr>
          <w:lang w:val="fr-CA" w:bidi="en-US"/>
        </w:rPr>
      </w:pPr>
      <w:r w:rsidRPr="00807A5C">
        <w:rPr>
          <w:lang w:val="fr-CA" w:bidi="en-US"/>
        </w:rPr>
        <w:tab/>
      </w:r>
      <w:r w:rsidRPr="00807A5C">
        <w:rPr>
          <w:lang w:val="fr-CA" w:bidi="en-US"/>
        </w:rPr>
        <w:tab/>
        <w:t xml:space="preserve">Le fait qu’une personne puisse éviter la discrimination en modifiant son comportement n’en supprime pas l’effet discriminatoire. S’il en était autrement, l’employeur qui refuserait d’embaucher des femmes dans son usine parce qu’il ne veut pas mettre un vestiaire à leur disposition pourrait prétendre que la cause réelle de l’effet discriminatoire est le « choix » des femmes de ne pas utiliser le vestiaire des hommes. Le seul fait de contraindre certaines personnes à faire ce type de choix viole la dignité humaine et est discriminatoire en soi. </w:t>
      </w:r>
      <w:r w:rsidRPr="00807A5C">
        <w:rPr>
          <w:i/>
          <w:lang w:val="fr-CA" w:bidi="en-US"/>
        </w:rPr>
        <w:t xml:space="preserve">Jusqu’à maintenant, le droit en matière de discrimination n’a pas exigé que le demandeur prouve qu’il n’aurait pu éviter l’effet discriminatoire pour que soit reconnue l’atteinte à l’égalité garantie au </w:t>
      </w:r>
      <w:r>
        <w:rPr>
          <w:i/>
          <w:lang w:val="fr-CA" w:bidi="en-US"/>
        </w:rPr>
        <w:t>par. </w:t>
      </w:r>
      <w:r w:rsidRPr="00807A5C">
        <w:rPr>
          <w:i/>
          <w:lang w:val="fr-CA" w:bidi="en-US"/>
        </w:rPr>
        <w:t>15(1)</w:t>
      </w:r>
      <w:r w:rsidRPr="00807A5C">
        <w:rPr>
          <w:lang w:val="fr-CA" w:bidi="en-US"/>
        </w:rPr>
        <w:t xml:space="preserve">. Dans </w:t>
      </w:r>
      <w:r w:rsidRPr="00807A5C">
        <w:rPr>
          <w:i/>
          <w:lang w:val="fr-CA" w:bidi="en-US"/>
        </w:rPr>
        <w:t>Andrews</w:t>
      </w:r>
      <w:r w:rsidRPr="00807A5C">
        <w:rPr>
          <w:lang w:val="fr-CA" w:bidi="en-US"/>
        </w:rPr>
        <w:t>, la Cour ne s’est pas arrêtée à ces considérations. Au contraire, le juge La Forest dit expressément que, dans certains cas, l’acquisition de la citoyenneté canadienne peut être « fort préjudiciable » lorsqu’elle cause la perte de la citoyenneté d’origine et il ne laisse aucun doute que ce coût doit jouer en faveur de la personne touchée par la mesure dis</w:t>
      </w:r>
      <w:r w:rsidR="007F6EDE">
        <w:rPr>
          <w:lang w:val="fr-CA" w:bidi="en-US"/>
        </w:rPr>
        <w:t>criminatoire. [Italique ajouté</w:t>
      </w:r>
      <w:r w:rsidRPr="00807A5C">
        <w:rPr>
          <w:lang w:val="fr-CA" w:bidi="en-US"/>
        </w:rPr>
        <w:t xml:space="preserve">; référence omise; </w:t>
      </w:r>
      <w:r>
        <w:rPr>
          <w:lang w:val="fr-CA" w:bidi="en-US"/>
        </w:rPr>
        <w:t>par. </w:t>
      </w:r>
      <w:r w:rsidRPr="00807A5C">
        <w:rPr>
          <w:lang w:val="fr-CA" w:bidi="en-US"/>
        </w:rPr>
        <w:t xml:space="preserve">5.] </w:t>
      </w:r>
    </w:p>
    <w:p w14:paraId="43F43B48" w14:textId="77777777" w:rsidR="00804EA2" w:rsidRPr="00807A5C" w:rsidRDefault="00804EA2" w:rsidP="00804EA2">
      <w:pPr>
        <w:pStyle w:val="ContinueParaSuitedupar-AltP"/>
        <w:rPr>
          <w:rFonts w:cs="Times New Roman"/>
          <w:lang w:val="fr-CA"/>
        </w:rPr>
      </w:pPr>
      <w:r w:rsidRPr="00807A5C">
        <w:rPr>
          <w:rFonts w:cs="Times New Roman"/>
          <w:lang w:val="fr-CA" w:bidi="en-US"/>
        </w:rPr>
        <w:t xml:space="preserve">(Voir aussi le </w:t>
      </w:r>
      <w:r>
        <w:rPr>
          <w:rFonts w:cs="Times New Roman"/>
          <w:lang w:val="fr-CA" w:bidi="en-US"/>
        </w:rPr>
        <w:t>par. </w:t>
      </w:r>
      <w:r w:rsidRPr="00807A5C">
        <w:rPr>
          <w:rFonts w:cs="Times New Roman"/>
          <w:lang w:val="fr-CA" w:bidi="en-US"/>
        </w:rPr>
        <w:t>51, le juge Bastarache.)</w:t>
      </w:r>
    </w:p>
    <w:p w14:paraId="0B931180" w14:textId="77777777" w:rsidR="00804EA2" w:rsidRPr="00807A5C" w:rsidRDefault="00804EA2" w:rsidP="00804EA2">
      <w:pPr>
        <w:pStyle w:val="ParaNoNdepar-AltN"/>
        <w:rPr>
          <w:rFonts w:cs="Times New Roman"/>
          <w:lang w:val="fr-CA"/>
        </w:rPr>
      </w:pPr>
      <w:r w:rsidRPr="00807A5C">
        <w:rPr>
          <w:rFonts w:cs="Times New Roman"/>
          <w:lang w:val="fr-CA"/>
        </w:rPr>
        <w:t>La juge L’Heureux</w:t>
      </w:r>
      <w:r>
        <w:rPr>
          <w:rFonts w:cs="Times New Roman"/>
          <w:lang w:val="fr-CA"/>
        </w:rPr>
        <w:noBreakHyphen/>
      </w:r>
      <w:r w:rsidRPr="00807A5C">
        <w:rPr>
          <w:rFonts w:cs="Times New Roman"/>
          <w:lang w:val="fr-CA"/>
        </w:rPr>
        <w:t xml:space="preserve">Dubé a exprimé un point de vue similaire dans ses motifs dissidents dans </w:t>
      </w:r>
      <w:r w:rsidRPr="00807A5C">
        <w:rPr>
          <w:rFonts w:cs="Times New Roman"/>
          <w:i/>
          <w:lang w:val="fr-CA"/>
        </w:rPr>
        <w:t>Nouvelle</w:t>
      </w:r>
      <w:r>
        <w:rPr>
          <w:rFonts w:cs="Times New Roman"/>
          <w:i/>
          <w:lang w:val="fr-CA"/>
        </w:rPr>
        <w:noBreakHyphen/>
      </w:r>
      <w:r w:rsidRPr="00807A5C">
        <w:rPr>
          <w:rFonts w:cs="Times New Roman"/>
          <w:i/>
          <w:lang w:val="fr-CA"/>
        </w:rPr>
        <w:t>Écosse (Procureur général) c. Walsh</w:t>
      </w:r>
      <w:r w:rsidRPr="00807A5C">
        <w:rPr>
          <w:rFonts w:cs="Times New Roman"/>
          <w:lang w:val="fr-CA"/>
        </w:rPr>
        <w:t xml:space="preserve">, [2002] 4 R.C.S. 325, une décision que notre Cour a infirmée dans l’arrêt </w:t>
      </w:r>
      <w:r w:rsidRPr="00807A5C">
        <w:rPr>
          <w:rFonts w:cs="Times New Roman"/>
          <w:i/>
          <w:lang w:val="fr-CA"/>
        </w:rPr>
        <w:t>Québec c. A</w:t>
      </w:r>
      <w:r w:rsidRPr="00807A5C">
        <w:rPr>
          <w:rFonts w:cs="Times New Roman"/>
          <w:lang w:val="fr-CA"/>
        </w:rPr>
        <w:t>, expliquant qu’une approche fondée sur le choix présentait des lacunes fondamentales</w:t>
      </w:r>
      <w:r>
        <w:rPr>
          <w:rFonts w:cs="Times New Roman"/>
          <w:lang w:val="fr-CA"/>
        </w:rPr>
        <w:t> :</w:t>
      </w:r>
    </w:p>
    <w:p w14:paraId="241314E6" w14:textId="3FD760B1" w:rsidR="00804EA2" w:rsidRPr="00807A5C" w:rsidRDefault="00804EA2" w:rsidP="00804EA2">
      <w:pPr>
        <w:pStyle w:val="Citation-AltC"/>
        <w:ind w:hanging="1166"/>
        <w:rPr>
          <w:lang w:val="fr-CA"/>
        </w:rPr>
      </w:pPr>
      <w:r w:rsidRPr="00807A5C">
        <w:rPr>
          <w:lang w:val="fr-CA"/>
        </w:rPr>
        <w:lastRenderedPageBreak/>
        <w:tab/>
      </w:r>
      <w:r w:rsidRPr="00807A5C">
        <w:rPr>
          <w:lang w:val="fr-CA"/>
        </w:rPr>
        <w:tab/>
        <w:t xml:space="preserve">De plus, en s’attachant à la liberté de choisir plutôt qu’à l’effet de la distinction sur les membres du groupe, les juges majoritaires dans </w:t>
      </w:r>
      <w:r w:rsidRPr="00807A5C">
        <w:rPr>
          <w:i/>
          <w:lang w:val="fr-CA"/>
        </w:rPr>
        <w:t>Walsh</w:t>
      </w:r>
      <w:r w:rsidRPr="00807A5C">
        <w:rPr>
          <w:lang w:val="fr-CA"/>
        </w:rPr>
        <w:t xml:space="preserve"> n’ont pas accordé suffisamment d’attention à la nécessité de procéder à une véritable analyse de l’égalité réelle, exigence confirmée dans les arrêts </w:t>
      </w:r>
      <w:r w:rsidRPr="00807A5C">
        <w:rPr>
          <w:i/>
          <w:lang w:val="fr-CA"/>
        </w:rPr>
        <w:t>Kapp</w:t>
      </w:r>
      <w:r w:rsidRPr="00807A5C">
        <w:rPr>
          <w:lang w:val="fr-CA"/>
        </w:rPr>
        <w:t xml:space="preserve"> et </w:t>
      </w:r>
      <w:r w:rsidRPr="00807A5C">
        <w:rPr>
          <w:i/>
          <w:lang w:val="fr-CA"/>
        </w:rPr>
        <w:t>Withler</w:t>
      </w:r>
      <w:r w:rsidRPr="00807A5C">
        <w:rPr>
          <w:lang w:val="fr-CA"/>
        </w:rPr>
        <w:t>. Contrairement à l’égalité formelle, qui suppose une personne [</w:t>
      </w:r>
      <w:r w:rsidRPr="00807A5C">
        <w:rPr>
          <w:smallCaps/>
          <w:lang w:val="fr-CA" w:bidi="en-US"/>
        </w:rPr>
        <w:t>traduction</w:t>
      </w:r>
      <w:r w:rsidRPr="00807A5C">
        <w:rPr>
          <w:lang w:val="fr-CA"/>
        </w:rPr>
        <w:t xml:space="preserve">] « autonome, agissant dans son propre intérêt et décidant par elle‑même », </w:t>
      </w:r>
      <w:r w:rsidRPr="00807A5C">
        <w:rPr>
          <w:i/>
          <w:lang w:val="fr-CA"/>
        </w:rPr>
        <w:t>l’égalité réelle tient compte non seulement des choix qui s’offrent à la personne, mais également du « contexte socioéconomique dans lequel il[s] s’inscrive[nt] »</w:t>
      </w:r>
      <w:r w:rsidR="007F6EDE">
        <w:rPr>
          <w:lang w:val="fr-CA"/>
        </w:rPr>
        <w:t>. [Italique ajouté</w:t>
      </w:r>
      <w:r w:rsidRPr="00807A5C">
        <w:rPr>
          <w:lang w:val="fr-CA"/>
        </w:rPr>
        <w:t xml:space="preserve">; référence omise; </w:t>
      </w:r>
      <w:r>
        <w:rPr>
          <w:lang w:val="fr-CA"/>
        </w:rPr>
        <w:t>par. </w:t>
      </w:r>
      <w:r w:rsidRPr="00807A5C">
        <w:rPr>
          <w:lang w:val="fr-CA"/>
        </w:rPr>
        <w:t>342.]</w:t>
      </w:r>
    </w:p>
    <w:p w14:paraId="0B157447" w14:textId="77777777" w:rsidR="00804EA2" w:rsidRPr="00807A5C" w:rsidRDefault="00804EA2" w:rsidP="00804EA2">
      <w:pPr>
        <w:pStyle w:val="ParaNoNdepar-AltN"/>
        <w:rPr>
          <w:rFonts w:cs="Times New Roman"/>
          <w:lang w:val="fr-CA"/>
        </w:rPr>
      </w:pPr>
      <w:r w:rsidRPr="00807A5C">
        <w:rPr>
          <w:rFonts w:cs="Times New Roman"/>
          <w:lang w:val="fr-CA"/>
        </w:rPr>
        <w:t>Plusieurs universitaires ont également avancé cette opinion. La professeure Margot Young, par exemple, précise ce qui suit</w:t>
      </w:r>
      <w:r>
        <w:rPr>
          <w:rFonts w:cs="Times New Roman"/>
          <w:lang w:val="fr-CA"/>
        </w:rPr>
        <w:t> :</w:t>
      </w:r>
    </w:p>
    <w:p w14:paraId="02DA9681" w14:textId="7E40818A" w:rsidR="00804EA2" w:rsidRPr="00807A5C" w:rsidRDefault="00804EA2" w:rsidP="00804EA2">
      <w:pPr>
        <w:pStyle w:val="Citation-AltC"/>
        <w:spacing w:after="240"/>
        <w:ind w:left="1168" w:hanging="1168"/>
        <w:contextualSpacing w:val="0"/>
        <w:rPr>
          <w:lang w:val="fr-CA" w:bidi="en-US"/>
        </w:rPr>
      </w:pPr>
      <w:r w:rsidRPr="00807A5C">
        <w:rPr>
          <w:lang w:val="fr-CA" w:bidi="en-US"/>
        </w:rPr>
        <w:tab/>
      </w:r>
      <w:r w:rsidRPr="00807A5C">
        <w:rPr>
          <w:lang w:val="fr-CA" w:bidi="en-US"/>
        </w:rPr>
        <w:tab/>
      </w:r>
      <w:r w:rsidR="007919FC" w:rsidRPr="00807A5C">
        <w:rPr>
          <w:lang w:val="fr-CA" w:bidi="en-US"/>
        </w:rPr>
        <w:t>[</w:t>
      </w:r>
      <w:r w:rsidR="007919FC" w:rsidRPr="00807A5C">
        <w:rPr>
          <w:smallCaps/>
          <w:lang w:val="fr-CA" w:bidi="en-US"/>
        </w:rPr>
        <w:t>traduction</w:t>
      </w:r>
      <w:r w:rsidR="007919FC" w:rsidRPr="00807A5C">
        <w:rPr>
          <w:lang w:val="fr-CA" w:bidi="en-US"/>
        </w:rPr>
        <w:t xml:space="preserve">] </w:t>
      </w:r>
      <w:r w:rsidRPr="00807A5C">
        <w:rPr>
          <w:lang w:val="fr-CA" w:bidi="en-US"/>
        </w:rPr>
        <w:t>[C]lore un examen critique en qualifiant de « naturelle », de « choisie » ou de « méritée » l’inégalité dont une personne se plaint est profondément problématique. En effet, la plupart des avancées majeures des femmes vers l’égalité découlent précisément de la révélation que « naturelle » veut dire « sociale », que « choisie » veut dire « forcée » et que « méritée » veut dire « injustifiée »</w:t>
      </w:r>
      <w:r w:rsidR="007919FC">
        <w:rPr>
          <w:lang w:val="fr-CA" w:bidi="en-US"/>
        </w:rPr>
        <w:t>.</w:t>
      </w:r>
      <w:r w:rsidRPr="00807A5C">
        <w:rPr>
          <w:lang w:val="fr-CA" w:bidi="en-US"/>
        </w:rPr>
        <w:t xml:space="preserve"> </w:t>
      </w:r>
    </w:p>
    <w:p w14:paraId="16CC94F4" w14:textId="374A6AA2" w:rsidR="00804EA2" w:rsidRPr="00807A5C" w:rsidRDefault="007919FC" w:rsidP="00804EA2">
      <w:pPr>
        <w:pStyle w:val="Citation-AltC"/>
        <w:spacing w:after="240"/>
        <w:ind w:left="1168" w:hanging="1168"/>
        <w:contextualSpacing w:val="0"/>
        <w:jc w:val="center"/>
        <w:rPr>
          <w:lang w:val="fr-CA" w:bidi="en-US"/>
        </w:rPr>
      </w:pPr>
      <w:r>
        <w:rPr>
          <w:lang w:val="fr-CA" w:bidi="en-US"/>
        </w:rPr>
        <w:tab/>
        <w:t>. . .</w:t>
      </w:r>
    </w:p>
    <w:p w14:paraId="417B1010" w14:textId="77777777" w:rsidR="00804EA2" w:rsidRPr="00807A5C" w:rsidRDefault="00804EA2" w:rsidP="007919FC">
      <w:pPr>
        <w:pStyle w:val="Citation-AltC"/>
        <w:spacing w:after="480"/>
        <w:ind w:hanging="1166"/>
        <w:contextualSpacing w:val="0"/>
        <w:rPr>
          <w:lang w:val="fr-CA" w:bidi="en-US"/>
        </w:rPr>
      </w:pPr>
      <w:r w:rsidRPr="00807A5C">
        <w:rPr>
          <w:lang w:val="fr-CA" w:bidi="en-US"/>
        </w:rPr>
        <w:tab/>
        <w:t>Les arguments basés sur les notions de mérite, la nature et le choix sont difficiles à démêler de façon critique; ils sont si souvent à l’origine de la discrimination. Cela rend ces notions profondément efficaces dans la perpétuation et l’obfuscation de l’inégalité.</w:t>
      </w:r>
    </w:p>
    <w:p w14:paraId="292401DE" w14:textId="70CEB7EE" w:rsidR="00804EA2" w:rsidRPr="00807A5C" w:rsidRDefault="00804EA2" w:rsidP="007919FC">
      <w:pPr>
        <w:pStyle w:val="Citation-AltC"/>
        <w:ind w:left="0"/>
        <w:rPr>
          <w:lang w:val="en-US" w:bidi="en-US"/>
        </w:rPr>
      </w:pPr>
      <w:r w:rsidRPr="00807A5C">
        <w:rPr>
          <w:lang w:val="en-US" w:bidi="en-US"/>
        </w:rPr>
        <w:t>(« Blissed Out</w:t>
      </w:r>
      <w:r w:rsidR="007919FC">
        <w:rPr>
          <w:lang w:val="en-US" w:bidi="en-US"/>
        </w:rPr>
        <w:t> </w:t>
      </w:r>
      <w:r w:rsidRPr="00807A5C">
        <w:rPr>
          <w:lang w:val="en-US" w:bidi="en-US"/>
        </w:rPr>
        <w:t>: Section 15 at Twenty »</w:t>
      </w:r>
      <w:r w:rsidR="007919FC">
        <w:rPr>
          <w:lang w:val="en-US" w:bidi="en-US"/>
        </w:rPr>
        <w:t>,</w:t>
      </w:r>
      <w:r w:rsidRPr="00807A5C">
        <w:rPr>
          <w:lang w:val="en-US" w:bidi="en-US"/>
        </w:rPr>
        <w:t xml:space="preserve"> dans </w:t>
      </w:r>
      <w:r w:rsidRPr="00807A5C">
        <w:rPr>
          <w:lang w:bidi="en-US"/>
        </w:rPr>
        <w:t>Sheila McIntyre</w:t>
      </w:r>
      <w:r w:rsidRPr="00807A5C">
        <w:t xml:space="preserve"> et Sanda Rodgers, dir., </w:t>
      </w:r>
      <w:r w:rsidRPr="00807A5C">
        <w:rPr>
          <w:i/>
          <w:lang w:val="en-US"/>
        </w:rPr>
        <w:t>Diminishing Returns</w:t>
      </w:r>
      <w:r w:rsidR="007919FC">
        <w:rPr>
          <w:i/>
          <w:lang w:val="en-US"/>
        </w:rPr>
        <w:t> </w:t>
      </w:r>
      <w:r w:rsidRPr="00807A5C">
        <w:rPr>
          <w:i/>
        </w:rPr>
        <w:t xml:space="preserve">: Inequality and the Canadian Charter of Rights and Freedoms </w:t>
      </w:r>
      <w:r w:rsidRPr="00807A5C">
        <w:t>(2006), 45</w:t>
      </w:r>
      <w:r w:rsidRPr="00807A5C">
        <w:rPr>
          <w:lang w:val="en-US"/>
        </w:rPr>
        <w:t xml:space="preserve">, </w:t>
      </w:r>
      <w:r>
        <w:rPr>
          <w:lang w:val="en-US" w:bidi="en-US"/>
        </w:rPr>
        <w:t>p. </w:t>
      </w:r>
      <w:r w:rsidRPr="00807A5C">
        <w:rPr>
          <w:lang w:val="en-US" w:bidi="en-US"/>
        </w:rPr>
        <w:t>55</w:t>
      </w:r>
      <w:r>
        <w:rPr>
          <w:lang w:val="en-US" w:bidi="en-US"/>
        </w:rPr>
        <w:t>-56</w:t>
      </w:r>
      <w:r w:rsidRPr="00807A5C">
        <w:rPr>
          <w:lang w:val="en-US" w:bidi="en-US"/>
        </w:rPr>
        <w:t>; voir aussi Margo</w:t>
      </w:r>
      <w:r>
        <w:rPr>
          <w:lang w:val="en-US" w:bidi="en-US"/>
        </w:rPr>
        <w:t>t</w:t>
      </w:r>
      <w:r w:rsidR="00EB3CA1">
        <w:rPr>
          <w:lang w:val="en-US" w:bidi="en-US"/>
        </w:rPr>
        <w:t xml:space="preserve"> Young, « Unequal to the Task</w:t>
      </w:r>
      <w:r w:rsidR="00F523F0">
        <w:rPr>
          <w:lang w:val="en-US" w:bidi="en-US"/>
        </w:rPr>
        <w:t> </w:t>
      </w:r>
      <w:r w:rsidR="00EB3CA1">
        <w:rPr>
          <w:lang w:val="en-US" w:bidi="en-US"/>
        </w:rPr>
        <w:t>: “Kapp”</w:t>
      </w:r>
      <w:r w:rsidRPr="00807A5C">
        <w:rPr>
          <w:lang w:val="en-US" w:bidi="en-US"/>
        </w:rPr>
        <w:t xml:space="preserve">ing the Substantive Potential of Section 15 » (2010), </w:t>
      </w:r>
      <w:r w:rsidRPr="00807A5C">
        <w:rPr>
          <w:lang w:val="en" w:bidi="en-US"/>
        </w:rPr>
        <w:t xml:space="preserve">50 </w:t>
      </w:r>
      <w:r w:rsidRPr="00807A5C">
        <w:rPr>
          <w:i/>
          <w:lang w:val="en" w:bidi="en-US"/>
        </w:rPr>
        <w:t>S.C.L.R.</w:t>
      </w:r>
      <w:r w:rsidRPr="00807A5C">
        <w:rPr>
          <w:lang w:val="en" w:bidi="en-US"/>
        </w:rPr>
        <w:t xml:space="preserve"> (2d) 183, </w:t>
      </w:r>
      <w:r>
        <w:rPr>
          <w:lang w:val="en-US" w:bidi="en-US"/>
        </w:rPr>
        <w:t>p. </w:t>
      </w:r>
      <w:r w:rsidRPr="00807A5C">
        <w:rPr>
          <w:lang w:val="en-US" w:bidi="en-US"/>
        </w:rPr>
        <w:t>190</w:t>
      </w:r>
      <w:r>
        <w:rPr>
          <w:lang w:val="en-US" w:bidi="en-US"/>
        </w:rPr>
        <w:noBreakHyphen/>
      </w:r>
      <w:r w:rsidRPr="00807A5C">
        <w:rPr>
          <w:lang w:val="en-US" w:bidi="en-US"/>
        </w:rPr>
        <w:t>191 et 196.)</w:t>
      </w:r>
    </w:p>
    <w:p w14:paraId="65686322" w14:textId="77777777" w:rsidR="00804EA2" w:rsidRPr="00807A5C" w:rsidRDefault="00804EA2" w:rsidP="00804EA2">
      <w:pPr>
        <w:pStyle w:val="ParaNoNdepar-AltN"/>
        <w:spacing w:line="600" w:lineRule="auto"/>
        <w:rPr>
          <w:rFonts w:cs="Times New Roman"/>
          <w:lang w:val="fr-CA"/>
        </w:rPr>
      </w:pPr>
      <w:r w:rsidRPr="00807A5C">
        <w:rPr>
          <w:rFonts w:cs="Times New Roman"/>
          <w:lang w:val="fr-CA"/>
        </w:rPr>
        <w:t>La professeure Sonia Lawrence formule l’argument crucial selon lequel les choix sont eux</w:t>
      </w:r>
      <w:r>
        <w:rPr>
          <w:rFonts w:cs="Times New Roman"/>
          <w:lang w:val="fr-CA"/>
        </w:rPr>
        <w:noBreakHyphen/>
      </w:r>
      <w:r w:rsidRPr="00807A5C">
        <w:rPr>
          <w:rFonts w:cs="Times New Roman"/>
          <w:lang w:val="fr-CA"/>
        </w:rPr>
        <w:t>mêmes façonnés par l’inégalité systémique</w:t>
      </w:r>
      <w:r>
        <w:rPr>
          <w:rFonts w:cs="Times New Roman"/>
          <w:lang w:val="fr-CA"/>
        </w:rPr>
        <w:t> :</w:t>
      </w:r>
    </w:p>
    <w:p w14:paraId="2BE75C8E" w14:textId="0165FA0B" w:rsidR="00804EA2" w:rsidRPr="00807A5C" w:rsidRDefault="00804EA2" w:rsidP="00804EA2">
      <w:pPr>
        <w:pStyle w:val="Citation-AltC"/>
        <w:spacing w:after="240"/>
        <w:ind w:left="1168" w:hanging="1168"/>
        <w:contextualSpacing w:val="0"/>
        <w:rPr>
          <w:lang w:val="fr-CA"/>
        </w:rPr>
      </w:pPr>
      <w:r w:rsidRPr="00807A5C">
        <w:rPr>
          <w:lang w:val="fr-CA"/>
        </w:rPr>
        <w:lastRenderedPageBreak/>
        <w:tab/>
      </w:r>
      <w:r w:rsidR="00F523F0" w:rsidRPr="00807A5C">
        <w:rPr>
          <w:lang w:val="fr-CA"/>
        </w:rPr>
        <w:t>[</w:t>
      </w:r>
      <w:r w:rsidR="00F523F0" w:rsidRPr="00807A5C">
        <w:rPr>
          <w:smallCaps/>
          <w:lang w:val="fr-CA"/>
        </w:rPr>
        <w:t>traduction</w:t>
      </w:r>
      <w:r w:rsidR="00F523F0" w:rsidRPr="00807A5C">
        <w:rPr>
          <w:lang w:val="fr-CA"/>
        </w:rPr>
        <w:t>]</w:t>
      </w:r>
      <w:r w:rsidR="00F523F0">
        <w:rPr>
          <w:lang w:val="fr-CA"/>
        </w:rPr>
        <w:t xml:space="preserve"> </w:t>
      </w:r>
      <w:r w:rsidRPr="00807A5C">
        <w:rPr>
          <w:lang w:val="fr-CA"/>
        </w:rPr>
        <w:t>. . .</w:t>
      </w:r>
      <w:r w:rsidR="00F523F0">
        <w:rPr>
          <w:lang w:val="fr-CA"/>
        </w:rPr>
        <w:t xml:space="preserve"> </w:t>
      </w:r>
      <w:r w:rsidRPr="00807A5C">
        <w:rPr>
          <w:lang w:val="fr-CA"/>
        </w:rPr>
        <w:t>une description contextuelle du choix produit un exposé narratif malheureusement appauvri, dans lequel l’existence de choix plus théoriques que réels sert à éliminer la possibilité de constater une discrimination. [. . .] Il en résulte une jurisprudence qui tourne presque en dérision une version plus nuancée du contenu de la discrimination et de la manière dont elle se manifeste, en ayant fréquemment recours à l’idée voulant que tout préjudice subi par la demanderesse soit en réalité le résultat du choix qu’elle a fait, ou encore d’un exercice malavisé par celle</w:t>
      </w:r>
      <w:r>
        <w:rPr>
          <w:lang w:val="fr-CA"/>
        </w:rPr>
        <w:noBreakHyphen/>
      </w:r>
      <w:r w:rsidRPr="00807A5C">
        <w:rPr>
          <w:lang w:val="fr-CA"/>
        </w:rPr>
        <w:t xml:space="preserve">ci de sa propre liberté judiciairement protégée. </w:t>
      </w:r>
    </w:p>
    <w:p w14:paraId="65D67B24" w14:textId="4050574C" w:rsidR="00804EA2" w:rsidRPr="00807A5C" w:rsidRDefault="00F523F0" w:rsidP="00804EA2">
      <w:pPr>
        <w:pStyle w:val="Citation-AltC"/>
        <w:spacing w:after="240"/>
        <w:ind w:left="1168" w:hanging="1168"/>
        <w:contextualSpacing w:val="0"/>
        <w:jc w:val="center"/>
        <w:rPr>
          <w:lang w:val="fr-CA"/>
        </w:rPr>
      </w:pPr>
      <w:r>
        <w:rPr>
          <w:lang w:val="fr-CA"/>
        </w:rPr>
        <w:tab/>
        <w:t>. . .</w:t>
      </w:r>
    </w:p>
    <w:p w14:paraId="703EFFD3" w14:textId="1759E6F0" w:rsidR="00804EA2" w:rsidRPr="00807A5C" w:rsidRDefault="00804EA2" w:rsidP="00F523F0">
      <w:pPr>
        <w:pStyle w:val="Citation-AltC"/>
        <w:spacing w:after="480"/>
        <w:ind w:hanging="1166"/>
        <w:contextualSpacing w:val="0"/>
        <w:rPr>
          <w:lang w:val="en-US"/>
        </w:rPr>
      </w:pPr>
      <w:r w:rsidRPr="00807A5C">
        <w:rPr>
          <w:i/>
          <w:lang w:val="fr-CA"/>
        </w:rPr>
        <w:tab/>
        <w:t>Toutes sortes de conditions structurelles poussent les gens à faire leurs les choix qu’ils font, ce qui fait que certains choix peuvent être faits plus souvent par des gens présentant des « caractéristiques personnelles » particulières</w:t>
      </w:r>
      <w:r w:rsidRPr="00807A5C">
        <w:rPr>
          <w:lang w:val="fr-CA"/>
        </w:rPr>
        <w:t xml:space="preserve">. Il s’agit d’un élément clé de l’inégalité systémique — elle ne découle pas de discrimination directe créée par une loi, mais plutôt du fonctionnement d’institutions qui peuvent sembler neutres à première vue. </w:t>
      </w:r>
      <w:r w:rsidR="00F523F0">
        <w:t>[Italique ajouté</w:t>
      </w:r>
      <w:r w:rsidRPr="00807A5C">
        <w:t>.]</w:t>
      </w:r>
    </w:p>
    <w:p w14:paraId="3BE92322" w14:textId="6F330829" w:rsidR="00804EA2" w:rsidRPr="00807A5C" w:rsidRDefault="00804EA2" w:rsidP="00F523F0">
      <w:pPr>
        <w:pStyle w:val="Citation-AltC"/>
        <w:ind w:left="0"/>
        <w:rPr>
          <w:lang w:val="en-US"/>
        </w:rPr>
      </w:pPr>
      <w:r w:rsidRPr="00807A5C">
        <w:rPr>
          <w:lang w:val="en-US"/>
        </w:rPr>
        <w:t>(« Choice, Equality and Tales of Racial Discrimination</w:t>
      </w:r>
      <w:r w:rsidR="00F523F0">
        <w:rPr>
          <w:lang w:val="en-US"/>
        </w:rPr>
        <w:t> </w:t>
      </w:r>
      <w:r w:rsidRPr="00807A5C">
        <w:rPr>
          <w:lang w:val="en-US"/>
        </w:rPr>
        <w:t>: Reading the Supreme Court on Section 15 »</w:t>
      </w:r>
      <w:r w:rsidR="00F523F0">
        <w:rPr>
          <w:lang w:val="en-US"/>
        </w:rPr>
        <w:t>,</w:t>
      </w:r>
      <w:r w:rsidRPr="00807A5C">
        <w:rPr>
          <w:lang w:val="en-US"/>
        </w:rPr>
        <w:t xml:space="preserve"> dans </w:t>
      </w:r>
      <w:r w:rsidRPr="00807A5C">
        <w:rPr>
          <w:lang w:bidi="en-US"/>
        </w:rPr>
        <w:t>Sheila McIntyre</w:t>
      </w:r>
      <w:r w:rsidRPr="00807A5C">
        <w:rPr>
          <w:i/>
        </w:rPr>
        <w:t xml:space="preserve"> </w:t>
      </w:r>
      <w:r w:rsidRPr="00807A5C">
        <w:t xml:space="preserve">et Sanda Rodgers, dir., </w:t>
      </w:r>
      <w:r w:rsidRPr="00807A5C">
        <w:rPr>
          <w:i/>
        </w:rPr>
        <w:t>Diminishing Returns</w:t>
      </w:r>
      <w:r w:rsidR="00F523F0">
        <w:rPr>
          <w:i/>
        </w:rPr>
        <w:t> </w:t>
      </w:r>
      <w:r w:rsidRPr="00807A5C">
        <w:rPr>
          <w:i/>
        </w:rPr>
        <w:t xml:space="preserve">: Inequality and the Canadian Charter of Rights and Freedoms </w:t>
      </w:r>
      <w:r w:rsidRPr="00807A5C">
        <w:t>(2006), 115</w:t>
      </w:r>
      <w:r w:rsidRPr="00807A5C">
        <w:rPr>
          <w:lang w:val="en-US"/>
        </w:rPr>
        <w:t xml:space="preserve">, </w:t>
      </w:r>
      <w:r>
        <w:rPr>
          <w:lang w:val="en-US"/>
        </w:rPr>
        <w:t>p. </w:t>
      </w:r>
      <w:r w:rsidRPr="00807A5C">
        <w:rPr>
          <w:lang w:val="en-US"/>
        </w:rPr>
        <w:t>115</w:t>
      </w:r>
      <w:r>
        <w:rPr>
          <w:lang w:val="en-US"/>
        </w:rPr>
        <w:noBreakHyphen/>
      </w:r>
      <w:r w:rsidRPr="00807A5C">
        <w:rPr>
          <w:lang w:val="en-US"/>
        </w:rPr>
        <w:t>116 et 124</w:t>
      </w:r>
      <w:r>
        <w:rPr>
          <w:lang w:val="en-US"/>
        </w:rPr>
        <w:noBreakHyphen/>
      </w:r>
      <w:r w:rsidR="00F523F0">
        <w:rPr>
          <w:lang w:val="en-US"/>
        </w:rPr>
        <w:t>1</w:t>
      </w:r>
      <w:r w:rsidRPr="00807A5C">
        <w:rPr>
          <w:lang w:val="en-US"/>
        </w:rPr>
        <w:t>25; voir aussi Diana Majury, « Women Are Themselves to Blame</w:t>
      </w:r>
      <w:r w:rsidR="00F523F0">
        <w:rPr>
          <w:lang w:val="en-US"/>
        </w:rPr>
        <w:t> </w:t>
      </w:r>
      <w:r w:rsidRPr="00807A5C">
        <w:rPr>
          <w:lang w:val="en-US"/>
        </w:rPr>
        <w:t>: Choice as a Justification for Unequal Treatment »</w:t>
      </w:r>
      <w:r w:rsidR="00F523F0">
        <w:rPr>
          <w:lang w:val="en-US"/>
        </w:rPr>
        <w:t>,</w:t>
      </w:r>
      <w:r w:rsidRPr="00807A5C">
        <w:rPr>
          <w:lang w:val="en-US"/>
        </w:rPr>
        <w:t xml:space="preserve"> dans Fay Faraday, Margaret Denike et M. Kate Stephenson, dir., </w:t>
      </w:r>
      <w:r w:rsidRPr="00807A5C">
        <w:rPr>
          <w:i/>
          <w:lang w:val="en-US"/>
        </w:rPr>
        <w:t>Making Equality Rights Real</w:t>
      </w:r>
      <w:r w:rsidR="00F523F0">
        <w:rPr>
          <w:i/>
          <w:lang w:val="en-US"/>
        </w:rPr>
        <w:t> </w:t>
      </w:r>
      <w:r w:rsidRPr="00807A5C">
        <w:rPr>
          <w:i/>
          <w:lang w:val="en-US"/>
        </w:rPr>
        <w:t xml:space="preserve">: Securing Substantive Equality under the Charter </w:t>
      </w:r>
      <w:r w:rsidRPr="00807A5C">
        <w:rPr>
          <w:lang w:val="en-US"/>
        </w:rPr>
        <w:t xml:space="preserve">(2006), 209, </w:t>
      </w:r>
      <w:r>
        <w:rPr>
          <w:lang w:val="en-US"/>
        </w:rPr>
        <w:t>p. </w:t>
      </w:r>
      <w:r w:rsidRPr="00807A5C">
        <w:rPr>
          <w:lang w:val="en-US"/>
        </w:rPr>
        <w:t>219</w:t>
      </w:r>
      <w:r>
        <w:rPr>
          <w:lang w:val="en-US"/>
        </w:rPr>
        <w:noBreakHyphen/>
      </w:r>
      <w:r w:rsidRPr="00807A5C">
        <w:rPr>
          <w:lang w:val="en-US"/>
        </w:rPr>
        <w:t>225.)</w:t>
      </w:r>
    </w:p>
    <w:p w14:paraId="79F5B553" w14:textId="317B5475" w:rsidR="00804EA2" w:rsidRPr="00807A5C" w:rsidRDefault="00804EA2" w:rsidP="00804EA2">
      <w:pPr>
        <w:pStyle w:val="ParaNoNdepar-AltN"/>
        <w:rPr>
          <w:rFonts w:cs="Times New Roman"/>
          <w:lang w:val="fr-CA"/>
        </w:rPr>
      </w:pPr>
      <w:r w:rsidRPr="00807A5C">
        <w:rPr>
          <w:rFonts w:cs="Times New Roman"/>
          <w:lang w:val="fr-CA"/>
        </w:rPr>
        <w:t>L’affaire qui nous occupe met en évidence les lacunes du fait d’accorder une trop grande importance au choix dans l’analyse relative à l’</w:t>
      </w:r>
      <w:r>
        <w:rPr>
          <w:rFonts w:cs="Times New Roman"/>
          <w:lang w:val="fr-CA"/>
        </w:rPr>
        <w:t>art. </w:t>
      </w:r>
      <w:r w:rsidRPr="00807A5C">
        <w:rPr>
          <w:rFonts w:cs="Times New Roman"/>
          <w:lang w:val="fr-CA"/>
        </w:rPr>
        <w:t>15. Pour beaucoup de femmes, loin d’être un choix libre, la décision de travailler à temps partiel « échappe souvent au contrôle de la personne » (</w:t>
      </w:r>
      <w:r w:rsidRPr="00807A5C">
        <w:rPr>
          <w:rFonts w:cs="Times New Roman"/>
          <w:i/>
          <w:lang w:val="fr-CA"/>
        </w:rPr>
        <w:t>Miron</w:t>
      </w:r>
      <w:r w:rsidRPr="00807A5C">
        <w:rPr>
          <w:rFonts w:cs="Times New Roman"/>
          <w:lang w:val="fr-CA"/>
        </w:rPr>
        <w:t xml:space="preserve">, </w:t>
      </w:r>
      <w:r>
        <w:rPr>
          <w:rFonts w:cs="Times New Roman"/>
          <w:lang w:val="fr-CA"/>
        </w:rPr>
        <w:t>par. </w:t>
      </w:r>
      <w:r w:rsidRPr="00807A5C">
        <w:rPr>
          <w:rFonts w:cs="Times New Roman"/>
          <w:lang w:val="fr-CA"/>
        </w:rPr>
        <w:t xml:space="preserve">153; </w:t>
      </w:r>
      <w:r w:rsidRPr="00807A5C">
        <w:rPr>
          <w:rFonts w:cs="Times New Roman"/>
          <w:i/>
          <w:lang w:val="fr-CA"/>
        </w:rPr>
        <w:t>Québec c. A</w:t>
      </w:r>
      <w:r w:rsidRPr="00807A5C">
        <w:rPr>
          <w:rFonts w:cs="Times New Roman"/>
          <w:lang w:val="fr-CA"/>
        </w:rPr>
        <w:t xml:space="preserve">, </w:t>
      </w:r>
      <w:r>
        <w:rPr>
          <w:rFonts w:cs="Times New Roman"/>
          <w:lang w:val="fr-CA"/>
        </w:rPr>
        <w:t>par. </w:t>
      </w:r>
      <w:r w:rsidRPr="00807A5C">
        <w:rPr>
          <w:rFonts w:cs="Times New Roman"/>
          <w:lang w:val="fr-CA"/>
        </w:rPr>
        <w:t xml:space="preserve">316; voir aussi Watson Hamilton et Koshan (2015), </w:t>
      </w:r>
      <w:r>
        <w:rPr>
          <w:rFonts w:cs="Times New Roman"/>
          <w:lang w:val="fr-CA"/>
        </w:rPr>
        <w:t>p. </w:t>
      </w:r>
      <w:r w:rsidRPr="00807A5C">
        <w:rPr>
          <w:rFonts w:cs="Times New Roman"/>
          <w:lang w:val="fr-CA"/>
        </w:rPr>
        <w:t>202). Pour bon nombre de femmes, la décision de travailler à temps partiel constitue un « choix » entre rester au</w:t>
      </w:r>
      <w:r>
        <w:rPr>
          <w:rFonts w:cs="Times New Roman"/>
          <w:lang w:val="fr-CA"/>
        </w:rPr>
        <w:noBreakHyphen/>
      </w:r>
      <w:r w:rsidRPr="00807A5C">
        <w:rPr>
          <w:rFonts w:cs="Times New Roman"/>
          <w:lang w:val="fr-CA"/>
        </w:rPr>
        <w:t xml:space="preserve">dessus ou en dessous du seuil de la pauvreté. Qui plus est, le programme de partage de poste a été mis en place précisément parce que certains membres avaient besoin d’une solution de </w:t>
      </w:r>
      <w:r w:rsidRPr="00807A5C">
        <w:rPr>
          <w:rFonts w:cs="Times New Roman"/>
          <w:lang w:val="fr-CA"/>
        </w:rPr>
        <w:lastRenderedPageBreak/>
        <w:t>rechange au congé non payé [</w:t>
      </w:r>
      <w:r w:rsidRPr="00807A5C">
        <w:rPr>
          <w:rFonts w:cs="Times New Roman"/>
          <w:smallCaps/>
          <w:lang w:val="fr-CA"/>
        </w:rPr>
        <w:t>traduction</w:t>
      </w:r>
      <w:r w:rsidRPr="00807A5C">
        <w:rPr>
          <w:rFonts w:cs="Times New Roman"/>
          <w:lang w:val="fr-CA"/>
        </w:rPr>
        <w:t>] « en raison de leur situation person</w:t>
      </w:r>
      <w:r w:rsidR="00E34B08">
        <w:rPr>
          <w:rFonts w:cs="Times New Roman"/>
          <w:lang w:val="fr-CA"/>
        </w:rPr>
        <w:t>nelle ou familiale » (d.</w:t>
      </w:r>
      <w:r w:rsidRPr="00807A5C">
        <w:rPr>
          <w:rFonts w:cs="Times New Roman"/>
          <w:lang w:val="fr-CA"/>
        </w:rPr>
        <w:t>a</w:t>
      </w:r>
      <w:r w:rsidR="00E34B08">
        <w:rPr>
          <w:rFonts w:cs="Times New Roman"/>
          <w:lang w:val="fr-CA"/>
        </w:rPr>
        <w:t>.</w:t>
      </w:r>
      <w:r w:rsidRPr="00807A5C">
        <w:rPr>
          <w:rFonts w:cs="Times New Roman"/>
          <w:lang w:val="fr-CA"/>
        </w:rPr>
        <w:t xml:space="preserve">, </w:t>
      </w:r>
      <w:r>
        <w:rPr>
          <w:rFonts w:cs="Times New Roman"/>
          <w:lang w:val="fr-CA"/>
        </w:rPr>
        <w:t>vol. </w:t>
      </w:r>
      <w:r w:rsidRPr="00807A5C">
        <w:rPr>
          <w:rFonts w:cs="Times New Roman"/>
          <w:lang w:val="fr-CA"/>
        </w:rPr>
        <w:t xml:space="preserve">V, </w:t>
      </w:r>
      <w:r>
        <w:rPr>
          <w:rFonts w:cs="Times New Roman"/>
          <w:lang w:val="fr-CA"/>
        </w:rPr>
        <w:t>p. </w:t>
      </w:r>
      <w:r w:rsidRPr="00807A5C">
        <w:rPr>
          <w:rFonts w:cs="Times New Roman"/>
          <w:lang w:val="fr-CA"/>
        </w:rPr>
        <w:t>810). M</w:t>
      </w:r>
      <w:r w:rsidRPr="00807A5C">
        <w:rPr>
          <w:rFonts w:cs="Times New Roman"/>
          <w:vertAlign w:val="superscript"/>
          <w:lang w:val="fr-CA"/>
        </w:rPr>
        <w:t>me</w:t>
      </w:r>
      <w:r w:rsidRPr="00807A5C">
        <w:rPr>
          <w:rFonts w:cs="Times New Roman"/>
          <w:lang w:val="fr-CA"/>
        </w:rPr>
        <w:t> Fox a tenu des propos semblables dans son affidavit</w:t>
      </w:r>
      <w:r>
        <w:rPr>
          <w:rFonts w:cs="Times New Roman"/>
          <w:lang w:val="fr-CA"/>
        </w:rPr>
        <w:t> :</w:t>
      </w:r>
    </w:p>
    <w:p w14:paraId="6EBD93A2" w14:textId="7BCA8D5A" w:rsidR="00804EA2" w:rsidRPr="00807A5C" w:rsidRDefault="00804EA2" w:rsidP="00804EA2">
      <w:pPr>
        <w:pStyle w:val="Citation-AltC"/>
        <w:ind w:hanging="1166"/>
        <w:rPr>
          <w:lang w:val="fr-CA"/>
        </w:rPr>
      </w:pPr>
      <w:r w:rsidRPr="00807A5C">
        <w:rPr>
          <w:lang w:val="fr-CA"/>
        </w:rPr>
        <w:tab/>
      </w:r>
      <w:r w:rsidRPr="00807A5C">
        <w:rPr>
          <w:lang w:val="fr-CA"/>
        </w:rPr>
        <w:tab/>
      </w:r>
      <w:r w:rsidR="00E34B08" w:rsidRPr="00807A5C">
        <w:rPr>
          <w:lang w:val="fr-CA"/>
        </w:rPr>
        <w:t>[</w:t>
      </w:r>
      <w:r w:rsidR="00E34B08" w:rsidRPr="00807A5C">
        <w:rPr>
          <w:smallCaps/>
          <w:lang w:val="fr-CA"/>
        </w:rPr>
        <w:t>traduction</w:t>
      </w:r>
      <w:r w:rsidR="00E34B08" w:rsidRPr="00807A5C">
        <w:rPr>
          <w:lang w:val="fr-CA"/>
        </w:rPr>
        <w:t>]</w:t>
      </w:r>
      <w:r w:rsidR="00E34B08">
        <w:rPr>
          <w:lang w:val="fr-CA"/>
        </w:rPr>
        <w:t xml:space="preserve"> </w:t>
      </w:r>
      <w:r w:rsidRPr="00807A5C">
        <w:rPr>
          <w:lang w:val="fr-CA"/>
        </w:rPr>
        <w:t xml:space="preserve">Selon mon expérience, cette politique est particulièrement préjudiciable envers les femmes qui travaillent dans des collectivités rurales ou éloignées. La GRC affecte régulièrement des femmes dans de telles collectivités où il n’y a tout simplement pas de services de garde pour enfants disponibles à toute heure du jour. Par conséquent, pour les membres ayant des enfants, le partage de poste est souvent la seule solution en matière de services de garde. </w:t>
      </w:r>
    </w:p>
    <w:p w14:paraId="79D59267" w14:textId="77777777" w:rsidR="00804EA2" w:rsidRPr="00807A5C" w:rsidRDefault="00804EA2" w:rsidP="00804EA2">
      <w:pPr>
        <w:pStyle w:val="ParaNoNdepar-AltN"/>
        <w:rPr>
          <w:rFonts w:cs="Times New Roman"/>
          <w:lang w:val="fr-CA"/>
        </w:rPr>
      </w:pPr>
      <w:r w:rsidRPr="00807A5C">
        <w:rPr>
          <w:rFonts w:cs="Times New Roman"/>
          <w:lang w:val="fr-CA"/>
        </w:rPr>
        <w:t xml:space="preserve">En invoquant le « choix » qui a été fait de partager un poste comme motif pour rejeter la demande fondée sur le </w:t>
      </w:r>
      <w:r>
        <w:rPr>
          <w:rFonts w:cs="Times New Roman"/>
          <w:lang w:val="fr-CA"/>
        </w:rPr>
        <w:t>par. </w:t>
      </w:r>
      <w:r w:rsidRPr="00807A5C">
        <w:rPr>
          <w:rFonts w:cs="Times New Roman"/>
          <w:lang w:val="fr-CA"/>
        </w:rPr>
        <w:t>15(1), la Cour fédérale et la Cour d’appel fédérale ont soustrait [</w:t>
      </w:r>
      <w:r w:rsidRPr="00807A5C">
        <w:rPr>
          <w:rFonts w:cs="Times New Roman"/>
          <w:smallCaps/>
          <w:lang w:val="fr-CA"/>
        </w:rPr>
        <w:t>traduction</w:t>
      </w:r>
      <w:r w:rsidRPr="00807A5C">
        <w:rPr>
          <w:rFonts w:cs="Times New Roman"/>
          <w:lang w:val="fr-CA"/>
        </w:rPr>
        <w:t xml:space="preserve">] « l’inégalité contestée à un examen minutieux, l’ignorant complètement afin de ne pas avoir à examiner les questions d’égalité en cause » (Majury, </w:t>
      </w:r>
      <w:r>
        <w:rPr>
          <w:rFonts w:cs="Times New Roman"/>
          <w:lang w:val="fr-CA"/>
        </w:rPr>
        <w:t>p. </w:t>
      </w:r>
      <w:r w:rsidRPr="00807A5C">
        <w:rPr>
          <w:rFonts w:cs="Times New Roman"/>
          <w:lang w:val="fr-CA"/>
        </w:rPr>
        <w:t>219). Il s’agit d’une approche que rejette la jurisprudence de notre Cour sur l’</w:t>
      </w:r>
      <w:r>
        <w:rPr>
          <w:rFonts w:cs="Times New Roman"/>
          <w:lang w:val="fr-CA"/>
        </w:rPr>
        <w:t>art. </w:t>
      </w:r>
      <w:r w:rsidRPr="00807A5C">
        <w:rPr>
          <w:rFonts w:cs="Times New Roman"/>
          <w:lang w:val="fr-CA"/>
        </w:rPr>
        <w:t>15.</w:t>
      </w:r>
    </w:p>
    <w:p w14:paraId="115E70A2" w14:textId="77777777" w:rsidR="00804EA2" w:rsidRPr="00807A5C" w:rsidRDefault="00804EA2" w:rsidP="00804EA2">
      <w:pPr>
        <w:pStyle w:val="ParaNoNdepar-AltN"/>
        <w:rPr>
          <w:rFonts w:cs="Times New Roman"/>
          <w:lang w:val="fr-CA"/>
        </w:rPr>
      </w:pPr>
      <w:r w:rsidRPr="00807A5C">
        <w:rPr>
          <w:rFonts w:cs="Times New Roman"/>
          <w:lang w:val="fr-CA"/>
        </w:rPr>
        <w:t>La Cour fédérale et la Cour d’appel fédérale ont également conclu que le régime de pension ne traite pas les participants au programme de partage de poste moins favorablement que ceux qui prennent un congé non payé. Les deux cours sont arrivées à cette conclusion en se fondant sur une comparaison formaliste entre la rémunération offerte en vertu du programme de partage de poste et le programme de congé non payé.</w:t>
      </w:r>
    </w:p>
    <w:p w14:paraId="6F13AA06" w14:textId="77777777" w:rsidR="00804EA2" w:rsidRPr="00807A5C" w:rsidRDefault="00804EA2" w:rsidP="00804EA2">
      <w:pPr>
        <w:pStyle w:val="ParaNoNdepar-AltN"/>
        <w:rPr>
          <w:rFonts w:cs="Times New Roman"/>
          <w:lang w:val="fr-CA"/>
        </w:rPr>
      </w:pPr>
      <w:r w:rsidRPr="00807A5C">
        <w:rPr>
          <w:rFonts w:cs="Times New Roman"/>
          <w:lang w:val="fr-CA"/>
        </w:rPr>
        <w:lastRenderedPageBreak/>
        <w:t xml:space="preserve">Il s’agit précisément du type d’analyse du « groupe de comparaison aux caractéristiques identiques » que notre Cour a carrément rejetée dans l’arrêt </w:t>
      </w:r>
      <w:r w:rsidRPr="00807A5C">
        <w:rPr>
          <w:rFonts w:cs="Times New Roman"/>
          <w:i/>
          <w:lang w:val="fr-CA"/>
        </w:rPr>
        <w:t>Withler</w:t>
      </w:r>
      <w:r w:rsidRPr="00807A5C">
        <w:rPr>
          <w:rFonts w:cs="Times New Roman"/>
          <w:lang w:val="fr-CA"/>
        </w:rPr>
        <w:t xml:space="preserve"> (</w:t>
      </w:r>
      <w:r>
        <w:rPr>
          <w:rFonts w:cs="Times New Roman"/>
          <w:lang w:val="fr-CA"/>
        </w:rPr>
        <w:t>par. </w:t>
      </w:r>
      <w:r w:rsidRPr="00807A5C">
        <w:rPr>
          <w:rFonts w:cs="Times New Roman"/>
          <w:lang w:val="fr-CA"/>
        </w:rPr>
        <w:t>55</w:t>
      </w:r>
      <w:r>
        <w:rPr>
          <w:rFonts w:cs="Times New Roman"/>
          <w:lang w:val="fr-CA"/>
        </w:rPr>
        <w:noBreakHyphen/>
      </w:r>
      <w:r w:rsidRPr="00807A5C">
        <w:rPr>
          <w:rFonts w:cs="Times New Roman"/>
          <w:lang w:val="fr-CA"/>
        </w:rPr>
        <w:t xml:space="preserve">64; voir aussi </w:t>
      </w:r>
      <w:r w:rsidRPr="00807A5C">
        <w:rPr>
          <w:rFonts w:cs="Times New Roman"/>
          <w:i/>
          <w:lang w:val="fr-CA"/>
        </w:rPr>
        <w:t>Moore</w:t>
      </w:r>
      <w:r w:rsidRPr="00807A5C">
        <w:rPr>
          <w:rFonts w:cs="Times New Roman"/>
          <w:lang w:val="fr-CA"/>
        </w:rPr>
        <w:t xml:space="preserve">, </w:t>
      </w:r>
      <w:r>
        <w:rPr>
          <w:rFonts w:cs="Times New Roman"/>
          <w:lang w:val="fr-CA"/>
        </w:rPr>
        <w:t>par. </w:t>
      </w:r>
      <w:r w:rsidRPr="00807A5C">
        <w:rPr>
          <w:rFonts w:cs="Times New Roman"/>
          <w:lang w:val="fr-CA"/>
        </w:rPr>
        <w:t>28</w:t>
      </w:r>
      <w:r>
        <w:rPr>
          <w:rFonts w:cs="Times New Roman"/>
          <w:lang w:val="fr-CA"/>
        </w:rPr>
        <w:noBreakHyphen/>
      </w:r>
      <w:r w:rsidRPr="00807A5C">
        <w:rPr>
          <w:rFonts w:cs="Times New Roman"/>
          <w:lang w:val="fr-CA"/>
        </w:rPr>
        <w:t>31). Le paragraphe 15(1) garantit à M</w:t>
      </w:r>
      <w:r w:rsidRPr="00807A5C">
        <w:rPr>
          <w:rFonts w:cs="Times New Roman"/>
          <w:vertAlign w:val="superscript"/>
          <w:lang w:val="fr-CA"/>
        </w:rPr>
        <w:t>me</w:t>
      </w:r>
      <w:r w:rsidRPr="00807A5C">
        <w:rPr>
          <w:rFonts w:cs="Times New Roman"/>
          <w:lang w:val="fr-CA"/>
        </w:rPr>
        <w:t xml:space="preserve"> Fraser et aux autres participants au programme de partage de poste le droit à l’égalité réelle par rapport aux employés </w:t>
      </w:r>
      <w:r w:rsidRPr="00807A5C">
        <w:rPr>
          <w:rFonts w:cs="Times New Roman"/>
          <w:i/>
          <w:lang w:val="fr-CA"/>
        </w:rPr>
        <w:t xml:space="preserve">à temps plein </w:t>
      </w:r>
      <w:r w:rsidRPr="00807A5C">
        <w:rPr>
          <w:rFonts w:cs="Times New Roman"/>
          <w:lang w:val="fr-CA"/>
        </w:rPr>
        <w:t>de la GRC, et non pas simplement par rapport aux membres en congé non payé. Le fait de se concentrer étroitement sur les dispositions de rachat revient à ignorer leur rôle à l’intérieur du régime de pension</w:t>
      </w:r>
      <w:r>
        <w:rPr>
          <w:rFonts w:cs="Times New Roman"/>
          <w:lang w:val="fr-CA"/>
        </w:rPr>
        <w:t> :</w:t>
      </w:r>
      <w:r w:rsidRPr="00807A5C">
        <w:rPr>
          <w:rFonts w:cs="Times New Roman"/>
          <w:lang w:val="fr-CA"/>
        </w:rPr>
        <w:t xml:space="preserve"> ces dispositions sont </w:t>
      </w:r>
      <w:r w:rsidRPr="00807A5C">
        <w:rPr>
          <w:rFonts w:cs="Times New Roman"/>
          <w:i/>
          <w:lang w:val="fr-CA"/>
        </w:rPr>
        <w:t>en soi</w:t>
      </w:r>
      <w:r w:rsidRPr="00807A5C">
        <w:rPr>
          <w:rFonts w:cs="Times New Roman"/>
          <w:lang w:val="fr-CA"/>
        </w:rPr>
        <w:t xml:space="preserve"> le moyen par lequel les employés qui prennent un congé non payé « peuvent accéder concrètement » aux prestations de pension offertes à </w:t>
      </w:r>
      <w:r w:rsidRPr="00807A5C">
        <w:rPr>
          <w:rFonts w:cs="Times New Roman"/>
          <w:i/>
          <w:lang w:val="fr-CA"/>
        </w:rPr>
        <w:t>tous</w:t>
      </w:r>
      <w:r w:rsidRPr="00807A5C">
        <w:rPr>
          <w:rFonts w:cs="Times New Roman"/>
          <w:lang w:val="fr-CA"/>
        </w:rPr>
        <w:t xml:space="preserve"> les employés à temps plein (</w:t>
      </w:r>
      <w:r w:rsidRPr="00807A5C">
        <w:rPr>
          <w:rFonts w:cs="Times New Roman"/>
          <w:i/>
          <w:lang w:val="fr-CA"/>
        </w:rPr>
        <w:t>Moore</w:t>
      </w:r>
      <w:r w:rsidRPr="00807A5C">
        <w:rPr>
          <w:rFonts w:cs="Times New Roman"/>
          <w:lang w:val="fr-CA"/>
        </w:rPr>
        <w:t xml:space="preserve">, </w:t>
      </w:r>
      <w:r>
        <w:rPr>
          <w:rFonts w:cs="Times New Roman"/>
          <w:lang w:val="fr-CA"/>
        </w:rPr>
        <w:t>par. </w:t>
      </w:r>
      <w:r w:rsidRPr="00807A5C">
        <w:rPr>
          <w:rFonts w:cs="Times New Roman"/>
          <w:lang w:val="fr-CA"/>
        </w:rPr>
        <w:t>28).</w:t>
      </w:r>
    </w:p>
    <w:p w14:paraId="606EAAB4" w14:textId="77777777" w:rsidR="00804EA2" w:rsidRPr="00807A5C" w:rsidRDefault="00804EA2" w:rsidP="00804EA2">
      <w:pPr>
        <w:pStyle w:val="ParaNoNdepar-AltN"/>
        <w:rPr>
          <w:rFonts w:cs="Times New Roman"/>
          <w:lang w:val="fr-CA"/>
        </w:rPr>
      </w:pPr>
      <w:r w:rsidRPr="00807A5C">
        <w:rPr>
          <w:rFonts w:cs="Times New Roman"/>
          <w:lang w:val="fr-CA"/>
        </w:rPr>
        <w:t>Cet aspect de la demande de M</w:t>
      </w:r>
      <w:r w:rsidRPr="00807A5C">
        <w:rPr>
          <w:rFonts w:cs="Times New Roman"/>
          <w:vertAlign w:val="superscript"/>
          <w:lang w:val="fr-CA"/>
        </w:rPr>
        <w:t>me</w:t>
      </w:r>
      <w:r w:rsidRPr="00807A5C">
        <w:rPr>
          <w:rFonts w:cs="Times New Roman"/>
          <w:lang w:val="fr-CA"/>
        </w:rPr>
        <w:t> Fraser ne distingue pas sa demande de celle qui était en cause dans l’arrêt </w:t>
      </w:r>
      <w:r w:rsidRPr="00807A5C">
        <w:rPr>
          <w:rFonts w:cs="Times New Roman"/>
          <w:i/>
          <w:lang w:val="fr-CA"/>
        </w:rPr>
        <w:t>Centrale</w:t>
      </w:r>
      <w:r w:rsidRPr="00807A5C">
        <w:rPr>
          <w:rFonts w:cs="Times New Roman"/>
          <w:lang w:val="fr-CA"/>
        </w:rPr>
        <w:t xml:space="preserve">. Dans cette affaire, le Québec avait reporté la mise en œuvre d’un programme d’équité salariale de quatre ans pour les femmes travaillant dans des milieux où il existe des comparateurs masculins, et de six ans pour les femmes travaillant dans des milieux sans comparateurs masculins. Notre Cour a jugé que le report de la mise en œuvre du programme enfreignait le </w:t>
      </w:r>
      <w:r>
        <w:rPr>
          <w:rFonts w:cs="Times New Roman"/>
          <w:lang w:val="fr-CA"/>
        </w:rPr>
        <w:t>par. </w:t>
      </w:r>
      <w:r w:rsidRPr="00807A5C">
        <w:rPr>
          <w:rFonts w:cs="Times New Roman"/>
          <w:lang w:val="fr-CA"/>
        </w:rPr>
        <w:t xml:space="preserve">15(1). Au lieu de comparer la situation des femmes dans différents milieux de travail, la Cour a expliqué en quoi le report de la mise en œuvre du programme d’équité salariale défavorisait les femmes par rapport </w:t>
      </w:r>
      <w:r w:rsidRPr="00807A5C">
        <w:rPr>
          <w:rFonts w:cs="Times New Roman"/>
          <w:i/>
          <w:lang w:val="fr-CA"/>
        </w:rPr>
        <w:t>aux hommes</w:t>
      </w:r>
      <w:r w:rsidRPr="00807A5C">
        <w:rPr>
          <w:rFonts w:cs="Times New Roman"/>
          <w:lang w:val="fr-CA"/>
        </w:rPr>
        <w:t xml:space="preserve"> travaillant dans d’autres milieux où leur travail est rémunéré à sa pleine valeur</w:t>
      </w:r>
      <w:r>
        <w:rPr>
          <w:rFonts w:cs="Times New Roman"/>
          <w:lang w:val="fr-CA"/>
        </w:rPr>
        <w:t> :</w:t>
      </w:r>
    </w:p>
    <w:p w14:paraId="1097A56B" w14:textId="5E880B6C" w:rsidR="00804EA2" w:rsidRPr="00807A5C" w:rsidRDefault="00804EA2" w:rsidP="00E34B08">
      <w:pPr>
        <w:pStyle w:val="Citation-AltC"/>
        <w:spacing w:after="480"/>
        <w:ind w:hanging="1166"/>
        <w:contextualSpacing w:val="0"/>
        <w:rPr>
          <w:lang w:val="fr-CA"/>
        </w:rPr>
      </w:pPr>
      <w:r w:rsidRPr="00807A5C">
        <w:rPr>
          <w:lang w:val="fr-CA"/>
        </w:rPr>
        <w:tab/>
      </w:r>
      <w:r w:rsidRPr="00807A5C">
        <w:rPr>
          <w:lang w:val="fr-CA"/>
        </w:rPr>
        <w:tab/>
        <w:t xml:space="preserve">Le législateur a décidé de s’attaquer à la discrimination salariale exercée envers les femmes, mais, en différant l’accès au régime pour un certain </w:t>
      </w:r>
      <w:r w:rsidRPr="00807A5C">
        <w:rPr>
          <w:lang w:val="fr-CA"/>
        </w:rPr>
        <w:lastRenderedPageBreak/>
        <w:t xml:space="preserve">groupe de femmes, il a refusé cet accès à celles‑ci, </w:t>
      </w:r>
      <w:r w:rsidRPr="00807A5C">
        <w:rPr>
          <w:i/>
          <w:lang w:val="fr-CA"/>
        </w:rPr>
        <w:t>faisant en sorte que les femmes de ce groupe seraient moins bien payées en comparaison des travailleurs de sexe masculin pendant une plus longue période</w:t>
      </w:r>
      <w:r w:rsidRPr="00807A5C">
        <w:rPr>
          <w:lang w:val="fr-CA"/>
        </w:rPr>
        <w:t xml:space="preserve">. Quels que soient les motifs qui sous‑tendent sa décision, il s’agit de « discrimination consacrée par la loi », une forme de discrimination que la Cour dénonce depuis l’arrêt </w:t>
      </w:r>
      <w:r w:rsidRPr="00807A5C">
        <w:rPr>
          <w:i/>
          <w:lang w:val="fr-CA"/>
        </w:rPr>
        <w:t>Andrews</w:t>
      </w:r>
      <w:r w:rsidRPr="00807A5C">
        <w:rPr>
          <w:lang w:val="fr-CA"/>
        </w:rPr>
        <w:t xml:space="preserve"> (</w:t>
      </w:r>
      <w:r>
        <w:rPr>
          <w:lang w:val="fr-CA"/>
        </w:rPr>
        <w:t>p. </w:t>
      </w:r>
      <w:r w:rsidRPr="00807A5C">
        <w:rPr>
          <w:lang w:val="fr-CA"/>
        </w:rPr>
        <w:t>172). En conséquence, le fait que les femmes travaillant dans un certain type de milieu — où il existe des comparateurs masculins — aient obtenu une réparation rapidement ne résout en rien la question de savoir si les femmes occupant un emploi dans un autre type de milieu ont également subi un désavantage. On ne saurait faire valoir, comme moyen de défense à une allégation de discrimination portée par un groupe de femmes, que le problème de discrimination vécu par un autr</w:t>
      </w:r>
      <w:r w:rsidR="00E34B08">
        <w:rPr>
          <w:lang w:val="fr-CA"/>
        </w:rPr>
        <w:t>e groupe a été réglé. [Italique ajouté</w:t>
      </w:r>
      <w:r w:rsidRPr="00807A5C">
        <w:rPr>
          <w:lang w:val="fr-CA"/>
        </w:rPr>
        <w:t xml:space="preserve">; </w:t>
      </w:r>
      <w:r>
        <w:rPr>
          <w:lang w:val="fr-CA"/>
        </w:rPr>
        <w:t>par. </w:t>
      </w:r>
      <w:r w:rsidRPr="00807A5C">
        <w:rPr>
          <w:lang w:val="fr-CA"/>
        </w:rPr>
        <w:t xml:space="preserve">33.] </w:t>
      </w:r>
    </w:p>
    <w:p w14:paraId="24B1AE2C" w14:textId="2E7880B5" w:rsidR="00804EA2" w:rsidRPr="00807A5C" w:rsidRDefault="00E34B08" w:rsidP="00744EAD">
      <w:pPr>
        <w:pStyle w:val="ContinueParaSuitedupar-AltP"/>
        <w:rPr>
          <w:rFonts w:cs="Times New Roman"/>
          <w:lang w:val="fr-CA"/>
        </w:rPr>
      </w:pPr>
      <w:r>
        <w:rPr>
          <w:rFonts w:cs="Times New Roman"/>
          <w:lang w:val="fr-CA"/>
        </w:rPr>
        <w:t xml:space="preserve">(Voir aussi </w:t>
      </w:r>
      <w:r w:rsidR="00804EA2">
        <w:rPr>
          <w:rFonts w:cs="Times New Roman"/>
          <w:lang w:val="fr-CA"/>
        </w:rPr>
        <w:t>par. </w:t>
      </w:r>
      <w:r w:rsidR="00804EA2" w:rsidRPr="00807A5C">
        <w:rPr>
          <w:rFonts w:cs="Times New Roman"/>
          <w:lang w:val="fr-CA"/>
        </w:rPr>
        <w:t xml:space="preserve">29, motifs de la juge Abella, et </w:t>
      </w:r>
      <w:r w:rsidR="00804EA2">
        <w:rPr>
          <w:rFonts w:cs="Times New Roman"/>
          <w:lang w:val="fr-CA"/>
        </w:rPr>
        <w:t>par. </w:t>
      </w:r>
      <w:r w:rsidR="00804EA2" w:rsidRPr="00807A5C">
        <w:rPr>
          <w:rFonts w:cs="Times New Roman"/>
          <w:lang w:val="fr-CA"/>
        </w:rPr>
        <w:t>155</w:t>
      </w:r>
      <w:r w:rsidR="00804EA2">
        <w:rPr>
          <w:rFonts w:cs="Times New Roman"/>
          <w:lang w:val="fr-CA"/>
        </w:rPr>
        <w:noBreakHyphen/>
      </w:r>
      <w:r w:rsidR="00804EA2" w:rsidRPr="00807A5C">
        <w:rPr>
          <w:rFonts w:cs="Times New Roman"/>
          <w:lang w:val="fr-CA"/>
        </w:rPr>
        <w:t>156, motifs de la juge en chef McLachlin, en accord sur ce point.)</w:t>
      </w:r>
    </w:p>
    <w:p w14:paraId="4F739F95" w14:textId="77777777" w:rsidR="00804EA2" w:rsidRPr="00807A5C" w:rsidRDefault="00804EA2" w:rsidP="00804EA2">
      <w:pPr>
        <w:pStyle w:val="ParaNoNdepar-AltN"/>
        <w:rPr>
          <w:rFonts w:cs="Times New Roman"/>
          <w:lang w:val="fr-CA"/>
        </w:rPr>
      </w:pPr>
      <w:r w:rsidRPr="00807A5C">
        <w:rPr>
          <w:rFonts w:cs="Times New Roman"/>
          <w:lang w:val="fr-CA"/>
        </w:rPr>
        <w:t xml:space="preserve">Reste donc la question de savoir si, au terme d’une évaluation adéquate, la demande fondée sur le </w:t>
      </w:r>
      <w:r>
        <w:rPr>
          <w:rFonts w:cs="Times New Roman"/>
          <w:lang w:val="fr-CA"/>
        </w:rPr>
        <w:t>par. </w:t>
      </w:r>
      <w:r w:rsidRPr="00807A5C">
        <w:rPr>
          <w:rFonts w:cs="Times New Roman"/>
          <w:lang w:val="fr-CA"/>
        </w:rPr>
        <w:t>15(1) devrait être accueillie.</w:t>
      </w:r>
    </w:p>
    <w:p w14:paraId="21BDE98D" w14:textId="77777777" w:rsidR="00804EA2" w:rsidRPr="00807A5C" w:rsidRDefault="00804EA2" w:rsidP="00804EA2">
      <w:pPr>
        <w:pStyle w:val="ParaNoNdepar-AltN"/>
        <w:rPr>
          <w:rFonts w:cs="Times New Roman"/>
          <w:lang w:val="fr-CA"/>
        </w:rPr>
      </w:pPr>
      <w:r w:rsidRPr="00807A5C">
        <w:rPr>
          <w:rFonts w:cs="Times New Roman"/>
          <w:lang w:val="fr-CA"/>
        </w:rPr>
        <w:t>Avec égards, le fait de se baser sur la réduction temporaire des heures de travail d’un membre de la GRC pour imposer des conséquences moins avantageuses en matière de pension a clairement un effet disproportionné sur les femmes. Les éléments de preuve pertinents — les conséquences du système — ont démontré ceci</w:t>
      </w:r>
      <w:r>
        <w:rPr>
          <w:rFonts w:cs="Times New Roman"/>
          <w:lang w:val="fr-CA"/>
        </w:rPr>
        <w:t> :</w:t>
      </w:r>
    </w:p>
    <w:p w14:paraId="0DB59892" w14:textId="77777777" w:rsidR="00804EA2" w:rsidRPr="00807A5C" w:rsidRDefault="00804EA2" w:rsidP="00B14EAA">
      <w:pPr>
        <w:pStyle w:val="Citation-AltC"/>
        <w:numPr>
          <w:ilvl w:val="0"/>
          <w:numId w:val="7"/>
        </w:numPr>
        <w:spacing w:after="240" w:line="480" w:lineRule="auto"/>
        <w:ind w:left="450" w:hanging="447"/>
        <w:contextualSpacing w:val="0"/>
        <w:rPr>
          <w:lang w:val="fr-CA"/>
        </w:rPr>
      </w:pPr>
      <w:r w:rsidRPr="00807A5C">
        <w:rPr>
          <w:lang w:val="fr-CA"/>
        </w:rPr>
        <w:t>Les membres de la GRC qui ont réduit leurs heures de travail en participant au programme de partage de poste étaient principalement des femmes ayant de jeunes enfants.</w:t>
      </w:r>
    </w:p>
    <w:p w14:paraId="0AAAE46C" w14:textId="77777777" w:rsidR="00804EA2" w:rsidRPr="00807A5C" w:rsidRDefault="00804EA2" w:rsidP="00B14EAA">
      <w:pPr>
        <w:pStyle w:val="Citation-AltC"/>
        <w:numPr>
          <w:ilvl w:val="0"/>
          <w:numId w:val="7"/>
        </w:numPr>
        <w:spacing w:after="240" w:line="480" w:lineRule="auto"/>
        <w:ind w:left="450" w:hanging="447"/>
        <w:contextualSpacing w:val="0"/>
        <w:rPr>
          <w:lang w:val="fr-CA"/>
        </w:rPr>
      </w:pPr>
      <w:r w:rsidRPr="00807A5C">
        <w:rPr>
          <w:lang w:val="fr-CA"/>
        </w:rPr>
        <w:lastRenderedPageBreak/>
        <w:t>De 2010 à 2014, la totalité des membres ayant réduit leurs heures de travail par le truchement du programme de partage de poste étaient des femmes, et la plupart ont déclaré avoir participé au programme afin de s’occuper de leurs enfants.</w:t>
      </w:r>
    </w:p>
    <w:p w14:paraId="5909AC5E" w14:textId="77777777" w:rsidR="00804EA2" w:rsidRPr="00807A5C" w:rsidRDefault="00804EA2" w:rsidP="00804EA2">
      <w:pPr>
        <w:pStyle w:val="ParaNoNdepar-AltN"/>
        <w:rPr>
          <w:rFonts w:cs="Times New Roman"/>
          <w:lang w:val="fr-CA"/>
        </w:rPr>
      </w:pPr>
      <w:r w:rsidRPr="00807A5C">
        <w:rPr>
          <w:rFonts w:cs="Times New Roman"/>
          <w:lang w:val="fr-CA"/>
        </w:rPr>
        <w:t>Ces statistiques ont été renforcées par des éléments de preuve convaincants sur les désavantages auxquels les femmes font face en tant que groupe lorsqu’elles concilient leur vie professionnelle et les travaux ménagers. Les éléments de preuve soumis par M</w:t>
      </w:r>
      <w:r w:rsidRPr="00807A5C">
        <w:rPr>
          <w:rFonts w:cs="Times New Roman"/>
          <w:vertAlign w:val="superscript"/>
          <w:lang w:val="fr-CA"/>
        </w:rPr>
        <w:t>me</w:t>
      </w:r>
      <w:r w:rsidRPr="00807A5C">
        <w:rPr>
          <w:rFonts w:cs="Times New Roman"/>
          <w:lang w:val="fr-CA"/>
        </w:rPr>
        <w:t> Fraser ont démontré que les femmes assument depuis toujours une part écrasante des responsabilités à l’égard des enfants, que les travailleurs à temps partiel au Canada sont disproportionnellement des femmes et que celles</w:t>
      </w:r>
      <w:r>
        <w:rPr>
          <w:rFonts w:cs="Times New Roman"/>
          <w:lang w:val="fr-CA"/>
        </w:rPr>
        <w:noBreakHyphen/>
      </w:r>
      <w:r w:rsidRPr="00807A5C">
        <w:rPr>
          <w:rFonts w:cs="Times New Roman"/>
          <w:lang w:val="fr-CA"/>
        </w:rPr>
        <w:t xml:space="preserve">ci sont beaucoup plus susceptibles que les hommes de travailler à temps partiel pour s’occuper des enfants. Par conséquent, elles connaissent moins de stabilité en matière d’emploi ainsi que des périodes de « réduction du temps de travail », y compris au sein de services de police. </w:t>
      </w:r>
    </w:p>
    <w:p w14:paraId="632687A2" w14:textId="35024A31" w:rsidR="00804EA2" w:rsidRPr="00807A5C" w:rsidRDefault="00804EA2" w:rsidP="00804EA2">
      <w:pPr>
        <w:pStyle w:val="ParaNoNdepar-AltN"/>
        <w:rPr>
          <w:rFonts w:cs="Times New Roman"/>
          <w:lang w:val="fr-CA"/>
        </w:rPr>
      </w:pPr>
      <w:r w:rsidRPr="00807A5C">
        <w:rPr>
          <w:rFonts w:cs="Times New Roman"/>
          <w:lang w:val="fr-CA"/>
        </w:rPr>
        <w:t xml:space="preserve">Ces éléments de preuve trouvent un appui solide dans les rapports de commission, les décisions judiciaires et les recherches universitaires. L’historique </w:t>
      </w:r>
      <w:r w:rsidRPr="00807A5C">
        <w:rPr>
          <w:rFonts w:cs="Times New Roman"/>
          <w:i/>
          <w:lang w:val="fr-CA"/>
        </w:rPr>
        <w:t>Rapport de la Commission royale d’enquête sur la situation de la femme au Canada</w:t>
      </w:r>
      <w:r>
        <w:rPr>
          <w:rFonts w:cs="Times New Roman"/>
          <w:lang w:val="fr-CA"/>
        </w:rPr>
        <w:t xml:space="preserve"> (</w:t>
      </w:r>
      <w:r w:rsidRPr="00807A5C">
        <w:rPr>
          <w:rFonts w:cs="Times New Roman"/>
          <w:lang w:val="fr-CA"/>
        </w:rPr>
        <w:t>1970, Florence Bird, présidente) a reconnu que « les femmes [étaient] plus nombreuses à travailler à temps partiel » (</w:t>
      </w:r>
      <w:r>
        <w:rPr>
          <w:rFonts w:cs="Times New Roman"/>
          <w:lang w:val="fr-CA"/>
        </w:rPr>
        <w:t>p. </w:t>
      </w:r>
      <w:r w:rsidR="00B14EAA">
        <w:rPr>
          <w:rFonts w:cs="Times New Roman"/>
          <w:lang w:val="fr-CA"/>
        </w:rPr>
        <w:t>69</w:t>
      </w:r>
      <w:r w:rsidRPr="00807A5C">
        <w:rPr>
          <w:rFonts w:cs="Times New Roman"/>
          <w:lang w:val="fr-CA"/>
        </w:rPr>
        <w:t>) et a prévenu que le traitement inéquitable des travailleurs à temps partiel défavoriserait les femmes</w:t>
      </w:r>
      <w:r>
        <w:rPr>
          <w:rFonts w:cs="Times New Roman"/>
          <w:lang w:val="fr-CA"/>
        </w:rPr>
        <w:t> :</w:t>
      </w:r>
    </w:p>
    <w:p w14:paraId="582E4ADC" w14:textId="2F0116AD" w:rsidR="00804EA2" w:rsidRPr="00807A5C" w:rsidRDefault="00804EA2" w:rsidP="00804EA2">
      <w:pPr>
        <w:pStyle w:val="Citation-AltC"/>
        <w:ind w:hanging="1166"/>
        <w:rPr>
          <w:lang w:val="fr-CA"/>
        </w:rPr>
      </w:pPr>
      <w:r w:rsidRPr="00807A5C">
        <w:rPr>
          <w:lang w:val="fr-CA"/>
        </w:rPr>
        <w:tab/>
      </w:r>
      <w:r w:rsidRPr="00807A5C">
        <w:rPr>
          <w:lang w:val="fr-CA"/>
        </w:rPr>
        <w:tab/>
        <w:t xml:space="preserve">Nous reconnaissons qu’il existe un problème sérieux dans 1’emploi des travailleurs à temps partiel; c’est celui des dispositions concernant les avantages sociaux pour ceux qui ne sont pas employés de façon régulière. Nous estimons toutefois qu’il faut trouver le moyen d’accorder à ces </w:t>
      </w:r>
      <w:r w:rsidRPr="00807A5C">
        <w:rPr>
          <w:lang w:val="fr-CA"/>
        </w:rPr>
        <w:lastRenderedPageBreak/>
        <w:t>employés des salaires et des conditions de travail qui ne soient pas moins équitables que ceux qui sont consentis aux employés à plein temps. [</w:t>
      </w:r>
      <w:r>
        <w:rPr>
          <w:lang w:val="fr-CA"/>
        </w:rPr>
        <w:t>p. </w:t>
      </w:r>
      <w:r w:rsidR="00696C12">
        <w:rPr>
          <w:lang w:val="fr-CA"/>
        </w:rPr>
        <w:t>119</w:t>
      </w:r>
      <w:r w:rsidRPr="00807A5C">
        <w:rPr>
          <w:lang w:val="fr-CA"/>
        </w:rPr>
        <w:t xml:space="preserve">] </w:t>
      </w:r>
    </w:p>
    <w:p w14:paraId="02FAC12D" w14:textId="77777777" w:rsidR="00804EA2" w:rsidRPr="00807A5C" w:rsidRDefault="00804EA2" w:rsidP="00804EA2">
      <w:pPr>
        <w:pStyle w:val="ParaNoNdepar-AltN"/>
        <w:rPr>
          <w:rFonts w:cs="Times New Roman"/>
          <w:lang w:val="fr-CA"/>
        </w:rPr>
      </w:pPr>
      <w:r w:rsidRPr="00807A5C">
        <w:rPr>
          <w:rFonts w:cs="Times New Roman"/>
          <w:lang w:val="fr-CA"/>
        </w:rPr>
        <w:t>Dans son rapport, la Commission d’enquête sur le travail à temps partiel</w:t>
      </w:r>
      <w:r w:rsidRPr="00807A5C">
        <w:rPr>
          <w:rFonts w:cs="Times New Roman"/>
          <w:i/>
          <w:lang w:val="fr-CA"/>
        </w:rPr>
        <w:t xml:space="preserve"> </w:t>
      </w:r>
      <w:r w:rsidRPr="00807A5C">
        <w:rPr>
          <w:rFonts w:cs="Times New Roman"/>
          <w:lang w:val="fr-CA"/>
        </w:rPr>
        <w:t>(1983, Joan Wallace, commissaire) a confirmé que la plupart des employés à temps partiel occupant des postes moins rémunérés étaient des femmes (</w:t>
      </w:r>
      <w:r w:rsidRPr="00807A5C">
        <w:rPr>
          <w:rFonts w:cs="Times New Roman"/>
          <w:i/>
          <w:lang w:val="fr-CA"/>
        </w:rPr>
        <w:t>Le travail à temps partiel au Canada</w:t>
      </w:r>
      <w:r>
        <w:rPr>
          <w:rFonts w:cs="Times New Roman"/>
          <w:i/>
          <w:lang w:val="fr-CA"/>
        </w:rPr>
        <w:t> :</w:t>
      </w:r>
      <w:r w:rsidRPr="00807A5C">
        <w:rPr>
          <w:rFonts w:cs="Times New Roman"/>
          <w:i/>
          <w:lang w:val="fr-CA"/>
        </w:rPr>
        <w:t xml:space="preserve"> Rapport de la Commission d’enquête sur le travail à temps partiel </w:t>
      </w:r>
      <w:r w:rsidRPr="00807A5C">
        <w:rPr>
          <w:rFonts w:cs="Times New Roman"/>
          <w:lang w:val="fr-CA"/>
        </w:rPr>
        <w:t xml:space="preserve">(1983), </w:t>
      </w:r>
      <w:r>
        <w:rPr>
          <w:rFonts w:cs="Times New Roman"/>
          <w:lang w:val="fr-CA"/>
        </w:rPr>
        <w:t>p. </w:t>
      </w:r>
      <w:r w:rsidRPr="00807A5C">
        <w:rPr>
          <w:rFonts w:cs="Times New Roman"/>
          <w:lang w:val="fr-CA"/>
        </w:rPr>
        <w:t>21</w:t>
      </w:r>
      <w:r>
        <w:rPr>
          <w:rFonts w:cs="Times New Roman"/>
          <w:lang w:val="fr-CA"/>
        </w:rPr>
        <w:noBreakHyphen/>
      </w:r>
      <w:r w:rsidRPr="00807A5C">
        <w:rPr>
          <w:rFonts w:cs="Times New Roman"/>
          <w:lang w:val="fr-CA"/>
        </w:rPr>
        <w:t>22, 46 et 151). La Commission a également étudié le recours à des programmes de partage de poste au Canada. Les données recueillies par la Commission portaient à croire que la quasi</w:t>
      </w:r>
      <w:r>
        <w:rPr>
          <w:rFonts w:cs="Times New Roman"/>
          <w:lang w:val="fr-CA"/>
        </w:rPr>
        <w:noBreakHyphen/>
      </w:r>
      <w:r w:rsidRPr="00807A5C">
        <w:rPr>
          <w:rFonts w:cs="Times New Roman"/>
          <w:lang w:val="fr-CA"/>
        </w:rPr>
        <w:t>totalité des participants à ces programmes étaient des femmes et que [</w:t>
      </w:r>
      <w:r w:rsidRPr="00807A5C">
        <w:rPr>
          <w:rFonts w:cs="Times New Roman"/>
          <w:smallCaps/>
          <w:lang w:val="fr-CA"/>
        </w:rPr>
        <w:t>traduction</w:t>
      </w:r>
      <w:r w:rsidRPr="00807A5C">
        <w:rPr>
          <w:rFonts w:cs="Times New Roman"/>
          <w:lang w:val="fr-CA"/>
        </w:rPr>
        <w:t>] « [l]’arrivée d’un nouveau bébé était la raison principale la plus courante pour participer à un programme de partage de poste » (</w:t>
      </w:r>
      <w:r>
        <w:rPr>
          <w:rFonts w:cs="Times New Roman"/>
          <w:lang w:val="fr-CA"/>
        </w:rPr>
        <w:t>p. </w:t>
      </w:r>
      <w:r w:rsidRPr="00807A5C">
        <w:rPr>
          <w:rFonts w:cs="Times New Roman"/>
          <w:lang w:val="fr-CA"/>
        </w:rPr>
        <w:t>177</w:t>
      </w:r>
      <w:r>
        <w:rPr>
          <w:rFonts w:cs="Times New Roman"/>
          <w:lang w:val="fr-CA"/>
        </w:rPr>
        <w:noBreakHyphen/>
      </w:r>
      <w:r w:rsidRPr="00807A5C">
        <w:rPr>
          <w:rFonts w:cs="Times New Roman"/>
          <w:lang w:val="fr-CA"/>
        </w:rPr>
        <w:t xml:space="preserve">178). </w:t>
      </w:r>
    </w:p>
    <w:p w14:paraId="68D19A5C" w14:textId="77777777" w:rsidR="00804EA2" w:rsidRPr="00807A5C" w:rsidRDefault="00804EA2" w:rsidP="00804EA2">
      <w:pPr>
        <w:pStyle w:val="ParaNoNdepar-AltN"/>
        <w:rPr>
          <w:rFonts w:cs="Times New Roman"/>
          <w:lang w:val="fr-CA"/>
        </w:rPr>
      </w:pPr>
      <w:r w:rsidRPr="00807A5C">
        <w:rPr>
          <w:rFonts w:cs="Times New Roman"/>
          <w:lang w:val="fr-CA"/>
        </w:rPr>
        <w:t xml:space="preserve">Le </w:t>
      </w:r>
      <w:r w:rsidRPr="00807A5C">
        <w:rPr>
          <w:rFonts w:cs="Times New Roman"/>
          <w:i/>
          <w:lang w:val="fr-CA"/>
        </w:rPr>
        <w:t>Rapport de la Commission sur l’égalité en matière d’emploi</w:t>
      </w:r>
      <w:r w:rsidRPr="00807A5C">
        <w:rPr>
          <w:rFonts w:cs="Times New Roman"/>
          <w:lang w:val="fr-CA"/>
        </w:rPr>
        <w:t xml:space="preserve"> (1984, Rosalie Silberman Abella, commissaire) a précisé le lien entre le travail à temps partiel et le soin des enfants. Il renferme l’observation suivante à cet égard</w:t>
      </w:r>
      <w:r>
        <w:rPr>
          <w:rFonts w:cs="Times New Roman"/>
          <w:lang w:val="fr-CA"/>
        </w:rPr>
        <w:t> :</w:t>
      </w:r>
    </w:p>
    <w:p w14:paraId="4C1BB269" w14:textId="77777777" w:rsidR="00804EA2" w:rsidRDefault="00804EA2" w:rsidP="00804EA2">
      <w:pPr>
        <w:pStyle w:val="Citation-AltC"/>
        <w:ind w:left="1168" w:hanging="1168"/>
        <w:rPr>
          <w:lang w:val="fr-CA"/>
        </w:rPr>
      </w:pPr>
      <w:r w:rsidRPr="00807A5C">
        <w:rPr>
          <w:lang w:val="fr-CA"/>
        </w:rPr>
        <w:tab/>
      </w:r>
      <w:r w:rsidRPr="00807A5C">
        <w:rPr>
          <w:lang w:val="fr-CA"/>
        </w:rPr>
        <w:tab/>
        <w:t xml:space="preserve">La demande et le besoin de mesures correctives </w:t>
      </w:r>
      <w:r>
        <w:rPr>
          <w:lang w:val="fr-CA"/>
        </w:rPr>
        <w:t xml:space="preserve">tiennent au </w:t>
      </w:r>
      <w:r w:rsidRPr="00807A5C">
        <w:rPr>
          <w:lang w:val="fr-CA"/>
        </w:rPr>
        <w:t xml:space="preserve">nombre </w:t>
      </w:r>
      <w:r>
        <w:rPr>
          <w:lang w:val="fr-CA"/>
        </w:rPr>
        <w:t>croissant</w:t>
      </w:r>
      <w:r w:rsidRPr="00807A5C">
        <w:rPr>
          <w:lang w:val="fr-CA"/>
        </w:rPr>
        <w:t xml:space="preserve"> de mères</w:t>
      </w:r>
      <w:r>
        <w:rPr>
          <w:lang w:val="fr-CA"/>
        </w:rPr>
        <w:t xml:space="preserve"> de famille dans la population active</w:t>
      </w:r>
      <w:r w:rsidRPr="00807A5C">
        <w:rPr>
          <w:lang w:val="fr-CA"/>
        </w:rPr>
        <w:t xml:space="preserve">. Leurs enfants ont besoin de soins </w:t>
      </w:r>
      <w:r>
        <w:rPr>
          <w:lang w:val="fr-CA"/>
        </w:rPr>
        <w:t>satisfaisants</w:t>
      </w:r>
      <w:r w:rsidRPr="00807A5C">
        <w:rPr>
          <w:lang w:val="fr-CA"/>
        </w:rPr>
        <w:t xml:space="preserve">. Selon </w:t>
      </w:r>
      <w:r>
        <w:rPr>
          <w:lang w:val="fr-CA"/>
        </w:rPr>
        <w:t>le droit canadien</w:t>
      </w:r>
      <w:r w:rsidRPr="00807A5C">
        <w:rPr>
          <w:lang w:val="fr-CA"/>
        </w:rPr>
        <w:t>,</w:t>
      </w:r>
      <w:r>
        <w:rPr>
          <w:lang w:val="fr-CA"/>
        </w:rPr>
        <w:t xml:space="preserve"> il incombe aux</w:t>
      </w:r>
      <w:r w:rsidRPr="00807A5C">
        <w:rPr>
          <w:lang w:val="fr-CA"/>
        </w:rPr>
        <w:t xml:space="preserve"> deux parents </w:t>
      </w:r>
      <w:r>
        <w:rPr>
          <w:lang w:val="fr-CA"/>
        </w:rPr>
        <w:t>de prendre soin des</w:t>
      </w:r>
      <w:r w:rsidRPr="00807A5C">
        <w:rPr>
          <w:lang w:val="fr-CA"/>
        </w:rPr>
        <w:t xml:space="preserve"> enfants</w:t>
      </w:r>
      <w:r>
        <w:rPr>
          <w:lang w:val="fr-CA"/>
        </w:rPr>
        <w:t>. Toutefois, selon</w:t>
      </w:r>
      <w:r w:rsidRPr="00807A5C">
        <w:rPr>
          <w:lang w:val="fr-CA"/>
        </w:rPr>
        <w:t xml:space="preserve"> la coutume, </w:t>
      </w:r>
      <w:r>
        <w:rPr>
          <w:lang w:val="fr-CA"/>
        </w:rPr>
        <w:t xml:space="preserve">c’est </w:t>
      </w:r>
      <w:r w:rsidRPr="00807A5C">
        <w:rPr>
          <w:lang w:val="fr-CA"/>
        </w:rPr>
        <w:t>la mère</w:t>
      </w:r>
      <w:r>
        <w:rPr>
          <w:lang w:val="fr-CA"/>
        </w:rPr>
        <w:t xml:space="preserve"> qui s’est toujours vu attribuer cette responsabilité</w:t>
      </w:r>
      <w:r w:rsidRPr="00807A5C">
        <w:rPr>
          <w:lang w:val="fr-CA"/>
        </w:rPr>
        <w:t xml:space="preserve">. </w:t>
      </w:r>
      <w:r>
        <w:rPr>
          <w:lang w:val="fr-CA"/>
        </w:rPr>
        <w:t>Par conséquent, c</w:t>
      </w:r>
      <w:r w:rsidRPr="00807A5C">
        <w:rPr>
          <w:lang w:val="fr-CA"/>
        </w:rPr>
        <w:t xml:space="preserve">’est </w:t>
      </w:r>
      <w:r>
        <w:rPr>
          <w:lang w:val="fr-CA"/>
        </w:rPr>
        <w:t xml:space="preserve">sur elle que retombe la culpabilité ou </w:t>
      </w:r>
      <w:r w:rsidRPr="001022CA">
        <w:rPr>
          <w:lang w:val="fr-CA"/>
        </w:rPr>
        <w:t>[</w:t>
      </w:r>
      <w:r>
        <w:rPr>
          <w:lang w:val="fr-CA"/>
        </w:rPr>
        <w:t>c’est elle]</w:t>
      </w:r>
      <w:r w:rsidRPr="00807A5C">
        <w:rPr>
          <w:lang w:val="fr-CA"/>
        </w:rPr>
        <w:t xml:space="preserve"> </w:t>
      </w:r>
      <w:r>
        <w:rPr>
          <w:lang w:val="fr-CA"/>
        </w:rPr>
        <w:t>qui est critiquée par la société lorsqu’elle se joint à la population active</w:t>
      </w:r>
      <w:r w:rsidRPr="00807A5C">
        <w:rPr>
          <w:lang w:val="fr-CA"/>
        </w:rPr>
        <w:t xml:space="preserve">. Et c’est </w:t>
      </w:r>
      <w:r>
        <w:rPr>
          <w:lang w:val="fr-CA"/>
        </w:rPr>
        <w:t>elle</w:t>
      </w:r>
      <w:r w:rsidRPr="00807A5C">
        <w:rPr>
          <w:lang w:val="fr-CA"/>
        </w:rPr>
        <w:t xml:space="preserve"> qui habituellement </w:t>
      </w:r>
      <w:r>
        <w:rPr>
          <w:lang w:val="fr-CA"/>
        </w:rPr>
        <w:t xml:space="preserve">a </w:t>
      </w:r>
      <w:r w:rsidRPr="00807A5C">
        <w:rPr>
          <w:lang w:val="fr-CA"/>
        </w:rPr>
        <w:t xml:space="preserve">la responsabilité </w:t>
      </w:r>
      <w:r>
        <w:rPr>
          <w:lang w:val="fr-CA"/>
        </w:rPr>
        <w:t>morale</w:t>
      </w:r>
      <w:r w:rsidRPr="00807A5C">
        <w:rPr>
          <w:lang w:val="fr-CA"/>
        </w:rPr>
        <w:t xml:space="preserve"> de </w:t>
      </w:r>
      <w:r>
        <w:rPr>
          <w:lang w:val="fr-CA"/>
        </w:rPr>
        <w:t>faire garder les enfants et de prendre les dispositions nécessaires</w:t>
      </w:r>
      <w:r w:rsidRPr="00807A5C">
        <w:rPr>
          <w:lang w:val="fr-CA"/>
        </w:rPr>
        <w:t>.</w:t>
      </w:r>
    </w:p>
    <w:p w14:paraId="5D9841B5" w14:textId="77777777" w:rsidR="00804EA2" w:rsidRPr="00807A5C" w:rsidRDefault="00804EA2" w:rsidP="00804EA2">
      <w:pPr>
        <w:pStyle w:val="Citation-AltC"/>
        <w:ind w:left="1168" w:hanging="1168"/>
        <w:rPr>
          <w:lang w:val="fr-CA"/>
        </w:rPr>
      </w:pPr>
    </w:p>
    <w:p w14:paraId="351D953F" w14:textId="11C24B89" w:rsidR="00804EA2" w:rsidRPr="00807A5C" w:rsidRDefault="00664745" w:rsidP="00804EA2">
      <w:pPr>
        <w:pStyle w:val="Citation-AltC"/>
        <w:spacing w:after="240"/>
        <w:ind w:hanging="1166"/>
        <w:contextualSpacing w:val="0"/>
        <w:jc w:val="center"/>
        <w:rPr>
          <w:lang w:val="fr-CA"/>
        </w:rPr>
      </w:pPr>
      <w:r>
        <w:rPr>
          <w:lang w:val="fr-CA"/>
        </w:rPr>
        <w:tab/>
        <w:t>. . .</w:t>
      </w:r>
    </w:p>
    <w:p w14:paraId="4AF35938" w14:textId="61232272" w:rsidR="00804EA2" w:rsidRPr="00807A5C" w:rsidRDefault="00804EA2" w:rsidP="00620463">
      <w:pPr>
        <w:pStyle w:val="Citation-AltC"/>
        <w:spacing w:after="480"/>
        <w:ind w:hanging="1166"/>
        <w:contextualSpacing w:val="0"/>
        <w:rPr>
          <w:lang w:val="en-US"/>
        </w:rPr>
      </w:pPr>
      <w:r w:rsidRPr="00807A5C">
        <w:rPr>
          <w:lang w:val="fr-CA"/>
        </w:rPr>
        <w:tab/>
      </w:r>
      <w:r w:rsidRPr="00807A5C">
        <w:rPr>
          <w:lang w:val="fr-CA"/>
        </w:rPr>
        <w:tab/>
        <w:t xml:space="preserve">Du point de vue </w:t>
      </w:r>
      <w:r>
        <w:rPr>
          <w:lang w:val="fr-CA"/>
        </w:rPr>
        <w:t>de la mère</w:t>
      </w:r>
      <w:r w:rsidRPr="00807A5C">
        <w:rPr>
          <w:lang w:val="fr-CA"/>
        </w:rPr>
        <w:t xml:space="preserve">, les possibilités </w:t>
      </w:r>
      <w:r>
        <w:rPr>
          <w:lang w:val="fr-CA"/>
        </w:rPr>
        <w:t xml:space="preserve">de choisir un emploi sont limitées en raison du manque de services de soins aux enfants et de la </w:t>
      </w:r>
      <w:r>
        <w:rPr>
          <w:lang w:val="fr-CA"/>
        </w:rPr>
        <w:lastRenderedPageBreak/>
        <w:t>nature même de ces services</w:t>
      </w:r>
      <w:r w:rsidRPr="00807A5C">
        <w:rPr>
          <w:lang w:val="fr-CA"/>
        </w:rPr>
        <w:t>. « </w:t>
      </w:r>
      <w:r>
        <w:rPr>
          <w:lang w:val="fr-CA"/>
        </w:rPr>
        <w:t>Ce sont les femmes qui, pour s’acquitter de leurs r</w:t>
      </w:r>
      <w:r w:rsidRPr="00807A5C">
        <w:rPr>
          <w:lang w:val="fr-CA"/>
        </w:rPr>
        <w:t xml:space="preserve">esponsabilités familiales et professionnelles, </w:t>
      </w:r>
      <w:r>
        <w:rPr>
          <w:lang w:val="fr-CA"/>
        </w:rPr>
        <w:t>sont appelées,</w:t>
      </w:r>
      <w:r w:rsidRPr="00807A5C">
        <w:rPr>
          <w:lang w:val="fr-CA"/>
        </w:rPr>
        <w:t xml:space="preserve"> plus souvent que les hommes</w:t>
      </w:r>
      <w:r>
        <w:rPr>
          <w:lang w:val="fr-CA"/>
        </w:rPr>
        <w:t>, à</w:t>
      </w:r>
      <w:r w:rsidRPr="00807A5C">
        <w:rPr>
          <w:lang w:val="fr-CA"/>
        </w:rPr>
        <w:t xml:space="preserve"> prendre des décisions</w:t>
      </w:r>
      <w:r>
        <w:rPr>
          <w:lang w:val="fr-CA"/>
        </w:rPr>
        <w:t xml:space="preserve"> difficiles </w:t>
      </w:r>
      <w:r w:rsidRPr="00807A5C">
        <w:rPr>
          <w:lang w:val="fr-CA"/>
        </w:rPr>
        <w:t>(</w:t>
      </w:r>
      <w:r>
        <w:rPr>
          <w:lang w:val="fr-CA"/>
        </w:rPr>
        <w:t>par exemple,</w:t>
      </w:r>
      <w:r w:rsidRPr="00807A5C">
        <w:rPr>
          <w:lang w:val="fr-CA"/>
        </w:rPr>
        <w:t xml:space="preserve"> quitter </w:t>
      </w:r>
      <w:r>
        <w:rPr>
          <w:lang w:val="fr-CA"/>
        </w:rPr>
        <w:t>leur emploi</w:t>
      </w:r>
      <w:r w:rsidRPr="00807A5C">
        <w:rPr>
          <w:lang w:val="fr-CA"/>
        </w:rPr>
        <w:t xml:space="preserve"> pour</w:t>
      </w:r>
      <w:r>
        <w:rPr>
          <w:lang w:val="fr-CA"/>
        </w:rPr>
        <w:t xml:space="preserve"> prendre soin</w:t>
      </w:r>
      <w:r w:rsidRPr="00807A5C">
        <w:rPr>
          <w:lang w:val="fr-CA"/>
        </w:rPr>
        <w:t xml:space="preserve"> de jeunes enfants)</w:t>
      </w:r>
      <w:r>
        <w:rPr>
          <w:lang w:val="fr-CA"/>
        </w:rPr>
        <w:t> »</w:t>
      </w:r>
      <w:r w:rsidRPr="00807A5C">
        <w:rPr>
          <w:lang w:val="fr-CA"/>
        </w:rPr>
        <w:t xml:space="preserve">. [. . .] </w:t>
      </w:r>
      <w:r w:rsidRPr="00807A5C">
        <w:rPr>
          <w:i/>
          <w:lang w:val="fr-CA"/>
        </w:rPr>
        <w:t xml:space="preserve">Diverses études montrent que </w:t>
      </w:r>
      <w:r>
        <w:rPr>
          <w:i/>
          <w:lang w:val="fr-CA"/>
        </w:rPr>
        <w:t>si les femmes sont si nombreuses à travailler à temps partiel, c’est</w:t>
      </w:r>
      <w:r w:rsidRPr="00807A5C">
        <w:rPr>
          <w:i/>
          <w:lang w:val="fr-CA"/>
        </w:rPr>
        <w:t xml:space="preserve"> qu’elles </w:t>
      </w:r>
      <w:r>
        <w:rPr>
          <w:i/>
          <w:lang w:val="fr-CA"/>
        </w:rPr>
        <w:t>doivent concilier le soin des enfants avec l’emploi rémunéré qu’elles occupent sur le m</w:t>
      </w:r>
      <w:r w:rsidRPr="00807A5C">
        <w:rPr>
          <w:i/>
          <w:lang w:val="fr-CA"/>
        </w:rPr>
        <w:t xml:space="preserve">arché du travail. </w:t>
      </w:r>
      <w:r w:rsidR="00620463">
        <w:rPr>
          <w:lang w:val="en-US"/>
        </w:rPr>
        <w:t>[Italique ajouté</w:t>
      </w:r>
      <w:r w:rsidRPr="00807A5C">
        <w:rPr>
          <w:lang w:val="en-US"/>
        </w:rPr>
        <w:t>.]</w:t>
      </w:r>
    </w:p>
    <w:p w14:paraId="74B2902F" w14:textId="71D18C8A" w:rsidR="00804EA2" w:rsidRPr="00807A5C" w:rsidRDefault="00804EA2" w:rsidP="00620463">
      <w:pPr>
        <w:pStyle w:val="Citation-AltC"/>
        <w:ind w:left="0"/>
        <w:rPr>
          <w:lang w:val="en-US"/>
        </w:rPr>
      </w:pPr>
      <w:r w:rsidRPr="00807A5C">
        <w:rPr>
          <w:lang w:val="en-US"/>
        </w:rPr>
        <w:t>(</w:t>
      </w:r>
      <w:r>
        <w:rPr>
          <w:lang w:val="en-US"/>
        </w:rPr>
        <w:t>p. 195</w:t>
      </w:r>
      <w:r w:rsidRPr="00807A5C">
        <w:rPr>
          <w:lang w:val="en-US"/>
        </w:rPr>
        <w:t xml:space="preserve"> et </w:t>
      </w:r>
      <w:r>
        <w:rPr>
          <w:lang w:val="en-US"/>
        </w:rPr>
        <w:t>204</w:t>
      </w:r>
      <w:r w:rsidRPr="00807A5C">
        <w:rPr>
          <w:lang w:val="en-US"/>
        </w:rPr>
        <w:t xml:space="preserve">, citant la Ontario Manpower Commission, </w:t>
      </w:r>
      <w:r w:rsidRPr="00807A5C">
        <w:rPr>
          <w:i/>
          <w:lang w:val="en-US"/>
        </w:rPr>
        <w:t>The Employment of Women in Ontario</w:t>
      </w:r>
      <w:r w:rsidR="00620463">
        <w:rPr>
          <w:i/>
          <w:lang w:val="en-US"/>
        </w:rPr>
        <w:t> </w:t>
      </w:r>
      <w:r w:rsidRPr="00807A5C">
        <w:rPr>
          <w:i/>
          <w:lang w:val="en-US"/>
        </w:rPr>
        <w:t>: Background Paper</w:t>
      </w:r>
      <w:r w:rsidRPr="00807A5C">
        <w:rPr>
          <w:lang w:val="en-US"/>
        </w:rPr>
        <w:t xml:space="preserve"> (1983), </w:t>
      </w:r>
      <w:r>
        <w:rPr>
          <w:lang w:val="en-US"/>
        </w:rPr>
        <w:t>p. </w:t>
      </w:r>
      <w:r w:rsidRPr="00807A5C">
        <w:rPr>
          <w:lang w:val="en-US"/>
        </w:rPr>
        <w:t>17)</w:t>
      </w:r>
    </w:p>
    <w:p w14:paraId="015248EC" w14:textId="77777777" w:rsidR="00804EA2" w:rsidRPr="00807A5C" w:rsidRDefault="00804EA2" w:rsidP="00804EA2">
      <w:pPr>
        <w:pStyle w:val="ParaNoNdepar-AltN"/>
        <w:rPr>
          <w:rFonts w:cs="Times New Roman"/>
          <w:lang w:val="fr-CA"/>
        </w:rPr>
      </w:pPr>
      <w:r w:rsidRPr="00807A5C">
        <w:rPr>
          <w:rFonts w:cs="Times New Roman"/>
          <w:lang w:val="fr-CA"/>
        </w:rPr>
        <w:t>Le rapport final de 2012 de la Commission du droit de l’Ontario sur les travailleurs vulnérables a également confirmé ce qui suit</w:t>
      </w:r>
      <w:r>
        <w:rPr>
          <w:rFonts w:cs="Times New Roman"/>
          <w:lang w:val="fr-CA"/>
        </w:rPr>
        <w:t> :</w:t>
      </w:r>
    </w:p>
    <w:p w14:paraId="4CC4444D" w14:textId="77777777" w:rsidR="00804EA2" w:rsidRPr="00807A5C" w:rsidRDefault="00804EA2" w:rsidP="00804EA2">
      <w:pPr>
        <w:pStyle w:val="Citation-AltC"/>
        <w:spacing w:after="240"/>
        <w:ind w:hanging="1166"/>
        <w:contextualSpacing w:val="0"/>
        <w:rPr>
          <w:lang w:val="fr-CA"/>
        </w:rPr>
      </w:pPr>
      <w:r w:rsidRPr="00807A5C">
        <w:rPr>
          <w:lang w:val="fr-CA"/>
        </w:rPr>
        <w:tab/>
      </w:r>
      <w:r w:rsidRPr="00807A5C">
        <w:rPr>
          <w:lang w:val="fr-CA"/>
        </w:rPr>
        <w:tab/>
        <w:t xml:space="preserve">Il ressort des études canadiennes que les femmes exercent plus d’emplois précaires que les hommes. Par exemple, les femmes sont surreprésentées dans le secteur du travail à temps partiel et temporaire. </w:t>
      </w:r>
    </w:p>
    <w:p w14:paraId="207D0B27" w14:textId="7E7D230B" w:rsidR="00804EA2" w:rsidRPr="00807A5C" w:rsidRDefault="00956102" w:rsidP="00804EA2">
      <w:pPr>
        <w:pStyle w:val="Citation-AltC"/>
        <w:spacing w:after="240"/>
        <w:ind w:hanging="1166"/>
        <w:contextualSpacing w:val="0"/>
        <w:jc w:val="center"/>
        <w:rPr>
          <w:lang w:val="fr-CA"/>
        </w:rPr>
      </w:pPr>
      <w:r>
        <w:rPr>
          <w:lang w:val="fr-CA"/>
        </w:rPr>
        <w:tab/>
        <w:t>. . .</w:t>
      </w:r>
    </w:p>
    <w:p w14:paraId="7821998D" w14:textId="77777777" w:rsidR="00804EA2" w:rsidRPr="00807A5C" w:rsidRDefault="00804EA2" w:rsidP="00956102">
      <w:pPr>
        <w:pStyle w:val="Citation-AltC"/>
        <w:spacing w:after="480"/>
        <w:ind w:hanging="1166"/>
        <w:contextualSpacing w:val="0"/>
        <w:rPr>
          <w:lang w:val="fr-CA"/>
        </w:rPr>
      </w:pPr>
      <w:r w:rsidRPr="00807A5C">
        <w:rPr>
          <w:lang w:val="fr-CA"/>
        </w:rPr>
        <w:tab/>
      </w:r>
      <w:r w:rsidRPr="00807A5C">
        <w:rPr>
          <w:lang w:val="fr-CA"/>
        </w:rPr>
        <w:tab/>
        <w:t xml:space="preserve">Le nombre élevé de femmes qui exercent un travail précaire est, dans une certaine mesure, le résultat de leur rôle social classique de pourvoyeuses de soins. Selon le « contrat entre les sexes » qui typifiait la classe moyenne dans les années 1950, les hommes étaient principalement chargés du soutien financier et les femmes restaient à la maison pour prendre soin de la famille. (Dans de nombreuses familles de la classe ouvrière, les femmes ont toujours travaillé à l’extérieur du foyer, prenant soin des enfants d’autres femmes, veillant à l’entretien de maisons et travaillant dans des usines et des magasins, par exemple.) De nos jours, en raison de la conjoncture socioéconomique actuelle, il faut souvent deux revenus pour subvenir aux besoins d’une famille, et, dans de nombreuses sphères de la vie, les choix et la participation des femmes ont augmenté. La majorité d’entre elles se sont jointes à la population active. L’unité familiale est elle aussi plus variée, et compte un nombre croissant de parents seuls. </w:t>
      </w:r>
      <w:r w:rsidRPr="00807A5C">
        <w:rPr>
          <w:i/>
          <w:lang w:val="fr-CA"/>
        </w:rPr>
        <w:t>Et pourtant, les femmes continuent d’assumer la responsabilité première de la prestations [sic] des soins. En 2010, les femmes canadiennes ont passé en moyenne un nombre total de cinquante heures par semaine à prendre soin des enfants du ménage, soit deux fois plus que les hommes (vingt</w:t>
      </w:r>
      <w:r>
        <w:rPr>
          <w:i/>
          <w:lang w:val="fr-CA"/>
        </w:rPr>
        <w:noBreakHyphen/>
      </w:r>
      <w:r w:rsidRPr="00807A5C">
        <w:rPr>
          <w:i/>
          <w:lang w:val="fr-CA"/>
        </w:rPr>
        <w:t xml:space="preserve">quatre heures). En 2008, tout juste plus de 9 % des femmes ont déclaré travailler à temps partiel à cause de leurs responsabilités en matière de soin des enfants, comparativement à moins </w:t>
      </w:r>
      <w:r w:rsidRPr="00807A5C">
        <w:rPr>
          <w:i/>
          <w:lang w:val="fr-CA"/>
        </w:rPr>
        <w:lastRenderedPageBreak/>
        <w:t>de 1 % chez les hommes. De ce fait, la précarité des emplois qu’exercent les femmes est influencée en partie par les politiques publiques concernant les prestations de maternité et le soin des enfants</w:t>
      </w:r>
      <w:r w:rsidRPr="00807A5C">
        <w:rPr>
          <w:lang w:val="fr-CA"/>
        </w:rPr>
        <w:t>. [Italiques ajoutés.]</w:t>
      </w:r>
    </w:p>
    <w:p w14:paraId="3C0CB3E1" w14:textId="633EF381" w:rsidR="00804EA2" w:rsidRPr="00807A5C" w:rsidRDefault="00804EA2" w:rsidP="00956102">
      <w:pPr>
        <w:pStyle w:val="Citation-AltC"/>
        <w:ind w:left="0"/>
        <w:rPr>
          <w:lang w:val="fr-CA"/>
        </w:rPr>
      </w:pPr>
      <w:r w:rsidRPr="00807A5C">
        <w:rPr>
          <w:lang w:val="fr-CA"/>
        </w:rPr>
        <w:t>(</w:t>
      </w:r>
      <w:r w:rsidRPr="00807A5C">
        <w:rPr>
          <w:i/>
          <w:lang w:val="fr-CA"/>
        </w:rPr>
        <w:t>Travailleurs vulnérables et travail précaire</w:t>
      </w:r>
      <w:r w:rsidRPr="00807A5C">
        <w:rPr>
          <w:lang w:val="fr-CA"/>
        </w:rPr>
        <w:t xml:space="preserve">, </w:t>
      </w:r>
      <w:r>
        <w:rPr>
          <w:lang w:val="fr-CA"/>
        </w:rPr>
        <w:t>p. </w:t>
      </w:r>
      <w:r w:rsidRPr="00807A5C">
        <w:rPr>
          <w:lang w:val="fr-CA"/>
        </w:rPr>
        <w:t>22</w:t>
      </w:r>
      <w:r>
        <w:rPr>
          <w:lang w:val="fr-CA"/>
        </w:rPr>
        <w:noBreakHyphen/>
      </w:r>
      <w:r w:rsidRPr="00807A5C">
        <w:rPr>
          <w:lang w:val="fr-CA"/>
        </w:rPr>
        <w:t xml:space="preserve">23; voir aussi Statistique Canada, </w:t>
      </w:r>
      <w:r w:rsidRPr="00807A5C">
        <w:rPr>
          <w:i/>
          <w:lang w:val="fr-CA"/>
        </w:rPr>
        <w:t>Femmes au Canada</w:t>
      </w:r>
      <w:r>
        <w:rPr>
          <w:i/>
          <w:lang w:val="fr-CA"/>
        </w:rPr>
        <w:t> :</w:t>
      </w:r>
      <w:r w:rsidRPr="00807A5C">
        <w:rPr>
          <w:i/>
          <w:lang w:val="fr-CA"/>
        </w:rPr>
        <w:t xml:space="preserve"> rapport statistique fondé sur le sexe </w:t>
      </w:r>
      <w:r w:rsidRPr="00807A5C">
        <w:rPr>
          <w:lang w:val="fr-CA"/>
        </w:rPr>
        <w:t>(7</w:t>
      </w:r>
      <w:r w:rsidRPr="00807A5C">
        <w:rPr>
          <w:vertAlign w:val="superscript"/>
          <w:lang w:val="fr-CA"/>
        </w:rPr>
        <w:t>e</w:t>
      </w:r>
      <w:r w:rsidRPr="00807A5C">
        <w:rPr>
          <w:lang w:val="fr-CA"/>
        </w:rPr>
        <w:t xml:space="preserve"> éd. 2017)</w:t>
      </w:r>
      <w:r w:rsidR="00956102">
        <w:rPr>
          <w:lang w:val="fr-CA"/>
        </w:rPr>
        <w:t>.</w:t>
      </w:r>
      <w:r w:rsidRPr="00807A5C">
        <w:rPr>
          <w:lang w:val="fr-CA"/>
        </w:rPr>
        <w:t>)</w:t>
      </w:r>
    </w:p>
    <w:p w14:paraId="4E5D89BE" w14:textId="77777777" w:rsidR="00804EA2" w:rsidRPr="00807A5C" w:rsidRDefault="00804EA2" w:rsidP="00804EA2">
      <w:pPr>
        <w:pStyle w:val="ParaNoNdepar-AltN"/>
        <w:rPr>
          <w:rFonts w:cs="Times New Roman"/>
          <w:lang w:val="fr-CA"/>
        </w:rPr>
      </w:pPr>
      <w:r w:rsidRPr="00807A5C">
        <w:rPr>
          <w:rFonts w:cs="Times New Roman"/>
          <w:lang w:val="fr-CA"/>
        </w:rPr>
        <w:t>Notre Cour a aussi reconnu que les femmes se heurtent à des désavantages dans le milieu de travail en raison des responsabilités relatives aux travaux ménagers qu’elles assument en grande partie seules. Elle a souligné les sacrifices que les femmes font au travail « pour des motifs d’ordre domestique » (</w:t>
      </w:r>
      <w:r w:rsidRPr="00807A5C">
        <w:rPr>
          <w:rFonts w:cs="Times New Roman"/>
          <w:i/>
          <w:lang w:val="fr-CA"/>
        </w:rPr>
        <w:t>Moge c. Moge</w:t>
      </w:r>
      <w:r w:rsidRPr="00807A5C">
        <w:rPr>
          <w:rFonts w:cs="Times New Roman"/>
          <w:lang w:val="fr-CA"/>
        </w:rPr>
        <w:t xml:space="preserve">, [1992] 3 R.C.S. 813, </w:t>
      </w:r>
      <w:r>
        <w:rPr>
          <w:rFonts w:cs="Times New Roman"/>
          <w:lang w:val="fr-CA"/>
        </w:rPr>
        <w:t>p. </w:t>
      </w:r>
      <w:r w:rsidRPr="00807A5C">
        <w:rPr>
          <w:rFonts w:cs="Times New Roman"/>
          <w:lang w:val="fr-CA"/>
        </w:rPr>
        <w:t xml:space="preserve">861; </w:t>
      </w:r>
      <w:r w:rsidRPr="00807A5C">
        <w:rPr>
          <w:rFonts w:cs="Times New Roman"/>
          <w:bCs/>
          <w:i/>
          <w:iCs/>
          <w:lang w:val="fr-CA" w:bidi="en-US"/>
        </w:rPr>
        <w:t>Nouveau</w:t>
      </w:r>
      <w:r>
        <w:rPr>
          <w:rFonts w:cs="Times New Roman"/>
          <w:bCs/>
          <w:i/>
          <w:iCs/>
          <w:lang w:val="fr-CA" w:bidi="en-US"/>
        </w:rPr>
        <w:noBreakHyphen/>
      </w:r>
      <w:r w:rsidRPr="00807A5C">
        <w:rPr>
          <w:rFonts w:cs="Times New Roman"/>
          <w:bCs/>
          <w:i/>
          <w:iCs/>
          <w:lang w:val="fr-CA" w:bidi="en-US"/>
        </w:rPr>
        <w:t>Brunswick (Ministre de la Santé et des Services communautaires) c. G. (J.)</w:t>
      </w:r>
      <w:r w:rsidRPr="00807A5C">
        <w:rPr>
          <w:rFonts w:cs="Times New Roman"/>
          <w:bCs/>
          <w:iCs/>
          <w:lang w:val="fr-CA" w:bidi="en-US"/>
        </w:rPr>
        <w:t xml:space="preserve">, [1999] 3 R.C.S. 46, </w:t>
      </w:r>
      <w:r>
        <w:rPr>
          <w:rFonts w:cs="Times New Roman"/>
          <w:bCs/>
          <w:iCs/>
          <w:lang w:val="fr-CA" w:bidi="en-US"/>
        </w:rPr>
        <w:t>par. </w:t>
      </w:r>
      <w:r w:rsidRPr="00807A5C">
        <w:rPr>
          <w:rFonts w:cs="Times New Roman"/>
          <w:bCs/>
          <w:iCs/>
          <w:lang w:val="fr-CA" w:bidi="en-US"/>
        </w:rPr>
        <w:t>113, motifs concordants de la juge L’Heureux</w:t>
      </w:r>
      <w:r>
        <w:rPr>
          <w:rFonts w:cs="Times New Roman"/>
          <w:bCs/>
          <w:iCs/>
          <w:lang w:val="fr-CA" w:bidi="en-US"/>
        </w:rPr>
        <w:noBreakHyphen/>
      </w:r>
      <w:r w:rsidRPr="00807A5C">
        <w:rPr>
          <w:rFonts w:cs="Times New Roman"/>
          <w:bCs/>
          <w:iCs/>
          <w:lang w:val="fr-CA" w:bidi="en-US"/>
        </w:rPr>
        <w:t>Dubé</w:t>
      </w:r>
      <w:r w:rsidRPr="00807A5C">
        <w:rPr>
          <w:rFonts w:cs="Times New Roman"/>
          <w:lang w:val="fr-CA"/>
        </w:rPr>
        <w:t>); et que « les femmes assument une part disproportionnée du fardeau de la garde des enfants au Canada » (</w:t>
      </w:r>
      <w:r w:rsidRPr="00807A5C">
        <w:rPr>
          <w:rFonts w:cs="Times New Roman"/>
          <w:i/>
          <w:lang w:val="fr-CA"/>
        </w:rPr>
        <w:t>Symes c. Canada</w:t>
      </w:r>
      <w:r w:rsidRPr="00807A5C">
        <w:rPr>
          <w:rFonts w:cs="Times New Roman"/>
          <w:lang w:val="fr-CA"/>
        </w:rPr>
        <w:t>,</w:t>
      </w:r>
      <w:r w:rsidRPr="00807A5C">
        <w:rPr>
          <w:rFonts w:cs="Times New Roman"/>
          <w:i/>
          <w:lang w:val="fr-CA"/>
        </w:rPr>
        <w:t xml:space="preserve"> </w:t>
      </w:r>
      <w:r w:rsidRPr="00807A5C">
        <w:rPr>
          <w:rFonts w:cs="Times New Roman"/>
          <w:lang w:val="fr-CA"/>
        </w:rPr>
        <w:t>[1993] 4 R.C.S. 695,</w:t>
      </w:r>
      <w:r w:rsidRPr="00807A5C">
        <w:rPr>
          <w:rFonts w:cs="Times New Roman"/>
          <w:i/>
          <w:lang w:val="fr-CA"/>
        </w:rPr>
        <w:t xml:space="preserve"> </w:t>
      </w:r>
      <w:r>
        <w:rPr>
          <w:rFonts w:cs="Times New Roman"/>
          <w:lang w:val="fr-CA"/>
        </w:rPr>
        <w:t>p. </w:t>
      </w:r>
      <w:r w:rsidRPr="00807A5C">
        <w:rPr>
          <w:rFonts w:cs="Times New Roman"/>
          <w:lang w:val="fr-CA"/>
        </w:rPr>
        <w:t>762</w:t>
      </w:r>
      <w:r>
        <w:rPr>
          <w:rFonts w:cs="Times New Roman"/>
          <w:lang w:val="fr-CA"/>
        </w:rPr>
        <w:noBreakHyphen/>
      </w:r>
      <w:r w:rsidRPr="00807A5C">
        <w:rPr>
          <w:rFonts w:cs="Times New Roman"/>
          <w:lang w:val="fr-CA"/>
        </w:rPr>
        <w:t xml:space="preserve">763; voir aussi </w:t>
      </w:r>
      <w:r w:rsidRPr="00807A5C">
        <w:rPr>
          <w:rFonts w:cs="Times New Roman"/>
          <w:bCs/>
          <w:i/>
          <w:iCs/>
          <w:lang w:val="fr-CA" w:bidi="en-US"/>
        </w:rPr>
        <w:t>Young c. Young</w:t>
      </w:r>
      <w:r w:rsidRPr="00807A5C">
        <w:rPr>
          <w:rFonts w:cs="Times New Roman"/>
          <w:bCs/>
          <w:iCs/>
          <w:lang w:val="fr-CA" w:bidi="en-US"/>
        </w:rPr>
        <w:t xml:space="preserve">, [1993] 4 R.C.S. 3, </w:t>
      </w:r>
      <w:r>
        <w:rPr>
          <w:rFonts w:cs="Times New Roman"/>
          <w:bCs/>
          <w:iCs/>
          <w:lang w:val="fr-CA" w:bidi="en-US"/>
        </w:rPr>
        <w:t>p. </w:t>
      </w:r>
      <w:r w:rsidRPr="00807A5C">
        <w:rPr>
          <w:rFonts w:cs="Times New Roman"/>
          <w:bCs/>
          <w:iCs/>
          <w:lang w:val="fr-CA" w:bidi="en-US"/>
        </w:rPr>
        <w:t>49</w:t>
      </w:r>
      <w:r>
        <w:rPr>
          <w:rFonts w:cs="Times New Roman"/>
          <w:bCs/>
          <w:iCs/>
          <w:lang w:val="fr-CA" w:bidi="en-US"/>
        </w:rPr>
        <w:noBreakHyphen/>
      </w:r>
      <w:r w:rsidRPr="00807A5C">
        <w:rPr>
          <w:rFonts w:cs="Times New Roman"/>
          <w:bCs/>
          <w:iCs/>
          <w:lang w:val="fr-CA" w:bidi="en-US"/>
        </w:rPr>
        <w:t>50, la juge L’Heureux</w:t>
      </w:r>
      <w:r>
        <w:rPr>
          <w:rFonts w:cs="Times New Roman"/>
          <w:bCs/>
          <w:iCs/>
          <w:lang w:val="fr-CA" w:bidi="en-US"/>
        </w:rPr>
        <w:noBreakHyphen/>
      </w:r>
      <w:r w:rsidRPr="00807A5C">
        <w:rPr>
          <w:rFonts w:cs="Times New Roman"/>
          <w:bCs/>
          <w:iCs/>
          <w:lang w:val="fr-CA" w:bidi="en-US"/>
        </w:rPr>
        <w:t xml:space="preserve">Dubé, dissidente). </w:t>
      </w:r>
    </w:p>
    <w:p w14:paraId="757A110B" w14:textId="77777777" w:rsidR="00804EA2" w:rsidRPr="00807A5C" w:rsidRDefault="00804EA2" w:rsidP="00804EA2">
      <w:pPr>
        <w:pStyle w:val="ParaNoNdepar-AltN"/>
        <w:rPr>
          <w:rFonts w:cs="Times New Roman"/>
          <w:lang w:val="fr-CA"/>
        </w:rPr>
      </w:pPr>
      <w:r w:rsidRPr="00807A5C">
        <w:rPr>
          <w:rFonts w:cs="Times New Roman"/>
          <w:lang w:val="fr-CA"/>
        </w:rPr>
        <w:t xml:space="preserve">Reconnaître la réalité de la division des tâches ménagères entre les genres et ses répercussions sur la vie professionnelle des femmes n’est pas une question nouvelle, pas plus qu’elle n’est contestable (voir </w:t>
      </w:r>
      <w:r w:rsidRPr="00807A5C">
        <w:rPr>
          <w:rFonts w:cs="Times New Roman"/>
          <w:i/>
          <w:lang w:val="fr-CA"/>
        </w:rPr>
        <w:t>Déclaration et Programme d’action de Beijing</w:t>
      </w:r>
      <w:r w:rsidRPr="00807A5C">
        <w:rPr>
          <w:rFonts w:cs="Times New Roman"/>
          <w:lang w:val="fr-CA"/>
        </w:rPr>
        <w:t>, Doc. N.</w:t>
      </w:r>
      <w:r>
        <w:rPr>
          <w:rFonts w:cs="Times New Roman"/>
          <w:lang w:val="fr-CA"/>
        </w:rPr>
        <w:noBreakHyphen/>
      </w:r>
      <w:r w:rsidRPr="00807A5C">
        <w:rPr>
          <w:rFonts w:cs="Times New Roman"/>
          <w:lang w:val="fr-CA"/>
        </w:rPr>
        <w:t xml:space="preserve">U. A/CONF.177/20, 17 octobre 1995, </w:t>
      </w:r>
      <w:r>
        <w:rPr>
          <w:rFonts w:cs="Times New Roman"/>
          <w:lang w:val="fr-CA"/>
        </w:rPr>
        <w:t>par. </w:t>
      </w:r>
      <w:r w:rsidRPr="00807A5C">
        <w:rPr>
          <w:rFonts w:cs="Times New Roman"/>
          <w:lang w:val="fr-CA"/>
        </w:rPr>
        <w:t>155</w:t>
      </w:r>
      <w:r>
        <w:rPr>
          <w:rFonts w:cs="Times New Roman"/>
          <w:lang w:val="fr-CA"/>
        </w:rPr>
        <w:noBreakHyphen/>
      </w:r>
      <w:r w:rsidRPr="00807A5C">
        <w:rPr>
          <w:rFonts w:cs="Times New Roman"/>
          <w:lang w:val="fr-CA"/>
        </w:rPr>
        <w:t>156 et 158). Elizabeth Shilton a décrit en termes éloquents le lien qui existe entre la division des soins non rémunérés et la surreprésentation des femmes dans les emplois à temps partiel</w:t>
      </w:r>
      <w:r>
        <w:rPr>
          <w:rFonts w:cs="Times New Roman"/>
          <w:lang w:val="fr-CA"/>
        </w:rPr>
        <w:t> :</w:t>
      </w:r>
    </w:p>
    <w:p w14:paraId="222ACE6C" w14:textId="1C6F6A15" w:rsidR="00804EA2" w:rsidRPr="00807A5C" w:rsidRDefault="00804EA2" w:rsidP="004A6C32">
      <w:pPr>
        <w:pStyle w:val="Citation-AltC"/>
        <w:spacing w:after="480"/>
        <w:ind w:hanging="1166"/>
        <w:contextualSpacing w:val="0"/>
        <w:rPr>
          <w:lang w:val="en-US"/>
        </w:rPr>
      </w:pPr>
      <w:r w:rsidRPr="00807A5C">
        <w:rPr>
          <w:lang w:val="fr-CA"/>
        </w:rPr>
        <w:lastRenderedPageBreak/>
        <w:tab/>
      </w:r>
      <w:r w:rsidRPr="00807A5C">
        <w:rPr>
          <w:lang w:val="fr-CA"/>
        </w:rPr>
        <w:tab/>
      </w:r>
      <w:r w:rsidR="00D3051D" w:rsidRPr="00807A5C">
        <w:rPr>
          <w:lang w:val="fr-CA"/>
        </w:rPr>
        <w:t>[</w:t>
      </w:r>
      <w:r w:rsidR="00D3051D" w:rsidRPr="00807A5C">
        <w:rPr>
          <w:smallCaps/>
          <w:lang w:val="fr-CA"/>
        </w:rPr>
        <w:t>traduction</w:t>
      </w:r>
      <w:r w:rsidR="00D3051D" w:rsidRPr="00807A5C">
        <w:rPr>
          <w:lang w:val="fr-CA"/>
        </w:rPr>
        <w:t>]</w:t>
      </w:r>
      <w:r w:rsidR="00D3051D">
        <w:rPr>
          <w:lang w:val="fr-CA"/>
        </w:rPr>
        <w:t xml:space="preserve"> </w:t>
      </w:r>
      <w:r w:rsidRPr="00807A5C">
        <w:rPr>
          <w:lang w:val="fr-CA"/>
        </w:rPr>
        <w:t>Au 21</w:t>
      </w:r>
      <w:r w:rsidRPr="00807A5C">
        <w:rPr>
          <w:vertAlign w:val="superscript"/>
          <w:lang w:val="fr-CA"/>
        </w:rPr>
        <w:t>e</w:t>
      </w:r>
      <w:r w:rsidRPr="00807A5C">
        <w:rPr>
          <w:lang w:val="fr-CA"/>
        </w:rPr>
        <w:t xml:space="preserve"> siècle, au Canada, l’image de la famille où l’homme est le pourvoyeur a largement disparu, tout comme l’idée de « salaire familial »; il y a pratiquement autant de chances que la femme fasse partie de la population active rémunérée que l’homme. Cependant, deux constantes demeurent. Les employeurs continuent de demander un « employé sans attache », ainsi que le droit d’organiser le travail sans égard aux obligations de ses employés en matière de soins. De plus, les rôles attribués à chaque genre au sein des familles ont été lents à changer. Les enfants ont encore besoin de soins, et les femmes assument encore la plupart des responsabilités pratiques que cela implique. En conséquence, elles sont forcées de gérer les soins familiaux sans que cela n’empiète sur leurs obligations professionnelles. </w:t>
      </w:r>
      <w:r w:rsidRPr="00807A5C">
        <w:rPr>
          <w:i/>
          <w:lang w:val="fr-CA"/>
        </w:rPr>
        <w:t>Leurs stratégies — que l’on appelle euphémiquement des « choix » — incluent souvent le travail à temps partiel et des formes de travail précaires qui s’accompagnent habituellement de salaires moins élevés, de peu d’avantages, de moins de possibilités d’avancement et d’une pension de retraite minime ou inexistante</w:t>
      </w:r>
      <w:r w:rsidRPr="00807A5C">
        <w:rPr>
          <w:lang w:val="fr-CA"/>
        </w:rPr>
        <w:t>. L’incidence sur le bien</w:t>
      </w:r>
      <w:r>
        <w:rPr>
          <w:lang w:val="fr-CA"/>
        </w:rPr>
        <w:noBreakHyphen/>
      </w:r>
      <w:r w:rsidRPr="00807A5C">
        <w:rPr>
          <w:lang w:val="fr-CA"/>
        </w:rPr>
        <w:t>être économique des femmes est exacerbée par les idées préconçues selon lesquelles les femmes ne méritent pas ou ne veulent pas de postes comportant de grandes responsabilités et un salaire élevé, parce qu’elles vont inévitablement accorder la priorité à leur famille plutôt qu’à leur travail. Le fardeau inéquitable des soins familiaux crée et renforce l’inégalité persistante que vivent les femmes, tant sur le marché du travail qu’à l’extérieur de celui</w:t>
      </w:r>
      <w:r>
        <w:rPr>
          <w:lang w:val="fr-CA"/>
        </w:rPr>
        <w:noBreakHyphen/>
      </w:r>
      <w:r w:rsidRPr="00807A5C">
        <w:rPr>
          <w:lang w:val="fr-CA"/>
        </w:rPr>
        <w:t xml:space="preserve">ci. </w:t>
      </w:r>
      <w:r w:rsidR="004A6C32">
        <w:rPr>
          <w:lang w:val="en-US"/>
        </w:rPr>
        <w:t>[Italique ajouté</w:t>
      </w:r>
      <w:r w:rsidRPr="00807A5C">
        <w:rPr>
          <w:lang w:val="en-US"/>
        </w:rPr>
        <w:t>.]</w:t>
      </w:r>
    </w:p>
    <w:p w14:paraId="5F3DB855" w14:textId="7C0599A9" w:rsidR="00804EA2" w:rsidRPr="00807A5C" w:rsidRDefault="00804EA2" w:rsidP="004A6C32">
      <w:pPr>
        <w:pStyle w:val="Citation-AltC"/>
        <w:ind w:left="0"/>
        <w:rPr>
          <w:lang w:val="en-US"/>
        </w:rPr>
      </w:pPr>
      <w:r w:rsidRPr="00807A5C">
        <w:rPr>
          <w:lang w:val="en-US"/>
        </w:rPr>
        <w:t>(« Family Status Discrimination</w:t>
      </w:r>
      <w:r w:rsidR="004A6C32">
        <w:rPr>
          <w:lang w:val="en-US"/>
        </w:rPr>
        <w:t> </w:t>
      </w:r>
      <w:r w:rsidRPr="00807A5C">
        <w:rPr>
          <w:lang w:val="en-US"/>
        </w:rPr>
        <w:t>: “Disruption and Great Mischief” or Bridge over the Work</w:t>
      </w:r>
      <w:r>
        <w:rPr>
          <w:lang w:val="en-US"/>
        </w:rPr>
        <w:noBreakHyphen/>
      </w:r>
      <w:r w:rsidRPr="00807A5C">
        <w:rPr>
          <w:lang w:val="en-US"/>
        </w:rPr>
        <w:t xml:space="preserve">Family Divide? » (2018), 14 </w:t>
      </w:r>
      <w:r w:rsidRPr="00807A5C">
        <w:rPr>
          <w:i/>
          <w:lang w:val="en-US"/>
        </w:rPr>
        <w:t>J.L. &amp; Equality</w:t>
      </w:r>
      <w:r w:rsidRPr="00807A5C">
        <w:rPr>
          <w:lang w:val="en-US"/>
        </w:rPr>
        <w:t xml:space="preserve"> 33, </w:t>
      </w:r>
      <w:r>
        <w:rPr>
          <w:lang w:val="en-US"/>
        </w:rPr>
        <w:t>p. </w:t>
      </w:r>
      <w:r w:rsidRPr="00807A5C">
        <w:rPr>
          <w:lang w:val="en-US"/>
        </w:rPr>
        <w:t xml:space="preserve">35; voir aussi Sheppard (2010), </w:t>
      </w:r>
      <w:r>
        <w:rPr>
          <w:lang w:val="en-US"/>
        </w:rPr>
        <w:t>p. </w:t>
      </w:r>
      <w:r w:rsidRPr="00807A5C">
        <w:rPr>
          <w:lang w:val="en-US"/>
        </w:rPr>
        <w:t xml:space="preserve">26; Richard </w:t>
      </w:r>
      <w:r>
        <w:rPr>
          <w:lang w:val="en-US"/>
        </w:rPr>
        <w:t>P. </w:t>
      </w:r>
      <w:r w:rsidRPr="00807A5C">
        <w:rPr>
          <w:lang w:val="en-US"/>
        </w:rPr>
        <w:t>Chaykowski et Lisa M. Powell, « Women and the Labour Market</w:t>
      </w:r>
      <w:r w:rsidR="004A6C32">
        <w:rPr>
          <w:lang w:val="en-US"/>
        </w:rPr>
        <w:t> </w:t>
      </w:r>
      <w:r w:rsidRPr="00807A5C">
        <w:rPr>
          <w:lang w:val="en-US"/>
        </w:rPr>
        <w:t>: Recent Trends and Policy Issues » (1999),</w:t>
      </w:r>
      <w:r>
        <w:rPr>
          <w:lang w:val="en-US"/>
        </w:rPr>
        <w:t xml:space="preserve"> 25</w:t>
      </w:r>
      <w:r w:rsidRPr="00807A5C">
        <w:rPr>
          <w:lang w:val="en-US"/>
        </w:rPr>
        <w:t xml:space="preserve"> </w:t>
      </w:r>
      <w:r w:rsidRPr="00807A5C">
        <w:rPr>
          <w:i/>
        </w:rPr>
        <w:t>Can. Pub. Pol’y</w:t>
      </w:r>
      <w:r w:rsidRPr="00807A5C">
        <w:t xml:space="preserve"> S1</w:t>
      </w:r>
      <w:r w:rsidRPr="00807A5C">
        <w:rPr>
          <w:lang w:val="en-US"/>
        </w:rPr>
        <w:t xml:space="preserve">; Braun, </w:t>
      </w:r>
      <w:r>
        <w:rPr>
          <w:lang w:val="en-US"/>
        </w:rPr>
        <w:t>p. </w:t>
      </w:r>
      <w:r w:rsidRPr="00807A5C">
        <w:rPr>
          <w:lang w:val="en-US"/>
        </w:rPr>
        <w:t>137</w:t>
      </w:r>
      <w:r>
        <w:rPr>
          <w:lang w:val="en-US"/>
        </w:rPr>
        <w:noBreakHyphen/>
      </w:r>
      <w:r w:rsidRPr="00807A5C">
        <w:rPr>
          <w:lang w:val="en-US"/>
        </w:rPr>
        <w:t xml:space="preserve">138; Fredman (2011), </w:t>
      </w:r>
      <w:r>
        <w:rPr>
          <w:lang w:val="en-US"/>
        </w:rPr>
        <w:t>p. </w:t>
      </w:r>
      <w:r w:rsidRPr="00807A5C">
        <w:rPr>
          <w:lang w:val="en-US"/>
        </w:rPr>
        <w:t xml:space="preserve">38, 45 et 181; Rivet et Santorineos, </w:t>
      </w:r>
      <w:r>
        <w:rPr>
          <w:lang w:val="en-US"/>
        </w:rPr>
        <w:t>p. </w:t>
      </w:r>
      <w:r w:rsidRPr="00807A5C">
        <w:rPr>
          <w:lang w:val="en-US"/>
        </w:rPr>
        <w:t xml:space="preserve">373; </w:t>
      </w:r>
      <w:r w:rsidRPr="00807A5C">
        <w:rPr>
          <w:lang w:val="en"/>
        </w:rPr>
        <w:t>Suzi Macpherson, « Reconciling employment and family care</w:t>
      </w:r>
      <w:r>
        <w:rPr>
          <w:lang w:val="en"/>
        </w:rPr>
        <w:noBreakHyphen/>
      </w:r>
      <w:r w:rsidRPr="00807A5C">
        <w:rPr>
          <w:lang w:val="en"/>
        </w:rPr>
        <w:t>giving</w:t>
      </w:r>
      <w:r w:rsidR="004A6C32">
        <w:rPr>
          <w:lang w:val="en"/>
        </w:rPr>
        <w:t> </w:t>
      </w:r>
      <w:r w:rsidRPr="00807A5C">
        <w:rPr>
          <w:lang w:val="en"/>
        </w:rPr>
        <w:t>: a gender analysis of current challenges and future directions for UK policy »</w:t>
      </w:r>
      <w:r w:rsidR="004A6C32">
        <w:rPr>
          <w:lang w:val="en"/>
        </w:rPr>
        <w:t>,</w:t>
      </w:r>
      <w:r w:rsidRPr="00807A5C">
        <w:rPr>
          <w:lang w:val="en"/>
        </w:rPr>
        <w:t xml:space="preserve"> dans </w:t>
      </w:r>
      <w:r w:rsidRPr="00807A5C">
        <w:rPr>
          <w:lang w:val="en-US"/>
        </w:rPr>
        <w:t xml:space="preserve">Nicole Busby et Grace James, dir., </w:t>
      </w:r>
      <w:r w:rsidRPr="00807A5C">
        <w:rPr>
          <w:i/>
          <w:lang w:val="en-US"/>
        </w:rPr>
        <w:t>Families, Care</w:t>
      </w:r>
      <w:r>
        <w:rPr>
          <w:i/>
          <w:lang w:val="en-US"/>
        </w:rPr>
        <w:noBreakHyphen/>
      </w:r>
      <w:r w:rsidRPr="00807A5C">
        <w:rPr>
          <w:i/>
          <w:lang w:val="en-US"/>
        </w:rPr>
        <w:t>giving and Paid Work</w:t>
      </w:r>
      <w:r w:rsidR="004A6C32">
        <w:rPr>
          <w:i/>
          <w:lang w:val="en-US"/>
        </w:rPr>
        <w:t> </w:t>
      </w:r>
      <w:r w:rsidRPr="00807A5C">
        <w:rPr>
          <w:i/>
          <w:lang w:val="en-US"/>
        </w:rPr>
        <w:t>: Challenging Labour Law in the 21</w:t>
      </w:r>
      <w:r w:rsidRPr="004A6C32">
        <w:rPr>
          <w:i/>
          <w:lang w:val="en-US"/>
        </w:rPr>
        <w:t>st</w:t>
      </w:r>
      <w:r w:rsidRPr="00807A5C">
        <w:rPr>
          <w:i/>
          <w:lang w:val="en-US"/>
        </w:rPr>
        <w:t xml:space="preserve"> Century </w:t>
      </w:r>
      <w:r w:rsidRPr="00807A5C">
        <w:rPr>
          <w:lang w:val="en-US"/>
        </w:rPr>
        <w:t xml:space="preserve">(2011), 13, </w:t>
      </w:r>
      <w:r>
        <w:rPr>
          <w:lang w:val="en-US"/>
        </w:rPr>
        <w:t>p. </w:t>
      </w:r>
      <w:r w:rsidRPr="00807A5C">
        <w:rPr>
          <w:lang w:val="en-US"/>
        </w:rPr>
        <w:t>13</w:t>
      </w:r>
      <w:r>
        <w:rPr>
          <w:lang w:val="en-US"/>
        </w:rPr>
        <w:noBreakHyphen/>
      </w:r>
      <w:r w:rsidRPr="00807A5C">
        <w:rPr>
          <w:lang w:val="en-US"/>
        </w:rPr>
        <w:t>30; Susan Bisom</w:t>
      </w:r>
      <w:r>
        <w:rPr>
          <w:lang w:val="en-US"/>
        </w:rPr>
        <w:noBreakHyphen/>
      </w:r>
      <w:r w:rsidRPr="00807A5C">
        <w:rPr>
          <w:lang w:val="en-US"/>
        </w:rPr>
        <w:t xml:space="preserve">Rapp, « What We Know About Equal Employment Opportunity Law after Fifty Years of Trying » (2018), 22 </w:t>
      </w:r>
      <w:r w:rsidRPr="00807A5C">
        <w:rPr>
          <w:i/>
        </w:rPr>
        <w:t>Employee</w:t>
      </w:r>
      <w:r>
        <w:rPr>
          <w:i/>
        </w:rPr>
        <w:t xml:space="preserve"> </w:t>
      </w:r>
      <w:r w:rsidRPr="00807A5C">
        <w:rPr>
          <w:i/>
        </w:rPr>
        <w:t xml:space="preserve">Rts. &amp; Employment Pol’y J. </w:t>
      </w:r>
      <w:r w:rsidRPr="00807A5C">
        <w:rPr>
          <w:lang w:val="en-US"/>
        </w:rPr>
        <w:t xml:space="preserve">337, </w:t>
      </w:r>
      <w:r>
        <w:rPr>
          <w:lang w:val="en-US"/>
        </w:rPr>
        <w:t>p. </w:t>
      </w:r>
      <w:r w:rsidRPr="00807A5C">
        <w:rPr>
          <w:lang w:val="en-US"/>
        </w:rPr>
        <w:t>348</w:t>
      </w:r>
      <w:r>
        <w:rPr>
          <w:lang w:val="en-US"/>
        </w:rPr>
        <w:noBreakHyphen/>
      </w:r>
      <w:r w:rsidRPr="00807A5C">
        <w:rPr>
          <w:lang w:val="en-US"/>
        </w:rPr>
        <w:t xml:space="preserve">349.) </w:t>
      </w:r>
    </w:p>
    <w:p w14:paraId="5DD5906F" w14:textId="679F4114" w:rsidR="00804EA2" w:rsidRPr="00807A5C" w:rsidRDefault="00804EA2" w:rsidP="00804EA2">
      <w:pPr>
        <w:pStyle w:val="ParaNoNdepar-AltN"/>
        <w:rPr>
          <w:rFonts w:cs="Times New Roman"/>
          <w:lang w:val="fr-CA"/>
        </w:rPr>
      </w:pPr>
      <w:r w:rsidRPr="00807A5C">
        <w:rPr>
          <w:rFonts w:cs="Times New Roman"/>
          <w:lang w:val="fr-CA"/>
        </w:rPr>
        <w:t>En décelant l’existence de discrimination par suite d’un effet préjudiciable, les tribunaux [</w:t>
      </w:r>
      <w:r w:rsidRPr="00807A5C">
        <w:rPr>
          <w:rFonts w:cs="Times New Roman"/>
          <w:smallCaps/>
          <w:lang w:val="fr-CA"/>
        </w:rPr>
        <w:t>traduction</w:t>
      </w:r>
      <w:r w:rsidRPr="00807A5C">
        <w:rPr>
          <w:rFonts w:cs="Times New Roman"/>
          <w:lang w:val="fr-CA"/>
        </w:rPr>
        <w:t xml:space="preserve">] « agissent de manière particulièrement efficace à l’égard des critères qui désavantagent spécifiquement les femmes ayant des responsabilités en ce qui concerne le soin des enfants » (Fredman (2011), </w:t>
      </w:r>
      <w:r>
        <w:rPr>
          <w:rFonts w:cs="Times New Roman"/>
          <w:lang w:val="fr-CA"/>
        </w:rPr>
        <w:t>p. </w:t>
      </w:r>
      <w:r w:rsidRPr="00807A5C">
        <w:rPr>
          <w:rFonts w:cs="Times New Roman"/>
          <w:lang w:val="fr-CA"/>
        </w:rPr>
        <w:t xml:space="preserve">181). La Cour de justice </w:t>
      </w:r>
      <w:r w:rsidRPr="00807A5C">
        <w:rPr>
          <w:rFonts w:cs="Times New Roman"/>
          <w:lang w:val="fr-CA"/>
        </w:rPr>
        <w:lastRenderedPageBreak/>
        <w:t xml:space="preserve">européenne, par exemple, a jugé que le fait d’offrir à certains travailleurs des conditions de rémunération moins favorables en fonction de leurs heures de travail pouvait constituer de la discrimination par suite d’un effet préjudiciable envers les femmes (voir </w:t>
      </w:r>
      <w:r w:rsidRPr="00807A5C">
        <w:rPr>
          <w:rFonts w:cs="Times New Roman"/>
          <w:i/>
          <w:lang w:val="fr-CA"/>
        </w:rPr>
        <w:t>Jenkins c. Kings</w:t>
      </w:r>
      <w:r w:rsidR="00EE1C2C">
        <w:rPr>
          <w:rFonts w:cs="Times New Roman"/>
          <w:i/>
          <w:lang w:val="fr-CA"/>
        </w:rPr>
        <w:t>gate (Clothing Productions) Ltd</w:t>
      </w:r>
      <w:r w:rsidRPr="00807A5C">
        <w:rPr>
          <w:rFonts w:cs="Times New Roman"/>
          <w:lang w:val="fr-CA"/>
        </w:rPr>
        <w:t>, C</w:t>
      </w:r>
      <w:r>
        <w:rPr>
          <w:rFonts w:cs="Times New Roman"/>
          <w:lang w:val="fr-CA"/>
        </w:rPr>
        <w:noBreakHyphen/>
      </w:r>
      <w:r w:rsidRPr="00807A5C">
        <w:rPr>
          <w:rFonts w:cs="Times New Roman"/>
          <w:lang w:val="fr-CA"/>
        </w:rPr>
        <w:t>96/80, [1981] E.C.R. I</w:t>
      </w:r>
      <w:r>
        <w:rPr>
          <w:rFonts w:cs="Times New Roman"/>
          <w:lang w:val="fr-CA"/>
        </w:rPr>
        <w:noBreakHyphen/>
      </w:r>
      <w:r w:rsidRPr="00807A5C">
        <w:rPr>
          <w:rFonts w:cs="Times New Roman"/>
          <w:lang w:val="fr-CA"/>
        </w:rPr>
        <w:t xml:space="preserve">911; </w:t>
      </w:r>
      <w:r w:rsidRPr="00807A5C">
        <w:rPr>
          <w:rFonts w:cs="Times New Roman"/>
          <w:i/>
          <w:lang w:val="fr-CA"/>
        </w:rPr>
        <w:t>Bilka</w:t>
      </w:r>
      <w:r>
        <w:rPr>
          <w:rFonts w:cs="Times New Roman"/>
          <w:i/>
          <w:lang w:val="fr-CA"/>
        </w:rPr>
        <w:noBreakHyphen/>
      </w:r>
      <w:r w:rsidRPr="00807A5C">
        <w:rPr>
          <w:rFonts w:cs="Times New Roman"/>
          <w:i/>
          <w:lang w:val="fr-CA"/>
        </w:rPr>
        <w:t>Kaufhaus GmbH c. Weber von Hartz</w:t>
      </w:r>
      <w:r w:rsidRPr="00807A5C">
        <w:rPr>
          <w:rFonts w:cs="Times New Roman"/>
          <w:lang w:val="fr-CA"/>
        </w:rPr>
        <w:t>, C</w:t>
      </w:r>
      <w:r>
        <w:rPr>
          <w:rFonts w:cs="Times New Roman"/>
          <w:lang w:val="fr-CA"/>
        </w:rPr>
        <w:noBreakHyphen/>
      </w:r>
      <w:r w:rsidRPr="00807A5C">
        <w:rPr>
          <w:rFonts w:cs="Times New Roman"/>
          <w:lang w:val="fr-CA"/>
        </w:rPr>
        <w:t>170/84, [1986] E.C.R. I</w:t>
      </w:r>
      <w:r>
        <w:rPr>
          <w:rFonts w:cs="Times New Roman"/>
          <w:lang w:val="fr-CA"/>
        </w:rPr>
        <w:noBreakHyphen/>
      </w:r>
      <w:r w:rsidRPr="00807A5C">
        <w:rPr>
          <w:rFonts w:cs="Times New Roman"/>
          <w:lang w:val="fr-CA"/>
        </w:rPr>
        <w:t xml:space="preserve">1607; </w:t>
      </w:r>
      <w:r w:rsidRPr="00807A5C">
        <w:rPr>
          <w:rFonts w:cs="Times New Roman"/>
          <w:i/>
          <w:lang w:val="fr-CA"/>
        </w:rPr>
        <w:t>Rinner</w:t>
      </w:r>
      <w:r>
        <w:rPr>
          <w:rFonts w:cs="Times New Roman"/>
          <w:i/>
          <w:lang w:val="fr-CA"/>
        </w:rPr>
        <w:noBreakHyphen/>
      </w:r>
      <w:r w:rsidRPr="00807A5C">
        <w:rPr>
          <w:rFonts w:cs="Times New Roman"/>
          <w:i/>
          <w:lang w:val="fr-CA"/>
        </w:rPr>
        <w:t>Kühn c. FWW Spezial</w:t>
      </w:r>
      <w:r>
        <w:rPr>
          <w:rFonts w:cs="Times New Roman"/>
          <w:i/>
          <w:lang w:val="fr-CA"/>
        </w:rPr>
        <w:noBreakHyphen/>
      </w:r>
      <w:r w:rsidRPr="00807A5C">
        <w:rPr>
          <w:rFonts w:cs="Times New Roman"/>
          <w:i/>
          <w:lang w:val="fr-CA"/>
        </w:rPr>
        <w:t>Gebäudereinigung GmbH</w:t>
      </w:r>
      <w:r w:rsidRPr="00807A5C">
        <w:rPr>
          <w:rFonts w:cs="Times New Roman"/>
          <w:lang w:val="fr-CA"/>
        </w:rPr>
        <w:t>, C</w:t>
      </w:r>
      <w:r>
        <w:rPr>
          <w:rFonts w:cs="Times New Roman"/>
          <w:lang w:val="fr-CA"/>
        </w:rPr>
        <w:noBreakHyphen/>
      </w:r>
      <w:r w:rsidRPr="00807A5C">
        <w:rPr>
          <w:rFonts w:cs="Times New Roman"/>
          <w:lang w:val="fr-CA"/>
        </w:rPr>
        <w:t>171/88, [1989] E.C.R. I</w:t>
      </w:r>
      <w:r>
        <w:rPr>
          <w:rFonts w:cs="Times New Roman"/>
          <w:lang w:val="fr-CA"/>
        </w:rPr>
        <w:noBreakHyphen/>
      </w:r>
      <w:r w:rsidRPr="00807A5C">
        <w:rPr>
          <w:rFonts w:cs="Times New Roman"/>
          <w:lang w:val="fr-CA"/>
        </w:rPr>
        <w:t xml:space="preserve">2743; </w:t>
      </w:r>
      <w:r w:rsidRPr="00807A5C">
        <w:rPr>
          <w:rFonts w:cs="Times New Roman"/>
          <w:i/>
          <w:lang w:val="fr-CA"/>
        </w:rPr>
        <w:t>Vroege c. NCIV</w:t>
      </w:r>
      <w:r w:rsidRPr="00807A5C">
        <w:rPr>
          <w:rFonts w:cs="Times New Roman"/>
          <w:lang w:val="fr-CA"/>
        </w:rPr>
        <w:t xml:space="preserve"> </w:t>
      </w:r>
      <w:r w:rsidRPr="00807A5C">
        <w:rPr>
          <w:rFonts w:cs="Times New Roman"/>
          <w:i/>
          <w:lang w:val="fr-CA"/>
        </w:rPr>
        <w:t>Instit</w:t>
      </w:r>
      <w:r>
        <w:rPr>
          <w:rFonts w:cs="Times New Roman"/>
          <w:i/>
          <w:lang w:val="fr-CA"/>
        </w:rPr>
        <w:t>u</w:t>
      </w:r>
      <w:r w:rsidRPr="00807A5C">
        <w:rPr>
          <w:rFonts w:cs="Times New Roman"/>
          <w:i/>
          <w:lang w:val="fr-CA"/>
        </w:rPr>
        <w:t>ut voor Volkshuisvesting BV</w:t>
      </w:r>
      <w:r w:rsidRPr="00807A5C">
        <w:rPr>
          <w:rFonts w:cs="Times New Roman"/>
          <w:lang w:val="fr-CA"/>
        </w:rPr>
        <w:t>, C</w:t>
      </w:r>
      <w:r>
        <w:rPr>
          <w:rFonts w:cs="Times New Roman"/>
          <w:lang w:val="fr-CA"/>
        </w:rPr>
        <w:noBreakHyphen/>
      </w:r>
      <w:r w:rsidRPr="00807A5C">
        <w:rPr>
          <w:rFonts w:cs="Times New Roman"/>
          <w:lang w:val="fr-CA"/>
        </w:rPr>
        <w:t>57/93, [1994] E.C.R. I</w:t>
      </w:r>
      <w:r>
        <w:rPr>
          <w:rFonts w:cs="Times New Roman"/>
          <w:lang w:val="fr-CA"/>
        </w:rPr>
        <w:noBreakHyphen/>
      </w:r>
      <w:r w:rsidRPr="00807A5C">
        <w:rPr>
          <w:rFonts w:cs="Times New Roman"/>
          <w:lang w:val="fr-CA"/>
        </w:rPr>
        <w:t xml:space="preserve">4541; </w:t>
      </w:r>
      <w:r w:rsidRPr="00807A5C">
        <w:rPr>
          <w:rFonts w:cs="Times New Roman"/>
          <w:i/>
          <w:lang w:val="fr-CA"/>
        </w:rPr>
        <w:t>Schönheit c. Stadt Frankfurt am Main</w:t>
      </w:r>
      <w:r w:rsidRPr="00807A5C">
        <w:rPr>
          <w:rFonts w:cs="Times New Roman"/>
          <w:lang w:val="fr-CA"/>
        </w:rPr>
        <w:t>, C</w:t>
      </w:r>
      <w:r>
        <w:rPr>
          <w:rFonts w:cs="Times New Roman"/>
          <w:lang w:val="fr-CA"/>
        </w:rPr>
        <w:noBreakHyphen/>
      </w:r>
      <w:r w:rsidRPr="00807A5C">
        <w:rPr>
          <w:rFonts w:cs="Times New Roman"/>
          <w:lang w:val="fr-CA"/>
        </w:rPr>
        <w:t>4/02 et C</w:t>
      </w:r>
      <w:r>
        <w:rPr>
          <w:rFonts w:cs="Times New Roman"/>
          <w:lang w:val="fr-CA"/>
        </w:rPr>
        <w:noBreakHyphen/>
      </w:r>
      <w:r w:rsidRPr="00807A5C">
        <w:rPr>
          <w:rFonts w:cs="Times New Roman"/>
          <w:lang w:val="fr-CA"/>
        </w:rPr>
        <w:t>5/02, [2003] E.C.R. I</w:t>
      </w:r>
      <w:r>
        <w:rPr>
          <w:rFonts w:cs="Times New Roman"/>
          <w:lang w:val="fr-CA"/>
        </w:rPr>
        <w:noBreakHyphen/>
      </w:r>
      <w:r w:rsidRPr="00807A5C">
        <w:rPr>
          <w:rFonts w:cs="Times New Roman"/>
          <w:lang w:val="fr-CA"/>
        </w:rPr>
        <w:t xml:space="preserve">12575; voir aussi </w:t>
      </w:r>
      <w:r w:rsidRPr="00807A5C">
        <w:rPr>
          <w:rFonts w:cs="Times New Roman"/>
          <w:i/>
          <w:lang w:val="fr-CA"/>
        </w:rPr>
        <w:t>Reg.</w:t>
      </w:r>
      <w:r w:rsidRPr="00807A5C">
        <w:rPr>
          <w:rFonts w:cs="Times New Roman"/>
          <w:lang w:val="fr-CA"/>
        </w:rPr>
        <w:t xml:space="preserve"> </w:t>
      </w:r>
      <w:r w:rsidRPr="00807A5C">
        <w:rPr>
          <w:rFonts w:cs="Times New Roman"/>
          <w:i/>
          <w:lang w:val="fr-CA"/>
        </w:rPr>
        <w:t>c. Secretary of State for Employment</w:t>
      </w:r>
      <w:r w:rsidRPr="00807A5C">
        <w:rPr>
          <w:rFonts w:cs="Times New Roman"/>
          <w:lang w:val="fr-CA"/>
        </w:rPr>
        <w:t xml:space="preserve">, </w:t>
      </w:r>
      <w:r w:rsidRPr="00807A5C">
        <w:rPr>
          <w:rFonts w:cs="Times New Roman"/>
          <w:i/>
          <w:lang w:val="fr-CA"/>
        </w:rPr>
        <w:t>Ex parte Equal Opportunities Commission</w:t>
      </w:r>
      <w:r w:rsidRPr="00807A5C">
        <w:rPr>
          <w:rFonts w:cs="Times New Roman"/>
          <w:lang w:val="fr-CA"/>
        </w:rPr>
        <w:t>, [1995] 1 A.C. 1 (</w:t>
      </w:r>
      <w:r w:rsidR="00EE1C2C">
        <w:rPr>
          <w:rFonts w:cs="Times New Roman"/>
          <w:lang w:val="fr-CA"/>
        </w:rPr>
        <w:t>H</w:t>
      </w:r>
      <w:r w:rsidRPr="00807A5C">
        <w:rPr>
          <w:rFonts w:cs="Times New Roman"/>
          <w:lang w:val="fr-CA"/>
        </w:rPr>
        <w:t xml:space="preserve">.L.); Braun, </w:t>
      </w:r>
      <w:r>
        <w:rPr>
          <w:rFonts w:cs="Times New Roman"/>
          <w:lang w:val="fr-CA"/>
        </w:rPr>
        <w:t>p. </w:t>
      </w:r>
      <w:r w:rsidRPr="00807A5C">
        <w:rPr>
          <w:rFonts w:cs="Times New Roman"/>
          <w:lang w:val="fr-CA"/>
        </w:rPr>
        <w:t>137</w:t>
      </w:r>
      <w:r>
        <w:rPr>
          <w:rFonts w:cs="Times New Roman"/>
          <w:lang w:val="fr-CA"/>
        </w:rPr>
        <w:noBreakHyphen/>
      </w:r>
      <w:r w:rsidRPr="00807A5C">
        <w:rPr>
          <w:rFonts w:cs="Times New Roman"/>
          <w:lang w:val="fr-CA"/>
        </w:rPr>
        <w:t xml:space="preserve">140). </w:t>
      </w:r>
    </w:p>
    <w:p w14:paraId="6512E051" w14:textId="77777777" w:rsidR="00804EA2" w:rsidRPr="00807A5C" w:rsidRDefault="00804EA2" w:rsidP="00804EA2">
      <w:pPr>
        <w:pStyle w:val="ParaNoNdepar-AltN"/>
        <w:rPr>
          <w:rFonts w:cs="Times New Roman"/>
          <w:lang w:val="fr-CA"/>
        </w:rPr>
      </w:pPr>
      <w:r w:rsidRPr="00807A5C">
        <w:rPr>
          <w:rFonts w:cs="Times New Roman"/>
          <w:lang w:val="fr-CA"/>
        </w:rPr>
        <w:t>Toutes ces sources — et d’autres encore — établissent un lien clair entre les femmes et des heures de travail moindres ou instables. Elles appuient solidement l’argument central de M</w:t>
      </w:r>
      <w:r w:rsidRPr="00807A5C">
        <w:rPr>
          <w:rFonts w:cs="Times New Roman"/>
          <w:vertAlign w:val="superscript"/>
          <w:lang w:val="fr-CA"/>
        </w:rPr>
        <w:t>me</w:t>
      </w:r>
      <w:r w:rsidRPr="00807A5C">
        <w:rPr>
          <w:rFonts w:cs="Times New Roman"/>
          <w:lang w:val="fr-CA"/>
        </w:rPr>
        <w:t> Fraser</w:t>
      </w:r>
      <w:r>
        <w:rPr>
          <w:rFonts w:cs="Times New Roman"/>
          <w:lang w:val="fr-CA"/>
        </w:rPr>
        <w:t> :</w:t>
      </w:r>
      <w:r w:rsidRPr="00807A5C">
        <w:rPr>
          <w:rFonts w:cs="Times New Roman"/>
          <w:lang w:val="fr-CA"/>
        </w:rPr>
        <w:t xml:space="preserve"> le fait pour la GRC de se baser sur la réduction temporaire des heures de travail d’un de ses membres pour imposer des conséquences moins avantageuses en matière de pension a un effet disproportionné sur les femmes. Il est donc satisfait au premier volet de l’analyse relative au </w:t>
      </w:r>
      <w:r>
        <w:rPr>
          <w:rFonts w:cs="Times New Roman"/>
          <w:lang w:val="fr-CA"/>
        </w:rPr>
        <w:t>par. </w:t>
      </w:r>
      <w:r w:rsidRPr="00807A5C">
        <w:rPr>
          <w:rFonts w:cs="Times New Roman"/>
          <w:lang w:val="fr-CA"/>
        </w:rPr>
        <w:t>15(1).</w:t>
      </w:r>
    </w:p>
    <w:p w14:paraId="20347625" w14:textId="77777777" w:rsidR="00804EA2" w:rsidRPr="00807A5C" w:rsidRDefault="00804EA2" w:rsidP="00804EA2">
      <w:pPr>
        <w:pStyle w:val="ParaNoNdepar-AltN"/>
        <w:rPr>
          <w:rFonts w:cs="Times New Roman"/>
          <w:lang w:val="fr-CA"/>
        </w:rPr>
      </w:pPr>
      <w:r w:rsidRPr="00807A5C">
        <w:rPr>
          <w:rFonts w:cs="Times New Roman"/>
          <w:lang w:val="fr-CA"/>
        </w:rPr>
        <w:t xml:space="preserve">Cela m’amène au deuxième volet de l’analyse relative au </w:t>
      </w:r>
      <w:r>
        <w:rPr>
          <w:rFonts w:cs="Times New Roman"/>
          <w:lang w:val="fr-CA"/>
        </w:rPr>
        <w:t>par. </w:t>
      </w:r>
      <w:r w:rsidRPr="00807A5C">
        <w:rPr>
          <w:rFonts w:cs="Times New Roman"/>
          <w:lang w:val="fr-CA"/>
        </w:rPr>
        <w:t>15(1)</w:t>
      </w:r>
      <w:r>
        <w:rPr>
          <w:rFonts w:cs="Times New Roman"/>
          <w:lang w:val="fr-CA"/>
        </w:rPr>
        <w:t> :</w:t>
      </w:r>
      <w:r w:rsidRPr="00807A5C">
        <w:rPr>
          <w:rFonts w:cs="Times New Roman"/>
          <w:lang w:val="fr-CA"/>
        </w:rPr>
        <w:t xml:space="preserve"> la question de savoir si cet effet préjudiciable renforce, perpétue ou accentue un désavantage.</w:t>
      </w:r>
    </w:p>
    <w:p w14:paraId="17A52071" w14:textId="4C07E974" w:rsidR="00804EA2" w:rsidRPr="00807A5C" w:rsidRDefault="00804EA2" w:rsidP="00804EA2">
      <w:pPr>
        <w:pStyle w:val="ParaNoNdepar-AltN"/>
        <w:rPr>
          <w:rFonts w:cs="Times New Roman"/>
          <w:lang w:val="fr-CA"/>
        </w:rPr>
      </w:pPr>
      <w:r w:rsidRPr="00807A5C">
        <w:rPr>
          <w:rFonts w:cs="Times New Roman"/>
          <w:lang w:val="fr-CA"/>
        </w:rPr>
        <w:t>Il ne fait aucun doute que c’est le cas. Je souscris à l’argument de M</w:t>
      </w:r>
      <w:r w:rsidRPr="00807A5C">
        <w:rPr>
          <w:rFonts w:cs="Times New Roman"/>
          <w:vertAlign w:val="superscript"/>
          <w:lang w:val="fr-CA"/>
        </w:rPr>
        <w:t>me</w:t>
      </w:r>
      <w:r w:rsidRPr="00807A5C">
        <w:rPr>
          <w:rFonts w:cs="Times New Roman"/>
          <w:lang w:val="fr-CA"/>
        </w:rPr>
        <w:t xml:space="preserve"> Fraser selon lequel les répercussions négatives du partage de poste sur la pension </w:t>
      </w:r>
      <w:r w:rsidRPr="00807A5C">
        <w:rPr>
          <w:rFonts w:cs="Times New Roman"/>
          <w:lang w:val="fr-CA"/>
        </w:rPr>
        <w:lastRenderedPageBreak/>
        <w:t>perpétuent une source de désavantage de longue date pour les femmes</w:t>
      </w:r>
      <w:r>
        <w:rPr>
          <w:rFonts w:cs="Times New Roman"/>
          <w:lang w:val="fr-CA"/>
        </w:rPr>
        <w:t> :</w:t>
      </w:r>
      <w:r w:rsidRPr="00807A5C">
        <w:rPr>
          <w:rFonts w:cs="Times New Roman"/>
          <w:lang w:val="fr-CA"/>
        </w:rPr>
        <w:t xml:space="preserve"> les préjugés fondés sur le sexe ancrés dans les régimes de pension, qui favorisent depuis toujours [</w:t>
      </w:r>
      <w:r w:rsidRPr="00807A5C">
        <w:rPr>
          <w:rFonts w:cs="Times New Roman"/>
          <w:smallCaps/>
          <w:lang w:val="fr-CA"/>
        </w:rPr>
        <w:t>traduction</w:t>
      </w:r>
      <w:r w:rsidRPr="00807A5C">
        <w:rPr>
          <w:rFonts w:cs="Times New Roman"/>
          <w:lang w:val="fr-CA"/>
        </w:rPr>
        <w:t>] « les employés à temps plein à revenu moyen et élevé comptant de nombreuses années de services, habituellement des hommes » (</w:t>
      </w:r>
      <w:r w:rsidR="00AA343D">
        <w:rPr>
          <w:rFonts w:cs="Times New Roman"/>
          <w:i/>
          <w:lang w:val="fr-CA"/>
        </w:rPr>
        <w:t>Report of the Royal Commission on the Status of Pensions in Ontario</w:t>
      </w:r>
      <w:r w:rsidRPr="00807A5C">
        <w:rPr>
          <w:rFonts w:cs="Times New Roman"/>
          <w:lang w:val="fr-CA"/>
        </w:rPr>
        <w:t xml:space="preserve"> (1980), </w:t>
      </w:r>
      <w:r>
        <w:rPr>
          <w:rFonts w:cs="Times New Roman"/>
          <w:lang w:val="fr-CA"/>
        </w:rPr>
        <w:t>p. </w:t>
      </w:r>
      <w:r w:rsidRPr="00807A5C">
        <w:rPr>
          <w:rFonts w:cs="Times New Roman"/>
          <w:lang w:val="fr-CA"/>
        </w:rPr>
        <w:t xml:space="preserve">116). </w:t>
      </w:r>
    </w:p>
    <w:p w14:paraId="34DA4EF7" w14:textId="77777777" w:rsidR="00804EA2" w:rsidRPr="00807A5C" w:rsidRDefault="00804EA2" w:rsidP="00804EA2">
      <w:pPr>
        <w:pStyle w:val="ParaNoNdepar-AltN"/>
        <w:rPr>
          <w:rFonts w:cs="Times New Roman"/>
          <w:lang w:val="fr-CA"/>
        </w:rPr>
      </w:pPr>
      <w:r w:rsidRPr="00807A5C">
        <w:rPr>
          <w:rFonts w:cs="Times New Roman"/>
          <w:lang w:val="fr-CA"/>
        </w:rPr>
        <w:t>Dans un mémoire présenté au Sous</w:t>
      </w:r>
      <w:r>
        <w:rPr>
          <w:rFonts w:cs="Times New Roman"/>
          <w:lang w:val="fr-CA"/>
        </w:rPr>
        <w:noBreakHyphen/>
      </w:r>
      <w:r w:rsidRPr="00807A5C">
        <w:rPr>
          <w:rFonts w:cs="Times New Roman"/>
          <w:lang w:val="fr-CA"/>
        </w:rPr>
        <w:t>comité de la Chambre des communes sur les droits à l’égalité (en juin 1985 par Louise Dulude et Carole Wallace), le Comité canadien d’action sur le statut de la femme (« CCA ») a exprimé des inquiétudes à propos des préjugés fondés sur le sexe dans les régimes de pension. Dans ce mémoire, le Comité a décrit comment les régimes de pension traitaient les femmes de façon inéquitable</w:t>
      </w:r>
      <w:r>
        <w:rPr>
          <w:rFonts w:cs="Times New Roman"/>
          <w:lang w:val="fr-CA"/>
        </w:rPr>
        <w:t> :</w:t>
      </w:r>
    </w:p>
    <w:p w14:paraId="3FB21DB8" w14:textId="6DB32981" w:rsidR="00804EA2" w:rsidRPr="00807A5C" w:rsidRDefault="00804EA2" w:rsidP="00804EA2">
      <w:pPr>
        <w:pStyle w:val="Citation-AltC"/>
        <w:spacing w:after="240"/>
        <w:ind w:left="1168" w:hanging="1168"/>
        <w:contextualSpacing w:val="0"/>
        <w:rPr>
          <w:lang w:val="fr-CA"/>
        </w:rPr>
      </w:pPr>
      <w:r w:rsidRPr="00807A5C">
        <w:rPr>
          <w:lang w:val="fr-CA"/>
        </w:rPr>
        <w:tab/>
      </w:r>
      <w:r w:rsidRPr="00807A5C">
        <w:rPr>
          <w:lang w:val="fr-CA"/>
        </w:rPr>
        <w:tab/>
      </w:r>
      <w:r w:rsidR="00ED1725" w:rsidRPr="00807A5C">
        <w:rPr>
          <w:lang w:val="fr-CA"/>
        </w:rPr>
        <w:t>[</w:t>
      </w:r>
      <w:r w:rsidR="00ED1725" w:rsidRPr="00807A5C">
        <w:rPr>
          <w:smallCaps/>
          <w:lang w:val="fr-CA"/>
        </w:rPr>
        <w:t>traduction</w:t>
      </w:r>
      <w:r w:rsidR="00ED1725" w:rsidRPr="00807A5C">
        <w:rPr>
          <w:lang w:val="fr-CA"/>
        </w:rPr>
        <w:t>]</w:t>
      </w:r>
      <w:r w:rsidR="00ED1725">
        <w:rPr>
          <w:lang w:val="fr-CA"/>
        </w:rPr>
        <w:t xml:space="preserve"> </w:t>
      </w:r>
      <w:r w:rsidRPr="00807A5C">
        <w:rPr>
          <w:lang w:val="fr-CA"/>
        </w:rPr>
        <w:t>Les différences dans l’incidence des pensions sur les femmes et sur les hommes sont bien connues et amplement documentées. Elles sont le résultat des effets combinés des divers éléments qui forment le régime de pension à plusieurs couches au Canada aujourd’hui.</w:t>
      </w:r>
    </w:p>
    <w:p w14:paraId="2F2B01E6" w14:textId="6BE91B23" w:rsidR="00804EA2" w:rsidRPr="00807A5C" w:rsidRDefault="00ED1725" w:rsidP="00804EA2">
      <w:pPr>
        <w:pStyle w:val="Citation-AltC"/>
        <w:spacing w:after="240"/>
        <w:ind w:left="1168" w:hanging="1168"/>
        <w:contextualSpacing w:val="0"/>
        <w:jc w:val="center"/>
        <w:rPr>
          <w:lang w:val="fr-CA"/>
        </w:rPr>
      </w:pPr>
      <w:r>
        <w:rPr>
          <w:lang w:val="fr-CA"/>
        </w:rPr>
        <w:tab/>
        <w:t>. . .</w:t>
      </w:r>
    </w:p>
    <w:p w14:paraId="1FF4972B" w14:textId="77777777" w:rsidR="00804EA2" w:rsidRPr="00807A5C" w:rsidRDefault="00804EA2" w:rsidP="006E27FE">
      <w:pPr>
        <w:pStyle w:val="Citation-AltC"/>
        <w:spacing w:after="480"/>
        <w:ind w:hanging="1166"/>
        <w:contextualSpacing w:val="0"/>
        <w:rPr>
          <w:lang w:val="fr-CA"/>
        </w:rPr>
      </w:pPr>
      <w:r w:rsidRPr="00807A5C">
        <w:rPr>
          <w:lang w:val="fr-CA"/>
        </w:rPr>
        <w:tab/>
      </w:r>
      <w:r w:rsidRPr="00807A5C">
        <w:rPr>
          <w:lang w:val="fr-CA"/>
        </w:rPr>
        <w:tab/>
        <w:t xml:space="preserve">Les femmes sont plus touchées par ces lacunes que les hommes, parce qu’elles changent de poste et quittent le marché du travail plus souvent que leurs homologues masculins. Par conséquent, la faible proportion de femmes qui participent à un régime de pension établi par l’employeur sont très peu susceptibles de toucher des pensions décentes provenant de cette source. En fait, des experts affirment que bon nombre de femmes qui participent à des régimes de pension soutenus par l’employeur auraient probablement mieux fait de placer à la banque leurs cotisations à ces régimes. </w:t>
      </w:r>
    </w:p>
    <w:p w14:paraId="05581275" w14:textId="24C04CC8" w:rsidR="00804EA2" w:rsidRPr="006E27FE" w:rsidRDefault="00804EA2" w:rsidP="006E27FE">
      <w:pPr>
        <w:pStyle w:val="Citation-AltC"/>
        <w:ind w:left="0"/>
        <w:rPr>
          <w:lang w:val="en-US"/>
        </w:rPr>
      </w:pPr>
      <w:r w:rsidRPr="006E27FE">
        <w:rPr>
          <w:lang w:val="en-US"/>
        </w:rPr>
        <w:t>(</w:t>
      </w:r>
      <w:r w:rsidR="006E27FE" w:rsidRPr="006E27FE">
        <w:rPr>
          <w:i/>
          <w:lang w:val="en-US"/>
        </w:rPr>
        <w:t>Brief on Equality for Women in Pensions, Taxation and Federal</w:t>
      </w:r>
      <w:r w:rsidR="006E27FE">
        <w:rPr>
          <w:i/>
          <w:lang w:val="en-US"/>
        </w:rPr>
        <w:t xml:space="preserve"> Benefits to Parents</w:t>
      </w:r>
      <w:r w:rsidRPr="006E27FE">
        <w:rPr>
          <w:i/>
          <w:lang w:val="en-US"/>
        </w:rPr>
        <w:t>,</w:t>
      </w:r>
      <w:r w:rsidRPr="006E27FE">
        <w:rPr>
          <w:lang w:val="en-US"/>
        </w:rPr>
        <w:t xml:space="preserve"> p. 2 et 8</w:t>
      </w:r>
      <w:r w:rsidRPr="006E27FE">
        <w:rPr>
          <w:lang w:val="en-US"/>
        </w:rPr>
        <w:noBreakHyphen/>
        <w:t>9)</w:t>
      </w:r>
    </w:p>
    <w:p w14:paraId="1EC8D112" w14:textId="1645B0B2" w:rsidR="00804EA2" w:rsidRPr="00807A5C" w:rsidRDefault="00804EA2" w:rsidP="00804EA2">
      <w:pPr>
        <w:pStyle w:val="ParaNoNdepar-AltN"/>
        <w:rPr>
          <w:rFonts w:cs="Times New Roman"/>
          <w:lang w:val="fr-CA"/>
        </w:rPr>
      </w:pPr>
      <w:r w:rsidRPr="00807A5C">
        <w:rPr>
          <w:rFonts w:cs="Times New Roman"/>
          <w:lang w:val="fr-CA"/>
        </w:rPr>
        <w:lastRenderedPageBreak/>
        <w:t xml:space="preserve">D’autres aussi ont exprimé ces mêmes inquiétudes. Elizabeth Shilton indique que, bien que des progrès aient été réalisés en vue d’assurer aux femmes une </w:t>
      </w:r>
      <w:r w:rsidRPr="00807A5C">
        <w:rPr>
          <w:rFonts w:cs="Times New Roman"/>
          <w:i/>
          <w:lang w:val="fr-CA"/>
        </w:rPr>
        <w:t>protection</w:t>
      </w:r>
      <w:r w:rsidRPr="00807A5C">
        <w:rPr>
          <w:rFonts w:cs="Times New Roman"/>
          <w:lang w:val="fr-CA"/>
        </w:rPr>
        <w:t xml:space="preserve"> égale en matière de pension, le montant des </w:t>
      </w:r>
      <w:r w:rsidRPr="00807A5C">
        <w:rPr>
          <w:rFonts w:cs="Times New Roman"/>
          <w:i/>
          <w:lang w:val="fr-CA"/>
        </w:rPr>
        <w:t>prestations</w:t>
      </w:r>
      <w:r w:rsidRPr="00807A5C">
        <w:rPr>
          <w:rFonts w:cs="Times New Roman"/>
          <w:lang w:val="fr-CA"/>
        </w:rPr>
        <w:t xml:space="preserve"> qu’elles touchent demeure inégal (« Gender Risk and Employment Pens</w:t>
      </w:r>
      <w:r w:rsidR="006E27FE">
        <w:rPr>
          <w:rFonts w:cs="Times New Roman"/>
          <w:lang w:val="fr-CA"/>
        </w:rPr>
        <w:t>ion Plans in Canada » (2013), 1</w:t>
      </w:r>
      <w:r w:rsidRPr="00807A5C">
        <w:rPr>
          <w:rFonts w:cs="Times New Roman"/>
          <w:lang w:val="fr-CA"/>
        </w:rPr>
        <w:t xml:space="preserve">7 </w:t>
      </w:r>
      <w:r w:rsidRPr="00807A5C">
        <w:rPr>
          <w:rFonts w:cs="Times New Roman"/>
          <w:i/>
          <w:lang w:val="fr-CA"/>
        </w:rPr>
        <w:t>C.L.E.L.J.</w:t>
      </w:r>
      <w:r w:rsidRPr="00807A5C">
        <w:rPr>
          <w:rFonts w:cs="Times New Roman"/>
          <w:lang w:val="fr-CA"/>
        </w:rPr>
        <w:t xml:space="preserve"> 101, </w:t>
      </w:r>
      <w:r>
        <w:rPr>
          <w:rFonts w:cs="Times New Roman"/>
          <w:lang w:val="fr-CA"/>
        </w:rPr>
        <w:t>p. </w:t>
      </w:r>
      <w:r w:rsidRPr="00807A5C">
        <w:rPr>
          <w:rFonts w:cs="Times New Roman"/>
          <w:lang w:val="fr-CA"/>
        </w:rPr>
        <w:t>110</w:t>
      </w:r>
      <w:r>
        <w:rPr>
          <w:rFonts w:cs="Times New Roman"/>
          <w:lang w:val="fr-CA"/>
        </w:rPr>
        <w:noBreakHyphen/>
      </w:r>
      <w:r w:rsidRPr="00807A5C">
        <w:rPr>
          <w:rFonts w:cs="Times New Roman"/>
          <w:lang w:val="fr-CA"/>
        </w:rPr>
        <w:t>112). L’auteure établit un lien entre les préjugés fondés sur le genre ancrés dans les régimes de pension et la préférence observée dans ces régimes à l’égard du [</w:t>
      </w:r>
      <w:r w:rsidRPr="00807A5C">
        <w:rPr>
          <w:rFonts w:cs="Times New Roman"/>
          <w:smallCaps/>
          <w:lang w:val="fr-CA"/>
        </w:rPr>
        <w:t>traduction</w:t>
      </w:r>
      <w:r w:rsidRPr="00807A5C">
        <w:rPr>
          <w:rFonts w:cs="Times New Roman"/>
          <w:lang w:val="fr-CA"/>
        </w:rPr>
        <w:t>] « parcours professionnel masculin »</w:t>
      </w:r>
      <w:r>
        <w:rPr>
          <w:rFonts w:cs="Times New Roman"/>
          <w:lang w:val="fr-CA"/>
        </w:rPr>
        <w:t> :</w:t>
      </w:r>
    </w:p>
    <w:p w14:paraId="199C85C5" w14:textId="77777777" w:rsidR="00804EA2" w:rsidRPr="00807A5C" w:rsidRDefault="00804EA2" w:rsidP="00804EA2">
      <w:pPr>
        <w:pStyle w:val="Citation-AltC"/>
        <w:ind w:hanging="1166"/>
        <w:rPr>
          <w:lang w:val="fr-CA"/>
        </w:rPr>
      </w:pPr>
      <w:r w:rsidRPr="00807A5C">
        <w:rPr>
          <w:lang w:val="fr-CA"/>
        </w:rPr>
        <w:tab/>
        <w:t>Dès le départ, les régimes de pension étaient conçus en fonction des parcours professionnels des travailleurs qualifiés dont la formation et l’expérience étaient particulièrement utiles à leur employeur. Les structures de rémunération intégrées dans ces régimes favorisaient donc les travailleurs permanents à temps plein qui comptaient de nombreuses années de service et qui touchent un salaire relativement élevé — ce que l’on appelle le « parcours professionnel masculin ». Longtemps après que les règles relatives aux régimes de pension explicitement genrés soient devenues illégales, les structures habituelles des avantages sociaux forçaient encore les employés temporaires ou à temps partiel à faible revenu — ceux correspondant au « parcours professionnel féminin » typique — à subventionner les avantages sociaux des travailleurs possédant un plus grand pouvoir sur le marché. C’est le cas pour tous les régimes de pension, quoique la façon dont la dynamique des genres opère dépend du type de régime. [</w:t>
      </w:r>
      <w:r>
        <w:rPr>
          <w:lang w:val="fr-CA"/>
        </w:rPr>
        <w:t>p. </w:t>
      </w:r>
      <w:r w:rsidRPr="00807A5C">
        <w:rPr>
          <w:lang w:val="fr-CA"/>
        </w:rPr>
        <w:t>112]</w:t>
      </w:r>
    </w:p>
    <w:p w14:paraId="24C48F84" w14:textId="77777777" w:rsidR="00804EA2" w:rsidRPr="00807A5C" w:rsidRDefault="00804EA2" w:rsidP="00804EA2">
      <w:pPr>
        <w:pStyle w:val="ParaNoNdepar-AltN"/>
        <w:rPr>
          <w:rFonts w:cs="Times New Roman"/>
          <w:lang w:val="fr-CA"/>
        </w:rPr>
      </w:pPr>
      <w:r w:rsidRPr="00807A5C">
        <w:rPr>
          <w:rFonts w:cs="Times New Roman"/>
          <w:lang w:val="fr-CA"/>
        </w:rPr>
        <w:t>L’Organisation internationale du Travail a également commenté la façon dont les périodes accrues de travail à temps partiel entraînent des prestations de pension réduites pour les femmes</w:t>
      </w:r>
      <w:r>
        <w:rPr>
          <w:rFonts w:cs="Times New Roman"/>
          <w:lang w:val="fr-CA"/>
        </w:rPr>
        <w:t> :</w:t>
      </w:r>
    </w:p>
    <w:p w14:paraId="23C2703B" w14:textId="37CB2348" w:rsidR="00804EA2" w:rsidRPr="00807A5C" w:rsidRDefault="00804EA2" w:rsidP="00A60099">
      <w:pPr>
        <w:pStyle w:val="Citation-AltC"/>
        <w:spacing w:after="480"/>
        <w:ind w:hanging="1166"/>
        <w:contextualSpacing w:val="0"/>
        <w:rPr>
          <w:lang w:val="fr-CA"/>
        </w:rPr>
      </w:pPr>
      <w:r w:rsidRPr="00807A5C">
        <w:rPr>
          <w:lang w:val="fr-CA"/>
        </w:rPr>
        <w:tab/>
      </w:r>
      <w:r w:rsidRPr="00807A5C">
        <w:rPr>
          <w:lang w:val="fr-CA"/>
        </w:rPr>
        <w:tab/>
        <w:t xml:space="preserve">Tout au long de leur vie, les femmes sont confrontées à des obstacles qui s’accumulent avec l’âge. Une double, voire triple discrimination se retrouve ainsi souvent amplifiée au fur et à mesure qu’elles vieillissent. Les femmes sont particulièrement vulnérables en raison de leur surreprésentation dans le travail </w:t>
      </w:r>
      <w:r w:rsidR="00DF699B">
        <w:rPr>
          <w:lang w:val="fr-CA"/>
        </w:rPr>
        <w:t>non payé</w:t>
      </w:r>
      <w:r w:rsidRPr="00807A5C">
        <w:rPr>
          <w:lang w:val="fr-CA"/>
        </w:rPr>
        <w:t xml:space="preserve">, faiblement rémunéré, à temps </w:t>
      </w:r>
      <w:r w:rsidRPr="00807A5C">
        <w:rPr>
          <w:lang w:val="fr-CA"/>
        </w:rPr>
        <w:lastRenderedPageBreak/>
        <w:t xml:space="preserve">partiel, fréquemment interrompu ou dans l’économie informelle. En conséquence, elles sont moins souvent en droit de bénéficier de prestations de retraite contributives à part entière. Même quand elles y ont droit, leurs pensions sont souvent nettement inférieures à celles des hommes en raison de revenus plus modestes et de périodes de cotisations plus courtes. </w:t>
      </w:r>
    </w:p>
    <w:p w14:paraId="75584087" w14:textId="419435F1" w:rsidR="00804EA2" w:rsidRPr="00807A5C" w:rsidRDefault="00804EA2" w:rsidP="00A60099">
      <w:pPr>
        <w:pStyle w:val="Citation-AltC"/>
        <w:ind w:left="0"/>
        <w:rPr>
          <w:lang w:val="fr-CA"/>
        </w:rPr>
      </w:pPr>
      <w:r w:rsidRPr="00807A5C">
        <w:rPr>
          <w:lang w:val="fr-CA"/>
        </w:rPr>
        <w:t>(</w:t>
      </w:r>
      <w:r w:rsidRPr="00807A5C">
        <w:rPr>
          <w:i/>
          <w:lang w:val="fr-CA"/>
        </w:rPr>
        <w:t>Droits, emplois et sécurité sociale</w:t>
      </w:r>
      <w:r>
        <w:rPr>
          <w:i/>
          <w:lang w:val="fr-CA"/>
        </w:rPr>
        <w:t> :</w:t>
      </w:r>
      <w:r w:rsidRPr="00807A5C">
        <w:rPr>
          <w:i/>
          <w:lang w:val="fr-CA"/>
        </w:rPr>
        <w:t xml:space="preserve"> Une nouvelle vision pour les hommes et les femmes âgés</w:t>
      </w:r>
      <w:r w:rsidRPr="00807A5C">
        <w:rPr>
          <w:lang w:val="fr-CA"/>
        </w:rPr>
        <w:t xml:space="preserve"> (2008))</w:t>
      </w:r>
    </w:p>
    <w:p w14:paraId="55B0649E" w14:textId="77777777" w:rsidR="00804EA2" w:rsidRPr="00807A5C" w:rsidRDefault="00804EA2" w:rsidP="00804EA2">
      <w:pPr>
        <w:pStyle w:val="ParaNoNdepar-AltN"/>
        <w:rPr>
          <w:rFonts w:cs="Times New Roman"/>
          <w:lang w:val="fr-CA"/>
        </w:rPr>
      </w:pPr>
      <w:r w:rsidRPr="00807A5C">
        <w:rPr>
          <w:rFonts w:cs="Times New Roman"/>
          <w:lang w:val="fr-CA"/>
        </w:rPr>
        <w:t>L’inégalité structurelle des régimes de pension a des effets tangibles sur les femmes à leur retraite. Notre Cour a qualifié la « féminisation de la pauvreté » de « phénomène social bien établi » au Canada (</w:t>
      </w:r>
      <w:r w:rsidRPr="00807A5C">
        <w:rPr>
          <w:rFonts w:cs="Times New Roman"/>
          <w:i/>
          <w:lang w:val="fr-CA"/>
        </w:rPr>
        <w:t>Moge</w:t>
      </w:r>
      <w:r w:rsidRPr="00807A5C">
        <w:rPr>
          <w:rFonts w:cs="Times New Roman"/>
          <w:lang w:val="fr-CA"/>
        </w:rPr>
        <w:t xml:space="preserve">, </w:t>
      </w:r>
      <w:r>
        <w:rPr>
          <w:rFonts w:cs="Times New Roman"/>
          <w:lang w:val="fr-CA"/>
        </w:rPr>
        <w:t>p. </w:t>
      </w:r>
      <w:r w:rsidRPr="00807A5C">
        <w:rPr>
          <w:rFonts w:cs="Times New Roman"/>
          <w:lang w:val="fr-CA"/>
        </w:rPr>
        <w:t>853). Claire Young a lié ce problème aux disparités dans les politiques en matière de pension</w:t>
      </w:r>
      <w:r>
        <w:rPr>
          <w:rFonts w:cs="Times New Roman"/>
          <w:lang w:val="fr-CA"/>
        </w:rPr>
        <w:t> :</w:t>
      </w:r>
    </w:p>
    <w:p w14:paraId="0055C93C" w14:textId="1D21E8D8" w:rsidR="00804EA2" w:rsidRPr="00A60099" w:rsidRDefault="00804EA2" w:rsidP="00A60099">
      <w:pPr>
        <w:pStyle w:val="Citation-AltC"/>
        <w:ind w:hanging="1166"/>
        <w:rPr>
          <w:lang w:val="fr-CA"/>
        </w:rPr>
      </w:pPr>
      <w:r w:rsidRPr="00807A5C">
        <w:rPr>
          <w:lang w:val="fr-CA"/>
        </w:rPr>
        <w:tab/>
        <w:t>[</w:t>
      </w:r>
      <w:r w:rsidRPr="00807A5C">
        <w:rPr>
          <w:smallCaps/>
          <w:lang w:val="fr-CA"/>
        </w:rPr>
        <w:t>traduction</w:t>
      </w:r>
      <w:r w:rsidR="00A60099">
        <w:rPr>
          <w:lang w:val="fr-CA"/>
        </w:rPr>
        <w:t>] . . .</w:t>
      </w:r>
      <w:r w:rsidRPr="00807A5C">
        <w:rPr>
          <w:lang w:val="fr-CA"/>
        </w:rPr>
        <w:t xml:space="preserve"> lorsque l’on examine les statistiques sur la sécurité du revenu à la retraite, les femmes sont disproportionnellement en plus mauvaise posture que les hommes sur le plan financier, 7,6 pour cent ayant des revenus sous le seuil de faible revenu (SFR), que l’on appelle communément le seuil de la pauvreté, comparativement à 3,6 pour cent des hommes âgés. [. . .] [</w:t>
      </w:r>
      <w:r w:rsidRPr="00807A5C">
        <w:rPr>
          <w:i/>
          <w:lang w:val="fr-CA"/>
        </w:rPr>
        <w:t>L</w:t>
      </w:r>
      <w:r w:rsidRPr="00807A5C">
        <w:rPr>
          <w:lang w:val="fr-CA"/>
        </w:rPr>
        <w:t>]</w:t>
      </w:r>
      <w:r w:rsidRPr="00807A5C">
        <w:rPr>
          <w:i/>
          <w:lang w:val="fr-CA"/>
        </w:rPr>
        <w:t>es politiques canadiennes actuelles en matière de pension sont un facteur qui contribue grandement à cet écart dans le revenu.</w:t>
      </w:r>
    </w:p>
    <w:p w14:paraId="7615A87C" w14:textId="5AD5F034" w:rsidR="00804EA2" w:rsidRPr="00807A5C" w:rsidRDefault="00A60099" w:rsidP="00804EA2">
      <w:pPr>
        <w:pStyle w:val="Citation-AltC"/>
        <w:spacing w:after="240"/>
        <w:ind w:left="1168" w:hanging="1168"/>
        <w:contextualSpacing w:val="0"/>
        <w:jc w:val="center"/>
        <w:rPr>
          <w:lang w:val="fr-CA"/>
        </w:rPr>
      </w:pPr>
      <w:r>
        <w:rPr>
          <w:lang w:val="fr-CA"/>
        </w:rPr>
        <w:tab/>
        <w:t>. . .</w:t>
      </w:r>
    </w:p>
    <w:p w14:paraId="37ED84E6" w14:textId="31F6B227" w:rsidR="00804EA2" w:rsidRPr="00807A5C" w:rsidRDefault="00804EA2" w:rsidP="002A4F2F">
      <w:pPr>
        <w:pStyle w:val="Citation-AltC"/>
        <w:spacing w:after="480"/>
        <w:ind w:hanging="1166"/>
        <w:contextualSpacing w:val="0"/>
        <w:rPr>
          <w:lang w:val="fr-CA"/>
        </w:rPr>
      </w:pPr>
      <w:r w:rsidRPr="00807A5C">
        <w:rPr>
          <w:lang w:val="fr-CA"/>
        </w:rPr>
        <w:tab/>
        <w:t>. . .</w:t>
      </w:r>
      <w:r w:rsidR="00A60099">
        <w:rPr>
          <w:lang w:val="fr-CA"/>
        </w:rPr>
        <w:t xml:space="preserve"> </w:t>
      </w:r>
      <w:r w:rsidRPr="00807A5C">
        <w:rPr>
          <w:lang w:val="fr-CA"/>
        </w:rPr>
        <w:t xml:space="preserve">plus de 72 pour cent de gens âgés de 65 ans ou plus vivant sous le seuil de la pauvreté sont des femmes. Il importe aussi de noter que les femmes âgées célibataires sont les plus pauvres </w:t>
      </w:r>
      <w:r w:rsidR="00A60099">
        <w:rPr>
          <w:lang w:val="fr-CA"/>
        </w:rPr>
        <w:t>parmi les pauvres au Canada, 80 </w:t>
      </w:r>
      <w:r w:rsidRPr="00807A5C">
        <w:rPr>
          <w:lang w:val="fr-CA"/>
        </w:rPr>
        <w:t>pour cent des femmes seules de plus de 65 ans viv</w:t>
      </w:r>
      <w:r w:rsidR="00A60099">
        <w:rPr>
          <w:lang w:val="fr-CA"/>
        </w:rPr>
        <w:t>ant dans la pauvreté. [Italique ajouté</w:t>
      </w:r>
      <w:r w:rsidRPr="00807A5C">
        <w:rPr>
          <w:lang w:val="fr-CA"/>
        </w:rPr>
        <w:t>.]</w:t>
      </w:r>
    </w:p>
    <w:p w14:paraId="2E104A57" w14:textId="32F16DCD" w:rsidR="00804EA2" w:rsidRPr="00807A5C" w:rsidRDefault="00804EA2" w:rsidP="002A4F2F">
      <w:pPr>
        <w:pStyle w:val="Citation-AltC"/>
        <w:ind w:left="0"/>
        <w:rPr>
          <w:lang w:val="fr-CA"/>
        </w:rPr>
      </w:pPr>
      <w:r w:rsidRPr="00807A5C">
        <w:rPr>
          <w:lang w:val="fr-CA"/>
        </w:rPr>
        <w:t>(« Pensions, Privatization</w:t>
      </w:r>
      <w:r w:rsidR="002A4F2F">
        <w:rPr>
          <w:lang w:val="fr-CA"/>
        </w:rPr>
        <w:t>,</w:t>
      </w:r>
      <w:r w:rsidRPr="00807A5C">
        <w:rPr>
          <w:lang w:val="fr-CA"/>
        </w:rPr>
        <w:t xml:space="preserve"> and Poverty</w:t>
      </w:r>
      <w:r w:rsidR="002A4F2F">
        <w:rPr>
          <w:lang w:val="fr-CA"/>
        </w:rPr>
        <w:t> </w:t>
      </w:r>
      <w:r w:rsidRPr="00807A5C">
        <w:rPr>
          <w:lang w:val="fr-CA"/>
        </w:rPr>
        <w:t>: The Gendered Impact » (2011), 23 </w:t>
      </w:r>
      <w:r w:rsidR="002A4F2F">
        <w:rPr>
          <w:i/>
          <w:lang w:val="fr-CA"/>
        </w:rPr>
        <w:t>R.F.D</w:t>
      </w:r>
      <w:r w:rsidRPr="00807A5C">
        <w:rPr>
          <w:i/>
          <w:lang w:val="fr-CA"/>
        </w:rPr>
        <w:t>.</w:t>
      </w:r>
      <w:r w:rsidRPr="00807A5C">
        <w:rPr>
          <w:lang w:val="fr-CA"/>
        </w:rPr>
        <w:t xml:space="preserve"> 661, </w:t>
      </w:r>
      <w:r>
        <w:rPr>
          <w:lang w:val="fr-CA"/>
        </w:rPr>
        <w:t>p. </w:t>
      </w:r>
      <w:r w:rsidRPr="00807A5C">
        <w:rPr>
          <w:lang w:val="fr-CA"/>
        </w:rPr>
        <w:t xml:space="preserve">663 et 665; voir aussi Shilton (2013), </w:t>
      </w:r>
      <w:r>
        <w:rPr>
          <w:lang w:val="fr-CA"/>
        </w:rPr>
        <w:t>p. </w:t>
      </w:r>
      <w:r w:rsidRPr="00807A5C">
        <w:rPr>
          <w:lang w:val="fr-CA"/>
        </w:rPr>
        <w:t>102</w:t>
      </w:r>
      <w:r>
        <w:rPr>
          <w:lang w:val="fr-CA"/>
        </w:rPr>
        <w:noBreakHyphen/>
      </w:r>
      <w:r w:rsidRPr="00807A5C">
        <w:rPr>
          <w:lang w:val="fr-CA"/>
        </w:rPr>
        <w:t xml:space="preserve">103; Commission d’enquête sur le travail à temps partiel, </w:t>
      </w:r>
      <w:r>
        <w:rPr>
          <w:lang w:val="fr-CA"/>
        </w:rPr>
        <w:t>p. </w:t>
      </w:r>
      <w:r w:rsidRPr="00807A5C">
        <w:rPr>
          <w:lang w:val="fr-CA"/>
        </w:rPr>
        <w:t xml:space="preserve">151; Comité directeur de la Stratégie pour l’équité salariale entre les sexes, </w:t>
      </w:r>
      <w:r w:rsidRPr="00807A5C">
        <w:rPr>
          <w:i/>
          <w:lang w:val="fr-CA"/>
        </w:rPr>
        <w:t xml:space="preserve">Rapport final et recommandations du Comité directeur de la Stratégie pour l’équité salariale entre les sexes </w:t>
      </w:r>
      <w:r w:rsidRPr="00807A5C">
        <w:rPr>
          <w:lang w:val="fr-CA"/>
        </w:rPr>
        <w:t xml:space="preserve">(2016), </w:t>
      </w:r>
      <w:r>
        <w:rPr>
          <w:lang w:val="fr-CA"/>
        </w:rPr>
        <w:t>p. </w:t>
      </w:r>
      <w:r w:rsidRPr="00807A5C">
        <w:rPr>
          <w:lang w:val="fr-CA"/>
        </w:rPr>
        <w:t>18 et 60</w:t>
      </w:r>
      <w:r>
        <w:rPr>
          <w:lang w:val="fr-CA"/>
        </w:rPr>
        <w:noBreakHyphen/>
      </w:r>
      <w:r w:rsidRPr="00807A5C">
        <w:rPr>
          <w:lang w:val="fr-CA"/>
        </w:rPr>
        <w:t xml:space="preserve">61; Fredman (2011), </w:t>
      </w:r>
      <w:r>
        <w:rPr>
          <w:lang w:val="fr-CA"/>
        </w:rPr>
        <w:t>p. </w:t>
      </w:r>
      <w:r w:rsidRPr="00807A5C">
        <w:rPr>
          <w:lang w:val="fr-CA"/>
        </w:rPr>
        <w:t>47</w:t>
      </w:r>
      <w:r>
        <w:rPr>
          <w:lang w:val="fr-CA"/>
        </w:rPr>
        <w:noBreakHyphen/>
      </w:r>
      <w:r w:rsidRPr="00807A5C">
        <w:rPr>
          <w:lang w:val="fr-CA"/>
        </w:rPr>
        <w:t>48; Susan Bisom</w:t>
      </w:r>
      <w:r>
        <w:rPr>
          <w:lang w:val="fr-CA"/>
        </w:rPr>
        <w:noBreakHyphen/>
      </w:r>
      <w:r w:rsidRPr="00807A5C">
        <w:rPr>
          <w:lang w:val="fr-CA"/>
        </w:rPr>
        <w:t>Rapp et Malcolm Sargeant, « It’s Complicated</w:t>
      </w:r>
      <w:r w:rsidR="002A4F2F">
        <w:rPr>
          <w:lang w:val="fr-CA"/>
        </w:rPr>
        <w:t> </w:t>
      </w:r>
      <w:r w:rsidRPr="00807A5C">
        <w:rPr>
          <w:lang w:val="fr-CA"/>
        </w:rPr>
        <w:t xml:space="preserve">: Age, Gender and Lifetime Discrimination Against Working Women — The United States and the U.K. as Examples » (2014), 22 </w:t>
      </w:r>
      <w:r w:rsidRPr="00807A5C">
        <w:rPr>
          <w:i/>
          <w:lang w:val="fr-CA"/>
        </w:rPr>
        <w:t>Elder L.J.</w:t>
      </w:r>
      <w:r w:rsidRPr="00807A5C">
        <w:rPr>
          <w:lang w:val="fr-CA"/>
        </w:rPr>
        <w:t xml:space="preserve"> 1, </w:t>
      </w:r>
      <w:r>
        <w:rPr>
          <w:lang w:val="fr-CA"/>
        </w:rPr>
        <w:t>p. </w:t>
      </w:r>
      <w:r w:rsidRPr="00807A5C">
        <w:rPr>
          <w:lang w:val="fr-CA"/>
        </w:rPr>
        <w:t>99.)</w:t>
      </w:r>
    </w:p>
    <w:p w14:paraId="4200BCD4" w14:textId="5AC28E76" w:rsidR="00804EA2" w:rsidRPr="00807A5C" w:rsidRDefault="00804EA2" w:rsidP="00804EA2">
      <w:pPr>
        <w:pStyle w:val="ParaNoNdepar-AltN"/>
        <w:rPr>
          <w:rFonts w:cs="Times New Roman"/>
          <w:lang w:val="fr-CA"/>
        </w:rPr>
      </w:pPr>
      <w:r w:rsidRPr="00807A5C">
        <w:rPr>
          <w:rFonts w:cs="Times New Roman"/>
          <w:lang w:val="fr-CA"/>
        </w:rPr>
        <w:lastRenderedPageBreak/>
        <w:t>Les choix faits lors de la conception des régimes de pension ont, en somme, des [</w:t>
      </w:r>
      <w:r w:rsidRPr="00807A5C">
        <w:rPr>
          <w:rFonts w:cs="Times New Roman"/>
          <w:smallCaps/>
          <w:lang w:val="fr-CA"/>
        </w:rPr>
        <w:t>traduction</w:t>
      </w:r>
      <w:r w:rsidRPr="00807A5C">
        <w:rPr>
          <w:rFonts w:cs="Times New Roman"/>
          <w:lang w:val="fr-CA"/>
        </w:rPr>
        <w:t xml:space="preserve">] « répercussions normatives, politiques et économiques tangibles et de portée considérable sur les femmes » (Shilton (2013), </w:t>
      </w:r>
      <w:r>
        <w:rPr>
          <w:rFonts w:cs="Times New Roman"/>
          <w:lang w:val="fr-CA"/>
        </w:rPr>
        <w:t>p. </w:t>
      </w:r>
      <w:r w:rsidRPr="00807A5C">
        <w:rPr>
          <w:rFonts w:cs="Times New Roman"/>
          <w:lang w:val="fr-CA"/>
        </w:rPr>
        <w:t xml:space="preserve">140, citant Bernd Marin, « Gender Equality, Neutrality, Specificity and Sensitivity — and the Ambivalence of Benevolent Welfare Paternalism », dans Bernd Marin et Eszter Zólyomi, dir., </w:t>
      </w:r>
      <w:r w:rsidRPr="00807A5C">
        <w:rPr>
          <w:rFonts w:cs="Times New Roman"/>
          <w:i/>
          <w:lang w:val="fr-CA"/>
        </w:rPr>
        <w:t>Women’s Work and Pensions</w:t>
      </w:r>
      <w:r w:rsidR="002A69CB">
        <w:rPr>
          <w:rFonts w:cs="Times New Roman"/>
          <w:i/>
          <w:lang w:val="fr-CA"/>
        </w:rPr>
        <w:t> </w:t>
      </w:r>
      <w:r w:rsidRPr="00807A5C">
        <w:rPr>
          <w:rFonts w:cs="Times New Roman"/>
          <w:i/>
          <w:lang w:val="fr-CA"/>
        </w:rPr>
        <w:t>: What is Good, What is Best? Designing Gender</w:t>
      </w:r>
      <w:r>
        <w:rPr>
          <w:rFonts w:cs="Times New Roman"/>
          <w:i/>
          <w:lang w:val="fr-CA"/>
        </w:rPr>
        <w:noBreakHyphen/>
      </w:r>
      <w:r w:rsidRPr="00807A5C">
        <w:rPr>
          <w:rFonts w:cs="Times New Roman"/>
          <w:i/>
          <w:lang w:val="fr-CA"/>
        </w:rPr>
        <w:t xml:space="preserve">Sensitive Arrangements </w:t>
      </w:r>
      <w:r w:rsidRPr="00807A5C">
        <w:rPr>
          <w:rFonts w:cs="Times New Roman"/>
          <w:lang w:val="fr-CA"/>
        </w:rPr>
        <w:t xml:space="preserve">(2010), 203, </w:t>
      </w:r>
      <w:r>
        <w:rPr>
          <w:rFonts w:cs="Times New Roman"/>
          <w:lang w:val="fr-CA"/>
        </w:rPr>
        <w:t>p. </w:t>
      </w:r>
      <w:r w:rsidRPr="00807A5C">
        <w:rPr>
          <w:rFonts w:cs="Times New Roman"/>
          <w:lang w:val="fr-CA"/>
        </w:rPr>
        <w:t xml:space="preserve">210). Comme le modèle de la GRC perpétue une source de désavantage économique de longue date pour les femmes, la deuxième étape de l’analyse relative au </w:t>
      </w:r>
      <w:r>
        <w:rPr>
          <w:rFonts w:cs="Times New Roman"/>
          <w:lang w:val="fr-CA"/>
        </w:rPr>
        <w:t>par. </w:t>
      </w:r>
      <w:r w:rsidRPr="00807A5C">
        <w:rPr>
          <w:rFonts w:cs="Times New Roman"/>
          <w:lang w:val="fr-CA"/>
        </w:rPr>
        <w:t>15(1) est franchie et il y a, à première vue, violation de l’</w:t>
      </w:r>
      <w:r>
        <w:rPr>
          <w:rFonts w:cs="Times New Roman"/>
          <w:lang w:val="fr-CA"/>
        </w:rPr>
        <w:t>art. </w:t>
      </w:r>
      <w:r w:rsidRPr="00807A5C">
        <w:rPr>
          <w:rFonts w:cs="Times New Roman"/>
          <w:lang w:val="fr-CA"/>
        </w:rPr>
        <w:t>15 sur la base du motif énuméré que constitue le sexe.</w:t>
      </w:r>
    </w:p>
    <w:p w14:paraId="3158E6F6" w14:textId="5619E671" w:rsidR="00804EA2" w:rsidRPr="00807A5C" w:rsidRDefault="00804EA2" w:rsidP="00804EA2">
      <w:pPr>
        <w:pStyle w:val="ParaNoNdepar-AltN"/>
        <w:rPr>
          <w:rFonts w:cs="Times New Roman"/>
          <w:lang w:val="fr-CA"/>
        </w:rPr>
      </w:pPr>
      <w:r w:rsidRPr="00807A5C">
        <w:rPr>
          <w:rFonts w:cs="Times New Roman"/>
          <w:lang w:val="fr-CA"/>
        </w:rPr>
        <w:t xml:space="preserve">Vu la conclusion qu’il y a violation à première vue du </w:t>
      </w:r>
      <w:r>
        <w:rPr>
          <w:rFonts w:cs="Times New Roman"/>
          <w:lang w:val="fr-CA"/>
        </w:rPr>
        <w:t>par. </w:t>
      </w:r>
      <w:r w:rsidRPr="00807A5C">
        <w:rPr>
          <w:rFonts w:cs="Times New Roman"/>
          <w:lang w:val="fr-CA"/>
        </w:rPr>
        <w:t>15(1) sur la base du sexe, il n’est pas nécessaire de décider s’il y a lieu de retenir l’argument subsidiaire de M</w:t>
      </w:r>
      <w:r w:rsidRPr="00807A5C">
        <w:rPr>
          <w:rFonts w:cs="Times New Roman"/>
          <w:vertAlign w:val="superscript"/>
          <w:lang w:val="fr-CA"/>
        </w:rPr>
        <w:t>me</w:t>
      </w:r>
      <w:r w:rsidRPr="00807A5C">
        <w:rPr>
          <w:rFonts w:cs="Times New Roman"/>
          <w:lang w:val="fr-CA"/>
        </w:rPr>
        <w:t xml:space="preserve"> Fraser suivant lequel notre Cour devrait reconnaître le statut de parent ou le statut de famille </w:t>
      </w:r>
      <w:bookmarkStart w:id="1" w:name="_Hlk44763778"/>
      <w:r w:rsidRPr="00807A5C">
        <w:rPr>
          <w:rFonts w:cs="Times New Roman"/>
          <w:lang w:val="fr-CA"/>
        </w:rPr>
        <w:t xml:space="preserve">comme un motif analogue à ceux énumérés au </w:t>
      </w:r>
      <w:r>
        <w:rPr>
          <w:rFonts w:cs="Times New Roman"/>
          <w:lang w:val="fr-CA"/>
        </w:rPr>
        <w:t>par. </w:t>
      </w:r>
      <w:r w:rsidRPr="00807A5C">
        <w:rPr>
          <w:rFonts w:cs="Times New Roman"/>
          <w:lang w:val="fr-CA"/>
        </w:rPr>
        <w:t>15(1)</w:t>
      </w:r>
      <w:bookmarkEnd w:id="1"/>
      <w:r w:rsidR="002A69CB">
        <w:rPr>
          <w:rStyle w:val="FootnoteReference"/>
          <w:rFonts w:cs="Times New Roman"/>
          <w:lang w:val="fr-CA"/>
        </w:rPr>
        <w:footnoteReference w:id="6"/>
      </w:r>
      <w:r w:rsidRPr="00807A5C">
        <w:rPr>
          <w:rFonts w:cs="Times New Roman"/>
          <w:lang w:val="fr-CA"/>
        </w:rPr>
        <w:t>. Il pourrait toutefois être utile, en prévision de futures affaires, de formuler certaines observations.</w:t>
      </w:r>
    </w:p>
    <w:p w14:paraId="3AA12BF5" w14:textId="77777777" w:rsidR="00804EA2" w:rsidRPr="00807A5C" w:rsidRDefault="00804EA2" w:rsidP="00804EA2">
      <w:pPr>
        <w:pStyle w:val="ParaNoNdepar-AltN"/>
        <w:rPr>
          <w:rFonts w:cs="Times New Roman"/>
          <w:lang w:val="fr-CA"/>
        </w:rPr>
      </w:pPr>
      <w:r w:rsidRPr="00807A5C">
        <w:rPr>
          <w:rFonts w:cs="Times New Roman"/>
          <w:lang w:val="fr-CA"/>
        </w:rPr>
        <w:t xml:space="preserve">Le procureur général était disposé à accepter que le motif plus restreint du statut de « parent » devait être reconnu comme motif analogue à ceux énumérés au </w:t>
      </w:r>
      <w:r>
        <w:rPr>
          <w:rFonts w:cs="Times New Roman"/>
          <w:lang w:val="fr-CA"/>
        </w:rPr>
        <w:t>par. </w:t>
      </w:r>
      <w:r w:rsidRPr="00807A5C">
        <w:rPr>
          <w:rFonts w:cs="Times New Roman"/>
          <w:lang w:val="fr-CA"/>
        </w:rPr>
        <w:t xml:space="preserve">15(1), mais seulement dans le cadre de la présente instance. Je ne suis pas à l’aise en ce qui concerne l’idée que notre Cour accepte un nouveau motif analogue pour un </w:t>
      </w:r>
      <w:r w:rsidRPr="00807A5C">
        <w:rPr>
          <w:rFonts w:cs="Times New Roman"/>
          <w:lang w:val="fr-CA"/>
        </w:rPr>
        <w:lastRenderedPageBreak/>
        <w:t>seul cas. Soit il s’agit d’un principe juridique durable que notre Cour doit accepter, soit ce n’en est pas un. Il ne devrait pas constituer un ballon d’essai réévalué périodiquement. En outre, là où il est protégé par les lois sur les droits de la personne au Canada, le statut de parent fait partie du statut de famille et non d’une catégorie distincte. J’hésiterais à dissocier ces deux situations sans avoir entendu d’arguments sur les conséquences d’une telle mesure.</w:t>
      </w:r>
    </w:p>
    <w:p w14:paraId="54201F82" w14:textId="5020B584" w:rsidR="00804EA2" w:rsidRPr="00807A5C" w:rsidRDefault="00804EA2" w:rsidP="00804EA2">
      <w:pPr>
        <w:pStyle w:val="ParaNoNdepar-AltN"/>
        <w:rPr>
          <w:rFonts w:cs="Times New Roman"/>
          <w:lang w:val="fr-CA"/>
        </w:rPr>
      </w:pPr>
      <w:r w:rsidRPr="00807A5C">
        <w:rPr>
          <w:rFonts w:cs="Times New Roman"/>
          <w:lang w:val="fr-CA"/>
        </w:rPr>
        <w:t xml:space="preserve">Avec égards, la présente affaire ne se prête pas à une décision tranchant la question de savoir si le statut de famille ou le statut de parent devrait être reconnu comme un motif analogue à ceux énumérés au </w:t>
      </w:r>
      <w:r>
        <w:rPr>
          <w:rFonts w:cs="Times New Roman"/>
          <w:lang w:val="fr-CA"/>
        </w:rPr>
        <w:t>par. </w:t>
      </w:r>
      <w:r w:rsidRPr="00807A5C">
        <w:rPr>
          <w:rFonts w:cs="Times New Roman"/>
          <w:lang w:val="fr-CA"/>
        </w:rPr>
        <w:t xml:space="preserve">15(1). </w:t>
      </w:r>
      <w:r w:rsidRPr="00807A5C">
        <w:rPr>
          <w:rFonts w:cs="Times New Roman"/>
          <w:shd w:val="clear" w:color="auto" w:fill="FFFFFF"/>
          <w:lang w:val="fr-CA"/>
        </w:rPr>
        <w:t>Non seulement la reconnaissance d’un nouveau motif analogue n’est</w:t>
      </w:r>
      <w:r>
        <w:rPr>
          <w:rFonts w:cs="Times New Roman"/>
          <w:shd w:val="clear" w:color="auto" w:fill="FFFFFF"/>
          <w:lang w:val="fr-CA"/>
        </w:rPr>
        <w:noBreakHyphen/>
      </w:r>
      <w:r w:rsidRPr="00807A5C">
        <w:rPr>
          <w:rFonts w:cs="Times New Roman"/>
          <w:shd w:val="clear" w:color="auto" w:fill="FFFFFF"/>
          <w:lang w:val="fr-CA"/>
        </w:rPr>
        <w:t>elle pas nécessaire pour résoudre de façon exhaustive et équitable l’allégation de discrimination formulée par M</w:t>
      </w:r>
      <w:r w:rsidRPr="00807A5C">
        <w:rPr>
          <w:rFonts w:cs="Times New Roman"/>
          <w:shd w:val="clear" w:color="auto" w:fill="FFFFFF"/>
          <w:vertAlign w:val="superscript"/>
          <w:lang w:val="fr-CA"/>
        </w:rPr>
        <w:t>me</w:t>
      </w:r>
      <w:r w:rsidRPr="00807A5C">
        <w:rPr>
          <w:rFonts w:cs="Times New Roman"/>
          <w:shd w:val="clear" w:color="auto" w:fill="FFFFFF"/>
          <w:lang w:val="fr-CA"/>
        </w:rPr>
        <w:t xml:space="preserve"> Fraser, mais — comme le démontre la présente affaire — il est possible d’effectuer une solide analyse intersectionnelle du sexe et du rôle parental en fonction du motif énuméré que constitue le sexe, en reconnaissant que le partage inégal des responsabilités en matière d’éducation des enfants est un des </w:t>
      </w:r>
      <w:r w:rsidRPr="00807A5C">
        <w:rPr>
          <w:rFonts w:cs="Times New Roman"/>
          <w:lang w:val="fr-CA"/>
        </w:rPr>
        <w:t>« désavantages systémiques persistants [qui] ont eu pour effet de restreindre les possibilités offertes » aux femmes au sein de la société canadienne (</w:t>
      </w:r>
      <w:r w:rsidRPr="00807A5C">
        <w:rPr>
          <w:rFonts w:cs="Times New Roman"/>
          <w:i/>
          <w:lang w:val="fr-CA"/>
        </w:rPr>
        <w:t>Taypotat</w:t>
      </w:r>
      <w:r w:rsidRPr="00807A5C">
        <w:rPr>
          <w:rFonts w:cs="Times New Roman"/>
          <w:lang w:val="fr-CA"/>
        </w:rPr>
        <w:t xml:space="preserve">, </w:t>
      </w:r>
      <w:r>
        <w:rPr>
          <w:rFonts w:cs="Times New Roman"/>
          <w:lang w:val="fr-CA"/>
        </w:rPr>
        <w:t>par. </w:t>
      </w:r>
      <w:r w:rsidRPr="00807A5C">
        <w:rPr>
          <w:rFonts w:cs="Times New Roman"/>
          <w:lang w:val="fr-CA"/>
        </w:rPr>
        <w:t>17; voir aussi</w:t>
      </w:r>
      <w:r w:rsidRPr="00807A5C">
        <w:rPr>
          <w:rFonts w:cs="Times New Roman"/>
          <w:i/>
          <w:lang w:val="fr-CA"/>
        </w:rPr>
        <w:t xml:space="preserve"> Withler</w:t>
      </w:r>
      <w:r w:rsidRPr="00807A5C">
        <w:rPr>
          <w:rFonts w:cs="Times New Roman"/>
          <w:lang w:val="fr-CA"/>
        </w:rPr>
        <w:t xml:space="preserve">, </w:t>
      </w:r>
      <w:r>
        <w:rPr>
          <w:rFonts w:cs="Times New Roman"/>
          <w:lang w:val="fr-CA"/>
        </w:rPr>
        <w:t>par. </w:t>
      </w:r>
      <w:r w:rsidRPr="00807A5C">
        <w:rPr>
          <w:rFonts w:cs="Times New Roman"/>
          <w:lang w:val="fr-CA"/>
        </w:rPr>
        <w:t xml:space="preserve">43; </w:t>
      </w:r>
      <w:r w:rsidRPr="00807A5C">
        <w:rPr>
          <w:rFonts w:cs="Times New Roman"/>
          <w:i/>
          <w:lang w:val="fr-CA"/>
        </w:rPr>
        <w:t>Québec c. A</w:t>
      </w:r>
      <w:r w:rsidRPr="00807A5C">
        <w:rPr>
          <w:rFonts w:cs="Times New Roman"/>
          <w:lang w:val="fr-CA"/>
        </w:rPr>
        <w:t xml:space="preserve">, </w:t>
      </w:r>
      <w:r>
        <w:rPr>
          <w:rFonts w:cs="Times New Roman"/>
          <w:lang w:val="fr-CA"/>
        </w:rPr>
        <w:t>par. </w:t>
      </w:r>
      <w:r w:rsidRPr="00807A5C">
        <w:rPr>
          <w:rFonts w:cs="Times New Roman"/>
          <w:lang w:val="fr-CA"/>
        </w:rPr>
        <w:t>327</w:t>
      </w:r>
      <w:r>
        <w:rPr>
          <w:rFonts w:cs="Times New Roman"/>
          <w:lang w:val="fr-CA"/>
        </w:rPr>
        <w:noBreakHyphen/>
      </w:r>
      <w:r w:rsidRPr="00807A5C">
        <w:rPr>
          <w:rFonts w:cs="Times New Roman"/>
          <w:lang w:val="fr-CA"/>
        </w:rPr>
        <w:t xml:space="preserve">332; </w:t>
      </w:r>
      <w:r w:rsidRPr="00807A5C">
        <w:rPr>
          <w:rFonts w:cs="Times New Roman"/>
          <w:i/>
          <w:lang w:val="fr-CA"/>
        </w:rPr>
        <w:t>Alliance</w:t>
      </w:r>
      <w:r w:rsidRPr="00807A5C">
        <w:rPr>
          <w:rFonts w:cs="Times New Roman"/>
          <w:lang w:val="fr-CA"/>
        </w:rPr>
        <w:t xml:space="preserve">, </w:t>
      </w:r>
      <w:r>
        <w:rPr>
          <w:rFonts w:cs="Times New Roman"/>
          <w:lang w:val="fr-CA"/>
        </w:rPr>
        <w:t>par. </w:t>
      </w:r>
      <w:r w:rsidRPr="00807A5C">
        <w:rPr>
          <w:rFonts w:cs="Times New Roman"/>
          <w:lang w:val="fr-CA"/>
        </w:rPr>
        <w:t xml:space="preserve">28; </w:t>
      </w:r>
      <w:r w:rsidRPr="00807A5C">
        <w:rPr>
          <w:rFonts w:cs="Times New Roman"/>
          <w:i/>
          <w:lang w:val="fr-CA"/>
        </w:rPr>
        <w:t>Centrale</w:t>
      </w:r>
      <w:r w:rsidRPr="00807A5C">
        <w:rPr>
          <w:rFonts w:cs="Times New Roman"/>
          <w:lang w:val="fr-CA"/>
        </w:rPr>
        <w:t xml:space="preserve">, </w:t>
      </w:r>
      <w:r>
        <w:rPr>
          <w:rFonts w:cs="Times New Roman"/>
          <w:lang w:val="fr-CA"/>
        </w:rPr>
        <w:t>par. </w:t>
      </w:r>
      <w:r w:rsidRPr="00807A5C">
        <w:rPr>
          <w:rFonts w:cs="Times New Roman"/>
          <w:lang w:val="fr-CA"/>
        </w:rPr>
        <w:t xml:space="preserve">35). La jurisprudence d’autres pays en matière de droits de la personne confirme que les allégations de discrimination parentale peuvent être présentées sous forme de plaintes de discrimination par suite d’un effet préjudiciable fondée sur le sexe (voir Fredman (2011), </w:t>
      </w:r>
      <w:r>
        <w:rPr>
          <w:rFonts w:cs="Times New Roman"/>
          <w:lang w:val="fr-CA"/>
        </w:rPr>
        <w:t>p. </w:t>
      </w:r>
      <w:r w:rsidRPr="00807A5C">
        <w:rPr>
          <w:rFonts w:cs="Times New Roman"/>
          <w:lang w:val="fr-CA"/>
        </w:rPr>
        <w:t>181</w:t>
      </w:r>
      <w:r>
        <w:rPr>
          <w:rFonts w:cs="Times New Roman"/>
          <w:lang w:val="fr-CA"/>
        </w:rPr>
        <w:noBreakHyphen/>
      </w:r>
      <w:r w:rsidR="00B9586F">
        <w:rPr>
          <w:rFonts w:cs="Times New Roman"/>
          <w:lang w:val="fr-CA"/>
        </w:rPr>
        <w:t>1</w:t>
      </w:r>
      <w:r w:rsidRPr="00807A5C">
        <w:rPr>
          <w:rFonts w:cs="Times New Roman"/>
          <w:lang w:val="fr-CA"/>
        </w:rPr>
        <w:t xml:space="preserve">82; Shilton (2018), </w:t>
      </w:r>
      <w:r>
        <w:rPr>
          <w:rFonts w:cs="Times New Roman"/>
          <w:lang w:val="fr-CA"/>
        </w:rPr>
        <w:t>p. </w:t>
      </w:r>
      <w:r w:rsidRPr="00807A5C">
        <w:rPr>
          <w:rFonts w:cs="Times New Roman"/>
          <w:lang w:val="fr-CA"/>
        </w:rPr>
        <w:t xml:space="preserve">36; </w:t>
      </w:r>
      <w:r w:rsidRPr="00807A5C">
        <w:rPr>
          <w:rFonts w:cs="Times New Roman"/>
          <w:i/>
          <w:lang w:val="fr-CA"/>
        </w:rPr>
        <w:t xml:space="preserve">London Underground Ltd. c. Edwards </w:t>
      </w:r>
      <w:r w:rsidRPr="00807A5C">
        <w:rPr>
          <w:rFonts w:cs="Times New Roman"/>
          <w:i/>
          <w:lang w:val="fr-CA"/>
        </w:rPr>
        <w:lastRenderedPageBreak/>
        <w:t>(</w:t>
      </w:r>
      <w:r>
        <w:rPr>
          <w:rFonts w:cs="Times New Roman"/>
          <w:i/>
          <w:lang w:val="fr-CA"/>
        </w:rPr>
        <w:t>No. </w:t>
      </w:r>
      <w:r w:rsidRPr="00807A5C">
        <w:rPr>
          <w:rFonts w:cs="Times New Roman"/>
          <w:i/>
          <w:lang w:val="fr-CA"/>
        </w:rPr>
        <w:t>2)</w:t>
      </w:r>
      <w:r w:rsidRPr="00807A5C">
        <w:rPr>
          <w:rFonts w:cs="Times New Roman"/>
          <w:lang w:val="fr-CA"/>
        </w:rPr>
        <w:t xml:space="preserve">, [1999] I.C.R. 494 (C.A. Angl. et </w:t>
      </w:r>
      <w:r>
        <w:rPr>
          <w:rFonts w:cs="Times New Roman"/>
          <w:lang w:val="fr-CA"/>
        </w:rPr>
        <w:t>p. </w:t>
      </w:r>
      <w:r w:rsidRPr="00807A5C">
        <w:rPr>
          <w:rFonts w:cs="Times New Roman"/>
          <w:lang w:val="fr-CA"/>
        </w:rPr>
        <w:t xml:space="preserve">de G.); </w:t>
      </w:r>
      <w:r w:rsidRPr="00807A5C">
        <w:rPr>
          <w:rFonts w:cs="Times New Roman"/>
          <w:i/>
          <w:lang w:val="fr-CA"/>
        </w:rPr>
        <w:t>Phillips c. Martin Marietta Corp.</w:t>
      </w:r>
      <w:r w:rsidRPr="00807A5C">
        <w:rPr>
          <w:rFonts w:cs="Times New Roman"/>
          <w:lang w:val="fr-CA"/>
        </w:rPr>
        <w:t>,</w:t>
      </w:r>
      <w:r w:rsidRPr="00807A5C">
        <w:rPr>
          <w:rFonts w:cs="Times New Roman"/>
          <w:i/>
          <w:lang w:val="fr-CA"/>
        </w:rPr>
        <w:t xml:space="preserve"> </w:t>
      </w:r>
      <w:r w:rsidRPr="00807A5C">
        <w:rPr>
          <w:rFonts w:cs="Times New Roman"/>
          <w:lang w:val="fr-CA"/>
        </w:rPr>
        <w:t xml:space="preserve">400 U.S. 542 (1971); </w:t>
      </w:r>
      <w:r w:rsidRPr="00807A5C">
        <w:rPr>
          <w:rFonts w:cs="Times New Roman"/>
          <w:i/>
          <w:lang w:val="fr-CA"/>
        </w:rPr>
        <w:t xml:space="preserve">Bostock </w:t>
      </w:r>
      <w:r>
        <w:rPr>
          <w:rFonts w:cs="Times New Roman"/>
          <w:i/>
          <w:lang w:val="fr-CA"/>
        </w:rPr>
        <w:t>c</w:t>
      </w:r>
      <w:r w:rsidRPr="00807A5C">
        <w:rPr>
          <w:rFonts w:cs="Times New Roman"/>
          <w:i/>
          <w:lang w:val="fr-CA"/>
        </w:rPr>
        <w:t>. Clayton County</w:t>
      </w:r>
      <w:r w:rsidRPr="00807A5C">
        <w:rPr>
          <w:rFonts w:cs="Times New Roman"/>
          <w:lang w:val="fr-CA"/>
        </w:rPr>
        <w:t xml:space="preserve">, </w:t>
      </w:r>
      <w:r w:rsidRPr="00807A5C">
        <w:rPr>
          <w:rFonts w:cs="Times New Roman"/>
          <w:i/>
          <w:lang w:val="fr-CA"/>
        </w:rPr>
        <w:t>Georgia</w:t>
      </w:r>
      <w:r w:rsidRPr="00807A5C">
        <w:rPr>
          <w:rFonts w:cs="Times New Roman"/>
          <w:lang w:val="fr-CA"/>
        </w:rPr>
        <w:t xml:space="preserve">, 140 S. Ct. 1731 (2020), </w:t>
      </w:r>
      <w:r>
        <w:rPr>
          <w:rFonts w:cs="Times New Roman"/>
          <w:lang w:val="fr-CA"/>
        </w:rPr>
        <w:t>p. </w:t>
      </w:r>
      <w:r w:rsidRPr="00807A5C">
        <w:rPr>
          <w:rFonts w:cs="Times New Roman"/>
          <w:lang w:val="fr-CA"/>
        </w:rPr>
        <w:t>1743).</w:t>
      </w:r>
      <w:r w:rsidRPr="00807A5C">
        <w:rPr>
          <w:rFonts w:cs="Times New Roman"/>
          <w:b/>
          <w:lang w:val="fr-CA"/>
        </w:rPr>
        <w:t xml:space="preserve"> </w:t>
      </w:r>
    </w:p>
    <w:p w14:paraId="6F659F55" w14:textId="372DB5B8" w:rsidR="00804EA2" w:rsidRPr="00807A5C" w:rsidRDefault="00804EA2" w:rsidP="00804EA2">
      <w:pPr>
        <w:pStyle w:val="ParaNoNdepar-AltN"/>
        <w:rPr>
          <w:rFonts w:cs="Times New Roman"/>
          <w:lang w:val="fr-CA"/>
        </w:rPr>
      </w:pPr>
      <w:r w:rsidRPr="00807A5C">
        <w:rPr>
          <w:rFonts w:cs="Times New Roman"/>
          <w:lang w:val="fr-CA"/>
        </w:rPr>
        <w:t>Il y a une autre raison plus convaincante de ne pas trancher définitivement la question en litige dans le présent pourvoi</w:t>
      </w:r>
      <w:r>
        <w:rPr>
          <w:rFonts w:cs="Times New Roman"/>
          <w:lang w:val="fr-CA"/>
        </w:rPr>
        <w:t> :</w:t>
      </w:r>
      <w:r w:rsidRPr="00807A5C">
        <w:rPr>
          <w:rFonts w:cs="Times New Roman"/>
          <w:lang w:val="fr-CA"/>
        </w:rPr>
        <w:t xml:space="preserve"> le dossier et les observations qui nous ont été soumis ne nous fournissent pas l’aide nécessaire pour étudier les répercussions d’une telle mesure. Il y a plusieurs questions complexes concernant la reconnaissance du statut de famille ou du statut de parent en tant que motif analogue qui n’ont pas été abordées à quelque stade que ce soit de la présente instance. Le statut de famille et le statut de parent ne sont traités que brièvement dans le mémoire de</w:t>
      </w:r>
      <w:r w:rsidRPr="00807A5C">
        <w:rPr>
          <w:rFonts w:cs="Times New Roman"/>
          <w:shd w:val="clear" w:color="auto" w:fill="FFFFFF"/>
          <w:lang w:val="fr-CA"/>
        </w:rPr>
        <w:t xml:space="preserve"> M</w:t>
      </w:r>
      <w:r w:rsidRPr="00807A5C">
        <w:rPr>
          <w:rFonts w:cs="Times New Roman"/>
          <w:shd w:val="clear" w:color="auto" w:fill="FFFFFF"/>
          <w:vertAlign w:val="superscript"/>
          <w:lang w:val="fr-CA"/>
        </w:rPr>
        <w:t>me</w:t>
      </w:r>
      <w:r w:rsidRPr="00807A5C">
        <w:rPr>
          <w:rFonts w:cs="Times New Roman"/>
          <w:shd w:val="clear" w:color="auto" w:fill="FFFFFF"/>
          <w:lang w:val="fr-CA"/>
        </w:rPr>
        <w:t> Fraser, la question n’a pratiquement pas été discutée lors des plaidoiries orales et dans les observations du procureur général et de presque tous les intervenants</w:t>
      </w:r>
      <w:r w:rsidR="00F37892">
        <w:rPr>
          <w:rStyle w:val="FootnoteReference"/>
          <w:rFonts w:cs="Times New Roman"/>
          <w:shd w:val="clear" w:color="auto" w:fill="FFFFFF"/>
          <w:lang w:val="fr-CA"/>
        </w:rPr>
        <w:footnoteReference w:id="7"/>
      </w:r>
      <w:r w:rsidRPr="00807A5C">
        <w:rPr>
          <w:rFonts w:cs="Times New Roman"/>
          <w:shd w:val="clear" w:color="auto" w:fill="FFFFFF"/>
          <w:lang w:val="fr-CA"/>
        </w:rPr>
        <w:t xml:space="preserve">, et elle est complètement absente des motifs de la Cour fédérale et de ceux de la Cour d’appel. </w:t>
      </w:r>
    </w:p>
    <w:p w14:paraId="289E694E" w14:textId="29770867" w:rsidR="00804EA2" w:rsidRPr="00551A52" w:rsidRDefault="00804EA2" w:rsidP="00804EA2">
      <w:pPr>
        <w:pStyle w:val="ParaNoNdepar-AltN"/>
        <w:rPr>
          <w:rFonts w:cs="Times New Roman"/>
          <w:lang w:val="en-US"/>
        </w:rPr>
      </w:pPr>
      <w:r w:rsidRPr="00807A5C">
        <w:rPr>
          <w:rFonts w:cs="Times New Roman"/>
          <w:lang w:val="fr-CA"/>
        </w:rPr>
        <w:t xml:space="preserve">Les parties reconnaissent que le statut de famille est un motif protégé par la plupart des lois provinciales sur les droits de la personne et que, même si le statut de parent ne bénéficie pas d’une protection explicite distincte, le statut de famille a été interprété comme englobant la protection des parents (British Columbia Law Institute, </w:t>
      </w:r>
      <w:r w:rsidRPr="00807A5C">
        <w:rPr>
          <w:rFonts w:cs="Times New Roman"/>
          <w:i/>
          <w:lang w:val="fr-CA"/>
        </w:rPr>
        <w:lastRenderedPageBreak/>
        <w:t>Human Rights and Family Responsibilities</w:t>
      </w:r>
      <w:r w:rsidR="00404130">
        <w:rPr>
          <w:rFonts w:cs="Times New Roman"/>
          <w:i/>
          <w:lang w:val="fr-CA"/>
        </w:rPr>
        <w:t> </w:t>
      </w:r>
      <w:r w:rsidRPr="00807A5C">
        <w:rPr>
          <w:rFonts w:cs="Times New Roman"/>
          <w:i/>
          <w:lang w:val="fr-CA"/>
        </w:rPr>
        <w:t>: Family Status Discrimination under Human Rights Law in British Columbia and Canada</w:t>
      </w:r>
      <w:r w:rsidRPr="00807A5C">
        <w:rPr>
          <w:rFonts w:cs="Times New Roman"/>
          <w:lang w:val="fr-CA"/>
        </w:rPr>
        <w:t xml:space="preserve"> (2012), </w:t>
      </w:r>
      <w:r>
        <w:rPr>
          <w:rFonts w:cs="Times New Roman"/>
          <w:lang w:val="fr-CA"/>
        </w:rPr>
        <w:t>p. </w:t>
      </w:r>
      <w:r w:rsidRPr="00807A5C">
        <w:rPr>
          <w:rFonts w:cs="Times New Roman"/>
          <w:lang w:val="fr-CA"/>
        </w:rPr>
        <w:t xml:space="preserve">26). La question de savoir ce qui constitue une preuve </w:t>
      </w:r>
      <w:r w:rsidRPr="00807A5C">
        <w:rPr>
          <w:rFonts w:cs="Times New Roman"/>
          <w:i/>
          <w:lang w:val="fr-CA"/>
        </w:rPr>
        <w:t xml:space="preserve">prima facie </w:t>
      </w:r>
      <w:r w:rsidRPr="00807A5C">
        <w:rPr>
          <w:rFonts w:cs="Times New Roman"/>
          <w:lang w:val="fr-CA"/>
        </w:rPr>
        <w:t>de discrimination fondée sur le statut de famille a suscité beaucoup [</w:t>
      </w:r>
      <w:r w:rsidRPr="00807A5C">
        <w:rPr>
          <w:rFonts w:cs="Times New Roman"/>
          <w:smallCaps/>
          <w:lang w:val="fr-CA"/>
        </w:rPr>
        <w:t>traduction</w:t>
      </w:r>
      <w:r w:rsidRPr="00807A5C">
        <w:rPr>
          <w:rFonts w:cs="Times New Roman"/>
          <w:lang w:val="fr-CA"/>
        </w:rPr>
        <w:t xml:space="preserve">] « d’incertitude et de controverse » dans le domaine des droits de la personne (British Columbia Law Institute, </w:t>
      </w:r>
      <w:r>
        <w:rPr>
          <w:rFonts w:cs="Times New Roman"/>
          <w:lang w:val="fr-CA"/>
        </w:rPr>
        <w:t>p. </w:t>
      </w:r>
      <w:r w:rsidRPr="00807A5C">
        <w:rPr>
          <w:rFonts w:cs="Times New Roman"/>
          <w:lang w:val="fr-CA"/>
        </w:rPr>
        <w:t xml:space="preserve">10; voir Commission ontarienne des droits de la personne, </w:t>
      </w:r>
      <w:r w:rsidRPr="00807A5C">
        <w:rPr>
          <w:rFonts w:cs="Times New Roman"/>
          <w:i/>
          <w:lang w:val="fr-CA"/>
        </w:rPr>
        <w:t>Le coût de la prestation de soins</w:t>
      </w:r>
      <w:r>
        <w:rPr>
          <w:rFonts w:cs="Times New Roman"/>
          <w:i/>
          <w:lang w:val="fr-CA"/>
        </w:rPr>
        <w:t> :</w:t>
      </w:r>
      <w:r w:rsidRPr="00807A5C">
        <w:rPr>
          <w:rFonts w:cs="Times New Roman"/>
          <w:i/>
          <w:lang w:val="fr-CA"/>
        </w:rPr>
        <w:t xml:space="preserve"> Rapport de consultation sur la discrimination fondée sur l’état familial </w:t>
      </w:r>
      <w:r w:rsidRPr="00807A5C">
        <w:rPr>
          <w:rFonts w:cs="Times New Roman"/>
          <w:lang w:val="fr-CA"/>
        </w:rPr>
        <w:t xml:space="preserve">(2006), </w:t>
      </w:r>
      <w:r>
        <w:rPr>
          <w:rFonts w:cs="Times New Roman"/>
          <w:lang w:val="fr-CA"/>
        </w:rPr>
        <w:t>p. </w:t>
      </w:r>
      <w:r w:rsidRPr="00807A5C">
        <w:rPr>
          <w:rFonts w:cs="Times New Roman"/>
          <w:lang w:val="fr-CA"/>
        </w:rPr>
        <w:t xml:space="preserve">4; </w:t>
      </w:r>
      <w:r w:rsidRPr="00807A5C">
        <w:rPr>
          <w:rFonts w:cs="Times New Roman"/>
          <w:i/>
          <w:lang w:val="fr-CA"/>
        </w:rPr>
        <w:t xml:space="preserve">Campbell River &amp; North Island Transition Society c. Health Sciences Assn. of British Columbia </w:t>
      </w:r>
      <w:r w:rsidRPr="00807A5C">
        <w:rPr>
          <w:rFonts w:cs="Times New Roman"/>
          <w:lang w:val="fr-CA"/>
        </w:rPr>
        <w:t>(2004), 28 B.C.L.R. (4th) 292</w:t>
      </w:r>
      <w:r>
        <w:rPr>
          <w:rFonts w:cs="Times New Roman"/>
          <w:lang w:val="fr-CA"/>
        </w:rPr>
        <w:t xml:space="preserve"> (C.A.)</w:t>
      </w:r>
      <w:r w:rsidRPr="00807A5C">
        <w:rPr>
          <w:rFonts w:cs="Times New Roman"/>
          <w:lang w:val="fr-CA"/>
        </w:rPr>
        <w:t xml:space="preserve">; </w:t>
      </w:r>
      <w:r w:rsidRPr="00807A5C">
        <w:rPr>
          <w:rFonts w:cs="Times New Roman"/>
          <w:i/>
          <w:lang w:val="fr-CA"/>
        </w:rPr>
        <w:t xml:space="preserve">Brown c. </w:t>
      </w:r>
      <w:r w:rsidR="0042025B">
        <w:rPr>
          <w:rFonts w:cs="Times New Roman"/>
          <w:i/>
          <w:lang w:val="fr-CA"/>
        </w:rPr>
        <w:t>Canada (</w:t>
      </w:r>
      <w:r w:rsidRPr="00807A5C">
        <w:rPr>
          <w:rFonts w:cs="Times New Roman"/>
          <w:i/>
          <w:lang w:val="fr-CA"/>
        </w:rPr>
        <w:t>Ministère du Revenu national</w:t>
      </w:r>
      <w:r w:rsidRPr="0042025B">
        <w:rPr>
          <w:rFonts w:cs="Times New Roman"/>
          <w:i/>
          <w:lang w:val="fr-CA"/>
        </w:rPr>
        <w:t>)</w:t>
      </w:r>
      <w:r w:rsidRPr="00807A5C">
        <w:rPr>
          <w:rFonts w:cs="Times New Roman"/>
          <w:lang w:val="fr-CA"/>
        </w:rPr>
        <w:t xml:space="preserve">, </w:t>
      </w:r>
      <w:r w:rsidR="0042025B">
        <w:rPr>
          <w:rFonts w:cs="Times New Roman"/>
          <w:lang w:val="fr-CA"/>
        </w:rPr>
        <w:t>19</w:t>
      </w:r>
      <w:r w:rsidRPr="00807A5C">
        <w:rPr>
          <w:rFonts w:cs="Times New Roman"/>
          <w:lang w:val="fr-CA"/>
        </w:rPr>
        <w:t>93</w:t>
      </w:r>
      <w:r w:rsidR="0042025B">
        <w:rPr>
          <w:rFonts w:cs="Times New Roman"/>
          <w:lang w:val="fr-CA"/>
        </w:rPr>
        <w:t xml:space="preserve"> CanLII 683</w:t>
      </w:r>
      <w:r w:rsidR="00551A52">
        <w:rPr>
          <w:rFonts w:cs="Times New Roman"/>
          <w:lang w:val="fr-CA"/>
        </w:rPr>
        <w:t xml:space="preserve"> (T.C.D.P)</w:t>
      </w:r>
      <w:r w:rsidRPr="00807A5C">
        <w:rPr>
          <w:rFonts w:cs="Times New Roman"/>
          <w:lang w:val="fr-CA"/>
        </w:rPr>
        <w:t xml:space="preserve">; </w:t>
      </w:r>
      <w:r w:rsidRPr="00807A5C">
        <w:rPr>
          <w:rFonts w:cs="Times New Roman"/>
          <w:i/>
          <w:lang w:val="fr-CA"/>
        </w:rPr>
        <w:t>Canada (Procureur général) c. Johnstone</w:t>
      </w:r>
      <w:r w:rsidRPr="00807A5C">
        <w:rPr>
          <w:rFonts w:cs="Times New Roman"/>
          <w:lang w:val="fr-CA"/>
        </w:rPr>
        <w:t>, [2015] 2 R.C.F. 595</w:t>
      </w:r>
      <w:r>
        <w:rPr>
          <w:rFonts w:cs="Times New Roman"/>
          <w:lang w:val="fr-CA"/>
        </w:rPr>
        <w:t xml:space="preserve"> (C.A.)</w:t>
      </w:r>
      <w:r w:rsidRPr="00807A5C">
        <w:rPr>
          <w:rFonts w:cs="Times New Roman"/>
          <w:lang w:val="fr-CA"/>
        </w:rPr>
        <w:t xml:space="preserve">; </w:t>
      </w:r>
      <w:r w:rsidRPr="00807A5C">
        <w:rPr>
          <w:rFonts w:cs="Times New Roman"/>
          <w:i/>
          <w:lang w:val="fr-CA"/>
        </w:rPr>
        <w:t>Misetich c. Value Village Stores Inc.</w:t>
      </w:r>
      <w:r w:rsidRPr="00807A5C">
        <w:rPr>
          <w:rFonts w:cs="Times New Roman"/>
          <w:lang w:val="fr-CA"/>
        </w:rPr>
        <w:t xml:space="preserve"> </w:t>
      </w:r>
      <w:r w:rsidRPr="00551A52">
        <w:rPr>
          <w:rFonts w:cs="Times New Roman"/>
          <w:lang w:val="en-US"/>
        </w:rPr>
        <w:t>(2016)</w:t>
      </w:r>
      <w:r w:rsidR="00551A52">
        <w:rPr>
          <w:rFonts w:cs="Times New Roman"/>
          <w:lang w:val="en-US"/>
        </w:rPr>
        <w:t>,</w:t>
      </w:r>
      <w:r w:rsidRPr="00551A52">
        <w:rPr>
          <w:rFonts w:cs="Times New Roman"/>
          <w:lang w:val="en-US"/>
        </w:rPr>
        <w:t xml:space="preserve"> 39 C.C.E.L (4th) 129</w:t>
      </w:r>
      <w:r w:rsidR="00551A52">
        <w:rPr>
          <w:rFonts w:cs="Times New Roman"/>
          <w:lang w:val="en-US"/>
        </w:rPr>
        <w:t xml:space="preserve"> (T.D.P. Ont.)</w:t>
      </w:r>
      <w:r w:rsidRPr="00551A52">
        <w:rPr>
          <w:rFonts w:cs="Times New Roman"/>
          <w:lang w:val="en-US"/>
        </w:rPr>
        <w:t>, par. 35</w:t>
      </w:r>
      <w:r w:rsidRPr="00551A52">
        <w:rPr>
          <w:rFonts w:cs="Times New Roman"/>
          <w:lang w:val="en-US"/>
        </w:rPr>
        <w:noBreakHyphen/>
        <w:t>48; voir également Shilton (2018); Sheila Osborne</w:t>
      </w:r>
      <w:r w:rsidRPr="00551A52">
        <w:rPr>
          <w:rFonts w:cs="Times New Roman"/>
          <w:lang w:val="en-US"/>
        </w:rPr>
        <w:noBreakHyphen/>
        <w:t>Brown, « Discrimination and Family Status</w:t>
      </w:r>
      <w:r w:rsidR="00551A52">
        <w:rPr>
          <w:rFonts w:cs="Times New Roman"/>
          <w:lang w:val="en-US"/>
        </w:rPr>
        <w:t> </w:t>
      </w:r>
      <w:r w:rsidRPr="00551A52">
        <w:rPr>
          <w:rFonts w:cs="Times New Roman"/>
          <w:lang w:val="en-US"/>
        </w:rPr>
        <w:t xml:space="preserve">: The Test, the Continuing Debate, and the Accommodation Conversation » (2018), 14 </w:t>
      </w:r>
      <w:r w:rsidRPr="00551A52">
        <w:rPr>
          <w:rFonts w:cs="Times New Roman"/>
          <w:i/>
          <w:lang w:val="en-US"/>
        </w:rPr>
        <w:t>J.L. &amp; Equality</w:t>
      </w:r>
      <w:r w:rsidRPr="00551A52">
        <w:rPr>
          <w:rFonts w:cs="Times New Roman"/>
          <w:lang w:val="en-US"/>
        </w:rPr>
        <w:t xml:space="preserve"> 87; Lyle Kanee et Adam Cembrowski, « Family Status Discrimination and the Obligation to Self</w:t>
      </w:r>
      <w:r w:rsidRPr="00551A52">
        <w:rPr>
          <w:rFonts w:cs="Times New Roman"/>
          <w:lang w:val="en-US"/>
        </w:rPr>
        <w:noBreakHyphen/>
        <w:t xml:space="preserve">Accommodate » (2018), 14 </w:t>
      </w:r>
      <w:r w:rsidRPr="00551A52">
        <w:rPr>
          <w:rFonts w:cs="Times New Roman"/>
          <w:i/>
          <w:lang w:val="en-US"/>
        </w:rPr>
        <w:t>J.L. &amp; Equality</w:t>
      </w:r>
      <w:r w:rsidRPr="00551A52">
        <w:rPr>
          <w:rFonts w:cs="Times New Roman"/>
          <w:lang w:val="en-US"/>
        </w:rPr>
        <w:t xml:space="preserve"> 61). </w:t>
      </w:r>
    </w:p>
    <w:p w14:paraId="603A9EB0" w14:textId="64043B9F" w:rsidR="00804EA2" w:rsidRPr="00807A5C" w:rsidRDefault="00804EA2" w:rsidP="00804EA2">
      <w:pPr>
        <w:pStyle w:val="ParaNoNdepar-AltN"/>
        <w:rPr>
          <w:rFonts w:cs="Times New Roman"/>
          <w:lang w:val="fr-CA"/>
        </w:rPr>
      </w:pPr>
      <w:r w:rsidRPr="00807A5C">
        <w:rPr>
          <w:rFonts w:cs="Times New Roman"/>
          <w:lang w:val="fr-CA"/>
        </w:rPr>
        <w:t xml:space="preserve">Mais on ne nous a soumis pratiquement aucune observation sur la question de savoir si — ou de quelle manière — la jurisprudence incertaine en matière de droits de la personne influe ou est susceptible d’influer sur la reconnaissance dans la </w:t>
      </w:r>
      <w:r w:rsidRPr="00807A5C">
        <w:rPr>
          <w:rFonts w:cs="Times New Roman"/>
          <w:i/>
          <w:iCs/>
          <w:lang w:val="fr-CA"/>
        </w:rPr>
        <w:t>Charte</w:t>
      </w:r>
      <w:r w:rsidRPr="00807A5C">
        <w:rPr>
          <w:rFonts w:cs="Times New Roman"/>
          <w:lang w:val="fr-CA"/>
        </w:rPr>
        <w:t xml:space="preserve"> du statut de famille ou du statut de parent, sur la définiti</w:t>
      </w:r>
      <w:r w:rsidR="00CD65BD">
        <w:rPr>
          <w:rFonts w:cs="Times New Roman"/>
          <w:lang w:val="fr-CA"/>
        </w:rPr>
        <w:t>on ou la portée éventuelle du « statut de famille » ou du « </w:t>
      </w:r>
      <w:r w:rsidRPr="00807A5C">
        <w:rPr>
          <w:rFonts w:cs="Times New Roman"/>
          <w:lang w:val="fr-CA"/>
        </w:rPr>
        <w:t xml:space="preserve">statut de parent », ou sur la possibilité de s’attaquer à la discrimination fondée sur le statut de parent ou le statut de famille par la reconnaissance </w:t>
      </w:r>
      <w:r w:rsidRPr="00807A5C">
        <w:rPr>
          <w:rFonts w:cs="Times New Roman"/>
          <w:lang w:val="fr-CA"/>
        </w:rPr>
        <w:lastRenderedPageBreak/>
        <w:t xml:space="preserve">d’autres motifs (voir </w:t>
      </w:r>
      <w:r w:rsidRPr="00807A5C">
        <w:rPr>
          <w:rFonts w:cs="Times New Roman"/>
          <w:i/>
          <w:lang w:val="fr-CA"/>
        </w:rPr>
        <w:t>Thibaudeau c. Canada</w:t>
      </w:r>
      <w:r w:rsidRPr="00807A5C">
        <w:rPr>
          <w:rFonts w:cs="Times New Roman"/>
          <w:lang w:val="fr-CA"/>
        </w:rPr>
        <w:t xml:space="preserve">, [1995] 2 R.C.S. 627, </w:t>
      </w:r>
      <w:r>
        <w:rPr>
          <w:rFonts w:cs="Times New Roman"/>
          <w:lang w:val="fr-CA"/>
        </w:rPr>
        <w:t>p. </w:t>
      </w:r>
      <w:r w:rsidRPr="00807A5C">
        <w:rPr>
          <w:rFonts w:cs="Times New Roman"/>
          <w:lang w:val="fr-CA"/>
        </w:rPr>
        <w:t>722</w:t>
      </w:r>
      <w:r>
        <w:rPr>
          <w:rFonts w:cs="Times New Roman"/>
          <w:lang w:val="fr-CA"/>
        </w:rPr>
        <w:noBreakHyphen/>
      </w:r>
      <w:r w:rsidRPr="00807A5C">
        <w:rPr>
          <w:rFonts w:cs="Times New Roman"/>
          <w:lang w:val="fr-CA"/>
        </w:rPr>
        <w:t xml:space="preserve">725, la juge McLachlin, dissidente (« statut de parent gardien séparé ou divorcé »); </w:t>
      </w:r>
      <w:r w:rsidRPr="00807A5C">
        <w:rPr>
          <w:rFonts w:cs="Times New Roman"/>
          <w:i/>
          <w:lang w:val="fr-CA"/>
        </w:rPr>
        <w:t>Canada (Procureur général) c. Lesiuk</w:t>
      </w:r>
      <w:r w:rsidRPr="00807A5C">
        <w:rPr>
          <w:rFonts w:cs="Times New Roman"/>
          <w:lang w:val="fr-CA"/>
        </w:rPr>
        <w:t>, [2003] 2 C.F. 697</w:t>
      </w:r>
      <w:r w:rsidR="00CD65BD">
        <w:rPr>
          <w:rFonts w:cs="Times New Roman"/>
          <w:lang w:val="fr-CA"/>
        </w:rPr>
        <w:t xml:space="preserve"> </w:t>
      </w:r>
      <w:r w:rsidR="00CD65BD" w:rsidRPr="00CD65BD">
        <w:rPr>
          <w:rFonts w:cs="Times New Roman"/>
          <w:lang w:val="fr-CA"/>
        </w:rPr>
        <w:t>(C.A.)</w:t>
      </w:r>
      <w:r w:rsidRPr="00CD65BD">
        <w:rPr>
          <w:rFonts w:cs="Times New Roman"/>
          <w:lang w:val="fr-CA"/>
        </w:rPr>
        <w:t>,</w:t>
      </w:r>
      <w:r w:rsidRPr="00807A5C">
        <w:rPr>
          <w:rFonts w:cs="Times New Roman"/>
          <w:lang w:val="fr-CA"/>
        </w:rPr>
        <w:t xml:space="preserve"> </w:t>
      </w:r>
      <w:r>
        <w:rPr>
          <w:rFonts w:cs="Times New Roman"/>
          <w:lang w:val="fr-CA"/>
        </w:rPr>
        <w:t>par. </w:t>
      </w:r>
      <w:r w:rsidRPr="00807A5C">
        <w:rPr>
          <w:rFonts w:cs="Times New Roman"/>
          <w:lang w:val="fr-CA"/>
        </w:rPr>
        <w:t>37; (</w:t>
      </w:r>
      <w:r w:rsidRPr="00807A5C">
        <w:rPr>
          <w:rFonts w:cs="Times New Roman"/>
          <w:sz w:val="27"/>
          <w:szCs w:val="27"/>
          <w:shd w:val="clear" w:color="auto" w:fill="FFFFFF"/>
          <w:lang w:val="fr-CA"/>
        </w:rPr>
        <w:t>« </w:t>
      </w:r>
      <w:r w:rsidRPr="00807A5C">
        <w:rPr>
          <w:rFonts w:cs="Times New Roman"/>
          <w:lang w:val="fr-CA"/>
        </w:rPr>
        <w:t>femmes exerçant des responsabilités parentales »)).</w:t>
      </w:r>
    </w:p>
    <w:p w14:paraId="43E6BF79" w14:textId="77777777" w:rsidR="00804EA2" w:rsidRPr="00807A5C" w:rsidRDefault="00804EA2" w:rsidP="00804EA2">
      <w:pPr>
        <w:pStyle w:val="ParaNoNdepar-AltN"/>
        <w:rPr>
          <w:rFonts w:cs="Times New Roman"/>
          <w:lang w:val="fr-CA"/>
        </w:rPr>
      </w:pPr>
      <w:r w:rsidRPr="00807A5C">
        <w:rPr>
          <w:rFonts w:cs="Times New Roman"/>
          <w:lang w:val="fr-CA"/>
        </w:rPr>
        <w:t xml:space="preserve">On ne nous a pas non plus soumis d’arguments ou de preuves sur la question de savoir si — ou de quelle manière — la reconnaissance du statut de famille ou du statut de parent accorderait aux femmes une plus grande protection que celle que leur offre déjà le motif énuméré que constitue le sexe. Le dossier est tout aussi muet sur la nature des désavantages que les pères ont subis ou continuent de subir dans l’exercice des responsabilités parentales, ou sur les éventuelles répercussions de la reconnaissance d’un nouveau motif analogue sur les relations du père avec le coparent. </w:t>
      </w:r>
    </w:p>
    <w:p w14:paraId="064C5044" w14:textId="72A85C1F" w:rsidR="00804EA2" w:rsidRPr="00807A5C" w:rsidRDefault="00804EA2" w:rsidP="00804EA2">
      <w:pPr>
        <w:pStyle w:val="ParaNoNdepar-AltN"/>
        <w:rPr>
          <w:rFonts w:cs="Times New Roman"/>
          <w:lang w:val="fr-CA"/>
        </w:rPr>
      </w:pPr>
      <w:r w:rsidRPr="00807A5C">
        <w:rPr>
          <w:rFonts w:cs="Times New Roman"/>
          <w:lang w:val="fr-CA"/>
        </w:rPr>
        <w:t>Enfin, aucune observation ne nous a été présentée sur le point de savoir si — ou de quelle manière — ces questions se rapportent au critère qu’il faut respecter pour pouvoir reconnaître un nouveau motif analogue, critère qui a lui</w:t>
      </w:r>
      <w:r>
        <w:rPr>
          <w:rFonts w:cs="Times New Roman"/>
          <w:lang w:val="fr-CA"/>
        </w:rPr>
        <w:noBreakHyphen/>
      </w:r>
      <w:r w:rsidRPr="00807A5C">
        <w:rPr>
          <w:rFonts w:cs="Times New Roman"/>
          <w:lang w:val="fr-CA"/>
        </w:rPr>
        <w:t>même fait l’objet d’une attention renouvelée de la part des universitaires (voir Joshua Sealy</w:t>
      </w:r>
      <w:r>
        <w:rPr>
          <w:rFonts w:cs="Times New Roman"/>
          <w:lang w:val="fr-CA"/>
        </w:rPr>
        <w:noBreakHyphen/>
      </w:r>
      <w:r w:rsidRPr="00807A5C">
        <w:rPr>
          <w:rFonts w:cs="Times New Roman"/>
          <w:lang w:val="fr-CA"/>
        </w:rPr>
        <w:t>Harrington, « Assessing Analogous Grounds</w:t>
      </w:r>
      <w:r w:rsidR="00F978D6">
        <w:rPr>
          <w:rFonts w:cs="Times New Roman"/>
          <w:lang w:val="fr-CA"/>
        </w:rPr>
        <w:t> </w:t>
      </w:r>
      <w:r w:rsidRPr="00807A5C">
        <w:rPr>
          <w:rFonts w:cs="Times New Roman"/>
          <w:lang w:val="fr-CA"/>
        </w:rPr>
        <w:t>: The Doctrinal and Normative Superiority of a Multi</w:t>
      </w:r>
      <w:r>
        <w:rPr>
          <w:rFonts w:cs="Times New Roman"/>
          <w:lang w:val="fr-CA"/>
        </w:rPr>
        <w:noBreakHyphen/>
      </w:r>
      <w:r w:rsidRPr="00807A5C">
        <w:rPr>
          <w:rFonts w:cs="Times New Roman"/>
          <w:lang w:val="fr-CA"/>
        </w:rPr>
        <w:t xml:space="preserve">Variable Approach » (2013), 10 </w:t>
      </w:r>
      <w:r w:rsidRPr="00807A5C">
        <w:rPr>
          <w:rFonts w:cs="Times New Roman"/>
          <w:i/>
          <w:iCs/>
          <w:lang w:val="fr-CA"/>
        </w:rPr>
        <w:t>J.L. &amp; Equality</w:t>
      </w:r>
      <w:r w:rsidRPr="00807A5C">
        <w:rPr>
          <w:rFonts w:cs="Times New Roman"/>
          <w:lang w:val="fr-CA"/>
        </w:rPr>
        <w:t xml:space="preserve"> 37; Jessica Eisen, « Grounding Equality in Social Relations</w:t>
      </w:r>
      <w:r w:rsidR="00F978D6">
        <w:rPr>
          <w:rFonts w:cs="Times New Roman"/>
          <w:lang w:val="fr-CA"/>
        </w:rPr>
        <w:t> </w:t>
      </w:r>
      <w:r w:rsidRPr="00807A5C">
        <w:rPr>
          <w:rFonts w:cs="Times New Roman"/>
          <w:lang w:val="fr-CA"/>
        </w:rPr>
        <w:t xml:space="preserve">: Suspect Classification, Analogous Grounds and Relational Theory » (2017), 42 </w:t>
      </w:r>
      <w:r w:rsidRPr="00807A5C">
        <w:rPr>
          <w:rFonts w:cs="Times New Roman"/>
          <w:i/>
          <w:iCs/>
          <w:lang w:val="fr-CA"/>
        </w:rPr>
        <w:t>Queen</w:t>
      </w:r>
      <w:r>
        <w:rPr>
          <w:rFonts w:cs="Times New Roman"/>
          <w:i/>
          <w:iCs/>
          <w:lang w:val="fr-CA"/>
        </w:rPr>
        <w:t>’</w:t>
      </w:r>
      <w:r w:rsidRPr="00807A5C">
        <w:rPr>
          <w:rFonts w:cs="Times New Roman"/>
          <w:i/>
          <w:iCs/>
          <w:lang w:val="fr-CA"/>
        </w:rPr>
        <w:t>s L.J.</w:t>
      </w:r>
      <w:r w:rsidRPr="00807A5C">
        <w:rPr>
          <w:rFonts w:cs="Times New Roman"/>
          <w:lang w:val="fr-CA"/>
        </w:rPr>
        <w:t xml:space="preserve"> 41).</w:t>
      </w:r>
    </w:p>
    <w:p w14:paraId="38AFE2DF" w14:textId="3D893F1A" w:rsidR="00804EA2" w:rsidRPr="00807A5C" w:rsidRDefault="00804EA2" w:rsidP="00804EA2">
      <w:pPr>
        <w:pStyle w:val="ParaNoNdepar-AltN"/>
        <w:rPr>
          <w:rFonts w:cs="Times New Roman"/>
          <w:lang w:val="fr-CA"/>
        </w:rPr>
      </w:pPr>
      <w:r w:rsidRPr="00807A5C">
        <w:rPr>
          <w:rFonts w:cs="Times New Roman"/>
          <w:lang w:val="fr-CA"/>
        </w:rPr>
        <w:lastRenderedPageBreak/>
        <w:t>Voilà quelques</w:t>
      </w:r>
      <w:r>
        <w:rPr>
          <w:rFonts w:cs="Times New Roman"/>
          <w:lang w:val="fr-CA"/>
        </w:rPr>
        <w:noBreakHyphen/>
      </w:r>
      <w:r w:rsidRPr="00807A5C">
        <w:rPr>
          <w:rFonts w:cs="Times New Roman"/>
          <w:lang w:val="fr-CA"/>
        </w:rPr>
        <w:t>unes des questions qui méritent un examen attentif par notre Cour, tou</w:t>
      </w:r>
      <w:r w:rsidR="00F978D6">
        <w:rPr>
          <w:rFonts w:cs="Times New Roman"/>
          <w:lang w:val="fr-CA"/>
        </w:rPr>
        <w:t>t comme celles ayant trait aux</w:t>
      </w:r>
      <w:r w:rsidRPr="00807A5C">
        <w:rPr>
          <w:rFonts w:cs="Times New Roman"/>
          <w:lang w:val="fr-CA"/>
        </w:rPr>
        <w:t xml:space="preserve"> « </w:t>
      </w:r>
      <w:r w:rsidR="00F978D6">
        <w:rPr>
          <w:rFonts w:cs="Times New Roman"/>
          <w:lang w:val="fr-CA"/>
        </w:rPr>
        <w:t>be</w:t>
      </w:r>
      <w:r w:rsidRPr="00807A5C">
        <w:rPr>
          <w:rFonts w:cs="Times New Roman"/>
          <w:lang w:val="fr-CA"/>
        </w:rPr>
        <w:t>soins croissan</w:t>
      </w:r>
      <w:r w:rsidR="00F978D6">
        <w:rPr>
          <w:rFonts w:cs="Times New Roman"/>
          <w:lang w:val="fr-CA"/>
        </w:rPr>
        <w:t>ts et urgents reliés aux soins aux aîné</w:t>
      </w:r>
      <w:r w:rsidRPr="00807A5C">
        <w:rPr>
          <w:rFonts w:cs="Times New Roman"/>
          <w:lang w:val="fr-CA"/>
        </w:rPr>
        <w:t xml:space="preserve">s » (Commission ontarienne des droits de la personne, </w:t>
      </w:r>
      <w:r>
        <w:rPr>
          <w:rFonts w:cs="Times New Roman"/>
          <w:lang w:val="fr-CA"/>
        </w:rPr>
        <w:t>p. </w:t>
      </w:r>
      <w:r w:rsidRPr="00807A5C">
        <w:rPr>
          <w:rFonts w:cs="Times New Roman"/>
          <w:lang w:val="fr-CA"/>
        </w:rPr>
        <w:t xml:space="preserve">12) et aux répercussions de l’évolution de notre conception de la notion de « famille », qui s’articulait autrefois autour du lien conjugal, et qui tient désormais davantage compte des diverses façons dont les relations intimes se vivent de nos jours dans les ménages (voir Elaine Craig, « Family as Status in </w:t>
      </w:r>
      <w:r w:rsidRPr="00807A5C">
        <w:rPr>
          <w:rFonts w:cs="Times New Roman"/>
          <w:i/>
          <w:iCs/>
          <w:lang w:val="fr-CA"/>
        </w:rPr>
        <w:t>Doe v. Canada</w:t>
      </w:r>
      <w:r w:rsidR="00B57A47">
        <w:rPr>
          <w:rFonts w:cs="Times New Roman"/>
          <w:i/>
          <w:iCs/>
          <w:lang w:val="fr-CA"/>
        </w:rPr>
        <w:t> </w:t>
      </w:r>
      <w:r w:rsidRPr="00807A5C">
        <w:rPr>
          <w:rFonts w:cs="Times New Roman"/>
          <w:lang w:val="fr-CA"/>
        </w:rPr>
        <w:t xml:space="preserve">: Constituting Family Under Section 15 of the </w:t>
      </w:r>
      <w:r w:rsidRPr="00CD2B01">
        <w:rPr>
          <w:rFonts w:cs="Times New Roman"/>
          <w:i/>
          <w:lang w:val="fr-CA"/>
        </w:rPr>
        <w:t>Charter</w:t>
      </w:r>
      <w:r w:rsidRPr="00807A5C">
        <w:rPr>
          <w:rFonts w:cs="Times New Roman"/>
          <w:lang w:val="fr-CA"/>
        </w:rPr>
        <w:t xml:space="preserve"> » (2007), 20 </w:t>
      </w:r>
      <w:r w:rsidRPr="00807A5C">
        <w:rPr>
          <w:rFonts w:cs="Times New Roman"/>
          <w:i/>
          <w:iCs/>
          <w:lang w:val="fr-CA"/>
        </w:rPr>
        <w:t>R.N.D.C.</w:t>
      </w:r>
      <w:r w:rsidRPr="00807A5C">
        <w:rPr>
          <w:rFonts w:cs="Times New Roman"/>
          <w:lang w:val="fr-CA"/>
        </w:rPr>
        <w:t xml:space="preserve"> 197, </w:t>
      </w:r>
      <w:r>
        <w:rPr>
          <w:rFonts w:cs="Times New Roman"/>
          <w:lang w:val="fr-CA"/>
        </w:rPr>
        <w:t>p. </w:t>
      </w:r>
      <w:r w:rsidRPr="00807A5C">
        <w:rPr>
          <w:rFonts w:cs="Times New Roman"/>
          <w:lang w:val="fr-CA"/>
        </w:rPr>
        <w:t>207</w:t>
      </w:r>
      <w:r>
        <w:rPr>
          <w:rFonts w:cs="Times New Roman"/>
          <w:lang w:val="fr-CA"/>
        </w:rPr>
        <w:noBreakHyphen/>
      </w:r>
      <w:r w:rsidRPr="00807A5C">
        <w:rPr>
          <w:rFonts w:cs="Times New Roman"/>
          <w:lang w:val="fr-CA"/>
        </w:rPr>
        <w:t xml:space="preserve">208). Mais ces questions ont été à peine effleurées dans le présent pourvoi. </w:t>
      </w:r>
    </w:p>
    <w:p w14:paraId="4E9F5842" w14:textId="77777777" w:rsidR="00804EA2" w:rsidRPr="00807A5C" w:rsidRDefault="00804EA2" w:rsidP="00804EA2">
      <w:pPr>
        <w:pStyle w:val="ParaNoNdepar-AltN"/>
        <w:rPr>
          <w:rFonts w:cs="Times New Roman"/>
          <w:lang w:val="fr-CA"/>
        </w:rPr>
      </w:pPr>
      <w:r w:rsidRPr="00807A5C">
        <w:rPr>
          <w:rFonts w:cs="Times New Roman"/>
          <w:lang w:val="fr-CA"/>
        </w:rPr>
        <w:t xml:space="preserve">Bien que la reconnaissance de motifs de discrimination multiples et interactifs permette de mieux apprécier la discrimination en cause dans certaines affaires, les lacunes de la preuve et des observations font en sorte que des questions fondamentales portant sur les répercussions de l’adoption du statut de famille ou du statut de parent comme motif analogue n’ont pas été étudiées dans le dossier. Cela ne veut pas dire pour autant qu’un tel statut ne devrait pas être reconnu un jour comme motif analogue ou que nous devrions éviter de reconnaître des motifs analogues qui soulèvent des questions complexes — il est rare que les motifs analogues ou énumérés soient clairement présentés —, mais avant de le faire, il me semble plus sage de bénéficier d’un débat en bonne et due forme et d’une présentation d’arguments sur ce qui est en cause afin que la reconnaissance, lorsqu’elle est accordée, reflète pleinement la portée de ce qui est en jeu. </w:t>
      </w:r>
    </w:p>
    <w:p w14:paraId="5209AE3F" w14:textId="77777777" w:rsidR="00804EA2" w:rsidRPr="00807A5C" w:rsidRDefault="00804EA2" w:rsidP="00804EA2">
      <w:pPr>
        <w:pStyle w:val="ParaNoNdepar-AltN"/>
        <w:rPr>
          <w:rFonts w:cs="Times New Roman"/>
          <w:lang w:val="fr-CA"/>
        </w:rPr>
      </w:pPr>
      <w:r>
        <w:rPr>
          <w:rFonts w:cs="Times New Roman"/>
          <w:lang w:val="fr-CA"/>
        </w:rPr>
        <w:lastRenderedPageBreak/>
        <w:t>Examinons maintenant</w:t>
      </w:r>
      <w:r w:rsidRPr="00807A5C">
        <w:rPr>
          <w:rFonts w:cs="Times New Roman"/>
          <w:lang w:val="fr-CA"/>
        </w:rPr>
        <w:t xml:space="preserve"> l’article premier. </w:t>
      </w:r>
    </w:p>
    <w:p w14:paraId="586E91A9" w14:textId="77777777" w:rsidR="00804EA2" w:rsidRPr="00807A5C" w:rsidRDefault="00804EA2" w:rsidP="00804EA2">
      <w:pPr>
        <w:pStyle w:val="ParaNoNdepar-AltN"/>
        <w:rPr>
          <w:rFonts w:cs="Times New Roman"/>
          <w:lang w:val="fr-CA"/>
        </w:rPr>
      </w:pPr>
      <w:r w:rsidRPr="00807A5C">
        <w:rPr>
          <w:rFonts w:cs="Times New Roman"/>
          <w:lang w:val="fr-CA"/>
        </w:rPr>
        <w:t xml:space="preserve">L’article premier permet à l’État d’imposer, à l’égard d’un droit garanti par la </w:t>
      </w:r>
      <w:r w:rsidRPr="00807A5C">
        <w:rPr>
          <w:rFonts w:cs="Times New Roman"/>
          <w:i/>
          <w:lang w:val="fr-CA"/>
        </w:rPr>
        <w:t>Charte</w:t>
      </w:r>
      <w:r w:rsidRPr="00807A5C">
        <w:rPr>
          <w:rFonts w:cs="Times New Roman"/>
          <w:lang w:val="fr-CA"/>
        </w:rPr>
        <w:t xml:space="preserve">, une limite « dont la justification p[eut] se démontrer dans le cadre d’une société libre et démocratique ». Tout d’abord, l’État doit énoncer un objectif réel et urgent pour limiter le droit garanti par la </w:t>
      </w:r>
      <w:r w:rsidRPr="00807A5C">
        <w:rPr>
          <w:rFonts w:cs="Times New Roman"/>
          <w:i/>
          <w:lang w:val="fr-CA"/>
        </w:rPr>
        <w:t>Charte</w:t>
      </w:r>
      <w:r w:rsidRPr="00807A5C">
        <w:rPr>
          <w:rFonts w:cs="Times New Roman"/>
          <w:lang w:val="fr-CA"/>
        </w:rPr>
        <w:t xml:space="preserve"> (</w:t>
      </w:r>
      <w:r w:rsidRPr="00807A5C">
        <w:rPr>
          <w:rFonts w:cs="Times New Roman"/>
          <w:i/>
          <w:lang w:val="fr-CA"/>
        </w:rPr>
        <w:t>R. c. Oakes</w:t>
      </w:r>
      <w:r w:rsidRPr="00807A5C">
        <w:rPr>
          <w:rFonts w:cs="Times New Roman"/>
          <w:lang w:val="fr-CA"/>
        </w:rPr>
        <w:t xml:space="preserve">, [1986] 1 R.C.S. 103, </w:t>
      </w:r>
      <w:r>
        <w:rPr>
          <w:rFonts w:cs="Times New Roman"/>
          <w:lang w:val="fr-CA"/>
        </w:rPr>
        <w:t>p. </w:t>
      </w:r>
      <w:r w:rsidRPr="00807A5C">
        <w:rPr>
          <w:rFonts w:cs="Times New Roman"/>
          <w:lang w:val="fr-CA"/>
        </w:rPr>
        <w:t>138</w:t>
      </w:r>
      <w:r>
        <w:rPr>
          <w:rFonts w:cs="Times New Roman"/>
          <w:lang w:val="fr-CA"/>
        </w:rPr>
        <w:noBreakHyphen/>
      </w:r>
      <w:r w:rsidRPr="00807A5C">
        <w:rPr>
          <w:rFonts w:cs="Times New Roman"/>
          <w:lang w:val="fr-CA"/>
        </w:rPr>
        <w:t>139). C’est au procureur général qu’il incombe de démontrer que le fait de catégoriser comme des employés à temps partiel les membres à temps plein de la GRC qui partagent un poste et de les empêcher de racheter des périodes de services à temps plein ouvrant droit à pension permet d’atteindre un objectif réel et urgent. Comme la Cour l’a fait remarquer dans l’arrêt </w:t>
      </w:r>
      <w:r w:rsidRPr="00807A5C">
        <w:rPr>
          <w:rFonts w:cs="Times New Roman"/>
          <w:i/>
          <w:lang w:val="fr-CA"/>
        </w:rPr>
        <w:t>Alliance</w:t>
      </w:r>
      <w:r w:rsidRPr="00807A5C">
        <w:rPr>
          <w:rFonts w:cs="Times New Roman"/>
          <w:lang w:val="fr-CA"/>
        </w:rPr>
        <w:t xml:space="preserve">, c’est la </w:t>
      </w:r>
      <w:r w:rsidRPr="00807A5C">
        <w:rPr>
          <w:rFonts w:cs="Times New Roman"/>
          <w:i/>
          <w:lang w:val="fr-CA"/>
        </w:rPr>
        <w:t>limitation</w:t>
      </w:r>
      <w:r w:rsidRPr="00807A5C">
        <w:rPr>
          <w:rFonts w:cs="Times New Roman"/>
          <w:lang w:val="fr-CA"/>
        </w:rPr>
        <w:t xml:space="preserve"> des droits à l’égalité qui doit être justifiée et non le régime législatif dans son ensemble</w:t>
      </w:r>
      <w:r>
        <w:rPr>
          <w:rFonts w:cs="Times New Roman"/>
          <w:lang w:val="fr-CA"/>
        </w:rPr>
        <w:t> :</w:t>
      </w:r>
      <w:r w:rsidRPr="00807A5C">
        <w:rPr>
          <w:rFonts w:cs="Times New Roman"/>
          <w:lang w:val="fr-CA"/>
        </w:rPr>
        <w:t xml:space="preserve"> </w:t>
      </w:r>
    </w:p>
    <w:p w14:paraId="24D6D404" w14:textId="77777777" w:rsidR="00804EA2" w:rsidRPr="00807A5C" w:rsidRDefault="00804EA2" w:rsidP="00804EA2">
      <w:pPr>
        <w:pStyle w:val="Citation-AltC"/>
        <w:ind w:hanging="1166"/>
        <w:rPr>
          <w:lang w:val="fr-CA"/>
        </w:rPr>
      </w:pPr>
      <w:r w:rsidRPr="00807A5C">
        <w:rPr>
          <w:lang w:val="fr-CA"/>
        </w:rPr>
        <w:tab/>
        <w:t xml:space="preserve">Lorsqu’un tribunal conclut qu’une disposition législative donnée viole un droit garanti par la </w:t>
      </w:r>
      <w:r w:rsidRPr="00807A5C">
        <w:rPr>
          <w:i/>
          <w:lang w:val="fr-CA"/>
        </w:rPr>
        <w:t>Charte</w:t>
      </w:r>
      <w:r w:rsidRPr="00807A5C">
        <w:rPr>
          <w:lang w:val="fr-CA"/>
        </w:rPr>
        <w:t xml:space="preserve">, il incombe à l’État de justifier </w:t>
      </w:r>
      <w:r w:rsidRPr="00807A5C">
        <w:rPr>
          <w:i/>
          <w:lang w:val="fr-CA"/>
        </w:rPr>
        <w:t>cette restriction</w:t>
      </w:r>
      <w:r w:rsidRPr="00807A5C">
        <w:rPr>
          <w:lang w:val="fr-CA"/>
        </w:rPr>
        <w:t>, et non l’ensemble du régime législatif. Par conséquent, « [a]ux fins d’une analyse fondée sur l’article premier, l’objectif pertinent est l’objectif de la mesure attentatoire puisque c’est cette dernière et rien d’autre que l’on cherche à justifier » (</w:t>
      </w:r>
      <w:r w:rsidRPr="00807A5C">
        <w:rPr>
          <w:i/>
          <w:lang w:val="fr-CA"/>
        </w:rPr>
        <w:t>RJR‑MacDonald Inc. c. Canada (Procureur général)</w:t>
      </w:r>
      <w:r w:rsidRPr="00807A5C">
        <w:rPr>
          <w:lang w:val="fr-CA"/>
        </w:rPr>
        <w:t xml:space="preserve">, [1995] 3 R.C.S. 199, </w:t>
      </w:r>
      <w:r>
        <w:rPr>
          <w:lang w:val="fr-CA"/>
        </w:rPr>
        <w:t>par. </w:t>
      </w:r>
      <w:r w:rsidRPr="00807A5C">
        <w:rPr>
          <w:lang w:val="fr-CA"/>
        </w:rPr>
        <w:t xml:space="preserve">144; </w:t>
      </w:r>
      <w:r w:rsidRPr="00807A5C">
        <w:rPr>
          <w:i/>
          <w:lang w:val="fr-CA"/>
        </w:rPr>
        <w:t>R. c. K.R.J.</w:t>
      </w:r>
      <w:r w:rsidRPr="00807A5C">
        <w:rPr>
          <w:lang w:val="fr-CA"/>
        </w:rPr>
        <w:t xml:space="preserve">, [2016] 1 R.C.S. 906, </w:t>
      </w:r>
      <w:r>
        <w:rPr>
          <w:lang w:val="fr-CA"/>
        </w:rPr>
        <w:t>par. </w:t>
      </w:r>
      <w:r w:rsidRPr="00807A5C">
        <w:rPr>
          <w:lang w:val="fr-CA"/>
        </w:rPr>
        <w:t xml:space="preserve">62). [Souligné dans l’original; </w:t>
      </w:r>
      <w:r>
        <w:rPr>
          <w:lang w:val="fr-CA"/>
        </w:rPr>
        <w:t>par. </w:t>
      </w:r>
      <w:r w:rsidRPr="00807A5C">
        <w:rPr>
          <w:lang w:val="fr-CA"/>
        </w:rPr>
        <w:t xml:space="preserve">45.] </w:t>
      </w:r>
    </w:p>
    <w:p w14:paraId="60906C33" w14:textId="77777777" w:rsidR="00804EA2" w:rsidRPr="00807A5C" w:rsidRDefault="00804EA2" w:rsidP="00804EA2">
      <w:pPr>
        <w:pStyle w:val="ParaNoNdepar-AltN"/>
        <w:rPr>
          <w:rFonts w:cs="Times New Roman"/>
          <w:lang w:val="fr-CA"/>
        </w:rPr>
      </w:pPr>
      <w:r w:rsidRPr="00807A5C">
        <w:rPr>
          <w:rFonts w:cs="Times New Roman"/>
          <w:lang w:val="fr-CA"/>
        </w:rPr>
        <w:t xml:space="preserve">Avec égards, le procureur général n’a pas identifié de considération d’intérêt général, de principe ou d’objectif urgent et réel expliquant pourquoi les employés qui partagent un poste ne devraient pas se voir accorder le droit de racheter des périodes de service à temps plein ouvrant droit à pension. Au contraire, cette restriction est entièrement sans rapport avec les objectifs du régime de partage de poste </w:t>
      </w:r>
      <w:r w:rsidRPr="00807A5C">
        <w:rPr>
          <w:rFonts w:cs="Times New Roman"/>
          <w:lang w:val="fr-CA"/>
        </w:rPr>
        <w:lastRenderedPageBreak/>
        <w:t>et des dispositions de rachat, qui visent à améliorer la situation des employées de la GRC qui prennent congé pour s’occuper de leurs enfants. Comme l’a affirmé l’honorable Gilles Loiselle, alors président du Conseil du Trésor, au soutien des modifications apportées à la loi sur la pension de la fonction publique</w:t>
      </w:r>
      <w:r>
        <w:rPr>
          <w:rFonts w:cs="Times New Roman"/>
          <w:lang w:val="fr-CA"/>
        </w:rPr>
        <w:t> :</w:t>
      </w:r>
    </w:p>
    <w:p w14:paraId="1F93DD0F" w14:textId="6234C4A3" w:rsidR="00804EA2" w:rsidRPr="00807A5C" w:rsidRDefault="00804EA2" w:rsidP="00B57A47">
      <w:pPr>
        <w:pStyle w:val="Citation-AltC"/>
        <w:spacing w:after="480"/>
        <w:ind w:hanging="1166"/>
        <w:contextualSpacing w:val="0"/>
        <w:rPr>
          <w:lang w:val="fr-CA"/>
        </w:rPr>
      </w:pPr>
      <w:r w:rsidRPr="00807A5C">
        <w:rPr>
          <w:lang w:val="fr-CA"/>
        </w:rPr>
        <w:tab/>
      </w:r>
      <w:r w:rsidRPr="00807A5C">
        <w:rPr>
          <w:lang w:val="fr-CA"/>
        </w:rPr>
        <w:tab/>
        <w:t xml:space="preserve">J’aimerais ajouter que cette disposition, tout comme celle qui concerne la participation des employés à temps partiel, avantagerait tout particulièrement les femmes, car ce sont ces employées qui ont le plus besoin d’une marge de manœuvre pour établir un équilibre entre leurs obligations familiales et leurs obligations professionnelles. </w:t>
      </w:r>
      <w:r w:rsidRPr="00807A5C">
        <w:rPr>
          <w:i/>
          <w:lang w:val="fr-CA"/>
        </w:rPr>
        <w:t>Par exemple, nombreuses sont les femmes qui prennent des congés non payés, des congés prolongés, pour s’occuper de jeunes enfants ou de personnes âgées. La disposition proposée permettrait leur retour au travail sans qu’il leur soit imposé des difficultés financières excessives</w:t>
      </w:r>
      <w:r w:rsidR="00B57A47">
        <w:rPr>
          <w:lang w:val="fr-CA"/>
        </w:rPr>
        <w:t>. [Italique ajouté</w:t>
      </w:r>
      <w:r w:rsidRPr="00807A5C">
        <w:rPr>
          <w:lang w:val="fr-CA"/>
        </w:rPr>
        <w:t xml:space="preserve">.] </w:t>
      </w:r>
    </w:p>
    <w:p w14:paraId="06945DF2" w14:textId="6094284D" w:rsidR="00804EA2" w:rsidRPr="00807A5C" w:rsidRDefault="00804EA2" w:rsidP="00B57A47">
      <w:pPr>
        <w:pStyle w:val="Citation-AltC"/>
        <w:ind w:left="0"/>
        <w:rPr>
          <w:lang w:val="fr-CA"/>
        </w:rPr>
      </w:pPr>
      <w:r w:rsidRPr="00807A5C">
        <w:rPr>
          <w:lang w:val="fr-CA"/>
        </w:rPr>
        <w:t>(</w:t>
      </w:r>
      <w:r w:rsidRPr="00807A5C">
        <w:rPr>
          <w:i/>
          <w:lang w:val="fr-CA"/>
        </w:rPr>
        <w:t>Débats de la Chambre des communes</w:t>
      </w:r>
      <w:r w:rsidRPr="00807A5C">
        <w:rPr>
          <w:lang w:val="fr-CA"/>
        </w:rPr>
        <w:t xml:space="preserve">, </w:t>
      </w:r>
      <w:r>
        <w:rPr>
          <w:lang w:val="fr-CA"/>
        </w:rPr>
        <w:t>vol. </w:t>
      </w:r>
      <w:r w:rsidRPr="00807A5C">
        <w:rPr>
          <w:lang w:val="fr-CA"/>
        </w:rPr>
        <w:t xml:space="preserve">VI, </w:t>
      </w:r>
      <w:r w:rsidR="00B57A47" w:rsidRPr="00807A5C">
        <w:rPr>
          <w:lang w:val="fr-CA"/>
        </w:rPr>
        <w:t>3</w:t>
      </w:r>
      <w:r w:rsidR="00B57A47" w:rsidRPr="00807A5C">
        <w:rPr>
          <w:vertAlign w:val="superscript"/>
          <w:lang w:val="fr-CA"/>
        </w:rPr>
        <w:t>e</w:t>
      </w:r>
      <w:r w:rsidR="00B57A47" w:rsidRPr="00807A5C">
        <w:rPr>
          <w:lang w:val="fr-CA"/>
        </w:rPr>
        <w:t xml:space="preserve"> sess., </w:t>
      </w:r>
      <w:r w:rsidRPr="00807A5C">
        <w:rPr>
          <w:lang w:val="fr-CA"/>
        </w:rPr>
        <w:t>34</w:t>
      </w:r>
      <w:r w:rsidRPr="00807A5C">
        <w:rPr>
          <w:vertAlign w:val="superscript"/>
          <w:lang w:val="fr-CA"/>
        </w:rPr>
        <w:t>e</w:t>
      </w:r>
      <w:r w:rsidRPr="00807A5C">
        <w:rPr>
          <w:lang w:val="fr-CA"/>
        </w:rPr>
        <w:t xml:space="preserve"> lég., 24 février 1992, </w:t>
      </w:r>
      <w:r>
        <w:rPr>
          <w:lang w:val="fr-CA"/>
        </w:rPr>
        <w:t>p. </w:t>
      </w:r>
      <w:r w:rsidRPr="00807A5C">
        <w:rPr>
          <w:lang w:val="fr-CA"/>
        </w:rPr>
        <w:t>7487)</w:t>
      </w:r>
    </w:p>
    <w:p w14:paraId="04E4CA0F" w14:textId="77777777" w:rsidR="00804EA2" w:rsidRPr="00807A5C" w:rsidRDefault="00804EA2" w:rsidP="00804EA2">
      <w:pPr>
        <w:pStyle w:val="ParaNoNdepar-AltN"/>
        <w:rPr>
          <w:rFonts w:cs="Times New Roman"/>
          <w:lang w:val="fr-CA"/>
        </w:rPr>
      </w:pPr>
      <w:r w:rsidRPr="00807A5C">
        <w:rPr>
          <w:rFonts w:cs="Times New Roman"/>
          <w:lang w:val="fr-CA"/>
        </w:rPr>
        <w:t>Le programme de partage de poste avait un objectif similaire, comme l’a confirmé l’affidavit déposé en tant que pièce du dossier du procureur général en vue de l’instruction de la demande</w:t>
      </w:r>
      <w:r>
        <w:rPr>
          <w:rFonts w:cs="Times New Roman"/>
          <w:lang w:val="fr-CA"/>
        </w:rPr>
        <w:t> :</w:t>
      </w:r>
    </w:p>
    <w:p w14:paraId="1F90CB4A" w14:textId="362F34AD" w:rsidR="00804EA2" w:rsidRPr="00807A5C" w:rsidRDefault="00804EA2" w:rsidP="00B57A47">
      <w:pPr>
        <w:pStyle w:val="Citation-AltC"/>
        <w:spacing w:after="480"/>
        <w:ind w:hanging="1166"/>
        <w:contextualSpacing w:val="0"/>
        <w:rPr>
          <w:lang w:val="fr-CA"/>
        </w:rPr>
      </w:pPr>
      <w:r w:rsidRPr="00807A5C">
        <w:rPr>
          <w:lang w:val="fr-CA"/>
        </w:rPr>
        <w:tab/>
      </w:r>
      <w:r w:rsidRPr="00807A5C">
        <w:rPr>
          <w:lang w:val="fr-CA"/>
        </w:rPr>
        <w:tab/>
      </w:r>
      <w:r w:rsidR="00B57A47" w:rsidRPr="00807A5C">
        <w:rPr>
          <w:lang w:val="fr-CA"/>
        </w:rPr>
        <w:t>[</w:t>
      </w:r>
      <w:r w:rsidR="00B57A47" w:rsidRPr="00807A5C">
        <w:rPr>
          <w:smallCaps/>
          <w:lang w:val="fr-CA"/>
        </w:rPr>
        <w:t>traduction</w:t>
      </w:r>
      <w:r w:rsidR="00B57A47" w:rsidRPr="00807A5C">
        <w:rPr>
          <w:lang w:val="fr-CA"/>
        </w:rPr>
        <w:t>]</w:t>
      </w:r>
      <w:r w:rsidR="00B57A47">
        <w:rPr>
          <w:lang w:val="fr-CA"/>
        </w:rPr>
        <w:t xml:space="preserve"> </w:t>
      </w:r>
      <w:r w:rsidRPr="00807A5C">
        <w:rPr>
          <w:lang w:val="fr-CA"/>
        </w:rPr>
        <w:t>Le programme de partage de poste a été mis en place afin de faciliter l’équilibre travail</w:t>
      </w:r>
      <w:r>
        <w:rPr>
          <w:lang w:val="fr-CA"/>
        </w:rPr>
        <w:noBreakHyphen/>
      </w:r>
      <w:r w:rsidRPr="00807A5C">
        <w:rPr>
          <w:lang w:val="fr-CA"/>
        </w:rPr>
        <w:t xml:space="preserve">vie personnelle pour les membres de la Gendarmerie qui, en raison de circonstances personnelles ou familiales, </w:t>
      </w:r>
      <w:r w:rsidRPr="00807A5C">
        <w:rPr>
          <w:i/>
          <w:lang w:val="fr-CA"/>
        </w:rPr>
        <w:t>tireraient un avantage de pouvoir travailler à temps partiel plutôt que de prendre des congés prolongés non payés</w:t>
      </w:r>
      <w:r w:rsidRPr="00807A5C">
        <w:rPr>
          <w:lang w:val="fr-CA"/>
        </w:rPr>
        <w:t>. Le partage de poste était donc vu comme un avantage réciproque, car il permettait aux membres de rester opérationnellement liés à la Gendarmerie tout en ayant un horaire de travail qui correspondait mieux à leur si</w:t>
      </w:r>
      <w:r w:rsidR="00B57A47">
        <w:rPr>
          <w:lang w:val="fr-CA"/>
        </w:rPr>
        <w:t>tuation individuelle. [Italique ajouté</w:t>
      </w:r>
      <w:r w:rsidRPr="00807A5C">
        <w:rPr>
          <w:lang w:val="fr-CA"/>
        </w:rPr>
        <w:t>.]</w:t>
      </w:r>
    </w:p>
    <w:p w14:paraId="10D387B7" w14:textId="1E935623" w:rsidR="00804EA2" w:rsidRPr="00807A5C" w:rsidRDefault="00B57A47" w:rsidP="00804EA2">
      <w:pPr>
        <w:pStyle w:val="Citation-AltC"/>
        <w:ind w:hanging="1166"/>
        <w:rPr>
          <w:lang w:val="fr-CA"/>
        </w:rPr>
      </w:pPr>
      <w:r>
        <w:rPr>
          <w:lang w:val="fr-CA"/>
        </w:rPr>
        <w:t>(d.a.</w:t>
      </w:r>
      <w:r w:rsidR="00804EA2" w:rsidRPr="00807A5C">
        <w:rPr>
          <w:lang w:val="fr-CA"/>
        </w:rPr>
        <w:t xml:space="preserve">, </w:t>
      </w:r>
      <w:r w:rsidR="00804EA2">
        <w:rPr>
          <w:lang w:val="fr-CA"/>
        </w:rPr>
        <w:t>vol. </w:t>
      </w:r>
      <w:r w:rsidR="00804EA2" w:rsidRPr="00807A5C">
        <w:rPr>
          <w:lang w:val="fr-CA"/>
        </w:rPr>
        <w:t xml:space="preserve">V, </w:t>
      </w:r>
      <w:r w:rsidR="00804EA2">
        <w:rPr>
          <w:lang w:val="fr-CA"/>
        </w:rPr>
        <w:t>p. </w:t>
      </w:r>
      <w:r w:rsidR="00804EA2" w:rsidRPr="00807A5C">
        <w:rPr>
          <w:lang w:val="fr-CA"/>
        </w:rPr>
        <w:t>810)</w:t>
      </w:r>
    </w:p>
    <w:p w14:paraId="1E0A22F1" w14:textId="77777777" w:rsidR="00804EA2" w:rsidRPr="00807A5C" w:rsidRDefault="00804EA2" w:rsidP="00804EA2">
      <w:pPr>
        <w:pStyle w:val="ParaNoNdepar-AltN"/>
        <w:rPr>
          <w:rFonts w:cs="Times New Roman"/>
          <w:lang w:val="fr-CA"/>
        </w:rPr>
      </w:pPr>
      <w:r w:rsidRPr="00807A5C">
        <w:rPr>
          <w:rFonts w:cs="Times New Roman"/>
          <w:lang w:val="fr-CA"/>
        </w:rPr>
        <w:lastRenderedPageBreak/>
        <w:t>Le programme de partage de poste visait clairement à remplacer les congés non payés pour les membres qui ne pouvaient pas prendre de tels congés [</w:t>
      </w:r>
      <w:r w:rsidRPr="00807A5C">
        <w:rPr>
          <w:rFonts w:cs="Times New Roman"/>
          <w:smallCaps/>
          <w:lang w:val="fr-CA"/>
        </w:rPr>
        <w:t>traduction</w:t>
      </w:r>
      <w:r w:rsidRPr="00807A5C">
        <w:rPr>
          <w:rFonts w:cs="Times New Roman"/>
          <w:lang w:val="fr-CA"/>
        </w:rPr>
        <w:t>] « en raison de circonstances personnelles ou familiales ». Il est donc difficile de comprendre pourquoi il traitait les deux formes de réduction des heures de travail différemment pour ce qui est des droits de rachat du service ouvrant droit à pension. Le régime de la GRC prévoit des droits de rachat lorsqu’un membre à temps plein réduit ses heures, les faisant passer de 40 à 0 pour s’occuper de ses enfants, mais inexplicablement, refuse ces droits au même membre qui, pour les mêmes raisons, réduit ses heures en les faisant passer de 40 à 10, 20, 30 ou tout autre nombre. Et tout cela, même si la GRC profite des services du membre dans le dernier scénario. Je ne vois rien qui justifie cette limitation, encore moins de raison urgente et réelle. La distinction devient encore plus difficile à comprendre lorsque l’on voit que des droits de rachat sont octroyés aux membres qui ont été suspendus.</w:t>
      </w:r>
    </w:p>
    <w:p w14:paraId="05EB3884" w14:textId="77777777" w:rsidR="00804EA2" w:rsidRPr="00807A5C" w:rsidRDefault="00804EA2" w:rsidP="00804EA2">
      <w:pPr>
        <w:pStyle w:val="ParaNoNdepar-AltN"/>
        <w:rPr>
          <w:rFonts w:cs="Times New Roman"/>
          <w:lang w:val="fr-CA"/>
        </w:rPr>
      </w:pPr>
      <w:r w:rsidRPr="00807A5C">
        <w:rPr>
          <w:rFonts w:cs="Times New Roman"/>
          <w:lang w:val="fr-CA"/>
        </w:rPr>
        <w:t>Avec égards, par conséquent, le gouvernement n’a pas présenté d’objectif convaincant pour justifier la limitation des droits des participants au programme de partage de poste qui souhaitent racheter des périodes de service à temps plein ouvrant droit à pension.</w:t>
      </w:r>
    </w:p>
    <w:p w14:paraId="2BE3E5F0" w14:textId="77777777" w:rsidR="00804EA2" w:rsidRPr="00807A5C" w:rsidRDefault="00804EA2" w:rsidP="00804EA2">
      <w:pPr>
        <w:pStyle w:val="ParaNoNdepar-AltN"/>
        <w:rPr>
          <w:rFonts w:cs="Times New Roman"/>
          <w:lang w:val="fr-CA"/>
        </w:rPr>
      </w:pPr>
      <w:r w:rsidRPr="00807A5C">
        <w:rPr>
          <w:rFonts w:cs="Times New Roman"/>
          <w:lang w:val="fr-CA"/>
        </w:rPr>
        <w:t>Puisque la violation à première vue ne peut se justifier au regard de l’article premier, il s’agit d’une violation de l’</w:t>
      </w:r>
      <w:r>
        <w:rPr>
          <w:rFonts w:cs="Times New Roman"/>
          <w:lang w:val="fr-CA"/>
        </w:rPr>
        <w:t>art. </w:t>
      </w:r>
      <w:r w:rsidRPr="00807A5C">
        <w:rPr>
          <w:rFonts w:cs="Times New Roman"/>
          <w:lang w:val="fr-CA"/>
        </w:rPr>
        <w:t>15 qui empêche M</w:t>
      </w:r>
      <w:r w:rsidRPr="00807A5C">
        <w:rPr>
          <w:rFonts w:cs="Times New Roman"/>
          <w:vertAlign w:val="superscript"/>
          <w:lang w:val="fr-CA"/>
        </w:rPr>
        <w:t>me</w:t>
      </w:r>
      <w:r w:rsidRPr="00807A5C">
        <w:rPr>
          <w:rFonts w:cs="Times New Roman"/>
          <w:lang w:val="fr-CA"/>
        </w:rPr>
        <w:t> Fraser et ses collègues de racheter leur service à temps plein ouvrant droit à pension.</w:t>
      </w:r>
    </w:p>
    <w:p w14:paraId="60F8F4B0" w14:textId="77777777" w:rsidR="00804EA2" w:rsidRPr="00807A5C" w:rsidRDefault="00804EA2" w:rsidP="00804EA2">
      <w:pPr>
        <w:pStyle w:val="ParaNoNdepar-AltN"/>
        <w:rPr>
          <w:rFonts w:cs="Times New Roman"/>
          <w:lang w:val="fr-CA"/>
        </w:rPr>
      </w:pPr>
      <w:r w:rsidRPr="00807A5C">
        <w:rPr>
          <w:rFonts w:cs="Times New Roman"/>
          <w:lang w:val="fr-CA"/>
        </w:rPr>
        <w:t>Enfin, les motifs de mes collègues appellent une réponse.</w:t>
      </w:r>
    </w:p>
    <w:p w14:paraId="49CFEF3C" w14:textId="1E768949" w:rsidR="00804EA2" w:rsidRPr="00807A5C" w:rsidRDefault="00804EA2" w:rsidP="00804EA2">
      <w:pPr>
        <w:pStyle w:val="ParaNoNdepar-AltN"/>
        <w:rPr>
          <w:rFonts w:cs="Times New Roman"/>
          <w:b/>
          <w:lang w:val="fr-CA"/>
        </w:rPr>
      </w:pPr>
      <w:r w:rsidRPr="00807A5C">
        <w:rPr>
          <w:rFonts w:cs="Times New Roman"/>
          <w:lang w:val="fr-CA"/>
        </w:rPr>
        <w:lastRenderedPageBreak/>
        <w:t xml:space="preserve">La vision du </w:t>
      </w:r>
      <w:r>
        <w:rPr>
          <w:rFonts w:cs="Times New Roman"/>
          <w:lang w:val="fr-CA"/>
        </w:rPr>
        <w:t>par. </w:t>
      </w:r>
      <w:r w:rsidRPr="00807A5C">
        <w:rPr>
          <w:rFonts w:cs="Times New Roman"/>
          <w:lang w:val="fr-CA"/>
        </w:rPr>
        <w:t xml:space="preserve">15(1) que proposent mes collègues dans leurs motifs correspond essentiellement à celle avancée par les juges dissidents dans l’arrêt </w:t>
      </w:r>
      <w:r w:rsidRPr="00807A5C">
        <w:rPr>
          <w:rFonts w:cs="Times New Roman"/>
          <w:i/>
          <w:lang w:val="fr-CA"/>
        </w:rPr>
        <w:t>Alliance</w:t>
      </w:r>
      <w:r w:rsidRPr="00807A5C">
        <w:rPr>
          <w:rFonts w:cs="Times New Roman"/>
          <w:lang w:val="fr-CA"/>
        </w:rPr>
        <w:t>. Ils faisaient valoir dans cette affaire, tout comme dans la présente, que le fait de conclure à une violation aurait un « effet paralysant » sur les législateurs</w:t>
      </w:r>
      <w:r w:rsidR="009C4193">
        <w:rPr>
          <w:rStyle w:val="FootnoteReference"/>
          <w:rFonts w:cs="Times New Roman"/>
          <w:lang w:val="fr-CA"/>
        </w:rPr>
        <w:footnoteReference w:id="8"/>
      </w:r>
      <w:r w:rsidRPr="00807A5C">
        <w:rPr>
          <w:rFonts w:cs="Times New Roman"/>
          <w:lang w:val="fr-CA"/>
        </w:rPr>
        <w:t>, que la loi contestée n’était pas « à l’origine des écarts salariaux qui existent entre les hommes et les femmes »</w:t>
      </w:r>
      <w:r>
        <w:rPr>
          <w:rFonts w:cs="Times New Roman"/>
          <w:lang w:val="fr-CA"/>
        </w:rPr>
        <w:t xml:space="preserve"> (par. 97)</w:t>
      </w:r>
      <w:r w:rsidR="009C4193">
        <w:rPr>
          <w:rStyle w:val="FootnoteReference"/>
          <w:rFonts w:cs="Times New Roman"/>
          <w:lang w:val="fr-CA"/>
        </w:rPr>
        <w:footnoteReference w:id="9"/>
      </w:r>
      <w:r w:rsidRPr="00807A5C">
        <w:rPr>
          <w:rFonts w:cs="Times New Roman"/>
          <w:lang w:val="fr-CA"/>
        </w:rPr>
        <w:t xml:space="preserve">, que la Cour ne devait pas s’ingérer dans les mesures « graduelles » </w:t>
      </w:r>
      <w:r w:rsidRPr="00807A5C">
        <w:rPr>
          <w:rFonts w:cs="Times New Roman"/>
          <w:lang w:val="fr-FR"/>
        </w:rPr>
        <w:t>visant à rétrécir l’écart entre le groupe et le reste de la société</w:t>
      </w:r>
      <w:r w:rsidR="009C4193">
        <w:rPr>
          <w:rStyle w:val="FootnoteReference"/>
          <w:rFonts w:cs="Times New Roman"/>
          <w:lang w:val="fr-FR"/>
        </w:rPr>
        <w:footnoteReference w:id="10"/>
      </w:r>
      <w:r w:rsidRPr="00807A5C">
        <w:rPr>
          <w:rFonts w:cs="Times New Roman"/>
          <w:lang w:val="fr-CA"/>
        </w:rPr>
        <w:t xml:space="preserve">, et que conclure à une violation du </w:t>
      </w:r>
      <w:r>
        <w:rPr>
          <w:rFonts w:cs="Times New Roman"/>
          <w:lang w:val="fr-CA"/>
        </w:rPr>
        <w:t>par. </w:t>
      </w:r>
      <w:r w:rsidRPr="00807A5C">
        <w:rPr>
          <w:rFonts w:cs="Times New Roman"/>
          <w:lang w:val="fr-CA"/>
        </w:rPr>
        <w:t>15(1) aurait pour effet d’imposer aux législateurs une obligation positive distincte « d’agir de façon à obtenir certains résultats dans la société, comme l’éradication complète et définitive des iniquités salariales fondées sur le sexe » (</w:t>
      </w:r>
      <w:r>
        <w:rPr>
          <w:rFonts w:cs="Times New Roman"/>
          <w:lang w:val="fr-CA"/>
        </w:rPr>
        <w:t>par. </w:t>
      </w:r>
      <w:r w:rsidRPr="00807A5C">
        <w:rPr>
          <w:rFonts w:cs="Times New Roman"/>
          <w:lang w:val="fr-CA"/>
        </w:rPr>
        <w:t>65)</w:t>
      </w:r>
      <w:r w:rsidR="009C4193">
        <w:rPr>
          <w:rStyle w:val="FootnoteReference"/>
          <w:rFonts w:cs="Times New Roman"/>
          <w:lang w:val="fr-CA"/>
        </w:rPr>
        <w:footnoteReference w:id="11"/>
      </w:r>
      <w:r w:rsidRPr="00807A5C">
        <w:rPr>
          <w:rFonts w:cs="Times New Roman"/>
          <w:lang w:val="fr-CA"/>
        </w:rPr>
        <w:t xml:space="preserve">. </w:t>
      </w:r>
    </w:p>
    <w:p w14:paraId="4919AED5" w14:textId="2F2C5EF9" w:rsidR="00804EA2" w:rsidRPr="00807A5C" w:rsidRDefault="00804EA2" w:rsidP="00804EA2">
      <w:pPr>
        <w:pStyle w:val="ParaNoNdepar-AltN"/>
        <w:rPr>
          <w:rFonts w:cs="Times New Roman"/>
          <w:lang w:val="fr-CA"/>
        </w:rPr>
      </w:pPr>
      <w:r w:rsidRPr="00807A5C">
        <w:rPr>
          <w:rFonts w:cs="Times New Roman"/>
          <w:lang w:val="fr-CA"/>
        </w:rPr>
        <w:lastRenderedPageBreak/>
        <w:t xml:space="preserve">Toutes ces propositions ont été carrément rejetées par les juges majoritaires dans l’affaire </w:t>
      </w:r>
      <w:r w:rsidRPr="00807A5C">
        <w:rPr>
          <w:rFonts w:cs="Times New Roman"/>
          <w:i/>
          <w:lang w:val="fr-CA"/>
        </w:rPr>
        <w:t>Alliance</w:t>
      </w:r>
      <w:r w:rsidRPr="00807A5C">
        <w:rPr>
          <w:rFonts w:cs="Times New Roman"/>
          <w:lang w:val="fr-CA"/>
        </w:rPr>
        <w:t xml:space="preserve">. Autant que je sache, aucun fait nouveau n’est survenu depuis que l’arrêt </w:t>
      </w:r>
      <w:r w:rsidRPr="00807A5C">
        <w:rPr>
          <w:rFonts w:cs="Times New Roman"/>
          <w:i/>
          <w:lang w:val="fr-CA"/>
        </w:rPr>
        <w:t xml:space="preserve">Alliance </w:t>
      </w:r>
      <w:r w:rsidRPr="00807A5C">
        <w:rPr>
          <w:rFonts w:cs="Times New Roman"/>
          <w:lang w:val="fr-CA"/>
        </w:rPr>
        <w:t>a été rendu en 2018 qui nous justifierait d’écarter les prémisses de cette décision. De plus, aucune des parties à l’instance n’a prétendu que nous devrions le faire, sauf, par déduction, mes collègues, qui sollicitent la portée d’une décision antérieure avec laquelle ils sont en désaccord en quête de la moindre expression ou du moindre paragraphe qui leur permettrait de démolir ce précédent. Leurs arguments reposent sur des conjectures et non sur la réalité, et ne sont pas sans rappeler l’observation ironique d’un auteur selon laquelle [</w:t>
      </w:r>
      <w:r w:rsidRPr="00807A5C">
        <w:rPr>
          <w:rFonts w:cs="Times New Roman"/>
          <w:smallCaps/>
          <w:lang w:val="fr-CA"/>
        </w:rPr>
        <w:t>traduction</w:t>
      </w:r>
      <w:r w:rsidRPr="00807A5C">
        <w:rPr>
          <w:rFonts w:cs="Times New Roman"/>
          <w:lang w:val="fr-CA"/>
        </w:rPr>
        <w:t>] « descendre en flammes des hommes de paille n’est pas ce qu’on entend par illuminer un débat »</w:t>
      </w:r>
      <w:r w:rsidR="009C4193">
        <w:rPr>
          <w:rStyle w:val="FootnoteReference"/>
          <w:rFonts w:cs="Times New Roman"/>
          <w:lang w:val="fr-CA"/>
        </w:rPr>
        <w:footnoteReference w:id="12"/>
      </w:r>
      <w:r w:rsidRPr="00807A5C">
        <w:rPr>
          <w:rFonts w:cs="Times New Roman"/>
          <w:lang w:val="fr-CA"/>
        </w:rPr>
        <w:t>.</w:t>
      </w:r>
    </w:p>
    <w:p w14:paraId="7954F9A4" w14:textId="5C83DC9C" w:rsidR="00804EA2" w:rsidRPr="00807A5C" w:rsidRDefault="00804EA2" w:rsidP="00804EA2">
      <w:pPr>
        <w:pStyle w:val="ParaNoNdepar-AltN"/>
        <w:rPr>
          <w:rFonts w:cs="Times New Roman"/>
          <w:lang w:val="fr-CA"/>
        </w:rPr>
      </w:pPr>
      <w:r w:rsidRPr="00807A5C">
        <w:rPr>
          <w:rFonts w:cs="Times New Roman"/>
          <w:lang w:val="fr-CA"/>
        </w:rPr>
        <w:t>Et, surtout, ils persistent à remettre en cause un principe fondamental de la jurisprudence de notre Cour — l’égalité réelle — au profit d’une approche formaliste qui englobe un « processus de classification mécanique et stérile qui dépendra exclusivement du texte de loi contesté » (</w:t>
      </w:r>
      <w:r w:rsidRPr="00807A5C">
        <w:rPr>
          <w:rFonts w:cs="Times New Roman"/>
          <w:i/>
          <w:lang w:val="fr-CA"/>
        </w:rPr>
        <w:t>Turpin</w:t>
      </w:r>
      <w:r w:rsidRPr="00807A5C">
        <w:rPr>
          <w:rFonts w:cs="Times New Roman"/>
          <w:lang w:val="fr-CA"/>
        </w:rPr>
        <w:t xml:space="preserve">, </w:t>
      </w:r>
      <w:r>
        <w:rPr>
          <w:rFonts w:cs="Times New Roman"/>
          <w:lang w:val="fr-CA"/>
        </w:rPr>
        <w:t>p. </w:t>
      </w:r>
      <w:r w:rsidRPr="00807A5C">
        <w:rPr>
          <w:rFonts w:cs="Times New Roman"/>
          <w:lang w:val="fr-CA"/>
        </w:rPr>
        <w:t xml:space="preserve">1332). Notre Cour a constamment rejeté cette « vision étroite et peu généreuse du </w:t>
      </w:r>
      <w:r>
        <w:rPr>
          <w:rFonts w:cs="Times New Roman"/>
          <w:lang w:val="fr-CA"/>
        </w:rPr>
        <w:t>par. </w:t>
      </w:r>
      <w:r w:rsidRPr="00807A5C">
        <w:rPr>
          <w:rFonts w:cs="Times New Roman"/>
          <w:lang w:val="fr-CA"/>
        </w:rPr>
        <w:t>15(1) »</w:t>
      </w:r>
      <w:r>
        <w:rPr>
          <w:rFonts w:cs="Times New Roman"/>
          <w:lang w:val="fr-CA"/>
        </w:rPr>
        <w:t xml:space="preserve"> (</w:t>
      </w:r>
      <w:r>
        <w:rPr>
          <w:rFonts w:cs="Times New Roman"/>
          <w:i/>
          <w:lang w:val="fr-CA"/>
        </w:rPr>
        <w:t>Eldridge</w:t>
      </w:r>
      <w:r>
        <w:rPr>
          <w:rFonts w:cs="Times New Roman"/>
          <w:lang w:val="fr-CA"/>
        </w:rPr>
        <w:t>, par. 73)</w:t>
      </w:r>
      <w:r w:rsidRPr="00807A5C">
        <w:rPr>
          <w:rFonts w:cs="Times New Roman"/>
          <w:lang w:val="fr-CA"/>
        </w:rPr>
        <w:t>, comme l’ont fait même les auteurs cités par mes collègues</w:t>
      </w:r>
      <w:r w:rsidR="009C4193">
        <w:rPr>
          <w:rStyle w:val="FootnoteReference"/>
          <w:rFonts w:cs="Times New Roman"/>
          <w:lang w:val="fr-CA"/>
        </w:rPr>
        <w:footnoteReference w:id="13"/>
      </w:r>
      <w:r w:rsidRPr="00807A5C">
        <w:rPr>
          <w:rFonts w:cs="Times New Roman"/>
          <w:lang w:val="fr-CA"/>
        </w:rPr>
        <w:t xml:space="preserve">. Il est regrettable qu’alors que la jurisprudence mondiale adhère de plus en plus au principe de l’égalité réelle, mes collègues continuent de souscrire à une approche qui rappelle la théorie antérieure à la </w:t>
      </w:r>
      <w:r w:rsidRPr="0047469A">
        <w:rPr>
          <w:rFonts w:cs="Times New Roman"/>
          <w:i/>
          <w:lang w:val="fr-CA"/>
        </w:rPr>
        <w:lastRenderedPageBreak/>
        <w:t>Charte</w:t>
      </w:r>
      <w:r w:rsidRPr="00807A5C">
        <w:rPr>
          <w:rFonts w:cs="Times New Roman"/>
          <w:lang w:val="fr-CA"/>
        </w:rPr>
        <w:t xml:space="preserve"> — qui a été rejetée depuis — et qui avait pour effet de refuser l’accès à des avantages lorsque cet accès exigeait des accommodements en fonction de certaines différences. </w:t>
      </w:r>
    </w:p>
    <w:p w14:paraId="4BFA07BB" w14:textId="1AE91455" w:rsidR="00804EA2" w:rsidRPr="00807A5C" w:rsidRDefault="00804EA2" w:rsidP="00804EA2">
      <w:pPr>
        <w:pStyle w:val="ParaNoNdepar-AltN"/>
        <w:rPr>
          <w:rFonts w:cs="Times New Roman"/>
          <w:lang w:val="fr-CA"/>
        </w:rPr>
      </w:pPr>
      <w:r w:rsidRPr="00807A5C">
        <w:rPr>
          <w:rFonts w:cs="Times New Roman"/>
          <w:lang w:val="fr-CA"/>
        </w:rPr>
        <w:t>Peu importe ce que mes collègues entendent par « primauté du droit », il faut que la définition de ce principe repose sur le postulat selon lequel les décisions de la Cour suprême sont respectées non seulement par les justiciables, mais aussi par les juges de la Cour. En outre, cette définition doit assurément garantir aussi à ceux qui cherchent à se prévaloir des protections constitutionnelles que la reprise constante, dans des opinions dissidentes, d’arguments déjà écartés ne les obligera pas [</w:t>
      </w:r>
      <w:r w:rsidRPr="00807A5C">
        <w:rPr>
          <w:rFonts w:cs="Times New Roman"/>
          <w:smallCaps/>
          <w:lang w:val="fr-CA"/>
        </w:rPr>
        <w:t>traduction</w:t>
      </w:r>
      <w:r w:rsidRPr="00807A5C">
        <w:rPr>
          <w:rFonts w:cs="Times New Roman"/>
          <w:lang w:val="fr-CA"/>
        </w:rPr>
        <w:t xml:space="preserve">] « à chaque nouvelle affaire, à être prêts à se battre pour les gains précis qui ont été réalisés à maintes reprises dans le passé » (Faraday, </w:t>
      </w:r>
      <w:r>
        <w:rPr>
          <w:rFonts w:cs="Times New Roman"/>
          <w:lang w:val="fr-CA"/>
        </w:rPr>
        <w:t>p. </w:t>
      </w:r>
      <w:r w:rsidRPr="00807A5C">
        <w:rPr>
          <w:rFonts w:cs="Times New Roman"/>
          <w:lang w:val="fr-CA"/>
        </w:rPr>
        <w:t>3</w:t>
      </w:r>
      <w:r>
        <w:rPr>
          <w:rFonts w:cs="Times New Roman"/>
          <w:lang w:val="fr-CA"/>
        </w:rPr>
        <w:t>30</w:t>
      </w:r>
      <w:r w:rsidRPr="00807A5C">
        <w:rPr>
          <w:rFonts w:cs="Times New Roman"/>
          <w:lang w:val="fr-CA"/>
        </w:rPr>
        <w:t>; voir également Jonnette Watson Hamilton et Jennifer Koshan, « Equality Rights and Pay Equity</w:t>
      </w:r>
      <w:r w:rsidR="00201345">
        <w:rPr>
          <w:rFonts w:cs="Times New Roman"/>
          <w:lang w:val="fr-CA"/>
        </w:rPr>
        <w:t> </w:t>
      </w:r>
      <w:r w:rsidRPr="00807A5C">
        <w:rPr>
          <w:rFonts w:cs="Times New Roman"/>
          <w:lang w:val="fr-CA"/>
        </w:rPr>
        <w:t>: Déjà Vu in the Supreme Court of Canada »</w:t>
      </w:r>
      <w:r>
        <w:rPr>
          <w:rFonts w:cs="Times New Roman"/>
          <w:lang w:val="fr-CA"/>
        </w:rPr>
        <w:t xml:space="preserve"> (2019</w:t>
      </w:r>
      <w:r w:rsidRPr="00807A5C">
        <w:rPr>
          <w:rFonts w:cs="Times New Roman"/>
          <w:lang w:val="fr-CA"/>
        </w:rPr>
        <w:t xml:space="preserve">), 15 </w:t>
      </w:r>
      <w:r w:rsidRPr="00807A5C">
        <w:rPr>
          <w:rFonts w:cs="Times New Roman"/>
          <w:i/>
          <w:lang w:val="fr-CA"/>
        </w:rPr>
        <w:t>J.L. &amp; Eq</w:t>
      </w:r>
      <w:r w:rsidR="00201345">
        <w:rPr>
          <w:rFonts w:cs="Times New Roman"/>
          <w:i/>
          <w:lang w:val="fr-CA"/>
        </w:rPr>
        <w:t>uality</w:t>
      </w:r>
      <w:r w:rsidRPr="00807A5C">
        <w:rPr>
          <w:rFonts w:cs="Times New Roman"/>
          <w:lang w:val="fr-CA"/>
        </w:rPr>
        <w:t xml:space="preserve"> 1). </w:t>
      </w:r>
    </w:p>
    <w:p w14:paraId="52077436" w14:textId="77777777" w:rsidR="00804EA2" w:rsidRPr="00807A5C" w:rsidRDefault="00804EA2" w:rsidP="00804EA2">
      <w:pPr>
        <w:pStyle w:val="ParaNoNdepar-AltN"/>
        <w:rPr>
          <w:rFonts w:cs="Times New Roman"/>
          <w:lang w:val="fr-CA"/>
        </w:rPr>
      </w:pPr>
      <w:r w:rsidRPr="00807A5C">
        <w:rPr>
          <w:rFonts w:cs="Times New Roman"/>
          <w:lang w:val="fr-CA"/>
        </w:rPr>
        <w:t>Depuis une trentaine d’années, l’analyse effectuée en vertu de l’</w:t>
      </w:r>
      <w:r>
        <w:rPr>
          <w:rFonts w:cs="Times New Roman"/>
          <w:lang w:val="fr-CA"/>
        </w:rPr>
        <w:t>art. </w:t>
      </w:r>
      <w:r w:rsidRPr="00807A5C">
        <w:rPr>
          <w:rFonts w:cs="Times New Roman"/>
          <w:lang w:val="fr-CA"/>
        </w:rPr>
        <w:t>15 a permis de déterminer la présence, la persistance et la prévalence de désavantages, sur la base de motifs énumérés ou analogues. L’objectif visé par cette analyse est ambitieux mais non utopique</w:t>
      </w:r>
      <w:r>
        <w:rPr>
          <w:rFonts w:cs="Times New Roman"/>
          <w:lang w:val="fr-CA"/>
        </w:rPr>
        <w:t> :</w:t>
      </w:r>
      <w:r w:rsidRPr="00807A5C">
        <w:rPr>
          <w:rFonts w:cs="Times New Roman"/>
          <w:lang w:val="fr-CA"/>
        </w:rPr>
        <w:t xml:space="preserve"> s’attaquer au désavantage dès qu’il est identifié pour faire reculer les inégalités, un dossier à la fois, en vue d’atteindre un jour une égalité complète. Voilà pourquoi il y a violation du </w:t>
      </w:r>
      <w:r>
        <w:rPr>
          <w:rFonts w:cs="Times New Roman"/>
          <w:lang w:val="fr-CA"/>
        </w:rPr>
        <w:t>par. </w:t>
      </w:r>
      <w:r w:rsidRPr="00807A5C">
        <w:rPr>
          <w:rFonts w:cs="Times New Roman"/>
          <w:lang w:val="fr-CA"/>
        </w:rPr>
        <w:t>15(1) en l’espèce</w:t>
      </w:r>
      <w:r>
        <w:rPr>
          <w:rFonts w:cs="Times New Roman"/>
          <w:lang w:val="fr-CA"/>
        </w:rPr>
        <w:t> :</w:t>
      </w:r>
      <w:r w:rsidRPr="00807A5C">
        <w:rPr>
          <w:rFonts w:cs="Times New Roman"/>
          <w:lang w:val="fr-CA"/>
        </w:rPr>
        <w:t xml:space="preserve"> non pas parce que les femmes assument depuis toujours une part disproportionnée des responsabilités à l’égard des enfants et qu’elles ont des horaires de travail moins stables que les hommes, mais parce </w:t>
      </w:r>
      <w:r w:rsidRPr="00807A5C">
        <w:rPr>
          <w:rFonts w:cs="Times New Roman"/>
          <w:lang w:val="fr-CA"/>
        </w:rPr>
        <w:lastRenderedPageBreak/>
        <w:t>que le régime de retraite [</w:t>
      </w:r>
      <w:r w:rsidRPr="00807A5C">
        <w:rPr>
          <w:rFonts w:cs="Times New Roman"/>
          <w:smallCaps/>
          <w:lang w:val="fr-CA"/>
        </w:rPr>
        <w:t>traduction</w:t>
      </w:r>
      <w:r w:rsidRPr="00807A5C">
        <w:rPr>
          <w:rFonts w:cs="Times New Roman"/>
          <w:lang w:val="fr-CA"/>
        </w:rPr>
        <w:t xml:space="preserve">] « institutionnalise ces caractéristiques et s’en sert pour répartir inégalement » les prestations de retraite entre les participants au programme de partage de poste (voir Faraday, </w:t>
      </w:r>
      <w:r>
        <w:rPr>
          <w:rFonts w:cs="Times New Roman"/>
          <w:lang w:val="fr-CA"/>
        </w:rPr>
        <w:t>p. 318</w:t>
      </w:r>
      <w:r w:rsidRPr="00807A5C">
        <w:rPr>
          <w:rFonts w:cs="Times New Roman"/>
          <w:lang w:val="fr-CA"/>
        </w:rPr>
        <w:t>). Il s’agit là d’une « </w:t>
      </w:r>
      <w:r w:rsidRPr="0047469A">
        <w:rPr>
          <w:rFonts w:cs="Times New Roman"/>
          <w:lang w:val="fr-CA"/>
        </w:rPr>
        <w:t>“</w:t>
      </w:r>
      <w:r w:rsidRPr="00807A5C">
        <w:rPr>
          <w:rFonts w:cs="Times New Roman"/>
          <w:lang w:val="fr-CA"/>
        </w:rPr>
        <w:t>discrimination consacrée par la loi</w:t>
      </w:r>
      <w:r w:rsidRPr="0047469A">
        <w:rPr>
          <w:rFonts w:cs="Times New Roman"/>
          <w:lang w:val="fr-CA"/>
        </w:rPr>
        <w:t>”</w:t>
      </w:r>
      <w:r w:rsidRPr="00807A5C">
        <w:rPr>
          <w:rFonts w:cs="Times New Roman"/>
          <w:lang w:val="fr-CA"/>
        </w:rPr>
        <w:t xml:space="preserve">, une forme de discrimination que la Cour dénonce depuis l’arrêt </w:t>
      </w:r>
      <w:r w:rsidRPr="00807A5C">
        <w:rPr>
          <w:rFonts w:cs="Times New Roman"/>
          <w:i/>
          <w:iCs/>
          <w:lang w:val="fr-CA"/>
        </w:rPr>
        <w:t>Andrews </w:t>
      </w:r>
      <w:r w:rsidRPr="00807A5C">
        <w:rPr>
          <w:rFonts w:cs="Times New Roman"/>
          <w:lang w:val="fr-CA"/>
        </w:rPr>
        <w:t>» (</w:t>
      </w:r>
      <w:r w:rsidRPr="00807A5C">
        <w:rPr>
          <w:rFonts w:cs="Times New Roman"/>
          <w:i/>
          <w:iCs/>
          <w:lang w:val="fr-CA"/>
        </w:rPr>
        <w:t>Centrale</w:t>
      </w:r>
      <w:r w:rsidRPr="00807A5C">
        <w:rPr>
          <w:rFonts w:cs="Times New Roman"/>
          <w:lang w:val="fr-CA"/>
        </w:rPr>
        <w:t xml:space="preserve">, </w:t>
      </w:r>
      <w:r>
        <w:rPr>
          <w:rFonts w:cs="Times New Roman"/>
          <w:lang w:val="fr-CA"/>
        </w:rPr>
        <w:t>par. </w:t>
      </w:r>
      <w:r w:rsidRPr="00807A5C">
        <w:rPr>
          <w:rFonts w:cs="Times New Roman"/>
          <w:lang w:val="fr-CA"/>
        </w:rPr>
        <w:t xml:space="preserve">33, citant </w:t>
      </w:r>
      <w:r w:rsidRPr="00807A5C">
        <w:rPr>
          <w:rFonts w:cs="Times New Roman"/>
          <w:i/>
          <w:lang w:val="fr-CA"/>
        </w:rPr>
        <w:t>Andrews</w:t>
      </w:r>
      <w:r w:rsidRPr="00807A5C">
        <w:rPr>
          <w:rFonts w:cs="Times New Roman"/>
          <w:lang w:val="fr-CA"/>
        </w:rPr>
        <w:t xml:space="preserve">, </w:t>
      </w:r>
      <w:r>
        <w:rPr>
          <w:rFonts w:cs="Times New Roman"/>
          <w:lang w:val="fr-CA"/>
        </w:rPr>
        <w:t>p. </w:t>
      </w:r>
      <w:r w:rsidRPr="00807A5C">
        <w:rPr>
          <w:rFonts w:cs="Times New Roman"/>
          <w:lang w:val="fr-CA"/>
        </w:rPr>
        <w:t xml:space="preserve">172). Contrairement à ce que mes collègues estiment, il n’y a rien d’« extraordinaire » dans le fait de déclarer, comme nous le faisons dans le présent dossier, que ce type de discrimination viole le </w:t>
      </w:r>
      <w:r>
        <w:rPr>
          <w:rFonts w:cs="Times New Roman"/>
          <w:lang w:val="fr-CA"/>
        </w:rPr>
        <w:t>par. </w:t>
      </w:r>
      <w:r w:rsidRPr="00807A5C">
        <w:rPr>
          <w:rFonts w:cs="Times New Roman"/>
          <w:lang w:val="fr-CA"/>
        </w:rPr>
        <w:t xml:space="preserve">15(1) de la </w:t>
      </w:r>
      <w:r w:rsidRPr="00807A5C">
        <w:rPr>
          <w:rFonts w:cs="Times New Roman"/>
          <w:i/>
          <w:iCs/>
          <w:lang w:val="fr-CA"/>
        </w:rPr>
        <w:t>Charte</w:t>
      </w:r>
      <w:r w:rsidRPr="00807A5C">
        <w:rPr>
          <w:rFonts w:cs="Times New Roman"/>
          <w:lang w:val="fr-CA"/>
        </w:rPr>
        <w:t>. Selon notre jurisprudence, il serait au contraire extraordinaire de ne pas tirer cette conclusion.</w:t>
      </w:r>
    </w:p>
    <w:p w14:paraId="03022F4F" w14:textId="77777777" w:rsidR="00804EA2" w:rsidRPr="00807A5C" w:rsidRDefault="00804EA2" w:rsidP="00804EA2">
      <w:pPr>
        <w:pStyle w:val="ParaNoNdepar-AltN"/>
        <w:rPr>
          <w:rFonts w:cs="Times New Roman"/>
          <w:lang w:val="fr-CA"/>
        </w:rPr>
      </w:pPr>
      <w:r w:rsidRPr="00807A5C">
        <w:rPr>
          <w:rFonts w:cs="Times New Roman"/>
          <w:lang w:val="fr-CA"/>
        </w:rPr>
        <w:t>La dernière question porte sur la réparation.</w:t>
      </w:r>
    </w:p>
    <w:p w14:paraId="05DDAE90" w14:textId="77777777" w:rsidR="00804EA2" w:rsidRPr="00807A5C" w:rsidRDefault="00804EA2" w:rsidP="00804EA2">
      <w:pPr>
        <w:pStyle w:val="ParaNoNdepar-AltN"/>
        <w:rPr>
          <w:rFonts w:cs="Times New Roman"/>
          <w:lang w:val="fr-CA"/>
        </w:rPr>
      </w:pPr>
      <w:r w:rsidRPr="00807A5C">
        <w:rPr>
          <w:rFonts w:cs="Times New Roman"/>
          <w:lang w:val="fr-CA"/>
        </w:rPr>
        <w:t xml:space="preserve">À mon avis, la réparation appropriée consiste à déclarer qu’il y a eu violation des droits garantis par le </w:t>
      </w:r>
      <w:r>
        <w:rPr>
          <w:rFonts w:cs="Times New Roman"/>
          <w:lang w:val="fr-CA"/>
        </w:rPr>
        <w:t>par. </w:t>
      </w:r>
      <w:r w:rsidRPr="00807A5C">
        <w:rPr>
          <w:rFonts w:cs="Times New Roman"/>
          <w:lang w:val="fr-CA"/>
        </w:rPr>
        <w:t>15(1) aux membres à temps plein de la GRC qui réduisent temporairement leurs heures de travail dans le cadre d’une entente de partage de poste, du fait de l’incapacité de ces membres de racheter leur période de service à temps plein ouvrant droit à pension. Il appartient au gouvernement d’élaborer une méthode pour faciliter le rachat de périodes de service ouvrant droit à pension, mais toute mesure corrective prise par le gouvernement devra être conforme aux motifs de notre Cour. Cette mesure devrait également avoir un effet rétroactif afin d’accorder une véritable réparation aux demanderesses en l’espèce et à d’autres personnes se trouvant dans la même situation qu’elles (</w:t>
      </w:r>
      <w:r w:rsidRPr="00807A5C">
        <w:rPr>
          <w:rFonts w:cs="Times New Roman"/>
          <w:i/>
          <w:lang w:val="fr-CA" w:bidi="en-US"/>
        </w:rPr>
        <w:t>Vancouver (Ville) c. Ward</w:t>
      </w:r>
      <w:r w:rsidRPr="00807A5C">
        <w:rPr>
          <w:rFonts w:cs="Times New Roman"/>
          <w:lang w:val="fr-CA" w:bidi="en-US"/>
        </w:rPr>
        <w:t xml:space="preserve">, [2010] 2 R.C.S. 28, </w:t>
      </w:r>
      <w:r>
        <w:rPr>
          <w:rFonts w:cs="Times New Roman"/>
          <w:lang w:val="fr-CA" w:bidi="en-US"/>
        </w:rPr>
        <w:lastRenderedPageBreak/>
        <w:t>par. </w:t>
      </w:r>
      <w:r w:rsidRPr="00807A5C">
        <w:rPr>
          <w:rFonts w:cs="Times New Roman"/>
          <w:lang w:val="fr-CA" w:bidi="en-US"/>
        </w:rPr>
        <w:t xml:space="preserve">20; </w:t>
      </w:r>
      <w:r w:rsidRPr="00807A5C">
        <w:rPr>
          <w:rFonts w:cs="Times New Roman"/>
          <w:i/>
          <w:lang w:val="fr-CA" w:bidi="en-US"/>
        </w:rPr>
        <w:t>Doucet</w:t>
      </w:r>
      <w:r>
        <w:rPr>
          <w:rFonts w:cs="Times New Roman"/>
          <w:i/>
          <w:lang w:val="fr-CA" w:bidi="en-US"/>
        </w:rPr>
        <w:noBreakHyphen/>
      </w:r>
      <w:r w:rsidRPr="00807A5C">
        <w:rPr>
          <w:rFonts w:cs="Times New Roman"/>
          <w:i/>
          <w:lang w:val="fr-CA" w:bidi="en-US"/>
        </w:rPr>
        <w:t>Boudreau c. Nouvelle</w:t>
      </w:r>
      <w:r>
        <w:rPr>
          <w:rFonts w:cs="Times New Roman"/>
          <w:i/>
          <w:lang w:val="fr-CA" w:bidi="en-US"/>
        </w:rPr>
        <w:noBreakHyphen/>
      </w:r>
      <w:r w:rsidRPr="00807A5C">
        <w:rPr>
          <w:rFonts w:cs="Times New Roman"/>
          <w:i/>
          <w:lang w:val="fr-CA" w:bidi="en-US"/>
        </w:rPr>
        <w:t>Écosse (Ministre de l’Éducation)</w:t>
      </w:r>
      <w:r w:rsidRPr="00807A5C">
        <w:rPr>
          <w:rFonts w:cs="Times New Roman"/>
          <w:lang w:val="fr-CA" w:bidi="en-US"/>
        </w:rPr>
        <w:t xml:space="preserve">, [2003] 3 R.C.S. 3, </w:t>
      </w:r>
      <w:r>
        <w:rPr>
          <w:rFonts w:cs="Times New Roman"/>
          <w:lang w:val="fr-CA" w:bidi="en-US"/>
        </w:rPr>
        <w:t>par. </w:t>
      </w:r>
      <w:r w:rsidRPr="00807A5C">
        <w:rPr>
          <w:rFonts w:cs="Times New Roman"/>
          <w:lang w:val="fr-CA" w:bidi="en-US"/>
        </w:rPr>
        <w:t>55</w:t>
      </w:r>
      <w:r>
        <w:rPr>
          <w:rFonts w:cs="Times New Roman"/>
          <w:lang w:val="fr-CA" w:bidi="en-US"/>
        </w:rPr>
        <w:noBreakHyphen/>
      </w:r>
      <w:r w:rsidRPr="00807A5C">
        <w:rPr>
          <w:rFonts w:cs="Times New Roman"/>
          <w:lang w:val="fr-CA" w:bidi="en-US"/>
        </w:rPr>
        <w:t>58</w:t>
      </w:r>
      <w:r w:rsidRPr="00807A5C">
        <w:rPr>
          <w:rFonts w:cs="Times New Roman"/>
          <w:lang w:val="fr-CA"/>
        </w:rPr>
        <w:t>).</w:t>
      </w:r>
    </w:p>
    <w:p w14:paraId="6BA3E6BB" w14:textId="447333EE" w:rsidR="00804EA2" w:rsidRPr="007F13DD" w:rsidRDefault="00804EA2" w:rsidP="00804EA2">
      <w:pPr>
        <w:pStyle w:val="ParaNoNdepar-AltN"/>
        <w:rPr>
          <w:rStyle w:val="SCCCounselPartyRoleChar"/>
          <w:rFonts w:cs="Times New Roman"/>
          <w:lang w:val="fr-CA"/>
        </w:rPr>
      </w:pPr>
      <w:r w:rsidRPr="00807A5C">
        <w:rPr>
          <w:rFonts w:cs="Times New Roman"/>
          <w:lang w:val="fr-CA"/>
        </w:rPr>
        <w:t>J’accueillerais le pourvoi, avec dépens devant toutes les cours.</w:t>
      </w:r>
    </w:p>
    <w:p w14:paraId="4AFDBFB2" w14:textId="7FA7B2CB" w:rsidR="00804EA2" w:rsidRPr="007F13DD" w:rsidRDefault="00804EA2" w:rsidP="007F13DD">
      <w:pPr>
        <w:spacing w:after="480"/>
        <w:ind w:left="1166"/>
        <w:rPr>
          <w:rFonts w:eastAsia="Calibri"/>
          <w:lang w:val="fr-CA"/>
        </w:rPr>
      </w:pPr>
      <w:r w:rsidRPr="004E526C">
        <w:rPr>
          <w:rFonts w:eastAsia="Calibri"/>
          <w:lang w:val="fr-CA"/>
        </w:rPr>
        <w:t>Version française des motifs rendus par</w:t>
      </w:r>
    </w:p>
    <w:p w14:paraId="1EA57399" w14:textId="780C724E" w:rsidR="00804EA2" w:rsidRPr="0062272F" w:rsidRDefault="00804EA2" w:rsidP="00804EA2">
      <w:pPr>
        <w:pStyle w:val="JudgeJuge"/>
        <w:spacing w:before="480"/>
        <w:rPr>
          <w:lang w:val="fr-CA"/>
        </w:rPr>
      </w:pPr>
      <w:r w:rsidRPr="0062272F">
        <w:rPr>
          <w:lang w:val="fr-CA"/>
        </w:rPr>
        <w:tab/>
        <w:t>Les juges Brown et Rowe</w:t>
      </w:r>
      <w:r w:rsidR="007F13DD">
        <w:rPr>
          <w:lang w:val="fr-CA"/>
        </w:rPr>
        <w:t xml:space="preserve"> </w:t>
      </w:r>
      <w:r w:rsidR="007F13DD">
        <w:rPr>
          <w:rFonts w:eastAsia="Calibri"/>
          <w:lang w:val="fr-CA"/>
        </w:rPr>
        <w:t>(</w:t>
      </w:r>
      <w:r w:rsidR="007F13DD" w:rsidRPr="007F13DD">
        <w:rPr>
          <w:rFonts w:eastAsia="Calibri"/>
          <w:smallCaps w:val="0"/>
          <w:lang w:val="fr-CA"/>
        </w:rPr>
        <w:t>dissidents</w:t>
      </w:r>
      <w:r w:rsidR="007F13DD">
        <w:rPr>
          <w:rFonts w:eastAsia="Calibri"/>
          <w:lang w:val="fr-CA"/>
        </w:rPr>
        <w:t>)</w:t>
      </w:r>
      <w:r w:rsidRPr="0062272F">
        <w:rPr>
          <w:lang w:val="fr-CA"/>
        </w:rPr>
        <w:t xml:space="preserve"> — </w:t>
      </w:r>
    </w:p>
    <w:p w14:paraId="4C507A0A" w14:textId="77777777" w:rsidR="00804EA2" w:rsidRPr="0062272F" w:rsidRDefault="00804EA2" w:rsidP="00804EA2">
      <w:pPr>
        <w:pStyle w:val="Title1LevelTitre1Niveau-AltL"/>
        <w:rPr>
          <w:rFonts w:cs="Times New Roman"/>
          <w:lang w:val="fr-CA"/>
        </w:rPr>
      </w:pPr>
      <w:r w:rsidRPr="0062272F">
        <w:rPr>
          <w:rFonts w:cs="Times New Roman"/>
          <w:lang w:val="fr-CA"/>
        </w:rPr>
        <w:t>Introduction</w:t>
      </w:r>
    </w:p>
    <w:p w14:paraId="4666BA15" w14:textId="768D24B9" w:rsidR="00804EA2" w:rsidRPr="0062272F" w:rsidRDefault="00804EA2" w:rsidP="00804EA2">
      <w:pPr>
        <w:pStyle w:val="ParaNoNdepar-AltN"/>
        <w:rPr>
          <w:lang w:val="fr-CA"/>
        </w:rPr>
      </w:pPr>
      <w:r w:rsidRPr="0062272F">
        <w:rPr>
          <w:lang w:val="fr-CA"/>
        </w:rPr>
        <w:t>Dans une certaine mesure, le présent pourvoi pose une question fort simple : le fait de calculer le montant de prestations de pension en fonction des heures de travail effectuées constitue</w:t>
      </w:r>
      <w:r w:rsidRPr="0062272F">
        <w:rPr>
          <w:lang w:val="fr-CA"/>
        </w:rPr>
        <w:noBreakHyphen/>
        <w:t>t</w:t>
      </w:r>
      <w:r w:rsidRPr="0062272F">
        <w:rPr>
          <w:lang w:val="fr-CA"/>
        </w:rPr>
        <w:noBreakHyphen/>
        <w:t xml:space="preserve">il un acte discriminatoire? La Gendarmerie royale du Canada (« GRC ») permet à deux ou à plusieurs de ses membres réguliers (« membres ») de partager un poste à temps plein au moyen de la formule du « partage de poste ». Les prestations de pension des membres qui partagent un poste sont, à l’instar de celles de tous les autres membres, déterminées conformément à la </w:t>
      </w:r>
      <w:r w:rsidRPr="0062272F">
        <w:rPr>
          <w:i/>
          <w:lang w:val="fr-CA"/>
        </w:rPr>
        <w:t>Loi sur la pension de retraite de la Gendarmerie royale du Canada</w:t>
      </w:r>
      <w:r w:rsidR="002F6DFD">
        <w:rPr>
          <w:lang w:val="fr-CA"/>
        </w:rPr>
        <w:t>, L.R.C.</w:t>
      </w:r>
      <w:r w:rsidRPr="0062272F">
        <w:rPr>
          <w:lang w:val="fr-CA"/>
        </w:rPr>
        <w:t xml:space="preserve"> 1985, c. R</w:t>
      </w:r>
      <w:r w:rsidRPr="0062272F">
        <w:rPr>
          <w:lang w:val="fr-CA"/>
        </w:rPr>
        <w:noBreakHyphen/>
        <w:t xml:space="preserve">11, et du </w:t>
      </w:r>
      <w:r w:rsidRPr="0062272F">
        <w:rPr>
          <w:i/>
          <w:lang w:val="fr-CA"/>
        </w:rPr>
        <w:t>Règlement sur la pension de retraite de la Gendarmerie royale du Canada</w:t>
      </w:r>
      <w:r w:rsidRPr="0062272F">
        <w:rPr>
          <w:lang w:val="fr-CA"/>
        </w:rPr>
        <w:t xml:space="preserve">, C.R.C., c. 1393 (appelés collectivement le « régime »). Aux termes du régime, les prestations de pension des membres qui partagent un poste sont calculées au prorata des heures qu’ils ont travaillées au cours de la période visée par le partage de poste. </w:t>
      </w:r>
    </w:p>
    <w:p w14:paraId="6DFD9968" w14:textId="77777777" w:rsidR="00804EA2" w:rsidRPr="0062272F" w:rsidRDefault="00804EA2" w:rsidP="00804EA2">
      <w:pPr>
        <w:pStyle w:val="ParaNoNdepar-AltN"/>
        <w:rPr>
          <w:rFonts w:cs="Times New Roman"/>
          <w:lang w:val="fr-CA"/>
        </w:rPr>
      </w:pPr>
      <w:r w:rsidRPr="0062272F">
        <w:rPr>
          <w:rFonts w:cs="Times New Roman"/>
          <w:lang w:val="fr-CA"/>
        </w:rPr>
        <w:lastRenderedPageBreak/>
        <w:t xml:space="preserve">En plus de l’option du partage de poste, la GRC offre à ses membres la possibilité de prendre un congé non payé et de « racheter » des droits à pension à leur retour au travail au terme d’un long congé non payé. </w:t>
      </w:r>
    </w:p>
    <w:p w14:paraId="34F32C8F" w14:textId="77777777" w:rsidR="00804EA2" w:rsidRPr="0062272F" w:rsidRDefault="00804EA2" w:rsidP="00804EA2">
      <w:pPr>
        <w:pStyle w:val="ParaNoNdepar-AltN"/>
        <w:rPr>
          <w:rFonts w:cs="Times New Roman"/>
          <w:lang w:val="fr-CA"/>
        </w:rPr>
      </w:pPr>
      <w:r w:rsidRPr="0062272F">
        <w:rPr>
          <w:rFonts w:cs="Times New Roman"/>
          <w:lang w:val="fr-CA"/>
        </w:rPr>
        <w:t xml:space="preserve">Reconnaissant les obstacles auxquels, en raison du partage inégal des responsabilités parentales au sein de la société, les femmes qui veulent poursuivre une carrière sont confrontées, la GRC a cherché à offrir des modalités de travail flexibles par sa politique de partage de poste et par les dispositions relatives aux congés non payés. Dans le cas des membres qui ont des responsabilités parentales, le partage de poste répond aux besoins de ceux d’entre eux qui peuvent conserver un lien sur le plan opérationnel avec la Gendarmerie et qui souhaitent garder leurs compétences policières à jour, alors que les congés non payés s’adressent à ceux qui quittent temporairement la Gendarmerie en leur permettant de revenir au travail sans avoir à subir de contraintes financières excessives. Le régime et la politique de la GRC sur le partage de poste ne sont pas incompatibles avec la conception de l’égalité qui est à la base de l’art. 15 de la </w:t>
      </w:r>
      <w:r w:rsidRPr="0062272F">
        <w:rPr>
          <w:rFonts w:cs="Times New Roman"/>
          <w:i/>
          <w:lang w:val="fr-CA"/>
        </w:rPr>
        <w:t>Charte canadienne des droits et libertés</w:t>
      </w:r>
      <w:r w:rsidRPr="0062272F">
        <w:rPr>
          <w:rFonts w:cs="Times New Roman"/>
          <w:lang w:val="fr-CA"/>
        </w:rPr>
        <w:t xml:space="preserve">, mais représentent plutôt une mesure visant à </w:t>
      </w:r>
      <w:r w:rsidRPr="0062272F">
        <w:rPr>
          <w:rFonts w:cs="Times New Roman"/>
          <w:i/>
          <w:iCs/>
          <w:lang w:val="fr-CA"/>
        </w:rPr>
        <w:t>s’adapter aux besoins</w:t>
      </w:r>
      <w:r w:rsidRPr="0062272F">
        <w:rPr>
          <w:rFonts w:cs="Times New Roman"/>
          <w:lang w:val="fr-CA"/>
        </w:rPr>
        <w:t xml:space="preserve"> des employés en tenant compte de leur situation particulière. </w:t>
      </w:r>
    </w:p>
    <w:p w14:paraId="70013480" w14:textId="77777777" w:rsidR="00804EA2" w:rsidRPr="0062272F" w:rsidRDefault="00804EA2" w:rsidP="00804EA2">
      <w:pPr>
        <w:pStyle w:val="ParaNoNdepar-AltN"/>
        <w:rPr>
          <w:rFonts w:cs="Times New Roman"/>
          <w:lang w:val="fr-CA"/>
        </w:rPr>
      </w:pPr>
      <w:r w:rsidRPr="0062272F">
        <w:rPr>
          <w:rFonts w:cs="Times New Roman"/>
          <w:lang w:val="fr-CA"/>
        </w:rPr>
        <w:t xml:space="preserve">Et pourtant, notre collègue la juge Abella estime que les aspects susmentionnés du régime sont inconstitutionnels. Elle évoque les désavantages historiques auxquels les femmes se sont toujours heurtées sur le marché du travail pour ensuite conclure, en réalité, que le régime ne corrige pas suffisamment ces désavantages. On peut arriver à cette conclusion pour des raisons de principe, mais ce </w:t>
      </w:r>
      <w:r w:rsidRPr="0062272F">
        <w:rPr>
          <w:rFonts w:cs="Times New Roman"/>
          <w:lang w:val="fr-CA"/>
        </w:rPr>
        <w:lastRenderedPageBreak/>
        <w:t xml:space="preserve">n’est pas la question à trancher. La question consiste plutôt à déterminer si la Constitution habilite — ou même oblige — en droit les tribunaux à substituer leurs vues sur les moyens de corriger ces désavantages à celles du législateur ou du pouvoir exécutif. </w:t>
      </w:r>
    </w:p>
    <w:p w14:paraId="7948086F" w14:textId="02EF2195" w:rsidR="00804EA2" w:rsidRPr="0062272F" w:rsidRDefault="00804EA2" w:rsidP="00804EA2">
      <w:pPr>
        <w:pStyle w:val="ParaNoNdepar-AltN"/>
        <w:rPr>
          <w:rFonts w:cs="Times New Roman"/>
          <w:lang w:val="fr-CA"/>
        </w:rPr>
      </w:pPr>
      <w:r w:rsidRPr="0062272F">
        <w:rPr>
          <w:rFonts w:cs="Times New Roman"/>
          <w:lang w:val="fr-CA"/>
        </w:rPr>
        <w:t xml:space="preserve">Le cas qui nous occupe est inusité, en ce sens qu’il est admis que le législateur fédéral n’avait aucune obligation d’adopter le régime (voir, par ex., la transcription de l’audience, p. 66), et que rien ne l’empêche non plus de l’abroger (voir </w:t>
      </w:r>
      <w:r w:rsidRPr="0062272F">
        <w:rPr>
          <w:rFonts w:cs="Times New Roman"/>
          <w:i/>
          <w:lang w:val="fr-CA"/>
        </w:rPr>
        <w:t>Québec (Procureur</w:t>
      </w:r>
      <w:r w:rsidR="00F9545E">
        <w:rPr>
          <w:rFonts w:cs="Times New Roman"/>
          <w:i/>
          <w:lang w:val="fr-CA"/>
        </w:rPr>
        <w:t>e</w:t>
      </w:r>
      <w:r w:rsidRPr="0062272F">
        <w:rPr>
          <w:rFonts w:cs="Times New Roman"/>
          <w:i/>
          <w:lang w:val="fr-CA"/>
        </w:rPr>
        <w:t xml:space="preserve"> général</w:t>
      </w:r>
      <w:r w:rsidR="00F9545E">
        <w:rPr>
          <w:rFonts w:cs="Times New Roman"/>
          <w:i/>
          <w:lang w:val="fr-CA"/>
        </w:rPr>
        <w:t>e</w:t>
      </w:r>
      <w:r w:rsidRPr="0062272F">
        <w:rPr>
          <w:rFonts w:cs="Times New Roman"/>
          <w:i/>
          <w:lang w:val="fr-CA"/>
        </w:rPr>
        <w:t>) c. Canada (Procureur général)</w:t>
      </w:r>
      <w:r w:rsidRPr="0062272F">
        <w:rPr>
          <w:rFonts w:cs="Times New Roman"/>
          <w:lang w:val="fr-CA"/>
        </w:rPr>
        <w:t xml:space="preserve">, 2015 CSC 14, [2015] 1 R.C.S. 693, par. 25; </w:t>
      </w:r>
      <w:r w:rsidRPr="0062272F">
        <w:rPr>
          <w:rFonts w:cs="Times New Roman"/>
          <w:i/>
          <w:lang w:val="fr-CA"/>
        </w:rPr>
        <w:t>Québec (Procureur général) c. Alliance du personnel professionnel et technique de la santé et des services sociaux</w:t>
      </w:r>
      <w:r w:rsidRPr="0062272F">
        <w:rPr>
          <w:rFonts w:cs="Times New Roman"/>
          <w:lang w:val="fr-CA"/>
        </w:rPr>
        <w:t>,</w:t>
      </w:r>
      <w:r w:rsidRPr="0062272F">
        <w:rPr>
          <w:rFonts w:cs="Times New Roman"/>
          <w:i/>
          <w:lang w:val="fr-CA"/>
        </w:rPr>
        <w:t xml:space="preserve"> </w:t>
      </w:r>
      <w:r w:rsidRPr="0062272F">
        <w:rPr>
          <w:rFonts w:cs="Times New Roman"/>
          <w:lang w:val="fr-CA"/>
        </w:rPr>
        <w:t>2018 CSC 17, [2018] 1 R.C.S. 464, par. 33). Mais si l’on suit jusqu’au bout le raisonnement de notre collègue, ne doit</w:t>
      </w:r>
      <w:r w:rsidRPr="0062272F">
        <w:rPr>
          <w:rFonts w:cs="Times New Roman"/>
          <w:lang w:val="fr-CA"/>
        </w:rPr>
        <w:noBreakHyphen/>
        <w:t>on pas conclure que les gouvernements — tant fédéral que provinciaux — ont l’obligation au titre du par. 15(1) de prendre des mesures pour faire disparaître toutes les conséquences des désavantages historiques</w:t>
      </w:r>
      <w:r w:rsidRPr="0062272F">
        <w:rPr>
          <w:rFonts w:cs="Times New Roman"/>
          <w:i/>
          <w:iCs/>
          <w:lang w:val="fr-CA"/>
        </w:rPr>
        <w:t xml:space="preserve"> et</w:t>
      </w:r>
      <w:r w:rsidRPr="0062272F">
        <w:rPr>
          <w:rFonts w:cs="Times New Roman"/>
          <w:lang w:val="fr-CA"/>
        </w:rPr>
        <w:t xml:space="preserve"> que la Constitution les empêche d’abroger ou même de modifier ces mêmes mesures? Ce sont des questions d’ordre public complexes qu’aucun tribunal canadien n’est institutionnellement compétent pour trancher. </w:t>
      </w:r>
    </w:p>
    <w:p w14:paraId="5B7886EE" w14:textId="77777777" w:rsidR="00804EA2" w:rsidRPr="0062272F" w:rsidRDefault="00804EA2" w:rsidP="00804EA2">
      <w:pPr>
        <w:pStyle w:val="ParaNoNdepar-AltN"/>
        <w:rPr>
          <w:rFonts w:cs="Times New Roman"/>
          <w:lang w:val="fr-CA"/>
        </w:rPr>
      </w:pPr>
      <w:r w:rsidRPr="0062272F">
        <w:rPr>
          <w:rFonts w:cs="Times New Roman"/>
          <w:lang w:val="fr-CA"/>
        </w:rPr>
        <w:t xml:space="preserve">Le raisonnement suivi par notre collègue en l’espèce jette précisément les bases de cette thèse. Son raisonnement a notamment pour effet d’écarter ce que notre Cour a récemment déclaré dans l’arrêt </w:t>
      </w:r>
      <w:r w:rsidRPr="0062272F">
        <w:rPr>
          <w:rFonts w:cs="Times New Roman"/>
          <w:i/>
          <w:lang w:val="fr-CA"/>
        </w:rPr>
        <w:t>Alliance</w:t>
      </w:r>
      <w:r w:rsidRPr="0062272F">
        <w:rPr>
          <w:rFonts w:cs="Times New Roman"/>
          <w:lang w:val="fr-CA"/>
        </w:rPr>
        <w:t>, lorsqu’elle affirmait que l’État peut « </w:t>
      </w:r>
      <w:r w:rsidRPr="0062272F">
        <w:rPr>
          <w:rFonts w:cs="Times New Roman"/>
          <w:shd w:val="clear" w:color="auto" w:fill="FFFFFF"/>
          <w:lang w:val="fr-CA"/>
        </w:rPr>
        <w:t xml:space="preserve">agir </w:t>
      </w:r>
      <w:r w:rsidRPr="0062272F">
        <w:rPr>
          <w:rFonts w:cs="Times New Roman"/>
          <w:u w:val="single"/>
          <w:shd w:val="clear" w:color="auto" w:fill="FFFFFF"/>
          <w:lang w:val="fr-CA"/>
        </w:rPr>
        <w:t>de manière graduelle</w:t>
      </w:r>
      <w:r w:rsidRPr="0062272F">
        <w:rPr>
          <w:rFonts w:cs="Times New Roman"/>
          <w:shd w:val="clear" w:color="auto" w:fill="FFFFFF"/>
          <w:lang w:val="fr-CA"/>
        </w:rPr>
        <w:t xml:space="preserve"> pour s’attaquer aux inégalités systémiques »</w:t>
      </w:r>
      <w:r w:rsidRPr="0062272F">
        <w:rPr>
          <w:rFonts w:cs="Times New Roman"/>
          <w:lang w:val="fr-CA"/>
        </w:rPr>
        <w:t xml:space="preserve"> (par. 42, (nous </w:t>
      </w:r>
      <w:r w:rsidRPr="0062272F">
        <w:rPr>
          <w:rFonts w:cs="Times New Roman"/>
          <w:lang w:val="fr-CA"/>
        </w:rPr>
        <w:lastRenderedPageBreak/>
        <w:t xml:space="preserve">soulignons)). Le fait que le régime </w:t>
      </w:r>
      <w:r w:rsidRPr="0062272F">
        <w:rPr>
          <w:rFonts w:cs="Times New Roman"/>
          <w:i/>
          <w:iCs/>
          <w:lang w:val="fr-CA"/>
        </w:rPr>
        <w:t xml:space="preserve">n’élimine </w:t>
      </w:r>
      <w:r w:rsidRPr="0062272F">
        <w:rPr>
          <w:rFonts w:cs="Times New Roman"/>
          <w:lang w:val="fr-CA"/>
        </w:rPr>
        <w:t xml:space="preserve">pas le désavantage ne signifie pas que ce régime mérite d’être censuré au motif qu’il est « discriminatoire ». Si l’on examine le régime dans son ensemble et si l’on tient dûment compte de son objet, on constate plutôt qu’il offre une série de prestations conçues pour tenir compte des besoins de certains employés de la GRC pendant les années où ils s’occupent de l’éducation de leurs enfants, et que ces prestations sont calculées au prorata des heures travaillées. Peu importe l’angle sous lequel on l’envisage, le par. 15(1) ne saurait avoir pour conséquence d’entraver les mesures prises par l’État pour corriger des inégalités historiques. </w:t>
      </w:r>
    </w:p>
    <w:p w14:paraId="39DD3500" w14:textId="77777777" w:rsidR="00804EA2" w:rsidRPr="0062272F" w:rsidRDefault="00804EA2" w:rsidP="00804EA2">
      <w:pPr>
        <w:pStyle w:val="ParaNoNdepar-AltN"/>
        <w:rPr>
          <w:rFonts w:cs="Times New Roman"/>
          <w:lang w:val="fr-CA"/>
        </w:rPr>
      </w:pPr>
      <w:r w:rsidRPr="0062272F">
        <w:rPr>
          <w:rFonts w:cs="Times New Roman"/>
          <w:lang w:val="fr-CA"/>
        </w:rPr>
        <w:t xml:space="preserve">Toutes ces considérations soulèvent dans le présent pourvoi un enjeu plus fondamental qui, comme nous avons pu le constater, a été exprimé à plusieurs reprises par des juristes, mais dont notre Cour n’a pas encore pris acte. Comme il n’a pas été défini — sauf pour expliquer ce qu’il </w:t>
      </w:r>
      <w:r w:rsidRPr="0062272F">
        <w:rPr>
          <w:rFonts w:cs="Times New Roman"/>
          <w:i/>
          <w:iCs/>
          <w:lang w:val="fr-CA"/>
        </w:rPr>
        <w:t>n’est pas</w:t>
      </w:r>
      <w:r w:rsidRPr="0062272F">
        <w:rPr>
          <w:rFonts w:cs="Times New Roman"/>
          <w:lang w:val="fr-CA"/>
        </w:rPr>
        <w:t xml:space="preserve">, en l’occurrence « une égalité formelle » —, le critère de « l’égalité réelle » que notre Cour applique pour se prononcer sur les revendications de droits fondées sur le par. 15(1) est devenu un concept théorique général et flou dont les tribunaux peuvent se servir pour privilégier, sans le dire expressément, leurs propres préférences en matière de principes. Comme nous l’expliquons plus loin, la présente affaire est, en toute déférence pour l’opinion contraire, un exemple de cette malléabilité intrinsèque à laquelle on recourt pour invalider un régime qui, après tout, était conçu à l’origine pour améliorer une situation. </w:t>
      </w:r>
    </w:p>
    <w:p w14:paraId="764700FC" w14:textId="77777777" w:rsidR="00804EA2" w:rsidRPr="0062272F" w:rsidRDefault="00804EA2" w:rsidP="00804EA2">
      <w:pPr>
        <w:pStyle w:val="ParaNoNdepar-AltN"/>
        <w:rPr>
          <w:rFonts w:cs="Times New Roman"/>
          <w:lang w:val="fr-CA"/>
        </w:rPr>
      </w:pPr>
      <w:r w:rsidRPr="0062272F">
        <w:rPr>
          <w:rFonts w:cs="Times New Roman"/>
          <w:lang w:val="fr-CA"/>
        </w:rPr>
        <w:lastRenderedPageBreak/>
        <w:t>Les dispositions contestées du régime ne sont pas inconstitutionnelles. Pour les motifs qui suivent, nous sommes d’avis de rejeter le pourvoi. </w:t>
      </w:r>
    </w:p>
    <w:p w14:paraId="1CFDC866" w14:textId="77777777" w:rsidR="00804EA2" w:rsidRPr="0062272F" w:rsidRDefault="00804EA2" w:rsidP="00804EA2">
      <w:pPr>
        <w:pStyle w:val="Title1LevelTitre1Niveau-AltL"/>
        <w:rPr>
          <w:rFonts w:cs="Times New Roman"/>
          <w:lang w:val="fr-CA"/>
        </w:rPr>
      </w:pPr>
      <w:r w:rsidRPr="0062272F">
        <w:rPr>
          <w:rFonts w:cs="Times New Roman"/>
          <w:lang w:val="fr-CA"/>
        </w:rPr>
        <w:t>Les faits</w:t>
      </w:r>
    </w:p>
    <w:p w14:paraId="4EFDA67A" w14:textId="77777777" w:rsidR="00804EA2" w:rsidRPr="0062272F" w:rsidRDefault="00804EA2" w:rsidP="00804EA2">
      <w:pPr>
        <w:pStyle w:val="ParaNoNdepar-AltN"/>
        <w:rPr>
          <w:rFonts w:cs="Times New Roman"/>
          <w:lang w:val="fr-CA"/>
        </w:rPr>
      </w:pPr>
      <w:r w:rsidRPr="0062272F">
        <w:rPr>
          <w:rFonts w:cs="Times New Roman"/>
          <w:lang w:val="fr-CA"/>
        </w:rPr>
        <w:t>Bien que nous soyons dans l’ensemble d’accord avec le récit des faits de notre collègue, nous tenons à ajouter quelques observations au sujet du statut d’employée des appelantes. L’exposé de notre collègue occulte par ailleurs certains aspects clés du fonctionnement du régime, ce qui n’est pas négligeable, puisqu’il est essentiel de comprendre le régime et le cadre législatif sous</w:t>
      </w:r>
      <w:r w:rsidRPr="0062272F">
        <w:rPr>
          <w:rFonts w:cs="Times New Roman"/>
          <w:lang w:val="fr-CA"/>
        </w:rPr>
        <w:noBreakHyphen/>
        <w:t xml:space="preserve">jacent </w:t>
      </w:r>
      <w:r w:rsidRPr="0062272F">
        <w:rPr>
          <w:rFonts w:cs="Times New Roman"/>
          <w:i/>
          <w:iCs/>
          <w:lang w:val="fr-CA"/>
        </w:rPr>
        <w:t xml:space="preserve">dans leur totalité </w:t>
      </w:r>
      <w:r w:rsidRPr="0062272F">
        <w:rPr>
          <w:rFonts w:cs="Times New Roman"/>
          <w:lang w:val="fr-CA"/>
        </w:rPr>
        <w:t>pour pouvoir statuer sur une demande fondée sur l’art. 15. Comme notre Cour l’a déjà expliqué :</w:t>
      </w:r>
    </w:p>
    <w:p w14:paraId="73E883B6" w14:textId="57866F35" w:rsidR="00804EA2" w:rsidRPr="0062272F" w:rsidRDefault="00804EA2" w:rsidP="000C076E">
      <w:pPr>
        <w:pStyle w:val="Citation-AltC"/>
        <w:spacing w:after="480"/>
        <w:ind w:hanging="1166"/>
        <w:contextualSpacing w:val="0"/>
        <w:rPr>
          <w:lang w:val="fr-CA"/>
        </w:rPr>
      </w:pPr>
      <w:r w:rsidRPr="0062272F">
        <w:rPr>
          <w:shd w:val="clear" w:color="auto" w:fill="FFFFFF"/>
          <w:lang w:val="fr-CA"/>
        </w:rPr>
        <w:tab/>
      </w:r>
      <w:r w:rsidR="000C076E">
        <w:rPr>
          <w:shd w:val="clear" w:color="auto" w:fill="FFFFFF"/>
          <w:lang w:val="fr-CA"/>
        </w:rPr>
        <w:tab/>
      </w:r>
      <w:r w:rsidRPr="0062272F">
        <w:rPr>
          <w:shd w:val="clear" w:color="auto" w:fill="FFFFFF"/>
          <w:lang w:val="fr-CA"/>
        </w:rPr>
        <w:t xml:space="preserve">Lorsque [. . .] la distinction invoquée est le déni d’un avantage prévu par un régime légal de prestations applicable à un grand nombre de personnes, l’évaluation du caractère discriminatoire doit être axée sur l’objet de la mesure contestée, </w:t>
      </w:r>
      <w:r w:rsidRPr="0062272F">
        <w:rPr>
          <w:u w:val="single"/>
          <w:shd w:val="clear" w:color="auto" w:fill="FFFFFF"/>
          <w:lang w:val="fr-CA"/>
        </w:rPr>
        <w:t>dans le contexte global du régime législatif, compte tenu de l’ensemble des bénéficiaires potentiels</w:t>
      </w:r>
      <w:r w:rsidRPr="0062272F">
        <w:rPr>
          <w:lang w:val="fr-CA"/>
        </w:rPr>
        <w:t>. [Nous soulignons.]</w:t>
      </w:r>
    </w:p>
    <w:p w14:paraId="3A11E4D0" w14:textId="320D1170" w:rsidR="00804EA2" w:rsidRPr="0062272F" w:rsidRDefault="00804EA2" w:rsidP="000C076E">
      <w:pPr>
        <w:pStyle w:val="Citation-AltC"/>
        <w:ind w:left="0"/>
        <w:rPr>
          <w:lang w:val="fr-CA"/>
        </w:rPr>
      </w:pPr>
      <w:r w:rsidRPr="0062272F">
        <w:rPr>
          <w:lang w:val="fr-CA"/>
        </w:rPr>
        <w:t>(</w:t>
      </w:r>
      <w:r w:rsidRPr="0062272F">
        <w:rPr>
          <w:i/>
          <w:lang w:val="fr-CA"/>
        </w:rPr>
        <w:t>Withler c. Canada (Procureur général)</w:t>
      </w:r>
      <w:r w:rsidRPr="0062272F">
        <w:rPr>
          <w:lang w:val="fr-CA"/>
        </w:rPr>
        <w:t>, 2011 CSC 12, [2011] 1 R.C.S. 396, par. 3)</w:t>
      </w:r>
    </w:p>
    <w:p w14:paraId="5B83D79A" w14:textId="77777777" w:rsidR="00804EA2" w:rsidRPr="0062272F" w:rsidRDefault="00804EA2" w:rsidP="00804EA2">
      <w:pPr>
        <w:pStyle w:val="Title2LevelTitre2Niveau"/>
        <w:rPr>
          <w:rFonts w:cs="Times New Roman"/>
          <w:lang w:val="fr-CA"/>
        </w:rPr>
      </w:pPr>
      <w:r w:rsidRPr="0062272F">
        <w:rPr>
          <w:rFonts w:cs="Times New Roman"/>
          <w:lang w:val="fr-CA"/>
        </w:rPr>
        <w:t>Le statut d’employée des appelantes</w:t>
      </w:r>
    </w:p>
    <w:p w14:paraId="6BF31931" w14:textId="77777777" w:rsidR="00804EA2" w:rsidRPr="0062272F" w:rsidRDefault="00804EA2" w:rsidP="00804EA2">
      <w:pPr>
        <w:pStyle w:val="ParaNoNdepar-AltN"/>
        <w:rPr>
          <w:rFonts w:cs="Times New Roman"/>
          <w:lang w:val="fr-CA"/>
        </w:rPr>
      </w:pPr>
      <w:r w:rsidRPr="0062272F">
        <w:rPr>
          <w:rFonts w:cs="Times New Roman"/>
          <w:lang w:val="fr-CA"/>
        </w:rPr>
        <w:t xml:space="preserve">Notre collègue ne traite pas directement du statut d’employée des appelantes. Au paragraphe 21, elle fait observer que les appelantes ont soutenu que « le régime de pension, interprété correctement, permet à ceux qui participent au programme de partage de poste de racheter des périodes de service à temps plein </w:t>
      </w:r>
      <w:r w:rsidRPr="0062272F">
        <w:rPr>
          <w:rFonts w:cs="Times New Roman"/>
          <w:lang w:val="fr-CA"/>
        </w:rPr>
        <w:lastRenderedPageBreak/>
        <w:t xml:space="preserve">ouvrant droit à pension ». Ce passage renvoie à une des questions qui étaient soumises à la Cour fédérale : les appelantes affirmaient que les employés qui partageaient un poste </w:t>
      </w:r>
      <w:r w:rsidRPr="0062272F">
        <w:rPr>
          <w:rFonts w:cs="Times New Roman"/>
          <w:shd w:val="clear" w:color="auto" w:fill="FFFFFF"/>
          <w:lang w:val="fr-CA"/>
        </w:rPr>
        <w:t>étaient « présumés »</w:t>
      </w:r>
      <w:r>
        <w:rPr>
          <w:rFonts w:cs="Times New Roman"/>
          <w:shd w:val="clear" w:color="auto" w:fill="FFFFFF"/>
          <w:lang w:val="fr-CA"/>
        </w:rPr>
        <w:t xml:space="preserve"> être </w:t>
      </w:r>
      <w:r w:rsidRPr="0062272F">
        <w:rPr>
          <w:rFonts w:cs="Times New Roman"/>
          <w:shd w:val="clear" w:color="auto" w:fill="FFFFFF"/>
          <w:lang w:val="fr-CA"/>
        </w:rPr>
        <w:t>des membres à temps plein de la GRC qui avaient accepté d’effectuer temporairement moins d’heures ou qui travaillaient à temps plein, mais qui bénéficiaient de périodes de</w:t>
      </w:r>
      <w:r w:rsidRPr="0062272F">
        <w:rPr>
          <w:rFonts w:cs="Times New Roman"/>
          <w:lang w:val="fr-CA"/>
        </w:rPr>
        <w:t xml:space="preserve"> congés non payés (2017 CF 557, par. 43</w:t>
      </w:r>
      <w:r>
        <w:rPr>
          <w:rFonts w:cs="Times New Roman"/>
          <w:lang w:val="fr-CA"/>
        </w:rPr>
        <w:t>-44</w:t>
      </w:r>
      <w:r w:rsidRPr="0062272F">
        <w:rPr>
          <w:rFonts w:cs="Times New Roman"/>
          <w:lang w:val="fr-CA"/>
        </w:rPr>
        <w:t xml:space="preserve"> (CanLII)). Cet argument a été repris devant notre Cour. Or, après avoir examiné attentivement cette question, la Cour fédérale a conclu que les appelantes travaillaient </w:t>
      </w:r>
      <w:r w:rsidRPr="0062272F">
        <w:rPr>
          <w:rFonts w:cs="Times New Roman"/>
          <w:i/>
          <w:iCs/>
          <w:lang w:val="fr-CA"/>
        </w:rPr>
        <w:t>à temps partiel</w:t>
      </w:r>
      <w:r w:rsidRPr="0062272F">
        <w:rPr>
          <w:rFonts w:cs="Times New Roman"/>
          <w:lang w:val="fr-CA"/>
        </w:rPr>
        <w:t xml:space="preserve"> pendant la durée de leur entente de partage de poste (par. 47). Cette conclusion reposait sur un examen approfondi du dossier, dont le Bulletin de 1997 qui avait instauré le partage de poste, </w:t>
      </w:r>
      <w:r w:rsidRPr="0062272F">
        <w:rPr>
          <w:rFonts w:cs="Times New Roman"/>
          <w:shd w:val="clear" w:color="auto" w:fill="FFFFFF"/>
          <w:lang w:val="fr-CA"/>
        </w:rPr>
        <w:t>la section II.10 du Manuel d’administration de la GRC et le protocole d’entente des appelantes</w:t>
      </w:r>
      <w:r w:rsidRPr="0062272F">
        <w:rPr>
          <w:rFonts w:cs="Times New Roman"/>
          <w:lang w:val="fr-CA"/>
        </w:rPr>
        <w:t xml:space="preserve"> (par. 48</w:t>
      </w:r>
      <w:r w:rsidRPr="0062272F">
        <w:rPr>
          <w:rFonts w:cs="Times New Roman"/>
          <w:lang w:val="fr-CA"/>
        </w:rPr>
        <w:noBreakHyphen/>
        <w:t>53). Nous tenons à signaler que le Manuel prévoit explicitement que [</w:t>
      </w:r>
      <w:r w:rsidRPr="0062272F">
        <w:rPr>
          <w:rFonts w:cs="Times New Roman"/>
          <w:smallCaps/>
          <w:lang w:val="fr-CA"/>
        </w:rPr>
        <w:t>traduction</w:t>
      </w:r>
      <w:r w:rsidRPr="0062272F">
        <w:rPr>
          <w:rFonts w:cs="Times New Roman"/>
          <w:lang w:val="fr-CA"/>
        </w:rPr>
        <w:t xml:space="preserve">] « le partage de poste est assimilé à un emploi </w:t>
      </w:r>
      <w:r w:rsidRPr="001A3652">
        <w:rPr>
          <w:rFonts w:cs="Times New Roman"/>
          <w:iCs/>
          <w:u w:val="single"/>
          <w:lang w:val="fr-CA"/>
        </w:rPr>
        <w:t>à temps partiel</w:t>
      </w:r>
      <w:r w:rsidRPr="0062272F">
        <w:rPr>
          <w:rFonts w:cs="Times New Roman"/>
          <w:i/>
          <w:iCs/>
          <w:lang w:val="fr-CA"/>
        </w:rPr>
        <w:t> </w:t>
      </w:r>
      <w:r w:rsidRPr="0062272F">
        <w:rPr>
          <w:rFonts w:cs="Times New Roman"/>
          <w:lang w:val="fr-CA"/>
        </w:rPr>
        <w:t>» (d.a., vol. II, p. 238 (</w:t>
      </w:r>
      <w:r>
        <w:rPr>
          <w:rFonts w:cs="Times New Roman"/>
          <w:lang w:val="fr-CA"/>
        </w:rPr>
        <w:t>nous soulignons</w:t>
      </w:r>
      <w:r w:rsidRPr="0062272F">
        <w:rPr>
          <w:rFonts w:cs="Times New Roman"/>
          <w:lang w:val="fr-CA"/>
        </w:rPr>
        <w:t>)). De plus, la Cour fédérale a expressément rejeté les arguments voulant que les employés qui partagent un poste soient partiellement en congé non payé (par. 55) ou travaillent à temps plein avec des heures temporairement réduites (par. 56). La Cour d’appel fédérale a confirmé ces conclusions, en faisant observer que les conclusions tirées par la Cour fédérale sur ce point « </w:t>
      </w:r>
      <w:r w:rsidRPr="0062272F">
        <w:rPr>
          <w:rFonts w:cs="Times New Roman"/>
          <w:shd w:val="clear" w:color="auto" w:fill="FFFFFF"/>
          <w:lang w:val="fr-CA"/>
        </w:rPr>
        <w:t xml:space="preserve">font intervenir principalement des faits » </w:t>
      </w:r>
      <w:r w:rsidRPr="0062272F">
        <w:rPr>
          <w:rFonts w:cs="Times New Roman"/>
          <w:lang w:val="fr-CA"/>
        </w:rPr>
        <w:t>(2018 CAF 223, [2019] 2 R.C.F. 541, par. 33). Appliquant la norme de l’erreur manifeste et dominante, la Cour d’appel fédérale a estimé qu’il n’y avait aucune raison d’intervenir (par. 33</w:t>
      </w:r>
      <w:r w:rsidRPr="0062272F">
        <w:rPr>
          <w:rFonts w:cs="Times New Roman"/>
          <w:lang w:val="fr-CA"/>
        </w:rPr>
        <w:noBreakHyphen/>
        <w:t>36).</w:t>
      </w:r>
    </w:p>
    <w:p w14:paraId="681A5C5E" w14:textId="77777777" w:rsidR="00804EA2" w:rsidRPr="0062272F" w:rsidRDefault="00804EA2" w:rsidP="00804EA2">
      <w:pPr>
        <w:pStyle w:val="ParaNoNdepar-AltN"/>
        <w:rPr>
          <w:rFonts w:cs="Times New Roman"/>
          <w:lang w:val="fr-CA"/>
        </w:rPr>
      </w:pPr>
      <w:r w:rsidRPr="0062272F">
        <w:rPr>
          <w:rFonts w:cs="Times New Roman"/>
          <w:lang w:val="fr-CA"/>
        </w:rPr>
        <w:t xml:space="preserve">Malgré cela, notre collègue qualifie à plusieurs reprises les employés qui partagent un poste de « membres à temps plein qui ont temporairement réduit leurs </w:t>
      </w:r>
      <w:r w:rsidRPr="0062272F">
        <w:rPr>
          <w:rFonts w:cs="Times New Roman"/>
          <w:lang w:val="fr-CA"/>
        </w:rPr>
        <w:lastRenderedPageBreak/>
        <w:t xml:space="preserve">heures de travail » (par. 3; voir aussi par. 83, 97 et 138) ou de « membres à temps plein de la GRC qui partagent un poste » (par. 5 et 25). Elle semble donc écarter la conclusion de la Cour fédérale sans pour autant énoncer la norme applicable ou expliquer l’erreur. </w:t>
      </w:r>
    </w:p>
    <w:p w14:paraId="56566DD2" w14:textId="77777777" w:rsidR="00804EA2" w:rsidRPr="0062272F" w:rsidRDefault="00804EA2" w:rsidP="00804EA2">
      <w:pPr>
        <w:pStyle w:val="ParaNoNdepar-AltN"/>
        <w:rPr>
          <w:rFonts w:cs="Times New Roman"/>
          <w:lang w:val="fr-CA"/>
        </w:rPr>
      </w:pPr>
      <w:r w:rsidRPr="0062272F">
        <w:rPr>
          <w:rFonts w:cs="Times New Roman"/>
          <w:lang w:val="fr-CA"/>
        </w:rPr>
        <w:t xml:space="preserve">Cette conclusion est la clé du reste de la décision de notre collègue. En les assimilant à des </w:t>
      </w:r>
      <w:r w:rsidRPr="0062272F">
        <w:rPr>
          <w:rFonts w:cs="Times New Roman"/>
          <w:i/>
          <w:lang w:val="fr-CA"/>
        </w:rPr>
        <w:t>employés à temps plein</w:t>
      </w:r>
      <w:r w:rsidRPr="0062272F">
        <w:rPr>
          <w:rFonts w:cs="Times New Roman"/>
          <w:lang w:val="fr-CA"/>
        </w:rPr>
        <w:t xml:space="preserve">, elle est en mesure de dire que les employés qui partagent un poste ont droit aux mêmes prestations de pension que les </w:t>
      </w:r>
      <w:r w:rsidRPr="0062272F">
        <w:rPr>
          <w:rFonts w:cs="Times New Roman"/>
          <w:i/>
          <w:lang w:val="fr-CA"/>
        </w:rPr>
        <w:t>employés à temps plein</w:t>
      </w:r>
      <w:r w:rsidRPr="0062272F">
        <w:rPr>
          <w:rFonts w:cs="Times New Roman"/>
          <w:lang w:val="fr-CA"/>
        </w:rPr>
        <w:t xml:space="preserve">. À notre humble avis, cette approche occulte des aspects essentiels du régime, notamment en ce qui a trait au traitement réservé aux employés à temps partiel et aux diverses situations dans lesquels des membres prennent des congés non payés. En d’autres termes, notre collègue ne tient pas compte du contexte de l’ensemble du régime, alors qu’elle doit le faire pour être fidèle à l’arrêt </w:t>
      </w:r>
      <w:r w:rsidRPr="0062272F">
        <w:rPr>
          <w:rFonts w:cs="Times New Roman"/>
          <w:i/>
          <w:lang w:val="fr-CA"/>
        </w:rPr>
        <w:t>Withler</w:t>
      </w:r>
      <w:r w:rsidRPr="0062272F">
        <w:rPr>
          <w:rFonts w:cs="Times New Roman"/>
          <w:lang w:val="fr-CA"/>
        </w:rPr>
        <w:t>.</w:t>
      </w:r>
    </w:p>
    <w:p w14:paraId="4CBFEBCD" w14:textId="77777777" w:rsidR="00804EA2" w:rsidRPr="0062272F" w:rsidRDefault="00804EA2" w:rsidP="00804EA2">
      <w:pPr>
        <w:pStyle w:val="Title2LevelTitre2Niveau"/>
        <w:rPr>
          <w:rFonts w:cs="Times New Roman"/>
          <w:lang w:val="fr-CA"/>
        </w:rPr>
      </w:pPr>
      <w:r w:rsidRPr="0062272F">
        <w:rPr>
          <w:rFonts w:cs="Times New Roman"/>
          <w:lang w:val="fr-CA"/>
        </w:rPr>
        <w:t>Application du régime</w:t>
      </w:r>
    </w:p>
    <w:p w14:paraId="79C6017E" w14:textId="77777777" w:rsidR="00804EA2" w:rsidRPr="0062272F" w:rsidRDefault="00804EA2" w:rsidP="00804EA2">
      <w:pPr>
        <w:pStyle w:val="ParaNoNdepar-AltN"/>
        <w:rPr>
          <w:rFonts w:cs="Times New Roman"/>
          <w:lang w:val="fr-CA"/>
        </w:rPr>
      </w:pPr>
      <w:r w:rsidRPr="0062272F">
        <w:rPr>
          <w:rFonts w:cs="Times New Roman"/>
          <w:lang w:val="fr-CA"/>
        </w:rPr>
        <w:t xml:space="preserve">D’entrée de jeu, il importe de signaler que les appelantes </w:t>
      </w:r>
      <w:r w:rsidRPr="0062272F">
        <w:rPr>
          <w:rFonts w:cs="Times New Roman"/>
          <w:i/>
          <w:iCs/>
          <w:lang w:val="fr-CA"/>
        </w:rPr>
        <w:t>ne</w:t>
      </w:r>
      <w:r w:rsidRPr="0062272F">
        <w:rPr>
          <w:rFonts w:cs="Times New Roman"/>
          <w:lang w:val="fr-CA"/>
        </w:rPr>
        <w:t xml:space="preserve"> prétendent </w:t>
      </w:r>
      <w:r w:rsidRPr="0062272F">
        <w:rPr>
          <w:rFonts w:cs="Times New Roman"/>
          <w:i/>
          <w:iCs/>
          <w:lang w:val="fr-CA"/>
        </w:rPr>
        <w:t xml:space="preserve">pas </w:t>
      </w:r>
      <w:r w:rsidRPr="0062272F">
        <w:rPr>
          <w:rFonts w:cs="Times New Roman"/>
          <w:lang w:val="fr-CA"/>
        </w:rPr>
        <w:t xml:space="preserve">qu’il est de façon générale injuste pour les membres qui travaillent à temps partiel de voir leur pension rajustée pour les périodes pendant lesquelles ils travaillent à temps partiel. Au contraire, elles soutiennent essentiellement que ces membres devraient pouvoir « racheter » des périodes de service ouvrant droit à pension au même titre que les membres qui prennent des congés non payés, un argument que nous rejetons plus loin. Pour bien évaluer cet argument, il est crucial de comprendre comment le régime s’applique et, en particulier, de tenir compte du fait qu’il s’applique de la même </w:t>
      </w:r>
      <w:r w:rsidRPr="0062272F">
        <w:rPr>
          <w:rFonts w:cs="Times New Roman"/>
          <w:lang w:val="fr-CA"/>
        </w:rPr>
        <w:lastRenderedPageBreak/>
        <w:t>manière aux membres à temps plein et à ceux à temps partiel, sous réserve des rajustements à effectuer pour tenir compte des heures réellement travaillées.</w:t>
      </w:r>
    </w:p>
    <w:p w14:paraId="3C343FCD" w14:textId="77777777" w:rsidR="00804EA2" w:rsidRPr="0062272F" w:rsidRDefault="00804EA2" w:rsidP="00804EA2">
      <w:pPr>
        <w:pStyle w:val="ParaNoNdepar-AltN"/>
        <w:rPr>
          <w:rFonts w:cs="Times New Roman"/>
          <w:lang w:val="fr-CA"/>
        </w:rPr>
      </w:pPr>
      <w:r w:rsidRPr="0062272F">
        <w:rPr>
          <w:rFonts w:cs="Times New Roman"/>
          <w:lang w:val="fr-CA"/>
        </w:rPr>
        <w:t xml:space="preserve">Le régime est un « régime de retraite contributif à prestations déterminées », ce qui signifie que les taux de cotisation sont calculés en fonction d’un pourcentage des revenus du membre (d.a., vol. V, p. 801; voir également </w:t>
      </w:r>
      <w:r w:rsidRPr="0062272F">
        <w:rPr>
          <w:rFonts w:cs="Times New Roman"/>
          <w:lang w:val="fr-CA" w:bidi="en-US"/>
        </w:rPr>
        <w:t>A. Kaplan et M. Fra</w:t>
      </w:r>
      <w:r>
        <w:rPr>
          <w:rFonts w:cs="Times New Roman"/>
          <w:lang w:val="fr-CA" w:bidi="en-US"/>
        </w:rPr>
        <w:t>z</w:t>
      </w:r>
      <w:r w:rsidRPr="0062272F">
        <w:rPr>
          <w:rFonts w:cs="Times New Roman"/>
          <w:lang w:val="fr-CA" w:bidi="en-US"/>
        </w:rPr>
        <w:t xml:space="preserve">er, </w:t>
      </w:r>
      <w:r w:rsidRPr="0062272F">
        <w:rPr>
          <w:rFonts w:cs="Times New Roman"/>
          <w:i/>
          <w:lang w:val="fr-CA" w:bidi="en-US"/>
        </w:rPr>
        <w:t>Pension Law</w:t>
      </w:r>
      <w:r w:rsidRPr="0062272F">
        <w:rPr>
          <w:rFonts w:cs="Times New Roman"/>
          <w:lang w:val="fr-CA" w:bidi="en-US"/>
        </w:rPr>
        <w:t xml:space="preserve"> (2</w:t>
      </w:r>
      <w:r w:rsidRPr="0062272F">
        <w:rPr>
          <w:rFonts w:cs="Times New Roman"/>
          <w:vertAlign w:val="superscript"/>
          <w:lang w:val="fr-CA" w:bidi="en-US"/>
        </w:rPr>
        <w:t>e</w:t>
      </w:r>
      <w:r w:rsidRPr="0062272F">
        <w:rPr>
          <w:rFonts w:cs="Times New Roman"/>
          <w:lang w:val="fr-CA" w:bidi="en-US"/>
        </w:rPr>
        <w:t xml:space="preserve"> éd. 2013), p. 2</w:t>
      </w:r>
      <w:r w:rsidRPr="0062272F">
        <w:rPr>
          <w:rFonts w:cs="Times New Roman"/>
          <w:lang w:val="fr-CA" w:bidi="en-US"/>
        </w:rPr>
        <w:noBreakHyphen/>
        <w:t>3</w:t>
      </w:r>
      <w:r w:rsidRPr="0062272F">
        <w:rPr>
          <w:rFonts w:cs="Times New Roman"/>
          <w:lang w:val="fr-CA"/>
        </w:rPr>
        <w:t>). Le membre et la GRC sont tous les deux tenus de verser une contribution au régime (</w:t>
      </w:r>
      <w:r w:rsidRPr="0062272F">
        <w:rPr>
          <w:rFonts w:cs="Times New Roman"/>
          <w:i/>
          <w:lang w:val="fr-CA"/>
        </w:rPr>
        <w:t>Loi</w:t>
      </w:r>
      <w:r w:rsidRPr="0062272F">
        <w:rPr>
          <w:rFonts w:cs="Times New Roman"/>
          <w:lang w:val="fr-CA"/>
        </w:rPr>
        <w:t>, art. 5 et 29.2). La pension du membre est déterminée en fonction des années de « service ouvrant droit à pension », c’est</w:t>
      </w:r>
      <w:r w:rsidRPr="0062272F">
        <w:rPr>
          <w:rFonts w:cs="Times New Roman"/>
          <w:lang w:val="fr-CA"/>
        </w:rPr>
        <w:noBreakHyphen/>
        <w:t>à</w:t>
      </w:r>
      <w:r w:rsidRPr="0062272F">
        <w:rPr>
          <w:rFonts w:cs="Times New Roman"/>
          <w:lang w:val="fr-CA"/>
        </w:rPr>
        <w:noBreakHyphen/>
        <w:t>dire selon la période de service portée au crédit du membre au moment de sa retraite (</w:t>
      </w:r>
      <w:r w:rsidRPr="0062272F">
        <w:rPr>
          <w:rFonts w:cs="Times New Roman"/>
          <w:i/>
          <w:lang w:val="fr-CA"/>
        </w:rPr>
        <w:t>Loi</w:t>
      </w:r>
      <w:r w:rsidRPr="0062272F">
        <w:rPr>
          <w:rFonts w:cs="Times New Roman"/>
          <w:lang w:val="fr-CA"/>
        </w:rPr>
        <w:t xml:space="preserve">, art. 6). Tous les participants au régime accumulent des années de service ouvrant droit à pension au même taux, qu’ils travaillent à temps plein ou à temps partiel. Il s’ensuit qu’une année de travail à temps partiel et une année de travail à temps plein comptent toutes les deux comme une année de service ouvrant droit à pension. </w:t>
      </w:r>
    </w:p>
    <w:p w14:paraId="3B806D38" w14:textId="77777777" w:rsidR="00804EA2" w:rsidRPr="0062272F" w:rsidRDefault="00804EA2" w:rsidP="00804EA2">
      <w:pPr>
        <w:pStyle w:val="ParaNoNdepar-AltN"/>
        <w:rPr>
          <w:rFonts w:cs="Times New Roman"/>
          <w:lang w:val="fr-CA"/>
        </w:rPr>
      </w:pPr>
      <w:r w:rsidRPr="0062272F">
        <w:rPr>
          <w:rFonts w:cs="Times New Roman"/>
          <w:lang w:val="fr-CA"/>
        </w:rPr>
        <w:t xml:space="preserve">Cette importante nuance est absente des motifs de notre collègue, qui ne parle que de périodes de service </w:t>
      </w:r>
      <w:r w:rsidRPr="0062272F">
        <w:rPr>
          <w:rFonts w:cs="Times New Roman"/>
          <w:i/>
          <w:iCs/>
          <w:lang w:val="fr-CA"/>
        </w:rPr>
        <w:t>à temps plein</w:t>
      </w:r>
      <w:r w:rsidRPr="0062272F">
        <w:rPr>
          <w:rFonts w:cs="Times New Roman"/>
          <w:lang w:val="fr-CA"/>
        </w:rPr>
        <w:t xml:space="preserve"> ouvrant droit à pension (voir, par ex., par. 14). </w:t>
      </w:r>
    </w:p>
    <w:p w14:paraId="48EADDB4" w14:textId="77777777" w:rsidR="00804EA2" w:rsidRPr="0062272F" w:rsidRDefault="00804EA2" w:rsidP="00804EA2">
      <w:pPr>
        <w:pStyle w:val="ParaNoNdepar-AltN"/>
        <w:rPr>
          <w:rFonts w:cs="Times New Roman"/>
          <w:lang w:val="fr-CA"/>
        </w:rPr>
      </w:pPr>
      <w:r w:rsidRPr="0062272F">
        <w:rPr>
          <w:rFonts w:cs="Times New Roman"/>
          <w:lang w:val="fr-CA"/>
        </w:rPr>
        <w:t xml:space="preserve">Les seuls statuts d’employés que prévoit le régime sont ceux d’employé à temps plein, d’employé à temps partiel et d’employé en congé non payé. Le </w:t>
      </w:r>
      <w:r w:rsidRPr="0062272F">
        <w:rPr>
          <w:rFonts w:cs="Times New Roman"/>
          <w:i/>
          <w:lang w:val="fr-CA"/>
        </w:rPr>
        <w:t xml:space="preserve">Règlement </w:t>
      </w:r>
      <w:r w:rsidRPr="0062272F">
        <w:rPr>
          <w:rFonts w:cs="Times New Roman"/>
          <w:lang w:val="fr-CA"/>
        </w:rPr>
        <w:t xml:space="preserve">définit comme suit le « membre à temps plein » : « membre de la Gendarmerie qui est engagé pour effectuer 40 heures de travail par semaine » (art. 2.1, voir aussi d.a., vol. V, p. 803). Le « membre à temps partiel », quant à lui, est le membre de la </w:t>
      </w:r>
      <w:r w:rsidRPr="0062272F">
        <w:rPr>
          <w:rFonts w:cs="Times New Roman"/>
          <w:lang w:val="fr-CA"/>
        </w:rPr>
        <w:lastRenderedPageBreak/>
        <w:t xml:space="preserve">Gendarmerie qui est engagé pour effectuer au moins 12 heures de travail par semaine et qui n’est pas un membre à plein temps (art. 2.1 et par. 5.2(1)). Il importe de signaler que le régime ne renferme aucune disposition précise au sujet du partage de poste, ce qui est logique, puisque les politiques applicables définissent le partage de poste comme une forme de travail à temps partiel. Les personnes qui partagent un poste sont par conséquent considérées comme des employés à temps partiel pendant la période où elles partagent un poste. </w:t>
      </w:r>
    </w:p>
    <w:p w14:paraId="75480C7E" w14:textId="77777777" w:rsidR="00804EA2" w:rsidRPr="0062272F" w:rsidRDefault="00804EA2" w:rsidP="00804EA2">
      <w:pPr>
        <w:pStyle w:val="ParaNoNdepar-AltN"/>
        <w:rPr>
          <w:rFonts w:cs="Times New Roman"/>
          <w:lang w:val="fr-CA"/>
        </w:rPr>
      </w:pPr>
      <w:r w:rsidRPr="0062272F">
        <w:rPr>
          <w:rFonts w:cs="Times New Roman"/>
          <w:lang w:val="fr-CA"/>
        </w:rPr>
        <w:t>Tous les membres contribuent au fonds de pension au même taux, fixé par le Conseil du Trésor sous forme de pourcentage de leur salaire. À la retraite, ils reçoivent une prestation de retraite calculée proportionnellement aux heures de travail prédéterminées : les prestations sont calculées au prorata pour tenir compte de toute période de service à temps partiel. Comme l’a expliqué l’expert en pensions de l’intimé : [</w:t>
      </w:r>
      <w:r w:rsidRPr="0062272F">
        <w:rPr>
          <w:rFonts w:cs="Times New Roman"/>
          <w:smallCaps/>
          <w:lang w:val="fr-CA"/>
        </w:rPr>
        <w:t>traduction</w:t>
      </w:r>
      <w:r w:rsidRPr="0062272F">
        <w:rPr>
          <w:rFonts w:cs="Times New Roman"/>
          <w:lang w:val="fr-CA"/>
        </w:rPr>
        <w:t xml:space="preserve">] « [c]ette approche vise à s’assurer de traiter sur un pied d’égalité les membres à temps partiel et les membres à temps plein en calculant les prestations de pension en fonction des heures de travail prédéterminées » (d.a., vol. V, p. 805). </w:t>
      </w:r>
    </w:p>
    <w:p w14:paraId="68143043" w14:textId="77777777" w:rsidR="00804EA2" w:rsidRPr="0062272F" w:rsidRDefault="00804EA2" w:rsidP="00804EA2">
      <w:pPr>
        <w:pStyle w:val="ParaNoNdepar-AltN"/>
        <w:rPr>
          <w:rFonts w:cs="Times New Roman"/>
          <w:lang w:val="fr-CA"/>
        </w:rPr>
      </w:pPr>
      <w:r w:rsidRPr="0062272F">
        <w:rPr>
          <w:rFonts w:cs="Times New Roman"/>
          <w:lang w:val="fr-CA"/>
        </w:rPr>
        <w:t xml:space="preserve">Les prestations de pension des membres sont basées sur le salaire annuel moyen reçu au cours des cinq années consécutives les mieux rémunérées de service ouvrant droit à pension. Pour les périodes de service à temps partiel ouvrant droit à pension, le salaire annuel moyen est basé sur « l’équivalent temps plein » du taux de salaire autorisé et est ensuite calculé au prorata des heures effectivement travaillées. </w:t>
      </w:r>
      <w:r w:rsidRPr="0062272F">
        <w:rPr>
          <w:rFonts w:cs="Times New Roman"/>
          <w:lang w:val="fr-CA"/>
        </w:rPr>
        <w:lastRenderedPageBreak/>
        <w:t>Comme l’a expliqué l’expert en pensions de l’intimé : [</w:t>
      </w:r>
      <w:r w:rsidRPr="0062272F">
        <w:rPr>
          <w:rFonts w:cs="Times New Roman"/>
          <w:smallCaps/>
          <w:lang w:val="fr-CA"/>
        </w:rPr>
        <w:t>traduction</w:t>
      </w:r>
      <w:r w:rsidRPr="0062272F">
        <w:rPr>
          <w:rFonts w:cs="Times New Roman"/>
          <w:lang w:val="fr-CA"/>
        </w:rPr>
        <w:t xml:space="preserve">] « [c]ette méthode permet de ne pas pénaliser les membres, indépendamment du moment de leur carrière où ils ont effectué leur service à temps partiel » (p. 806). </w:t>
      </w:r>
    </w:p>
    <w:p w14:paraId="698C6928" w14:textId="06EE28D2" w:rsidR="00804EA2" w:rsidRPr="0022086C" w:rsidRDefault="00804EA2" w:rsidP="00804EA2">
      <w:pPr>
        <w:pStyle w:val="ParaNoNdepar-AltN"/>
        <w:rPr>
          <w:rFonts w:cs="Times New Roman"/>
          <w:lang w:val="fr-CA"/>
        </w:rPr>
      </w:pPr>
      <w:r w:rsidRPr="0022086C">
        <w:rPr>
          <w:rFonts w:cs="Times New Roman"/>
          <w:lang w:val="fr-CA"/>
        </w:rPr>
        <w:t xml:space="preserve">Comme nous le verrons plus loin, l’argument des appelantes repose essentiellement sur l’option de « rachat » offerte aux membres qui prennent un congé non payé. Il est donc également important de comprendre comment fonctionne l’option de « rachat ». Les membres qui prennent des congés non payés </w:t>
      </w:r>
      <w:r w:rsidRPr="00AF085F">
        <w:rPr>
          <w:rFonts w:cs="Times New Roman"/>
          <w:i/>
          <w:lang w:val="fr-CA"/>
        </w:rPr>
        <w:t>n’ont pas</w:t>
      </w:r>
      <w:r w:rsidRPr="0022086C">
        <w:rPr>
          <w:rFonts w:cs="Times New Roman"/>
          <w:lang w:val="fr-CA"/>
        </w:rPr>
        <w:t xml:space="preserve"> d’heures de travail prédéterminées; ils conservent leur emploi sans être rémunérés. Pour les trois premiers mois de sa période de congé non payé, le membre doit cotiser au fonds de pension de retraite le même montant que celui qu’il aurait payé s’il avait travaillé (</w:t>
      </w:r>
      <w:r w:rsidRPr="0022086C">
        <w:rPr>
          <w:rFonts w:cs="Times New Roman"/>
          <w:i/>
          <w:lang w:val="fr-CA"/>
        </w:rPr>
        <w:t>Loi</w:t>
      </w:r>
      <w:r w:rsidRPr="0022086C">
        <w:rPr>
          <w:rFonts w:cs="Times New Roman"/>
          <w:lang w:val="fr-CA"/>
        </w:rPr>
        <w:t>, div. </w:t>
      </w:r>
      <w:r>
        <w:rPr>
          <w:rFonts w:cs="Times New Roman"/>
          <w:lang w:val="fr-CA"/>
        </w:rPr>
        <w:t>6a)(ii)(A);</w:t>
      </w:r>
      <w:r w:rsidRPr="0022086C">
        <w:rPr>
          <w:rFonts w:cs="Times New Roman"/>
          <w:lang w:val="fr-CA"/>
        </w:rPr>
        <w:t xml:space="preserve"> </w:t>
      </w:r>
      <w:r w:rsidRPr="0022086C">
        <w:rPr>
          <w:rFonts w:cs="Times New Roman"/>
          <w:i/>
          <w:lang w:val="fr-CA"/>
        </w:rPr>
        <w:t>Règlement</w:t>
      </w:r>
      <w:r w:rsidRPr="0022086C">
        <w:rPr>
          <w:rFonts w:cs="Times New Roman"/>
          <w:lang w:val="fr-CA"/>
        </w:rPr>
        <w:t>, al. 10(1)a) et par</w:t>
      </w:r>
      <w:r>
        <w:rPr>
          <w:rFonts w:cs="Times New Roman"/>
          <w:lang w:val="fr-CA"/>
        </w:rPr>
        <w:t>.</w:t>
      </w:r>
      <w:r w:rsidRPr="0022086C">
        <w:rPr>
          <w:rFonts w:cs="Times New Roman"/>
          <w:lang w:val="fr-CA"/>
        </w:rPr>
        <w:t xml:space="preserve"> 10(4)). Après cette période, il peut choisir de </w:t>
      </w:r>
      <w:r w:rsidRPr="0022086C">
        <w:rPr>
          <w:rFonts w:cs="Times New Roman"/>
          <w:i/>
          <w:iCs/>
          <w:lang w:val="fr-CA"/>
        </w:rPr>
        <w:t>ne pas</w:t>
      </w:r>
      <w:r w:rsidRPr="0022086C">
        <w:rPr>
          <w:rFonts w:cs="Times New Roman"/>
          <w:lang w:val="fr-CA"/>
        </w:rPr>
        <w:t xml:space="preserve"> cotiser pour la totalité ou pour une partie du reliquat de la période de son congé non payé (</w:t>
      </w:r>
      <w:r w:rsidRPr="0022086C">
        <w:rPr>
          <w:rFonts w:cs="Times New Roman"/>
          <w:i/>
          <w:lang w:val="fr-CA"/>
        </w:rPr>
        <w:t>Loi</w:t>
      </w:r>
      <w:r w:rsidRPr="0022086C">
        <w:rPr>
          <w:rFonts w:cs="Times New Roman"/>
          <w:lang w:val="fr-CA"/>
        </w:rPr>
        <w:t>, par. 7(1)). Toutefois, le membre qui choisit de considérer le reliquat de la période de congé non payé comme une période ouvrant droit à pension doit verser une contribution qui correspond à deux fois ou deux fois et demie la somme qu’il aurait payée s’il avait travaillé (</w:t>
      </w:r>
      <w:r w:rsidRPr="0022086C">
        <w:rPr>
          <w:rFonts w:cs="Times New Roman"/>
          <w:i/>
          <w:lang w:val="fr-CA"/>
        </w:rPr>
        <w:t>Loi</w:t>
      </w:r>
      <w:r w:rsidRPr="0022086C">
        <w:rPr>
          <w:rFonts w:cs="Times New Roman"/>
          <w:lang w:val="fr-CA"/>
        </w:rPr>
        <w:t xml:space="preserve">, par. 7(1), </w:t>
      </w:r>
      <w:r w:rsidRPr="0022086C">
        <w:rPr>
          <w:rFonts w:cs="Times New Roman"/>
          <w:i/>
          <w:lang w:val="fr-CA"/>
        </w:rPr>
        <w:t>Règlement</w:t>
      </w:r>
      <w:r w:rsidRPr="0022086C">
        <w:rPr>
          <w:rFonts w:cs="Times New Roman"/>
          <w:lang w:val="fr-CA"/>
        </w:rPr>
        <w:t>, al. 10(1)b)</w:t>
      </w:r>
      <w:r w:rsidR="000C076E">
        <w:rPr>
          <w:rStyle w:val="FootnoteReference"/>
          <w:rFonts w:cs="Times New Roman"/>
          <w:lang w:val="fr-CA"/>
        </w:rPr>
        <w:footnoteReference w:id="14"/>
      </w:r>
      <w:r w:rsidRPr="0022086C">
        <w:rPr>
          <w:rFonts w:cs="Times New Roman"/>
          <w:lang w:val="fr-CA"/>
        </w:rPr>
        <w:t xml:space="preserve">). C’est ce que l’on entend par « rachat » d’une période de service ouvrant droit à pension. </w:t>
      </w:r>
    </w:p>
    <w:p w14:paraId="4AAB162C" w14:textId="77777777" w:rsidR="00804EA2" w:rsidRPr="0062272F" w:rsidRDefault="00804EA2" w:rsidP="00804EA2">
      <w:pPr>
        <w:pStyle w:val="ParaNoNdepar-AltN"/>
        <w:rPr>
          <w:rFonts w:cs="Times New Roman"/>
          <w:lang w:val="fr-CA"/>
        </w:rPr>
      </w:pPr>
      <w:r w:rsidRPr="0062272F">
        <w:rPr>
          <w:rFonts w:cs="Times New Roman"/>
          <w:lang w:val="fr-CA"/>
        </w:rPr>
        <w:t xml:space="preserve">Fait essentiel, les prestations de pension des membres qui prennent des congés non payés sont déterminées en fonction du statut qu’ils avaient juste avant de </w:t>
      </w:r>
      <w:r w:rsidRPr="0062272F">
        <w:rPr>
          <w:rFonts w:cs="Times New Roman"/>
          <w:lang w:val="fr-CA"/>
        </w:rPr>
        <w:lastRenderedPageBreak/>
        <w:t>prendre leur congé non payé (</w:t>
      </w:r>
      <w:r w:rsidRPr="0062272F">
        <w:rPr>
          <w:rFonts w:cs="Times New Roman"/>
          <w:i/>
          <w:lang w:val="fr-CA"/>
        </w:rPr>
        <w:t>Règlement</w:t>
      </w:r>
      <w:r w:rsidRPr="0062272F">
        <w:rPr>
          <w:rFonts w:cs="Times New Roman"/>
          <w:lang w:val="fr-CA"/>
        </w:rPr>
        <w:t xml:space="preserve">, art. 5.4, par. 10(4) et art. 10.1). En d’autres termes, les membres qui travaillaient </w:t>
      </w:r>
      <w:r w:rsidRPr="0062272F">
        <w:rPr>
          <w:rFonts w:cs="Times New Roman"/>
          <w:i/>
          <w:lang w:val="fr-CA"/>
        </w:rPr>
        <w:t xml:space="preserve">à temps partiel </w:t>
      </w:r>
      <w:r w:rsidRPr="0062272F">
        <w:rPr>
          <w:rFonts w:cs="Times New Roman"/>
          <w:lang w:val="fr-CA"/>
        </w:rPr>
        <w:t xml:space="preserve">avant de prendre un congé non payé et qui rachètent cette période de service ouvrant droit à pension accumulent des prestations de pension </w:t>
      </w:r>
      <w:r w:rsidRPr="0062272F">
        <w:rPr>
          <w:rFonts w:cs="Times New Roman"/>
          <w:i/>
          <w:lang w:val="fr-CA"/>
        </w:rPr>
        <w:t xml:space="preserve">à temps partiel </w:t>
      </w:r>
      <w:r w:rsidRPr="0062272F">
        <w:rPr>
          <w:rFonts w:cs="Times New Roman"/>
          <w:lang w:val="fr-CA"/>
        </w:rPr>
        <w:t xml:space="preserve">pour la période couverte par le congé non payé. </w:t>
      </w:r>
    </w:p>
    <w:p w14:paraId="207E6C61" w14:textId="77777777" w:rsidR="00804EA2" w:rsidRPr="0062272F" w:rsidRDefault="00804EA2" w:rsidP="00804EA2">
      <w:pPr>
        <w:pStyle w:val="ParaNoNdepar-AltN"/>
        <w:rPr>
          <w:rFonts w:cs="Times New Roman"/>
          <w:lang w:val="fr-CA"/>
        </w:rPr>
      </w:pPr>
      <w:r w:rsidRPr="0062272F">
        <w:rPr>
          <w:rFonts w:cs="Times New Roman"/>
          <w:lang w:val="fr-CA"/>
        </w:rPr>
        <w:t xml:space="preserve">Comme le montre ce qui précède, les membres qui « rachètent » une période de service ouvrant droit à pension après une période de congé non payé versent des cotisations pour des périodes au cours desquelles ils n’ont pas travaillé. En principe, il est donc logique de dire qu’ils « rachètent » cette période. En revanche, les membres qui partagent un poste versent des cotisations pendant toute la période de partage de poste. Nous sommes donc d’accord avec l’intimé pour dire qu’il est inexact de parler de « rachat » de service en ce qui concerne le partage de poste. Les heures travaillées dans le cadre du partage de poste ouvrent déjà pleinement droit à pension; il n’y a pas de reliquat de temps à « racheter ». Les employés qui partagent un poste travaillent à temps partiel et reçoivent des prestations de pension à temps partiel pour la période au cours de laquelle ils partagent un poste. Les appelantes cherchent toutefois à se voir reconnaître le droit à des prestations de pension </w:t>
      </w:r>
      <w:r w:rsidRPr="0062272F">
        <w:rPr>
          <w:rFonts w:cs="Times New Roman"/>
          <w:i/>
          <w:iCs/>
          <w:lang w:val="fr-CA"/>
        </w:rPr>
        <w:t xml:space="preserve">à temps plein </w:t>
      </w:r>
      <w:r w:rsidRPr="0062272F">
        <w:rPr>
          <w:rFonts w:cs="Times New Roman"/>
          <w:lang w:val="fr-CA"/>
        </w:rPr>
        <w:t xml:space="preserve">pour une période au cours de laquelle elles ont travaillé à temps partiel. Soyons clairs : </w:t>
      </w:r>
      <w:r w:rsidRPr="0062272F">
        <w:rPr>
          <w:rFonts w:cs="Times New Roman"/>
          <w:i/>
          <w:lang w:val="fr-CA"/>
        </w:rPr>
        <w:t>aucun autre membre n’a droit à de telles prestations</w:t>
      </w:r>
      <w:r w:rsidRPr="0062272F">
        <w:rPr>
          <w:rFonts w:cs="Times New Roman"/>
          <w:lang w:val="fr-CA"/>
        </w:rPr>
        <w:t xml:space="preserve">. Même les membres qui prennent un congé non payé n’ont droit qu’aux heures qu’ils ont effectuées avant de prendre leur congé non payé (par ex., le membre qui travaille à temps partiel et qui prend un congé non payé peut racheter des droits à pension à temps partiel, mais pas à temps plein, pour la période pendant laquelle il était en congé non payé). Les appelantes demandent, en ce sens, à être </w:t>
      </w:r>
      <w:r w:rsidRPr="0062272F">
        <w:rPr>
          <w:rFonts w:cs="Times New Roman"/>
          <w:lang w:val="fr-CA"/>
        </w:rPr>
        <w:lastRenderedPageBreak/>
        <w:t xml:space="preserve">placées dans une position </w:t>
      </w:r>
      <w:r w:rsidRPr="0062272F">
        <w:rPr>
          <w:rFonts w:cs="Times New Roman"/>
          <w:i/>
          <w:lang w:val="fr-CA"/>
        </w:rPr>
        <w:t xml:space="preserve">plus avantageuse </w:t>
      </w:r>
      <w:r w:rsidRPr="0062272F">
        <w:rPr>
          <w:rFonts w:cs="Times New Roman"/>
          <w:lang w:val="fr-CA"/>
        </w:rPr>
        <w:t xml:space="preserve">que celle de toutes les autres personnes visées par le régime et, en fait, que celle de tous les participants des 10 autres régimes de retraite du secteur public. Notre collègue escamote ce point fondamental, qui est à la base de notre raisonnement et qui ébranle le sien. </w:t>
      </w:r>
    </w:p>
    <w:p w14:paraId="2D108946" w14:textId="3735655B" w:rsidR="00804EA2" w:rsidRPr="0062272F" w:rsidRDefault="00804EA2" w:rsidP="00804EA2">
      <w:pPr>
        <w:pStyle w:val="ParaNoNdepar-AltN"/>
        <w:rPr>
          <w:rFonts w:cs="Times New Roman"/>
          <w:lang w:val="fr-CA"/>
        </w:rPr>
      </w:pPr>
      <w:r w:rsidRPr="0062272F">
        <w:rPr>
          <w:rFonts w:cs="Times New Roman"/>
          <w:lang w:val="fr-CA" w:bidi="en-US"/>
        </w:rPr>
        <w:t xml:space="preserve">Notre collègue signale plutôt que les membres suspendus peuvent racheter des périodes de service à temps plein ouvrant droit à pension (par. 25). Le </w:t>
      </w:r>
      <w:r w:rsidRPr="0062272F">
        <w:rPr>
          <w:rFonts w:cs="Times New Roman"/>
          <w:shd w:val="clear" w:color="auto" w:fill="FFFFFF"/>
          <w:lang w:val="fr-CA"/>
        </w:rPr>
        <w:t xml:space="preserve">Manuel d’administration de la GRC précise d’ailleurs, à la section </w:t>
      </w:r>
      <w:r w:rsidRPr="0062272F">
        <w:rPr>
          <w:rFonts w:cs="Times New Roman"/>
          <w:lang w:val="fr-CA" w:bidi="en-US"/>
        </w:rPr>
        <w:t>II.8, que [</w:t>
      </w:r>
      <w:r w:rsidRPr="0062272F">
        <w:rPr>
          <w:rFonts w:cs="Times New Roman"/>
          <w:smallCaps/>
          <w:lang w:val="fr-CA" w:bidi="en-US"/>
        </w:rPr>
        <w:t>traduction</w:t>
      </w:r>
      <w:r w:rsidRPr="0062272F">
        <w:rPr>
          <w:rFonts w:cs="Times New Roman"/>
          <w:lang w:val="fr-CA" w:bidi="en-US"/>
        </w:rPr>
        <w:t>] « </w:t>
      </w:r>
      <w:r w:rsidR="008079BC" w:rsidRPr="0062272F">
        <w:rPr>
          <w:rFonts w:cs="Times New Roman"/>
          <w:lang w:val="fr-CA" w:bidi="en-US"/>
        </w:rPr>
        <w:t>[</w:t>
      </w:r>
      <w:r w:rsidRPr="0062272F">
        <w:rPr>
          <w:rFonts w:cs="Times New Roman"/>
          <w:lang w:val="fr-CA" w:bidi="en-US"/>
        </w:rPr>
        <w:t>l</w:t>
      </w:r>
      <w:r w:rsidR="008079BC" w:rsidRPr="0062272F">
        <w:rPr>
          <w:rFonts w:cs="Times New Roman"/>
          <w:lang w:val="fr-CA" w:bidi="en-US"/>
        </w:rPr>
        <w:t>]</w:t>
      </w:r>
      <w:r w:rsidRPr="0062272F">
        <w:rPr>
          <w:rFonts w:cs="Times New Roman"/>
          <w:lang w:val="fr-CA" w:bidi="en-US"/>
        </w:rPr>
        <w:t xml:space="preserve">a période pendant laquelle un membre est suspendu sans traitement et sans indemnité est comptée comme une période de service ouvrant droit à pension » (d.a., vol. II, p. 229). Mais la Cour ne dispose de pratiquement aucun élément de preuve quant aux modalités d’application de ce mécanisme. Il se peut que le membre qui travaillait à temps partiel avant sa suspension n’ait le droit de racheter que des périodes de service </w:t>
      </w:r>
      <w:r w:rsidRPr="0062272F">
        <w:rPr>
          <w:rFonts w:cs="Times New Roman"/>
          <w:i/>
          <w:iCs/>
          <w:lang w:val="fr-CA" w:bidi="en-US"/>
        </w:rPr>
        <w:t>à temps partiel</w:t>
      </w:r>
      <w:r w:rsidRPr="0062272F">
        <w:rPr>
          <w:rFonts w:cs="Times New Roman"/>
          <w:lang w:val="fr-CA" w:bidi="en-US"/>
        </w:rPr>
        <w:t xml:space="preserve">, ce qui semblerait correspondre à la façon dont le régime s’applique </w:t>
      </w:r>
      <w:r>
        <w:rPr>
          <w:rFonts w:cs="Times New Roman"/>
          <w:lang w:val="fr-CA" w:bidi="en-US"/>
        </w:rPr>
        <w:t xml:space="preserve">par ailleurs. Nous </w:t>
      </w:r>
      <w:r w:rsidRPr="0062272F">
        <w:rPr>
          <w:rFonts w:cs="Times New Roman"/>
          <w:lang w:val="fr-CA" w:bidi="en-US"/>
        </w:rPr>
        <w:t xml:space="preserve">ne le savons tout simplement pas. Du reste, à l’audience, l’intimé a affirmé que cette option n’était plus offerte depuis un certain temps, soulignant que le document sur lequel se fondent les appelantes remontait à 2003. Il n’est donc pas opportun d’accorder de l’importance à la situation des membres suspendus, vu l’absence d’éléments de preuve à ce sujet. </w:t>
      </w:r>
    </w:p>
    <w:p w14:paraId="6E6F1992" w14:textId="77777777" w:rsidR="00804EA2" w:rsidRPr="0062272F" w:rsidRDefault="00804EA2" w:rsidP="00804EA2">
      <w:pPr>
        <w:pStyle w:val="ParaNoNdepar-AltN"/>
        <w:rPr>
          <w:rFonts w:cs="Times New Roman"/>
          <w:lang w:val="fr-CA"/>
        </w:rPr>
      </w:pPr>
      <w:r w:rsidRPr="0062272F">
        <w:rPr>
          <w:rFonts w:cs="Times New Roman"/>
          <w:lang w:val="fr-CA"/>
        </w:rPr>
        <w:t xml:space="preserve">En bref, il incombe à notre Cour, lorsqu’elle est appelée à se prononcer sur la constitutionnalité du régime, de bien comprendre le fonctionnement du régime </w:t>
      </w:r>
      <w:r w:rsidRPr="0062272F">
        <w:rPr>
          <w:rFonts w:cs="Times New Roman"/>
          <w:i/>
          <w:iCs/>
          <w:lang w:val="fr-CA"/>
        </w:rPr>
        <w:t>dans son ensemble</w:t>
      </w:r>
      <w:r w:rsidRPr="0062272F">
        <w:rPr>
          <w:rFonts w:cs="Times New Roman"/>
          <w:lang w:val="fr-CA"/>
        </w:rPr>
        <w:t xml:space="preserve">, et non de comparer une à une les options offertes à divers groupes. Or, </w:t>
      </w:r>
      <w:r w:rsidRPr="0062272F">
        <w:rPr>
          <w:rFonts w:cs="Times New Roman"/>
          <w:lang w:val="fr-CA"/>
        </w:rPr>
        <w:lastRenderedPageBreak/>
        <w:t xml:space="preserve">lorsqu’on prend le régime comme un tout, il tient de toute évidence compte des différentes étapes de la vie et de la carrière des membres. Il est censé être flexible et répondre à des besoins différents à des moments différents. </w:t>
      </w:r>
    </w:p>
    <w:p w14:paraId="3734D965" w14:textId="77777777" w:rsidR="00804EA2" w:rsidRPr="0062272F" w:rsidRDefault="00804EA2" w:rsidP="00804EA2">
      <w:pPr>
        <w:pStyle w:val="Title1LevelTitre1Niveau-AltL"/>
        <w:rPr>
          <w:rFonts w:cs="Times New Roman"/>
          <w:lang w:val="fr-CA"/>
        </w:rPr>
      </w:pPr>
      <w:r w:rsidRPr="0062272F">
        <w:rPr>
          <w:rFonts w:cs="Times New Roman"/>
          <w:lang w:val="fr-CA"/>
        </w:rPr>
        <w:t>Analyse</w:t>
      </w:r>
    </w:p>
    <w:p w14:paraId="0184CC24" w14:textId="77777777" w:rsidR="00804EA2" w:rsidRPr="0062272F" w:rsidRDefault="00804EA2" w:rsidP="00804EA2">
      <w:pPr>
        <w:pStyle w:val="ParaNoNdepar-AltN"/>
        <w:rPr>
          <w:rFonts w:cs="Times New Roman"/>
          <w:lang w:val="fr-CA"/>
        </w:rPr>
      </w:pPr>
      <w:r w:rsidRPr="0062272F">
        <w:rPr>
          <w:rFonts w:cs="Times New Roman"/>
          <w:lang w:val="fr-CA"/>
        </w:rPr>
        <w:t xml:space="preserve">Les appelantes affirment que le régime viole l’art. 15 de la </w:t>
      </w:r>
      <w:r w:rsidRPr="0062272F">
        <w:rPr>
          <w:rFonts w:cs="Times New Roman"/>
          <w:i/>
          <w:iCs/>
          <w:lang w:val="fr-CA"/>
        </w:rPr>
        <w:t>Charte</w:t>
      </w:r>
      <w:r w:rsidRPr="0062272F">
        <w:rPr>
          <w:rFonts w:cs="Times New Roman"/>
          <w:i/>
          <w:lang w:val="fr-CA"/>
        </w:rPr>
        <w:t xml:space="preserve"> </w:t>
      </w:r>
      <w:r w:rsidRPr="0062272F">
        <w:rPr>
          <w:rFonts w:cs="Times New Roman"/>
          <w:lang w:val="fr-CA"/>
        </w:rPr>
        <w:t xml:space="preserve">dans la façon dont il s’applique aux membres qui partagent un poste, parce qu’il leur refuse le droit d’accumuler des périodes de service à temps plein ouvrant droit à pension pour les périodes où ils partagent un poste pour s’occuper de leurs enfants. À notre avis, le régime ne viole pas ainsi l’art. 15. </w:t>
      </w:r>
    </w:p>
    <w:p w14:paraId="5E982963" w14:textId="77777777" w:rsidR="00804EA2" w:rsidRPr="0062272F" w:rsidRDefault="00804EA2" w:rsidP="00804EA2">
      <w:pPr>
        <w:pStyle w:val="ParaNoNdepar-AltN"/>
        <w:rPr>
          <w:rFonts w:cs="Times New Roman"/>
          <w:lang w:val="fr-CA"/>
        </w:rPr>
      </w:pPr>
      <w:r w:rsidRPr="0062272F">
        <w:rPr>
          <w:rFonts w:cs="Times New Roman"/>
          <w:lang w:val="fr-CA"/>
        </w:rPr>
        <w:t>Nous tenons à souligner que, pour en arriver à cette conclusion, la Cour n’est pas appelée à décider si le régime représente une bonne ou une mauvaise politique du législateur (du fait de la loi qu’il a adoptée) ou de l’exécutif (en raison des règlements qu’il a pris). Il incombe plutôt à la Cour de déterminer si le régime respecte les limites des obligations constitutionnelles imposées à l’État (</w:t>
      </w:r>
      <w:r w:rsidRPr="0062272F">
        <w:rPr>
          <w:rFonts w:cs="Times New Roman"/>
          <w:i/>
          <w:lang w:val="fr-CA"/>
        </w:rPr>
        <w:t>Vriend c. Alberta</w:t>
      </w:r>
      <w:r w:rsidRPr="0062272F">
        <w:rPr>
          <w:rFonts w:cs="Times New Roman"/>
          <w:lang w:val="fr-CA"/>
        </w:rPr>
        <w:t xml:space="preserve">, [1998] 1 R.C.S. 493, par. 136). </w:t>
      </w:r>
    </w:p>
    <w:p w14:paraId="0E78B088" w14:textId="7B88203A" w:rsidR="00804EA2" w:rsidRPr="0062272F" w:rsidRDefault="00804EA2" w:rsidP="00804EA2">
      <w:pPr>
        <w:pStyle w:val="ParaNoNdepar-AltN"/>
        <w:rPr>
          <w:rFonts w:cs="Times New Roman"/>
          <w:lang w:val="fr-CA"/>
        </w:rPr>
      </w:pPr>
      <w:r w:rsidRPr="0062272F">
        <w:rPr>
          <w:rFonts w:cs="Times New Roman"/>
          <w:lang w:val="fr-CA"/>
        </w:rPr>
        <w:t xml:space="preserve">L’article 15 protège les justiciables contre la discrimination exercée par l’État. Comme tout autre </w:t>
      </w:r>
      <w:r w:rsidRPr="0062272F">
        <w:rPr>
          <w:rFonts w:cs="Times New Roman"/>
          <w:iCs/>
          <w:lang w:val="fr-CA"/>
        </w:rPr>
        <w:t>droit reconnu par la</w:t>
      </w:r>
      <w:r w:rsidRPr="0062272F">
        <w:rPr>
          <w:rFonts w:cs="Times New Roman"/>
          <w:i/>
          <w:lang w:val="fr-CA"/>
        </w:rPr>
        <w:t xml:space="preserve"> Charte</w:t>
      </w:r>
      <w:r w:rsidRPr="0062272F">
        <w:rPr>
          <w:rFonts w:cs="Times New Roman"/>
          <w:lang w:val="fr-CA"/>
        </w:rPr>
        <w:t>, cet article s’applique aux actes discriminatoires commis par l’État et non aux actes discriminatoires privés (art. 32;</w:t>
      </w:r>
      <w:r w:rsidR="00E12D42">
        <w:rPr>
          <w:rFonts w:cs="Times New Roman"/>
          <w:i/>
          <w:lang w:val="fr-CA"/>
        </w:rPr>
        <w:t xml:space="preserve"> SDGMR</w:t>
      </w:r>
      <w:r w:rsidRPr="0062272F">
        <w:rPr>
          <w:rFonts w:cs="Times New Roman"/>
          <w:i/>
          <w:lang w:val="fr-CA"/>
        </w:rPr>
        <w:t xml:space="preserve"> c. Dolphin Delivery Ltd.</w:t>
      </w:r>
      <w:r w:rsidRPr="00AF085F">
        <w:rPr>
          <w:rFonts w:cs="Times New Roman"/>
          <w:lang w:val="fr-CA"/>
        </w:rPr>
        <w:t>,</w:t>
      </w:r>
      <w:r w:rsidRPr="0062272F">
        <w:rPr>
          <w:rFonts w:cs="Times New Roman"/>
          <w:i/>
          <w:lang w:val="fr-CA"/>
        </w:rPr>
        <w:t xml:space="preserve"> </w:t>
      </w:r>
      <w:r w:rsidRPr="0062272F">
        <w:rPr>
          <w:rFonts w:cs="Times New Roman"/>
          <w:lang w:val="fr-CA"/>
        </w:rPr>
        <w:t xml:space="preserve">[1986] 2 R.C.S. 573, p. 597; P. W. Hogg, </w:t>
      </w:r>
      <w:r w:rsidRPr="0062272F">
        <w:rPr>
          <w:rFonts w:cs="Times New Roman"/>
          <w:i/>
          <w:lang w:val="fr-CA"/>
        </w:rPr>
        <w:t xml:space="preserve">Constitutional Law of Canada </w:t>
      </w:r>
      <w:r w:rsidRPr="0062272F">
        <w:rPr>
          <w:rFonts w:cs="Times New Roman"/>
          <w:lang w:val="fr-CA"/>
        </w:rPr>
        <w:t>(5</w:t>
      </w:r>
      <w:r w:rsidRPr="0062272F">
        <w:rPr>
          <w:rFonts w:cs="Times New Roman"/>
          <w:vertAlign w:val="superscript"/>
          <w:lang w:val="fr-CA"/>
        </w:rPr>
        <w:t>e</w:t>
      </w:r>
      <w:r w:rsidR="009B3472">
        <w:rPr>
          <w:rFonts w:cs="Times New Roman"/>
          <w:lang w:val="fr-CA"/>
        </w:rPr>
        <w:t xml:space="preserve"> éd. suppl.</w:t>
      </w:r>
      <w:r w:rsidRPr="0062272F">
        <w:rPr>
          <w:rFonts w:cs="Times New Roman"/>
          <w:lang w:val="fr-CA"/>
        </w:rPr>
        <w:t>, vol. 2, p. 55</w:t>
      </w:r>
      <w:r w:rsidRPr="0062272F">
        <w:rPr>
          <w:rFonts w:cs="Times New Roman"/>
          <w:lang w:val="fr-CA"/>
        </w:rPr>
        <w:noBreakHyphen/>
        <w:t xml:space="preserve">12 </w:t>
      </w:r>
      <w:r w:rsidR="009B3472">
        <w:rPr>
          <w:rFonts w:cs="Times New Roman"/>
          <w:lang w:val="fr-CA"/>
        </w:rPr>
        <w:t>à</w:t>
      </w:r>
      <w:r w:rsidRPr="0062272F">
        <w:rPr>
          <w:rFonts w:cs="Times New Roman"/>
          <w:lang w:val="fr-CA"/>
        </w:rPr>
        <w:t xml:space="preserve"> 55</w:t>
      </w:r>
      <w:r w:rsidRPr="0062272F">
        <w:rPr>
          <w:rFonts w:cs="Times New Roman"/>
          <w:lang w:val="fr-CA"/>
        </w:rPr>
        <w:noBreakHyphen/>
        <w:t xml:space="preserve">13). En l’espèce, la </w:t>
      </w:r>
      <w:r w:rsidRPr="0062272F">
        <w:rPr>
          <w:rFonts w:cs="Times New Roman"/>
          <w:lang w:val="fr-CA"/>
        </w:rPr>
        <w:lastRenderedPageBreak/>
        <w:t>revendication des appelantes est fondée sur le rapport qui existe entre leur sexe, le partage des responsabilités parentales au sein de la société et le fait qu’elles ont partagé un poste. Leur argument est que, puisque la responsabilité première de l’éducation des enfants a toujours incombé aux femmes, le régime aurait dû leur permettre de « racheter » des périodes supplémentaires de service ouvrant droit à pension pour tenir compte du temps où elles ont partagé un poste pour s’acquitter de leurs responsabilités parentales.</w:t>
      </w:r>
    </w:p>
    <w:p w14:paraId="4719101F" w14:textId="027532D3" w:rsidR="00804EA2" w:rsidRPr="0062272F" w:rsidRDefault="00804EA2" w:rsidP="00804EA2">
      <w:pPr>
        <w:pStyle w:val="ParaNoNdepar-AltN"/>
        <w:rPr>
          <w:rFonts w:cs="Times New Roman"/>
          <w:lang w:val="fr-CA"/>
        </w:rPr>
      </w:pPr>
      <w:r w:rsidRPr="0062272F">
        <w:rPr>
          <w:rFonts w:cs="Times New Roman"/>
          <w:lang w:val="fr-CA"/>
        </w:rPr>
        <w:t xml:space="preserve">Il est incontestable que les femmes ont de tout temps été désavantagées sur le marché du travail, en partie en raison des contraintes liées à l’éducation des enfants. Notre Cour a reconnu ce désavantage, notamment en matière de rémunération, dans les arrêts </w:t>
      </w:r>
      <w:r w:rsidRPr="0062272F">
        <w:rPr>
          <w:rFonts w:cs="Times New Roman"/>
          <w:i/>
          <w:lang w:val="fr-CA"/>
        </w:rPr>
        <w:t>Alliance</w:t>
      </w:r>
      <w:r w:rsidRPr="0062272F">
        <w:rPr>
          <w:rFonts w:cs="Times New Roman"/>
          <w:lang w:val="fr-CA"/>
        </w:rPr>
        <w:t>, au par. 6,</w:t>
      </w:r>
      <w:r w:rsidRPr="0062272F">
        <w:rPr>
          <w:rFonts w:cs="Times New Roman"/>
          <w:i/>
          <w:lang w:val="fr-CA"/>
        </w:rPr>
        <w:t xml:space="preserve"> </w:t>
      </w:r>
      <w:r w:rsidRPr="0062272F">
        <w:rPr>
          <w:rFonts w:cs="Times New Roman"/>
          <w:lang w:val="fr-CA"/>
        </w:rPr>
        <w:t xml:space="preserve">et </w:t>
      </w:r>
      <w:r w:rsidRPr="0062272F">
        <w:rPr>
          <w:rFonts w:cs="Times New Roman"/>
          <w:i/>
          <w:lang w:val="fr-CA"/>
        </w:rPr>
        <w:t>Centrale des syndicats du Québec c. Québec (Procureur</w:t>
      </w:r>
      <w:r w:rsidR="001223EE">
        <w:rPr>
          <w:rFonts w:cs="Times New Roman"/>
          <w:i/>
          <w:lang w:val="fr-CA"/>
        </w:rPr>
        <w:t>e</w:t>
      </w:r>
      <w:r w:rsidRPr="0062272F">
        <w:rPr>
          <w:rFonts w:cs="Times New Roman"/>
          <w:i/>
          <w:lang w:val="fr-CA"/>
        </w:rPr>
        <w:t xml:space="preserve"> général</w:t>
      </w:r>
      <w:r w:rsidR="001223EE">
        <w:rPr>
          <w:rFonts w:cs="Times New Roman"/>
          <w:i/>
          <w:lang w:val="fr-CA"/>
        </w:rPr>
        <w:t>e</w:t>
      </w:r>
      <w:r w:rsidRPr="0062272F">
        <w:rPr>
          <w:rFonts w:cs="Times New Roman"/>
          <w:i/>
          <w:lang w:val="fr-CA"/>
        </w:rPr>
        <w:t>)</w:t>
      </w:r>
      <w:r w:rsidRPr="0062272F">
        <w:rPr>
          <w:rFonts w:cs="Times New Roman"/>
          <w:lang w:val="fr-CA"/>
        </w:rPr>
        <w:t xml:space="preserve">, 2018 CSC 18, [2018] 1 R.C.S. 522, aux par. 2, 58 et 138. En l’espèce, la juge saisie de la </w:t>
      </w:r>
      <w:r>
        <w:rPr>
          <w:rFonts w:cs="Times New Roman"/>
          <w:lang w:val="fr-CA"/>
        </w:rPr>
        <w:t>demande</w:t>
      </w:r>
      <w:r w:rsidRPr="0062272F">
        <w:rPr>
          <w:rFonts w:cs="Times New Roman"/>
          <w:lang w:val="fr-CA"/>
        </w:rPr>
        <w:t xml:space="preserve"> a reçu et accepté des éléments de preuve démontrant que </w:t>
      </w:r>
      <w:r w:rsidRPr="0062272F">
        <w:rPr>
          <w:rFonts w:cs="Times New Roman"/>
          <w:shd w:val="clear" w:color="auto" w:fill="FFFFFF"/>
          <w:lang w:val="fr-CA"/>
        </w:rPr>
        <w:t>« les femmes continuent d’assumer leurs rôles traditionnels à la maison et [. . .] sont plus susceptibles de réduire leurs heures de travail que leurs homologues masculins pour répondre à la </w:t>
      </w:r>
      <w:r w:rsidRPr="0062272F">
        <w:rPr>
          <w:rStyle w:val="citationcar"/>
          <w:rFonts w:cs="Times New Roman"/>
          <w:shd w:val="clear" w:color="auto" w:fill="FFFFFF"/>
          <w:lang w:val="fr-CA"/>
        </w:rPr>
        <w:t>“surcharge de rôles”</w:t>
      </w:r>
      <w:r w:rsidRPr="0062272F">
        <w:rPr>
          <w:rFonts w:cs="Times New Roman"/>
          <w:shd w:val="clear" w:color="auto" w:fill="FFFFFF"/>
          <w:lang w:val="fr-CA"/>
        </w:rPr>
        <w:t> et de concilier la vie personnelle et la vie professionnelle »</w:t>
      </w:r>
      <w:r w:rsidRPr="0062272F">
        <w:rPr>
          <w:rFonts w:cs="Times New Roman"/>
          <w:lang w:val="fr-CA"/>
        </w:rPr>
        <w:t xml:space="preserve"> (par. 72). Elle a également accepté des éléments de preuve selon lesquels les femmes</w:t>
      </w:r>
      <w:r w:rsidRPr="0062272F">
        <w:rPr>
          <w:rFonts w:cs="Times New Roman"/>
          <w:shd w:val="clear" w:color="auto" w:fill="FFFFFF"/>
          <w:lang w:val="fr-CA"/>
        </w:rPr>
        <w:t xml:space="preserve"> comptent toujours pour la plupart des employés à temps partiel, particulièrement celles âgées entre 25 et 44 ans qui sont le plus susceptibles d’élever des enfants</w:t>
      </w:r>
      <w:r w:rsidRPr="0062272F">
        <w:rPr>
          <w:rFonts w:cs="Times New Roman"/>
          <w:lang w:val="fr-CA"/>
        </w:rPr>
        <w:t xml:space="preserve"> (par. 168). </w:t>
      </w:r>
    </w:p>
    <w:p w14:paraId="278C5060" w14:textId="687DDD8C" w:rsidR="00804EA2" w:rsidRPr="0062272F" w:rsidRDefault="00804EA2" w:rsidP="00804EA2">
      <w:pPr>
        <w:pStyle w:val="ParaNoNdepar-AltN"/>
        <w:rPr>
          <w:rFonts w:cs="Times New Roman"/>
          <w:lang w:val="fr-CA"/>
        </w:rPr>
      </w:pPr>
      <w:r w:rsidRPr="0062272F">
        <w:rPr>
          <w:rFonts w:cs="Times New Roman"/>
          <w:lang w:val="fr-CA"/>
        </w:rPr>
        <w:lastRenderedPageBreak/>
        <w:t>Par ailleurs, la Cour d’appel fédérale a qualifié la discrimination systémique de « phénomène continu qui a des origines profondes dans l</w:t>
      </w:r>
      <w:r>
        <w:rPr>
          <w:rFonts w:cs="Times New Roman"/>
          <w:lang w:val="fr-CA"/>
        </w:rPr>
        <w:t>’</w:t>
      </w:r>
      <w:r w:rsidRPr="0062272F">
        <w:rPr>
          <w:rFonts w:cs="Times New Roman"/>
          <w:lang w:val="fr-CA"/>
        </w:rPr>
        <w:t xml:space="preserve">histoire et dans les attitudes sociétales. </w:t>
      </w:r>
      <w:r w:rsidRPr="0062272F">
        <w:rPr>
          <w:rFonts w:cs="Times New Roman"/>
          <w:szCs w:val="24"/>
          <w:lang w:val="fr-CA"/>
        </w:rPr>
        <w:t xml:space="preserve">[Elle] </w:t>
      </w:r>
      <w:r w:rsidRPr="0062272F">
        <w:rPr>
          <w:rFonts w:cs="Times New Roman"/>
          <w:lang w:val="fr-CA"/>
        </w:rPr>
        <w:t>ne peut être isolée sous forme d</w:t>
      </w:r>
      <w:r>
        <w:rPr>
          <w:rFonts w:cs="Times New Roman"/>
          <w:lang w:val="fr-CA"/>
        </w:rPr>
        <w:t>’</w:t>
      </w:r>
      <w:r w:rsidRPr="0062272F">
        <w:rPr>
          <w:rFonts w:cs="Times New Roman"/>
          <w:lang w:val="fr-CA"/>
        </w:rPr>
        <w:t xml:space="preserve">acte ou de déclaration unique » </w:t>
      </w:r>
      <w:r w:rsidRPr="0062272F">
        <w:rPr>
          <w:rFonts w:cs="Times New Roman"/>
          <w:szCs w:val="24"/>
          <w:lang w:val="fr-CA"/>
        </w:rPr>
        <w:t>(</w:t>
      </w:r>
      <w:r w:rsidRPr="0062272F">
        <w:rPr>
          <w:rFonts w:cs="Times New Roman"/>
          <w:i/>
          <w:iCs/>
          <w:szCs w:val="24"/>
          <w:shd w:val="clear" w:color="auto" w:fill="FFFFFF"/>
          <w:lang w:val="fr-CA"/>
        </w:rPr>
        <w:t>Alliance de la fonction publique du Canada c. Canada (Ministère de la Défense nationale</w:t>
      </w:r>
      <w:r w:rsidR="004E08B6">
        <w:rPr>
          <w:rFonts w:cs="Times New Roman"/>
          <w:szCs w:val="24"/>
          <w:shd w:val="clear" w:color="auto" w:fill="FFFFFF"/>
          <w:lang w:val="fr-CA"/>
        </w:rPr>
        <w:t>)</w:t>
      </w:r>
      <w:r w:rsidRPr="0062272F">
        <w:rPr>
          <w:rFonts w:cs="Times New Roman"/>
          <w:szCs w:val="24"/>
          <w:shd w:val="clear" w:color="auto" w:fill="FFFFFF"/>
          <w:lang w:val="fr-CA"/>
        </w:rPr>
        <w:t>, [1996] 3 C.F. 789</w:t>
      </w:r>
      <w:r w:rsidR="004E08B6">
        <w:rPr>
          <w:rFonts w:cs="Times New Roman"/>
          <w:szCs w:val="24"/>
          <w:shd w:val="clear" w:color="auto" w:fill="FFFFFF"/>
          <w:lang w:val="fr-CA"/>
        </w:rPr>
        <w:t xml:space="preserve"> (C.A.)</w:t>
      </w:r>
      <w:r w:rsidRPr="0062272F">
        <w:rPr>
          <w:rFonts w:cs="Times New Roman"/>
          <w:szCs w:val="24"/>
          <w:lang w:val="fr-CA"/>
        </w:rPr>
        <w:t xml:space="preserve">, par. 16). Et elle existe </w:t>
      </w:r>
      <w:r w:rsidRPr="00AF085F">
        <w:rPr>
          <w:rFonts w:cs="Times New Roman"/>
          <w:i/>
          <w:szCs w:val="24"/>
          <w:lang w:val="fr-CA"/>
        </w:rPr>
        <w:t>tant</w:t>
      </w:r>
      <w:r w:rsidRPr="0062272F">
        <w:rPr>
          <w:rFonts w:cs="Times New Roman"/>
          <w:szCs w:val="24"/>
          <w:lang w:val="fr-CA"/>
        </w:rPr>
        <w:t xml:space="preserve"> dans la sphère privée </w:t>
      </w:r>
      <w:r w:rsidRPr="00AF085F">
        <w:rPr>
          <w:rFonts w:cs="Times New Roman"/>
          <w:i/>
          <w:szCs w:val="24"/>
          <w:lang w:val="fr-CA"/>
        </w:rPr>
        <w:t>que</w:t>
      </w:r>
      <w:r w:rsidRPr="0062272F">
        <w:rPr>
          <w:rFonts w:cs="Times New Roman"/>
          <w:szCs w:val="24"/>
          <w:lang w:val="fr-CA"/>
        </w:rPr>
        <w:t xml:space="preserve"> dans l’espace public. Certains aspects des politiques gouvernementales en matière d’emploi, par exemple, ont contribué aux désavantages systémiques que subissent les femmes (</w:t>
      </w:r>
      <w:r w:rsidRPr="0062272F">
        <w:rPr>
          <w:rFonts w:cs="Times New Roman"/>
          <w:lang w:val="fr-CA"/>
        </w:rPr>
        <w:t xml:space="preserve">voir, par ex., </w:t>
      </w:r>
      <w:r w:rsidRPr="0062272F">
        <w:rPr>
          <w:rFonts w:cs="Times New Roman"/>
          <w:i/>
          <w:lang w:val="fr-CA"/>
        </w:rPr>
        <w:t>Terre</w:t>
      </w:r>
      <w:r w:rsidRPr="0062272F">
        <w:rPr>
          <w:rFonts w:cs="Times New Roman"/>
          <w:i/>
          <w:lang w:val="fr-CA"/>
        </w:rPr>
        <w:noBreakHyphen/>
        <w:t>Neuve (Conseil du Trésor) c. N.A.P.E</w:t>
      </w:r>
      <w:r w:rsidRPr="004E08B6">
        <w:rPr>
          <w:rFonts w:cs="Times New Roman"/>
          <w:i/>
          <w:lang w:val="fr-CA"/>
        </w:rPr>
        <w:t>.</w:t>
      </w:r>
      <w:r w:rsidRPr="0062272F">
        <w:rPr>
          <w:rFonts w:cs="Times New Roman"/>
          <w:lang w:val="fr-CA"/>
        </w:rPr>
        <w:t xml:space="preserve">, 2004 CSC 66, [2004] 3 R.C.S. 381). Il existe toutefois aussi beaucoup de phénomènes provenant de la sphère </w:t>
      </w:r>
      <w:r w:rsidRPr="0062272F">
        <w:rPr>
          <w:rFonts w:cs="Times New Roman"/>
          <w:i/>
          <w:iCs/>
          <w:lang w:val="fr-CA"/>
        </w:rPr>
        <w:t>privée</w:t>
      </w:r>
      <w:r w:rsidRPr="0062272F">
        <w:rPr>
          <w:rFonts w:cs="Times New Roman"/>
          <w:lang w:val="fr-CA"/>
        </w:rPr>
        <w:t xml:space="preserve"> </w:t>
      </w:r>
      <w:r>
        <w:rPr>
          <w:rFonts w:cs="Times New Roman"/>
          <w:lang w:val="fr-CA"/>
        </w:rPr>
        <w:t>—</w:t>
      </w:r>
      <w:r w:rsidRPr="0062272F">
        <w:rPr>
          <w:rFonts w:cs="Times New Roman"/>
          <w:lang w:val="fr-CA"/>
        </w:rPr>
        <w:t xml:space="preserve"> </w:t>
      </w:r>
      <w:r w:rsidRPr="0062272F">
        <w:rPr>
          <w:rFonts w:cs="Times New Roman"/>
          <w:i/>
          <w:iCs/>
          <w:lang w:val="fr-CA"/>
        </w:rPr>
        <w:t xml:space="preserve">autres </w:t>
      </w:r>
      <w:r w:rsidRPr="0062272F">
        <w:rPr>
          <w:rFonts w:cs="Times New Roman"/>
          <w:lang w:val="fr-CA"/>
        </w:rPr>
        <w:t>que les politiques gouvernementales — qui contribuent depuis longtemps aux désavantages systémiques historiques qui sont le lot des femmes. Un exemple fort éloquent de ce phénomène est la façon dont les parents partagent entre eux les obligations familiales, y compris l’éducation des enfants, ainsi que leurs attentes réciproques à ce chapitre.</w:t>
      </w:r>
    </w:p>
    <w:p w14:paraId="4CF447EB" w14:textId="77777777" w:rsidR="00804EA2" w:rsidRPr="0062272F" w:rsidRDefault="00804EA2" w:rsidP="00804EA2">
      <w:pPr>
        <w:pStyle w:val="ParaNoNdepar-AltN"/>
        <w:rPr>
          <w:rFonts w:cs="Times New Roman"/>
          <w:lang w:val="fr-CA"/>
        </w:rPr>
      </w:pPr>
      <w:r w:rsidRPr="0062272F">
        <w:rPr>
          <w:rFonts w:cs="Times New Roman"/>
          <w:lang w:val="fr-CA"/>
        </w:rPr>
        <w:t xml:space="preserve">Dans le cas qui nous occupe, le régime n’est ni une source publique ni une source privée de désavantages systémiques permanents. Il ne contribue pas aux désavantages systémiques dont font l’objet les femmes et il n’a pas non plus pour effet de renforcer, de perpétuer ou d’accentuer les désavantages que subissent déjà les femmes en milieu de travail en raison notamment du partage inégal des responsabilités parentales. Il vise plutôt à </w:t>
      </w:r>
      <w:r w:rsidRPr="0062272F">
        <w:rPr>
          <w:rFonts w:cs="Times New Roman"/>
          <w:i/>
          <w:iCs/>
          <w:lang w:val="fr-CA"/>
        </w:rPr>
        <w:t>atténuer — sans toutefois éliminer —</w:t>
      </w:r>
      <w:r w:rsidRPr="0062272F">
        <w:rPr>
          <w:rFonts w:cs="Times New Roman"/>
          <w:lang w:val="fr-CA"/>
        </w:rPr>
        <w:t xml:space="preserve"> les conséquences des désavantages que subissent déjà les femmes dans leur carrière au sein de la GRC en leur offrant des options d’emploi qui leur permettent de poursuivre leur carrière tout en </w:t>
      </w:r>
      <w:r w:rsidRPr="0062272F">
        <w:rPr>
          <w:rFonts w:cs="Times New Roman"/>
          <w:lang w:val="fr-CA"/>
        </w:rPr>
        <w:lastRenderedPageBreak/>
        <w:t xml:space="preserve">élevant des enfants. La présente affaire soulève donc que la question de savoir si un tribunal peut invalider en partie un régime établi par la loi pour la simple raison qu’elle n’est </w:t>
      </w:r>
      <w:r w:rsidRPr="0062272F">
        <w:rPr>
          <w:rFonts w:cs="Times New Roman"/>
          <w:i/>
          <w:iCs/>
          <w:lang w:val="fr-CA"/>
        </w:rPr>
        <w:t>pas suffisamment</w:t>
      </w:r>
      <w:r w:rsidRPr="0062272F">
        <w:rPr>
          <w:rFonts w:cs="Times New Roman"/>
          <w:lang w:val="fr-CA"/>
        </w:rPr>
        <w:t xml:space="preserve"> réparatrice. À notre humble avis, comme nous l’expliquons plus loin, il faut répondre à cette question par la négative.</w:t>
      </w:r>
    </w:p>
    <w:p w14:paraId="5277E26E" w14:textId="77777777" w:rsidR="00804EA2" w:rsidRPr="0062272F" w:rsidRDefault="00804EA2" w:rsidP="00804EA2">
      <w:pPr>
        <w:pStyle w:val="Title2LevelTitre2Niveau"/>
        <w:rPr>
          <w:rFonts w:cs="Times New Roman"/>
          <w:lang w:val="fr-CA"/>
        </w:rPr>
      </w:pPr>
      <w:r w:rsidRPr="0062272F">
        <w:rPr>
          <w:rFonts w:cs="Times New Roman"/>
          <w:lang w:val="fr-CA"/>
        </w:rPr>
        <w:t>Première étape de l’analyse fondée sur l’art</w:t>
      </w:r>
      <w:r>
        <w:rPr>
          <w:rFonts w:cs="Times New Roman"/>
          <w:lang w:val="fr-CA"/>
        </w:rPr>
        <w:t>.</w:t>
      </w:r>
      <w:r w:rsidRPr="0062272F">
        <w:rPr>
          <w:rFonts w:cs="Times New Roman"/>
          <w:lang w:val="fr-CA"/>
        </w:rPr>
        <w:t xml:space="preserve"> 15 </w:t>
      </w:r>
    </w:p>
    <w:p w14:paraId="5C366A8E" w14:textId="77777777" w:rsidR="00804EA2" w:rsidRPr="0062272F" w:rsidRDefault="00804EA2" w:rsidP="00804EA2">
      <w:pPr>
        <w:pStyle w:val="ParaNoNdepar-AltN"/>
        <w:rPr>
          <w:rFonts w:cs="Times New Roman"/>
          <w:lang w:val="fr-CA"/>
        </w:rPr>
      </w:pPr>
      <w:r w:rsidRPr="0062272F">
        <w:rPr>
          <w:rFonts w:cs="Times New Roman"/>
          <w:lang w:val="fr-CA"/>
        </w:rPr>
        <w:t>Comme notre collègue l’explique, la présente allégation en est une de discrimination par suite d’un effet préjudiciable. Nous convenons que, tel qu’il est formulé, le critère de l’art. 15 peut s’appliquer à ce type d’allégation (par. 48</w:t>
      </w:r>
      <w:r w:rsidRPr="0062272F">
        <w:rPr>
          <w:rFonts w:cs="Times New Roman"/>
          <w:lang w:val="fr-CA"/>
        </w:rPr>
        <w:noBreakHyphen/>
        <w:t xml:space="preserve">50). Ce critère comporte les deux volets suivants : </w:t>
      </w:r>
    </w:p>
    <w:p w14:paraId="2EA2A633" w14:textId="77777777" w:rsidR="00804EA2" w:rsidRPr="0062272F" w:rsidRDefault="00804EA2" w:rsidP="000C5D46">
      <w:pPr>
        <w:pStyle w:val="Citation-AltC"/>
        <w:numPr>
          <w:ilvl w:val="0"/>
          <w:numId w:val="31"/>
        </w:numPr>
        <w:spacing w:after="360" w:line="480" w:lineRule="auto"/>
        <w:ind w:left="540" w:hanging="537"/>
        <w:contextualSpacing w:val="0"/>
        <w:rPr>
          <w:lang w:val="fr-CA"/>
        </w:rPr>
      </w:pPr>
      <w:r w:rsidRPr="0062272F">
        <w:rPr>
          <w:shd w:val="clear" w:color="auto" w:fill="FFFFFF"/>
          <w:lang w:val="fr-CA"/>
        </w:rPr>
        <w:t>La loi contestée crée</w:t>
      </w:r>
      <w:r w:rsidRPr="0062272F">
        <w:rPr>
          <w:shd w:val="clear" w:color="auto" w:fill="FFFFFF"/>
          <w:lang w:val="fr-CA"/>
        </w:rPr>
        <w:noBreakHyphen/>
        <w:t>t</w:t>
      </w:r>
      <w:r w:rsidRPr="0062272F">
        <w:rPr>
          <w:shd w:val="clear" w:color="auto" w:fill="FFFFFF"/>
          <w:lang w:val="fr-CA"/>
        </w:rPr>
        <w:noBreakHyphen/>
        <w:t>elle, à première vue ou de par son effet, une distinction fondée sur un motif énuméré ou analogue</w:t>
      </w:r>
      <w:r w:rsidRPr="0062272F">
        <w:rPr>
          <w:lang w:val="fr-CA"/>
        </w:rPr>
        <w:t>?</w:t>
      </w:r>
    </w:p>
    <w:p w14:paraId="30CEB97C" w14:textId="77777777" w:rsidR="00804EA2" w:rsidRPr="0062272F" w:rsidRDefault="00804EA2" w:rsidP="000C5D46">
      <w:pPr>
        <w:pStyle w:val="Citation-AltC"/>
        <w:numPr>
          <w:ilvl w:val="0"/>
          <w:numId w:val="31"/>
        </w:numPr>
        <w:spacing w:after="480" w:line="480" w:lineRule="auto"/>
        <w:ind w:left="533" w:hanging="533"/>
        <w:contextualSpacing w:val="0"/>
        <w:rPr>
          <w:lang w:val="fr-CA"/>
        </w:rPr>
      </w:pPr>
      <w:r w:rsidRPr="0062272F">
        <w:rPr>
          <w:shd w:val="clear" w:color="auto" w:fill="FFFFFF"/>
          <w:lang w:val="fr-CA"/>
        </w:rPr>
        <w:t>Est</w:t>
      </w:r>
      <w:r w:rsidRPr="0062272F">
        <w:rPr>
          <w:shd w:val="clear" w:color="auto" w:fill="FFFFFF"/>
          <w:lang w:val="fr-CA"/>
        </w:rPr>
        <w:noBreakHyphen/>
        <w:t>ce que la loi contestée ne répond pas aux capacités et aux besoins concrets des membres du groupe et leur impose plutôt un fardeau ou leur nie un avantage d’une manière qui a pour effet de renforcer, de perpétuer ou d’accentuer le désavantage dont ils sont victimes</w:t>
      </w:r>
      <w:r w:rsidRPr="0062272F">
        <w:rPr>
          <w:lang w:val="fr-CA"/>
        </w:rPr>
        <w:t xml:space="preserve">? </w:t>
      </w:r>
    </w:p>
    <w:p w14:paraId="05AEA46A" w14:textId="77777777" w:rsidR="00804EA2" w:rsidRPr="0062272F" w:rsidRDefault="00804EA2" w:rsidP="000C5D46">
      <w:pPr>
        <w:pStyle w:val="ContinueParaSuitedupar-AltP"/>
        <w:spacing w:before="0" w:line="240" w:lineRule="auto"/>
        <w:rPr>
          <w:rFonts w:cs="Times New Roman"/>
          <w:lang w:val="fr-CA"/>
        </w:rPr>
      </w:pPr>
      <w:r w:rsidRPr="0062272F">
        <w:rPr>
          <w:rFonts w:cs="Times New Roman"/>
          <w:lang w:val="fr-CA"/>
        </w:rPr>
        <w:t>(</w:t>
      </w:r>
      <w:r w:rsidRPr="0062272F">
        <w:rPr>
          <w:rFonts w:cs="Times New Roman"/>
          <w:i/>
          <w:iCs/>
          <w:lang w:val="fr-CA"/>
        </w:rPr>
        <w:t>Première Nation de Kahkewistahaw c. Taypotat</w:t>
      </w:r>
      <w:r w:rsidRPr="0062272F">
        <w:rPr>
          <w:rFonts w:cs="Times New Roman"/>
          <w:lang w:val="fr-CA"/>
        </w:rPr>
        <w:t>, 2015 CSC 30, [2015] 2 R.C.S. 548, par. 19</w:t>
      </w:r>
      <w:r w:rsidRPr="0062272F">
        <w:rPr>
          <w:rFonts w:cs="Times New Roman"/>
          <w:lang w:val="fr-CA"/>
        </w:rPr>
        <w:noBreakHyphen/>
        <w:t xml:space="preserve">20; </w:t>
      </w:r>
      <w:r w:rsidRPr="0062272F">
        <w:rPr>
          <w:rFonts w:cs="Times New Roman"/>
          <w:i/>
          <w:lang w:val="fr-CA"/>
        </w:rPr>
        <w:t>Alliance</w:t>
      </w:r>
      <w:r w:rsidRPr="0062272F">
        <w:rPr>
          <w:rFonts w:cs="Times New Roman"/>
          <w:lang w:val="fr-CA"/>
        </w:rPr>
        <w:t xml:space="preserve">, par. 25; </w:t>
      </w:r>
      <w:r w:rsidRPr="0062272F">
        <w:rPr>
          <w:rFonts w:cs="Times New Roman"/>
          <w:i/>
          <w:lang w:val="fr-CA"/>
        </w:rPr>
        <w:t>Centrale</w:t>
      </w:r>
      <w:r w:rsidRPr="0062272F">
        <w:rPr>
          <w:rFonts w:cs="Times New Roman"/>
          <w:lang w:val="fr-CA"/>
        </w:rPr>
        <w:t>, par. 22.)</w:t>
      </w:r>
    </w:p>
    <w:p w14:paraId="17E62C3C" w14:textId="77777777" w:rsidR="00804EA2" w:rsidRPr="0062272F" w:rsidRDefault="00804EA2" w:rsidP="000B007D">
      <w:pPr>
        <w:pStyle w:val="ParaNoNdepar-AltN"/>
        <w:rPr>
          <w:rFonts w:cs="Times New Roman"/>
          <w:b/>
          <w:lang w:val="fr-CA"/>
        </w:rPr>
      </w:pPr>
      <w:r w:rsidRPr="0062272F">
        <w:rPr>
          <w:rFonts w:cs="Times New Roman"/>
          <w:lang w:val="fr-CA"/>
        </w:rPr>
        <w:t xml:space="preserve">La possibilité de tenir compte de la discrimination par suite d’un effet préjudiciable en appliquant ce critère est démontrée par le fait que le critère pose la </w:t>
      </w:r>
      <w:r w:rsidRPr="0062272F">
        <w:rPr>
          <w:rFonts w:cs="Times New Roman"/>
          <w:lang w:val="fr-CA"/>
        </w:rPr>
        <w:lastRenderedPageBreak/>
        <w:t xml:space="preserve">question de savoir si la loi crée une distinction </w:t>
      </w:r>
      <w:r w:rsidRPr="0062272F">
        <w:rPr>
          <w:rFonts w:cs="Times New Roman"/>
          <w:i/>
          <w:iCs/>
          <w:lang w:val="fr-CA"/>
        </w:rPr>
        <w:t>de par son effet</w:t>
      </w:r>
      <w:r w:rsidRPr="0062272F">
        <w:rPr>
          <w:rFonts w:cs="Times New Roman"/>
          <w:lang w:val="fr-CA"/>
        </w:rPr>
        <w:t xml:space="preserve">. Comme notre Cour l’a reconnu dans l’arrêt </w:t>
      </w:r>
      <w:r w:rsidRPr="0062272F">
        <w:rPr>
          <w:rFonts w:cs="Times New Roman"/>
          <w:i/>
          <w:lang w:val="fr-CA"/>
        </w:rPr>
        <w:t>Withler</w:t>
      </w:r>
      <w:r w:rsidRPr="0062272F">
        <w:rPr>
          <w:rFonts w:cs="Times New Roman"/>
          <w:lang w:val="fr-CA"/>
        </w:rPr>
        <w:t>, dans les affaires de discrimination par suite d’un effet préjudiciable, « le demandeur aura une tâche plus lourde à la première étape » (par. 64).</w:t>
      </w:r>
      <w:r w:rsidRPr="0062272F">
        <w:rPr>
          <w:rFonts w:cs="Times New Roman"/>
          <w:b/>
          <w:lang w:val="fr-CA"/>
        </w:rPr>
        <w:t xml:space="preserve"> </w:t>
      </w:r>
    </w:p>
    <w:p w14:paraId="743BB656" w14:textId="77777777" w:rsidR="00804EA2" w:rsidRPr="00AF085F" w:rsidRDefault="00804EA2" w:rsidP="00804EA2">
      <w:pPr>
        <w:pStyle w:val="ParaNoNdepar-AltN"/>
        <w:rPr>
          <w:rFonts w:cs="Times New Roman"/>
          <w:lang w:val="fr-CA"/>
        </w:rPr>
      </w:pPr>
      <w:r w:rsidRPr="0062272F">
        <w:rPr>
          <w:rFonts w:cs="Times New Roman"/>
          <w:lang w:val="fr-CA"/>
        </w:rPr>
        <w:t xml:space="preserve">Le concept de « distinction » est au cœur de notre jurisprudence sur l’art. 15 depuis l’arrêt </w:t>
      </w:r>
      <w:r w:rsidRPr="0062272F">
        <w:rPr>
          <w:rFonts w:cs="Times New Roman"/>
          <w:i/>
          <w:lang w:val="fr-CA"/>
        </w:rPr>
        <w:t>Andrews c. Law Society of British Columbia</w:t>
      </w:r>
      <w:r w:rsidRPr="0062272F">
        <w:rPr>
          <w:rFonts w:cs="Times New Roman"/>
          <w:lang w:val="fr-CA"/>
        </w:rPr>
        <w:t>, [1989] 1 R.C.S. 143, qui qualifiait la discrimination de « </w:t>
      </w:r>
      <w:r w:rsidRPr="0062272F">
        <w:rPr>
          <w:rFonts w:cs="Times New Roman"/>
          <w:u w:val="single"/>
          <w:lang w:val="fr-CA"/>
        </w:rPr>
        <w:t>distinction</w:t>
      </w:r>
      <w:r w:rsidRPr="0062272F">
        <w:rPr>
          <w:rFonts w:cs="Times New Roman"/>
          <w:lang w:val="fr-CA"/>
        </w:rPr>
        <w:t xml:space="preserve">, intentionnelle ou non, mais fondée sur des motifs relatifs à des caractéristiques personnelles d’un individu ou d’un groupe d’individus » (p. 174, (nous soulignons)). Ainsi que la Cour l’a expliqué dans l’arrêt </w:t>
      </w:r>
      <w:r w:rsidRPr="0062272F">
        <w:rPr>
          <w:rFonts w:cs="Times New Roman"/>
          <w:i/>
          <w:lang w:val="fr-CA"/>
        </w:rPr>
        <w:t>Withler </w:t>
      </w:r>
      <w:r w:rsidRPr="00AF085F">
        <w:rPr>
          <w:rFonts w:cs="Times New Roman"/>
          <w:lang w:val="fr-CA"/>
        </w:rPr>
        <w:t>:</w:t>
      </w:r>
    </w:p>
    <w:p w14:paraId="31CEF874" w14:textId="77777777" w:rsidR="00804EA2" w:rsidRPr="0062272F" w:rsidRDefault="00804EA2" w:rsidP="00804EA2">
      <w:pPr>
        <w:pStyle w:val="Citation-AltC"/>
        <w:ind w:hanging="1166"/>
        <w:rPr>
          <w:rFonts w:eastAsiaTheme="minorEastAsia"/>
          <w:lang w:val="fr-CA"/>
        </w:rPr>
      </w:pPr>
      <w:r w:rsidRPr="004E7648">
        <w:rPr>
          <w:shd w:val="clear" w:color="auto" w:fill="FFFFFF"/>
          <w:lang w:val="fr-CA"/>
        </w:rPr>
        <w:tab/>
      </w:r>
      <w:r w:rsidRPr="0062272F">
        <w:rPr>
          <w:u w:val="single"/>
          <w:shd w:val="clear" w:color="auto" w:fill="FFFFFF"/>
          <w:lang w:val="fr-CA"/>
        </w:rPr>
        <w:t>Il ressort du mot « distinction » l’idée que le demandeur est traité différemment d’autrui. La comparaison entre donc en jeu,</w:t>
      </w:r>
      <w:r w:rsidRPr="0062272F">
        <w:rPr>
          <w:shd w:val="clear" w:color="auto" w:fill="FFFFFF"/>
          <w:lang w:val="fr-CA"/>
        </w:rPr>
        <w:t xml:space="preserve"> en ce sens que le demandeur prétend qu’il s’est vu refuser un avantage accordé à d’autres ou imposer un fardeau que d’autres n’ont pas, en raison d’une caractéristique personnelle correspondant à un motif énuméré ou analogue visé par le par. 15(1). </w:t>
      </w:r>
      <w:r w:rsidRPr="0062272F">
        <w:rPr>
          <w:rFonts w:eastAsiaTheme="minorEastAsia"/>
          <w:lang w:val="fr-CA"/>
        </w:rPr>
        <w:t>[Nous soulignons; par. 62.]</w:t>
      </w:r>
    </w:p>
    <w:p w14:paraId="6C1E53AD" w14:textId="77777777" w:rsidR="00804EA2" w:rsidRPr="0062272F" w:rsidRDefault="00804EA2" w:rsidP="00804EA2">
      <w:pPr>
        <w:pStyle w:val="ParaNoNdepar-AltN"/>
        <w:rPr>
          <w:rFonts w:cs="Times New Roman"/>
          <w:lang w:val="fr-CA"/>
        </w:rPr>
      </w:pPr>
      <w:r w:rsidRPr="0062272F">
        <w:rPr>
          <w:rFonts w:cs="Times New Roman"/>
          <w:lang w:val="fr-CA"/>
        </w:rPr>
        <w:t xml:space="preserve">Comme le démontre ce passage, l’accent qui est mis à la première étape sur la recherche d’une </w:t>
      </w:r>
      <w:r w:rsidRPr="0062272F">
        <w:rPr>
          <w:rFonts w:cs="Times New Roman"/>
          <w:i/>
          <w:lang w:val="fr-CA"/>
        </w:rPr>
        <w:t xml:space="preserve">distinction </w:t>
      </w:r>
      <w:r w:rsidRPr="0062272F">
        <w:rPr>
          <w:rFonts w:cs="Times New Roman"/>
          <w:iCs/>
          <w:lang w:val="fr-CA"/>
        </w:rPr>
        <w:t>s’accorde avec la nature comparative de l’égalité.</w:t>
      </w:r>
      <w:r w:rsidRPr="0062272F">
        <w:rPr>
          <w:rFonts w:cs="Times New Roman"/>
          <w:i/>
          <w:lang w:val="fr-CA"/>
        </w:rPr>
        <w:t xml:space="preserve"> </w:t>
      </w:r>
      <w:r w:rsidRPr="0062272F">
        <w:rPr>
          <w:rFonts w:cs="Times New Roman"/>
          <w:lang w:val="fr-CA"/>
        </w:rPr>
        <w:t>D’ailleurs, comme notre Cour l’a souligné à maintes reprises, l’égalité est « un concept intrinsèquement comparatif » (</w:t>
      </w:r>
      <w:r w:rsidRPr="0062272F">
        <w:rPr>
          <w:rFonts w:cs="Times New Roman"/>
          <w:i/>
          <w:lang w:val="fr-CA"/>
        </w:rPr>
        <w:t>R. c. Kapp</w:t>
      </w:r>
      <w:r w:rsidRPr="0062272F">
        <w:rPr>
          <w:rFonts w:cs="Times New Roman"/>
          <w:lang w:val="fr-CA"/>
        </w:rPr>
        <w:t xml:space="preserve">, 2008 CSC 41, [2008] 2 R.C.S. 483, par. 15; voir aussi </w:t>
      </w:r>
      <w:r w:rsidRPr="0062272F">
        <w:rPr>
          <w:rFonts w:cs="Times New Roman"/>
          <w:i/>
          <w:lang w:val="fr-CA"/>
        </w:rPr>
        <w:t>Andrews</w:t>
      </w:r>
      <w:r w:rsidRPr="0062272F">
        <w:rPr>
          <w:rFonts w:cs="Times New Roman"/>
          <w:lang w:val="fr-CA"/>
        </w:rPr>
        <w:t>, p. 164;</w:t>
      </w:r>
      <w:r w:rsidRPr="0062272F">
        <w:rPr>
          <w:rFonts w:cs="Times New Roman"/>
          <w:i/>
          <w:lang w:val="fr-CA"/>
        </w:rPr>
        <w:t xml:space="preserve"> Winko c. Colombie</w:t>
      </w:r>
      <w:r w:rsidRPr="0062272F">
        <w:rPr>
          <w:rFonts w:cs="Times New Roman"/>
          <w:i/>
          <w:lang w:val="fr-CA"/>
        </w:rPr>
        <w:noBreakHyphen/>
        <w:t>Britannique (Forensic Psychiatric Institute)</w:t>
      </w:r>
      <w:r w:rsidRPr="0062272F">
        <w:rPr>
          <w:rFonts w:cs="Times New Roman"/>
          <w:lang w:val="fr-CA"/>
        </w:rPr>
        <w:t xml:space="preserve">, [1999] 2 R.C.S. 625, par. 77; </w:t>
      </w:r>
      <w:r w:rsidRPr="0062272F">
        <w:rPr>
          <w:rFonts w:cs="Times New Roman"/>
          <w:i/>
          <w:lang w:val="fr-CA"/>
        </w:rPr>
        <w:t>Withler</w:t>
      </w:r>
      <w:r w:rsidRPr="0062272F">
        <w:rPr>
          <w:rFonts w:cs="Times New Roman"/>
          <w:lang w:val="fr-CA"/>
        </w:rPr>
        <w:t xml:space="preserve">, par. 62). La comparaison joue un rôle tout au long des deux étapes de l’analyse fondée sur </w:t>
      </w:r>
      <w:r w:rsidRPr="0062272F">
        <w:rPr>
          <w:rFonts w:cs="Times New Roman"/>
          <w:lang w:val="fr-CA" w:bidi="en-US"/>
        </w:rPr>
        <w:t>l’art. 15 (</w:t>
      </w:r>
      <w:r w:rsidRPr="0062272F">
        <w:rPr>
          <w:rFonts w:cs="Times New Roman"/>
          <w:i/>
          <w:lang w:val="fr-CA" w:bidi="en-US"/>
        </w:rPr>
        <w:t>Withler</w:t>
      </w:r>
      <w:r w:rsidRPr="0062272F">
        <w:rPr>
          <w:rFonts w:cs="Times New Roman"/>
          <w:lang w:val="fr-CA" w:bidi="en-US"/>
        </w:rPr>
        <w:t xml:space="preserve">, par. 61). </w:t>
      </w:r>
    </w:p>
    <w:p w14:paraId="627D165F" w14:textId="55104808" w:rsidR="00804EA2" w:rsidRPr="0062272F" w:rsidRDefault="00804EA2" w:rsidP="00804EA2">
      <w:pPr>
        <w:pStyle w:val="ParaNoNdepar-AltN"/>
        <w:rPr>
          <w:rFonts w:cs="Times New Roman"/>
          <w:lang w:val="fr-CA"/>
        </w:rPr>
      </w:pPr>
      <w:r w:rsidRPr="0062272F">
        <w:rPr>
          <w:rFonts w:cs="Times New Roman"/>
          <w:lang w:val="fr-CA" w:bidi="en-US"/>
        </w:rPr>
        <w:lastRenderedPageBreak/>
        <w:t>Même si l’égalité est un concept de nature comparative, notre Cour a également incité à la prudence en précisant que la recherche d’« </w:t>
      </w:r>
      <w:r w:rsidRPr="0062272F">
        <w:rPr>
          <w:rFonts w:cs="Times New Roman"/>
          <w:shd w:val="clear" w:color="auto" w:fill="FFFFFF"/>
          <w:lang w:val="fr-CA"/>
        </w:rPr>
        <w:t xml:space="preserve">un groupe </w:t>
      </w:r>
      <w:r w:rsidR="000B007D">
        <w:rPr>
          <w:rFonts w:cs="Times New Roman"/>
          <w:shd w:val="clear" w:color="auto" w:fill="FFFFFF"/>
          <w:lang w:val="fr-CA"/>
        </w:rPr>
        <w:t xml:space="preserve">de comparaison </w:t>
      </w:r>
      <w:r w:rsidRPr="0062272F">
        <w:rPr>
          <w:rFonts w:cs="Times New Roman"/>
          <w:shd w:val="clear" w:color="auto" w:fill="FFFFFF"/>
          <w:lang w:val="fr-CA"/>
        </w:rPr>
        <w:t xml:space="preserve">aux caractéristiques identiques » ne constituait pas la bonne méthode pour évaluer les allégations fondées sur </w:t>
      </w:r>
      <w:r w:rsidRPr="0062272F">
        <w:rPr>
          <w:rFonts w:cs="Times New Roman"/>
          <w:lang w:val="fr-CA" w:bidi="en-US"/>
        </w:rPr>
        <w:t>l’art. 15 (</w:t>
      </w:r>
      <w:r w:rsidRPr="0062272F">
        <w:rPr>
          <w:rFonts w:cs="Times New Roman"/>
          <w:i/>
          <w:lang w:val="fr-CA" w:bidi="en-US"/>
        </w:rPr>
        <w:t>Withler</w:t>
      </w:r>
      <w:r w:rsidRPr="0062272F">
        <w:rPr>
          <w:rFonts w:cs="Times New Roman"/>
          <w:lang w:val="fr-CA" w:bidi="en-US"/>
        </w:rPr>
        <w:t>, par. 55</w:t>
      </w:r>
      <w:r w:rsidRPr="0062272F">
        <w:rPr>
          <w:rFonts w:cs="Times New Roman"/>
          <w:lang w:val="fr-CA" w:bidi="en-US"/>
        </w:rPr>
        <w:noBreakHyphen/>
        <w:t xml:space="preserve">60). Comme elle l’a mentionné dans </w:t>
      </w:r>
      <w:r w:rsidRPr="0062272F">
        <w:rPr>
          <w:rFonts w:cs="Times New Roman"/>
          <w:i/>
          <w:lang w:val="fr-CA" w:bidi="en-US"/>
        </w:rPr>
        <w:t>Withler</w:t>
      </w:r>
      <w:r w:rsidRPr="0062272F">
        <w:rPr>
          <w:rFonts w:cs="Times New Roman"/>
          <w:lang w:val="fr-CA" w:bidi="en-US"/>
        </w:rPr>
        <w:t xml:space="preserve">, </w:t>
      </w:r>
      <w:r>
        <w:rPr>
          <w:rFonts w:cs="Times New Roman"/>
          <w:lang w:val="fr-CA" w:bidi="en-US"/>
        </w:rPr>
        <w:t>« </w:t>
      </w:r>
      <w:r w:rsidRPr="0062272F">
        <w:rPr>
          <w:rFonts w:cs="Times New Roman"/>
          <w:lang w:val="fr-CA" w:bidi="en-US"/>
        </w:rPr>
        <w:t>[i]l</w:t>
      </w:r>
      <w:r w:rsidRPr="0062272F">
        <w:rPr>
          <w:rFonts w:cs="Times New Roman"/>
          <w:lang w:val="fr-CA"/>
        </w:rPr>
        <w:t xml:space="preserve"> s’agit d’une analyse contextuelle, non formaliste, basée sur la situation véritable du groupe et sur le risque que la mesure contestée aggrave sa situation » </w:t>
      </w:r>
      <w:r w:rsidRPr="0062272F">
        <w:rPr>
          <w:rFonts w:cs="Times New Roman"/>
          <w:lang w:val="fr-CA" w:bidi="en-US"/>
        </w:rPr>
        <w:t xml:space="preserve">(par. 37; voir aussi </w:t>
      </w:r>
      <w:r w:rsidRPr="0062272F">
        <w:rPr>
          <w:rFonts w:cs="Times New Roman"/>
          <w:i/>
          <w:lang w:val="fr-CA" w:bidi="en-US"/>
        </w:rPr>
        <w:t>Centrale</w:t>
      </w:r>
      <w:r w:rsidRPr="0062272F">
        <w:rPr>
          <w:rFonts w:cs="Times New Roman"/>
          <w:lang w:val="fr-CA" w:bidi="en-US"/>
        </w:rPr>
        <w:t xml:space="preserve">, par. 135). Il est néanmoins essentiel d’établir l’existence d’une </w:t>
      </w:r>
      <w:r w:rsidRPr="0062272F">
        <w:rPr>
          <w:rFonts w:cs="Times New Roman"/>
          <w:i/>
          <w:lang w:val="fr-CA" w:bidi="en-US"/>
        </w:rPr>
        <w:t>distinction</w:t>
      </w:r>
      <w:r w:rsidRPr="0062272F">
        <w:rPr>
          <w:rFonts w:cs="Times New Roman"/>
          <w:lang w:val="fr-CA" w:bidi="en-US"/>
        </w:rPr>
        <w:t>.</w:t>
      </w:r>
    </w:p>
    <w:p w14:paraId="73D02488" w14:textId="77777777" w:rsidR="00804EA2" w:rsidRPr="0062272F" w:rsidRDefault="00804EA2" w:rsidP="00804EA2">
      <w:pPr>
        <w:pStyle w:val="ParaNoNdepar-AltN"/>
        <w:rPr>
          <w:rFonts w:cs="Times New Roman"/>
          <w:lang w:val="fr-CA"/>
        </w:rPr>
      </w:pPr>
      <w:r w:rsidRPr="0062272F">
        <w:rPr>
          <w:rFonts w:cs="Times New Roman"/>
          <w:lang w:val="fr-CA"/>
        </w:rPr>
        <w:t>Notre collègue fait une distinction entre, d’une part, les employés qui partagent un poste et, d’autre part, les membres à temps plein qui ont un horaire de travail régulier</w:t>
      </w:r>
      <w:r>
        <w:rPr>
          <w:rFonts w:cs="Times New Roman"/>
          <w:lang w:val="fr-CA"/>
        </w:rPr>
        <w:t>,</w:t>
      </w:r>
      <w:r w:rsidRPr="0062272F">
        <w:rPr>
          <w:rFonts w:cs="Times New Roman"/>
          <w:lang w:val="fr-CA"/>
        </w:rPr>
        <w:t xml:space="preserve"> qui sont suspendus ou qui prennent un congé non payé (tout en omettant de tenir compte, comme nous l’avons déjà signalé, des personnes qui travaillaient à temps partiel avant de prendre un congé non payé) (par. 25 et 83). Pourtant, elle rejette par la suite — du moins en apparence — toute comparaison avec les membres qui prennent des congés non payés, au motif qu’il s’agit d’une analyse « formaliste » d’un « groupe de comparaison aux caractéristiques identiques » (par. 93</w:t>
      </w:r>
      <w:r w:rsidRPr="0062272F">
        <w:rPr>
          <w:rFonts w:cs="Times New Roman"/>
          <w:lang w:val="fr-CA"/>
        </w:rPr>
        <w:noBreakHyphen/>
        <w:t xml:space="preserve">94), et que les employés qui partagent un poste ont droit à l’égalité réelle par rapport aux membres </w:t>
      </w:r>
      <w:r w:rsidRPr="0062272F">
        <w:rPr>
          <w:rFonts w:cs="Times New Roman"/>
          <w:i/>
          <w:iCs/>
          <w:lang w:val="fr-CA"/>
        </w:rPr>
        <w:t xml:space="preserve">à temps plein </w:t>
      </w:r>
      <w:r w:rsidRPr="0062272F">
        <w:rPr>
          <w:rFonts w:cs="Times New Roman"/>
          <w:lang w:val="fr-CA"/>
        </w:rPr>
        <w:t xml:space="preserve">(par. 94). Comme nous l’expliquons plus loin, il devient toutefois évident, après un examen plus approfondi, que son rejet de toute comparaison avec les membres qui prennent des congés non payés n’est que superficiel. L’existence des dispositions de rachat pour les membres qui prennent des congés non payés est la raison précise </w:t>
      </w:r>
      <w:r w:rsidRPr="0062272F">
        <w:rPr>
          <w:rFonts w:cs="Times New Roman"/>
          <w:lang w:val="fr-CA"/>
        </w:rPr>
        <w:lastRenderedPageBreak/>
        <w:t xml:space="preserve">pour laquelle elle conclut à une violation; sans cette méthode de comparaison, il n’y a plus de présumée violation. </w:t>
      </w:r>
    </w:p>
    <w:p w14:paraId="13167670" w14:textId="77777777" w:rsidR="00804EA2" w:rsidRPr="0062272F" w:rsidRDefault="00804EA2" w:rsidP="00804EA2">
      <w:pPr>
        <w:pStyle w:val="ParaNoNdepar-AltN"/>
        <w:rPr>
          <w:rFonts w:cs="Times New Roman"/>
          <w:lang w:val="fr-CA"/>
        </w:rPr>
      </w:pPr>
      <w:r w:rsidRPr="0062272F">
        <w:rPr>
          <w:rFonts w:cs="Times New Roman"/>
          <w:lang w:val="fr-CA"/>
        </w:rPr>
        <w:t xml:space="preserve">Comme nous l’avons vu, la première étape de l’analyse fondée sur l’art. 15 vise à déterminer si </w:t>
      </w:r>
      <w:r w:rsidRPr="0062272F">
        <w:rPr>
          <w:rFonts w:cs="Times New Roman"/>
          <w:shd w:val="clear" w:color="auto" w:fill="FFFFFF"/>
          <w:lang w:val="fr-CA"/>
        </w:rPr>
        <w:t xml:space="preserve">la loi contestée crée, « de par son </w:t>
      </w:r>
      <w:r w:rsidRPr="0062272F">
        <w:rPr>
          <w:rFonts w:cs="Times New Roman"/>
          <w:u w:val="single"/>
          <w:shd w:val="clear" w:color="auto" w:fill="FFFFFF"/>
          <w:lang w:val="fr-CA"/>
        </w:rPr>
        <w:t>effet</w:t>
      </w:r>
      <w:r w:rsidRPr="00AF085F">
        <w:rPr>
          <w:rFonts w:cs="Times New Roman"/>
          <w:shd w:val="clear" w:color="auto" w:fill="FFFFFF"/>
          <w:lang w:val="fr-CA"/>
        </w:rPr>
        <w:t> </w:t>
      </w:r>
      <w:r w:rsidRPr="0062272F">
        <w:rPr>
          <w:rFonts w:cs="Times New Roman"/>
          <w:shd w:val="clear" w:color="auto" w:fill="FFFFFF"/>
          <w:lang w:val="fr-CA"/>
        </w:rPr>
        <w:t xml:space="preserve">», une distinction </w:t>
      </w:r>
      <w:r w:rsidRPr="0062272F">
        <w:rPr>
          <w:rFonts w:cs="Times New Roman"/>
          <w:lang w:val="fr-CA"/>
        </w:rPr>
        <w:t>(</w:t>
      </w:r>
      <w:r w:rsidRPr="0062272F">
        <w:rPr>
          <w:rFonts w:cs="Times New Roman"/>
          <w:i/>
          <w:lang w:val="fr-CA"/>
        </w:rPr>
        <w:t>Centrale</w:t>
      </w:r>
      <w:r w:rsidRPr="0062272F">
        <w:rPr>
          <w:rFonts w:cs="Times New Roman"/>
          <w:lang w:val="fr-CA"/>
        </w:rPr>
        <w:t>, par. 22 (nous soulignons))</w:t>
      </w:r>
      <w:r w:rsidRPr="0062272F">
        <w:rPr>
          <w:rFonts w:cs="Times New Roman"/>
          <w:shd w:val="clear" w:color="auto" w:fill="FFFFFF"/>
          <w:lang w:val="fr-CA"/>
        </w:rPr>
        <w:t xml:space="preserve">. Pour ce faire, il faut établir l’existence d’un lien de causalité. Il s’agit ici de savoir si l’écart constaté entre le sort réservé à un groupe par rapport à un autre s’explique uniquement par la préexistence d’un désavantage ou si, par ses actes, l’État a contribué à cet écart. </w:t>
      </w:r>
      <w:r w:rsidRPr="0062272F">
        <w:rPr>
          <w:rFonts w:cs="Times New Roman"/>
          <w:lang w:val="fr-CA"/>
        </w:rPr>
        <w:t>En d’autres termes, l’art. 15 s’intéresse aux actes de l’État qui contribuent à un désavantage historique —</w:t>
      </w:r>
      <w:r w:rsidRPr="0062272F">
        <w:rPr>
          <w:rFonts w:cs="Times New Roman"/>
          <w:i/>
          <w:lang w:val="fr-CA"/>
        </w:rPr>
        <w:t xml:space="preserve"> </w:t>
      </w:r>
      <w:r w:rsidRPr="0062272F">
        <w:rPr>
          <w:rFonts w:cs="Times New Roman"/>
          <w:lang w:val="fr-CA"/>
        </w:rPr>
        <w:t>c’est</w:t>
      </w:r>
      <w:r w:rsidRPr="0062272F">
        <w:rPr>
          <w:rFonts w:cs="Times New Roman"/>
          <w:lang w:val="fr-CA"/>
        </w:rPr>
        <w:noBreakHyphen/>
        <w:t>à</w:t>
      </w:r>
      <w:r w:rsidRPr="0062272F">
        <w:rPr>
          <w:rFonts w:cs="Times New Roman"/>
          <w:lang w:val="fr-CA"/>
        </w:rPr>
        <w:noBreakHyphen/>
        <w:t xml:space="preserve">dire </w:t>
      </w:r>
      <w:r w:rsidRPr="0062272F">
        <w:rPr>
          <w:rFonts w:cs="Times New Roman"/>
          <w:i/>
          <w:iCs/>
          <w:lang w:val="fr-CA"/>
        </w:rPr>
        <w:t>renforcent</w:t>
      </w:r>
      <w:r w:rsidRPr="0062272F">
        <w:rPr>
          <w:rFonts w:cs="Times New Roman"/>
          <w:lang w:val="fr-CA"/>
        </w:rPr>
        <w:t xml:space="preserve"> ce désavantage (</w:t>
      </w:r>
      <w:r w:rsidRPr="0062272F">
        <w:rPr>
          <w:rFonts w:cs="Times New Roman"/>
          <w:i/>
          <w:lang w:val="fr-CA"/>
        </w:rPr>
        <w:t>Taypotat</w:t>
      </w:r>
      <w:r w:rsidRPr="0062272F">
        <w:rPr>
          <w:rFonts w:cs="Times New Roman"/>
          <w:lang w:val="fr-CA"/>
        </w:rPr>
        <w:t xml:space="preserve">, par. 20; citant </w:t>
      </w:r>
      <w:r w:rsidRPr="0062272F">
        <w:rPr>
          <w:rFonts w:cs="Times New Roman"/>
          <w:i/>
          <w:lang w:val="fr-CA"/>
        </w:rPr>
        <w:t>Québec (Procureur général) c. A</w:t>
      </w:r>
      <w:r w:rsidRPr="0062272F">
        <w:rPr>
          <w:rFonts w:cs="Times New Roman"/>
          <w:lang w:val="fr-CA"/>
        </w:rPr>
        <w:t xml:space="preserve">, 2013 CSC 5, [2013] 1 R.C.S. 61, par. 332; </w:t>
      </w:r>
      <w:r w:rsidRPr="0062272F">
        <w:rPr>
          <w:rFonts w:cs="Times New Roman"/>
          <w:i/>
          <w:lang w:val="fr-CA"/>
        </w:rPr>
        <w:t>Vriend</w:t>
      </w:r>
      <w:r w:rsidRPr="0062272F">
        <w:rPr>
          <w:rFonts w:cs="Times New Roman"/>
          <w:lang w:val="fr-CA"/>
        </w:rPr>
        <w:t>, par. 75</w:t>
      </w:r>
      <w:r w:rsidRPr="0062272F">
        <w:rPr>
          <w:rFonts w:cs="Times New Roman"/>
          <w:lang w:val="fr-CA"/>
        </w:rPr>
        <w:noBreakHyphen/>
        <w:t xml:space="preserve">76). </w:t>
      </w:r>
    </w:p>
    <w:p w14:paraId="5FCA5212" w14:textId="77777777" w:rsidR="00804EA2" w:rsidRPr="0062272F" w:rsidRDefault="00804EA2" w:rsidP="00804EA2">
      <w:pPr>
        <w:pStyle w:val="ParaNoNdepar-AltN"/>
        <w:rPr>
          <w:rFonts w:cs="Times New Roman"/>
          <w:lang w:val="fr-CA"/>
        </w:rPr>
      </w:pPr>
      <w:r w:rsidRPr="0062272F">
        <w:rPr>
          <w:rFonts w:cs="Times New Roman"/>
          <w:lang w:val="fr-CA"/>
        </w:rPr>
        <w:t xml:space="preserve">De plus, l’analyse s’attache « aux </w:t>
      </w:r>
      <w:r w:rsidRPr="0062272F">
        <w:rPr>
          <w:rFonts w:cs="Times New Roman"/>
          <w:u w:val="single"/>
          <w:lang w:val="fr-CA"/>
        </w:rPr>
        <w:t>effets</w:t>
      </w:r>
      <w:r w:rsidRPr="0062272F">
        <w:rPr>
          <w:rFonts w:cs="Times New Roman"/>
          <w:lang w:val="fr-CA"/>
        </w:rPr>
        <w:t xml:space="preserve"> de la loi ou de l’acte contesté sur le groupe demandeur » (</w:t>
      </w:r>
      <w:r w:rsidRPr="0062272F">
        <w:rPr>
          <w:rFonts w:cs="Times New Roman"/>
          <w:i/>
          <w:lang w:val="fr-CA"/>
        </w:rPr>
        <w:t>Taypotat</w:t>
      </w:r>
      <w:r w:rsidRPr="0062272F">
        <w:rPr>
          <w:rFonts w:cs="Times New Roman"/>
          <w:lang w:val="fr-CA"/>
        </w:rPr>
        <w:t xml:space="preserve">, par. 18 (nous soulignons), citant </w:t>
      </w:r>
      <w:r w:rsidRPr="0062272F">
        <w:rPr>
          <w:rFonts w:cs="Times New Roman"/>
          <w:i/>
          <w:lang w:val="fr-CA"/>
        </w:rPr>
        <w:t>Québec c. A</w:t>
      </w:r>
      <w:r w:rsidRPr="0062272F">
        <w:rPr>
          <w:rFonts w:cs="Times New Roman"/>
          <w:lang w:val="fr-CA"/>
        </w:rPr>
        <w:t xml:space="preserve">, par. 331). Même si le désavantage peut persister avec ou sans la loi ou l’acte de l’État contestés, il est nécessaire de démontrer que ces derniers ont eu pour </w:t>
      </w:r>
      <w:r w:rsidRPr="0062272F">
        <w:rPr>
          <w:rFonts w:cs="Times New Roman"/>
          <w:i/>
          <w:iCs/>
          <w:lang w:val="fr-CA"/>
        </w:rPr>
        <w:t>effet</w:t>
      </w:r>
      <w:r w:rsidRPr="0062272F">
        <w:rPr>
          <w:rFonts w:cs="Times New Roman"/>
          <w:lang w:val="fr-CA"/>
        </w:rPr>
        <w:t xml:space="preserve"> de contribuer à ce désavantage.</w:t>
      </w:r>
    </w:p>
    <w:p w14:paraId="6FBB5CE5" w14:textId="77777777" w:rsidR="00804EA2" w:rsidRPr="0062272F" w:rsidRDefault="00804EA2" w:rsidP="00804EA2">
      <w:pPr>
        <w:pStyle w:val="ParaNoNdepar-AltN"/>
        <w:rPr>
          <w:rFonts w:cs="Times New Roman"/>
          <w:lang w:val="fr-CA"/>
        </w:rPr>
      </w:pPr>
      <w:r w:rsidRPr="0062272F">
        <w:rPr>
          <w:rFonts w:cs="Times New Roman"/>
          <w:lang w:val="fr-CA"/>
        </w:rPr>
        <w:t xml:space="preserve">L’établissement du lien de causalité est d’autant plus essentiel dans les cas où l’État intervient dans le but de s’attaquer à une discrimination systémique. En pareil cas, il se peut qu’une politique qui réduit l’écart n’arrive pas à le combler totalement. Malgré l’opinion contraire de notre collègue, notre Cour a bien précisé dans l’arrêt </w:t>
      </w:r>
      <w:r w:rsidRPr="0062272F">
        <w:rPr>
          <w:rFonts w:cs="Times New Roman"/>
          <w:i/>
          <w:lang w:val="fr-CA"/>
        </w:rPr>
        <w:t>Alliance</w:t>
      </w:r>
      <w:r w:rsidRPr="0062272F">
        <w:rPr>
          <w:rFonts w:cs="Times New Roman"/>
          <w:lang w:val="fr-CA"/>
        </w:rPr>
        <w:t xml:space="preserve"> que l’art. 15 n’a pas pour effet d’imposer à l’État une obligation positive </w:t>
      </w:r>
      <w:r w:rsidRPr="0062272F">
        <w:rPr>
          <w:rFonts w:cs="Times New Roman"/>
          <w:lang w:val="fr-CA"/>
        </w:rPr>
        <w:lastRenderedPageBreak/>
        <w:t xml:space="preserve">distincte de remédier aux inégalités sociales. De plus, lorsqu’il prend des mesures en ce sens, l’État peut agir </w:t>
      </w:r>
      <w:r w:rsidRPr="0062272F">
        <w:rPr>
          <w:rFonts w:cs="Times New Roman"/>
          <w:i/>
          <w:iCs/>
          <w:lang w:val="fr-CA"/>
        </w:rPr>
        <w:t>de manière graduelle</w:t>
      </w:r>
      <w:r w:rsidRPr="0062272F">
        <w:rPr>
          <w:rFonts w:cs="Times New Roman"/>
          <w:lang w:val="fr-CA"/>
        </w:rPr>
        <w:t> :</w:t>
      </w:r>
    </w:p>
    <w:p w14:paraId="01E7ADAA" w14:textId="77777777" w:rsidR="00804EA2" w:rsidRPr="0062272F" w:rsidRDefault="00804EA2" w:rsidP="00804EA2">
      <w:pPr>
        <w:pStyle w:val="Citation-AltC"/>
        <w:ind w:hanging="1166"/>
        <w:rPr>
          <w:lang w:val="fr-CA"/>
        </w:rPr>
      </w:pPr>
      <w:r w:rsidRPr="0062272F">
        <w:rPr>
          <w:shd w:val="clear" w:color="auto" w:fill="FFFFFF"/>
          <w:lang w:val="fr-CA"/>
        </w:rPr>
        <w:tab/>
      </w:r>
      <w:r w:rsidRPr="0062272F">
        <w:rPr>
          <w:shd w:val="clear" w:color="auto" w:fill="FFFFFF"/>
          <w:lang w:val="fr-CA"/>
        </w:rPr>
        <w:tab/>
        <w:t xml:space="preserve">Contrairement à ce que fait valoir le Québec, conclure en l’espèce que les modifications apportées par cette province violent l’art. 15 n’a pas pour effet d’imposer à l’État une obligation positive distincte d’adopter des régimes de prestations visant à corriger des inégalités sociales. </w:t>
      </w:r>
      <w:r w:rsidRPr="0062272F">
        <w:rPr>
          <w:u w:val="single"/>
          <w:shd w:val="clear" w:color="auto" w:fill="FFFFFF"/>
          <w:lang w:val="fr-CA"/>
        </w:rPr>
        <w:t>Une telle conclusion ne mine pas non plus la capacité de l’État à agir de manière graduelle pour s’attaquer aux inégalités systémiques</w:t>
      </w:r>
      <w:r w:rsidRPr="0062272F">
        <w:rPr>
          <w:shd w:val="clear" w:color="auto" w:fill="FFFFFF"/>
          <w:lang w:val="fr-CA"/>
        </w:rPr>
        <w:t xml:space="preserve">. L’article 15 exige cependant que l’État veille à ce que toutes les mesures qu’il prend </w:t>
      </w:r>
      <w:r w:rsidRPr="0062272F">
        <w:rPr>
          <w:i/>
          <w:iCs/>
          <w:shd w:val="clear" w:color="auto" w:fill="FFFFFF"/>
          <w:lang w:val="fr-CA"/>
        </w:rPr>
        <w:t xml:space="preserve">effectivement </w:t>
      </w:r>
      <w:r w:rsidRPr="0062272F">
        <w:rPr>
          <w:shd w:val="clear" w:color="auto" w:fill="FFFFFF"/>
          <w:lang w:val="fr-CA"/>
        </w:rPr>
        <w:t>n’aient pas d’effet discriminatoire (</w:t>
      </w:r>
      <w:r w:rsidRPr="0062272F">
        <w:rPr>
          <w:i/>
          <w:iCs/>
          <w:shd w:val="clear" w:color="auto" w:fill="FFFFFF"/>
          <w:lang w:val="fr-CA"/>
        </w:rPr>
        <w:t>Vriend</w:t>
      </w:r>
      <w:r w:rsidRPr="0062272F">
        <w:rPr>
          <w:shd w:val="clear" w:color="auto" w:fill="FFFFFF"/>
          <w:lang w:val="fr-CA"/>
        </w:rPr>
        <w:t xml:space="preserve">; </w:t>
      </w:r>
      <w:r w:rsidRPr="0062272F">
        <w:rPr>
          <w:i/>
          <w:iCs/>
          <w:shd w:val="clear" w:color="auto" w:fill="FFFFFF"/>
          <w:lang w:val="fr-CA"/>
        </w:rPr>
        <w:t>Eldridge c. Colombie</w:t>
      </w:r>
      <w:r w:rsidRPr="0062272F">
        <w:rPr>
          <w:i/>
          <w:iCs/>
          <w:shd w:val="clear" w:color="auto" w:fill="FFFFFF"/>
          <w:lang w:val="fr-CA"/>
        </w:rPr>
        <w:noBreakHyphen/>
        <w:t>Britannique (Procureur général)</w:t>
      </w:r>
      <w:r w:rsidRPr="0062272F">
        <w:rPr>
          <w:shd w:val="clear" w:color="auto" w:fill="FFFFFF"/>
          <w:lang w:val="fr-CA"/>
        </w:rPr>
        <w:t xml:space="preserve">, </w:t>
      </w:r>
      <w:r w:rsidRPr="0062272F">
        <w:rPr>
          <w:lang w:val="fr-CA"/>
        </w:rPr>
        <w:t>[1997] 3 R.C.S. 624, par. 72</w:t>
      </w:r>
      <w:r w:rsidRPr="0062272F">
        <w:rPr>
          <w:lang w:val="fr-CA"/>
        </w:rPr>
        <w:noBreakHyphen/>
        <w:t xml:space="preserve">80). [Nous soulignons; par. 42.] </w:t>
      </w:r>
    </w:p>
    <w:p w14:paraId="2FFDF899" w14:textId="77777777" w:rsidR="00804EA2" w:rsidRPr="0062272F" w:rsidRDefault="00804EA2" w:rsidP="00804EA2">
      <w:pPr>
        <w:pStyle w:val="ContinueParaSuitedupar-AltP"/>
        <w:rPr>
          <w:rFonts w:cs="Times New Roman"/>
          <w:shd w:val="clear" w:color="auto" w:fill="FFFFFF"/>
          <w:lang w:val="fr-CA"/>
        </w:rPr>
      </w:pPr>
      <w:r w:rsidRPr="0062272F">
        <w:rPr>
          <w:rFonts w:cs="Times New Roman"/>
          <w:lang w:val="fr-CA"/>
        </w:rPr>
        <w:t xml:space="preserve">Ces considérations s’accordent avec l’idée générale de l’analyse fondée sur l’art. 15 que notre Cour a expliquée dans l’arrêt </w:t>
      </w:r>
      <w:r w:rsidRPr="0062272F">
        <w:rPr>
          <w:rFonts w:cs="Times New Roman"/>
          <w:i/>
          <w:lang w:val="fr-CA"/>
        </w:rPr>
        <w:t>Québec c. A :</w:t>
      </w:r>
      <w:r w:rsidRPr="0062272F">
        <w:rPr>
          <w:rFonts w:cs="Times New Roman"/>
          <w:lang w:val="fr-CA"/>
        </w:rPr>
        <w:t xml:space="preserve"> « L</w:t>
      </w:r>
      <w:r w:rsidRPr="0062272F">
        <w:rPr>
          <w:rFonts w:cs="Times New Roman"/>
          <w:shd w:val="clear" w:color="auto" w:fill="FFFFFF"/>
          <w:lang w:val="fr-CA"/>
        </w:rPr>
        <w:t xml:space="preserve">es actes de l’État qui ont pour effet </w:t>
      </w:r>
      <w:r w:rsidRPr="0062272F">
        <w:rPr>
          <w:rFonts w:cs="Times New Roman"/>
          <w:u w:val="single"/>
          <w:shd w:val="clear" w:color="auto" w:fill="FFFFFF"/>
          <w:lang w:val="fr-CA"/>
        </w:rPr>
        <w:t>d’élargir, au lieu de rétrécir, l’écart</w:t>
      </w:r>
      <w:r w:rsidRPr="0062272F">
        <w:rPr>
          <w:rFonts w:cs="Times New Roman"/>
          <w:shd w:val="clear" w:color="auto" w:fill="FFFFFF"/>
          <w:lang w:val="fr-CA"/>
        </w:rPr>
        <w:t xml:space="preserve"> entre le groupe historiquement défavorisé et le reste de la société sont discriminatoires »</w:t>
      </w:r>
      <w:r w:rsidRPr="0062272F">
        <w:rPr>
          <w:rFonts w:cs="Times New Roman"/>
          <w:lang w:val="fr-CA"/>
        </w:rPr>
        <w:t xml:space="preserve"> (par. 332 (</w:t>
      </w:r>
      <w:r>
        <w:rPr>
          <w:rFonts w:cs="Times New Roman"/>
          <w:lang w:val="fr-CA"/>
        </w:rPr>
        <w:t>nous soulignons</w:t>
      </w:r>
      <w:r w:rsidRPr="0062272F">
        <w:rPr>
          <w:rFonts w:cs="Times New Roman"/>
          <w:lang w:val="fr-CA"/>
        </w:rPr>
        <w:t>)). Ces affirmations claires et récentes de notre Cour devraient emporter le rejet du présent pourvoi.</w:t>
      </w:r>
    </w:p>
    <w:p w14:paraId="3D36D502" w14:textId="0734C177" w:rsidR="00804EA2" w:rsidRPr="0062272F" w:rsidRDefault="00804EA2" w:rsidP="00804EA2">
      <w:pPr>
        <w:pStyle w:val="ParaNoNdepar-AltN"/>
        <w:rPr>
          <w:rFonts w:cs="Times New Roman"/>
          <w:lang w:val="fr-CA"/>
        </w:rPr>
      </w:pPr>
      <w:r w:rsidRPr="0062272F">
        <w:rPr>
          <w:rFonts w:cs="Times New Roman"/>
          <w:lang w:val="fr-CA"/>
        </w:rPr>
        <w:t xml:space="preserve">Notre collègue occulte l’obligation de démontrer l’existence d’un lien de causalité, et les affirmations précitées, en assouplissant la charge de la preuve du demandeur au point de la rendre insignifiante. Elle postule qu’« [u]ne preuve de disparité statistique </w:t>
      </w:r>
      <w:r>
        <w:rPr>
          <w:rFonts w:cs="Times New Roman"/>
          <w:lang w:val="fr-CA"/>
        </w:rPr>
        <w:t>[e</w:t>
      </w:r>
      <w:r w:rsidRPr="0062272F">
        <w:rPr>
          <w:rFonts w:cs="Times New Roman"/>
          <w:lang w:val="fr-CA"/>
        </w:rPr>
        <w:t>t</w:t>
      </w:r>
      <w:r>
        <w:rPr>
          <w:rFonts w:cs="Times New Roman"/>
          <w:lang w:val="fr-CA"/>
        </w:rPr>
        <w:t>]</w:t>
      </w:r>
      <w:r w:rsidRPr="0062272F">
        <w:rPr>
          <w:rFonts w:cs="Times New Roman"/>
          <w:lang w:val="fr-CA"/>
        </w:rPr>
        <w:t xml:space="preserve"> une preuve de désavantage sur le groupe dans son ensemble peuvent démontrer un effet disproportionné », mais s’empresse d’ajouter qu’« </w:t>
      </w:r>
      <w:r w:rsidRPr="0062272F">
        <w:rPr>
          <w:rFonts w:cs="Times New Roman"/>
          <w:u w:val="single"/>
          <w:lang w:val="fr-CA"/>
        </w:rPr>
        <w:t>aucune n’est obligatoire</w:t>
      </w:r>
      <w:r w:rsidRPr="0062272F">
        <w:rPr>
          <w:rFonts w:cs="Times New Roman"/>
          <w:lang w:val="fr-CA"/>
        </w:rPr>
        <w:t xml:space="preserve"> et [que] leur importance variera selon l’affaire » (par. 67, nous soulignons). En ce qui concerne le « désavantage sur le groupe dans son ensemble », il </w:t>
      </w:r>
      <w:r w:rsidRPr="0062272F">
        <w:rPr>
          <w:rFonts w:cs="Times New Roman"/>
          <w:lang w:val="fr-CA"/>
        </w:rPr>
        <w:lastRenderedPageBreak/>
        <w:t xml:space="preserve">suffit, à ses yeux, que le demandeur présente </w:t>
      </w:r>
      <w:r>
        <w:rPr>
          <w:rFonts w:cs="Times New Roman"/>
          <w:lang w:val="fr-CA"/>
        </w:rPr>
        <w:t>ses « </w:t>
      </w:r>
      <w:r w:rsidRPr="0062272F">
        <w:rPr>
          <w:rFonts w:cs="Times New Roman"/>
          <w:lang w:val="fr-CA"/>
        </w:rPr>
        <w:t>propres éléments de preuve</w:t>
      </w:r>
      <w:r>
        <w:rPr>
          <w:rFonts w:cs="Times New Roman"/>
          <w:lang w:val="fr-CA"/>
        </w:rPr>
        <w:t> </w:t>
      </w:r>
      <w:r w:rsidRPr="0062272F">
        <w:rPr>
          <w:rFonts w:cs="Times New Roman"/>
          <w:lang w:val="fr-CA"/>
        </w:rPr>
        <w:t>» à ce sujet ou même que le tribunal en prenne connaissance d’office (par. 57 et 66</w:t>
      </w:r>
      <w:r w:rsidRPr="0062272F">
        <w:rPr>
          <w:rFonts w:cs="Times New Roman"/>
          <w:lang w:val="fr-CA"/>
        </w:rPr>
        <w:noBreakHyphen/>
        <w:t>67). Bien que les tribunaux doivent évaluer tout élément de preuve en fonction de « la preuve qu’une partie avait le pouvoir de produire et que la partie adverse avait le pouvoi</w:t>
      </w:r>
      <w:r w:rsidR="003D27CA">
        <w:rPr>
          <w:rFonts w:cs="Times New Roman"/>
          <w:lang w:val="fr-CA"/>
        </w:rPr>
        <w:t>r de contredire </w:t>
      </w:r>
      <w:r w:rsidRPr="0062272F">
        <w:rPr>
          <w:rFonts w:cs="Times New Roman"/>
          <w:lang w:val="fr-CA"/>
        </w:rPr>
        <w:t>» (</w:t>
      </w:r>
      <w:r w:rsidRPr="0062272F">
        <w:rPr>
          <w:rFonts w:cs="Times New Roman"/>
          <w:i/>
          <w:lang w:val="fr-CA"/>
        </w:rPr>
        <w:t>Snell c. Farrell</w:t>
      </w:r>
      <w:r w:rsidRPr="0062272F">
        <w:rPr>
          <w:rFonts w:cs="Times New Roman"/>
          <w:lang w:val="fr-CA"/>
        </w:rPr>
        <w:t xml:space="preserve">, [1990] 2 R.C.S. 311, p. 328, citant </w:t>
      </w:r>
      <w:r w:rsidRPr="0062272F">
        <w:rPr>
          <w:rFonts w:cs="Times New Roman"/>
          <w:i/>
          <w:lang w:val="fr-CA"/>
        </w:rPr>
        <w:t xml:space="preserve">Blatch c. Archer </w:t>
      </w:r>
      <w:r w:rsidRPr="0062272F">
        <w:rPr>
          <w:rFonts w:cs="Times New Roman"/>
          <w:lang w:val="fr-CA"/>
        </w:rPr>
        <w:t xml:space="preserve">(1774), 1 Cowp. 63, 98 E.R. 969, p. 970), il incombe en dernière analyse au demandeur d’établir le lien de causalité. Dans bon nombre de contextes, la preuve anecdotique subjective ne peut tout simplement pas satisfaire à ce fardeau objectif (p. ex. </w:t>
      </w:r>
      <w:r w:rsidRPr="0062272F">
        <w:rPr>
          <w:rFonts w:cs="Times New Roman"/>
          <w:i/>
          <w:lang w:val="fr-CA"/>
        </w:rPr>
        <w:t>Taypotat</w:t>
      </w:r>
      <w:r w:rsidRPr="0062272F">
        <w:rPr>
          <w:rFonts w:cs="Times New Roman"/>
          <w:lang w:val="fr-CA"/>
        </w:rPr>
        <w:t>, par. 33</w:t>
      </w:r>
      <w:r w:rsidRPr="0062272F">
        <w:rPr>
          <w:rFonts w:cs="Times New Roman"/>
          <w:lang w:val="fr-CA"/>
        </w:rPr>
        <w:noBreakHyphen/>
        <w:t>34;</w:t>
      </w:r>
      <w:r w:rsidRPr="0062272F">
        <w:rPr>
          <w:rFonts w:cs="Times New Roman"/>
          <w:i/>
          <w:lang w:val="fr-CA"/>
        </w:rPr>
        <w:t xml:space="preserve"> Auton (Tutrice à l’instance de) c. Colombie</w:t>
      </w:r>
      <w:r w:rsidRPr="0062272F">
        <w:rPr>
          <w:rFonts w:cs="Times New Roman"/>
          <w:i/>
          <w:lang w:val="fr-CA"/>
        </w:rPr>
        <w:noBreakHyphen/>
        <w:t>Britannique (Procureur général)</w:t>
      </w:r>
      <w:r w:rsidRPr="0062272F">
        <w:rPr>
          <w:rFonts w:cs="Times New Roman"/>
          <w:lang w:val="fr-CA"/>
        </w:rPr>
        <w:t xml:space="preserve">, 2004 CSC 78, [2004] 3 R.C.S. 657, par. 58 et 62; </w:t>
      </w:r>
      <w:r w:rsidRPr="0062272F">
        <w:rPr>
          <w:rFonts w:cs="Times New Roman"/>
          <w:i/>
          <w:lang w:val="fr-CA"/>
        </w:rPr>
        <w:t>Gosselin c. Québec (Procureur général)</w:t>
      </w:r>
      <w:r w:rsidRPr="0062272F">
        <w:rPr>
          <w:rFonts w:cs="Times New Roman"/>
          <w:lang w:val="fr-CA"/>
        </w:rPr>
        <w:t>, 2002 CSC 84, [2002] 4 R.C.S. 429, par. 8 et 47). L’approche assouplie de notre collègue risque également de faire abstraction des intérêts du bien public (B. W. Miller, « Majoritarianism and</w:t>
      </w:r>
      <w:r w:rsidR="003D27CA">
        <w:rPr>
          <w:rFonts w:cs="Times New Roman"/>
          <w:lang w:val="fr-CA"/>
        </w:rPr>
        <w:t xml:space="preserve"> Pathologies of Judicial Review </w:t>
      </w:r>
      <w:r w:rsidRPr="0062272F">
        <w:rPr>
          <w:rFonts w:cs="Times New Roman"/>
          <w:lang w:val="fr-CA"/>
        </w:rPr>
        <w:t xml:space="preserve">», dans G. Webber et al., </w:t>
      </w:r>
      <w:r w:rsidRPr="0062272F">
        <w:rPr>
          <w:rFonts w:cs="Times New Roman"/>
          <w:i/>
          <w:lang w:val="fr-CA"/>
        </w:rPr>
        <w:t>Legislated Rights</w:t>
      </w:r>
      <w:r w:rsidR="003D27CA">
        <w:rPr>
          <w:rFonts w:cs="Times New Roman"/>
          <w:i/>
          <w:lang w:val="fr-CA"/>
        </w:rPr>
        <w:t> </w:t>
      </w:r>
      <w:r w:rsidRPr="0062272F">
        <w:rPr>
          <w:rFonts w:cs="Times New Roman"/>
          <w:i/>
          <w:lang w:val="fr-CA"/>
        </w:rPr>
        <w:t>: Securing Human Rights Through Legislation</w:t>
      </w:r>
      <w:r w:rsidRPr="0062272F">
        <w:rPr>
          <w:rFonts w:cs="Times New Roman"/>
          <w:lang w:val="fr-CA"/>
        </w:rPr>
        <w:t xml:space="preserve"> (2018), </w:t>
      </w:r>
      <w:r>
        <w:rPr>
          <w:rFonts w:cs="Times New Roman"/>
          <w:lang w:val="fr-CA"/>
        </w:rPr>
        <w:t xml:space="preserve">181, </w:t>
      </w:r>
      <w:r w:rsidRPr="0062272F">
        <w:rPr>
          <w:rFonts w:cs="Times New Roman"/>
          <w:lang w:val="fr-CA"/>
        </w:rPr>
        <w:t>p. 196).</w:t>
      </w:r>
    </w:p>
    <w:p w14:paraId="7B968CE2" w14:textId="77777777" w:rsidR="00804EA2" w:rsidRPr="0062272F" w:rsidRDefault="00804EA2" w:rsidP="00804EA2">
      <w:pPr>
        <w:pStyle w:val="ParaNoNdepar-AltN"/>
        <w:rPr>
          <w:rFonts w:cs="Times New Roman"/>
          <w:lang w:val="fr-CA"/>
        </w:rPr>
      </w:pPr>
      <w:r w:rsidRPr="0062272F">
        <w:rPr>
          <w:rFonts w:cs="Times New Roman"/>
          <w:lang w:val="fr-CA"/>
        </w:rPr>
        <w:t xml:space="preserve">Quant aux disparités statistiques, notre collègue fait valoir que « des disparités statistiques claires et </w:t>
      </w:r>
      <w:r>
        <w:rPr>
          <w:rFonts w:cs="Times New Roman"/>
          <w:lang w:val="fr-CA"/>
        </w:rPr>
        <w:t>constantes</w:t>
      </w:r>
      <w:r w:rsidRPr="0062272F">
        <w:rPr>
          <w:rFonts w:cs="Times New Roman"/>
          <w:lang w:val="fr-CA"/>
        </w:rPr>
        <w:t xml:space="preserve"> peuvent démontrer </w:t>
      </w:r>
      <w:r>
        <w:rPr>
          <w:rFonts w:cs="Times New Roman"/>
          <w:lang w:val="fr-CA"/>
        </w:rPr>
        <w:t>l’existence d’</w:t>
      </w:r>
      <w:r w:rsidRPr="0062272F">
        <w:rPr>
          <w:rFonts w:cs="Times New Roman"/>
          <w:lang w:val="fr-CA"/>
        </w:rPr>
        <w:t xml:space="preserve">un effet disproportionné sur les membres de groupes protégés, même si la raison précise de l’effet est inconnue » (par. 62). Ainsi, dans le cas qui nous occupe, comme il existe une disparité statistique entre les femmes et les hommes en ce qui a trait à la question de savoir qui a profité du programme de partage de poste, et comme des éléments de preuve démontrent que les femmes ont de tout temps assumé une plus grande part des </w:t>
      </w:r>
      <w:r w:rsidRPr="0062272F">
        <w:rPr>
          <w:rFonts w:cs="Times New Roman"/>
          <w:lang w:val="fr-CA"/>
        </w:rPr>
        <w:lastRenderedPageBreak/>
        <w:t>responsabilités parentales et constitué un pourcentage plus élevé de la main</w:t>
      </w:r>
      <w:r w:rsidRPr="0062272F">
        <w:rPr>
          <w:rFonts w:cs="Times New Roman"/>
          <w:lang w:val="fr-CA"/>
        </w:rPr>
        <w:noBreakHyphen/>
        <w:t>d’œuvre à temps partiel, notre collègue estime que la loi a un effet disproportionné sur les femmes (par. 97</w:t>
      </w:r>
      <w:r w:rsidRPr="0062272F">
        <w:rPr>
          <w:rFonts w:cs="Times New Roman"/>
          <w:lang w:val="fr-CA"/>
        </w:rPr>
        <w:noBreakHyphen/>
        <w:t xml:space="preserve">106). </w:t>
      </w:r>
    </w:p>
    <w:p w14:paraId="59A7AE2A" w14:textId="77777777" w:rsidR="00804EA2" w:rsidRPr="0062272F" w:rsidRDefault="00804EA2" w:rsidP="00804EA2">
      <w:pPr>
        <w:pStyle w:val="ParaNoNdepar-AltN"/>
        <w:rPr>
          <w:rFonts w:cs="Times New Roman"/>
          <w:lang w:val="fr-CA"/>
        </w:rPr>
      </w:pPr>
      <w:r w:rsidRPr="0062272F">
        <w:rPr>
          <w:rFonts w:cs="Times New Roman"/>
          <w:lang w:val="fr-CA"/>
        </w:rPr>
        <w:t xml:space="preserve">À notre humble avis, cette analyse manque de rigueur, parce qu’elle part du principe que la corrélation entre le nombre de femmes qui ont profité du programme de partage de poste et la preuve d’une part disproportionnée des responsabilités parentales qui échoit aux femmes permet d’établir l’existence d’un </w:t>
      </w:r>
      <w:r w:rsidRPr="0062272F">
        <w:rPr>
          <w:rFonts w:cs="Times New Roman"/>
          <w:i/>
          <w:lang w:val="fr-CA"/>
        </w:rPr>
        <w:t>lien de causalité</w:t>
      </w:r>
      <w:r w:rsidRPr="0062272F">
        <w:rPr>
          <w:rFonts w:cs="Times New Roman"/>
          <w:lang w:val="fr-CA"/>
        </w:rPr>
        <w:t>, alors que ces réalités pourraient fort bien être attribuables à des facteurs indépendants. La corrélation en elle</w:t>
      </w:r>
      <w:r w:rsidRPr="0062272F">
        <w:rPr>
          <w:rFonts w:cs="Times New Roman"/>
          <w:lang w:val="fr-CA"/>
        </w:rPr>
        <w:noBreakHyphen/>
        <w:t xml:space="preserve">même n’est pas une preuve de causalité. D’ailleurs, lorsqu’on a affaire à des facteurs sociaux et économiques complexes, tels que le sexe et l’emploi, on peut aisément supposer que </w:t>
      </w:r>
      <w:r w:rsidRPr="0062272F">
        <w:rPr>
          <w:rFonts w:cs="Times New Roman"/>
          <w:i/>
          <w:iCs/>
          <w:lang w:val="fr-CA"/>
        </w:rPr>
        <w:t>de nombreux</w:t>
      </w:r>
      <w:r w:rsidRPr="0062272F">
        <w:rPr>
          <w:rFonts w:cs="Times New Roman"/>
          <w:lang w:val="fr-CA"/>
        </w:rPr>
        <w:t xml:space="preserve"> facteurs entrent en jeu et que certains permettront d’établir l’existence d’un lien de causalité, alors que d’autres seront simplement le fruit du hasard (c’est</w:t>
      </w:r>
      <w:r w:rsidRPr="0062272F">
        <w:rPr>
          <w:rFonts w:cs="Times New Roman"/>
          <w:lang w:val="fr-CA"/>
        </w:rPr>
        <w:noBreakHyphen/>
        <w:t>à</w:t>
      </w:r>
      <w:r w:rsidRPr="0062272F">
        <w:rPr>
          <w:rFonts w:cs="Times New Roman"/>
          <w:lang w:val="fr-CA"/>
        </w:rPr>
        <w:noBreakHyphen/>
        <w:t xml:space="preserve">dire causés par des facteurs indépendants). </w:t>
      </w:r>
    </w:p>
    <w:p w14:paraId="10D16909" w14:textId="7263CF9C" w:rsidR="00804EA2" w:rsidRPr="0062272F" w:rsidRDefault="00804EA2" w:rsidP="00804EA2">
      <w:pPr>
        <w:pStyle w:val="ParaNoNdepar-AltN"/>
        <w:rPr>
          <w:rFonts w:cs="Times New Roman"/>
          <w:lang w:val="fr-CA"/>
        </w:rPr>
      </w:pPr>
      <w:r w:rsidRPr="0062272F">
        <w:rPr>
          <w:rFonts w:cs="Times New Roman"/>
          <w:lang w:val="fr-CA"/>
        </w:rPr>
        <w:t xml:space="preserve">Mais c’est le </w:t>
      </w:r>
      <w:r w:rsidRPr="0062272F">
        <w:rPr>
          <w:rFonts w:cs="Times New Roman"/>
          <w:i/>
          <w:iCs/>
          <w:lang w:val="fr-CA"/>
        </w:rPr>
        <w:t>lien de causalité</w:t>
      </w:r>
      <w:r w:rsidRPr="0062272F">
        <w:rPr>
          <w:rFonts w:cs="Times New Roman"/>
          <w:lang w:val="fr-CA"/>
        </w:rPr>
        <w:t xml:space="preserve"> entre la loi et le désavantage qu’il faut démontrer. Notre collègue ne peut se contenter de parler de disparité statistique et d’un désavantage sur le groupe dans son ensemble. En fait, l’existence d’une disparité statistique est précisément la situation à laquelle la loi est censée remédier — comme ce fut le cas des parties pertinentes du régime — pour </w:t>
      </w:r>
      <w:r w:rsidRPr="0062272F">
        <w:rPr>
          <w:rFonts w:cs="Times New Roman"/>
          <w:i/>
          <w:iCs/>
          <w:lang w:val="fr-CA"/>
        </w:rPr>
        <w:t>réduire</w:t>
      </w:r>
      <w:r w:rsidRPr="0062272F">
        <w:rPr>
          <w:rFonts w:cs="Times New Roman"/>
          <w:lang w:val="fr-CA"/>
        </w:rPr>
        <w:t xml:space="preserve"> progressivement un désavantage systémique historique. Lorsque la loi ne parvient pas à supprimer complètement ce désavantage, il subsistera évidemment une certaine disparité. Il s’ensuit que le fait de considérer qu’une preuve de disparité statistique et de </w:t>
      </w:r>
      <w:r w:rsidRPr="0062272F">
        <w:rPr>
          <w:rFonts w:cs="Times New Roman"/>
          <w:lang w:val="fr-CA"/>
        </w:rPr>
        <w:lastRenderedPageBreak/>
        <w:t xml:space="preserve">désavantage subi par le groupe dans son ensemble suffit pour démontrer qu’une loi crée de par son effet une distinction revient à ignorer les propos que notre Cour a tenus il y a à peine deux ans en affirmant, dans l’arrêt </w:t>
      </w:r>
      <w:r w:rsidRPr="0062272F">
        <w:rPr>
          <w:rFonts w:cs="Times New Roman"/>
          <w:i/>
          <w:lang w:val="fr-CA"/>
        </w:rPr>
        <w:t>Alliance</w:t>
      </w:r>
      <w:r w:rsidRPr="0062272F">
        <w:rPr>
          <w:rFonts w:cs="Times New Roman"/>
          <w:lang w:val="fr-CA"/>
        </w:rPr>
        <w:t xml:space="preserve">, que l’art. 15 </w:t>
      </w:r>
      <w:r w:rsidRPr="0062272F">
        <w:rPr>
          <w:rFonts w:cs="Times New Roman"/>
          <w:shd w:val="clear" w:color="auto" w:fill="FFFFFF"/>
          <w:lang w:val="fr-CA"/>
        </w:rPr>
        <w:t>n’</w:t>
      </w:r>
      <w:r>
        <w:rPr>
          <w:rFonts w:cs="Times New Roman"/>
          <w:shd w:val="clear" w:color="auto" w:fill="FFFFFF"/>
          <w:lang w:val="fr-CA"/>
        </w:rPr>
        <w:t>a pour effet d’</w:t>
      </w:r>
      <w:r w:rsidRPr="0062272F">
        <w:rPr>
          <w:rFonts w:cs="Times New Roman"/>
          <w:shd w:val="clear" w:color="auto" w:fill="FFFFFF"/>
          <w:lang w:val="fr-CA"/>
        </w:rPr>
        <w:t>impose</w:t>
      </w:r>
      <w:r>
        <w:rPr>
          <w:rFonts w:cs="Times New Roman"/>
          <w:shd w:val="clear" w:color="auto" w:fill="FFFFFF"/>
          <w:lang w:val="fr-CA"/>
        </w:rPr>
        <w:t>r</w:t>
      </w:r>
      <w:r w:rsidRPr="0062272F">
        <w:rPr>
          <w:rFonts w:cs="Times New Roman"/>
          <w:shd w:val="clear" w:color="auto" w:fill="FFFFFF"/>
          <w:lang w:val="fr-CA"/>
        </w:rPr>
        <w:t xml:space="preserve"> à l’État « une obligation positive distincte </w:t>
      </w:r>
      <w:r w:rsidRPr="00566AC5">
        <w:rPr>
          <w:rFonts w:cs="Times New Roman"/>
          <w:shd w:val="clear" w:color="auto" w:fill="FFFFFF"/>
          <w:lang w:val="fr-CA"/>
        </w:rPr>
        <w:t>[de]</w:t>
      </w:r>
      <w:r w:rsidRPr="0062272F">
        <w:rPr>
          <w:rFonts w:cs="Times New Roman"/>
          <w:shd w:val="clear" w:color="auto" w:fill="FFFFFF"/>
          <w:lang w:val="fr-CA"/>
        </w:rPr>
        <w:t xml:space="preserve"> corriger des inégalités sociales »</w:t>
      </w:r>
      <w:r w:rsidRPr="0062272F">
        <w:rPr>
          <w:rFonts w:cs="Times New Roman"/>
          <w:i/>
          <w:iCs/>
          <w:shd w:val="clear" w:color="auto" w:fill="FFFFFF"/>
          <w:lang w:val="fr-CA"/>
        </w:rPr>
        <w:t xml:space="preserve"> ni</w:t>
      </w:r>
      <w:r w:rsidRPr="0062272F">
        <w:rPr>
          <w:rFonts w:cs="Times New Roman"/>
          <w:shd w:val="clear" w:color="auto" w:fill="FFFFFF"/>
          <w:lang w:val="fr-CA"/>
        </w:rPr>
        <w:t xml:space="preserve"> </w:t>
      </w:r>
      <w:r>
        <w:rPr>
          <w:rFonts w:cs="Times New Roman"/>
          <w:shd w:val="clear" w:color="auto" w:fill="FFFFFF"/>
          <w:lang w:val="fr-CA"/>
        </w:rPr>
        <w:t xml:space="preserve">de </w:t>
      </w:r>
      <w:r w:rsidRPr="0062272F">
        <w:rPr>
          <w:rFonts w:cs="Times New Roman"/>
          <w:shd w:val="clear" w:color="auto" w:fill="FFFFFF"/>
          <w:lang w:val="fr-CA"/>
        </w:rPr>
        <w:t>« mine</w:t>
      </w:r>
      <w:r>
        <w:rPr>
          <w:rFonts w:cs="Times New Roman"/>
          <w:shd w:val="clear" w:color="auto" w:fill="FFFFFF"/>
          <w:lang w:val="fr-CA"/>
        </w:rPr>
        <w:t>r</w:t>
      </w:r>
      <w:r w:rsidRPr="0062272F">
        <w:rPr>
          <w:rFonts w:cs="Times New Roman"/>
          <w:shd w:val="clear" w:color="auto" w:fill="FFFFFF"/>
          <w:lang w:val="fr-CA"/>
        </w:rPr>
        <w:t xml:space="preserve"> [. . .] la capacité de l’État à agir </w:t>
      </w:r>
      <w:r w:rsidR="00502207">
        <w:rPr>
          <w:rFonts w:cs="Times New Roman"/>
          <w:shd w:val="clear" w:color="auto" w:fill="FFFFFF"/>
          <w:lang w:val="fr-CA"/>
        </w:rPr>
        <w:t>de manière graduelle</w:t>
      </w:r>
      <w:r w:rsidRPr="0062272F">
        <w:rPr>
          <w:rFonts w:cs="Times New Roman"/>
          <w:shd w:val="clear" w:color="auto" w:fill="FFFFFF"/>
          <w:lang w:val="fr-CA"/>
        </w:rPr>
        <w:t xml:space="preserve"> pour s’attaquer aux inégalités systémiques »</w:t>
      </w:r>
      <w:r w:rsidRPr="0062272F">
        <w:rPr>
          <w:rFonts w:cs="Times New Roman"/>
          <w:lang w:val="fr-CA"/>
        </w:rPr>
        <w:t xml:space="preserve"> (par. 42). Une telle approche reviendrait par ailleurs à élargir par voie judiciaire de manière désordonnée la portée de l’art. 15 — lequel ne s’applique pas aux actes discriminatoires privés — parce qu’on engagerait ainsi la responsabilité de l’État à l’égard d’une discrimination qu’il n’a pas causée.</w:t>
      </w:r>
    </w:p>
    <w:p w14:paraId="4CB747B3" w14:textId="77777777" w:rsidR="00804EA2" w:rsidRPr="0062272F" w:rsidRDefault="00804EA2" w:rsidP="00804EA2">
      <w:pPr>
        <w:pStyle w:val="ParaNoNdepar-AltN"/>
        <w:rPr>
          <w:rFonts w:cs="Times New Roman"/>
          <w:lang w:val="fr-CA"/>
        </w:rPr>
      </w:pPr>
      <w:r w:rsidRPr="0062272F">
        <w:rPr>
          <w:rFonts w:cs="Times New Roman"/>
          <w:lang w:val="fr-CA"/>
        </w:rPr>
        <w:t xml:space="preserve">Passons maintenant à l’argument des appelantes suivant lequel, </w:t>
      </w:r>
      <w:r w:rsidRPr="0062272F">
        <w:rPr>
          <w:rFonts w:cs="Times New Roman"/>
          <w:shd w:val="clear" w:color="auto" w:fill="FFFFFF"/>
          <w:lang w:val="fr-CA"/>
        </w:rPr>
        <w:t>à première vue ou de par son effet, le régime créé une distinction fondée non seulement sur le motif énuméré du sexe, mais aussi sur celui de la « situation familiale » ou de l’« état parental », qui devrait être reconnu comme un motif analogue</w:t>
      </w:r>
      <w:r w:rsidRPr="0062272F">
        <w:rPr>
          <w:rFonts w:cs="Times New Roman"/>
          <w:lang w:val="fr-CA"/>
        </w:rPr>
        <w:t xml:space="preserve">. </w:t>
      </w:r>
    </w:p>
    <w:p w14:paraId="2E46782B" w14:textId="469A7588" w:rsidR="00804EA2" w:rsidRPr="0062272F" w:rsidRDefault="00804EA2" w:rsidP="00804EA2">
      <w:pPr>
        <w:pStyle w:val="ParaNoNdepar-AltN"/>
        <w:rPr>
          <w:rFonts w:cs="Times New Roman"/>
          <w:lang w:val="fr-CA"/>
        </w:rPr>
      </w:pPr>
      <w:r w:rsidRPr="0062272F">
        <w:rPr>
          <w:rFonts w:cs="Times New Roman"/>
          <w:lang w:val="fr-CA"/>
        </w:rPr>
        <w:t>Nous sommes d’accord avec notre collègue pour dire qu’il ne convient pas de reconnaître un motif analogue pour les seuls besoins de la présente affaire (par. 114). Cette approche est non seulement contre</w:t>
      </w:r>
      <w:r w:rsidRPr="0062272F">
        <w:rPr>
          <w:rFonts w:cs="Times New Roman"/>
          <w:lang w:val="fr-CA"/>
        </w:rPr>
        <w:noBreakHyphen/>
        <w:t xml:space="preserve">indiquée, elle a été carrément rejetée dans l’arrêt </w:t>
      </w:r>
      <w:r w:rsidRPr="0062272F">
        <w:rPr>
          <w:rFonts w:cs="Times New Roman"/>
          <w:i/>
          <w:iCs/>
          <w:lang w:val="fr-CA"/>
        </w:rPr>
        <w:t>Corbiere c. Canada (Ministre des Affaires indiennes et du Nord canadien)</w:t>
      </w:r>
      <w:r w:rsidRPr="0062272F">
        <w:rPr>
          <w:rFonts w:cs="Times New Roman"/>
          <w:lang w:val="fr-CA"/>
        </w:rPr>
        <w:t>, [1999] 2 R.C.S. 203, par. 8</w:t>
      </w:r>
      <w:r w:rsidRPr="0062272F">
        <w:rPr>
          <w:rFonts w:cs="Times New Roman"/>
          <w:lang w:val="fr-CA"/>
        </w:rPr>
        <w:noBreakHyphen/>
        <w:t xml:space="preserve">9. Nous sommes également d’accord pour dire que, comme la présente affaire peut être tranchée en fonction du motif énuméré du sexe, il est, essentiellement pour les motifs que notre collègue expose, inutile et inopportun de tenir compte de l’état parental ou de la situation familiale. La reconnaissance d’un motif </w:t>
      </w:r>
      <w:r w:rsidRPr="0062272F">
        <w:rPr>
          <w:rFonts w:cs="Times New Roman"/>
          <w:lang w:val="fr-CA"/>
        </w:rPr>
        <w:lastRenderedPageBreak/>
        <w:t xml:space="preserve">analogue a des répercussions importantes, car elle donne ouverture à de nouveaux types de demandes fondées sur la </w:t>
      </w:r>
      <w:r w:rsidRPr="0062272F">
        <w:rPr>
          <w:rFonts w:cs="Times New Roman"/>
          <w:i/>
          <w:lang w:val="fr-CA"/>
        </w:rPr>
        <w:t>Charte</w:t>
      </w:r>
      <w:r w:rsidRPr="0062272F">
        <w:rPr>
          <w:rFonts w:cs="Times New Roman"/>
          <w:lang w:val="fr-CA"/>
        </w:rPr>
        <w:t>; en effet, dès lors qu’un motif analogue a ét</w:t>
      </w:r>
      <w:r w:rsidR="002B1BF6">
        <w:rPr>
          <w:rFonts w:cs="Times New Roman"/>
          <w:lang w:val="fr-CA"/>
        </w:rPr>
        <w:t>é reconnu, il « constitu[e</w:t>
      </w:r>
      <w:r w:rsidRPr="0062272F">
        <w:rPr>
          <w:rFonts w:cs="Times New Roman"/>
          <w:lang w:val="fr-CA"/>
        </w:rPr>
        <w:t>] un indicateur permanent de discrimination législative potentielle » (</w:t>
      </w:r>
      <w:r w:rsidRPr="0062272F">
        <w:rPr>
          <w:rFonts w:cs="Times New Roman"/>
          <w:i/>
          <w:lang w:val="fr-CA"/>
        </w:rPr>
        <w:t>Corbiere</w:t>
      </w:r>
      <w:r w:rsidRPr="0062272F">
        <w:rPr>
          <w:rFonts w:cs="Times New Roman"/>
          <w:lang w:val="fr-CA"/>
        </w:rPr>
        <w:t>, par. 10). Il faudrait réserver la reconnaissance de nouveaux motifs analogues aux cas où suffisamment d’arguments et de preuves ont été présentés et, même alors, seulement si cette reconnaissance est nécessaire. On ne devrait pas reconnaître de nouveaux motifs analogues de façon ponctuelle.</w:t>
      </w:r>
    </w:p>
    <w:p w14:paraId="607CD0CD" w14:textId="77777777" w:rsidR="00804EA2" w:rsidRPr="0062272F" w:rsidRDefault="00804EA2" w:rsidP="00804EA2">
      <w:pPr>
        <w:pStyle w:val="ParaNoNdepar-AltN"/>
        <w:rPr>
          <w:rFonts w:cs="Times New Roman"/>
          <w:lang w:val="fr-CA"/>
        </w:rPr>
      </w:pPr>
      <w:r w:rsidRPr="0062272F">
        <w:rPr>
          <w:rFonts w:cs="Times New Roman"/>
          <w:lang w:val="fr-CA"/>
        </w:rPr>
        <w:t xml:space="preserve">Par conséquent, si l’on s’en tient au motif énuméré du sexe, il y a deux façons de formuler la distinction en l’espèce. Chacune repose jusqu’à un certain point sur une comparaison, ce qui est normal compte tenu de la nature </w:t>
      </w:r>
      <w:r w:rsidRPr="0062272F">
        <w:rPr>
          <w:rFonts w:cs="Times New Roman"/>
          <w:lang w:val="fr-CA" w:bidi="en-US"/>
        </w:rPr>
        <w:t>intrinsèquement comparative</w:t>
      </w:r>
      <w:r w:rsidRPr="0062272F">
        <w:rPr>
          <w:rFonts w:cs="Times New Roman"/>
          <w:lang w:val="fr-CA"/>
        </w:rPr>
        <w:t xml:space="preserve"> de </w:t>
      </w:r>
      <w:r w:rsidRPr="0062272F">
        <w:rPr>
          <w:rFonts w:cs="Times New Roman"/>
          <w:lang w:val="fr-CA" w:bidi="en-US"/>
        </w:rPr>
        <w:t>l’art. 15.</w:t>
      </w:r>
      <w:r w:rsidRPr="0062272F">
        <w:rPr>
          <w:rFonts w:cs="Times New Roman"/>
          <w:lang w:val="fr-CA"/>
        </w:rPr>
        <w:t xml:space="preserve"> Mais ni l’une ni l’autre comparaison ne repose sur l’approche dite de « la comparaison avec un groupe aux caractéristiques identiques », que notre Cour a rejetée et selon laquelle l</w:t>
      </w:r>
      <w:r w:rsidRPr="0062272F">
        <w:rPr>
          <w:rFonts w:cs="Times New Roman"/>
          <w:shd w:val="clear" w:color="auto" w:fill="FFFFFF"/>
          <w:lang w:val="fr-CA"/>
        </w:rPr>
        <w:t>e groupe de comparaison « “reflète les caractéristiques du demandeur (ou du groupe demandeur) qui sont pertinentes quant au bénéfice ou à l’avantage recherché” hormis la caractéristique personnelle à l’origine du recours »</w:t>
      </w:r>
      <w:r w:rsidRPr="0062272F">
        <w:rPr>
          <w:rFonts w:cs="Times New Roman"/>
          <w:lang w:val="fr-CA"/>
        </w:rPr>
        <w:t xml:space="preserve"> (</w:t>
      </w:r>
      <w:r w:rsidRPr="0062272F">
        <w:rPr>
          <w:rFonts w:cs="Times New Roman"/>
          <w:i/>
          <w:lang w:val="fr-CA"/>
        </w:rPr>
        <w:t>Withler</w:t>
      </w:r>
      <w:r w:rsidRPr="0062272F">
        <w:rPr>
          <w:rFonts w:cs="Times New Roman"/>
          <w:lang w:val="fr-CA"/>
        </w:rPr>
        <w:t xml:space="preserve">, par. 49, citant </w:t>
      </w:r>
      <w:r w:rsidRPr="0062272F">
        <w:rPr>
          <w:rFonts w:cs="Times New Roman"/>
          <w:i/>
          <w:lang w:val="fr-CA"/>
        </w:rPr>
        <w:t>Hodge c. Canada (Ministre du Développement des ressources humaines)</w:t>
      </w:r>
      <w:r w:rsidRPr="0062272F">
        <w:rPr>
          <w:rFonts w:cs="Times New Roman"/>
          <w:lang w:val="fr-CA"/>
        </w:rPr>
        <w:t xml:space="preserve">, 2004 CSC 65, [2004] 3 R.C.S. 357, par. 23). En d’autres termes, il ne s’agit pas, pour établir une distinction, de trouver une situation en tout point identique à celle du groupe demandeur </w:t>
      </w:r>
      <w:r w:rsidRPr="0062272F">
        <w:rPr>
          <w:rFonts w:cs="Times New Roman"/>
          <w:i/>
          <w:lang w:val="fr-CA"/>
        </w:rPr>
        <w:t>sauf</w:t>
      </w:r>
      <w:r w:rsidRPr="0062272F">
        <w:rPr>
          <w:rFonts w:cs="Times New Roman"/>
          <w:lang w:val="fr-CA"/>
        </w:rPr>
        <w:t xml:space="preserve"> pour le motif énuméré. Notre analyse est plutôt contextuelle : elle tient compte des divers aspects du régime, ainsi que des éléments de preuve dont on dispose au sujet de la composition des effectifs de la GRC. </w:t>
      </w:r>
    </w:p>
    <w:p w14:paraId="2F6337BE" w14:textId="77777777" w:rsidR="00804EA2" w:rsidRPr="0062272F" w:rsidRDefault="00804EA2" w:rsidP="00804EA2">
      <w:pPr>
        <w:pStyle w:val="ParaNoNdepar-AltN"/>
        <w:rPr>
          <w:rFonts w:cs="Times New Roman"/>
          <w:lang w:val="fr-CA"/>
        </w:rPr>
      </w:pPr>
      <w:r w:rsidRPr="0062272F">
        <w:rPr>
          <w:rFonts w:cs="Times New Roman"/>
          <w:lang w:val="fr-CA"/>
        </w:rPr>
        <w:lastRenderedPageBreak/>
        <w:t xml:space="preserve">On peut tout d’abord établir une distinction en examinant la situation des membres à temps plein. À la différence des membres à temps plein, les employés qui partagent un poste n’accumulent pas 40 heures complètes de service hebdomadaire ouvrant droit à pension. La distinction serait fondée sur le sexe, parce que les participants au programme de partage de poste sont majoritairement des femmes, tandis que l’emploi à temps plein sans interruption est un </w:t>
      </w:r>
      <w:r>
        <w:rPr>
          <w:rFonts w:cs="Times New Roman"/>
          <w:lang w:val="fr-CA"/>
        </w:rPr>
        <w:t>régime de travail typiquement</w:t>
      </w:r>
      <w:r w:rsidRPr="0062272F">
        <w:rPr>
          <w:rFonts w:cs="Times New Roman"/>
          <w:lang w:val="fr-CA"/>
        </w:rPr>
        <w:t xml:space="preserve"> masculin. Nous convenons qu’une distinction est établie dans ce cas. </w:t>
      </w:r>
    </w:p>
    <w:p w14:paraId="0C5E43C0" w14:textId="77777777" w:rsidR="00804EA2" w:rsidRPr="0062272F" w:rsidRDefault="00804EA2" w:rsidP="00804EA2">
      <w:pPr>
        <w:pStyle w:val="ParaNoNdepar-AltN"/>
        <w:rPr>
          <w:rFonts w:cs="Times New Roman"/>
          <w:lang w:val="fr-CA"/>
        </w:rPr>
      </w:pPr>
      <w:r w:rsidRPr="0062272F">
        <w:rPr>
          <w:rFonts w:cs="Times New Roman"/>
          <w:lang w:val="fr-CA"/>
        </w:rPr>
        <w:t>Une deuxième façon d’établir une distinction en l’espèce est de faire une comparaison avec la situation des membres qui prennent des congés non payés. Notre collègue rejette expressément ce type de comparaison (par. 93</w:t>
      </w:r>
      <w:r w:rsidRPr="0062272F">
        <w:rPr>
          <w:rFonts w:cs="Times New Roman"/>
          <w:lang w:val="fr-CA"/>
        </w:rPr>
        <w:noBreakHyphen/>
        <w:t xml:space="preserve">94). Elle commence toutefois son analyse en affirmant que « [c]ontrairement aux membres à temps plein qui </w:t>
      </w:r>
      <w:r>
        <w:rPr>
          <w:rFonts w:cs="Times New Roman"/>
          <w:lang w:val="fr-CA"/>
        </w:rPr>
        <w:t>ont un horaire de travail régulier</w:t>
      </w:r>
      <w:r w:rsidRPr="0062272F">
        <w:rPr>
          <w:rFonts w:cs="Times New Roman"/>
          <w:lang w:val="fr-CA"/>
        </w:rPr>
        <w:t xml:space="preserve">, qui sont suspendus ou qui prennent </w:t>
      </w:r>
      <w:r w:rsidRPr="0062272F">
        <w:rPr>
          <w:rFonts w:cs="Times New Roman"/>
          <w:u w:val="single"/>
          <w:lang w:val="fr-CA"/>
        </w:rPr>
        <w:t>des congés non payés</w:t>
      </w:r>
      <w:r w:rsidRPr="0062272F">
        <w:rPr>
          <w:rFonts w:cs="Times New Roman"/>
          <w:lang w:val="fr-CA"/>
        </w:rPr>
        <w:t xml:space="preserve">, les membres à temps plein de la GRC qui partagent un poste sont considérés comme des travailleurs à temps partiel au sens du </w:t>
      </w:r>
      <w:r w:rsidRPr="0062272F">
        <w:rPr>
          <w:rFonts w:cs="Times New Roman"/>
          <w:i/>
          <w:lang w:val="fr-CA"/>
        </w:rPr>
        <w:t>Règlement</w:t>
      </w:r>
      <w:r w:rsidRPr="0062272F">
        <w:rPr>
          <w:rFonts w:cs="Times New Roman"/>
          <w:lang w:val="fr-CA"/>
        </w:rPr>
        <w:t xml:space="preserve"> [qui] ne peuvent pas [. . .] racheter des périodes de service à temps plein ouvrant droit à pension » (par. 25 (nous soulignons; note de bas de page omise). En d’autres termes, la distinction à laquelle notre collègue conclut est fondée sur une comparaison avec la situation des employés qui prennent des congés non payés. Si l’option de rachat des périodes de service ouvrant droit à pension pour les périodes de congés non payés n’existait pas, cette distinction disparaîtrait. En outre, comme nous l’avons déjà fait observer, ce ne sont pas tous les membres prenant des congés non payés qui ont le droit de se faire créditer des périodes de service à temps plein ouvrant droit à pension pour leur service. Seuls les membres </w:t>
      </w:r>
      <w:r w:rsidRPr="0062272F">
        <w:rPr>
          <w:rFonts w:cs="Times New Roman"/>
          <w:lang w:val="fr-CA"/>
        </w:rPr>
        <w:lastRenderedPageBreak/>
        <w:t xml:space="preserve">qui travaillaient </w:t>
      </w:r>
      <w:r w:rsidRPr="0062272F">
        <w:rPr>
          <w:rFonts w:cs="Times New Roman"/>
          <w:i/>
          <w:iCs/>
          <w:lang w:val="fr-CA"/>
        </w:rPr>
        <w:t>à temps plein</w:t>
      </w:r>
      <w:r w:rsidRPr="0062272F">
        <w:rPr>
          <w:rFonts w:cs="Times New Roman"/>
          <w:lang w:val="fr-CA"/>
        </w:rPr>
        <w:t xml:space="preserve"> avant de prendre un congé non payé ont ce droit. Tout au long de ses motifs, notre collègue ne tient pas compte de cette nuance</w:t>
      </w:r>
      <w:r w:rsidRPr="0062272F">
        <w:rPr>
          <w:rFonts w:cs="Times New Roman"/>
          <w:lang w:val="fr-CA" w:bidi="en-US"/>
        </w:rPr>
        <w:t>.</w:t>
      </w:r>
      <w:r w:rsidRPr="0062272F">
        <w:rPr>
          <w:rFonts w:cs="Times New Roman"/>
          <w:lang w:val="fr-CA"/>
        </w:rPr>
        <w:t xml:space="preserve"> </w:t>
      </w:r>
    </w:p>
    <w:p w14:paraId="1759DA6B" w14:textId="088BCC09" w:rsidR="00804EA2" w:rsidRPr="0062272F" w:rsidRDefault="00804EA2" w:rsidP="00804EA2">
      <w:pPr>
        <w:pStyle w:val="ParaNoNdepar-AltN"/>
        <w:rPr>
          <w:rFonts w:cs="Times New Roman"/>
          <w:lang w:val="fr-CA"/>
        </w:rPr>
      </w:pPr>
      <w:r w:rsidRPr="0062272F">
        <w:rPr>
          <w:rFonts w:cs="Times New Roman"/>
          <w:lang w:val="fr-CA"/>
        </w:rPr>
        <w:t>En tout état de cause, la distinction qui existerait en l’espèce repose essentiellement sur le fait que, s’agissant de leur service ouvrant droit à pension, les employés qui partagent un poste n’ont droit qu’au nombre d’heures qu’ils ont travaillées par semaine, alors que les membres qui prennent des congés non payés se trouvent dans une situation différente, car ils ont la possibilité de « racheter » des périodes de service ouvrant droit à pension. Mais cette distinction n’est pas fondée sur le sexe : rien ne prouve que les membres qui prennent des congés non payés sont moins susceptibles d’être des femmes que les membres qui participent au programme de partage de poste. Ainsi que la Cour d’appel l’a fait remarquer : « </w:t>
      </w:r>
      <w:r w:rsidR="00342BE8">
        <w:rPr>
          <w:rFonts w:cs="Times New Roman"/>
          <w:lang w:val="fr-CA"/>
        </w:rPr>
        <w:t>…</w:t>
      </w:r>
      <w:r>
        <w:rPr>
          <w:rFonts w:cs="Times New Roman"/>
          <w:lang w:val="fr-CA"/>
        </w:rPr>
        <w:t xml:space="preserve"> </w:t>
      </w:r>
      <w:r w:rsidRPr="0062272F">
        <w:rPr>
          <w:rFonts w:cs="Times New Roman"/>
          <w:lang w:val="fr-CA"/>
        </w:rPr>
        <w:t>très peu d’éléments de preuve concerna</w:t>
      </w:r>
      <w:r>
        <w:rPr>
          <w:rFonts w:cs="Times New Roman"/>
          <w:lang w:val="fr-CA"/>
        </w:rPr>
        <w:t>ie</w:t>
      </w:r>
      <w:r w:rsidRPr="0062272F">
        <w:rPr>
          <w:rFonts w:cs="Times New Roman"/>
          <w:lang w:val="fr-CA"/>
        </w:rPr>
        <w:t xml:space="preserve">nt le nombre de membres de la </w:t>
      </w:r>
      <w:r w:rsidRPr="0062272F">
        <w:rPr>
          <w:rFonts w:cs="Times New Roman"/>
          <w:lang w:val="fr-CA" w:bidi="en-US"/>
        </w:rPr>
        <w:t xml:space="preserve">GRC </w:t>
      </w:r>
      <w:r>
        <w:rPr>
          <w:rFonts w:cs="Times New Roman"/>
          <w:lang w:val="fr-CA" w:bidi="en-US"/>
        </w:rPr>
        <w:t>ayant</w:t>
      </w:r>
      <w:r w:rsidRPr="0062272F">
        <w:rPr>
          <w:rFonts w:cs="Times New Roman"/>
          <w:lang w:val="fr-CA" w:bidi="en-US"/>
        </w:rPr>
        <w:t xml:space="preserve"> choisi </w:t>
      </w:r>
      <w:r>
        <w:rPr>
          <w:rFonts w:cs="Times New Roman"/>
          <w:lang w:val="fr-CA" w:bidi="en-US"/>
        </w:rPr>
        <w:t xml:space="preserve">de </w:t>
      </w:r>
      <w:r w:rsidRPr="0062272F">
        <w:rPr>
          <w:rFonts w:cs="Times New Roman"/>
          <w:lang w:val="fr-CA" w:bidi="en-US"/>
        </w:rPr>
        <w:t>partage</w:t>
      </w:r>
      <w:r>
        <w:rPr>
          <w:rFonts w:cs="Times New Roman"/>
          <w:lang w:val="fr-CA" w:bidi="en-US"/>
        </w:rPr>
        <w:t>r leur poste</w:t>
      </w:r>
      <w:r w:rsidRPr="0062272F">
        <w:rPr>
          <w:rFonts w:cs="Times New Roman"/>
          <w:lang w:val="fr-CA" w:bidi="en-US"/>
        </w:rPr>
        <w:t xml:space="preserve"> ou de travailler à temps partiel</w:t>
      </w:r>
      <w:r>
        <w:rPr>
          <w:rFonts w:cs="Times New Roman"/>
          <w:lang w:val="fr-CA" w:bidi="en-US"/>
        </w:rPr>
        <w:t>,</w:t>
      </w:r>
      <w:r w:rsidRPr="0062272F">
        <w:rPr>
          <w:rFonts w:cs="Times New Roman"/>
          <w:lang w:val="fr-CA" w:bidi="en-US"/>
        </w:rPr>
        <w:t xml:space="preserve"> et </w:t>
      </w:r>
      <w:r w:rsidRPr="0062272F">
        <w:rPr>
          <w:rFonts w:cs="Times New Roman"/>
          <w:u w:val="single"/>
          <w:lang w:val="fr-CA" w:bidi="en-US"/>
        </w:rPr>
        <w:t>aucun</w:t>
      </w:r>
      <w:r w:rsidRPr="0086698E">
        <w:rPr>
          <w:rFonts w:cs="Times New Roman"/>
          <w:lang w:val="fr-CA" w:bidi="en-US"/>
        </w:rPr>
        <w:t xml:space="preserve"> </w:t>
      </w:r>
      <w:r w:rsidR="00342BE8">
        <w:rPr>
          <w:rFonts w:cs="Times New Roman"/>
          <w:lang w:val="fr-CA" w:bidi="en-US"/>
        </w:rPr>
        <w:t xml:space="preserve">ne </w:t>
      </w:r>
      <w:r w:rsidRPr="0062272F">
        <w:rPr>
          <w:rFonts w:cs="Times New Roman"/>
          <w:lang w:val="fr-CA" w:bidi="en-US"/>
        </w:rPr>
        <w:t>concerna</w:t>
      </w:r>
      <w:r>
        <w:rPr>
          <w:rFonts w:cs="Times New Roman"/>
          <w:lang w:val="fr-CA" w:bidi="en-US"/>
        </w:rPr>
        <w:t>i</w:t>
      </w:r>
      <w:r w:rsidRPr="0062272F">
        <w:rPr>
          <w:rFonts w:cs="Times New Roman"/>
          <w:lang w:val="fr-CA" w:bidi="en-US"/>
        </w:rPr>
        <w:t xml:space="preserve">t ceux </w:t>
      </w:r>
      <w:r>
        <w:rPr>
          <w:rFonts w:cs="Times New Roman"/>
          <w:lang w:val="fr-CA" w:bidi="en-US"/>
        </w:rPr>
        <w:t>ayant opté pour le</w:t>
      </w:r>
      <w:r w:rsidRPr="0062272F">
        <w:rPr>
          <w:rFonts w:cs="Times New Roman"/>
          <w:lang w:val="fr-CA" w:bidi="en-US"/>
        </w:rPr>
        <w:t xml:space="preserve"> congé non payé » (par. 17 (nous soulignons))</w:t>
      </w:r>
      <w:r>
        <w:rPr>
          <w:rFonts w:cs="Times New Roman"/>
          <w:lang w:val="fr-CA" w:bidi="en-US"/>
        </w:rPr>
        <w:t>; « rien n’indique non plus que</w:t>
      </w:r>
      <w:r w:rsidRPr="0062272F">
        <w:rPr>
          <w:rFonts w:cs="Times New Roman"/>
          <w:lang w:val="fr-CA"/>
        </w:rPr>
        <w:t xml:space="preserve"> plus d’hom</w:t>
      </w:r>
      <w:r w:rsidR="00342BE8">
        <w:rPr>
          <w:rFonts w:cs="Times New Roman"/>
          <w:lang w:val="fr-CA"/>
        </w:rPr>
        <w:t>mes ou de personnes sans enfant</w:t>
      </w:r>
      <w:r w:rsidRPr="0062272F">
        <w:rPr>
          <w:rFonts w:cs="Times New Roman"/>
          <w:lang w:val="fr-CA"/>
        </w:rPr>
        <w:t xml:space="preserve"> —</w:t>
      </w:r>
      <w:r>
        <w:rPr>
          <w:rFonts w:cs="Times New Roman"/>
          <w:lang w:val="fr-CA"/>
        </w:rPr>
        <w:t xml:space="preserve"> par rapport aux femmes ou aux parents </w:t>
      </w:r>
      <w:r w:rsidRPr="0062272F">
        <w:rPr>
          <w:rFonts w:cs="Times New Roman"/>
          <w:lang w:val="fr-CA"/>
        </w:rPr>
        <w:t>—</w:t>
      </w:r>
      <w:r>
        <w:rPr>
          <w:rFonts w:cs="Times New Roman"/>
          <w:lang w:val="fr-CA"/>
        </w:rPr>
        <w:t xml:space="preserve"> ont pris un congé non payé</w:t>
      </w:r>
      <w:r w:rsidRPr="0062272F">
        <w:rPr>
          <w:rFonts w:cs="Times New Roman"/>
          <w:lang w:val="fr-CA"/>
        </w:rPr>
        <w:t xml:space="preserve"> » </w:t>
      </w:r>
      <w:r w:rsidRPr="0062272F">
        <w:rPr>
          <w:rFonts w:cs="Times New Roman"/>
          <w:lang w:val="fr-CA" w:bidi="en-US"/>
        </w:rPr>
        <w:t xml:space="preserve">(par. 52). De plus, le Manuel d’administration II.5 de la </w:t>
      </w:r>
      <w:r w:rsidRPr="0062272F">
        <w:rPr>
          <w:rFonts w:cs="Times New Roman"/>
          <w:lang w:val="fr-CA"/>
        </w:rPr>
        <w:t xml:space="preserve">GRC sur les congés reconnaît que divers motifs peuvent être invoqués pour obtenir un congé approuvé : études, déménagement du conjoint, soins et éducation d’enfants d’âge préscolaire et besoins personnels. Notre collègue ne peut simplement tenir pour acquis, sans preuve, que les personnes qui partagent un poste sont, en tant que groupe, davantage susceptibles d’être des femmes que les employés qui prennent un congé non </w:t>
      </w:r>
      <w:r w:rsidRPr="0062272F">
        <w:rPr>
          <w:rFonts w:cs="Times New Roman"/>
          <w:lang w:val="fr-CA"/>
        </w:rPr>
        <w:lastRenderedPageBreak/>
        <w:t>payé. Les deux options sont expressément, mais pas exclusivement, offertes aux femmes.</w:t>
      </w:r>
    </w:p>
    <w:p w14:paraId="6D1D0127" w14:textId="77777777" w:rsidR="00804EA2" w:rsidRPr="0062272F" w:rsidRDefault="00804EA2" w:rsidP="00804EA2">
      <w:pPr>
        <w:pStyle w:val="ParaNoNdepar-AltN"/>
        <w:rPr>
          <w:rFonts w:cs="Times New Roman"/>
          <w:lang w:val="fr-CA"/>
        </w:rPr>
      </w:pPr>
      <w:r w:rsidRPr="0062272F">
        <w:rPr>
          <w:rFonts w:cs="Times New Roman"/>
          <w:lang w:val="fr-CA" w:bidi="en-US"/>
        </w:rPr>
        <w:t xml:space="preserve">Par conséquent, la distinction entre la formule du partage de poste et celle des congés non payés ne repose pas sur un motif énuméré ou sur un motif analogue. L’analyse échoue à la première étape. Toutefois, compte tenu de notre conclusion suivant laquelle la comparaison entre les employés qui partagent un poste </w:t>
      </w:r>
      <w:r>
        <w:rPr>
          <w:rFonts w:cs="Times New Roman"/>
          <w:lang w:val="fr-CA" w:bidi="en-US"/>
        </w:rPr>
        <w:t>(</w:t>
      </w:r>
      <w:r w:rsidRPr="0062272F">
        <w:rPr>
          <w:rFonts w:cs="Times New Roman"/>
          <w:lang w:val="fr-CA" w:bidi="en-US"/>
        </w:rPr>
        <w:t>et qui n’accumulent pas 40 heures complètes de service hebdomadaire ouvrant droit à pension</w:t>
      </w:r>
      <w:r>
        <w:rPr>
          <w:rFonts w:cs="Times New Roman"/>
          <w:lang w:val="fr-CA" w:bidi="en-US"/>
        </w:rPr>
        <w:t>)</w:t>
      </w:r>
      <w:r w:rsidRPr="0062272F">
        <w:rPr>
          <w:rFonts w:cs="Times New Roman"/>
          <w:lang w:val="fr-CA" w:bidi="en-US"/>
        </w:rPr>
        <w:t xml:space="preserve"> et les membres à temps plein</w:t>
      </w:r>
      <w:r>
        <w:rPr>
          <w:rFonts w:cs="Times New Roman"/>
          <w:lang w:val="fr-CA" w:bidi="en-US"/>
        </w:rPr>
        <w:t xml:space="preserve"> (</w:t>
      </w:r>
      <w:r w:rsidRPr="0062272F">
        <w:rPr>
          <w:rFonts w:cs="Times New Roman"/>
          <w:lang w:val="fr-CA" w:bidi="en-US"/>
        </w:rPr>
        <w:t>qui en accumulent</w:t>
      </w:r>
      <w:r>
        <w:rPr>
          <w:rFonts w:cs="Times New Roman"/>
          <w:lang w:val="fr-CA" w:bidi="en-US"/>
        </w:rPr>
        <w:t>)</w:t>
      </w:r>
      <w:r w:rsidRPr="0062272F">
        <w:rPr>
          <w:rFonts w:cs="Times New Roman"/>
          <w:lang w:val="fr-CA" w:bidi="en-US"/>
        </w:rPr>
        <w:t xml:space="preserve"> remplit les conditions requises à la première étape de l’analyse fondée sur l’art. 15 pour pouvoir conclure à l’existence d’une distinction fondée sur le sexe, nous passons à la seconde étape. En l’espèce, vu la nature contextuelle de l’analyse, il est important de tenir compte des congés non payés. </w:t>
      </w:r>
    </w:p>
    <w:p w14:paraId="0CC21D8C" w14:textId="77777777" w:rsidR="00804EA2" w:rsidRPr="0062272F" w:rsidRDefault="00804EA2" w:rsidP="00804EA2">
      <w:pPr>
        <w:pStyle w:val="Title2LevelTitre2Niveau"/>
        <w:rPr>
          <w:rFonts w:cs="Times New Roman"/>
          <w:lang w:val="fr-CA"/>
        </w:rPr>
      </w:pPr>
      <w:r w:rsidRPr="0062272F">
        <w:rPr>
          <w:rFonts w:cs="Times New Roman"/>
          <w:lang w:val="fr-CA"/>
        </w:rPr>
        <w:t>Seconde étape de l’analyse fondée sur l’art</w:t>
      </w:r>
      <w:r>
        <w:rPr>
          <w:rFonts w:cs="Times New Roman"/>
          <w:lang w:val="fr-CA"/>
        </w:rPr>
        <w:t>.</w:t>
      </w:r>
      <w:r w:rsidRPr="0062272F">
        <w:rPr>
          <w:rFonts w:cs="Times New Roman"/>
          <w:lang w:val="fr-CA"/>
        </w:rPr>
        <w:t xml:space="preserve"> 15 </w:t>
      </w:r>
    </w:p>
    <w:p w14:paraId="0DF43863" w14:textId="77777777" w:rsidR="00804EA2" w:rsidRPr="0062272F" w:rsidRDefault="00804EA2" w:rsidP="00804EA2">
      <w:pPr>
        <w:pStyle w:val="ParaNoNdepar-AltN"/>
        <w:rPr>
          <w:rFonts w:cs="Times New Roman"/>
          <w:sz w:val="28"/>
          <w:lang w:val="fr-CA"/>
        </w:rPr>
      </w:pPr>
      <w:r w:rsidRPr="0062272F">
        <w:rPr>
          <w:rFonts w:cs="Times New Roman"/>
          <w:lang w:val="fr-CA"/>
        </w:rPr>
        <w:t xml:space="preserve">Ayant démontré que le régime crée une distinction qui, de par son effet, est fondée sur le sexe, nous devons, à la seconde étape de l’analyse fondée sur le par. 15(1), nous demander si cette distinction est discriminatoire en ce sens qu’elle </w:t>
      </w:r>
      <w:r w:rsidRPr="0062272F">
        <w:rPr>
          <w:rFonts w:cs="Times New Roman"/>
          <w:shd w:val="clear" w:color="auto" w:fill="FFFFFF"/>
          <w:lang w:val="fr-CA"/>
        </w:rPr>
        <w:t xml:space="preserve">ne répond pas aux capacités et aux besoins concrets des membres du groupe et leur impose plutôt un fardeau ou leur nie un avantage d’une manière qui a pour effet de renforcer, de perpétuer ou d’accentuer le désavantage dont les femmes sont victimes </w:t>
      </w:r>
      <w:r w:rsidRPr="0062272F">
        <w:rPr>
          <w:rFonts w:cs="Times New Roman"/>
          <w:lang w:val="fr-CA"/>
        </w:rPr>
        <w:t>(</w:t>
      </w:r>
      <w:r w:rsidRPr="0062272F">
        <w:rPr>
          <w:rFonts w:cs="Times New Roman"/>
          <w:i/>
          <w:lang w:val="fr-CA"/>
        </w:rPr>
        <w:t>Andrews</w:t>
      </w:r>
      <w:r w:rsidRPr="0062272F">
        <w:rPr>
          <w:rFonts w:cs="Times New Roman"/>
          <w:lang w:val="fr-CA"/>
        </w:rPr>
        <w:t xml:space="preserve">, p. 182; </w:t>
      </w:r>
      <w:r w:rsidRPr="0062272F">
        <w:rPr>
          <w:rFonts w:cs="Times New Roman"/>
          <w:i/>
          <w:lang w:val="fr-CA"/>
        </w:rPr>
        <w:t>Withler</w:t>
      </w:r>
      <w:r w:rsidRPr="0062272F">
        <w:rPr>
          <w:rFonts w:cs="Times New Roman"/>
          <w:lang w:val="fr-CA"/>
        </w:rPr>
        <w:t xml:space="preserve">, par. 31; </w:t>
      </w:r>
      <w:r w:rsidRPr="0062272F">
        <w:rPr>
          <w:rFonts w:cs="Times New Roman"/>
          <w:i/>
          <w:lang w:val="fr-CA"/>
        </w:rPr>
        <w:t>Taypotat</w:t>
      </w:r>
      <w:r w:rsidRPr="0062272F">
        <w:rPr>
          <w:rFonts w:cs="Times New Roman"/>
          <w:lang w:val="fr-CA"/>
        </w:rPr>
        <w:t>, par. 20).</w:t>
      </w:r>
      <w:r w:rsidRPr="0062272F">
        <w:rPr>
          <w:rFonts w:cs="Times New Roman"/>
          <w:i/>
          <w:lang w:val="fr-CA"/>
        </w:rPr>
        <w:t xml:space="preserve"> </w:t>
      </w:r>
    </w:p>
    <w:p w14:paraId="6D23EE1A" w14:textId="77777777" w:rsidR="00804EA2" w:rsidRPr="0062272F" w:rsidRDefault="00804EA2" w:rsidP="00804EA2">
      <w:pPr>
        <w:pStyle w:val="ParaNoNdepar-AltN"/>
        <w:rPr>
          <w:rFonts w:cs="Times New Roman"/>
          <w:lang w:val="fr-CA"/>
        </w:rPr>
      </w:pPr>
      <w:r w:rsidRPr="0062272F">
        <w:rPr>
          <w:rFonts w:cs="Times New Roman"/>
          <w:lang w:val="fr-CA"/>
        </w:rPr>
        <w:lastRenderedPageBreak/>
        <w:t>Notre Cour a déclaré que les désavantages historiques jouent un rôle important dans la constatation d’une discrimination réelle (</w:t>
      </w:r>
      <w:r w:rsidRPr="0062272F">
        <w:rPr>
          <w:rFonts w:cs="Times New Roman"/>
          <w:i/>
          <w:lang w:val="fr-CA"/>
        </w:rPr>
        <w:t>Law c. Canada (Ministre de l’Emploi et de l’Immigration)</w:t>
      </w:r>
      <w:r w:rsidRPr="0062272F">
        <w:rPr>
          <w:rFonts w:cs="Times New Roman"/>
          <w:lang w:val="fr-CA"/>
        </w:rPr>
        <w:t>, [1999] 1 R.C.S. 497, par. 63</w:t>
      </w:r>
      <w:r w:rsidRPr="0062272F">
        <w:rPr>
          <w:rFonts w:cs="Times New Roman"/>
          <w:lang w:val="fr-CA"/>
        </w:rPr>
        <w:noBreakHyphen/>
        <w:t xml:space="preserve">67; </w:t>
      </w:r>
      <w:r w:rsidRPr="0062272F">
        <w:rPr>
          <w:rFonts w:cs="Times New Roman"/>
          <w:i/>
          <w:lang w:val="fr-CA"/>
        </w:rPr>
        <w:t>Kapp</w:t>
      </w:r>
      <w:r w:rsidRPr="0062272F">
        <w:rPr>
          <w:rFonts w:cs="Times New Roman"/>
          <w:lang w:val="fr-CA"/>
        </w:rPr>
        <w:t>, par. 15</w:t>
      </w:r>
      <w:r w:rsidRPr="0062272F">
        <w:rPr>
          <w:rFonts w:cs="Times New Roman"/>
          <w:lang w:val="fr-CA"/>
        </w:rPr>
        <w:noBreakHyphen/>
        <w:t>16 et 35</w:t>
      </w:r>
      <w:r w:rsidRPr="0062272F">
        <w:rPr>
          <w:rFonts w:cs="Times New Roman"/>
          <w:lang w:val="fr-CA"/>
        </w:rPr>
        <w:noBreakHyphen/>
        <w:t xml:space="preserve">36; </w:t>
      </w:r>
      <w:r w:rsidRPr="0062272F">
        <w:rPr>
          <w:rFonts w:cs="Times New Roman"/>
          <w:i/>
          <w:lang w:val="fr-CA"/>
        </w:rPr>
        <w:t>Taypotat</w:t>
      </w:r>
      <w:r w:rsidRPr="0062272F">
        <w:rPr>
          <w:rFonts w:cs="Times New Roman"/>
          <w:lang w:val="fr-CA"/>
        </w:rPr>
        <w:t xml:space="preserve">, par. 20). La discrimination réelle ne saurait toutefois se résumer aux désavantages historiques. Dans certains cas, une loi peut perpétuer un désavantage important tout en traitant les personnes sur un plan d’égalité et sans discrimination. Par exemple, les lois en matière de valeurs mobilières et de biens représentent une intervention par laquelle l’État promeut un régime axé sur la propriété privée. Lorsque la répartition de la propriété privée entre les hommes et les femmes est inégale, cette loi permet à l’inégalité de perdurer, sans pour autant être discriminatoire. Selon l’approche préconisée par notre collègue, la seconde étape du critère de l’art. 15 ne sert qu’à vérifier si l’effet d’inégalité créé par la loi a des incidences sur un groupe historiquement défavorisé; on ne vérifie pas si l’effet d’inégalité correspond aux besoins réels ou à la situation concrète du groupe ou s’il crée, dans un autre sens, une discrimination réelle. </w:t>
      </w:r>
    </w:p>
    <w:p w14:paraId="167247DF" w14:textId="77777777" w:rsidR="00804EA2" w:rsidRPr="0062272F" w:rsidRDefault="00804EA2" w:rsidP="00804EA2">
      <w:pPr>
        <w:pStyle w:val="ParaNoNdepar-AltN"/>
        <w:rPr>
          <w:rFonts w:cs="Times New Roman"/>
          <w:lang w:val="fr-CA"/>
        </w:rPr>
      </w:pPr>
      <w:r w:rsidRPr="0062272F">
        <w:rPr>
          <w:rFonts w:cs="Times New Roman"/>
          <w:lang w:val="fr-CA"/>
        </w:rPr>
        <w:t>Bien que la discrimination réelle ait fait l’objet de diverses définitions au fil des ans, elle a toujours comporté obligatoirement un élément d’arbitraire ou d’injustice. Cet élément a le plus souvent été exprimé comme le fait de ne pouvoir répondre aux capacités, à la situation et aux besoins concrets des individus (</w:t>
      </w:r>
      <w:r w:rsidRPr="0062272F">
        <w:rPr>
          <w:rFonts w:cs="Times New Roman"/>
          <w:i/>
          <w:lang w:val="fr-CA"/>
        </w:rPr>
        <w:t>Andrews</w:t>
      </w:r>
      <w:r w:rsidRPr="0062272F">
        <w:rPr>
          <w:rFonts w:cs="Times New Roman"/>
          <w:lang w:val="fr-CA"/>
        </w:rPr>
        <w:t>, p. 174</w:t>
      </w:r>
      <w:r w:rsidRPr="0062272F">
        <w:rPr>
          <w:rFonts w:cs="Times New Roman"/>
          <w:lang w:val="fr-CA"/>
        </w:rPr>
        <w:noBreakHyphen/>
        <w:t xml:space="preserve">175; </w:t>
      </w:r>
      <w:r w:rsidRPr="0062272F">
        <w:rPr>
          <w:rFonts w:cs="Times New Roman"/>
          <w:i/>
          <w:lang w:val="fr-CA"/>
        </w:rPr>
        <w:t>Law</w:t>
      </w:r>
      <w:r w:rsidRPr="0062272F">
        <w:rPr>
          <w:rFonts w:cs="Times New Roman"/>
          <w:lang w:val="fr-CA"/>
        </w:rPr>
        <w:t xml:space="preserve">, par. 70; </w:t>
      </w:r>
      <w:r w:rsidRPr="0062272F">
        <w:rPr>
          <w:rFonts w:cs="Times New Roman"/>
          <w:i/>
          <w:lang w:val="fr-CA"/>
        </w:rPr>
        <w:t>Withler</w:t>
      </w:r>
      <w:r w:rsidRPr="0062272F">
        <w:rPr>
          <w:rFonts w:cs="Times New Roman"/>
          <w:lang w:val="fr-CA"/>
        </w:rPr>
        <w:t xml:space="preserve">, par. 32 et 65; </w:t>
      </w:r>
      <w:r w:rsidRPr="0062272F">
        <w:rPr>
          <w:rFonts w:cs="Times New Roman"/>
          <w:i/>
          <w:lang w:val="fr-CA"/>
        </w:rPr>
        <w:t>Taypotat</w:t>
      </w:r>
      <w:r w:rsidRPr="0062272F">
        <w:rPr>
          <w:rFonts w:cs="Times New Roman"/>
          <w:lang w:val="fr-CA"/>
        </w:rPr>
        <w:t>, par. 20). Pendant un certain temps, la perpétuation d’un préjugé et l’application de stéréotypes étaient perçues comme des caractéristiques essentielles de la discrimination réelle (</w:t>
      </w:r>
      <w:r w:rsidRPr="0062272F">
        <w:rPr>
          <w:rFonts w:cs="Times New Roman"/>
          <w:i/>
          <w:lang w:val="fr-CA"/>
        </w:rPr>
        <w:t>Kapp</w:t>
      </w:r>
      <w:r w:rsidRPr="0062272F">
        <w:rPr>
          <w:rFonts w:cs="Times New Roman"/>
          <w:lang w:val="fr-CA"/>
        </w:rPr>
        <w:t>, par. 23</w:t>
      </w:r>
      <w:r w:rsidRPr="0062272F">
        <w:rPr>
          <w:rFonts w:cs="Times New Roman"/>
          <w:lang w:val="fr-CA"/>
        </w:rPr>
        <w:noBreakHyphen/>
        <w:t xml:space="preserve">24; </w:t>
      </w:r>
      <w:r w:rsidRPr="0062272F">
        <w:rPr>
          <w:rFonts w:cs="Times New Roman"/>
          <w:i/>
          <w:lang w:val="fr-CA"/>
        </w:rPr>
        <w:lastRenderedPageBreak/>
        <w:t>Withler</w:t>
      </w:r>
      <w:r w:rsidRPr="0062272F">
        <w:rPr>
          <w:rFonts w:cs="Times New Roman"/>
          <w:lang w:val="fr-CA"/>
        </w:rPr>
        <w:t>, par. 34</w:t>
      </w:r>
      <w:r w:rsidRPr="0062272F">
        <w:rPr>
          <w:rFonts w:cs="Times New Roman"/>
          <w:lang w:val="fr-CA"/>
        </w:rPr>
        <w:noBreakHyphen/>
        <w:t>36). Plus récemment, on a préféré une analyse plus contextuelle, puisque la discrimination arbitraire ne se matérialise pas nécessairement par la promotion d’attitudes négatives (</w:t>
      </w:r>
      <w:r w:rsidRPr="0062272F">
        <w:rPr>
          <w:rFonts w:cs="Times New Roman"/>
          <w:i/>
          <w:lang w:val="fr-CA"/>
        </w:rPr>
        <w:t>Québec c. A</w:t>
      </w:r>
      <w:r w:rsidRPr="0062272F">
        <w:rPr>
          <w:rFonts w:cs="Times New Roman"/>
          <w:lang w:val="fr-CA"/>
        </w:rPr>
        <w:t>, par. 327</w:t>
      </w:r>
      <w:r w:rsidRPr="0062272F">
        <w:rPr>
          <w:rFonts w:cs="Times New Roman"/>
          <w:lang w:val="fr-CA"/>
        </w:rPr>
        <w:noBreakHyphen/>
        <w:t xml:space="preserve">331; voir également </w:t>
      </w:r>
      <w:r w:rsidRPr="0062272F">
        <w:rPr>
          <w:rFonts w:cs="Times New Roman"/>
          <w:i/>
          <w:lang w:val="fr-CA"/>
        </w:rPr>
        <w:t>Alliance</w:t>
      </w:r>
      <w:r w:rsidRPr="0062272F">
        <w:rPr>
          <w:rFonts w:cs="Times New Roman"/>
          <w:lang w:val="fr-CA"/>
        </w:rPr>
        <w:t>, par. 28).</w:t>
      </w:r>
    </w:p>
    <w:p w14:paraId="393BE332" w14:textId="77777777" w:rsidR="00804EA2" w:rsidRPr="0062272F" w:rsidRDefault="00804EA2" w:rsidP="00804EA2">
      <w:pPr>
        <w:pStyle w:val="ParaNoNdepar-AltN"/>
        <w:rPr>
          <w:rFonts w:cs="Times New Roman"/>
          <w:lang w:val="fr-CA"/>
        </w:rPr>
      </w:pPr>
      <w:r w:rsidRPr="0062272F">
        <w:rPr>
          <w:rFonts w:cs="Times New Roman"/>
          <w:lang w:val="fr-CA"/>
        </w:rPr>
        <w:t>Quelle que soit la façon dont il a été exprimé, cet élément d’arbitraire ou d’injustice n’a jamais été confondu avec l’objet discriminatoire. L’existence d’un objet discriminatoire peut être un indice d’une discrimination réelle, mais il n’est pas nécessaire pour établir cette dernière (</w:t>
      </w:r>
      <w:r w:rsidRPr="0062272F">
        <w:rPr>
          <w:rFonts w:cs="Times New Roman"/>
          <w:i/>
          <w:lang w:val="fr-CA"/>
        </w:rPr>
        <w:t>Andrews</w:t>
      </w:r>
      <w:r w:rsidRPr="0062272F">
        <w:rPr>
          <w:rFonts w:cs="Times New Roman"/>
          <w:lang w:val="fr-CA"/>
        </w:rPr>
        <w:t xml:space="preserve">, p. 174; </w:t>
      </w:r>
      <w:r w:rsidRPr="0062272F">
        <w:rPr>
          <w:rFonts w:cs="Times New Roman"/>
          <w:i/>
          <w:lang w:val="fr-CA"/>
        </w:rPr>
        <w:t>Québec c. A</w:t>
      </w:r>
      <w:r w:rsidRPr="0062272F">
        <w:rPr>
          <w:rFonts w:cs="Times New Roman"/>
          <w:lang w:val="fr-CA"/>
        </w:rPr>
        <w:t>, par. 325</w:t>
      </w:r>
      <w:r w:rsidRPr="0062272F">
        <w:rPr>
          <w:rFonts w:cs="Times New Roman"/>
          <w:lang w:val="fr-CA"/>
        </w:rPr>
        <w:noBreakHyphen/>
        <w:t xml:space="preserve">330; </w:t>
      </w:r>
      <w:r w:rsidRPr="0062272F">
        <w:rPr>
          <w:rFonts w:cs="Times New Roman"/>
          <w:i/>
          <w:lang w:val="fr-CA"/>
        </w:rPr>
        <w:t>Centrale</w:t>
      </w:r>
      <w:r w:rsidRPr="0062272F">
        <w:rPr>
          <w:rFonts w:cs="Times New Roman"/>
          <w:lang w:val="fr-CA"/>
        </w:rPr>
        <w:t>, par. 35). La discrimination réelle dépend de l’effet et non de l’intention.</w:t>
      </w:r>
    </w:p>
    <w:p w14:paraId="4987BCF2" w14:textId="5E59AF0E" w:rsidR="00804EA2" w:rsidRPr="0062272F" w:rsidRDefault="00804EA2" w:rsidP="00804EA2">
      <w:pPr>
        <w:pStyle w:val="ParaNoNdepar-AltN"/>
        <w:rPr>
          <w:rFonts w:cs="Times New Roman"/>
          <w:lang w:val="fr-CA"/>
        </w:rPr>
      </w:pPr>
      <w:r w:rsidRPr="0062272F">
        <w:rPr>
          <w:rFonts w:cs="Times New Roman"/>
          <w:lang w:val="fr-CA"/>
        </w:rPr>
        <w:t>Selon la doctrine citée par notre collègue, un élément d’arbitraire ou d’injustice doit être présent pour établir la discrimination. Selon les auteurs qu’elle cite, même s’il n’est pas nécessaire qu’elle soit intentionnelle, la discrimination est essentiellement une forme de comportement fautif (D. G. Réaume, « Harm and Fault in Discrimination Law</w:t>
      </w:r>
      <w:r w:rsidR="00AD6F9A">
        <w:rPr>
          <w:rFonts w:cs="Times New Roman"/>
          <w:lang w:val="fr-CA"/>
        </w:rPr>
        <w:t> </w:t>
      </w:r>
      <w:r w:rsidRPr="0062272F">
        <w:rPr>
          <w:rFonts w:cs="Times New Roman"/>
          <w:lang w:val="fr-CA"/>
        </w:rPr>
        <w:t xml:space="preserve">: The Transition from Intentional to Adverse Effect Discrimination » (2001), 2 </w:t>
      </w:r>
      <w:r w:rsidRPr="0062272F">
        <w:rPr>
          <w:rFonts w:cs="Times New Roman"/>
          <w:i/>
          <w:lang w:val="fr-CA"/>
        </w:rPr>
        <w:t>Theor. Inq. L.</w:t>
      </w:r>
      <w:r w:rsidRPr="0062272F">
        <w:rPr>
          <w:rFonts w:cs="Times New Roman"/>
          <w:lang w:val="fr-CA"/>
        </w:rPr>
        <w:t xml:space="preserve"> 349, p. 351 et 376</w:t>
      </w:r>
      <w:r w:rsidRPr="0062272F">
        <w:rPr>
          <w:rFonts w:cs="Times New Roman"/>
          <w:lang w:val="fr-CA"/>
        </w:rPr>
        <w:noBreakHyphen/>
        <w:t>380; H. Collins et T. Khaitan, « Indirect Discrimination Law</w:t>
      </w:r>
      <w:r w:rsidR="00AD6F9A">
        <w:rPr>
          <w:rFonts w:cs="Times New Roman"/>
          <w:lang w:val="fr-CA"/>
        </w:rPr>
        <w:t> </w:t>
      </w:r>
      <w:r w:rsidRPr="0062272F">
        <w:rPr>
          <w:rFonts w:cs="Times New Roman"/>
          <w:lang w:val="fr-CA"/>
        </w:rPr>
        <w:t xml:space="preserve">: Controversies and Critical Questions », dans H. Collins et T. Khaitan, dir., </w:t>
      </w:r>
      <w:r w:rsidRPr="0062272F">
        <w:rPr>
          <w:rFonts w:cs="Times New Roman"/>
          <w:i/>
          <w:lang w:val="fr-CA"/>
        </w:rPr>
        <w:t>Foundations of Indirect Discrimination Law</w:t>
      </w:r>
      <w:r w:rsidRPr="0062272F">
        <w:rPr>
          <w:rFonts w:cs="Times New Roman"/>
          <w:lang w:val="fr-CA"/>
        </w:rPr>
        <w:t xml:space="preserve"> (2018), 1, p. 25</w:t>
      </w:r>
      <w:r w:rsidRPr="0062272F">
        <w:rPr>
          <w:rFonts w:cs="Times New Roman"/>
          <w:lang w:val="fr-CA"/>
        </w:rPr>
        <w:noBreakHyphen/>
        <w:t xml:space="preserve">29; S. Moreau, « What Is Discrimination? » (2010), 38 </w:t>
      </w:r>
      <w:r w:rsidRPr="0062272F">
        <w:rPr>
          <w:rFonts w:cs="Times New Roman"/>
          <w:i/>
          <w:lang w:val="fr-CA"/>
        </w:rPr>
        <w:t>Philosophy &amp; Public Affairs</w:t>
      </w:r>
      <w:r w:rsidRPr="0062272F">
        <w:rPr>
          <w:rFonts w:cs="Times New Roman"/>
          <w:lang w:val="fr-CA"/>
        </w:rPr>
        <w:t xml:space="preserve"> 143, p. 146).</w:t>
      </w:r>
    </w:p>
    <w:p w14:paraId="77686A33" w14:textId="77777777" w:rsidR="00804EA2" w:rsidRPr="0062272F" w:rsidRDefault="00804EA2" w:rsidP="00804EA2">
      <w:pPr>
        <w:pStyle w:val="ParaNoNdepar-AltN"/>
        <w:rPr>
          <w:rFonts w:cs="Times New Roman"/>
          <w:lang w:val="fr-CA"/>
        </w:rPr>
      </w:pPr>
      <w:r w:rsidRPr="0062272F">
        <w:rPr>
          <w:rFonts w:cs="Times New Roman"/>
          <w:lang w:val="fr-CA"/>
        </w:rPr>
        <w:t xml:space="preserve">Or, notre collègue laisse entendre que l’analyse de la discrimination réelle ne doit porter que sur les désavantages historiques (par. 77) et qu’on ne doit tenir </w:t>
      </w:r>
      <w:r w:rsidRPr="0062272F">
        <w:rPr>
          <w:rFonts w:cs="Times New Roman"/>
          <w:lang w:val="fr-CA"/>
        </w:rPr>
        <w:lastRenderedPageBreak/>
        <w:t>compte des facteurs relatifs à l’arbitraire et à l’injustice que dans le cadre de l’analyse fondée sur l’article premier (par. 78</w:t>
      </w:r>
      <w:r w:rsidRPr="0062272F">
        <w:rPr>
          <w:rFonts w:cs="Times New Roman"/>
          <w:lang w:val="fr-CA"/>
        </w:rPr>
        <w:noBreakHyphen/>
        <w:t>80). Cette approche prive l’analyse de la discrimination réelle de son objet et s’écarte de façon marquée et sans reconnaissance ou justification de plusieurs décennies de jurisprudence.</w:t>
      </w:r>
    </w:p>
    <w:p w14:paraId="7BBF2201" w14:textId="77777777" w:rsidR="00804EA2" w:rsidRPr="0062272F" w:rsidRDefault="00804EA2" w:rsidP="00804EA2">
      <w:pPr>
        <w:pStyle w:val="ParaNoNdepar-AltN"/>
        <w:rPr>
          <w:rFonts w:cs="Times New Roman"/>
          <w:lang w:val="fr-CA"/>
        </w:rPr>
      </w:pPr>
      <w:r w:rsidRPr="0062272F">
        <w:rPr>
          <w:rFonts w:cs="Times New Roman"/>
          <w:lang w:val="fr-CA"/>
        </w:rPr>
        <w:t xml:space="preserve">Le fait que notre collègue ne tienne pas compte des considérations relatives à l’arbitraire et à l’injustice dans son analyse fondée sur l’art. 15 a de graves conséquences dans le présent pourvoi. Comme nous l’avons déjà indiqué, il y a lieu d’établir une distinction fondée sur le sexe lorsqu’on compare les membres partageant un poste avec les membres </w:t>
      </w:r>
      <w:r>
        <w:rPr>
          <w:rFonts w:cs="Times New Roman"/>
          <w:lang w:val="fr-CA"/>
        </w:rPr>
        <w:t>ayant</w:t>
      </w:r>
      <w:r w:rsidRPr="0062272F">
        <w:rPr>
          <w:rFonts w:cs="Times New Roman"/>
          <w:lang w:val="fr-CA"/>
        </w:rPr>
        <w:t xml:space="preserve"> un </w:t>
      </w:r>
      <w:r>
        <w:rPr>
          <w:rFonts w:cs="Times New Roman"/>
          <w:lang w:val="fr-CA"/>
        </w:rPr>
        <w:t>régime de travail</w:t>
      </w:r>
      <w:r w:rsidRPr="0062272F">
        <w:rPr>
          <w:rFonts w:cs="Times New Roman"/>
          <w:lang w:val="fr-CA"/>
        </w:rPr>
        <w:t xml:space="preserve"> typiquement masculin, c’est</w:t>
      </w:r>
      <w:r w:rsidRPr="0062272F">
        <w:rPr>
          <w:rFonts w:cs="Times New Roman"/>
          <w:lang w:val="fr-CA"/>
        </w:rPr>
        <w:noBreakHyphen/>
        <w:t>à</w:t>
      </w:r>
      <w:r w:rsidRPr="0062272F">
        <w:rPr>
          <w:rFonts w:cs="Times New Roman"/>
          <w:lang w:val="fr-CA"/>
        </w:rPr>
        <w:noBreakHyphen/>
        <w:t>dire ceux qui travaillent 40 heures tout au long de leur carrière. Étant donné que les prestations de pension des membres qui participent au programme de partage de poste sont calculées au prorata pour tenir compte du nombre moins élevé d’heures qu’ils effectuent, ces membres touche</w:t>
      </w:r>
      <w:r>
        <w:rPr>
          <w:rFonts w:cs="Times New Roman"/>
          <w:lang w:val="fr-CA"/>
        </w:rPr>
        <w:t>ro</w:t>
      </w:r>
      <w:r w:rsidRPr="0062272F">
        <w:rPr>
          <w:rFonts w:cs="Times New Roman"/>
          <w:lang w:val="fr-CA"/>
        </w:rPr>
        <w:t xml:space="preserve">nt des prestations de pension moins élevées que les membres </w:t>
      </w:r>
      <w:r>
        <w:rPr>
          <w:rFonts w:cs="Times New Roman"/>
          <w:lang w:val="fr-CA"/>
        </w:rPr>
        <w:t>ayant</w:t>
      </w:r>
      <w:r w:rsidRPr="0062272F">
        <w:rPr>
          <w:rFonts w:cs="Times New Roman"/>
          <w:lang w:val="fr-CA"/>
        </w:rPr>
        <w:t xml:space="preserve"> un </w:t>
      </w:r>
      <w:r>
        <w:rPr>
          <w:rFonts w:cs="Times New Roman"/>
          <w:lang w:val="fr-CA"/>
        </w:rPr>
        <w:t xml:space="preserve">régime de travail </w:t>
      </w:r>
      <w:r w:rsidRPr="0062272F">
        <w:rPr>
          <w:rFonts w:cs="Times New Roman"/>
          <w:lang w:val="fr-CA"/>
        </w:rPr>
        <w:t>typiquement masculin.</w:t>
      </w:r>
    </w:p>
    <w:p w14:paraId="6E888DC0" w14:textId="5FBFC553" w:rsidR="00804EA2" w:rsidRPr="0062272F" w:rsidRDefault="00804EA2" w:rsidP="00804EA2">
      <w:pPr>
        <w:pStyle w:val="ParaNoNdepar-AltN"/>
        <w:rPr>
          <w:rFonts w:cs="Times New Roman"/>
          <w:lang w:val="fr-CA"/>
        </w:rPr>
      </w:pPr>
      <w:r w:rsidRPr="0062272F">
        <w:rPr>
          <w:rFonts w:cs="Times New Roman"/>
          <w:lang w:val="fr-CA"/>
        </w:rPr>
        <w:t>Il y a lieu de considérer que les prestations de retraite font partie d’un régime de rémunération exhaustif et qu’elles sont une forme de rémunération (</w:t>
      </w:r>
      <w:r w:rsidRPr="0062272F">
        <w:rPr>
          <w:rFonts w:cs="Times New Roman"/>
          <w:i/>
          <w:lang w:val="fr-CA"/>
        </w:rPr>
        <w:t>IBM Canada Limitée c. Waterman</w:t>
      </w:r>
      <w:r w:rsidRPr="0062272F">
        <w:rPr>
          <w:rFonts w:cs="Times New Roman"/>
          <w:lang w:val="fr-CA"/>
        </w:rPr>
        <w:t xml:space="preserve">, 2013 CSC 70, [2013] 3 R.C.S. 985, par. 4; </w:t>
      </w:r>
      <w:r w:rsidRPr="0062272F">
        <w:rPr>
          <w:rFonts w:cs="Times New Roman"/>
          <w:i/>
          <w:lang w:val="fr-CA"/>
        </w:rPr>
        <w:t>Parry c. Cleaver</w:t>
      </w:r>
      <w:r w:rsidR="00AD6F9A">
        <w:rPr>
          <w:rFonts w:cs="Times New Roman"/>
          <w:lang w:val="fr-CA"/>
        </w:rPr>
        <w:t>, [1970] A.C. 1 (H</w:t>
      </w:r>
      <w:r w:rsidRPr="0062272F">
        <w:rPr>
          <w:rFonts w:cs="Times New Roman"/>
          <w:lang w:val="fr-CA"/>
        </w:rPr>
        <w:t xml:space="preserve">.L.), p. 16). Dans le cas qui nous occupe, les membres qui partagent un poste ne reçoivent pas de rémunération supplémentaire pour compenser leurs prestations de pension moins élevées. Au contraire, ils reçoivent une rémunération et des prestations de pension moins élevées, parce que leur salaire et leurs prestations </w:t>
      </w:r>
      <w:r w:rsidRPr="0062272F">
        <w:rPr>
          <w:rFonts w:cs="Times New Roman"/>
          <w:lang w:val="fr-CA"/>
        </w:rPr>
        <w:lastRenderedPageBreak/>
        <w:t>de pension sont calculés en fonction des heures qu’ils travaillent. Notre collègue laisse entendre que le fait d’offrir des prestations de pension moins généreuses aux membres qui participent au programme de partage de poste « perpétu</w:t>
      </w:r>
      <w:r>
        <w:rPr>
          <w:rFonts w:cs="Times New Roman"/>
          <w:lang w:val="fr-CA"/>
        </w:rPr>
        <w:t>[e]</w:t>
      </w:r>
      <w:r w:rsidRPr="0062272F">
        <w:rPr>
          <w:rFonts w:cs="Times New Roman"/>
          <w:lang w:val="fr-CA"/>
        </w:rPr>
        <w:t xml:space="preserve"> une source de désavantage de longue date » pour les femmes par rapport aux hommes (par. 108). Ce désavantage, à son avis, ne saurait être justifié par le fait que les employés qui partagent un poste choisissent de travailler moins d’heures. </w:t>
      </w:r>
    </w:p>
    <w:p w14:paraId="07B2F5AA" w14:textId="77777777" w:rsidR="00804EA2" w:rsidRPr="0062272F" w:rsidRDefault="00804EA2" w:rsidP="00804EA2">
      <w:pPr>
        <w:pStyle w:val="ParaNoNdepar-AltN"/>
        <w:rPr>
          <w:rFonts w:cs="Times New Roman"/>
          <w:lang w:val="fr-CA"/>
        </w:rPr>
      </w:pPr>
      <w:r w:rsidRPr="0062272F">
        <w:rPr>
          <w:rFonts w:cs="Times New Roman"/>
          <w:lang w:val="fr-CA"/>
        </w:rPr>
        <w:t>Nous admettons que, dans la plupart des contextes, le choix offert à l’employé ne peut empêcher le tribunal de conclure à l’existence de discrimination en cas de traitement différentiel. Toutefois, dans le cas qui nous occupe, si l’on pousse le raisonnement de notre collègue à sa conclusion logique, force est de constater que, si les autres membres à temps partiel (c.</w:t>
      </w:r>
      <w:r w:rsidRPr="0062272F">
        <w:rPr>
          <w:rFonts w:cs="Times New Roman"/>
          <w:lang w:val="fr-CA"/>
        </w:rPr>
        <w:noBreakHyphen/>
        <w:t>à</w:t>
      </w:r>
      <w:r w:rsidRPr="0062272F">
        <w:rPr>
          <w:rFonts w:cs="Times New Roman"/>
          <w:lang w:val="fr-CA"/>
        </w:rPr>
        <w:noBreakHyphen/>
        <w:t xml:space="preserve">d. ceux qui sont parties à d’autres ententes que celle de partage de poste) sont — comme on l’a laissé entendre — majoritairement des femmes, ils ont droit eux aussi à l’égalité réelle en matière de rémunération par rapport aux membres à temps plein. </w:t>
      </w:r>
      <w:r w:rsidRPr="0062272F">
        <w:rPr>
          <w:rFonts w:cs="Times New Roman"/>
          <w:i/>
          <w:lang w:val="fr-CA"/>
        </w:rPr>
        <w:t>Tous</w:t>
      </w:r>
      <w:r w:rsidRPr="0062272F">
        <w:rPr>
          <w:rFonts w:cs="Times New Roman"/>
          <w:lang w:val="fr-CA"/>
        </w:rPr>
        <w:t xml:space="preserve"> les membres à temps partiel ont</w:t>
      </w:r>
      <w:r w:rsidRPr="0062272F">
        <w:rPr>
          <w:rFonts w:cs="Times New Roman"/>
          <w:lang w:val="fr-CA"/>
        </w:rPr>
        <w:noBreakHyphen/>
        <w:t>ils donc droit à la possibilité de cotiser au régime comme s’ils étaient des membres à temps plein?</w:t>
      </w:r>
    </w:p>
    <w:p w14:paraId="7787386C" w14:textId="694B3AE0" w:rsidR="00804EA2" w:rsidRPr="0062272F" w:rsidRDefault="00804EA2" w:rsidP="00804EA2">
      <w:pPr>
        <w:pStyle w:val="ParaNoNdepar-AltN"/>
        <w:rPr>
          <w:rFonts w:cs="Times New Roman"/>
          <w:lang w:val="fr-CA"/>
        </w:rPr>
      </w:pPr>
      <w:r w:rsidRPr="0062272F">
        <w:rPr>
          <w:rFonts w:cs="Times New Roman"/>
          <w:lang w:val="fr-CA"/>
        </w:rPr>
        <w:t xml:space="preserve">C’est ici que le choix de notre collègue de reléguer à l’étape de l’analyse fondée sur l’article premier la prise en compte des considérations relatives à l’arbitraire et à l’injustice prend toute son importance. En principe, l’employeur qui calcule des prestations au prorata des heures de travail effectuées n’exerce pas de discrimination </w:t>
      </w:r>
      <w:r>
        <w:rPr>
          <w:rFonts w:cs="Times New Roman"/>
          <w:lang w:val="fr-CA"/>
        </w:rPr>
        <w:t>(</w:t>
      </w:r>
      <w:r w:rsidRPr="0062272F">
        <w:rPr>
          <w:rFonts w:cs="Times New Roman"/>
          <w:lang w:val="fr-CA"/>
        </w:rPr>
        <w:t>au sens d’acte arbitraire ou injuste</w:t>
      </w:r>
      <w:r>
        <w:rPr>
          <w:rFonts w:cs="Times New Roman"/>
          <w:lang w:val="fr-CA"/>
        </w:rPr>
        <w:t>)</w:t>
      </w:r>
      <w:r w:rsidRPr="0062272F">
        <w:rPr>
          <w:rFonts w:cs="Times New Roman"/>
          <w:lang w:val="fr-CA"/>
        </w:rPr>
        <w:t xml:space="preserve"> (voir, par ex., Commission royale sur l’égalité en matière d’emploi, </w:t>
      </w:r>
      <w:r w:rsidRPr="0062272F">
        <w:rPr>
          <w:rFonts w:cs="Times New Roman"/>
          <w:i/>
          <w:lang w:val="fr-CA"/>
        </w:rPr>
        <w:t xml:space="preserve">Rapport de la Commission sur l’égalité en matière d’emploi </w:t>
      </w:r>
      <w:r w:rsidRPr="0062272F">
        <w:rPr>
          <w:rFonts w:cs="Times New Roman"/>
          <w:lang w:val="fr-CA"/>
        </w:rPr>
        <w:t xml:space="preserve">(1984), </w:t>
      </w:r>
      <w:r w:rsidRPr="0062272F">
        <w:rPr>
          <w:rFonts w:cs="Times New Roman"/>
          <w:lang w:val="fr-CA"/>
        </w:rPr>
        <w:lastRenderedPageBreak/>
        <w:t>p. 27</w:t>
      </w:r>
      <w:r w:rsidRPr="0062272F">
        <w:rPr>
          <w:rFonts w:cs="Times New Roman"/>
          <w:lang w:val="fr-CA"/>
        </w:rPr>
        <w:noBreakHyphen/>
        <w:t>28)</w:t>
      </w:r>
      <w:r w:rsidR="00AD6F9A">
        <w:rPr>
          <w:rStyle w:val="FootnoteReference"/>
          <w:rFonts w:cs="Times New Roman"/>
          <w:lang w:val="fr-CA"/>
        </w:rPr>
        <w:footnoteReference w:id="15"/>
      </w:r>
      <w:r w:rsidRPr="0062272F">
        <w:rPr>
          <w:rFonts w:cs="Times New Roman"/>
          <w:lang w:val="fr-CA"/>
        </w:rPr>
        <w:t>. Les employeurs sont censés traiter les employés sur un pied d’égalité dans le cadre d’une relation de travail qui repose sur la prestation d’un travail contre rémunération. Le calcul de la rémunération, y compris des avantages, en fonction du travail effectué n’est pas une mesure arbitraire ou discriminatoire s’il répond aux capacités et à la situation réelles des employés (</w:t>
      </w:r>
      <w:r w:rsidRPr="0062272F">
        <w:rPr>
          <w:rFonts w:cs="Times New Roman"/>
          <w:i/>
          <w:lang w:val="fr-CA"/>
        </w:rPr>
        <w:t>Taypotat</w:t>
      </w:r>
      <w:r w:rsidRPr="0062272F">
        <w:rPr>
          <w:rFonts w:cs="Times New Roman"/>
          <w:lang w:val="fr-CA"/>
        </w:rPr>
        <w:t>, par. 20).</w:t>
      </w:r>
    </w:p>
    <w:p w14:paraId="198C73E2" w14:textId="77777777" w:rsidR="00804EA2" w:rsidRPr="0062272F" w:rsidRDefault="00804EA2" w:rsidP="00804EA2">
      <w:pPr>
        <w:pStyle w:val="ParaNoNdepar-AltN"/>
        <w:rPr>
          <w:rFonts w:cs="Times New Roman"/>
          <w:lang w:val="fr-CA"/>
        </w:rPr>
      </w:pPr>
      <w:r w:rsidRPr="0062272F">
        <w:rPr>
          <w:rFonts w:cs="Times New Roman"/>
          <w:lang w:val="fr-CA"/>
        </w:rPr>
        <w:t xml:space="preserve">Mais même si nous considérions comme légitime la redéfinition que notre collègue donne de l’analyse fondée sur le par. 15(1), son approche non limitative laisse beaucoup à désirer sur le plan de la logique. Par exemple, si, comme elle le dit, le fait de calculer le montant des prestations de pension et de toute autre rémunération en fonction des heures de travail effectuées est discriminatoire à l’égard des appelantes, pourquoi se contenter de permettre aux membres à temps partiel et à ceux qui participent à un programme de partage de poste de « racheter » des droits à pension supplémentaires? Après tout, les membres à temps plein n’ont pas à « racheter » leur période de service ouvrant droit à pension. Suivant la logique de notre collègue, si les heures travaillées ne sont pas pertinentes, les membres à temps partiel et ceux qui participent à un programme de partage de poste devraient pouvoir accumuler des périodes de service à temps plein ouvrant droit à pension </w:t>
      </w:r>
      <w:r w:rsidRPr="0062272F">
        <w:rPr>
          <w:rFonts w:cs="Times New Roman"/>
          <w:i/>
          <w:iCs/>
          <w:lang w:val="fr-CA"/>
        </w:rPr>
        <w:t xml:space="preserve">sans </w:t>
      </w:r>
      <w:r w:rsidRPr="0062272F">
        <w:rPr>
          <w:rFonts w:cs="Times New Roman"/>
          <w:lang w:val="fr-CA"/>
        </w:rPr>
        <w:t xml:space="preserve">avoir à racheter d’heures. Et si la rémunération ne peut être déterminée en fonction des heures de travail, les membres à temps partiel et ceux qui participent à un programme de partage de poste devraient également toucher le salaire d’un membre à temps plein. Si l’on suit le fil du </w:t>
      </w:r>
      <w:r w:rsidRPr="0062272F">
        <w:rPr>
          <w:rFonts w:cs="Times New Roman"/>
          <w:lang w:val="fr-CA"/>
        </w:rPr>
        <w:lastRenderedPageBreak/>
        <w:t xml:space="preserve">raisonnement de notre collègue jusqu’à sa conclusion logique, on prend conscience des vastes répercussions de sa position. Si l’on suit son raisonnement, on cherche en vain une limite logique ou rationnelle à l’étendue des droits qui seraient ainsi conférés ou aux pouvoirs qui permettraient aux tribunaux de les accorder. </w:t>
      </w:r>
    </w:p>
    <w:p w14:paraId="3C466744" w14:textId="77777777" w:rsidR="00804EA2" w:rsidRPr="0062272F" w:rsidRDefault="00804EA2" w:rsidP="00804EA2">
      <w:pPr>
        <w:pStyle w:val="ParaNoNdepar-AltN"/>
        <w:rPr>
          <w:rFonts w:cs="Times New Roman"/>
          <w:lang w:val="fr-CA"/>
        </w:rPr>
      </w:pPr>
      <w:r w:rsidRPr="0062272F">
        <w:rPr>
          <w:rFonts w:cs="Times New Roman"/>
          <w:lang w:val="fr-CA"/>
        </w:rPr>
        <w:t>Pour notre part, nous estimons tout simplement que les employeurs devraient pouvoir rémunérer leurs employés en fonction des heures travaillées. Il s’agit de notre thèse centrale, à laquelle notre collègue ne tente pas de répondre.</w:t>
      </w:r>
    </w:p>
    <w:p w14:paraId="73F45E16" w14:textId="77777777" w:rsidR="00804EA2" w:rsidRPr="0062272F" w:rsidRDefault="00804EA2" w:rsidP="00804EA2">
      <w:pPr>
        <w:pStyle w:val="ParaNoNdepar-AltN"/>
        <w:rPr>
          <w:rFonts w:cs="Times New Roman"/>
          <w:lang w:val="fr-CA"/>
        </w:rPr>
      </w:pPr>
      <w:r w:rsidRPr="0062272F">
        <w:rPr>
          <w:rFonts w:cs="Times New Roman"/>
          <w:lang w:val="fr-CA"/>
        </w:rPr>
        <w:t xml:space="preserve">Même si le calcul des prestations de pension en fonction des heures de travail effectuées n’est pas discriminatoire en soi, il pourrait l’être selon la jurisprudence de notre Cour si certains groupes d’employés bénéficient d’un traitement plus favorable, dès lors que ce calcul renforce, perpétue ou accentue par ailleurs un désavantage. Comme nous l’avons vu, la distinction relative à la situation des membres qui partagent un poste par rapport à celle des employés qui prennent des congés non payés ne repose pas sur le sexe. Toutefois, conformément à l’analyse contextuelle du cadre général à laquelle on doit procéder selon l’arrêt </w:t>
      </w:r>
      <w:r w:rsidRPr="0062272F">
        <w:rPr>
          <w:rFonts w:cs="Times New Roman"/>
          <w:i/>
          <w:lang w:val="fr-CA"/>
        </w:rPr>
        <w:t>Withler</w:t>
      </w:r>
      <w:r w:rsidRPr="0062272F">
        <w:rPr>
          <w:rFonts w:cs="Times New Roman"/>
          <w:lang w:val="fr-CA"/>
        </w:rPr>
        <w:t>, les dispositions relatives aux congés non payés continuent de jouer un rôle important à la deuxième étape.</w:t>
      </w:r>
    </w:p>
    <w:p w14:paraId="00CA6FA7" w14:textId="77777777" w:rsidR="00804EA2" w:rsidRPr="0062272F" w:rsidRDefault="00804EA2" w:rsidP="00804EA2">
      <w:pPr>
        <w:pStyle w:val="ParaNoNdepar-AltN"/>
        <w:rPr>
          <w:rFonts w:cs="Times New Roman"/>
          <w:lang w:val="fr-CA"/>
        </w:rPr>
      </w:pPr>
      <w:r w:rsidRPr="0062272F">
        <w:rPr>
          <w:rFonts w:cs="Times New Roman"/>
          <w:lang w:val="fr-CA"/>
        </w:rPr>
        <w:t xml:space="preserve">À l’instar de notre collègue (par. 94), nous estimons que l’analyse à laquelle on doit procéder, selon l’arrêt </w:t>
      </w:r>
      <w:r w:rsidRPr="0062272F">
        <w:rPr>
          <w:rFonts w:cs="Times New Roman"/>
          <w:i/>
          <w:lang w:val="fr-CA"/>
        </w:rPr>
        <w:t>Withler</w:t>
      </w:r>
      <w:r w:rsidRPr="0062272F">
        <w:rPr>
          <w:rFonts w:cs="Times New Roman"/>
          <w:lang w:val="fr-CA"/>
        </w:rPr>
        <w:t xml:space="preserve">, ne doit pas se transformer en une comparaison étroite entre les membres qui partagent un poste et ceux qui prennent des congés non payés. La démarche de notre collègue manque toutefois un peu de cohérence, car tout en affirmant que les membres qui partagent un poste ont droit à </w:t>
      </w:r>
      <w:r w:rsidRPr="0062272F">
        <w:rPr>
          <w:rFonts w:cs="Times New Roman"/>
          <w:lang w:val="fr-CA"/>
        </w:rPr>
        <w:lastRenderedPageBreak/>
        <w:t xml:space="preserve">l’« égalité réelle » par rapport à ceux </w:t>
      </w:r>
      <w:r>
        <w:rPr>
          <w:rFonts w:cs="Times New Roman"/>
          <w:lang w:val="fr-CA"/>
        </w:rPr>
        <w:t>ayant un régime de travail</w:t>
      </w:r>
      <w:r w:rsidRPr="0062272F">
        <w:rPr>
          <w:rFonts w:cs="Times New Roman"/>
          <w:lang w:val="fr-CA"/>
        </w:rPr>
        <w:t xml:space="preserve"> typiquement masculin, elle fait porter sa comparaison sur les membres qui prennent des congés non payés et qui </w:t>
      </w:r>
      <w:r>
        <w:rPr>
          <w:rFonts w:cs="Times New Roman"/>
          <w:lang w:val="fr-CA"/>
        </w:rPr>
        <w:t>(</w:t>
      </w:r>
      <w:r w:rsidRPr="0062272F">
        <w:rPr>
          <w:rFonts w:cs="Times New Roman"/>
          <w:lang w:val="fr-CA"/>
        </w:rPr>
        <w:t xml:space="preserve">à la différence des membres </w:t>
      </w:r>
      <w:r>
        <w:rPr>
          <w:rFonts w:cs="Times New Roman"/>
          <w:lang w:val="fr-CA"/>
        </w:rPr>
        <w:t>ayant un régime de travail</w:t>
      </w:r>
      <w:r w:rsidRPr="0062272F">
        <w:rPr>
          <w:rFonts w:cs="Times New Roman"/>
          <w:lang w:val="fr-CA"/>
        </w:rPr>
        <w:t xml:space="preserve"> typiquement masculin</w:t>
      </w:r>
      <w:r>
        <w:rPr>
          <w:rFonts w:cs="Times New Roman"/>
          <w:lang w:val="fr-CA"/>
        </w:rPr>
        <w:t>)</w:t>
      </w:r>
      <w:r w:rsidRPr="0062272F">
        <w:rPr>
          <w:rFonts w:cs="Times New Roman"/>
          <w:lang w:val="fr-CA"/>
        </w:rPr>
        <w:t xml:space="preserve"> ont la faculté de racheter des droits à pension supplémentaires. Ce manque de cohérence ressort à l’évidence de la réparation que propose notre collègue : elle n’exigerait pas que </w:t>
      </w:r>
      <w:r w:rsidRPr="0062272F">
        <w:rPr>
          <w:rFonts w:cs="Times New Roman"/>
          <w:i/>
          <w:lang w:val="fr-CA"/>
        </w:rPr>
        <w:t xml:space="preserve">tous </w:t>
      </w:r>
      <w:r w:rsidRPr="0062272F">
        <w:rPr>
          <w:rFonts w:cs="Times New Roman"/>
          <w:lang w:val="fr-CA"/>
        </w:rPr>
        <w:t xml:space="preserve">les membres à temps partiel aient la possibilité de racheter les mêmes droits à pension que ceux dévolus aux membres à temps plein; elle ne reconnaît cette option qu’aux membres qui, </w:t>
      </w:r>
      <w:r w:rsidRPr="0062272F">
        <w:rPr>
          <w:rFonts w:cs="Times New Roman"/>
          <w:i/>
          <w:lang w:val="fr-CA"/>
        </w:rPr>
        <w:t>comme ceux qui ont pris un congé non payé</w:t>
      </w:r>
      <w:r w:rsidRPr="007543FD">
        <w:rPr>
          <w:rFonts w:cs="Times New Roman"/>
          <w:lang w:val="fr-CA"/>
        </w:rPr>
        <w:t>,</w:t>
      </w:r>
      <w:r w:rsidRPr="0062272F">
        <w:rPr>
          <w:rFonts w:cs="Times New Roman"/>
          <w:i/>
          <w:lang w:val="fr-CA"/>
        </w:rPr>
        <w:t xml:space="preserve"> </w:t>
      </w:r>
      <w:r w:rsidRPr="0062272F">
        <w:rPr>
          <w:rFonts w:cs="Times New Roman"/>
          <w:lang w:val="fr-CA"/>
        </w:rPr>
        <w:t xml:space="preserve">ont </w:t>
      </w:r>
      <w:r w:rsidRPr="0062272F">
        <w:rPr>
          <w:rFonts w:cs="Times New Roman"/>
          <w:i/>
          <w:lang w:val="fr-CA"/>
        </w:rPr>
        <w:t xml:space="preserve">temporairement </w:t>
      </w:r>
      <w:r w:rsidRPr="0062272F">
        <w:rPr>
          <w:rFonts w:cs="Times New Roman"/>
          <w:lang w:val="fr-CA"/>
        </w:rPr>
        <w:t>réduit leurs heures de travail. C’est par conséquent l’existence du congé non payé et la reconnaissance d’un droit de rachat aux membres qui prennent un congé non payé qui rend le régime inconstitutionnel aux yeux de notre collègue. Les congés non payés sont l’élément central de sa décision.</w:t>
      </w:r>
    </w:p>
    <w:p w14:paraId="7129FE4E" w14:textId="31ABEC41" w:rsidR="00804EA2" w:rsidRPr="0062272F" w:rsidRDefault="00804EA2" w:rsidP="00804EA2">
      <w:pPr>
        <w:pStyle w:val="ParaNoNdepar-AltN"/>
        <w:rPr>
          <w:rFonts w:cs="Times New Roman"/>
          <w:lang w:val="fr-CA"/>
        </w:rPr>
      </w:pPr>
      <w:r w:rsidRPr="0062272F">
        <w:rPr>
          <w:rFonts w:cs="Times New Roman"/>
          <w:lang w:val="fr-CA"/>
        </w:rPr>
        <w:t xml:space="preserve">À notre humble avis, ce point de vue est incompatible avec l’analyse contextuelle exigée par l’arrêt </w:t>
      </w:r>
      <w:r w:rsidRPr="0062272F">
        <w:rPr>
          <w:rFonts w:cs="Times New Roman"/>
          <w:i/>
          <w:lang w:val="fr-CA"/>
        </w:rPr>
        <w:t>Withler</w:t>
      </w:r>
      <w:r w:rsidRPr="0062272F">
        <w:rPr>
          <w:rFonts w:cs="Times New Roman"/>
          <w:lang w:val="fr-CA"/>
        </w:rPr>
        <w:t>. Le partage de poste et les congés non payés sont des options qui peuvent être utiles aux membres à divers moments de leur vie et de leur carrière. Le partage de poste permet aux membres de continuer à travailler à heures réduites, tandis que les congés non payés assurent aux membres une continuité d’emploi sans qu’ils aient à travailler. Chacun de ces programmes offre une série d’avantages et d’obligations conçus pour atteindre un équilibre entre les besoins des employeurs et ceux des membres à différents stades de leur carrière. Il ne convient pas de ne retenir que certains éléments de ces programmes et de les comparer de façon isolée, à la recherche d’une parité absolue pour chaque élément (</w:t>
      </w:r>
      <w:r w:rsidRPr="0062272F">
        <w:rPr>
          <w:rFonts w:cs="Times New Roman"/>
          <w:i/>
          <w:lang w:val="fr-CA"/>
        </w:rPr>
        <w:t>Withler</w:t>
      </w:r>
      <w:r w:rsidRPr="0062272F">
        <w:rPr>
          <w:rFonts w:cs="Times New Roman"/>
          <w:lang w:val="fr-CA"/>
        </w:rPr>
        <w:t xml:space="preserve">, par. 73, 76 et </w:t>
      </w:r>
      <w:r w:rsidRPr="0062272F">
        <w:rPr>
          <w:rFonts w:cs="Times New Roman"/>
          <w:lang w:val="fr-CA"/>
        </w:rPr>
        <w:lastRenderedPageBreak/>
        <w:t>79). Dans le cadre de l’analyse contextuelle, on doit plutôt tenir compte des programmes dans leur ensemble et « </w:t>
      </w:r>
      <w:r w:rsidRPr="0062272F">
        <w:rPr>
          <w:rFonts w:cs="Times New Roman"/>
          <w:shd w:val="clear" w:color="auto" w:fill="FFFFFF"/>
          <w:lang w:val="fr-CA"/>
        </w:rPr>
        <w:t>s’interroge[r] sur l’opportunité générale de telles limites, compte tenu de la situation des personnes touchées et des objets du régime. Point n’est besoin que le programme de prestations corresponde parfaitement à la situation et aux besoins véritables du groupe de demandeurs »</w:t>
      </w:r>
      <w:r w:rsidRPr="0062272F">
        <w:rPr>
          <w:rFonts w:cs="Times New Roman"/>
          <w:lang w:val="fr-CA"/>
        </w:rPr>
        <w:t xml:space="preserve"> (par. 67). En d’autres ter</w:t>
      </w:r>
      <w:r w:rsidR="009D4CED">
        <w:rPr>
          <w:rFonts w:cs="Times New Roman"/>
          <w:lang w:val="fr-CA"/>
        </w:rPr>
        <w:t xml:space="preserve">mes, l’accent doit être mis sur </w:t>
      </w:r>
      <w:r w:rsidR="009D4CED">
        <w:rPr>
          <w:rFonts w:cs="Times New Roman"/>
          <w:shd w:val="clear" w:color="auto" w:fill="FFFFFF"/>
          <w:lang w:val="fr-CA"/>
        </w:rPr>
        <w:t>[</w:t>
      </w:r>
      <w:r w:rsidR="009D4CED" w:rsidRPr="009D4CED">
        <w:rPr>
          <w:rFonts w:cs="Times New Roman"/>
          <w:smallCaps/>
          <w:shd w:val="clear" w:color="auto" w:fill="FFFFFF"/>
          <w:lang w:val="fr-CA"/>
        </w:rPr>
        <w:t>traduction</w:t>
      </w:r>
      <w:r w:rsidR="009D4CED" w:rsidRPr="0062272F">
        <w:rPr>
          <w:rFonts w:cs="Times New Roman"/>
          <w:shd w:val="clear" w:color="auto" w:fill="FFFFFF"/>
          <w:lang w:val="fr-CA"/>
        </w:rPr>
        <w:t xml:space="preserve">] </w:t>
      </w:r>
      <w:r w:rsidRPr="0062272F">
        <w:rPr>
          <w:rFonts w:cs="Times New Roman"/>
          <w:lang w:val="fr-CA"/>
        </w:rPr>
        <w:t>« </w:t>
      </w:r>
      <w:r w:rsidR="009D4CED">
        <w:rPr>
          <w:rFonts w:cs="Times New Roman"/>
          <w:shd w:val="clear" w:color="auto" w:fill="FFFFFF"/>
          <w:lang w:val="fr-CA"/>
        </w:rPr>
        <w:t>[</w:t>
      </w:r>
      <w:r w:rsidR="009D4CED" w:rsidRPr="0062272F">
        <w:rPr>
          <w:rFonts w:cs="Times New Roman"/>
          <w:lang w:val="fr-CA"/>
        </w:rPr>
        <w:t>l’</w:t>
      </w:r>
      <w:r w:rsidR="009D4CED">
        <w:rPr>
          <w:rFonts w:cs="Times New Roman"/>
          <w:shd w:val="clear" w:color="auto" w:fill="FFFFFF"/>
          <w:lang w:val="fr-CA"/>
        </w:rPr>
        <w:t>]</w:t>
      </w:r>
      <w:r w:rsidRPr="0062272F">
        <w:rPr>
          <w:rFonts w:cs="Times New Roman"/>
          <w:lang w:val="fr-CA"/>
        </w:rPr>
        <w:t xml:space="preserve">effet réel » de la loi à la lumière de tout son contexte (P. J. Monahan, B. Shaw et P. Ryan, </w:t>
      </w:r>
      <w:r w:rsidRPr="0062272F">
        <w:rPr>
          <w:rFonts w:cs="Times New Roman"/>
          <w:i/>
          <w:lang w:val="fr-CA"/>
        </w:rPr>
        <w:t>Constitutional Law</w:t>
      </w:r>
      <w:r w:rsidRPr="0062272F">
        <w:rPr>
          <w:rFonts w:cs="Times New Roman"/>
          <w:lang w:val="fr-CA"/>
        </w:rPr>
        <w:t xml:space="preserve"> (5</w:t>
      </w:r>
      <w:r w:rsidRPr="0062272F">
        <w:rPr>
          <w:rFonts w:cs="Times New Roman"/>
          <w:vertAlign w:val="superscript"/>
          <w:lang w:val="fr-CA"/>
        </w:rPr>
        <w:t>e</w:t>
      </w:r>
      <w:r w:rsidRPr="0062272F">
        <w:rPr>
          <w:rFonts w:cs="Times New Roman"/>
          <w:lang w:val="fr-CA"/>
        </w:rPr>
        <w:t xml:space="preserve"> éd. 2017), p. 469).</w:t>
      </w:r>
    </w:p>
    <w:p w14:paraId="730DEFB8" w14:textId="77777777" w:rsidR="00804EA2" w:rsidRPr="0062272F" w:rsidRDefault="00804EA2" w:rsidP="00804EA2">
      <w:pPr>
        <w:pStyle w:val="ParaNoNdepar-AltN"/>
        <w:rPr>
          <w:rFonts w:cs="Times New Roman"/>
          <w:lang w:val="fr-CA"/>
        </w:rPr>
      </w:pPr>
      <w:r w:rsidRPr="0062272F">
        <w:rPr>
          <w:rFonts w:cs="Times New Roman"/>
          <w:lang w:val="fr-CA"/>
        </w:rPr>
        <w:t xml:space="preserve">Chaque programme de prestations comporte des avantages et des inconvénients. Alors que les membres qui prennent des congés non payés doivent verser la cotisation de l’employeur pour les prestations de pension qu’ils rachètent, l’employeur verse des cotisations pour les employés qui partagent un poste pour chaque heure de travail qu’ils effectuent. Bien que les membres qui prennent des congés non payés ne reçoivent aucun salaire, les employés qui partagent un poste touchent un revenu pour les heures qu’ils travaillent. La faculté de racheter du service ouvrant droit à pension est une caractéristique attrayante du régime de congés non payés, et on peut comprendre le désir des membres qui participent au programme de partage de poste de s’en prévaloir. Mais dans l’ensemble, le dossier ne donne pas à penser que le régime de congés non payés procure une plus grande sécurité financière ou des prestations de pension plus avantageuses lorsqu’on tient compte du programme de partage de poste ainsi que de l’emploi à temps plein exercé sans interruption. Il ne permet pas non plus </w:t>
      </w:r>
      <w:r w:rsidRPr="0062272F">
        <w:rPr>
          <w:rFonts w:cs="Times New Roman"/>
          <w:lang w:val="fr-CA"/>
        </w:rPr>
        <w:lastRenderedPageBreak/>
        <w:t>de penser que les limites tracées sont injustifiées, compte tenu de l’ensemble des circonstances.</w:t>
      </w:r>
    </w:p>
    <w:p w14:paraId="78B2551C" w14:textId="77777777" w:rsidR="00804EA2" w:rsidRPr="0062272F" w:rsidRDefault="00804EA2" w:rsidP="00804EA2">
      <w:pPr>
        <w:pStyle w:val="ParaNoNdepar-AltN"/>
        <w:rPr>
          <w:rFonts w:cs="Times New Roman"/>
          <w:lang w:val="fr-CA"/>
        </w:rPr>
      </w:pPr>
      <w:r w:rsidRPr="0062272F">
        <w:rPr>
          <w:rFonts w:cs="Times New Roman"/>
          <w:szCs w:val="24"/>
          <w:lang w:val="fr-CA"/>
        </w:rPr>
        <w:t xml:space="preserve">Le fait d’offrir des prestations de pension qui sont calculées au prorata des heures travaillées ne constitue pas une discrimination réelle, et il ne devient pas une discrimination réelle parce que les membres qui prennent des congés non payés ont le droit de racheter des périodes ouvrant droit à des prestations de pension. Il n’y a donc pas violation du par. 15(1) de la </w:t>
      </w:r>
      <w:r w:rsidRPr="0062272F">
        <w:rPr>
          <w:rFonts w:cs="Times New Roman"/>
          <w:i/>
          <w:iCs/>
          <w:szCs w:val="24"/>
          <w:lang w:val="fr-CA"/>
        </w:rPr>
        <w:t>Charte</w:t>
      </w:r>
      <w:r w:rsidRPr="0062272F">
        <w:rPr>
          <w:rFonts w:cs="Times New Roman"/>
          <w:szCs w:val="24"/>
          <w:lang w:val="fr-CA"/>
        </w:rPr>
        <w:t xml:space="preserve"> et il n’est pas nécessaire de se pencher sur l’article premier.</w:t>
      </w:r>
      <w:r w:rsidRPr="0062272F">
        <w:rPr>
          <w:rFonts w:cs="Times New Roman"/>
          <w:lang w:val="fr-CA"/>
        </w:rPr>
        <w:t xml:space="preserve"> </w:t>
      </w:r>
    </w:p>
    <w:p w14:paraId="6C780955" w14:textId="77777777" w:rsidR="00804EA2" w:rsidRPr="0062272F" w:rsidRDefault="00804EA2" w:rsidP="00804EA2">
      <w:pPr>
        <w:pStyle w:val="Title2LevelTitre2Niveau"/>
        <w:rPr>
          <w:rFonts w:cs="Times New Roman"/>
          <w:lang w:val="fr-CA"/>
        </w:rPr>
      </w:pPr>
      <w:r w:rsidRPr="0062272F">
        <w:rPr>
          <w:rFonts w:cs="Times New Roman"/>
          <w:lang w:val="fr-CA"/>
        </w:rPr>
        <w:t xml:space="preserve">Conséquences pratiques </w:t>
      </w:r>
    </w:p>
    <w:p w14:paraId="540AECF3" w14:textId="77777777" w:rsidR="00804EA2" w:rsidRPr="0062272F" w:rsidRDefault="00804EA2" w:rsidP="00804EA2">
      <w:pPr>
        <w:pStyle w:val="ParaNoNdepar-AltN"/>
        <w:rPr>
          <w:rFonts w:cs="Times New Roman"/>
          <w:lang w:val="fr-CA"/>
        </w:rPr>
      </w:pPr>
      <w:r w:rsidRPr="0062272F">
        <w:rPr>
          <w:rFonts w:cs="Times New Roman"/>
          <w:lang w:val="fr-CA"/>
        </w:rPr>
        <w:t>Bien que ce qui précède soit suffisant pour trancher l’affaire, nous tenons à signaler les conséquences pratiques des motifs de jugement de notre collègue.</w:t>
      </w:r>
    </w:p>
    <w:p w14:paraId="423115D9" w14:textId="77777777" w:rsidR="00804EA2" w:rsidRPr="0062272F" w:rsidRDefault="00804EA2" w:rsidP="00804EA2">
      <w:pPr>
        <w:pStyle w:val="ParaNoNdepar-AltN"/>
        <w:rPr>
          <w:rFonts w:cs="Times New Roman"/>
          <w:lang w:val="fr-CA"/>
        </w:rPr>
      </w:pPr>
      <w:r w:rsidRPr="0062272F">
        <w:rPr>
          <w:rFonts w:cs="Times New Roman"/>
          <w:lang w:val="fr-CA"/>
        </w:rPr>
        <w:t xml:space="preserve">Les gouvernements </w:t>
      </w:r>
      <w:r>
        <w:rPr>
          <w:rFonts w:cs="Times New Roman"/>
          <w:lang w:val="fr-CA"/>
        </w:rPr>
        <w:t>doivent</w:t>
      </w:r>
      <w:r w:rsidRPr="0062272F">
        <w:rPr>
          <w:rFonts w:cs="Times New Roman"/>
          <w:lang w:val="fr-CA"/>
        </w:rPr>
        <w:t xml:space="preserve"> avoir la latitude nécessaire pour intervenir de manière graduelle quand ils s’attaquent à un phénomène social profondément ancré, complexe et persistant tel l’inégalité</w:t>
      </w:r>
      <w:r>
        <w:rPr>
          <w:rFonts w:cs="Times New Roman"/>
          <w:lang w:val="fr-CA"/>
        </w:rPr>
        <w:t xml:space="preserve"> (</w:t>
      </w:r>
      <w:r w:rsidRPr="0062272F">
        <w:rPr>
          <w:rFonts w:cs="Times New Roman"/>
          <w:lang w:val="fr-CA"/>
        </w:rPr>
        <w:t>ce</w:t>
      </w:r>
      <w:r>
        <w:rPr>
          <w:rFonts w:cs="Times New Roman"/>
          <w:lang w:val="fr-CA"/>
        </w:rPr>
        <w:t>ci</w:t>
      </w:r>
      <w:r w:rsidRPr="0062272F">
        <w:rPr>
          <w:rFonts w:cs="Times New Roman"/>
          <w:lang w:val="fr-CA"/>
        </w:rPr>
        <w:t xml:space="preserve"> suppose que l’inégalité tire son origine de facteurs sociaux; lorsque l’inégalité est le fait de l’État lui</w:t>
      </w:r>
      <w:r w:rsidRPr="0062272F">
        <w:rPr>
          <w:rFonts w:cs="Times New Roman"/>
          <w:lang w:val="fr-CA"/>
        </w:rPr>
        <w:noBreakHyphen/>
        <w:t>même, la situation est, comme nous l’avons déjà vu, quelque peu différente</w:t>
      </w:r>
      <w:r>
        <w:rPr>
          <w:rFonts w:cs="Times New Roman"/>
          <w:lang w:val="fr-CA"/>
        </w:rPr>
        <w:t>)</w:t>
      </w:r>
      <w:r w:rsidRPr="0062272F">
        <w:rPr>
          <w:rFonts w:cs="Times New Roman"/>
          <w:lang w:val="fr-CA"/>
        </w:rPr>
        <w:t xml:space="preserve">. Il existe des processus que l’État doit respecter pour fixer ses priorités, allouer son budget et faire approuver ses programmes par le Parlement. Lorsqu’il élabore une loi pour s’attaquer à un enjeu précis d’égalité, le gouvernement peut faire appel à bien plus d’experts internes et externes que nous, les juges, ne pouvons le faire. Il est donc mieux placé que nous pour </w:t>
      </w:r>
      <w:r w:rsidRPr="0062272F">
        <w:rPr>
          <w:rFonts w:cs="Times New Roman"/>
          <w:lang w:val="fr-CA"/>
        </w:rPr>
        <w:lastRenderedPageBreak/>
        <w:t>comprendre les conséquences des choix législatifs, tant sur la société que sur les ressources publiques. En gardant à l’esprit ces réalités pratiques, nous devons également reconnaître que, si un gouvernement est censé supprimer toutes les inégalités pour tous les groupes à chaque fois qu’il prend une mesure, il pourrait hésiter à intervenir, étant donné que toutes les mesures réparatrices qu’il prend seront sous un rapport ou un autre trop limitatives. Comme on peut le comprendre, les gouvernements pourraient</w:t>
      </w:r>
      <w:r>
        <w:rPr>
          <w:rFonts w:cs="Times New Roman"/>
          <w:lang w:val="fr-CA"/>
        </w:rPr>
        <w:t xml:space="preserve"> « </w:t>
      </w:r>
      <w:r w:rsidRPr="0062272F">
        <w:rPr>
          <w:rFonts w:cs="Times New Roman"/>
          <w:lang w:val="fr-CA"/>
        </w:rPr>
        <w:t>hésiter à mettre sur pied de nouveaux régimes d</w:t>
      </w:r>
      <w:r>
        <w:rPr>
          <w:rFonts w:cs="Times New Roman"/>
          <w:lang w:val="fr-CA"/>
        </w:rPr>
        <w:t>’</w:t>
      </w:r>
      <w:r w:rsidRPr="0062272F">
        <w:rPr>
          <w:rFonts w:cs="Times New Roman"/>
          <w:lang w:val="fr-CA"/>
        </w:rPr>
        <w:t>avantages sociaux puisqu</w:t>
      </w:r>
      <w:r>
        <w:rPr>
          <w:rFonts w:cs="Times New Roman"/>
          <w:lang w:val="fr-CA"/>
        </w:rPr>
        <w:t>’</w:t>
      </w:r>
      <w:r w:rsidRPr="0062272F">
        <w:rPr>
          <w:rFonts w:cs="Times New Roman"/>
          <w:lang w:val="fr-CA"/>
        </w:rPr>
        <w:t>il faudrait, pour en connaître les paramètres, prévoir avec exactitude l</w:t>
      </w:r>
      <w:r>
        <w:rPr>
          <w:rFonts w:cs="Times New Roman"/>
          <w:lang w:val="fr-CA"/>
        </w:rPr>
        <w:t>’</w:t>
      </w:r>
      <w:r w:rsidRPr="0062272F">
        <w:rPr>
          <w:rFonts w:cs="Times New Roman"/>
          <w:lang w:val="fr-CA"/>
        </w:rPr>
        <w:t xml:space="preserve">issue des procédures judiciaires instituées sous le régime du par. 15(1) de la </w:t>
      </w:r>
      <w:r w:rsidRPr="008D5A14">
        <w:rPr>
          <w:rFonts w:cs="Times New Roman"/>
          <w:i/>
          <w:lang w:val="fr-CA"/>
        </w:rPr>
        <w:t>Charte</w:t>
      </w:r>
      <w:r w:rsidRPr="0062272F">
        <w:rPr>
          <w:rFonts w:cs="Times New Roman"/>
          <w:lang w:val="fr-CA"/>
        </w:rPr>
        <w:t> » (</w:t>
      </w:r>
      <w:r w:rsidRPr="0062272F">
        <w:rPr>
          <w:rFonts w:cs="Times New Roman"/>
          <w:i/>
          <w:iCs/>
          <w:lang w:val="fr-CA"/>
        </w:rPr>
        <w:t>Egan</w:t>
      </w:r>
      <w:r w:rsidRPr="0062272F">
        <w:rPr>
          <w:rFonts w:cs="Times New Roman"/>
          <w:i/>
          <w:lang w:val="fr-CA"/>
        </w:rPr>
        <w:t xml:space="preserve"> c. Canada</w:t>
      </w:r>
      <w:r w:rsidRPr="0062272F">
        <w:rPr>
          <w:rFonts w:cs="Times New Roman"/>
          <w:lang w:val="fr-CA"/>
        </w:rPr>
        <w:t xml:space="preserve">, [1995] 2 R.C.S. 513, par. 104, le juge Sopinka). </w:t>
      </w:r>
    </w:p>
    <w:p w14:paraId="701FEB10" w14:textId="77777777" w:rsidR="00804EA2" w:rsidRPr="0062272F" w:rsidRDefault="00804EA2" w:rsidP="00804EA2">
      <w:pPr>
        <w:pStyle w:val="ParaNoNdepar-AltN"/>
        <w:rPr>
          <w:rFonts w:cs="Times New Roman"/>
          <w:lang w:val="fr-CA"/>
        </w:rPr>
      </w:pPr>
      <w:r w:rsidRPr="0062272F">
        <w:rPr>
          <w:rFonts w:cs="Times New Roman"/>
          <w:lang w:val="fr-CA"/>
        </w:rPr>
        <w:t xml:space="preserve">Pour éviter cet effet dissuasif et pour inciter les gouvernements à adopter des lois réparatrices qui s’attaquent aux désavantages historiques, notre Cour a </w:t>
      </w:r>
      <w:r>
        <w:rPr>
          <w:rFonts w:cs="Times New Roman"/>
          <w:lang w:val="fr-CA"/>
        </w:rPr>
        <w:t>(</w:t>
      </w:r>
      <w:r w:rsidRPr="0062272F">
        <w:rPr>
          <w:rFonts w:cs="Times New Roman"/>
          <w:lang w:val="fr-CA"/>
        </w:rPr>
        <w:t>jusqu’à maintenant</w:t>
      </w:r>
      <w:r>
        <w:rPr>
          <w:rFonts w:cs="Times New Roman"/>
          <w:lang w:val="fr-CA"/>
        </w:rPr>
        <w:t>)</w:t>
      </w:r>
      <w:r w:rsidRPr="0062272F">
        <w:rPr>
          <w:rFonts w:cs="Times New Roman"/>
          <w:lang w:val="fr-CA"/>
        </w:rPr>
        <w:t xml:space="preserve"> judicieusement accepté que les gouvernements peuvent mettre en œuvre des réformes « étape par étape, en ne s</w:t>
      </w:r>
      <w:r>
        <w:rPr>
          <w:rFonts w:cs="Times New Roman"/>
          <w:lang w:val="fr-CA"/>
        </w:rPr>
        <w:t>’</w:t>
      </w:r>
      <w:r w:rsidRPr="0062272F">
        <w:rPr>
          <w:rFonts w:cs="Times New Roman"/>
          <w:lang w:val="fr-CA"/>
        </w:rPr>
        <w:t>attaquant qu</w:t>
      </w:r>
      <w:r>
        <w:rPr>
          <w:rFonts w:cs="Times New Roman"/>
          <w:lang w:val="fr-CA"/>
        </w:rPr>
        <w:t>’</w:t>
      </w:r>
      <w:r w:rsidRPr="0062272F">
        <w:rPr>
          <w:rFonts w:cs="Times New Roman"/>
          <w:lang w:val="fr-CA"/>
        </w:rPr>
        <w:t>à la phase du problème que le législateur estime la plus critique »</w:t>
      </w:r>
      <w:r w:rsidRPr="0062272F">
        <w:rPr>
          <w:rFonts w:cs="Times New Roman"/>
          <w:shd w:val="clear" w:color="auto" w:fill="FFFFFF"/>
          <w:lang w:val="fr-CA"/>
        </w:rPr>
        <w:t xml:space="preserve"> </w:t>
      </w:r>
      <w:r w:rsidRPr="0062272F">
        <w:rPr>
          <w:rFonts w:cs="Times New Roman"/>
          <w:lang w:val="fr-CA"/>
        </w:rPr>
        <w:t>(</w:t>
      </w:r>
      <w:r w:rsidRPr="0062272F">
        <w:rPr>
          <w:rFonts w:cs="Times New Roman"/>
          <w:i/>
          <w:lang w:val="fr-CA"/>
        </w:rPr>
        <w:t>R. c. Edwards Books and Art Ltd.</w:t>
      </w:r>
      <w:r w:rsidRPr="0062272F">
        <w:rPr>
          <w:rFonts w:cs="Times New Roman"/>
          <w:lang w:val="fr-CA"/>
        </w:rPr>
        <w:t xml:space="preserve">, [1986] 2 R.C.S. 713, p. 772, citant </w:t>
      </w:r>
      <w:r w:rsidRPr="0062272F">
        <w:rPr>
          <w:rFonts w:cs="Times New Roman"/>
          <w:i/>
          <w:lang w:val="fr-CA"/>
        </w:rPr>
        <w:t>Williamson c. Lee Optical of Oklahoma</w:t>
      </w:r>
      <w:r w:rsidRPr="0062272F">
        <w:rPr>
          <w:rFonts w:cs="Times New Roman"/>
          <w:lang w:val="fr-CA"/>
        </w:rPr>
        <w:t xml:space="preserve">, 348 U.S. 483 (1955), p. 489). Lorsqu’on examine une loi réparatrice, la question essentielle </w:t>
      </w:r>
      <w:r w:rsidRPr="008D5A14">
        <w:rPr>
          <w:rFonts w:cs="Times New Roman"/>
          <w:i/>
          <w:lang w:val="fr-CA"/>
        </w:rPr>
        <w:t>ne</w:t>
      </w:r>
      <w:r w:rsidRPr="0062272F">
        <w:rPr>
          <w:rFonts w:cs="Times New Roman"/>
          <w:lang w:val="fr-CA"/>
        </w:rPr>
        <w:t xml:space="preserve"> consiste </w:t>
      </w:r>
      <w:r w:rsidRPr="008D5A14">
        <w:rPr>
          <w:rFonts w:cs="Times New Roman"/>
          <w:i/>
          <w:lang w:val="fr-CA"/>
        </w:rPr>
        <w:t>pas</w:t>
      </w:r>
      <w:r w:rsidRPr="0062272F">
        <w:rPr>
          <w:rFonts w:cs="Times New Roman"/>
          <w:lang w:val="fr-CA"/>
        </w:rPr>
        <w:t xml:space="preserve"> </w:t>
      </w:r>
      <w:r>
        <w:rPr>
          <w:rFonts w:cs="Times New Roman"/>
          <w:lang w:val="fr-CA"/>
        </w:rPr>
        <w:t xml:space="preserve">à </w:t>
      </w:r>
      <w:r w:rsidRPr="0062272F">
        <w:rPr>
          <w:rFonts w:cs="Times New Roman"/>
          <w:lang w:val="fr-CA"/>
        </w:rPr>
        <w:t>se demander si le gouvernement a respecté « la norme de qualité » (</w:t>
      </w:r>
      <w:r w:rsidRPr="0062272F">
        <w:rPr>
          <w:rFonts w:cs="Times New Roman"/>
          <w:i/>
          <w:lang w:val="fr-CA"/>
        </w:rPr>
        <w:t>Auton</w:t>
      </w:r>
      <w:r w:rsidRPr="0062272F">
        <w:rPr>
          <w:rFonts w:cs="Times New Roman"/>
          <w:lang w:val="fr-CA"/>
        </w:rPr>
        <w:t>, par. 62; voir aussi par. 59</w:t>
      </w:r>
      <w:r w:rsidRPr="0062272F">
        <w:rPr>
          <w:rFonts w:cs="Times New Roman"/>
          <w:lang w:val="fr-CA"/>
        </w:rPr>
        <w:noBreakHyphen/>
        <w:t xml:space="preserve">61), mais à reconnaître que le gouvernement </w:t>
      </w:r>
    </w:p>
    <w:p w14:paraId="1389BEB9" w14:textId="3C8F2168" w:rsidR="00804EA2" w:rsidRPr="0062272F" w:rsidRDefault="00804EA2" w:rsidP="00B95726">
      <w:pPr>
        <w:pStyle w:val="Citation-AltC"/>
        <w:spacing w:after="480"/>
        <w:ind w:hanging="1166"/>
        <w:contextualSpacing w:val="0"/>
        <w:rPr>
          <w:lang w:val="fr-CA"/>
        </w:rPr>
      </w:pPr>
      <w:r w:rsidRPr="0062272F">
        <w:rPr>
          <w:spacing w:val="-3"/>
          <w:shd w:val="clear" w:color="auto" w:fill="FFFFFF"/>
          <w:lang w:val="fr-CA"/>
        </w:rPr>
        <w:tab/>
      </w:r>
      <w:r w:rsidRPr="0062272F">
        <w:rPr>
          <w:spacing w:val="-3"/>
          <w:u w:val="single"/>
          <w:shd w:val="clear" w:color="auto" w:fill="FFFFFF"/>
          <w:lang w:val="fr-CA"/>
        </w:rPr>
        <w:t xml:space="preserve">ne peut être tenu de traiter tous les aspects d'un problème à la fois. Il doit </w:t>
      </w:r>
      <w:r w:rsidR="00B95726">
        <w:rPr>
          <w:spacing w:val="-3"/>
          <w:u w:val="single"/>
          <w:shd w:val="clear" w:color="auto" w:fill="FFFFFF"/>
          <w:lang w:val="fr-CA"/>
        </w:rPr>
        <w:t xml:space="preserve">certainement </w:t>
      </w:r>
      <w:r w:rsidRPr="0062272F">
        <w:rPr>
          <w:spacing w:val="-3"/>
          <w:u w:val="single"/>
          <w:shd w:val="clear" w:color="auto" w:fill="FFFFFF"/>
          <w:lang w:val="fr-CA"/>
        </w:rPr>
        <w:t>pouvoir adopter des mesures progressives</w:t>
      </w:r>
      <w:r w:rsidR="00B95726">
        <w:rPr>
          <w:spacing w:val="-3"/>
          <w:u w:val="single"/>
          <w:shd w:val="clear" w:color="auto" w:fill="FFFFFF"/>
          <w:lang w:val="fr-CA"/>
        </w:rPr>
        <w:t>.</w:t>
      </w:r>
      <w:r w:rsidRPr="0062272F">
        <w:rPr>
          <w:spacing w:val="-3"/>
          <w:shd w:val="clear" w:color="auto" w:fill="FFFFFF"/>
          <w:lang w:val="fr-CA"/>
        </w:rPr>
        <w:t xml:space="preserve"> </w:t>
      </w:r>
      <w:r w:rsidR="00B95726">
        <w:rPr>
          <w:spacing w:val="-3"/>
          <w:shd w:val="clear" w:color="auto" w:fill="FFFFFF"/>
          <w:lang w:val="fr-CA"/>
        </w:rPr>
        <w:t>Il doit avoir une marge de manœuvre raisonnable pour traiter</w:t>
      </w:r>
      <w:r w:rsidR="006B2E4F">
        <w:rPr>
          <w:spacing w:val="-3"/>
          <w:shd w:val="clear" w:color="auto" w:fill="FFFFFF"/>
          <w:lang w:val="fr-CA"/>
        </w:rPr>
        <w:t xml:space="preserve"> des problèmes étape</w:t>
      </w:r>
      <w:r w:rsidR="00B95726">
        <w:rPr>
          <w:spacing w:val="-3"/>
          <w:shd w:val="clear" w:color="auto" w:fill="FFFFFF"/>
          <w:lang w:val="fr-CA"/>
        </w:rPr>
        <w:t xml:space="preserve"> par étape, </w:t>
      </w:r>
      <w:r w:rsidRPr="0062272F">
        <w:rPr>
          <w:spacing w:val="-3"/>
          <w:shd w:val="clear" w:color="auto" w:fill="FFFFFF"/>
          <w:lang w:val="fr-CA"/>
        </w:rPr>
        <w:t xml:space="preserve">pour soupeser les inégalités qui peuvent découler de la loi en fonction des </w:t>
      </w:r>
      <w:r w:rsidRPr="0062272F">
        <w:rPr>
          <w:spacing w:val="-3"/>
          <w:shd w:val="clear" w:color="auto" w:fill="FFFFFF"/>
          <w:lang w:val="fr-CA"/>
        </w:rPr>
        <w:lastRenderedPageBreak/>
        <w:t>autres inégalités qui résultent de l</w:t>
      </w:r>
      <w:r>
        <w:rPr>
          <w:spacing w:val="-3"/>
          <w:shd w:val="clear" w:color="auto" w:fill="FFFFFF"/>
          <w:lang w:val="fr-CA"/>
        </w:rPr>
        <w:t>’</w:t>
      </w:r>
      <w:r w:rsidRPr="0062272F">
        <w:rPr>
          <w:spacing w:val="-3"/>
          <w:shd w:val="clear" w:color="auto" w:fill="FFFFFF"/>
          <w:lang w:val="fr-CA"/>
        </w:rPr>
        <w:t>ad</w:t>
      </w:r>
      <w:r w:rsidR="00B95726">
        <w:rPr>
          <w:spacing w:val="-3"/>
          <w:shd w:val="clear" w:color="auto" w:fill="FFFFFF"/>
          <w:lang w:val="fr-CA"/>
        </w:rPr>
        <w:t>option d’</w:t>
      </w:r>
      <w:r w:rsidRPr="0062272F">
        <w:rPr>
          <w:spacing w:val="-3"/>
          <w:shd w:val="clear" w:color="auto" w:fill="FFFFFF"/>
          <w:lang w:val="fr-CA"/>
        </w:rPr>
        <w:t>une ligne de conduite, et pour tenir compte des difficultés, qu</w:t>
      </w:r>
      <w:r>
        <w:rPr>
          <w:spacing w:val="-3"/>
          <w:shd w:val="clear" w:color="auto" w:fill="FFFFFF"/>
          <w:lang w:val="fr-CA"/>
        </w:rPr>
        <w:t>’</w:t>
      </w:r>
      <w:r w:rsidRPr="0062272F">
        <w:rPr>
          <w:spacing w:val="-3"/>
          <w:shd w:val="clear" w:color="auto" w:fill="FFFFFF"/>
          <w:lang w:val="fr-CA"/>
        </w:rPr>
        <w:t>elles soient de nature sociale, économique ou budgétaire, qui se présenteraient s</w:t>
      </w:r>
      <w:r>
        <w:rPr>
          <w:spacing w:val="-3"/>
          <w:shd w:val="clear" w:color="auto" w:fill="FFFFFF"/>
          <w:lang w:val="fr-CA"/>
        </w:rPr>
        <w:t>’</w:t>
      </w:r>
      <w:r w:rsidRPr="0062272F">
        <w:rPr>
          <w:spacing w:val="-3"/>
          <w:shd w:val="clear" w:color="auto" w:fill="FFFFFF"/>
          <w:lang w:val="fr-CA"/>
        </w:rPr>
        <w:t xml:space="preserve">il tentait de traiter </w:t>
      </w:r>
      <w:r w:rsidR="00B95726">
        <w:rPr>
          <w:spacing w:val="-3"/>
          <w:shd w:val="clear" w:color="auto" w:fill="FFFFFF"/>
          <w:lang w:val="fr-CA"/>
        </w:rPr>
        <w:t xml:space="preserve">des problèmes socio-économiques </w:t>
      </w:r>
      <w:r w:rsidRPr="0062272F">
        <w:rPr>
          <w:spacing w:val="-3"/>
          <w:shd w:val="clear" w:color="auto" w:fill="FFFFFF"/>
          <w:lang w:val="fr-CA"/>
        </w:rPr>
        <w:t>dans leur ensemble</w:t>
      </w:r>
      <w:r w:rsidR="00B95726">
        <w:rPr>
          <w:spacing w:val="-3"/>
          <w:shd w:val="clear" w:color="auto" w:fill="FFFFFF"/>
          <w:lang w:val="fr-CA"/>
        </w:rPr>
        <w:t>, en supposant qu’il soit possible de les saisir dans leur ensemble</w:t>
      </w:r>
      <w:r w:rsidRPr="0062272F">
        <w:rPr>
          <w:lang w:val="fr-CA"/>
        </w:rPr>
        <w:t>. [Nous soulignons.]</w:t>
      </w:r>
    </w:p>
    <w:p w14:paraId="26668711" w14:textId="189A1F4C" w:rsidR="00804EA2" w:rsidRPr="0062272F" w:rsidRDefault="00804EA2" w:rsidP="00B95726">
      <w:pPr>
        <w:pStyle w:val="Citation-AltC"/>
        <w:ind w:left="0"/>
        <w:rPr>
          <w:lang w:val="fr-CA"/>
        </w:rPr>
      </w:pPr>
      <w:r w:rsidRPr="0062272F">
        <w:rPr>
          <w:lang w:val="fr-CA"/>
        </w:rPr>
        <w:t>(</w:t>
      </w:r>
      <w:r w:rsidRPr="0062272F">
        <w:rPr>
          <w:i/>
          <w:lang w:val="fr-CA"/>
        </w:rPr>
        <w:t>McKinney c. Université de Guelph</w:t>
      </w:r>
      <w:r w:rsidRPr="0062272F">
        <w:rPr>
          <w:lang w:val="fr-CA"/>
        </w:rPr>
        <w:t>, [1990] 3 R.C.S. 229, p. 317, le juge La Forest; voir aussi p. 318</w:t>
      </w:r>
      <w:r w:rsidRPr="0062272F">
        <w:rPr>
          <w:lang w:val="fr-CA"/>
        </w:rPr>
        <w:noBreakHyphen/>
        <w:t xml:space="preserve">319; </w:t>
      </w:r>
      <w:r w:rsidRPr="0062272F">
        <w:rPr>
          <w:i/>
          <w:lang w:val="fr-CA"/>
        </w:rPr>
        <w:t>Schachter c. Canada</w:t>
      </w:r>
      <w:r w:rsidRPr="0062272F">
        <w:rPr>
          <w:lang w:val="fr-CA"/>
        </w:rPr>
        <w:t xml:space="preserve">, [1992] 2 R.C.S. 679, p. 727, le juge La Forest, opinion concordante; </w:t>
      </w:r>
      <w:r w:rsidRPr="0062272F">
        <w:rPr>
          <w:i/>
          <w:iCs/>
          <w:lang w:val="fr-CA"/>
        </w:rPr>
        <w:t>Al</w:t>
      </w:r>
      <w:r w:rsidR="008E231C">
        <w:rPr>
          <w:i/>
          <w:iCs/>
          <w:lang w:val="fr-CA"/>
        </w:rPr>
        <w:t>berta (Affaires autochtones et D</w:t>
      </w:r>
      <w:r w:rsidRPr="0062272F">
        <w:rPr>
          <w:i/>
          <w:iCs/>
          <w:lang w:val="fr-CA"/>
        </w:rPr>
        <w:t>éveloppement du Nord) c. Cunningham</w:t>
      </w:r>
      <w:r w:rsidRPr="0062272F">
        <w:rPr>
          <w:lang w:val="fr-CA"/>
        </w:rPr>
        <w:t>, 2011 CSC 37, [2011] 2 R.C.S. 670, par. 41.)</w:t>
      </w:r>
    </w:p>
    <w:p w14:paraId="46585212" w14:textId="77777777" w:rsidR="00804EA2" w:rsidRPr="0062272F" w:rsidRDefault="00804EA2" w:rsidP="00804EA2">
      <w:pPr>
        <w:pStyle w:val="ParaNoNdepar-AltN"/>
        <w:rPr>
          <w:rFonts w:cs="Times New Roman"/>
          <w:lang w:val="fr-CA"/>
        </w:rPr>
      </w:pPr>
      <w:r w:rsidRPr="0062272F">
        <w:rPr>
          <w:rFonts w:cs="Times New Roman"/>
          <w:lang w:val="fr-CA"/>
        </w:rPr>
        <w:t xml:space="preserve">Au risque de nous répéter, nous tenons à souligner qu’il y a à peine deux ans, la Cour confirmait, dans l’arrêt </w:t>
      </w:r>
      <w:r w:rsidRPr="0062272F">
        <w:rPr>
          <w:rFonts w:cs="Times New Roman"/>
          <w:i/>
          <w:lang w:val="fr-CA"/>
        </w:rPr>
        <w:t>Alliance</w:t>
      </w:r>
      <w:r w:rsidRPr="0062272F">
        <w:rPr>
          <w:rFonts w:cs="Times New Roman"/>
          <w:lang w:val="fr-CA"/>
        </w:rPr>
        <w:t xml:space="preserve">, son engagement à faire preuve de retenue judiciaire en permettant à l’État d’agir graduellement pour s’attaquer aux </w:t>
      </w:r>
      <w:r w:rsidRPr="0062272F">
        <w:rPr>
          <w:rFonts w:cs="Times New Roman"/>
          <w:shd w:val="clear" w:color="auto" w:fill="FFFFFF"/>
          <w:lang w:val="fr-CA"/>
        </w:rPr>
        <w:t>inégalités</w:t>
      </w:r>
      <w:r w:rsidRPr="0062272F">
        <w:rPr>
          <w:rFonts w:cs="Times New Roman"/>
          <w:lang w:val="fr-CA"/>
        </w:rPr>
        <w:t xml:space="preserve"> (par. 42). Et il vaut aussi la peine de rappeler que, dans l’arrêt </w:t>
      </w:r>
      <w:r w:rsidRPr="0062272F">
        <w:rPr>
          <w:rFonts w:cs="Times New Roman"/>
          <w:i/>
          <w:lang w:val="fr-CA"/>
        </w:rPr>
        <w:t>Alliance</w:t>
      </w:r>
      <w:r w:rsidRPr="0062272F">
        <w:rPr>
          <w:rFonts w:cs="Times New Roman"/>
          <w:iCs/>
          <w:lang w:val="fr-CA"/>
        </w:rPr>
        <w:t>,</w:t>
      </w:r>
      <w:r w:rsidRPr="0062272F">
        <w:rPr>
          <w:rFonts w:cs="Times New Roman"/>
          <w:lang w:val="fr-CA"/>
        </w:rPr>
        <w:t xml:space="preserve"> notre Cour a déclaré, tout d’abord qu’il n’y a pas d’</w:t>
      </w:r>
      <w:r w:rsidRPr="0062272F">
        <w:rPr>
          <w:rFonts w:cs="Times New Roman"/>
          <w:shd w:val="clear" w:color="auto" w:fill="FFFFFF"/>
          <w:lang w:val="fr-CA"/>
        </w:rPr>
        <w:t>obligation positive distincte de corriger des inégalités sociales et, en second lieu, qu’il est loisible à l’État d’agir de manière graduelle pour s’attaquer à ces inégalités</w:t>
      </w:r>
      <w:r w:rsidRPr="0062272F">
        <w:rPr>
          <w:rFonts w:cs="Times New Roman"/>
          <w:lang w:val="fr-CA"/>
        </w:rPr>
        <w:t xml:space="preserve">. </w:t>
      </w:r>
    </w:p>
    <w:p w14:paraId="45514D89" w14:textId="77777777" w:rsidR="00804EA2" w:rsidRPr="0062272F" w:rsidRDefault="00804EA2" w:rsidP="00804EA2">
      <w:pPr>
        <w:pStyle w:val="ParaNoNdepar-AltN"/>
        <w:rPr>
          <w:rFonts w:cs="Times New Roman"/>
          <w:lang w:val="fr-CA"/>
        </w:rPr>
      </w:pPr>
      <w:r w:rsidRPr="0062272F">
        <w:rPr>
          <w:rFonts w:cs="Times New Roman"/>
          <w:lang w:val="fr-CA"/>
        </w:rPr>
        <w:t>C’est précisément ce que représentent les dispositions contestées du régime : un exemple d’un gouvernement qui agit de manière progressive pour s’attaquer aux inégalités qui existent au sein de la société, alors qu’il n’a aucune obligation de le faire, en utilisant des dispositions qui n’ont pas en elles</w:t>
      </w:r>
      <w:r w:rsidRPr="0062272F">
        <w:rPr>
          <w:rFonts w:cs="Times New Roman"/>
          <w:lang w:val="fr-CA"/>
        </w:rPr>
        <w:noBreakHyphen/>
        <w:t xml:space="preserve">mêmes un effet discriminatoire. À l’instar de notre collègue, nous constatons que les dispositions de rachat de congés non payés et l’option de partage de poste sont des mesures qui visent à améliorer la situation des employés qui s’en prévalent (par. 126). Selon l’énoncé du droit que notre Cour a fait dans l’arrêt </w:t>
      </w:r>
      <w:r w:rsidRPr="0062272F">
        <w:rPr>
          <w:rFonts w:cs="Times New Roman"/>
          <w:i/>
          <w:lang w:val="fr-CA"/>
        </w:rPr>
        <w:t>Alliance</w:t>
      </w:r>
      <w:r w:rsidRPr="0062272F">
        <w:rPr>
          <w:rFonts w:cs="Times New Roman"/>
          <w:lang w:val="fr-CA"/>
        </w:rPr>
        <w:t xml:space="preserve">, ces dispositions doivent être déclarées valides. </w:t>
      </w:r>
    </w:p>
    <w:p w14:paraId="5B18682B" w14:textId="77777777" w:rsidR="00804EA2" w:rsidRPr="0062272F" w:rsidRDefault="00804EA2" w:rsidP="00804EA2">
      <w:pPr>
        <w:pStyle w:val="ParaNoNdepar-AltN"/>
        <w:rPr>
          <w:rFonts w:cs="Times New Roman"/>
          <w:lang w:val="fr-CA"/>
        </w:rPr>
      </w:pPr>
      <w:r w:rsidRPr="0062272F">
        <w:rPr>
          <w:rFonts w:cs="Times New Roman"/>
          <w:lang w:val="fr-CA"/>
        </w:rPr>
        <w:lastRenderedPageBreak/>
        <w:t xml:space="preserve">Notre collègue voit les choses différemment. Selon son approche, il ne suffit pas que la loi soit simplement favorable ou bénéfique : elle doit l’être </w:t>
      </w:r>
      <w:r w:rsidRPr="0062272F">
        <w:rPr>
          <w:rFonts w:cs="Times New Roman"/>
          <w:i/>
          <w:iCs/>
          <w:lang w:val="fr-CA"/>
        </w:rPr>
        <w:t>suffisamment</w:t>
      </w:r>
      <w:r w:rsidRPr="0062272F">
        <w:rPr>
          <w:rFonts w:cs="Times New Roman"/>
          <w:lang w:val="fr-CA"/>
        </w:rPr>
        <w:t xml:space="preserve"> pour atteindre l’égalité réelle. Il y a violation du par. 15(1) parce que, même s’il s’inscrit dans le cadre d’une série de mesures réparatrices, le régime </w:t>
      </w:r>
      <w:r w:rsidRPr="0062272F">
        <w:rPr>
          <w:rFonts w:cs="Times New Roman"/>
          <w:i/>
          <w:iCs/>
          <w:lang w:val="fr-CA"/>
        </w:rPr>
        <w:t>perpétue</w:t>
      </w:r>
      <w:r w:rsidRPr="0062272F">
        <w:rPr>
          <w:rFonts w:cs="Times New Roman"/>
          <w:lang w:val="fr-CA"/>
        </w:rPr>
        <w:t xml:space="preserve"> </w:t>
      </w:r>
      <w:r>
        <w:rPr>
          <w:rFonts w:cs="Times New Roman"/>
          <w:lang w:val="fr-CA"/>
        </w:rPr>
        <w:t>(</w:t>
      </w:r>
      <w:r w:rsidRPr="0062272F">
        <w:rPr>
          <w:rFonts w:cs="Times New Roman"/>
          <w:lang w:val="fr-CA"/>
        </w:rPr>
        <w:t>c’est</w:t>
      </w:r>
      <w:r w:rsidRPr="0062272F">
        <w:rPr>
          <w:rFonts w:cs="Times New Roman"/>
          <w:lang w:val="fr-CA"/>
        </w:rPr>
        <w:noBreakHyphen/>
        <w:t>à</w:t>
      </w:r>
      <w:r w:rsidRPr="0062272F">
        <w:rPr>
          <w:rFonts w:cs="Times New Roman"/>
          <w:lang w:val="fr-CA"/>
        </w:rPr>
        <w:noBreakHyphen/>
        <w:t xml:space="preserve">dire </w:t>
      </w:r>
      <w:r w:rsidRPr="0062272F">
        <w:rPr>
          <w:rFonts w:cs="Times New Roman"/>
          <w:i/>
          <w:iCs/>
          <w:lang w:val="fr-CA"/>
        </w:rPr>
        <w:t>ne supprime</w:t>
      </w:r>
      <w:r w:rsidRPr="0062272F">
        <w:rPr>
          <w:rFonts w:cs="Times New Roman"/>
          <w:lang w:val="fr-CA"/>
        </w:rPr>
        <w:t xml:space="preserve"> pas</w:t>
      </w:r>
      <w:r>
        <w:rPr>
          <w:rFonts w:cs="Times New Roman"/>
          <w:lang w:val="fr-CA"/>
        </w:rPr>
        <w:t>)</w:t>
      </w:r>
      <w:r w:rsidRPr="0062272F">
        <w:rPr>
          <w:rFonts w:cs="Times New Roman"/>
          <w:lang w:val="fr-CA"/>
        </w:rPr>
        <w:t xml:space="preserve"> le désavantage économique que subissent les femmes (par. 113). En d’autres termes, le régime </w:t>
      </w:r>
      <w:r w:rsidRPr="0062272F">
        <w:rPr>
          <w:rFonts w:cs="Times New Roman"/>
          <w:i/>
          <w:lang w:val="fr-CA"/>
        </w:rPr>
        <w:t>n’</w:t>
      </w:r>
      <w:r w:rsidRPr="0062272F">
        <w:rPr>
          <w:rFonts w:cs="Times New Roman"/>
          <w:lang w:val="fr-CA"/>
        </w:rPr>
        <w:t xml:space="preserve">est </w:t>
      </w:r>
      <w:r w:rsidRPr="0062272F">
        <w:rPr>
          <w:rFonts w:cs="Times New Roman"/>
          <w:i/>
          <w:iCs/>
          <w:lang w:val="fr-CA"/>
        </w:rPr>
        <w:t>pas suffisamment</w:t>
      </w:r>
      <w:r w:rsidRPr="0062272F">
        <w:rPr>
          <w:rFonts w:cs="Times New Roman"/>
          <w:lang w:val="fr-CA"/>
        </w:rPr>
        <w:t xml:space="preserve"> réparateur. </w:t>
      </w:r>
    </w:p>
    <w:p w14:paraId="52612CEF" w14:textId="0639E5D8" w:rsidR="00804EA2" w:rsidRPr="0062272F" w:rsidRDefault="00804EA2" w:rsidP="00804EA2">
      <w:pPr>
        <w:pStyle w:val="ParaNoNdepar-AltN"/>
        <w:rPr>
          <w:rFonts w:cs="Times New Roman"/>
          <w:lang w:val="fr-CA"/>
        </w:rPr>
      </w:pPr>
      <w:r w:rsidRPr="0062272F">
        <w:rPr>
          <w:rFonts w:cs="Times New Roman"/>
          <w:lang w:val="fr-CA"/>
        </w:rPr>
        <w:t xml:space="preserve">Cette décision a concrètement pour effet d’abandonner les principes fondamentaux qui ont si récemment été confirmés dans l’arrêt </w:t>
      </w:r>
      <w:r w:rsidRPr="0062272F">
        <w:rPr>
          <w:rFonts w:cs="Times New Roman"/>
          <w:i/>
          <w:lang w:val="fr-CA"/>
        </w:rPr>
        <w:t>Alliance</w:t>
      </w:r>
      <w:r w:rsidRPr="0062272F">
        <w:rPr>
          <w:rFonts w:cs="Times New Roman"/>
          <w:lang w:val="fr-CA"/>
        </w:rPr>
        <w:t xml:space="preserve"> et de dissuader les gouvernements d’offrir à l’avenir des programmes destinés à améliorer une situation </w:t>
      </w:r>
      <w:r>
        <w:rPr>
          <w:rFonts w:cs="Times New Roman"/>
          <w:lang w:val="fr-CA"/>
        </w:rPr>
        <w:t>(</w:t>
      </w:r>
      <w:r w:rsidRPr="0062272F">
        <w:rPr>
          <w:rFonts w:cs="Times New Roman"/>
          <w:lang w:val="fr-CA"/>
        </w:rPr>
        <w:t>ou, comme c’est le cas en l’espèce, d’offrir des options d’emploi à leurs employés</w:t>
      </w:r>
      <w:r>
        <w:rPr>
          <w:rFonts w:cs="Times New Roman"/>
          <w:lang w:val="fr-CA"/>
        </w:rPr>
        <w:t>)</w:t>
      </w:r>
      <w:r w:rsidRPr="0062272F">
        <w:rPr>
          <w:rFonts w:cs="Times New Roman"/>
          <w:lang w:val="fr-CA"/>
        </w:rPr>
        <w:t xml:space="preserve">. Cette conséquence s’explique par le fait que notre collègue oblige en réalité le législateur qui cherche simplement à </w:t>
      </w:r>
      <w:r w:rsidRPr="0062272F">
        <w:rPr>
          <w:rFonts w:cs="Times New Roman"/>
          <w:i/>
          <w:iCs/>
          <w:lang w:val="fr-CA"/>
        </w:rPr>
        <w:t xml:space="preserve">atténuer </w:t>
      </w:r>
      <w:r w:rsidRPr="0062272F">
        <w:rPr>
          <w:rFonts w:cs="Times New Roman"/>
          <w:lang w:val="fr-CA"/>
        </w:rPr>
        <w:t xml:space="preserve">les effets d’une inégalité à prendre des mesures positives pour </w:t>
      </w:r>
      <w:r w:rsidRPr="0062272F">
        <w:rPr>
          <w:rFonts w:cs="Times New Roman"/>
          <w:i/>
          <w:iCs/>
          <w:lang w:val="fr-CA"/>
        </w:rPr>
        <w:t>supprimer</w:t>
      </w:r>
      <w:r w:rsidRPr="0062272F">
        <w:rPr>
          <w:rFonts w:cs="Times New Roman"/>
          <w:lang w:val="fr-CA"/>
        </w:rPr>
        <w:t xml:space="preserve"> complètement les effets en question. Pareille obligation va au</w:t>
      </w:r>
      <w:r w:rsidRPr="0062272F">
        <w:rPr>
          <w:rFonts w:cs="Times New Roman"/>
          <w:lang w:val="fr-CA"/>
        </w:rPr>
        <w:noBreakHyphen/>
        <w:t xml:space="preserve">delà de la portée que notre Cour a donnée au par. 15(1), lequel, contrairement à certaines autres dispositions de la </w:t>
      </w:r>
      <w:r w:rsidRPr="0062272F">
        <w:rPr>
          <w:rFonts w:cs="Times New Roman"/>
          <w:i/>
          <w:lang w:val="fr-CA"/>
        </w:rPr>
        <w:t>Charte</w:t>
      </w:r>
      <w:r w:rsidRPr="0062272F">
        <w:rPr>
          <w:rFonts w:cs="Times New Roman"/>
          <w:lang w:val="fr-CA"/>
        </w:rPr>
        <w:t xml:space="preserve"> qui semblent contraindre le gouvernement à agir (par ex., art. 3, 14, 20 et 23), « n’impose pas au gouvernement l’obligation de prendre des mesures positives pour remédier aux symptômes de l’inégalité systémique » (</w:t>
      </w:r>
      <w:r w:rsidRPr="0062272F">
        <w:rPr>
          <w:rFonts w:cs="Times New Roman"/>
          <w:i/>
          <w:lang w:val="fr-CA"/>
        </w:rPr>
        <w:t>Thibaudeau c. Canada</w:t>
      </w:r>
      <w:r w:rsidRPr="0062272F">
        <w:rPr>
          <w:rFonts w:cs="Times New Roman"/>
          <w:lang w:val="fr-CA"/>
        </w:rPr>
        <w:t xml:space="preserve">, [1995] 2 R.C.S. 627, par. 38, la juge </w:t>
      </w:r>
      <w:r>
        <w:rPr>
          <w:rFonts w:cs="Times New Roman"/>
          <w:lang w:val="fr-CA"/>
        </w:rPr>
        <w:t>L’Heureux-</w:t>
      </w:r>
      <w:r w:rsidRPr="0062272F">
        <w:rPr>
          <w:rFonts w:cs="Times New Roman"/>
          <w:lang w:val="fr-CA"/>
        </w:rPr>
        <w:t xml:space="preserve">Dubé, dissidente, mais non sur ce point; voir également </w:t>
      </w:r>
      <w:r w:rsidRPr="0062272F">
        <w:rPr>
          <w:rFonts w:cs="Times New Roman"/>
          <w:i/>
          <w:lang w:val="fr-CA"/>
        </w:rPr>
        <w:t>Auton</w:t>
      </w:r>
      <w:r w:rsidRPr="0062272F">
        <w:rPr>
          <w:rFonts w:cs="Times New Roman"/>
          <w:lang w:val="fr-CA"/>
        </w:rPr>
        <w:t>, par. 2 et 41;</w:t>
      </w:r>
      <w:r w:rsidRPr="0062272F">
        <w:rPr>
          <w:rFonts w:cs="Times New Roman"/>
          <w:i/>
          <w:lang w:val="fr-CA"/>
        </w:rPr>
        <w:t xml:space="preserve"> Alliance</w:t>
      </w:r>
      <w:r w:rsidRPr="0062272F">
        <w:rPr>
          <w:rFonts w:cs="Times New Roman"/>
          <w:lang w:val="fr-CA"/>
        </w:rPr>
        <w:t xml:space="preserve">, par. 42; </w:t>
      </w:r>
      <w:r w:rsidRPr="0062272F">
        <w:rPr>
          <w:rFonts w:cs="Times New Roman"/>
          <w:i/>
          <w:lang w:val="fr-CA"/>
        </w:rPr>
        <w:t>Centrale</w:t>
      </w:r>
      <w:r w:rsidRPr="0062272F">
        <w:rPr>
          <w:rFonts w:cs="Times New Roman"/>
          <w:lang w:val="fr-CA"/>
        </w:rPr>
        <w:t>, par. 33;</w:t>
      </w:r>
      <w:r w:rsidRPr="0062272F">
        <w:rPr>
          <w:rFonts w:cs="Times New Roman"/>
          <w:i/>
          <w:lang w:val="fr-CA"/>
        </w:rPr>
        <w:t xml:space="preserve"> Andrews</w:t>
      </w:r>
      <w:r w:rsidRPr="0062272F">
        <w:rPr>
          <w:rFonts w:cs="Times New Roman"/>
          <w:lang w:val="fr-CA"/>
        </w:rPr>
        <w:t xml:space="preserve">, p. 163, 171 et 175; </w:t>
      </w:r>
      <w:r w:rsidRPr="0062272F">
        <w:rPr>
          <w:rFonts w:cs="Times New Roman"/>
          <w:i/>
          <w:lang w:val="fr-CA"/>
        </w:rPr>
        <w:t>McKinney</w:t>
      </w:r>
      <w:r w:rsidRPr="0062272F">
        <w:rPr>
          <w:rFonts w:cs="Times New Roman"/>
          <w:lang w:val="fr-CA"/>
        </w:rPr>
        <w:t xml:space="preserve">, p. 318; </w:t>
      </w:r>
      <w:r w:rsidR="006B2E4F">
        <w:rPr>
          <w:rFonts w:cs="Times New Roman"/>
          <w:i/>
          <w:lang w:val="fr-CA"/>
        </w:rPr>
        <w:t>Lovelace c</w:t>
      </w:r>
      <w:r w:rsidRPr="0062272F">
        <w:rPr>
          <w:rFonts w:cs="Times New Roman"/>
          <w:i/>
          <w:lang w:val="fr-CA"/>
        </w:rPr>
        <w:t>. Ontario</w:t>
      </w:r>
      <w:r w:rsidRPr="0062272F">
        <w:rPr>
          <w:rFonts w:cs="Times New Roman"/>
          <w:lang w:val="fr-CA"/>
        </w:rPr>
        <w:t>, 2000 CSC 37, [2000] 1 R.C.S. 950, par. 90</w:t>
      </w:r>
      <w:r w:rsidRPr="0062272F">
        <w:rPr>
          <w:rFonts w:cs="Times New Roman"/>
          <w:lang w:val="fr-CA"/>
        </w:rPr>
        <w:noBreakHyphen/>
        <w:t xml:space="preserve">92). </w:t>
      </w:r>
    </w:p>
    <w:p w14:paraId="7505BB91" w14:textId="77777777" w:rsidR="00804EA2" w:rsidRPr="0062272F" w:rsidRDefault="00804EA2" w:rsidP="00804EA2">
      <w:pPr>
        <w:pStyle w:val="ParaNoNdepar-AltN"/>
        <w:rPr>
          <w:rFonts w:cs="Times New Roman"/>
          <w:lang w:val="fr-CA"/>
        </w:rPr>
      </w:pPr>
      <w:r w:rsidRPr="0062272F">
        <w:rPr>
          <w:rFonts w:cs="Times New Roman"/>
          <w:lang w:val="fr-CA"/>
        </w:rPr>
        <w:lastRenderedPageBreak/>
        <w:t xml:space="preserve">Le fait d’exiger que la loi soit </w:t>
      </w:r>
      <w:r w:rsidRPr="0062272F">
        <w:rPr>
          <w:rFonts w:cs="Times New Roman"/>
          <w:i/>
          <w:iCs/>
          <w:lang w:val="fr-CA"/>
        </w:rPr>
        <w:t xml:space="preserve">suffisamment </w:t>
      </w:r>
      <w:r w:rsidRPr="0062272F">
        <w:rPr>
          <w:rFonts w:cs="Times New Roman"/>
          <w:lang w:val="fr-CA"/>
        </w:rPr>
        <w:t>réparatrice modifie non seulement la portée du par. 15(1), mais entraîne aussi les tribunaux en dehors du cadre de leurs compétences institutionnelles. Les juges ne disposent pas des outils nécessaires pour faire face à des complexités politiques et budgétaires lorsqu’il s’agit de légiférer en matière de régime de prestations. « La tâche de [. . .] promouvoir la cause des droits de la personne [. . .] incite à faire preuve d</w:t>
      </w:r>
      <w:r>
        <w:rPr>
          <w:rFonts w:cs="Times New Roman"/>
          <w:lang w:val="fr-CA"/>
        </w:rPr>
        <w:t>’</w:t>
      </w:r>
      <w:r w:rsidRPr="0062272F">
        <w:rPr>
          <w:rFonts w:cs="Times New Roman"/>
          <w:lang w:val="fr-CA"/>
        </w:rPr>
        <w:t>une certaine retenue à l</w:t>
      </w:r>
      <w:r>
        <w:rPr>
          <w:rFonts w:cs="Times New Roman"/>
          <w:lang w:val="fr-CA"/>
        </w:rPr>
        <w:t>’</w:t>
      </w:r>
      <w:r w:rsidRPr="0062272F">
        <w:rPr>
          <w:rFonts w:cs="Times New Roman"/>
          <w:lang w:val="fr-CA"/>
        </w:rPr>
        <w:t>égard du choix du législateur » (</w:t>
      </w:r>
      <w:r w:rsidRPr="0062272F">
        <w:rPr>
          <w:rFonts w:cs="Times New Roman"/>
          <w:i/>
          <w:iCs/>
          <w:lang w:val="fr-CA"/>
        </w:rPr>
        <w:t>McKinney</w:t>
      </w:r>
      <w:r w:rsidRPr="0062272F">
        <w:rPr>
          <w:rFonts w:cs="Times New Roman"/>
          <w:lang w:val="fr-CA"/>
        </w:rPr>
        <w:t xml:space="preserve">, p. 318). Il en est ainsi parce que seul le législateur est en mesure, sur le plan institutionnel, de mener les études et les recherches nécessaires pour déterminer comment, et à quel rythme, ses ressources devraient être mises en œuvre pour s’attaquer le plus efficacement possible à un problème particulier d’inégalité historique (et, en fin de compte, pour surveiller cette mise en œuvre). Les tribunaux sont mal placés pour déterminer la nature et la portée de l’obligation d’adopter une loi </w:t>
      </w:r>
      <w:r w:rsidRPr="0062272F">
        <w:rPr>
          <w:rFonts w:cs="Times New Roman"/>
          <w:i/>
          <w:iCs/>
          <w:lang w:val="fr-CA"/>
        </w:rPr>
        <w:t xml:space="preserve">suffisamment </w:t>
      </w:r>
      <w:r w:rsidRPr="0062272F">
        <w:rPr>
          <w:rFonts w:cs="Times New Roman"/>
          <w:lang w:val="fr-CA"/>
        </w:rPr>
        <w:t>réparatrice (</w:t>
      </w:r>
      <w:r w:rsidRPr="0062272F">
        <w:rPr>
          <w:rFonts w:cs="Times New Roman"/>
          <w:i/>
          <w:lang w:val="fr-CA"/>
        </w:rPr>
        <w:t>Ferrel c. Ontario (Attorney General)</w:t>
      </w:r>
      <w:r w:rsidRPr="0062272F">
        <w:rPr>
          <w:rFonts w:cs="Times New Roman"/>
          <w:lang w:val="fr-CA"/>
        </w:rPr>
        <w:t xml:space="preserve"> (1998), 42 O.R. (3d) 97 (C.A.), p. 113).</w:t>
      </w:r>
    </w:p>
    <w:p w14:paraId="77F99558" w14:textId="77777777" w:rsidR="00804EA2" w:rsidRPr="0062272F" w:rsidRDefault="00804EA2" w:rsidP="00804EA2">
      <w:pPr>
        <w:pStyle w:val="ParaNoNdepar-AltN"/>
        <w:rPr>
          <w:rFonts w:cs="Times New Roman"/>
          <w:lang w:val="fr-CA"/>
        </w:rPr>
      </w:pPr>
      <w:r w:rsidRPr="0062272F">
        <w:rPr>
          <w:rFonts w:cs="Times New Roman"/>
          <w:lang w:val="fr-CA"/>
        </w:rPr>
        <w:t>Prenons l’exemple du présent régime. À la lumière de la décision de notre collègue, qu’est</w:t>
      </w:r>
      <w:r w:rsidRPr="0062272F">
        <w:rPr>
          <w:rFonts w:cs="Times New Roman"/>
          <w:lang w:val="fr-CA"/>
        </w:rPr>
        <w:noBreakHyphen/>
        <w:t xml:space="preserve">ce qui empêche un employé de la GRC de travailler à temps plein pendant une très courte période avant de conclure une entente de partage de poste? Cet employé serait apparemment autorisé à racheter des droits à pension en tant qu’employé </w:t>
      </w:r>
      <w:r w:rsidRPr="0062272F">
        <w:rPr>
          <w:rFonts w:cs="Times New Roman"/>
          <w:i/>
          <w:iCs/>
          <w:lang w:val="fr-CA"/>
        </w:rPr>
        <w:t>à temps plein</w:t>
      </w:r>
      <w:r w:rsidRPr="0062272F">
        <w:rPr>
          <w:rFonts w:cs="Times New Roman"/>
          <w:lang w:val="fr-CA"/>
        </w:rPr>
        <w:t>, alors que l’employé qui a été recruté au sein de la Gendarmerie comme membre à temps partiel et qui a depuis continué à travailler à temps partiel se verrait refuser cette possibilité. Dans le même ordre d’idées, qu’en est</w:t>
      </w:r>
      <w:r w:rsidRPr="0062272F">
        <w:rPr>
          <w:rFonts w:cs="Times New Roman"/>
          <w:lang w:val="fr-CA"/>
        </w:rPr>
        <w:noBreakHyphen/>
        <w:t xml:space="preserve">il des employés qui « réduisent temporairement » leurs heures de travail? Que se </w:t>
      </w:r>
      <w:r w:rsidRPr="0062272F">
        <w:rPr>
          <w:rFonts w:cs="Times New Roman"/>
          <w:lang w:val="fr-CA"/>
        </w:rPr>
        <w:lastRenderedPageBreak/>
        <w:t>passe</w:t>
      </w:r>
      <w:r w:rsidRPr="0062272F">
        <w:rPr>
          <w:rFonts w:cs="Times New Roman"/>
          <w:lang w:val="fr-CA"/>
        </w:rPr>
        <w:noBreakHyphen/>
        <w:t>t</w:t>
      </w:r>
      <w:r w:rsidRPr="0062272F">
        <w:rPr>
          <w:rFonts w:cs="Times New Roman"/>
          <w:lang w:val="fr-CA"/>
        </w:rPr>
        <w:noBreakHyphen/>
        <w:t xml:space="preserve">il si une employée a conclu une entente de partage de poste pour pouvoir s’occuper de ses enfants, mais ne reprend pas le travail à temps plein une fois ses enfants devenus adultes? Bien entendu, nous l’ignorons et nous ne sommes pas en mesure de le savoir. Nous ne sommes pas non plus censés être au courant de ces situations, ni même de les prévoir. Mais, pour la même raison, on </w:t>
      </w:r>
      <w:r w:rsidRPr="007565EB">
        <w:rPr>
          <w:rFonts w:cs="Times New Roman"/>
          <w:i/>
          <w:lang w:val="fr-CA"/>
        </w:rPr>
        <w:t>attend</w:t>
      </w:r>
      <w:r w:rsidRPr="0062272F">
        <w:rPr>
          <w:rFonts w:cs="Times New Roman"/>
          <w:lang w:val="fr-CA"/>
        </w:rPr>
        <w:t xml:space="preserve"> de nous que nous respections le cadre de nos compétences institutionnelles et que nous évitions de jongler avec la mécanique complexe que représente un cadre législatif comme le présent régime.</w:t>
      </w:r>
    </w:p>
    <w:p w14:paraId="3CE351EC" w14:textId="79FC2BD6" w:rsidR="00804EA2" w:rsidRPr="0062272F" w:rsidRDefault="00804EA2" w:rsidP="00804EA2">
      <w:pPr>
        <w:pStyle w:val="ParaNoNdepar-AltN"/>
        <w:rPr>
          <w:rFonts w:cs="Times New Roman"/>
          <w:lang w:val="fr-CA"/>
        </w:rPr>
      </w:pPr>
      <w:r w:rsidRPr="0062272F">
        <w:rPr>
          <w:rFonts w:cs="Times New Roman"/>
          <w:lang w:val="fr-CA"/>
        </w:rPr>
        <w:t>Dans le cas qui nous occupe, les désavantages que subissent les appelantes ne sont pas causés par les dispositions contestées ou par une quelconque mesure gouvernementale, mais par la répartition inégale des responsabilités domestiques et familiales et par des facteurs sociaux comme l’accès à des garderies de qualité. La solution à ces problèmes sous</w:t>
      </w:r>
      <w:r w:rsidRPr="0062272F">
        <w:rPr>
          <w:rFonts w:cs="Times New Roman"/>
          <w:lang w:val="fr-CA"/>
        </w:rPr>
        <w:noBreakHyphen/>
        <w:t xml:space="preserve">jacents, qui débordent le cadre du régime et qui échappent à la compétence des tribunaux, ne consiste certainement pas à invalider une loi réparatrice. Toutefois, de l’avis de notre collègue, il </w:t>
      </w:r>
      <w:r>
        <w:rPr>
          <w:rFonts w:cs="Times New Roman"/>
          <w:lang w:val="fr-CA"/>
        </w:rPr>
        <w:t>n’</w:t>
      </w:r>
      <w:r w:rsidRPr="0062272F">
        <w:rPr>
          <w:rFonts w:cs="Times New Roman"/>
          <w:lang w:val="fr-CA"/>
        </w:rPr>
        <w:t>est « </w:t>
      </w:r>
      <w:r>
        <w:rPr>
          <w:rFonts w:cs="Times New Roman"/>
          <w:lang w:val="fr-CA"/>
        </w:rPr>
        <w:t>absolument pas pertinent</w:t>
      </w:r>
      <w:r w:rsidRPr="0062272F">
        <w:rPr>
          <w:rFonts w:cs="Times New Roman"/>
          <w:lang w:val="fr-CA"/>
        </w:rPr>
        <w:t xml:space="preserve"> » de s’interroger sur les véritables causes de ces désavantages (par. 71). Selon elle, les tribunaux peuvent intervenir chaque fois qu’ils sont en mesure d’identifier dans l’affaire dont ils sont saisis une situation sociale connexe à laquelle ils souhaitent s’attaquer. Il est désormais loisible aux tribunaux de participer à la « transformation » de la loi s’ils estiment simplement que « les institutions et les rapports doivent être modifiés » (par. 36, citant </w:t>
      </w:r>
      <w:r w:rsidRPr="0062272F">
        <w:rPr>
          <w:rFonts w:cs="Times New Roman"/>
          <w:i/>
          <w:lang w:val="fr-CA"/>
        </w:rPr>
        <w:t>Colombie</w:t>
      </w:r>
      <w:r w:rsidRPr="0062272F">
        <w:rPr>
          <w:rFonts w:cs="Times New Roman"/>
          <w:i/>
          <w:lang w:val="fr-CA"/>
        </w:rPr>
        <w:noBreakHyphen/>
        <w:t>Britannique (Public Service Employee Relations Commission) c. BCGSEU</w:t>
      </w:r>
      <w:r w:rsidRPr="0062272F">
        <w:rPr>
          <w:rFonts w:cs="Times New Roman"/>
          <w:lang w:val="fr-CA"/>
        </w:rPr>
        <w:t xml:space="preserve">, [1999] 3 R.C.S. 3, par. 41, citant S. Day et G. Brodsky, </w:t>
      </w:r>
      <w:r w:rsidRPr="0062272F">
        <w:rPr>
          <w:rFonts w:cs="Times New Roman"/>
          <w:lang w:val="fr-CA"/>
        </w:rPr>
        <w:lastRenderedPageBreak/>
        <w:t>« The Duty to Accommodate</w:t>
      </w:r>
      <w:r w:rsidR="00941944">
        <w:rPr>
          <w:rFonts w:cs="Times New Roman"/>
          <w:lang w:val="fr-CA"/>
        </w:rPr>
        <w:t> </w:t>
      </w:r>
      <w:r w:rsidRPr="0062272F">
        <w:rPr>
          <w:rFonts w:cs="Times New Roman"/>
          <w:lang w:val="fr-CA"/>
        </w:rPr>
        <w:t xml:space="preserve">: Who Will Benefit? » (1996), 75 </w:t>
      </w:r>
      <w:r w:rsidRPr="0062272F">
        <w:rPr>
          <w:rFonts w:cs="Times New Roman"/>
          <w:i/>
          <w:lang w:val="fr-CA"/>
        </w:rPr>
        <w:t>R. du B. can.</w:t>
      </w:r>
      <w:r w:rsidRPr="0062272F">
        <w:rPr>
          <w:rFonts w:cs="Times New Roman"/>
          <w:lang w:val="fr-CA"/>
        </w:rPr>
        <w:t>, 433, p. 462). À notre humble avis, ce n’est pas notre rôle.</w:t>
      </w:r>
    </w:p>
    <w:p w14:paraId="77CA956F" w14:textId="77777777" w:rsidR="00804EA2" w:rsidRPr="0062272F" w:rsidRDefault="00804EA2" w:rsidP="00804EA2">
      <w:pPr>
        <w:pStyle w:val="ParaNoNdepar-AltN"/>
        <w:rPr>
          <w:rFonts w:cs="Times New Roman"/>
          <w:lang w:val="fr-CA"/>
        </w:rPr>
      </w:pPr>
      <w:r w:rsidRPr="0062272F">
        <w:rPr>
          <w:rFonts w:cs="Times New Roman"/>
          <w:lang w:val="fr-CA"/>
        </w:rPr>
        <w:t>Un dernier point connexe sur les conséquences pratiques de la décision de notre collègue. Pendant une trentaine d’années, notre Cour a eu du mal à définir l’expression « égalité réelle ». Une définition intelligible fondée sur des principes demeure hors d’atteinte. La présente affaire illustre d’ailleurs les difficultés que pose le caractère ambigu de la notion d’« égalité réelle » — sur laquelle repose essentiellement la décision de notre collègue (par. 47</w:t>
      </w:r>
      <w:r w:rsidRPr="0062272F">
        <w:rPr>
          <w:rFonts w:cs="Times New Roman"/>
          <w:lang w:val="fr-CA"/>
        </w:rPr>
        <w:noBreakHyphen/>
        <w:t xml:space="preserve">48) — et le flottement constant dont elle fait l’objet dans la jurisprudence de notre Cour. </w:t>
      </w:r>
    </w:p>
    <w:p w14:paraId="31D3C733" w14:textId="77777777" w:rsidR="00804EA2" w:rsidRPr="0062272F" w:rsidRDefault="00804EA2" w:rsidP="00804EA2">
      <w:pPr>
        <w:pStyle w:val="ParaNoNdepar-AltN"/>
        <w:rPr>
          <w:rFonts w:cs="Times New Roman"/>
          <w:lang w:val="fr-CA"/>
        </w:rPr>
      </w:pPr>
      <w:r w:rsidRPr="0062272F">
        <w:rPr>
          <w:rFonts w:cs="Times New Roman"/>
          <w:lang w:val="fr-CA"/>
        </w:rPr>
        <w:t xml:space="preserve">Bien que notre Cour ait affirmé que l’égalité réelle </w:t>
      </w:r>
      <w:r w:rsidRPr="0062272F">
        <w:rPr>
          <w:rFonts w:cs="Times New Roman"/>
          <w:i/>
          <w:iCs/>
          <w:lang w:val="fr-CA"/>
        </w:rPr>
        <w:t>n’</w:t>
      </w:r>
      <w:r w:rsidRPr="0062272F">
        <w:rPr>
          <w:rFonts w:cs="Times New Roman"/>
          <w:iCs/>
          <w:lang w:val="fr-CA"/>
        </w:rPr>
        <w:t>est</w:t>
      </w:r>
      <w:r w:rsidRPr="0062272F">
        <w:rPr>
          <w:rFonts w:cs="Times New Roman"/>
          <w:i/>
          <w:iCs/>
          <w:lang w:val="fr-CA"/>
        </w:rPr>
        <w:t xml:space="preserve"> pas</w:t>
      </w:r>
      <w:r w:rsidRPr="0062272F">
        <w:rPr>
          <w:rFonts w:cs="Times New Roman"/>
          <w:lang w:val="fr-CA"/>
        </w:rPr>
        <w:t xml:space="preserve"> synonyme d’égalité formelle (</w:t>
      </w:r>
      <w:r w:rsidRPr="0062272F">
        <w:rPr>
          <w:rFonts w:cs="Times New Roman"/>
          <w:i/>
          <w:lang w:val="fr-CA"/>
        </w:rPr>
        <w:t>Withler</w:t>
      </w:r>
      <w:r w:rsidRPr="0062272F">
        <w:rPr>
          <w:rFonts w:cs="Times New Roman"/>
          <w:lang w:val="fr-CA"/>
        </w:rPr>
        <w:t xml:space="preserve">, par. 2 et 39; </w:t>
      </w:r>
      <w:r w:rsidRPr="0062272F">
        <w:rPr>
          <w:rFonts w:cs="Times New Roman"/>
          <w:i/>
          <w:lang w:val="fr-CA"/>
        </w:rPr>
        <w:t>Kapp</w:t>
      </w:r>
      <w:r w:rsidRPr="0062272F">
        <w:rPr>
          <w:rFonts w:cs="Times New Roman"/>
          <w:lang w:val="fr-CA"/>
        </w:rPr>
        <w:t xml:space="preserve">, par. 15; </w:t>
      </w:r>
      <w:r w:rsidRPr="0062272F">
        <w:rPr>
          <w:rFonts w:cs="Times New Roman"/>
          <w:i/>
          <w:lang w:val="fr-CA"/>
        </w:rPr>
        <w:t>Centrale</w:t>
      </w:r>
      <w:r w:rsidRPr="0062272F">
        <w:rPr>
          <w:rFonts w:cs="Times New Roman"/>
          <w:lang w:val="fr-CA"/>
        </w:rPr>
        <w:t xml:space="preserve">, par. 25; </w:t>
      </w:r>
      <w:r w:rsidRPr="0062272F">
        <w:rPr>
          <w:rFonts w:cs="Times New Roman"/>
          <w:i/>
          <w:iCs/>
          <w:lang w:val="fr-CA"/>
        </w:rPr>
        <w:t>Hodge</w:t>
      </w:r>
      <w:r w:rsidRPr="0062272F">
        <w:rPr>
          <w:rFonts w:cs="Times New Roman"/>
          <w:lang w:val="fr-CA"/>
        </w:rPr>
        <w:t xml:space="preserve">, par. 25), elle s’est fort peu attardée à préciser </w:t>
      </w:r>
      <w:r w:rsidRPr="0062272F">
        <w:rPr>
          <w:rFonts w:cs="Times New Roman"/>
          <w:i/>
          <w:iCs/>
          <w:lang w:val="fr-CA"/>
        </w:rPr>
        <w:t>en quoi consistait</w:t>
      </w:r>
      <w:r w:rsidRPr="0062272F">
        <w:rPr>
          <w:rFonts w:cs="Times New Roman"/>
          <w:lang w:val="fr-CA"/>
        </w:rPr>
        <w:t xml:space="preserve"> l’égalité réelle. Elle a donné peu d’indications à ce sujet, se contentant de qualifier l’égalité réelle de « norme fondamentale », de « but », d’« approche », de « moteur » et, plus récemment, de « prémisse philosophique » du par. 15(1) (</w:t>
      </w:r>
      <w:r w:rsidRPr="0062272F">
        <w:rPr>
          <w:rFonts w:cs="Times New Roman"/>
          <w:i/>
          <w:lang w:val="fr-CA"/>
        </w:rPr>
        <w:t>Withler</w:t>
      </w:r>
      <w:r w:rsidRPr="0062272F">
        <w:rPr>
          <w:rFonts w:cs="Times New Roman"/>
          <w:lang w:val="fr-CA"/>
        </w:rPr>
        <w:t xml:space="preserve">, par. 2; </w:t>
      </w:r>
      <w:r w:rsidRPr="0062272F">
        <w:rPr>
          <w:rFonts w:cs="Times New Roman"/>
          <w:i/>
          <w:lang w:val="fr-CA"/>
        </w:rPr>
        <w:t>Cunningham</w:t>
      </w:r>
      <w:r w:rsidRPr="0062272F">
        <w:rPr>
          <w:rFonts w:cs="Times New Roman"/>
          <w:lang w:val="fr-CA"/>
        </w:rPr>
        <w:t xml:space="preserve">, par. 38; </w:t>
      </w:r>
      <w:r w:rsidRPr="0062272F">
        <w:rPr>
          <w:rFonts w:cs="Times New Roman"/>
          <w:i/>
          <w:lang w:val="fr-CA"/>
        </w:rPr>
        <w:t>Alliance</w:t>
      </w:r>
      <w:r w:rsidRPr="0062272F">
        <w:rPr>
          <w:rFonts w:cs="Times New Roman"/>
          <w:lang w:val="fr-CA"/>
        </w:rPr>
        <w:t xml:space="preserve">, par. 25; </w:t>
      </w:r>
      <w:r w:rsidRPr="0062272F">
        <w:rPr>
          <w:rFonts w:cs="Times New Roman"/>
          <w:i/>
          <w:lang w:val="fr-CA"/>
        </w:rPr>
        <w:t>Centrale</w:t>
      </w:r>
      <w:r w:rsidRPr="0062272F">
        <w:rPr>
          <w:rFonts w:cs="Times New Roman"/>
          <w:lang w:val="fr-CA"/>
        </w:rPr>
        <w:t xml:space="preserve">, par. 25; </w:t>
      </w:r>
      <w:r w:rsidRPr="0062272F">
        <w:rPr>
          <w:rFonts w:cs="Times New Roman"/>
          <w:i/>
          <w:lang w:val="fr-CA"/>
        </w:rPr>
        <w:t>Taypotat</w:t>
      </w:r>
      <w:r w:rsidRPr="0062272F">
        <w:rPr>
          <w:rFonts w:cs="Times New Roman"/>
          <w:lang w:val="fr-CA"/>
        </w:rPr>
        <w:t>, par. 17; motifs des juges majoritaires, par. 40, 42 et 48). La Cour n’a pas proposé de véritable définition, recourant plutôt à des métaphores ou à des analogies, ce que les commentateurs n’ont pas manqué de relever :</w:t>
      </w:r>
    </w:p>
    <w:p w14:paraId="6CA70183" w14:textId="1F2DE216" w:rsidR="00804EA2" w:rsidRPr="0062272F" w:rsidRDefault="00804EA2" w:rsidP="0040096F">
      <w:pPr>
        <w:pStyle w:val="Citation-AltC"/>
        <w:spacing w:after="240"/>
        <w:ind w:left="1168" w:hanging="1168"/>
        <w:contextualSpacing w:val="0"/>
        <w:rPr>
          <w:lang w:val="fr-CA"/>
        </w:rPr>
      </w:pPr>
      <w:r w:rsidRPr="0062272F">
        <w:rPr>
          <w:lang w:val="fr-CA"/>
        </w:rPr>
        <w:tab/>
        <w:t>[</w:t>
      </w:r>
      <w:r w:rsidRPr="0062272F">
        <w:rPr>
          <w:smallCaps/>
          <w:lang w:val="fr-CA"/>
        </w:rPr>
        <w:t>traduction</w:t>
      </w:r>
      <w:r w:rsidRPr="0062272F">
        <w:rPr>
          <w:lang w:val="fr-CA"/>
        </w:rPr>
        <w:t xml:space="preserve">] </w:t>
      </w:r>
      <w:r w:rsidR="0040096F">
        <w:rPr>
          <w:lang w:val="fr-CA"/>
        </w:rPr>
        <w:t>I</w:t>
      </w:r>
      <w:r w:rsidRPr="0062272F">
        <w:rPr>
          <w:lang w:val="fr-CA"/>
        </w:rPr>
        <w:t xml:space="preserve">l est essentiel [que la Cour] formule une conception conceptuellement rigoureuse de la notion d’égalité réelle au sens où on l’entend dans la jurisprudence canadienne en matière d’égalité. </w:t>
      </w:r>
    </w:p>
    <w:p w14:paraId="5DF1DF2C" w14:textId="2755E92D" w:rsidR="00804EA2" w:rsidRPr="0062272F" w:rsidRDefault="0040096F" w:rsidP="00804EA2">
      <w:pPr>
        <w:pStyle w:val="Citation-AltC"/>
        <w:spacing w:after="240"/>
        <w:ind w:left="1168" w:hanging="1168"/>
        <w:contextualSpacing w:val="0"/>
        <w:jc w:val="center"/>
        <w:rPr>
          <w:lang w:val="fr-CA"/>
        </w:rPr>
      </w:pPr>
      <w:r>
        <w:rPr>
          <w:lang w:val="fr-CA"/>
        </w:rPr>
        <w:lastRenderedPageBreak/>
        <w:tab/>
        <w:t>. . .</w:t>
      </w:r>
    </w:p>
    <w:p w14:paraId="230B7A12" w14:textId="77777777" w:rsidR="00804EA2" w:rsidRPr="003B602E" w:rsidRDefault="00804EA2" w:rsidP="007C706E">
      <w:pPr>
        <w:pStyle w:val="Citation-AltC"/>
        <w:spacing w:after="480"/>
        <w:ind w:hanging="1166"/>
        <w:contextualSpacing w:val="0"/>
      </w:pPr>
      <w:r w:rsidRPr="0062272F">
        <w:rPr>
          <w:lang w:val="fr-CA"/>
        </w:rPr>
        <w:tab/>
      </w:r>
      <w:r>
        <w:rPr>
          <w:lang w:val="fr-CA"/>
        </w:rPr>
        <w:t>. . . </w:t>
      </w:r>
      <w:r w:rsidRPr="0062272F">
        <w:rPr>
          <w:lang w:val="fr-CA"/>
        </w:rPr>
        <w:t xml:space="preserve">il n’existe pas non plus de consensus sur la signification de l’égalité réelle dans des cas concrets, </w:t>
      </w:r>
      <w:r w:rsidRPr="0040096F">
        <w:rPr>
          <w:i/>
          <w:lang w:val="fr-CA"/>
        </w:rPr>
        <w:t>c.</w:t>
      </w:r>
      <w:r w:rsidRPr="0040096F">
        <w:rPr>
          <w:i/>
          <w:lang w:val="fr-CA"/>
        </w:rPr>
        <w:noBreakHyphen/>
        <w:t>à</w:t>
      </w:r>
      <w:r w:rsidRPr="0040096F">
        <w:rPr>
          <w:i/>
          <w:lang w:val="fr-CA"/>
        </w:rPr>
        <w:noBreakHyphen/>
        <w:t>d.</w:t>
      </w:r>
      <w:r w:rsidRPr="0062272F">
        <w:rPr>
          <w:lang w:val="fr-CA"/>
        </w:rPr>
        <w:t xml:space="preserve"> sur ce à quoi ressemblerait la situation dans laquelle l’idéal visé se matérialiserait par une loi, par opposition à la dimension méthodologique du même idé</w:t>
      </w:r>
      <w:r>
        <w:rPr>
          <w:lang w:val="fr-CA"/>
        </w:rPr>
        <w:t xml:space="preserve">al. </w:t>
      </w:r>
      <w:r w:rsidRPr="0062272F">
        <w:rPr>
          <w:u w:val="single"/>
          <w:lang w:val="fr-CA"/>
        </w:rPr>
        <w:t>L’égalité réelle n’a pas non plus fait l’objet d’une définition positive de la part de la Cour, qui l’a plutôt définie négativement en la présentant comme une façon d’aborder le paragraphe 15(1) qui contraste avec celle employée pour analyser l’égalité formelle.</w:t>
      </w:r>
      <w:r w:rsidRPr="0040096F">
        <w:rPr>
          <w:lang w:val="fr-CA"/>
        </w:rPr>
        <w:t xml:space="preserve"> </w:t>
      </w:r>
      <w:r w:rsidRPr="0040096F">
        <w:t>[Nous soulignons.]</w:t>
      </w:r>
    </w:p>
    <w:p w14:paraId="0A56CB46" w14:textId="3150DC91" w:rsidR="00804EA2" w:rsidRPr="0062272F" w:rsidRDefault="00804EA2" w:rsidP="007C706E">
      <w:pPr>
        <w:pStyle w:val="Citation-AltC"/>
        <w:ind w:left="0"/>
        <w:contextualSpacing w:val="0"/>
        <w:rPr>
          <w:lang w:val="en-US"/>
        </w:rPr>
      </w:pPr>
      <w:r w:rsidRPr="0062272F">
        <w:rPr>
          <w:lang w:val="en-US"/>
        </w:rPr>
        <w:t>(A.</w:t>
      </w:r>
      <w:r w:rsidR="007C706E">
        <w:rPr>
          <w:lang w:val="en-US"/>
        </w:rPr>
        <w:t> </w:t>
      </w:r>
      <w:r w:rsidRPr="0062272F">
        <w:rPr>
          <w:lang w:val="en-US"/>
        </w:rPr>
        <w:t>R. Sangiuliano, « Substantive Equality As Equal Recognition</w:t>
      </w:r>
      <w:r w:rsidR="007C706E">
        <w:rPr>
          <w:lang w:val="en-US"/>
        </w:rPr>
        <w:t> </w:t>
      </w:r>
      <w:r w:rsidRPr="0062272F">
        <w:rPr>
          <w:lang w:val="en-US"/>
        </w:rPr>
        <w:t xml:space="preserve">: A New Theory of Section 15 of the </w:t>
      </w:r>
      <w:r w:rsidRPr="007565EB">
        <w:rPr>
          <w:i/>
          <w:lang w:val="en-US"/>
        </w:rPr>
        <w:t>Charter</w:t>
      </w:r>
      <w:r w:rsidRPr="0062272F">
        <w:rPr>
          <w:lang w:val="en-US"/>
        </w:rPr>
        <w:t xml:space="preserve"> » (2015), 52 </w:t>
      </w:r>
      <w:r w:rsidRPr="0062272F">
        <w:rPr>
          <w:i/>
          <w:lang w:val="en-US"/>
        </w:rPr>
        <w:t xml:space="preserve">Osgoode Hall L.J. </w:t>
      </w:r>
      <w:r w:rsidRPr="0062272F">
        <w:rPr>
          <w:lang w:val="en-US"/>
        </w:rPr>
        <w:t>601, p. 606</w:t>
      </w:r>
      <w:r w:rsidRPr="0062272F">
        <w:rPr>
          <w:lang w:val="en-US"/>
        </w:rPr>
        <w:noBreakHyphen/>
        <w:t>608)</w:t>
      </w:r>
    </w:p>
    <w:p w14:paraId="3EC101E3" w14:textId="0F68F511" w:rsidR="00804EA2" w:rsidRPr="0062272F" w:rsidRDefault="00804EA2" w:rsidP="00804EA2">
      <w:pPr>
        <w:pStyle w:val="ContinueParaSuitedupar-AltP"/>
        <w:rPr>
          <w:rFonts w:cs="Times New Roman"/>
          <w:lang w:val="fr-CA"/>
        </w:rPr>
      </w:pPr>
      <w:r w:rsidRPr="0062272F">
        <w:rPr>
          <w:rFonts w:cs="Times New Roman"/>
          <w:lang w:val="fr-CA"/>
        </w:rPr>
        <w:t xml:space="preserve">D’autres sont allés plus loin, par exemple en faisant remarquer qu’en dépit des efforts déployés par </w:t>
      </w:r>
      <w:r w:rsidR="007C706E" w:rsidRPr="0062272F">
        <w:rPr>
          <w:rFonts w:cs="Times New Roman"/>
          <w:lang w:val="fr-CA"/>
        </w:rPr>
        <w:t>[</w:t>
      </w:r>
      <w:r w:rsidRPr="0062272F">
        <w:rPr>
          <w:rFonts w:cs="Times New Roman"/>
          <w:smallCaps/>
          <w:lang w:val="fr-CA"/>
        </w:rPr>
        <w:t>traduction</w:t>
      </w:r>
      <w:r w:rsidRPr="0062272F">
        <w:rPr>
          <w:rFonts w:cs="Times New Roman"/>
          <w:lang w:val="fr-CA"/>
        </w:rPr>
        <w:t xml:space="preserve">] </w:t>
      </w:r>
      <w:r>
        <w:rPr>
          <w:rFonts w:cs="Times New Roman"/>
          <w:lang w:val="fr-CA"/>
        </w:rPr>
        <w:t>« </w:t>
      </w:r>
      <w:r w:rsidR="007C706E" w:rsidRPr="0062272F">
        <w:rPr>
          <w:rFonts w:cs="Times New Roman"/>
          <w:lang w:val="fr-CA"/>
        </w:rPr>
        <w:t>[</w:t>
      </w:r>
      <w:r w:rsidRPr="0062272F">
        <w:rPr>
          <w:rFonts w:cs="Times New Roman"/>
          <w:lang w:val="fr-CA"/>
        </w:rPr>
        <w:t>d</w:t>
      </w:r>
      <w:r w:rsidR="007C706E" w:rsidRPr="0062272F">
        <w:rPr>
          <w:rFonts w:cs="Times New Roman"/>
          <w:lang w:val="fr-CA"/>
        </w:rPr>
        <w:t>]</w:t>
      </w:r>
      <w:r w:rsidRPr="0062272F">
        <w:rPr>
          <w:rFonts w:cs="Times New Roman"/>
          <w:lang w:val="fr-CA"/>
        </w:rPr>
        <w:t>e nombreux universitaires [. . .] pour étoffer les exigences précises de l’égalité réelle », les formules proposées par notre Cour pour les énoncer se sont avérées [</w:t>
      </w:r>
      <w:r w:rsidRPr="0062272F">
        <w:rPr>
          <w:rFonts w:cs="Times New Roman"/>
          <w:smallCaps/>
          <w:lang w:val="fr-CA"/>
        </w:rPr>
        <w:t>traduction</w:t>
      </w:r>
      <w:r w:rsidRPr="0062272F">
        <w:rPr>
          <w:rFonts w:cs="Times New Roman"/>
          <w:lang w:val="fr-CA"/>
        </w:rPr>
        <w:t>] « vagues et parfois contradictoires » (J.</w:t>
      </w:r>
      <w:r>
        <w:rPr>
          <w:rFonts w:cs="Times New Roman"/>
          <w:lang w:val="fr-CA"/>
        </w:rPr>
        <w:t> </w:t>
      </w:r>
      <w:r w:rsidRPr="0062272F">
        <w:rPr>
          <w:rFonts w:cs="Times New Roman"/>
          <w:lang w:val="fr-CA"/>
        </w:rPr>
        <w:t>Eisen, « Grounding Equality in Social Relations</w:t>
      </w:r>
      <w:r w:rsidR="009E5F9B">
        <w:rPr>
          <w:rFonts w:cs="Times New Roman"/>
          <w:lang w:val="fr-CA"/>
        </w:rPr>
        <w:t> </w:t>
      </w:r>
      <w:r w:rsidRPr="0062272F">
        <w:rPr>
          <w:rFonts w:cs="Times New Roman"/>
          <w:lang w:val="fr-CA"/>
        </w:rPr>
        <w:t xml:space="preserve">: Suspect Classification, Analogous Grounds and Relational Theory » (2017), 42 </w:t>
      </w:r>
      <w:r w:rsidRPr="0062272F">
        <w:rPr>
          <w:rFonts w:cs="Times New Roman"/>
          <w:i/>
          <w:lang w:val="fr-CA"/>
        </w:rPr>
        <w:t>Queen’s L.J.</w:t>
      </w:r>
      <w:r w:rsidRPr="0062272F">
        <w:rPr>
          <w:rFonts w:cs="Times New Roman"/>
          <w:lang w:val="fr-CA"/>
        </w:rPr>
        <w:t xml:space="preserve"> 41, p. 60</w:t>
      </w:r>
      <w:r w:rsidRPr="0062272F">
        <w:rPr>
          <w:rFonts w:cs="Times New Roman"/>
          <w:lang w:val="fr-CA"/>
        </w:rPr>
        <w:noBreakHyphen/>
        <w:t xml:space="preserve">61). </w:t>
      </w:r>
    </w:p>
    <w:p w14:paraId="0D7249EB" w14:textId="77777777" w:rsidR="00804EA2" w:rsidRPr="0062272F" w:rsidRDefault="00804EA2" w:rsidP="00804EA2">
      <w:pPr>
        <w:pStyle w:val="ParaNoNdepar-AltN"/>
        <w:rPr>
          <w:rFonts w:cs="Times New Roman"/>
          <w:lang w:val="fr-CA"/>
        </w:rPr>
      </w:pPr>
      <w:r w:rsidRPr="0062272F">
        <w:rPr>
          <w:rFonts w:cs="Times New Roman"/>
          <w:lang w:val="fr-CA"/>
        </w:rPr>
        <w:t xml:space="preserve">Soyons clairs : nous ne cherchons pas à infirmer la jurisprudence citée par notre collègue dans ses motifs. Nous cherchons plutôt à lui donner effet. Notre divergence d’opinions porte sur </w:t>
      </w:r>
      <w:r w:rsidRPr="0062272F">
        <w:rPr>
          <w:rFonts w:cs="Times New Roman"/>
          <w:i/>
          <w:iCs/>
          <w:lang w:val="fr-CA"/>
        </w:rPr>
        <w:t>la signification et les exigences</w:t>
      </w:r>
      <w:r w:rsidRPr="0062272F">
        <w:rPr>
          <w:rFonts w:cs="Times New Roman"/>
          <w:lang w:val="fr-CA"/>
        </w:rPr>
        <w:t xml:space="preserve"> de l’égalité réelle : nous ne trouvons pas dans l’approche de notre collègue la clarté et les balises nécessaires pour bien donner effet aux objectifs de la </w:t>
      </w:r>
      <w:r w:rsidRPr="0062272F">
        <w:rPr>
          <w:rFonts w:cs="Times New Roman"/>
          <w:i/>
          <w:lang w:val="fr-CA"/>
        </w:rPr>
        <w:t>Charte</w:t>
      </w:r>
      <w:r w:rsidRPr="0062272F">
        <w:rPr>
          <w:rFonts w:cs="Times New Roman"/>
          <w:lang w:val="fr-CA"/>
        </w:rPr>
        <w:t xml:space="preserve">, notamment en ce qui concerne les lois qui visent essentiellement à </w:t>
      </w:r>
      <w:r w:rsidRPr="0062272F">
        <w:rPr>
          <w:rFonts w:cs="Times New Roman"/>
          <w:i/>
          <w:iCs/>
          <w:lang w:val="fr-CA"/>
        </w:rPr>
        <w:t>améliorer</w:t>
      </w:r>
      <w:r w:rsidRPr="0062272F">
        <w:rPr>
          <w:rFonts w:cs="Times New Roman"/>
          <w:lang w:val="fr-CA"/>
        </w:rPr>
        <w:t xml:space="preserve"> une situation. C’est pour cette raison que nous signalons l’absence de véritable définition de la norme de « l’égalité réelle » dans la jurisprudence de notre Cour. Ce concept n’a pas été défini de manière </w:t>
      </w:r>
      <w:r w:rsidRPr="0062272F">
        <w:rPr>
          <w:rFonts w:cs="Times New Roman"/>
          <w:lang w:val="fr-CA"/>
        </w:rPr>
        <w:lastRenderedPageBreak/>
        <w:t xml:space="preserve">à ce que les droits garantis à l’art. 15, ou même les critères qui sont appliqués pour juger ces droits, puissent être connus à l’avance par les demandeurs ou être appliqués avec une certaine cohérence par les tribunaux. </w:t>
      </w:r>
    </w:p>
    <w:p w14:paraId="748A77C9" w14:textId="0F6FC7DE" w:rsidR="00804EA2" w:rsidRPr="0062272F" w:rsidRDefault="00804EA2" w:rsidP="00804EA2">
      <w:pPr>
        <w:pStyle w:val="ParaNoNdepar-AltN"/>
        <w:rPr>
          <w:rFonts w:cs="Times New Roman"/>
          <w:lang w:val="fr-CA"/>
        </w:rPr>
      </w:pPr>
      <w:r w:rsidRPr="0062272F">
        <w:rPr>
          <w:rFonts w:cs="Times New Roman"/>
          <w:lang w:val="fr-CA"/>
        </w:rPr>
        <w:t xml:space="preserve">Cette absence de définition </w:t>
      </w:r>
      <w:r w:rsidRPr="0062272F">
        <w:rPr>
          <w:rFonts w:cs="Times New Roman"/>
          <w:i/>
          <w:lang w:val="fr-CA"/>
        </w:rPr>
        <w:t>ex ante</w:t>
      </w:r>
      <w:r w:rsidRPr="0062272F">
        <w:rPr>
          <w:rFonts w:cs="Times New Roman"/>
          <w:lang w:val="fr-CA"/>
        </w:rPr>
        <w:t xml:space="preserve"> est l’antithèse de toute notion de retenue judiciaire. Lorsqu’un critère juridique n’a pas été clairement circonscrit, les tribunaux qui l’appliquent exercent un pouvoir de contrôle véritablement arbitraire. Et c’est la situation dans laquelle nous retrouvons dans le cas de « l’égalité réelle », qui est devenue un concept théorique approximatif auquel les tribunaux recourent pour imposer au cas par cas dans les affaires dont ils sont saisis leurs préférences en matière de principes et leur idéologie personnelle. Prenons l’exemple de l’approche suivie par notre collègue en l’espèce : elle reconfigure par voie judiciaire une loi qui vise tant de par son esprit que de par ses effets à améliorer une situation en affirmant que cette loi </w:t>
      </w:r>
      <w:r w:rsidRPr="0062272F">
        <w:rPr>
          <w:rFonts w:cs="Times New Roman"/>
          <w:i/>
          <w:iCs/>
          <w:lang w:val="fr-CA"/>
        </w:rPr>
        <w:t xml:space="preserve">n’améliore pas suffisamment </w:t>
      </w:r>
      <w:r w:rsidRPr="0062272F">
        <w:rPr>
          <w:rFonts w:cs="Times New Roman"/>
          <w:lang w:val="fr-CA"/>
        </w:rPr>
        <w:t xml:space="preserve">la situation, plus précisément qu’elle </w:t>
      </w:r>
      <w:r w:rsidRPr="0062272F">
        <w:rPr>
          <w:rFonts w:cs="Times New Roman"/>
          <w:i/>
          <w:iCs/>
          <w:lang w:val="fr-CA"/>
        </w:rPr>
        <w:t>ne l’améliore pas de la façon que notre collègue privilégierait</w:t>
      </w:r>
      <w:r w:rsidRPr="0062272F">
        <w:rPr>
          <w:rFonts w:cs="Times New Roman"/>
          <w:lang w:val="fr-CA"/>
        </w:rPr>
        <w:t xml:space="preserve">. C’est aussi un excellent exemple des fluctuations constantes dont font l’objet les paramètres de « l’égalité réelle », comme en fait foi de façon fort éloquente l’abandon par notre collègue des sages indications proposées par la Cour dans l’arrêt </w:t>
      </w:r>
      <w:r w:rsidRPr="0062272F">
        <w:rPr>
          <w:rFonts w:cs="Times New Roman"/>
          <w:i/>
          <w:lang w:val="fr-CA"/>
        </w:rPr>
        <w:t>Alliance</w:t>
      </w:r>
      <w:r w:rsidRPr="0062272F">
        <w:rPr>
          <w:rFonts w:cs="Times New Roman"/>
          <w:lang w:val="fr-CA"/>
        </w:rPr>
        <w:t>, au par. 42,</w:t>
      </w:r>
      <w:r w:rsidRPr="0062272F">
        <w:rPr>
          <w:rFonts w:eastAsia="Times New Roman" w:cs="Times New Roman"/>
          <w:szCs w:val="24"/>
          <w:lang w:val="fr-CA" w:eastAsia="en-CA"/>
        </w:rPr>
        <w:t xml:space="preserve"> en ce qui concerne les mesures graduelles visant à atténuer </w:t>
      </w:r>
      <w:r w:rsidRPr="0062272F">
        <w:rPr>
          <w:rFonts w:cs="Times New Roman"/>
          <w:lang w:val="fr-CA"/>
        </w:rPr>
        <w:t>l’inégalité systémique. L’approche que notre collègue adopte en l’espèce ne fait en réalité que donner du poids à la crit</w:t>
      </w:r>
      <w:r>
        <w:rPr>
          <w:rFonts w:cs="Times New Roman"/>
          <w:lang w:val="fr-CA"/>
        </w:rPr>
        <w:t>ique très sévère formulée par la</w:t>
      </w:r>
      <w:r w:rsidRPr="0062272F">
        <w:rPr>
          <w:rFonts w:cs="Times New Roman"/>
          <w:lang w:val="fr-CA"/>
        </w:rPr>
        <w:t xml:space="preserve"> professeur</w:t>
      </w:r>
      <w:r>
        <w:rPr>
          <w:rFonts w:cs="Times New Roman"/>
          <w:lang w:val="fr-CA"/>
        </w:rPr>
        <w:t>e</w:t>
      </w:r>
      <w:r w:rsidRPr="0062272F">
        <w:rPr>
          <w:rFonts w:cs="Times New Roman"/>
          <w:lang w:val="fr-CA"/>
        </w:rPr>
        <w:t xml:space="preserve"> Young, pour qui l’égalité réelle est [</w:t>
      </w:r>
      <w:r w:rsidRPr="0062272F">
        <w:rPr>
          <w:rFonts w:cs="Times New Roman"/>
          <w:smallCaps/>
          <w:lang w:val="fr-CA"/>
        </w:rPr>
        <w:t>traduction</w:t>
      </w:r>
      <w:r w:rsidRPr="0062272F">
        <w:rPr>
          <w:rFonts w:cs="Times New Roman"/>
          <w:lang w:val="fr-CA"/>
        </w:rPr>
        <w:t>] « une balise floue et sibylline qui révèle la solution que préconise l’auteur pour résoudre un problème d’inégalité » (M. Young, « Unequal to the Task</w:t>
      </w:r>
      <w:r w:rsidR="009E5F9B">
        <w:rPr>
          <w:rFonts w:cs="Times New Roman"/>
          <w:lang w:val="fr-CA"/>
        </w:rPr>
        <w:t> </w:t>
      </w:r>
      <w:r w:rsidRPr="0062272F">
        <w:rPr>
          <w:rFonts w:cs="Times New Roman"/>
          <w:lang w:val="fr-CA"/>
        </w:rPr>
        <w:t xml:space="preserve">: “Kapp”ing the Substantive </w:t>
      </w:r>
      <w:r w:rsidRPr="0062272F">
        <w:rPr>
          <w:rFonts w:cs="Times New Roman"/>
          <w:lang w:val="fr-CA"/>
        </w:rPr>
        <w:lastRenderedPageBreak/>
        <w:t xml:space="preserve">Potential of Section 15 » (2010), 50 </w:t>
      </w:r>
      <w:r w:rsidR="009E5F9B">
        <w:rPr>
          <w:rFonts w:cs="Times New Roman"/>
          <w:i/>
          <w:lang w:val="fr-CA"/>
        </w:rPr>
        <w:t xml:space="preserve">S.C.L.R. </w:t>
      </w:r>
      <w:r w:rsidRPr="0062272F">
        <w:rPr>
          <w:rFonts w:cs="Times New Roman"/>
          <w:lang w:val="fr-CA"/>
        </w:rPr>
        <w:t>(2</w:t>
      </w:r>
      <w:r w:rsidR="009E5F9B">
        <w:rPr>
          <w:rFonts w:cs="Times New Roman"/>
          <w:lang w:val="fr-CA"/>
        </w:rPr>
        <w:t>d</w:t>
      </w:r>
      <w:r w:rsidRPr="0062272F">
        <w:rPr>
          <w:rFonts w:cs="Times New Roman"/>
          <w:lang w:val="fr-CA"/>
        </w:rPr>
        <w:t xml:space="preserve">) 183, p. 185). Les propos tenus par le juge Oliver Wendell Holmes dans le jugement </w:t>
      </w:r>
      <w:r w:rsidRPr="0062272F">
        <w:rPr>
          <w:rFonts w:cs="Times New Roman"/>
          <w:i/>
          <w:iCs/>
          <w:lang w:val="fr-CA"/>
        </w:rPr>
        <w:t>Baldwin c. Missouri</w:t>
      </w:r>
      <w:r w:rsidRPr="0062272F">
        <w:rPr>
          <w:rFonts w:cs="Times New Roman"/>
          <w:lang w:val="fr-CA"/>
        </w:rPr>
        <w:t>, 281 U.S. 586 (1930), p. 595, au sujet de la doctrine américaine des droits substantiels inclus dans la garantie d’application régulière de la loi, sont également pertinents :</w:t>
      </w:r>
    </w:p>
    <w:p w14:paraId="64286BA9" w14:textId="3F161F2D" w:rsidR="00804EA2" w:rsidRPr="0062272F" w:rsidRDefault="00804EA2" w:rsidP="00F300AA">
      <w:pPr>
        <w:pStyle w:val="Citation-AltC"/>
        <w:spacing w:after="240"/>
        <w:ind w:left="1168" w:hanging="1168"/>
        <w:contextualSpacing w:val="0"/>
        <w:rPr>
          <w:lang w:val="fr-CA"/>
        </w:rPr>
      </w:pPr>
      <w:r w:rsidRPr="0062272F">
        <w:rPr>
          <w:lang w:val="fr-CA"/>
        </w:rPr>
        <w:tab/>
        <w:t>[</w:t>
      </w:r>
      <w:r w:rsidRPr="0062272F">
        <w:rPr>
          <w:rFonts w:eastAsiaTheme="minorEastAsia"/>
          <w:smallCaps/>
          <w:lang w:val="fr-CA"/>
        </w:rPr>
        <w:t>traduction</w:t>
      </w:r>
      <w:r w:rsidRPr="0062272F">
        <w:rPr>
          <w:lang w:val="fr-CA"/>
        </w:rPr>
        <w:t>]</w:t>
      </w:r>
      <w:r w:rsidR="00F300AA">
        <w:rPr>
          <w:lang w:val="fr-CA"/>
        </w:rPr>
        <w:t xml:space="preserve"> </w:t>
      </w:r>
      <w:r w:rsidRPr="0062272F">
        <w:rPr>
          <w:rFonts w:eastAsiaTheme="minorEastAsia"/>
          <w:lang w:val="fr-CA"/>
        </w:rPr>
        <w:t>Dans l’état actuel de la jurisprudence, il ne semble exister à mon avis aucune limite au pouvoir de notre Cour d’invalider de tels droits si, pour une raison ou pour une autre, la majorité des juges de notre Cour les considère indésirables. Il me paraît inconcevable que le [quatorzième] Amendement ait été conçu de manière à nous donner carte blanche pour exprimer nos convictions économiques ou morales. Pourtant, je ne vois aucune autre explication pour justifier la présente décision ou les décisions antérieures que j’ai citées.</w:t>
      </w:r>
    </w:p>
    <w:p w14:paraId="7DB72867" w14:textId="4EB6E00E" w:rsidR="00804EA2" w:rsidRPr="0062272F" w:rsidRDefault="00804EA2" w:rsidP="00804EA2">
      <w:pPr>
        <w:pStyle w:val="ParaNoNdepar-AltN"/>
        <w:rPr>
          <w:rFonts w:cs="Times New Roman"/>
          <w:lang w:val="fr-CA"/>
        </w:rPr>
      </w:pPr>
      <w:r w:rsidRPr="0062272F">
        <w:rPr>
          <w:rFonts w:cs="Times New Roman"/>
          <w:lang w:val="fr-CA"/>
        </w:rPr>
        <w:t xml:space="preserve">Tout cela a un effet corrosif sur la primauté du droit. Notre collègue s’interroge sur ce que nous entendons par « primauté du droit » (par. 135). Nous partageons l’opinion de juristes tels que lord Bingham et le juge Sharpe, pour qui la primauté du droit est composée d’éléments interdépendants (voir T. Bingham, </w:t>
      </w:r>
      <w:r w:rsidRPr="0062272F">
        <w:rPr>
          <w:rFonts w:cs="Times New Roman"/>
          <w:i/>
          <w:lang w:val="fr-CA"/>
        </w:rPr>
        <w:t>The Rule of Law</w:t>
      </w:r>
      <w:r w:rsidRPr="0062272F">
        <w:rPr>
          <w:rFonts w:cs="Times New Roman"/>
          <w:lang w:val="fr-CA"/>
        </w:rPr>
        <w:t xml:space="preserve"> (2010), p. 160</w:t>
      </w:r>
      <w:r w:rsidRPr="0062272F">
        <w:rPr>
          <w:rFonts w:cs="Times New Roman"/>
          <w:lang w:val="fr-CA"/>
        </w:rPr>
        <w:noBreakHyphen/>
        <w:t>170; R.</w:t>
      </w:r>
      <w:r>
        <w:rPr>
          <w:rFonts w:cs="Times New Roman"/>
          <w:lang w:val="fr-CA"/>
        </w:rPr>
        <w:t> </w:t>
      </w:r>
      <w:r w:rsidRPr="0062272F">
        <w:rPr>
          <w:rFonts w:cs="Times New Roman"/>
          <w:lang w:val="fr-CA"/>
        </w:rPr>
        <w:t>J.</w:t>
      </w:r>
      <w:r>
        <w:rPr>
          <w:rFonts w:cs="Times New Roman"/>
          <w:lang w:val="fr-CA"/>
        </w:rPr>
        <w:t> </w:t>
      </w:r>
      <w:r w:rsidRPr="0062272F">
        <w:rPr>
          <w:rFonts w:cs="Times New Roman"/>
          <w:lang w:val="fr-CA"/>
        </w:rPr>
        <w:t xml:space="preserve">Sharpe, </w:t>
      </w:r>
      <w:r w:rsidRPr="0062272F">
        <w:rPr>
          <w:rFonts w:cs="Times New Roman"/>
          <w:i/>
          <w:lang w:val="fr-CA"/>
        </w:rPr>
        <w:t>Good Judgment</w:t>
      </w:r>
      <w:r w:rsidR="00F300AA">
        <w:rPr>
          <w:rFonts w:cs="Times New Roman"/>
          <w:i/>
          <w:lang w:val="fr-CA"/>
        </w:rPr>
        <w:t> </w:t>
      </w:r>
      <w:r w:rsidRPr="0062272F">
        <w:rPr>
          <w:rFonts w:cs="Times New Roman"/>
          <w:i/>
          <w:lang w:val="fr-CA"/>
        </w:rPr>
        <w:t>: Making Judicial Decisions</w:t>
      </w:r>
      <w:r w:rsidRPr="0062272F">
        <w:rPr>
          <w:rFonts w:cs="Times New Roman"/>
          <w:lang w:val="fr-CA"/>
        </w:rPr>
        <w:t xml:space="preserve"> (2018), p. 122</w:t>
      </w:r>
      <w:r w:rsidRPr="0062272F">
        <w:rPr>
          <w:rFonts w:cs="Times New Roman"/>
          <w:lang w:val="fr-CA"/>
        </w:rPr>
        <w:noBreakHyphen/>
        <w:t xml:space="preserve">124). L’un de ces éléments est pertinent en l’espèce : les justiciables canadiens devraient être régis par des règles énoncées et connues d’avance qui leur permettent de guider leur conduite. Comme l’écrit le juge Sharpe : </w:t>
      </w:r>
    </w:p>
    <w:p w14:paraId="72C4FB05" w14:textId="75513794" w:rsidR="00804EA2" w:rsidRPr="0062272F" w:rsidRDefault="00804EA2" w:rsidP="00F300AA">
      <w:pPr>
        <w:pStyle w:val="Citation-AltC"/>
        <w:spacing w:after="240"/>
        <w:ind w:left="1168" w:hanging="1168"/>
        <w:contextualSpacing w:val="0"/>
        <w:rPr>
          <w:lang w:val="fr-CA"/>
        </w:rPr>
      </w:pPr>
      <w:r w:rsidRPr="0062272F">
        <w:rPr>
          <w:lang w:val="fr-CA"/>
        </w:rPr>
        <w:tab/>
        <w:t>[</w:t>
      </w:r>
      <w:r w:rsidRPr="0062272F">
        <w:rPr>
          <w:rFonts w:eastAsiaTheme="minorEastAsia"/>
          <w:smallCaps/>
          <w:lang w:val="fr-CA"/>
        </w:rPr>
        <w:t>traduction</w:t>
      </w:r>
      <w:r w:rsidRPr="0062272F">
        <w:rPr>
          <w:lang w:val="fr-CA"/>
        </w:rPr>
        <w:t>]</w:t>
      </w:r>
      <w:r w:rsidR="00F300AA">
        <w:rPr>
          <w:lang w:val="fr-CA"/>
        </w:rPr>
        <w:t xml:space="preserve"> </w:t>
      </w:r>
      <w:r w:rsidRPr="0062272F">
        <w:rPr>
          <w:lang w:val="fr-CA"/>
        </w:rPr>
        <w:t>. . .</w:t>
      </w:r>
      <w:r w:rsidR="00F300AA">
        <w:rPr>
          <w:lang w:val="fr-CA"/>
        </w:rPr>
        <w:t xml:space="preserve"> </w:t>
      </w:r>
      <w:r w:rsidRPr="0062272F">
        <w:rPr>
          <w:lang w:val="fr-CA"/>
        </w:rPr>
        <w:t xml:space="preserve">la Cour [suprême] a insisté pour dire qu’il doit exister une norme intelligible susceptible de constituer « un fondement adéquat pour un débat judiciaire . . . quant à [la] signification [de cette règle], à la suite d’une analyse raisonnée appliquant des critères juridiques ». </w:t>
      </w:r>
    </w:p>
    <w:p w14:paraId="09DEE4D5" w14:textId="77777777" w:rsidR="00804EA2" w:rsidRPr="0062272F" w:rsidRDefault="00804EA2" w:rsidP="00EF75CA">
      <w:pPr>
        <w:pStyle w:val="Citation-AltC"/>
        <w:spacing w:after="480"/>
        <w:ind w:hanging="1166"/>
        <w:contextualSpacing w:val="0"/>
        <w:rPr>
          <w:lang w:val="fr-CA"/>
        </w:rPr>
      </w:pPr>
      <w:r w:rsidRPr="0062272F">
        <w:rPr>
          <w:lang w:val="fr-CA"/>
        </w:rPr>
        <w:tab/>
      </w:r>
      <w:r w:rsidRPr="0062272F">
        <w:rPr>
          <w:lang w:val="fr-CA"/>
        </w:rPr>
        <w:tab/>
        <w:t xml:space="preserve">Dans l’arrêt </w:t>
      </w:r>
      <w:r w:rsidRPr="0062272F">
        <w:rPr>
          <w:i/>
          <w:lang w:val="fr-CA"/>
        </w:rPr>
        <w:t xml:space="preserve">Irwin Toy </w:t>
      </w:r>
      <w:r w:rsidRPr="0062272F">
        <w:rPr>
          <w:lang w:val="fr-CA"/>
        </w:rPr>
        <w:t xml:space="preserve">[. . .] les juges majoritaires écrivent que : « s’il n’existe aucune norme intelligible » et si le décideur s’est vu conférer « le pouvoir discrétionnaire absolu de faire ce qui semble être le mieux dans </w:t>
      </w:r>
      <w:r w:rsidRPr="0062272F">
        <w:rPr>
          <w:lang w:val="fr-CA"/>
        </w:rPr>
        <w:lastRenderedPageBreak/>
        <w:t xml:space="preserve">une grande variété de cas », les exigences minimales de la primauté du droit ne sont pas respectées. </w:t>
      </w:r>
    </w:p>
    <w:p w14:paraId="46FD7627" w14:textId="6C667936" w:rsidR="00804EA2" w:rsidRPr="0062272F" w:rsidRDefault="00804EA2" w:rsidP="00EF75CA">
      <w:pPr>
        <w:pStyle w:val="Citation-AltC"/>
        <w:ind w:left="0"/>
        <w:rPr>
          <w:lang w:val="fr-CA"/>
        </w:rPr>
      </w:pPr>
      <w:r w:rsidRPr="0062272F">
        <w:rPr>
          <w:lang w:val="fr-CA"/>
        </w:rPr>
        <w:t xml:space="preserve">(p. 123, citant </w:t>
      </w:r>
      <w:r w:rsidRPr="0062272F">
        <w:rPr>
          <w:i/>
          <w:lang w:val="fr-CA"/>
        </w:rPr>
        <w:t>R. c. Nova Scotia Pharmaceutical Society</w:t>
      </w:r>
      <w:r w:rsidRPr="0062272F">
        <w:rPr>
          <w:lang w:val="fr-CA"/>
        </w:rPr>
        <w:t xml:space="preserve">, [1992] 2 R.C.S. 606, p. 639; </w:t>
      </w:r>
      <w:r w:rsidRPr="0062272F">
        <w:rPr>
          <w:i/>
          <w:lang w:val="fr-CA"/>
        </w:rPr>
        <w:t>Irwin Toy Ltd. c. Québec (Procureur général)</w:t>
      </w:r>
      <w:r w:rsidRPr="0062272F">
        <w:rPr>
          <w:lang w:val="fr-CA"/>
        </w:rPr>
        <w:t>, [1989] 1 R.C.S. 927, p. 983)</w:t>
      </w:r>
    </w:p>
    <w:p w14:paraId="04AA878B" w14:textId="13963A0E" w:rsidR="00804EA2" w:rsidRPr="0062272F" w:rsidRDefault="00804EA2" w:rsidP="00804EA2">
      <w:pPr>
        <w:pStyle w:val="ParaNoNdepar-AltN"/>
        <w:rPr>
          <w:rFonts w:cs="Times New Roman"/>
          <w:lang w:val="fr-CA"/>
        </w:rPr>
      </w:pPr>
      <w:r w:rsidRPr="0062272F">
        <w:rPr>
          <w:rFonts w:cs="Times New Roman"/>
          <w:lang w:val="fr-CA"/>
        </w:rPr>
        <w:t>Nous estimons, en toute déférence, que notre collègue passe à côté de la question en faisant appel au principe de l’autorité de la chose jugée. Il ne s’agit pas de savoir si la jurisprudence de notre Cour sur l’art. 15 devrait être « respecté</w:t>
      </w:r>
      <w:r w:rsidRPr="007C5CBF">
        <w:rPr>
          <w:rFonts w:cs="Times New Roman"/>
          <w:lang w:val="fr-CA"/>
        </w:rPr>
        <w:t>[</w:t>
      </w:r>
      <w:r w:rsidRPr="0062272F">
        <w:rPr>
          <w:rFonts w:cs="Times New Roman"/>
          <w:lang w:val="fr-CA"/>
        </w:rPr>
        <w:t>e</w:t>
      </w:r>
      <w:r>
        <w:rPr>
          <w:rFonts w:cs="Times New Roman"/>
          <w:lang w:val="fr-CA"/>
        </w:rPr>
        <w:t>]</w:t>
      </w:r>
      <w:r w:rsidRPr="0062272F">
        <w:rPr>
          <w:rFonts w:cs="Times New Roman"/>
          <w:lang w:val="fr-CA"/>
        </w:rPr>
        <w:t xml:space="preserve"> » (par. 135). Il s’agit plutôt de savoir si la jurisprudence, </w:t>
      </w:r>
      <w:r w:rsidRPr="0062272F">
        <w:rPr>
          <w:rFonts w:cs="Times New Roman"/>
          <w:i/>
          <w:iCs/>
          <w:lang w:val="fr-CA"/>
        </w:rPr>
        <w:t>telle que notre collègue l’interprète</w:t>
      </w:r>
      <w:r w:rsidRPr="0062272F">
        <w:rPr>
          <w:rFonts w:cs="Times New Roman"/>
          <w:lang w:val="fr-CA"/>
        </w:rPr>
        <w:t>, énonce une norme que l’on peut connaître concrètement et dont l’application est raisonnablement prévisible.</w:t>
      </w:r>
      <w:r w:rsidRPr="0062272F">
        <w:rPr>
          <w:rFonts w:cs="Times New Roman"/>
          <w:i/>
          <w:lang w:val="fr-CA"/>
        </w:rPr>
        <w:t xml:space="preserve"> </w:t>
      </w:r>
      <w:r w:rsidRPr="0062272F">
        <w:rPr>
          <w:rFonts w:cs="Times New Roman"/>
          <w:lang w:val="fr-CA"/>
        </w:rPr>
        <w:t>À notre avis, le concept d’« égalité réelle » est devenu flou à tel point qu’il est impossible pour les demandeurs et pour le législateur de connaître à l’avance ses exigences. On attend en effet du législateur qu’il applique un concept qui évolue constamment, alors que [</w:t>
      </w:r>
      <w:r w:rsidRPr="0062272F">
        <w:rPr>
          <w:rFonts w:cs="Times New Roman"/>
          <w:smallCaps/>
          <w:lang w:val="fr-CA"/>
        </w:rPr>
        <w:t>traduction</w:t>
      </w:r>
      <w:r w:rsidRPr="0062272F">
        <w:rPr>
          <w:rFonts w:cs="Times New Roman"/>
          <w:lang w:val="fr-CA"/>
        </w:rPr>
        <w:t>] « la Cour continue de revoir son cadre analytique du par. 15 (1) sans jamais infirmer ni même vraiment critiquer les aspects de ses arrêts antérieurs qui ont depuis été écartés » (J.</w:t>
      </w:r>
      <w:r>
        <w:rPr>
          <w:rFonts w:cs="Times New Roman"/>
          <w:lang w:val="fr-CA"/>
        </w:rPr>
        <w:t> </w:t>
      </w:r>
      <w:r w:rsidRPr="0062272F">
        <w:rPr>
          <w:rFonts w:cs="Times New Roman"/>
          <w:lang w:val="fr-CA"/>
        </w:rPr>
        <w:t>Koshan et J.</w:t>
      </w:r>
      <w:r>
        <w:rPr>
          <w:rFonts w:cs="Times New Roman"/>
          <w:lang w:val="fr-CA"/>
        </w:rPr>
        <w:t> </w:t>
      </w:r>
      <w:r w:rsidRPr="0062272F">
        <w:rPr>
          <w:rFonts w:cs="Times New Roman"/>
          <w:lang w:val="fr-CA"/>
        </w:rPr>
        <w:t>Watson Hamilton, « Meaningless Mantra</w:t>
      </w:r>
      <w:r w:rsidR="00EF75CA">
        <w:rPr>
          <w:rFonts w:cs="Times New Roman"/>
          <w:lang w:val="fr-CA"/>
        </w:rPr>
        <w:t> </w:t>
      </w:r>
      <w:r w:rsidRPr="0062272F">
        <w:rPr>
          <w:rFonts w:cs="Times New Roman"/>
          <w:lang w:val="fr-CA"/>
        </w:rPr>
        <w:t xml:space="preserve">: Substantive Equality after </w:t>
      </w:r>
      <w:r w:rsidRPr="0062272F">
        <w:rPr>
          <w:rFonts w:cs="Times New Roman"/>
          <w:i/>
          <w:lang w:val="fr-CA"/>
        </w:rPr>
        <w:t>Withler</w:t>
      </w:r>
      <w:r w:rsidRPr="0062272F">
        <w:rPr>
          <w:rFonts w:cs="Times New Roman"/>
          <w:lang w:val="fr-CA"/>
        </w:rPr>
        <w:t xml:space="preserve"> » (2011), 16 </w:t>
      </w:r>
      <w:r w:rsidRPr="0062272F">
        <w:rPr>
          <w:rFonts w:cs="Times New Roman"/>
          <w:i/>
          <w:lang w:val="fr-CA"/>
        </w:rPr>
        <w:t xml:space="preserve">R. études const. </w:t>
      </w:r>
      <w:r w:rsidRPr="0062272F">
        <w:rPr>
          <w:rFonts w:cs="Times New Roman"/>
          <w:lang w:val="fr-CA"/>
        </w:rPr>
        <w:t xml:space="preserve">31, p. 61). Cette </w:t>
      </w:r>
      <w:r w:rsidR="00EF75CA" w:rsidRPr="0062272F">
        <w:rPr>
          <w:rFonts w:cs="Times New Roman"/>
          <w:lang w:val="fr-CA"/>
        </w:rPr>
        <w:t>[</w:t>
      </w:r>
      <w:r w:rsidR="00EF75CA" w:rsidRPr="0062272F">
        <w:rPr>
          <w:rFonts w:cs="Times New Roman"/>
          <w:smallCaps/>
          <w:lang w:val="fr-CA"/>
        </w:rPr>
        <w:t>traduction</w:t>
      </w:r>
      <w:r w:rsidR="00EF75CA" w:rsidRPr="0062272F">
        <w:rPr>
          <w:rFonts w:cs="Times New Roman"/>
          <w:lang w:val="fr-CA"/>
        </w:rPr>
        <w:t xml:space="preserve">] </w:t>
      </w:r>
      <w:r w:rsidRPr="0062272F">
        <w:rPr>
          <w:rFonts w:cs="Times New Roman"/>
          <w:lang w:val="fr-CA"/>
        </w:rPr>
        <w:t>« approche révisionniste » — c’est</w:t>
      </w:r>
      <w:r w:rsidRPr="0062272F">
        <w:rPr>
          <w:rFonts w:cs="Times New Roman"/>
          <w:lang w:val="fr-CA"/>
        </w:rPr>
        <w:noBreakHyphen/>
        <w:t>à</w:t>
      </w:r>
      <w:r w:rsidRPr="0062272F">
        <w:rPr>
          <w:rFonts w:cs="Times New Roman"/>
          <w:lang w:val="fr-CA"/>
        </w:rPr>
        <w:noBreakHyphen/>
        <w:t xml:space="preserve">dire les fluctuations constantes dont font l’objet les paramètres de « l’égalité réelle » pour s’adapter </w:t>
      </w:r>
      <w:r>
        <w:rPr>
          <w:rFonts w:cs="Times New Roman"/>
          <w:lang w:val="fr-CA"/>
        </w:rPr>
        <w:t xml:space="preserve">aux préférences des juges </w:t>
      </w:r>
      <w:r w:rsidRPr="0062272F">
        <w:rPr>
          <w:rFonts w:cs="Times New Roman"/>
          <w:lang w:val="fr-CA"/>
        </w:rPr>
        <w:t xml:space="preserve">— « ne manquera certainement pas de continuer à créer davantage de confusion » (p. 61). </w:t>
      </w:r>
    </w:p>
    <w:p w14:paraId="1D1E9D04" w14:textId="77777777" w:rsidR="00804EA2" w:rsidRPr="0062272F" w:rsidRDefault="00804EA2" w:rsidP="00804EA2">
      <w:pPr>
        <w:pStyle w:val="ParaNoNdepar-AltN"/>
        <w:rPr>
          <w:rFonts w:cs="Times New Roman"/>
          <w:lang w:val="fr-CA"/>
        </w:rPr>
      </w:pPr>
      <w:r w:rsidRPr="0062272F">
        <w:rPr>
          <w:rFonts w:cs="Times New Roman"/>
          <w:lang w:val="fr-CA"/>
        </w:rPr>
        <w:lastRenderedPageBreak/>
        <w:t xml:space="preserve">Toutes ces considérations soulèvent un autre problème, moins normatif, mais plus pratique : si les exigences de l’égalité réelle pouvaient être connues à l’avance, les gouvernements pourraient effectivement s’y conformer. Or, </w:t>
      </w:r>
    </w:p>
    <w:p w14:paraId="02FA34BB" w14:textId="30F205C6" w:rsidR="00804EA2" w:rsidRPr="0062272F" w:rsidRDefault="00804EA2" w:rsidP="003B156C">
      <w:pPr>
        <w:pStyle w:val="Citation-AltC"/>
        <w:spacing w:after="480"/>
        <w:ind w:hanging="1166"/>
        <w:contextualSpacing w:val="0"/>
        <w:rPr>
          <w:lang w:val="fr-CA"/>
        </w:rPr>
      </w:pPr>
      <w:r w:rsidRPr="0062272F">
        <w:rPr>
          <w:lang w:val="fr-CA"/>
        </w:rPr>
        <w:tab/>
        <w:t>[</w:t>
      </w:r>
      <w:r w:rsidRPr="0062272F">
        <w:rPr>
          <w:smallCaps/>
          <w:lang w:val="fr-CA"/>
        </w:rPr>
        <w:t>traduction</w:t>
      </w:r>
      <w:r w:rsidRPr="0062272F">
        <w:rPr>
          <w:lang w:val="fr-CA"/>
        </w:rPr>
        <w:t>]</w:t>
      </w:r>
      <w:r w:rsidR="00EF75CA">
        <w:rPr>
          <w:lang w:val="fr-CA"/>
        </w:rPr>
        <w:t xml:space="preserve"> </w:t>
      </w:r>
      <w:r w:rsidRPr="007C5CBF">
        <w:rPr>
          <w:lang w:val="fr-CA"/>
        </w:rPr>
        <w:t>[d]</w:t>
      </w:r>
      <w:r w:rsidRPr="0062272F">
        <w:rPr>
          <w:lang w:val="fr-CA"/>
        </w:rPr>
        <w:t>e l’avis de nombreux commentateurs, la jurisprudence en matière d’égalité est confuse et incohérente, et ce, malgré les efforts que la Cour affirme elle</w:t>
      </w:r>
      <w:r w:rsidRPr="0062272F">
        <w:rPr>
          <w:lang w:val="fr-CA"/>
        </w:rPr>
        <w:noBreakHyphen/>
        <w:t>même avoir déployés pour proposer des interprétations claires [. . .] en somme, cette jurisprudence n’est pas assez cohérente pour qu’on puisse y déceler des points de repère sérieux sur la manière de parvenir concrètement à l’égalité réelle.</w:t>
      </w:r>
    </w:p>
    <w:p w14:paraId="53C59DA2" w14:textId="33AA893A" w:rsidR="00804EA2" w:rsidRPr="0062272F" w:rsidRDefault="00804EA2" w:rsidP="003B156C">
      <w:pPr>
        <w:pStyle w:val="Citation-AltC"/>
        <w:ind w:left="0"/>
        <w:rPr>
          <w:lang w:val="en-US"/>
        </w:rPr>
      </w:pPr>
      <w:r w:rsidRPr="0062272F">
        <w:rPr>
          <w:lang w:val="en-US"/>
        </w:rPr>
        <w:t xml:space="preserve">(P. Hughes, « Supreme Court of Canada Equality Jurisprudence and “Everyday Life” » (2012), 58 </w:t>
      </w:r>
      <w:r w:rsidR="003B156C">
        <w:rPr>
          <w:i/>
          <w:lang w:val="en-US"/>
        </w:rPr>
        <w:t>S.C.L.R</w:t>
      </w:r>
      <w:r w:rsidRPr="0062272F">
        <w:rPr>
          <w:i/>
          <w:lang w:val="en-US"/>
        </w:rPr>
        <w:t>.</w:t>
      </w:r>
      <w:r w:rsidRPr="0062272F">
        <w:rPr>
          <w:lang w:val="en-US"/>
        </w:rPr>
        <w:t xml:space="preserve"> (2</w:t>
      </w:r>
      <w:r w:rsidR="003B156C">
        <w:rPr>
          <w:lang w:val="en-US"/>
        </w:rPr>
        <w:t>d</w:t>
      </w:r>
      <w:r w:rsidRPr="0062272F">
        <w:rPr>
          <w:lang w:val="en-US"/>
        </w:rPr>
        <w:t>) 245, p. 254</w:t>
      </w:r>
      <w:r w:rsidRPr="0062272F">
        <w:rPr>
          <w:lang w:val="en-US"/>
        </w:rPr>
        <w:noBreakHyphen/>
        <w:t>255)</w:t>
      </w:r>
    </w:p>
    <w:p w14:paraId="5F3D366E" w14:textId="77777777" w:rsidR="00804EA2" w:rsidRPr="0062272F" w:rsidRDefault="00804EA2" w:rsidP="00804EA2">
      <w:pPr>
        <w:pStyle w:val="ContinueParaSuitedupar-AltP"/>
        <w:rPr>
          <w:rFonts w:cs="Times New Roman"/>
          <w:lang w:val="fr-CA"/>
        </w:rPr>
      </w:pPr>
      <w:r w:rsidRPr="0062272F">
        <w:rPr>
          <w:rFonts w:cs="Times New Roman"/>
          <w:lang w:val="fr-CA"/>
        </w:rPr>
        <w:t>En d’autres termes, le législateur ne peut se conformer qu’aux règles qu’il connaît assez bien pour les respecter. Comment le législateur peut</w:t>
      </w:r>
      <w:r w:rsidRPr="0062272F">
        <w:rPr>
          <w:rFonts w:cs="Times New Roman"/>
          <w:lang w:val="fr-CA"/>
        </w:rPr>
        <w:noBreakHyphen/>
        <w:t xml:space="preserve">il savoir qu’un tribunal jugera </w:t>
      </w:r>
      <w:r w:rsidRPr="0062272F">
        <w:rPr>
          <w:rFonts w:cs="Times New Roman"/>
          <w:i/>
          <w:iCs/>
          <w:lang w:val="fr-CA"/>
        </w:rPr>
        <w:t>suffisamment</w:t>
      </w:r>
      <w:r w:rsidRPr="0062272F">
        <w:rPr>
          <w:rFonts w:cs="Times New Roman"/>
          <w:lang w:val="fr-CA"/>
        </w:rPr>
        <w:t xml:space="preserve"> réparatrice une loi? L’immensité de la tâche que notre collègue cherche à imposer au législateur et aux gouvernements est telle — à la fois en raison de son imprévisibilité que de l’ampleur des ressources nécessaires — qu’on ne peut raisonnablement s’attendre à ce que le législateur ou les gouvernements l’assument. De plus, cette obligation fait complètement fi de la mise en garde que le juge La Forest a formulée à juste titre dans l’arrêt </w:t>
      </w:r>
      <w:r w:rsidRPr="0062272F">
        <w:rPr>
          <w:rFonts w:cs="Times New Roman"/>
          <w:i/>
          <w:lang w:val="fr-CA"/>
        </w:rPr>
        <w:t>McKinney</w:t>
      </w:r>
      <w:r w:rsidRPr="0062272F">
        <w:rPr>
          <w:rFonts w:cs="Times New Roman"/>
          <w:lang w:val="fr-CA"/>
        </w:rPr>
        <w:t xml:space="preserve"> en affirmant que les problèmes d’inégalité ne peuvent être pleinement compris — et encore mo</w:t>
      </w:r>
      <w:r>
        <w:rPr>
          <w:rFonts w:cs="Times New Roman"/>
          <w:lang w:val="fr-CA"/>
        </w:rPr>
        <w:t>ins corrigés —</w:t>
      </w:r>
      <w:r w:rsidRPr="0062272F">
        <w:rPr>
          <w:rFonts w:cs="Times New Roman"/>
          <w:lang w:val="fr-CA"/>
        </w:rPr>
        <w:t xml:space="preserve"> d’un seul coup. </w:t>
      </w:r>
    </w:p>
    <w:p w14:paraId="4A5DFDFD" w14:textId="7DB12345" w:rsidR="00804EA2" w:rsidRPr="0062272F" w:rsidRDefault="00804EA2" w:rsidP="00804EA2">
      <w:pPr>
        <w:pStyle w:val="ParaNoNdepar-AltN"/>
        <w:rPr>
          <w:rFonts w:cs="Times New Roman"/>
          <w:lang w:val="fr-CA"/>
        </w:rPr>
      </w:pPr>
      <w:r w:rsidRPr="0062272F">
        <w:rPr>
          <w:rFonts w:cs="Times New Roman"/>
          <w:lang w:val="fr-CA"/>
        </w:rPr>
        <w:t>L’absence de définition acceptable de la portée du par. 15(1) a également, sur le plan pratique, pour effet de reléguer l’essentiel de l’analyse à l’étape fondée sur l’article premier (voir, par ex</w:t>
      </w:r>
      <w:r>
        <w:rPr>
          <w:rFonts w:cs="Times New Roman"/>
          <w:lang w:val="fr-CA"/>
        </w:rPr>
        <w:t>.</w:t>
      </w:r>
      <w:r w:rsidRPr="0062272F">
        <w:rPr>
          <w:rFonts w:cs="Times New Roman"/>
          <w:lang w:val="fr-CA"/>
        </w:rPr>
        <w:t>, les motifs des juges majoritaires, par. 79</w:t>
      </w:r>
      <w:r w:rsidRPr="0062272F">
        <w:rPr>
          <w:rFonts w:cs="Times New Roman"/>
          <w:lang w:val="fr-CA"/>
        </w:rPr>
        <w:noBreakHyphen/>
        <w:t xml:space="preserve">80). Il s’ensuit </w:t>
      </w:r>
      <w:r w:rsidRPr="0062272F">
        <w:rPr>
          <w:rFonts w:cs="Times New Roman"/>
          <w:lang w:val="fr-CA"/>
        </w:rPr>
        <w:lastRenderedPageBreak/>
        <w:t xml:space="preserve">qu’au lieu de se livrer à une analyse de fond de la discrimination </w:t>
      </w:r>
      <w:r>
        <w:rPr>
          <w:rFonts w:cs="Times New Roman"/>
          <w:lang w:val="fr-CA"/>
        </w:rPr>
        <w:t>(</w:t>
      </w:r>
      <w:r w:rsidRPr="0062272F">
        <w:rPr>
          <w:rFonts w:cs="Times New Roman"/>
          <w:lang w:val="fr-CA"/>
        </w:rPr>
        <w:t>question sur laquelle ils sont avantagés par rapport au législateur</w:t>
      </w:r>
      <w:r>
        <w:rPr>
          <w:rFonts w:cs="Times New Roman"/>
          <w:lang w:val="fr-CA"/>
        </w:rPr>
        <w:t>)</w:t>
      </w:r>
      <w:r w:rsidRPr="0062272F">
        <w:rPr>
          <w:rFonts w:cs="Times New Roman"/>
          <w:lang w:val="fr-CA"/>
        </w:rPr>
        <w:t xml:space="preserve">, les tribunaux se retrouvent à évaluer des considérations de principe </w:t>
      </w:r>
      <w:r>
        <w:rPr>
          <w:rFonts w:cs="Times New Roman"/>
          <w:lang w:val="fr-CA"/>
        </w:rPr>
        <w:t>(</w:t>
      </w:r>
      <w:r w:rsidRPr="0062272F">
        <w:rPr>
          <w:rFonts w:cs="Times New Roman"/>
          <w:lang w:val="fr-CA"/>
        </w:rPr>
        <w:t>alors qu’ils ne profitent pas dans ce domaine du même avantage comparatif que le législateur</w:t>
      </w:r>
      <w:r>
        <w:rPr>
          <w:rFonts w:cs="Times New Roman"/>
          <w:lang w:val="fr-CA"/>
        </w:rPr>
        <w:t>)</w:t>
      </w:r>
      <w:r w:rsidRPr="0062272F">
        <w:rPr>
          <w:rFonts w:cs="Times New Roman"/>
          <w:lang w:val="fr-CA"/>
        </w:rPr>
        <w:t xml:space="preserve"> (</w:t>
      </w:r>
      <w:r w:rsidRPr="0062272F">
        <w:rPr>
          <w:rFonts w:cs="Times New Roman"/>
          <w:i/>
          <w:lang w:val="fr-CA"/>
        </w:rPr>
        <w:t>Law Society of British Columbia c. Trinity Western University</w:t>
      </w:r>
      <w:r w:rsidRPr="0062272F">
        <w:rPr>
          <w:rFonts w:cs="Times New Roman"/>
          <w:lang w:val="fr-CA"/>
        </w:rPr>
        <w:t>, 2018 CSC 32, [2018] 2 R.C.S. 293, par. 190 et 192, le juge Rowe, opinion concordante). Cette approche ne tient pas compte des limites inhérentes à l’art. 15. De par leur nature même, [</w:t>
      </w:r>
      <w:r w:rsidRPr="0062272F">
        <w:rPr>
          <w:rFonts w:cs="Times New Roman"/>
          <w:smallCaps/>
          <w:lang w:val="fr-CA"/>
        </w:rPr>
        <w:t>traduction</w:t>
      </w:r>
      <w:r w:rsidRPr="0062272F">
        <w:rPr>
          <w:rFonts w:cs="Times New Roman"/>
          <w:lang w:val="fr-CA"/>
        </w:rPr>
        <w:t xml:space="preserve">] « les exigences de l’égalité ne peuvent être établies sans tenir compte des besoins et de la situation des personnes et des groupes concernés, en plus du demandeur », notamment des fondements pratiques, moraux, économiques et sociaux de la loi en question (B. W. Miller, « Justification and Rights Limitations », dans G. Huscroft, dir., </w:t>
      </w:r>
      <w:r w:rsidRPr="0062272F">
        <w:rPr>
          <w:rFonts w:cs="Times New Roman"/>
          <w:i/>
          <w:lang w:val="fr-CA"/>
        </w:rPr>
        <w:t>Expounding the Constitution</w:t>
      </w:r>
      <w:r w:rsidR="007E7FA8">
        <w:rPr>
          <w:rFonts w:cs="Times New Roman"/>
          <w:i/>
          <w:lang w:val="fr-CA"/>
        </w:rPr>
        <w:t> </w:t>
      </w:r>
      <w:r w:rsidRPr="0062272F">
        <w:rPr>
          <w:rFonts w:cs="Times New Roman"/>
          <w:i/>
          <w:lang w:val="fr-CA"/>
        </w:rPr>
        <w:t>: Essays in Constitutional Theory</w:t>
      </w:r>
      <w:r w:rsidRPr="0062272F">
        <w:rPr>
          <w:rFonts w:cs="Times New Roman"/>
          <w:lang w:val="fr-CA"/>
        </w:rPr>
        <w:t xml:space="preserve"> (2010), 93, p. 106; voir également p. 100). On risque sinon de permettre « à une conclusion intermédiaire de violation d’un droit de profiter indûment du plus grand prestige et de la plus grande force que comporte un droit moral justifiant incontestablement une intervention » (p. 96), atténuant ainsi la portée de la conclusion de violation du par. 15(1) au point de la dénaturer complètement et obligeant l’État à justifier ses décisions, même les plus insignifiantes.</w:t>
      </w:r>
    </w:p>
    <w:p w14:paraId="12E5BF8F" w14:textId="584BF64C" w:rsidR="00804EA2" w:rsidRPr="0062272F" w:rsidRDefault="00804EA2" w:rsidP="00804EA2">
      <w:pPr>
        <w:pStyle w:val="ParaNoNdepar-AltN"/>
        <w:rPr>
          <w:rFonts w:cs="Times New Roman"/>
          <w:lang w:val="fr-CA"/>
        </w:rPr>
      </w:pPr>
      <w:r w:rsidRPr="0062272F">
        <w:rPr>
          <w:rFonts w:cs="Times New Roman"/>
          <w:lang w:val="fr-CA"/>
        </w:rPr>
        <w:t xml:space="preserve">Pour définir l’égalité réelle, les tribunaux doivent tenir compte de deux facteurs. Premièrement, le par. 15(1) ne peut véritablement garantir l’égalité, au sens le plus large, </w:t>
      </w:r>
      <w:r w:rsidRPr="0062272F">
        <w:rPr>
          <w:rFonts w:cs="Times New Roman"/>
          <w:i/>
          <w:iCs/>
          <w:lang w:val="fr-CA"/>
        </w:rPr>
        <w:t>à l’échelle de toute la société</w:t>
      </w:r>
      <w:r w:rsidRPr="0062272F">
        <w:rPr>
          <w:rFonts w:cs="Times New Roman"/>
          <w:lang w:val="fr-CA"/>
        </w:rPr>
        <w:t xml:space="preserve">. Les désavantages systémiques sont, comme leur nom l’indique, </w:t>
      </w:r>
      <w:r w:rsidRPr="0062272F">
        <w:rPr>
          <w:rFonts w:cs="Times New Roman"/>
          <w:i/>
          <w:iCs/>
          <w:lang w:val="fr-CA"/>
        </w:rPr>
        <w:t>systémiques</w:t>
      </w:r>
      <w:r w:rsidRPr="0062272F">
        <w:rPr>
          <w:rFonts w:cs="Times New Roman"/>
          <w:lang w:val="fr-CA"/>
        </w:rPr>
        <w:t xml:space="preserve">, en ce sens qu’ils sont enracinés dans des attitudes et des institutions sociales. Cela ne signifie pas qu’on ne peut pas ou qu’on ne doit pas </w:t>
      </w:r>
      <w:r w:rsidRPr="0062272F">
        <w:rPr>
          <w:rFonts w:cs="Times New Roman"/>
          <w:lang w:val="fr-CA"/>
        </w:rPr>
        <w:lastRenderedPageBreak/>
        <w:t>s’attaquer à la discrimination systémique, mais simplement que le par. 15(1) ne peut jouer qu’un rôle limité en ce sens. Le paragraphe 15(1) ne vise que les actes</w:t>
      </w:r>
      <w:r w:rsidRPr="0062272F">
        <w:rPr>
          <w:rFonts w:cs="Times New Roman"/>
          <w:i/>
          <w:lang w:val="fr-CA"/>
        </w:rPr>
        <w:t xml:space="preserve"> de l’État</w:t>
      </w:r>
      <w:r w:rsidRPr="0062272F">
        <w:rPr>
          <w:rFonts w:cs="Times New Roman"/>
          <w:lang w:val="fr-CA"/>
        </w:rPr>
        <w:t xml:space="preserve">, et le contrôle judiciaire des actes de l’État est mal adapté à la mise en œuvre du type de changement institutionnel ou politique de grande envergure nécessaire pour s’attaquer pleinement à des désavantages systémiques. Cette réalité devient évidente si l’on considère que tous les rapports cités par notre collègue visent des interventions de </w:t>
      </w:r>
      <w:r w:rsidRPr="0062272F">
        <w:rPr>
          <w:rFonts w:cs="Times New Roman"/>
          <w:i/>
          <w:iCs/>
          <w:lang w:val="fr-CA"/>
        </w:rPr>
        <w:t>l’État</w:t>
      </w:r>
      <w:r w:rsidRPr="0062272F">
        <w:rPr>
          <w:rFonts w:cs="Times New Roman"/>
          <w:lang w:val="fr-CA"/>
        </w:rPr>
        <w:t xml:space="preserve"> et non des interve</w:t>
      </w:r>
      <w:r w:rsidR="00B3515A">
        <w:rPr>
          <w:rFonts w:cs="Times New Roman"/>
          <w:lang w:val="fr-CA"/>
        </w:rPr>
        <w:t>ntions des tribunaux (par ex.</w:t>
      </w:r>
      <w:r w:rsidRPr="0062272F">
        <w:rPr>
          <w:rFonts w:cs="Times New Roman"/>
          <w:lang w:val="fr-CA"/>
        </w:rPr>
        <w:t xml:space="preserve"> Commission royale d’enquête sur la situation de la femme au Canada, </w:t>
      </w:r>
      <w:r w:rsidRPr="0062272F">
        <w:rPr>
          <w:rFonts w:cs="Times New Roman"/>
          <w:i/>
          <w:lang w:val="fr-CA"/>
        </w:rPr>
        <w:t xml:space="preserve">Rapport de la </w:t>
      </w:r>
      <w:r w:rsidRPr="0062272F">
        <w:rPr>
          <w:rFonts w:cs="Times New Roman"/>
          <w:i/>
          <w:iCs/>
          <w:lang w:val="fr-CA"/>
        </w:rPr>
        <w:t xml:space="preserve">Commission royale d’enquête sur la situation de la femme au Canada </w:t>
      </w:r>
      <w:r w:rsidR="00B3515A">
        <w:rPr>
          <w:rFonts w:cs="Times New Roman"/>
          <w:lang w:val="fr-CA"/>
        </w:rPr>
        <w:t>(1970), p. vii</w:t>
      </w:r>
      <w:r w:rsidRPr="0062272F">
        <w:rPr>
          <w:rFonts w:cs="Times New Roman"/>
          <w:lang w:val="fr-CA"/>
        </w:rPr>
        <w:t>). En second lieu, pour mieux encadrer l’analyse fondée sur le par. 15(1), il convient tout d’abord de réaffirmer que l’égalité est une notion intrinsèquement comparative (</w:t>
      </w:r>
      <w:r w:rsidRPr="0062272F">
        <w:rPr>
          <w:rFonts w:cs="Times New Roman"/>
          <w:i/>
          <w:lang w:val="fr-CA"/>
        </w:rPr>
        <w:t>Withler</w:t>
      </w:r>
      <w:r w:rsidRPr="0062272F">
        <w:rPr>
          <w:rFonts w:cs="Times New Roman"/>
          <w:lang w:val="fr-CA"/>
        </w:rPr>
        <w:t>, par. 61</w:t>
      </w:r>
      <w:r w:rsidRPr="0062272F">
        <w:rPr>
          <w:rFonts w:cs="Times New Roman"/>
          <w:lang w:val="fr-CA"/>
        </w:rPr>
        <w:noBreakHyphen/>
      </w:r>
      <w:r w:rsidRPr="0062272F">
        <w:rPr>
          <w:rFonts w:cs="Times New Roman"/>
          <w:lang w:val="fr-CA"/>
        </w:rPr>
        <w:fldChar w:fldCharType="begin"/>
      </w:r>
      <w:r w:rsidRPr="0062272F">
        <w:rPr>
          <w:rFonts w:cs="Times New Roman"/>
          <w:lang w:val="fr-CA"/>
        </w:rPr>
        <w:instrText xml:space="preserve">  </w:instrText>
      </w:r>
      <w:r w:rsidRPr="0062272F">
        <w:rPr>
          <w:rFonts w:cs="Times New Roman"/>
          <w:lang w:val="fr-CA"/>
        </w:rPr>
        <w:fldChar w:fldCharType="end"/>
      </w:r>
      <w:r w:rsidRPr="0062272F">
        <w:rPr>
          <w:rFonts w:cs="Times New Roman"/>
          <w:lang w:val="fr-CA"/>
        </w:rPr>
        <w:t>67; Koshan et Watson Hamilton, p. 45</w:t>
      </w:r>
      <w:r w:rsidRPr="0062272F">
        <w:rPr>
          <w:rFonts w:cs="Times New Roman"/>
          <w:lang w:val="fr-CA"/>
        </w:rPr>
        <w:noBreakHyphen/>
        <w:t>46). Bien que la comparaison avec des groupes aux caractéristiques identiques se soit avérée impossible, l’analyse doit faire intervenir un certain critère de comparaison pour éviter ce que notre collègue approuve maintenant, c’est</w:t>
      </w:r>
      <w:r w:rsidRPr="0062272F">
        <w:rPr>
          <w:rFonts w:cs="Times New Roman"/>
          <w:lang w:val="fr-CA"/>
        </w:rPr>
        <w:noBreakHyphen/>
        <w:t>à</w:t>
      </w:r>
      <w:r w:rsidRPr="0062272F">
        <w:rPr>
          <w:rFonts w:cs="Times New Roman"/>
          <w:lang w:val="fr-CA"/>
        </w:rPr>
        <w:noBreakHyphen/>
        <w:t>dire une recherche tous azimuts d’« inégalités » dont l’issue n’est pas prévisible.</w:t>
      </w:r>
    </w:p>
    <w:p w14:paraId="12F292F7" w14:textId="77777777" w:rsidR="00804EA2" w:rsidRPr="0062272F" w:rsidRDefault="00804EA2" w:rsidP="00804EA2">
      <w:pPr>
        <w:pStyle w:val="ParaNoNdepar-AltN"/>
        <w:rPr>
          <w:rFonts w:cs="Times New Roman"/>
          <w:lang w:val="fr-CA"/>
        </w:rPr>
      </w:pPr>
      <w:r w:rsidRPr="0062272F">
        <w:rPr>
          <w:rFonts w:cs="Times New Roman"/>
          <w:lang w:val="fr-CA"/>
        </w:rPr>
        <w:t>En réponse à tout cela, notre collègue suggère (par. 133</w:t>
      </w:r>
      <w:r w:rsidRPr="0062272F">
        <w:rPr>
          <w:rFonts w:cs="Times New Roman"/>
          <w:lang w:val="fr-CA"/>
        </w:rPr>
        <w:noBreakHyphen/>
        <w:t>134) que nous — et, par extension, les universitaires et les juges qui ont mis en doute l’utilité et la signification de la jurisprudence de notre Cour en matière d’« égalité réelle » — appliquions un argument bidon qui, au fond, est un argument en faveur de l’« égalité formelle ». Mais</w:t>
      </w:r>
      <w:r>
        <w:rPr>
          <w:rFonts w:cs="Times New Roman"/>
          <w:lang w:val="fr-CA"/>
        </w:rPr>
        <w:t>,</w:t>
      </w:r>
      <w:r w:rsidRPr="0062272F">
        <w:rPr>
          <w:rFonts w:cs="Times New Roman"/>
          <w:lang w:val="fr-CA"/>
        </w:rPr>
        <w:t xml:space="preserve"> et là encore en toute déférence pour l’opinion contraire</w:t>
      </w:r>
      <w:r>
        <w:rPr>
          <w:rFonts w:cs="Times New Roman"/>
          <w:lang w:val="fr-CA"/>
        </w:rPr>
        <w:t>,</w:t>
      </w:r>
      <w:r w:rsidRPr="0062272F">
        <w:rPr>
          <w:rFonts w:cs="Times New Roman"/>
          <w:lang w:val="fr-CA"/>
        </w:rPr>
        <w:t xml:space="preserve"> c’est notre collègue qui avance un argument bidon. Dans les présents motifs, nous appliquons une conception de l’égalité réelle qui est solidement ancrée dans la jurisprudence de notre </w:t>
      </w:r>
      <w:r w:rsidRPr="0062272F">
        <w:rPr>
          <w:rFonts w:cs="Times New Roman"/>
          <w:lang w:val="fr-CA"/>
        </w:rPr>
        <w:lastRenderedPageBreak/>
        <w:t xml:space="preserve">Cour, y compris dans l’arrêt </w:t>
      </w:r>
      <w:r w:rsidRPr="0062272F">
        <w:rPr>
          <w:rFonts w:cs="Times New Roman"/>
          <w:i/>
          <w:lang w:val="fr-CA"/>
        </w:rPr>
        <w:t>Alliance</w:t>
      </w:r>
      <w:r w:rsidRPr="0062272F">
        <w:rPr>
          <w:rFonts w:cs="Times New Roman"/>
          <w:lang w:val="fr-CA"/>
        </w:rPr>
        <w:t>. La conclusion à laquelle nous parvenons est partagée par les quatre juges des juridictions inférieures qui ont tenté d’appliquer la jurisprudence de notre Cour aux faits de l’espèce.</w:t>
      </w:r>
    </w:p>
    <w:p w14:paraId="7EFCC22D" w14:textId="77777777" w:rsidR="00804EA2" w:rsidRPr="0062272F" w:rsidRDefault="00804EA2" w:rsidP="00804EA2">
      <w:pPr>
        <w:pStyle w:val="ParaNoNdepar-AltN"/>
        <w:rPr>
          <w:rFonts w:cs="Times New Roman"/>
          <w:lang w:val="fr-CA"/>
        </w:rPr>
      </w:pPr>
      <w:r w:rsidRPr="0062272F">
        <w:rPr>
          <w:rFonts w:cs="Times New Roman"/>
          <w:lang w:val="fr-CA"/>
        </w:rPr>
        <w:t xml:space="preserve">Notre collègue, en revanche, rejette le par. 42 de l’arrêt </w:t>
      </w:r>
      <w:r w:rsidRPr="0062272F">
        <w:rPr>
          <w:rFonts w:cs="Times New Roman"/>
          <w:i/>
          <w:lang w:val="fr-CA"/>
        </w:rPr>
        <w:t>Alliance</w:t>
      </w:r>
      <w:r w:rsidRPr="0062272F">
        <w:rPr>
          <w:rFonts w:cs="Times New Roman"/>
          <w:lang w:val="fr-CA"/>
        </w:rPr>
        <w:t>, qu’elle considère comme un « point de vue » inutile (par. 132</w:t>
      </w:r>
      <w:r w:rsidRPr="0062272F">
        <w:rPr>
          <w:rFonts w:cs="Times New Roman"/>
          <w:lang w:val="fr-CA"/>
        </w:rPr>
        <w:noBreakHyphen/>
        <w:t xml:space="preserve">133) et fait la sourde oreille à l’arrêt </w:t>
      </w:r>
      <w:r w:rsidRPr="0062272F">
        <w:rPr>
          <w:rFonts w:cs="Times New Roman"/>
          <w:i/>
          <w:lang w:val="fr-CA"/>
        </w:rPr>
        <w:t>Withler</w:t>
      </w:r>
      <w:r w:rsidRPr="0062272F">
        <w:rPr>
          <w:rFonts w:cs="Times New Roman"/>
          <w:lang w:val="fr-CA"/>
        </w:rPr>
        <w:t xml:space="preserve">, qui exige une approche contextuelle, laquelle a justement été appliquée dans une affaire qui portait sur un régime de pension. En fait, les motifs de notre collègue occultent complètement toute prise en compte de l’approche que commande l’arrêt </w:t>
      </w:r>
      <w:r w:rsidRPr="0062272F">
        <w:rPr>
          <w:rFonts w:cs="Times New Roman"/>
          <w:i/>
          <w:lang w:val="fr-CA"/>
        </w:rPr>
        <w:t>Withler</w:t>
      </w:r>
      <w:r w:rsidRPr="0062272F">
        <w:rPr>
          <w:rFonts w:cs="Times New Roman"/>
          <w:lang w:val="fr-CA"/>
        </w:rPr>
        <w:t xml:space="preserve"> en matière de régimes de pension.</w:t>
      </w:r>
    </w:p>
    <w:p w14:paraId="41B23E3F" w14:textId="77777777" w:rsidR="00804EA2" w:rsidRPr="0062272F" w:rsidRDefault="00804EA2" w:rsidP="00804EA2">
      <w:pPr>
        <w:pStyle w:val="ParaNoNdepar-AltN"/>
        <w:rPr>
          <w:rFonts w:cs="Times New Roman"/>
          <w:lang w:val="fr-CA"/>
        </w:rPr>
      </w:pPr>
      <w:r w:rsidRPr="0062272F">
        <w:rPr>
          <w:rFonts w:cs="Times New Roman"/>
          <w:lang w:val="fr-CA"/>
        </w:rPr>
        <w:t xml:space="preserve">En réalité, ce que notre collègue </w:t>
      </w:r>
      <w:r w:rsidRPr="0062272F">
        <w:rPr>
          <w:rFonts w:cs="Times New Roman"/>
          <w:i/>
          <w:iCs/>
          <w:lang w:val="fr-CA"/>
        </w:rPr>
        <w:t xml:space="preserve">ne dit pas </w:t>
      </w:r>
      <w:r w:rsidRPr="0062272F">
        <w:rPr>
          <w:rFonts w:cs="Times New Roman"/>
          <w:lang w:val="fr-CA"/>
        </w:rPr>
        <w:t xml:space="preserve">en réponse est plus révélateur que ce qu’elle </w:t>
      </w:r>
      <w:r w:rsidRPr="0062272F">
        <w:rPr>
          <w:rFonts w:cs="Times New Roman"/>
          <w:i/>
          <w:iCs/>
          <w:lang w:val="fr-CA"/>
        </w:rPr>
        <w:t>dit</w:t>
      </w:r>
      <w:r w:rsidRPr="0062272F">
        <w:rPr>
          <w:rFonts w:cs="Times New Roman"/>
          <w:lang w:val="fr-CA"/>
        </w:rPr>
        <w:t xml:space="preserve">. En particulier, elle </w:t>
      </w:r>
      <w:r w:rsidRPr="0062272F">
        <w:rPr>
          <w:rFonts w:cs="Times New Roman"/>
          <w:i/>
          <w:iCs/>
          <w:lang w:val="fr-CA"/>
        </w:rPr>
        <w:t>n’explique</w:t>
      </w:r>
      <w:r w:rsidRPr="0062272F">
        <w:rPr>
          <w:rFonts w:cs="Times New Roman"/>
          <w:iCs/>
          <w:lang w:val="fr-CA"/>
        </w:rPr>
        <w:t xml:space="preserve"> </w:t>
      </w:r>
      <w:r w:rsidRPr="0062272F">
        <w:rPr>
          <w:rFonts w:cs="Times New Roman"/>
          <w:i/>
          <w:iCs/>
          <w:lang w:val="fr-CA"/>
        </w:rPr>
        <w:t>pas</w:t>
      </w:r>
      <w:r w:rsidRPr="0062272F">
        <w:rPr>
          <w:rFonts w:cs="Times New Roman"/>
          <w:lang w:val="fr-CA"/>
        </w:rPr>
        <w:t xml:space="preserve"> ce qu’il faut entendre par « égalité réelle » </w:t>
      </w:r>
      <w:r>
        <w:rPr>
          <w:rFonts w:cs="Times New Roman"/>
          <w:lang w:val="fr-CA"/>
        </w:rPr>
        <w:t>(</w:t>
      </w:r>
      <w:r w:rsidRPr="0062272F">
        <w:rPr>
          <w:rFonts w:cs="Times New Roman"/>
          <w:lang w:val="fr-CA"/>
        </w:rPr>
        <w:t xml:space="preserve">sauf pour insister sur ce qu’elle </w:t>
      </w:r>
      <w:r w:rsidRPr="0062272F">
        <w:rPr>
          <w:rFonts w:cs="Times New Roman"/>
          <w:i/>
          <w:iCs/>
          <w:lang w:val="fr-CA"/>
        </w:rPr>
        <w:t>n’est pas</w:t>
      </w:r>
      <w:r w:rsidRPr="0062272F">
        <w:rPr>
          <w:rFonts w:cs="Times New Roman"/>
          <w:lang w:val="fr-CA"/>
        </w:rPr>
        <w:t>, en l’occurrence « une égalité formelle »</w:t>
      </w:r>
      <w:r>
        <w:rPr>
          <w:rFonts w:cs="Times New Roman"/>
          <w:lang w:val="fr-CA"/>
        </w:rPr>
        <w:t>)</w:t>
      </w:r>
      <w:r w:rsidRPr="0062272F">
        <w:rPr>
          <w:rFonts w:cs="Times New Roman"/>
          <w:lang w:val="fr-CA"/>
        </w:rPr>
        <w:t>. Elle ne définit pas « l’égalité réelle » en des termes qui permettraient d’en comprendre le sens pour que les exigences de l’art. 15 puissent être concrètement connues d’avance et que leur application soit raisonnablement prévisible. Lorsqu’on la définit de façon aussi vague, l’égalité réelle devient pratiquement malléable à l’infini, ce qui permet aux juges de s’en servir comme prétexte théorique pour justifier leurs préférences personnelles en matière de principes lorsqu’ils statuent sur une affaire donnée. Un pouvoir discrétionnaire aussi vaste et mal encadré ne respecte pas la primauté du droit : au contraire, il va à son encontre.</w:t>
      </w:r>
    </w:p>
    <w:p w14:paraId="6E0AC123" w14:textId="77777777" w:rsidR="00804EA2" w:rsidRPr="0062272F" w:rsidRDefault="00804EA2" w:rsidP="00804EA2">
      <w:pPr>
        <w:pStyle w:val="Title1LevelTitre1Niveau-AltL"/>
        <w:rPr>
          <w:rFonts w:cs="Times New Roman"/>
          <w:lang w:val="fr-CA"/>
        </w:rPr>
      </w:pPr>
      <w:r w:rsidRPr="0062272F">
        <w:rPr>
          <w:rFonts w:cs="Times New Roman"/>
          <w:lang w:val="fr-CA"/>
        </w:rPr>
        <w:t>Conclusion</w:t>
      </w:r>
    </w:p>
    <w:p w14:paraId="2DA05C25" w14:textId="77777777" w:rsidR="00804EA2" w:rsidRPr="0062272F" w:rsidRDefault="00804EA2" w:rsidP="00804EA2">
      <w:pPr>
        <w:pStyle w:val="ParaNoNdepar-AltN"/>
        <w:rPr>
          <w:rFonts w:cs="Times New Roman"/>
          <w:lang w:val="fr-CA"/>
        </w:rPr>
      </w:pPr>
      <w:r w:rsidRPr="0062272F">
        <w:rPr>
          <w:rFonts w:cs="Times New Roman"/>
          <w:lang w:val="fr-CA"/>
        </w:rPr>
        <w:lastRenderedPageBreak/>
        <w:t>À notre avis, la seule raison pour laquelle le régime fait l’objet d’un contrôle judiciaire est que le législateur et le gouvernement se sont efforcés d’être conciliants en offrant diverses options d’emploi. S’ils n’avaient pas offert aux membres qui prennent des congés non payés le droit de racheter des périodes de service ouvrant droit à pension, les tribunaux n’auraient aucune raison d’intervenir. Le raisonnement de notre collègue a pour résultat de mettre à la charge du public de nouvelles obligations financières tout simplement parce que le législateur et l’exécutif ont osé s’attaquer de façon graduelle à une inégalité historique au lieu de prendre des mesures plus draconiennes pour la supprimer. À l’avenir, ils pourraient fort bien estimer que l’inaction est la voie la plus sûre.</w:t>
      </w:r>
    </w:p>
    <w:p w14:paraId="7BFBB7CD" w14:textId="77777777" w:rsidR="00804EA2" w:rsidRPr="0062272F" w:rsidRDefault="00804EA2" w:rsidP="00804EA2">
      <w:pPr>
        <w:pStyle w:val="ParaNoNdepar-AltN"/>
        <w:rPr>
          <w:rFonts w:cs="Times New Roman"/>
          <w:lang w:val="fr-CA"/>
        </w:rPr>
      </w:pPr>
      <w:r w:rsidRPr="0062272F">
        <w:rPr>
          <w:rFonts w:cs="Times New Roman"/>
          <w:lang w:val="fr-CA"/>
        </w:rPr>
        <w:t xml:space="preserve">Toute autre loi en matière de protection sociale ou toute autre tentative gouvernementale de remédier à un désavantage systémique soulèvera invariablement des questions semblables. En se réservant le droit de remettre en question et de casser arbitrairement toute loi qui vise à corriger de façon graduelle des désavantages systémiques, la Cour fait en sorte qu’il sera plus difficile en réalité pour le législateur et pour les gouvernements de mettre en œuvre des politiques visant à promouvoir l’égalité. Bref, nous estimons que le fait de restreindre la capacité de l’État de s’attaquer de façon graduelle à des désavantages constitue une façon quelque peu particulière de promouvoir l’égalité. </w:t>
      </w:r>
    </w:p>
    <w:p w14:paraId="09D779FD" w14:textId="1CE22461" w:rsidR="00804EA2" w:rsidRPr="0056486B" w:rsidRDefault="00804EA2" w:rsidP="00804EA2">
      <w:pPr>
        <w:pStyle w:val="ParaNoNdepar-AltN"/>
        <w:rPr>
          <w:rStyle w:val="SCCCounselPartyRoleChar"/>
          <w:rFonts w:cs="Times New Roman"/>
          <w:lang w:val="fr-CA"/>
        </w:rPr>
      </w:pPr>
      <w:r w:rsidRPr="0062272F">
        <w:rPr>
          <w:rFonts w:cs="Times New Roman"/>
          <w:lang w:val="fr-CA"/>
        </w:rPr>
        <w:t>Nous sommes par conséquent d’avis de rejeter le pourvoi.</w:t>
      </w:r>
    </w:p>
    <w:p w14:paraId="50006EEF" w14:textId="51A2A778" w:rsidR="00804EA2" w:rsidRPr="0056486B" w:rsidRDefault="00804EA2" w:rsidP="0056486B">
      <w:pPr>
        <w:spacing w:after="480"/>
        <w:ind w:left="1170"/>
        <w:rPr>
          <w:rFonts w:eastAsia="Calibri"/>
          <w:lang w:val="fr-CA"/>
        </w:rPr>
      </w:pPr>
      <w:r w:rsidRPr="004E526C">
        <w:rPr>
          <w:rFonts w:eastAsia="Calibri"/>
          <w:lang w:val="fr-CA"/>
        </w:rPr>
        <w:t>Version française des motifs rendus par</w:t>
      </w:r>
    </w:p>
    <w:p w14:paraId="2F21D50F" w14:textId="1371C59A" w:rsidR="00804EA2" w:rsidRPr="00A720EC" w:rsidRDefault="00804EA2" w:rsidP="00804EA2">
      <w:pPr>
        <w:pStyle w:val="JudgeJuge"/>
        <w:spacing w:before="480"/>
        <w:rPr>
          <w:lang w:val="fr-CA"/>
        </w:rPr>
      </w:pPr>
      <w:r w:rsidRPr="00A720EC">
        <w:rPr>
          <w:lang w:val="fr-CA"/>
        </w:rPr>
        <w:tab/>
        <w:t>La juge Côté</w:t>
      </w:r>
      <w:r w:rsidR="0056486B">
        <w:rPr>
          <w:lang w:val="fr-CA"/>
        </w:rPr>
        <w:t xml:space="preserve"> </w:t>
      </w:r>
      <w:r w:rsidR="0056486B" w:rsidRPr="0056486B">
        <w:rPr>
          <w:smallCaps w:val="0"/>
          <w:lang w:val="fr-CA"/>
        </w:rPr>
        <w:t>(dissidente)</w:t>
      </w:r>
      <w:r w:rsidRPr="00A720EC">
        <w:rPr>
          <w:lang w:val="fr-CA"/>
        </w:rPr>
        <w:t xml:space="preserve"> —</w:t>
      </w:r>
    </w:p>
    <w:p w14:paraId="3FF75DD1" w14:textId="77777777" w:rsidR="00804EA2" w:rsidRPr="00CA3627" w:rsidRDefault="00804EA2" w:rsidP="00CA3627">
      <w:pPr>
        <w:pStyle w:val="Title1LevelTitre1Niveau-AltL"/>
        <w:numPr>
          <w:ilvl w:val="0"/>
          <w:numId w:val="34"/>
        </w:numPr>
        <w:rPr>
          <w:rFonts w:cs="Times New Roman"/>
          <w:lang w:val="fr-CA"/>
        </w:rPr>
      </w:pPr>
      <w:r w:rsidRPr="00CA3627">
        <w:rPr>
          <w:rFonts w:cs="Times New Roman"/>
          <w:lang w:val="fr-CA"/>
        </w:rPr>
        <w:t>Introduction</w:t>
      </w:r>
    </w:p>
    <w:p w14:paraId="0FD6EBB4" w14:textId="7E7ECF62" w:rsidR="00804EA2" w:rsidRPr="00A720EC" w:rsidRDefault="00804EA2" w:rsidP="00804EA2">
      <w:pPr>
        <w:pStyle w:val="ParaNoNdepar-AltN"/>
        <w:rPr>
          <w:lang w:val="fr-CA"/>
        </w:rPr>
      </w:pPr>
      <w:r w:rsidRPr="00A720EC">
        <w:rPr>
          <w:lang w:val="fr-CA"/>
        </w:rPr>
        <w:t xml:space="preserve">La discrimination fondée sur le sexe est une des formes les plus odieuses de différenciation. À l’instar de la race, le sexe est une caractéristique innée et immuable qui n’a rien à voir avec les capacités de l’individu. Il ne fait aucun doute que les femmes luttent depuis longtemps pour obtenir l’égalité de traitement </w:t>
      </w:r>
      <w:r>
        <w:rPr>
          <w:lang w:val="fr-CA"/>
        </w:rPr>
        <w:t>devant</w:t>
      </w:r>
      <w:r w:rsidRPr="00A720EC">
        <w:rPr>
          <w:lang w:val="fr-CA"/>
        </w:rPr>
        <w:t xml:space="preserve"> la loi dans une société où elles ont été historiquement défavorisées et le sont toujours</w:t>
      </w:r>
      <w:r>
        <w:rPr>
          <w:lang w:val="fr-CA"/>
        </w:rPr>
        <w:t> :</w:t>
      </w:r>
      <w:r w:rsidRPr="00A720EC">
        <w:rPr>
          <w:lang w:val="fr-CA"/>
        </w:rPr>
        <w:t xml:space="preserve"> </w:t>
      </w:r>
      <w:r w:rsidRPr="00A720EC">
        <w:rPr>
          <w:i/>
          <w:iCs/>
          <w:lang w:val="fr-CA"/>
        </w:rPr>
        <w:t>Alliance de la fonction publique du Canada c. Canada (Ministère de la Défense nationale)</w:t>
      </w:r>
      <w:r w:rsidRPr="00A720EC">
        <w:rPr>
          <w:lang w:val="fr-CA"/>
        </w:rPr>
        <w:t>, [1996] 3 C.F. 789</w:t>
      </w:r>
      <w:r w:rsidR="0084041F">
        <w:rPr>
          <w:lang w:val="fr-CA"/>
        </w:rPr>
        <w:t xml:space="preserve"> </w:t>
      </w:r>
      <w:r w:rsidR="0084041F" w:rsidRPr="0084041F">
        <w:rPr>
          <w:iCs/>
          <w:lang w:val="fr-CA"/>
        </w:rPr>
        <w:t>(C.A.)</w:t>
      </w:r>
      <w:r w:rsidRPr="00A720EC">
        <w:rPr>
          <w:lang w:val="fr-CA"/>
        </w:rPr>
        <w:t xml:space="preserve">, </w:t>
      </w:r>
      <w:r>
        <w:rPr>
          <w:lang w:val="fr-CA"/>
        </w:rPr>
        <w:t>par. </w:t>
      </w:r>
      <w:r w:rsidRPr="00A720EC">
        <w:rPr>
          <w:lang w:val="fr-CA"/>
        </w:rPr>
        <w:t xml:space="preserve">16; </w:t>
      </w:r>
      <w:r w:rsidRPr="00A720EC">
        <w:rPr>
          <w:i/>
          <w:iCs/>
          <w:lang w:val="fr-CA"/>
        </w:rPr>
        <w:t>Québec (P</w:t>
      </w:r>
      <w:r>
        <w:rPr>
          <w:i/>
          <w:iCs/>
          <w:lang w:val="fr-CA"/>
        </w:rPr>
        <w:t>rocureure générale</w:t>
      </w:r>
      <w:r w:rsidRPr="00A720EC">
        <w:rPr>
          <w:i/>
          <w:iCs/>
          <w:lang w:val="fr-CA"/>
        </w:rPr>
        <w:t>) c. Alliance du personnel professionnel et technique de la santé et des services sociaux</w:t>
      </w:r>
      <w:r w:rsidRPr="00A720EC">
        <w:rPr>
          <w:lang w:val="fr-CA"/>
        </w:rPr>
        <w:t>, 2018 CSC 17, [2018] 1 R.C.S. 464. Mais ceci n’est pas la question qui est soumise à la Cour. La question soumise à la Cour n’est pas non plus de savoir si les dispositions législatives contestées</w:t>
      </w:r>
      <w:r w:rsidR="00B84F78">
        <w:rPr>
          <w:rStyle w:val="FootnoteReference"/>
          <w:lang w:val="fr-CA"/>
        </w:rPr>
        <w:footnoteReference w:id="16"/>
      </w:r>
      <w:r w:rsidRPr="00A720EC">
        <w:rPr>
          <w:lang w:val="fr-CA"/>
        </w:rPr>
        <w:t xml:space="preserve"> sont irrationnelles, illogiques ou même trop limitatives — le fait qu’une loi ne soit pas parfaite, voire qu’elle exclut certaines catégories de personnes, ne la rend pas en soi inconstitutionnelle</w:t>
      </w:r>
      <w:r>
        <w:rPr>
          <w:lang w:val="fr-CA"/>
        </w:rPr>
        <w:t> :</w:t>
      </w:r>
      <w:r w:rsidRPr="00A720EC">
        <w:rPr>
          <w:lang w:val="fr-CA"/>
        </w:rPr>
        <w:t xml:space="preserve"> </w:t>
      </w:r>
      <w:r w:rsidRPr="00A720EC">
        <w:rPr>
          <w:i/>
          <w:lang w:val="fr-CA"/>
        </w:rPr>
        <w:t>Gosselin c. Québec (Procureur général)</w:t>
      </w:r>
      <w:r w:rsidRPr="0075397A">
        <w:rPr>
          <w:lang w:val="fr-CA"/>
        </w:rPr>
        <w:t>,</w:t>
      </w:r>
      <w:r w:rsidRPr="00A720EC">
        <w:rPr>
          <w:i/>
          <w:lang w:val="fr-CA"/>
        </w:rPr>
        <w:t xml:space="preserve"> </w:t>
      </w:r>
      <w:r w:rsidRPr="00A720EC">
        <w:rPr>
          <w:lang w:val="fr-CA"/>
        </w:rPr>
        <w:t xml:space="preserve">2002 CSC 84, [2002] 4 R.C.S. 429, </w:t>
      </w:r>
      <w:r>
        <w:rPr>
          <w:lang w:val="fr-CA"/>
        </w:rPr>
        <w:t>par. </w:t>
      </w:r>
      <w:r w:rsidRPr="00A720EC">
        <w:rPr>
          <w:lang w:val="fr-CA"/>
        </w:rPr>
        <w:t xml:space="preserve">55; </w:t>
      </w:r>
      <w:r w:rsidRPr="00A720EC">
        <w:rPr>
          <w:i/>
          <w:lang w:val="fr-CA"/>
        </w:rPr>
        <w:t>Andrews c. Law Society of British Columbia</w:t>
      </w:r>
      <w:r w:rsidRPr="00A720EC">
        <w:rPr>
          <w:lang w:val="fr-CA"/>
        </w:rPr>
        <w:t xml:space="preserve">, [1989] 1 R.C.S. 143, </w:t>
      </w:r>
      <w:r>
        <w:rPr>
          <w:lang w:val="fr-CA"/>
        </w:rPr>
        <w:t>p. </w:t>
      </w:r>
      <w:r w:rsidRPr="00A720EC">
        <w:rPr>
          <w:lang w:val="fr-CA"/>
        </w:rPr>
        <w:t>168</w:t>
      </w:r>
      <w:r>
        <w:rPr>
          <w:lang w:val="fr-CA"/>
        </w:rPr>
        <w:noBreakHyphen/>
      </w:r>
      <w:r w:rsidRPr="00A720EC">
        <w:rPr>
          <w:lang w:val="fr-CA"/>
        </w:rPr>
        <w:t xml:space="preserve">169. Au contraire, au cours des trois dernières décennies, notre Cour a soigneusement élaboré un test pour déterminer dans quels cas un type particulier de discrimination alléguée constitue effectivement de la discrimination et va à l’encontre de l’égalité de traitement par la loi </w:t>
      </w:r>
      <w:r>
        <w:rPr>
          <w:lang w:val="fr-CA"/>
        </w:rPr>
        <w:t>que prévoit</w:t>
      </w:r>
      <w:r w:rsidRPr="00A720EC">
        <w:rPr>
          <w:lang w:val="fr-CA"/>
        </w:rPr>
        <w:t xml:space="preserve"> l’</w:t>
      </w:r>
      <w:r>
        <w:rPr>
          <w:lang w:val="fr-CA"/>
        </w:rPr>
        <w:t>art. </w:t>
      </w:r>
      <w:r w:rsidRPr="00A720EC">
        <w:rPr>
          <w:lang w:val="fr-CA"/>
        </w:rPr>
        <w:t xml:space="preserve">15 de la </w:t>
      </w:r>
      <w:r w:rsidRPr="00A720EC">
        <w:rPr>
          <w:i/>
          <w:lang w:val="fr-CA"/>
        </w:rPr>
        <w:t>Charte canadienne des droits et libertés</w:t>
      </w:r>
      <w:r w:rsidRPr="00A720EC">
        <w:rPr>
          <w:lang w:val="fr-CA"/>
        </w:rPr>
        <w:t xml:space="preserve">. Un des aspects essentiels du </w:t>
      </w:r>
      <w:r>
        <w:rPr>
          <w:lang w:val="fr-CA"/>
        </w:rPr>
        <w:t>par. </w:t>
      </w:r>
      <w:r w:rsidRPr="00A720EC">
        <w:rPr>
          <w:lang w:val="fr-CA"/>
        </w:rPr>
        <w:t xml:space="preserve">15(1) de la </w:t>
      </w:r>
      <w:r w:rsidRPr="00A720EC">
        <w:rPr>
          <w:i/>
          <w:lang w:val="fr-CA"/>
        </w:rPr>
        <w:t>Charte</w:t>
      </w:r>
      <w:r w:rsidRPr="00A720EC">
        <w:rPr>
          <w:lang w:val="fr-CA"/>
        </w:rPr>
        <w:t xml:space="preserve"> est le fait qu’il énumère les motifs de discrimination qui tombent sous le coup de l’interdiction constitutionnelle qu’il énonce. En l’espèce, je ne peux, avec égards, souscrire à l’opinion de mes collègues suivant laquelle les dispositions contestées du régime de pension créent une distinction fondée sur le motif énuméré du sexe. Je m’explique.</w:t>
      </w:r>
    </w:p>
    <w:p w14:paraId="431D0486" w14:textId="77777777" w:rsidR="00804EA2" w:rsidRPr="00A720EC" w:rsidRDefault="00804EA2" w:rsidP="00804EA2">
      <w:pPr>
        <w:pStyle w:val="Title1LevelTitre1Niveau-AltL"/>
        <w:rPr>
          <w:rFonts w:cs="Times New Roman"/>
          <w:lang w:val="fr-CA"/>
        </w:rPr>
      </w:pPr>
      <w:r w:rsidRPr="00A720EC">
        <w:rPr>
          <w:rFonts w:cs="Times New Roman"/>
          <w:lang w:val="fr-CA"/>
        </w:rPr>
        <w:t>Analyse</w:t>
      </w:r>
    </w:p>
    <w:p w14:paraId="4B4361FE" w14:textId="1CF6C947" w:rsidR="00804EA2" w:rsidRPr="00A720EC" w:rsidRDefault="00804EA2" w:rsidP="00804EA2">
      <w:pPr>
        <w:pStyle w:val="ParaNoNdepar-AltN"/>
        <w:rPr>
          <w:rFonts w:cs="Times New Roman"/>
          <w:lang w:val="fr-CA"/>
        </w:rPr>
      </w:pPr>
      <w:r w:rsidRPr="00A720EC">
        <w:rPr>
          <w:rFonts w:cs="Times New Roman"/>
          <w:lang w:val="fr-CA"/>
        </w:rPr>
        <w:t xml:space="preserve">Mes collègues font un survol exhaustif de la jurisprudence de notre Cour sur le </w:t>
      </w:r>
      <w:r>
        <w:rPr>
          <w:rFonts w:cs="Times New Roman"/>
          <w:lang w:val="fr-CA"/>
        </w:rPr>
        <w:t>par. </w:t>
      </w:r>
      <w:r w:rsidRPr="00A720EC">
        <w:rPr>
          <w:rFonts w:cs="Times New Roman"/>
          <w:lang w:val="fr-CA"/>
        </w:rPr>
        <w:t>15(1) et je ne le ferai donc pas dans les présents motifs. Bien que mes collègues ne s’entendent manifestement pas sur certains aspects de doctrine, je crois comprendre que mes collègues et moi sommes d’accord sur les points suivants</w:t>
      </w:r>
      <w:r>
        <w:rPr>
          <w:rFonts w:cs="Times New Roman"/>
          <w:lang w:val="fr-CA"/>
        </w:rPr>
        <w:t> :</w:t>
      </w:r>
      <w:r w:rsidRPr="00A720EC">
        <w:rPr>
          <w:rFonts w:cs="Times New Roman"/>
          <w:lang w:val="fr-CA"/>
        </w:rPr>
        <w:t xml:space="preserve"> pour prouver la discrimination au sens du </w:t>
      </w:r>
      <w:r>
        <w:rPr>
          <w:rFonts w:cs="Times New Roman"/>
          <w:lang w:val="fr-CA"/>
        </w:rPr>
        <w:t>par. </w:t>
      </w:r>
      <w:r w:rsidRPr="00A720EC">
        <w:rPr>
          <w:rFonts w:cs="Times New Roman"/>
          <w:lang w:val="fr-CA"/>
        </w:rPr>
        <w:t>15(1), y compris la discrimination par suite d’un effet préjudiciable, le demandeur doit démontrer que la disposition contestée</w:t>
      </w:r>
      <w:r>
        <w:rPr>
          <w:rFonts w:cs="Times New Roman"/>
          <w:lang w:val="fr-CA"/>
        </w:rPr>
        <w:t> :</w:t>
      </w:r>
      <w:r w:rsidRPr="00A720EC">
        <w:rPr>
          <w:rFonts w:cs="Times New Roman"/>
          <w:lang w:val="fr-CA"/>
        </w:rPr>
        <w:t xml:space="preserve"> (i) crée une distinction préjudiciable fondée sur un motif énuméré ou analogue; (ii) perpétue, renforce ou accentue un désavantage préexistant (motifs des juges majoritaires, </w:t>
      </w:r>
      <w:r>
        <w:rPr>
          <w:rFonts w:cs="Times New Roman"/>
          <w:lang w:val="fr-CA"/>
        </w:rPr>
        <w:t>par. </w:t>
      </w:r>
      <w:r w:rsidRPr="00A720EC">
        <w:rPr>
          <w:rFonts w:cs="Times New Roman"/>
          <w:lang w:val="fr-CA"/>
        </w:rPr>
        <w:t xml:space="preserve">27 et 50; motifs des juges Brown et Rowe, </w:t>
      </w:r>
      <w:r>
        <w:rPr>
          <w:rFonts w:cs="Times New Roman"/>
          <w:lang w:val="fr-CA"/>
        </w:rPr>
        <w:t>par. </w:t>
      </w:r>
      <w:r w:rsidRPr="00A720EC">
        <w:rPr>
          <w:rFonts w:cs="Times New Roman"/>
          <w:lang w:val="fr-CA"/>
        </w:rPr>
        <w:t xml:space="preserve">169; </w:t>
      </w:r>
      <w:r w:rsidRPr="00A720EC">
        <w:rPr>
          <w:rFonts w:cs="Times New Roman"/>
          <w:i/>
          <w:lang w:val="fr-CA"/>
        </w:rPr>
        <w:t>R</w:t>
      </w:r>
      <w:r w:rsidR="00D572CB">
        <w:rPr>
          <w:rFonts w:cs="Times New Roman"/>
          <w:i/>
          <w:lang w:val="fr-CA"/>
        </w:rPr>
        <w:t>.</w:t>
      </w:r>
      <w:r w:rsidRPr="00A720EC">
        <w:rPr>
          <w:rFonts w:cs="Times New Roman"/>
          <w:i/>
          <w:lang w:val="fr-CA"/>
        </w:rPr>
        <w:t xml:space="preserve"> c. Kapp</w:t>
      </w:r>
      <w:r w:rsidRPr="00A720EC">
        <w:rPr>
          <w:rFonts w:cs="Times New Roman"/>
          <w:lang w:val="fr-CA"/>
        </w:rPr>
        <w:t xml:space="preserve">, 2008 CSC 41, [2008] 2 R.C.S. 483, </w:t>
      </w:r>
      <w:r>
        <w:rPr>
          <w:rFonts w:cs="Times New Roman"/>
          <w:lang w:val="fr-CA"/>
        </w:rPr>
        <w:t>par. </w:t>
      </w:r>
      <w:r w:rsidRPr="00A720EC">
        <w:rPr>
          <w:rFonts w:cs="Times New Roman"/>
          <w:lang w:val="fr-CA"/>
        </w:rPr>
        <w:t xml:space="preserve">17, </w:t>
      </w:r>
      <w:r w:rsidRPr="00A720EC">
        <w:rPr>
          <w:rFonts w:cs="Times New Roman"/>
          <w:i/>
          <w:lang w:val="fr-CA"/>
        </w:rPr>
        <w:t>Withler c. Canada (Procureur général</w:t>
      </w:r>
      <w:r w:rsidRPr="00A720EC">
        <w:rPr>
          <w:rFonts w:cs="Times New Roman"/>
          <w:lang w:val="fr-CA"/>
        </w:rPr>
        <w:t xml:space="preserve">), 2011 CSC 12, [2011] 1 R.C.S. 396, </w:t>
      </w:r>
      <w:r>
        <w:rPr>
          <w:rFonts w:cs="Times New Roman"/>
          <w:lang w:val="fr-CA"/>
        </w:rPr>
        <w:t>par. </w:t>
      </w:r>
      <w:r w:rsidRPr="00A720EC">
        <w:rPr>
          <w:rFonts w:cs="Times New Roman"/>
          <w:lang w:val="fr-CA"/>
        </w:rPr>
        <w:t xml:space="preserve">30 et 61; </w:t>
      </w:r>
      <w:r w:rsidRPr="00A720EC">
        <w:rPr>
          <w:rFonts w:cs="Times New Roman"/>
          <w:i/>
          <w:lang w:val="fr-CA"/>
        </w:rPr>
        <w:t>Québec (Procureur général) c. A</w:t>
      </w:r>
      <w:r w:rsidRPr="00A720EC">
        <w:rPr>
          <w:rFonts w:cs="Times New Roman"/>
          <w:lang w:val="fr-CA"/>
        </w:rPr>
        <w:t xml:space="preserve">, 2013 CSC 5, [2013] 1 R.C.S. 61, </w:t>
      </w:r>
      <w:r>
        <w:rPr>
          <w:rFonts w:cs="Times New Roman"/>
          <w:lang w:val="fr-CA"/>
        </w:rPr>
        <w:t>par. </w:t>
      </w:r>
      <w:r w:rsidRPr="00A720EC">
        <w:rPr>
          <w:rFonts w:cs="Times New Roman"/>
          <w:lang w:val="fr-CA"/>
        </w:rPr>
        <w:t xml:space="preserve">185; </w:t>
      </w:r>
      <w:r w:rsidRPr="00A720EC">
        <w:rPr>
          <w:rFonts w:cs="Times New Roman"/>
          <w:i/>
          <w:lang w:val="fr-CA"/>
        </w:rPr>
        <w:t>Première Nation de Kahkewistahaw c. Taypotat</w:t>
      </w:r>
      <w:r w:rsidRPr="00A720EC">
        <w:rPr>
          <w:rFonts w:cs="Times New Roman"/>
          <w:lang w:val="fr-CA"/>
        </w:rPr>
        <w:t xml:space="preserve">, 2015 CSC 30, [2015] 2 R.C.S. 548, </w:t>
      </w:r>
      <w:r>
        <w:rPr>
          <w:rFonts w:cs="Times New Roman"/>
          <w:lang w:val="fr-CA"/>
        </w:rPr>
        <w:t>par. </w:t>
      </w:r>
      <w:r w:rsidRPr="00A720EC">
        <w:rPr>
          <w:rFonts w:cs="Times New Roman"/>
          <w:lang w:val="fr-CA"/>
        </w:rPr>
        <w:t>19</w:t>
      </w:r>
      <w:r>
        <w:rPr>
          <w:rFonts w:cs="Times New Roman"/>
          <w:lang w:val="fr-CA"/>
        </w:rPr>
        <w:noBreakHyphen/>
      </w:r>
      <w:r w:rsidRPr="00A720EC">
        <w:rPr>
          <w:rFonts w:cs="Times New Roman"/>
          <w:lang w:val="fr-CA"/>
        </w:rPr>
        <w:t xml:space="preserve">20; </w:t>
      </w:r>
      <w:r w:rsidRPr="00A720EC">
        <w:rPr>
          <w:rFonts w:cs="Times New Roman"/>
          <w:i/>
          <w:lang w:val="fr-CA"/>
        </w:rPr>
        <w:t>Centrale des syndicats du Québec c. Québec (Procureure générale)</w:t>
      </w:r>
      <w:r w:rsidRPr="00A720EC">
        <w:rPr>
          <w:rFonts w:cs="Times New Roman"/>
          <w:lang w:val="fr-CA"/>
        </w:rPr>
        <w:t xml:space="preserve">, 2018 CSC 18, [2018] 1 R.C.S. 522, </w:t>
      </w:r>
      <w:r>
        <w:rPr>
          <w:rFonts w:cs="Times New Roman"/>
          <w:lang w:val="fr-CA"/>
        </w:rPr>
        <w:t>par. </w:t>
      </w:r>
      <w:r w:rsidRPr="00A720EC">
        <w:rPr>
          <w:rFonts w:cs="Times New Roman"/>
          <w:lang w:val="fr-CA"/>
        </w:rPr>
        <w:t>22).</w:t>
      </w:r>
    </w:p>
    <w:p w14:paraId="73133AE4" w14:textId="77777777" w:rsidR="00804EA2" w:rsidRPr="00A720EC" w:rsidRDefault="00804EA2" w:rsidP="00804EA2">
      <w:pPr>
        <w:pStyle w:val="ParaNoNdepar-AltN"/>
        <w:rPr>
          <w:rFonts w:cs="Times New Roman"/>
          <w:lang w:val="fr-CA"/>
        </w:rPr>
      </w:pPr>
      <w:r w:rsidRPr="00A720EC">
        <w:rPr>
          <w:rFonts w:cs="Times New Roman"/>
          <w:lang w:val="fr-CA"/>
        </w:rPr>
        <w:t xml:space="preserve">En l’espèce, contrairement à mes collègues, j’estime qu’il n’est pas nécessaire de passer à la seconde étape de l’analyse, parce que l’existence d’une distinction fondée sur le sexe ne peut être démontrée à la première étape. </w:t>
      </w:r>
    </w:p>
    <w:p w14:paraId="43C73311" w14:textId="77777777" w:rsidR="00804EA2" w:rsidRPr="00A720EC" w:rsidRDefault="00804EA2" w:rsidP="00804EA2">
      <w:pPr>
        <w:pStyle w:val="ParaNoNdepar-AltN"/>
        <w:rPr>
          <w:rFonts w:cs="Times New Roman"/>
          <w:lang w:val="fr-CA"/>
        </w:rPr>
      </w:pPr>
      <w:r w:rsidRPr="00A720EC">
        <w:rPr>
          <w:rFonts w:cs="Times New Roman"/>
          <w:lang w:val="fr-CA"/>
        </w:rPr>
        <w:t xml:space="preserve">Avec beaucoup d’égards, accueillir le présent pourvoi sur le fondement du sexe en tant que tel revient à tenter de résoudre la quadrature du cercle. Les dispositions contestées du régime de pension ont pour effet de créer une distinction qui n’est pas fondée sur le fait d’être une </w:t>
      </w:r>
      <w:r w:rsidRPr="00A720EC">
        <w:rPr>
          <w:rFonts w:cs="Times New Roman"/>
          <w:i/>
          <w:lang w:val="fr-CA"/>
        </w:rPr>
        <w:t>femme</w:t>
      </w:r>
      <w:r w:rsidRPr="00A720EC">
        <w:rPr>
          <w:rFonts w:cs="Times New Roman"/>
          <w:lang w:val="fr-CA"/>
        </w:rPr>
        <w:t xml:space="preserve">, mais sur celui d’être une femme </w:t>
      </w:r>
      <w:r w:rsidRPr="00A720EC">
        <w:rPr>
          <w:rFonts w:cs="Times New Roman"/>
          <w:i/>
          <w:lang w:val="fr-CA"/>
        </w:rPr>
        <w:t>avec des enfants</w:t>
      </w:r>
      <w:r w:rsidRPr="00A720EC">
        <w:rPr>
          <w:rFonts w:cs="Times New Roman"/>
          <w:lang w:val="fr-CA"/>
        </w:rPr>
        <w:t xml:space="preserve">. En d’autres termes, la distinction repose non pas sur le fait d’être une </w:t>
      </w:r>
      <w:r w:rsidRPr="00A720EC">
        <w:rPr>
          <w:rFonts w:cs="Times New Roman"/>
          <w:i/>
          <w:lang w:val="fr-CA"/>
        </w:rPr>
        <w:t>femme</w:t>
      </w:r>
      <w:r w:rsidRPr="00A720EC">
        <w:rPr>
          <w:rFonts w:cs="Times New Roman"/>
          <w:lang w:val="fr-CA"/>
        </w:rPr>
        <w:t xml:space="preserve">, mais sur le fait de devoir </w:t>
      </w:r>
      <w:r w:rsidRPr="00A720EC">
        <w:rPr>
          <w:rFonts w:cs="Times New Roman"/>
          <w:i/>
          <w:iCs/>
          <w:lang w:val="fr-CA"/>
        </w:rPr>
        <w:t>s’occuper</w:t>
      </w:r>
      <w:r w:rsidRPr="00A720EC">
        <w:rPr>
          <w:rFonts w:cs="Times New Roman"/>
          <w:lang w:val="fr-CA"/>
        </w:rPr>
        <w:t xml:space="preserve"> d’enfants. Il est révélateur que les statistiques citées par ma collègue la juge Abella pour étayer son point de vue — abstraction faite pour l’instant de leur valeur et même du rôle qu’elles doivent jouer dans l’analyse fondée sur le </w:t>
      </w:r>
      <w:r>
        <w:rPr>
          <w:rFonts w:cs="Times New Roman"/>
          <w:lang w:val="fr-CA"/>
        </w:rPr>
        <w:t>par. </w:t>
      </w:r>
      <w:r w:rsidRPr="00A720EC">
        <w:rPr>
          <w:rFonts w:cs="Times New Roman"/>
          <w:lang w:val="fr-CA"/>
        </w:rPr>
        <w:t xml:space="preserve">15(1) — se rapportent toutes à des femmes </w:t>
      </w:r>
      <w:r w:rsidRPr="00A720EC">
        <w:rPr>
          <w:rFonts w:cs="Times New Roman"/>
          <w:i/>
          <w:lang w:val="fr-CA"/>
        </w:rPr>
        <w:t>qui ont des enfants</w:t>
      </w:r>
      <w:r>
        <w:rPr>
          <w:rFonts w:cs="Times New Roman"/>
          <w:i/>
          <w:lang w:val="fr-CA"/>
        </w:rPr>
        <w:t> </w:t>
      </w:r>
      <w:r w:rsidRPr="00D572CB">
        <w:rPr>
          <w:rFonts w:cs="Times New Roman"/>
          <w:lang w:val="fr-CA"/>
        </w:rPr>
        <w:t>:</w:t>
      </w:r>
      <w:r w:rsidRPr="00A720EC">
        <w:rPr>
          <w:rFonts w:cs="Times New Roman"/>
          <w:lang w:val="fr-CA"/>
        </w:rPr>
        <w:t xml:space="preserve"> </w:t>
      </w:r>
    </w:p>
    <w:p w14:paraId="4BFEDEEE" w14:textId="77777777" w:rsidR="00804EA2" w:rsidRPr="00A720EC" w:rsidRDefault="00804EA2" w:rsidP="00804EA2">
      <w:pPr>
        <w:pStyle w:val="Citation-AltC"/>
        <w:tabs>
          <w:tab w:val="left" w:pos="1701"/>
        </w:tabs>
        <w:spacing w:after="240"/>
        <w:ind w:hanging="1166"/>
        <w:contextualSpacing w:val="0"/>
        <w:rPr>
          <w:lang w:val="fr-CA"/>
        </w:rPr>
      </w:pPr>
      <w:r w:rsidRPr="00A720EC">
        <w:rPr>
          <w:lang w:val="fr-CA"/>
        </w:rPr>
        <w:tab/>
      </w:r>
      <w:r>
        <w:rPr>
          <w:lang w:val="fr-CA"/>
        </w:rPr>
        <w:tab/>
        <w:t xml:space="preserve">Avec égards, le fait de se baser sur </w:t>
      </w:r>
      <w:r w:rsidRPr="00A720EC">
        <w:rPr>
          <w:lang w:val="fr-CA"/>
        </w:rPr>
        <w:t xml:space="preserve">la réduction temporaire des heures de travail d’un membre de la GRC pour </w:t>
      </w:r>
      <w:r>
        <w:rPr>
          <w:lang w:val="fr-CA"/>
        </w:rPr>
        <w:t>imposer des conséquences</w:t>
      </w:r>
      <w:r w:rsidRPr="00A720EC">
        <w:rPr>
          <w:lang w:val="fr-CA"/>
        </w:rPr>
        <w:t xml:space="preserve"> moins avantageuses </w:t>
      </w:r>
      <w:r>
        <w:rPr>
          <w:lang w:val="fr-CA"/>
        </w:rPr>
        <w:t xml:space="preserve">en matière de pension </w:t>
      </w:r>
      <w:r w:rsidRPr="00A720EC">
        <w:rPr>
          <w:lang w:val="fr-CA"/>
        </w:rPr>
        <w:t xml:space="preserve">a </w:t>
      </w:r>
      <w:r>
        <w:rPr>
          <w:lang w:val="fr-CA"/>
        </w:rPr>
        <w:t xml:space="preserve">clairement </w:t>
      </w:r>
      <w:r w:rsidRPr="00A720EC">
        <w:rPr>
          <w:lang w:val="fr-CA"/>
        </w:rPr>
        <w:t xml:space="preserve">un effet disproportionné sur les femmes. Les éléments de preuve pertinents — les conséquences du système — </w:t>
      </w:r>
      <w:r>
        <w:rPr>
          <w:lang w:val="fr-CA"/>
        </w:rPr>
        <w:t>ont démontré ceci :</w:t>
      </w:r>
    </w:p>
    <w:p w14:paraId="0BBB1C71" w14:textId="77777777" w:rsidR="00804EA2" w:rsidRPr="00A720EC" w:rsidRDefault="00804EA2" w:rsidP="00744EAD">
      <w:pPr>
        <w:pStyle w:val="Citation-AltC"/>
        <w:numPr>
          <w:ilvl w:val="0"/>
          <w:numId w:val="7"/>
        </w:numPr>
        <w:spacing w:after="240"/>
        <w:ind w:left="1800" w:hanging="630"/>
        <w:contextualSpacing w:val="0"/>
        <w:rPr>
          <w:lang w:val="fr-CA"/>
        </w:rPr>
      </w:pPr>
      <w:r w:rsidRPr="00A720EC">
        <w:rPr>
          <w:lang w:val="fr-CA"/>
        </w:rPr>
        <w:t xml:space="preserve">Les membres de la GRC qui ont réduit leurs heures de travail en participant au programme de partage de poste étaient </w:t>
      </w:r>
      <w:r w:rsidRPr="00A720EC">
        <w:rPr>
          <w:u w:val="single"/>
          <w:lang w:val="fr-CA"/>
        </w:rPr>
        <w:t>principalement des femmes ayant de jeunes enfants</w:t>
      </w:r>
      <w:r w:rsidRPr="00A720EC">
        <w:rPr>
          <w:lang w:val="fr-CA"/>
        </w:rPr>
        <w:t>.</w:t>
      </w:r>
    </w:p>
    <w:p w14:paraId="243ED592" w14:textId="77777777" w:rsidR="00804EA2" w:rsidRPr="00A720EC" w:rsidRDefault="00804EA2" w:rsidP="00744EAD">
      <w:pPr>
        <w:pStyle w:val="Citation-AltC"/>
        <w:numPr>
          <w:ilvl w:val="0"/>
          <w:numId w:val="7"/>
        </w:numPr>
        <w:spacing w:after="240"/>
        <w:ind w:left="1800" w:hanging="630"/>
        <w:contextualSpacing w:val="0"/>
        <w:rPr>
          <w:lang w:val="fr-CA"/>
        </w:rPr>
      </w:pPr>
      <w:r w:rsidRPr="00A720EC">
        <w:rPr>
          <w:lang w:val="fr-CA"/>
        </w:rPr>
        <w:t xml:space="preserve">De 2010 à 2014, la totalité des membres ayant réduit leurs heures de travail </w:t>
      </w:r>
      <w:r>
        <w:rPr>
          <w:lang w:val="fr-CA"/>
        </w:rPr>
        <w:t>par le truchement</w:t>
      </w:r>
      <w:r w:rsidRPr="00A720EC">
        <w:rPr>
          <w:lang w:val="fr-CA"/>
        </w:rPr>
        <w:t xml:space="preserve"> du programme de partage de poste étai</w:t>
      </w:r>
      <w:r>
        <w:rPr>
          <w:lang w:val="fr-CA"/>
        </w:rPr>
        <w:t>en</w:t>
      </w:r>
      <w:r w:rsidRPr="00A720EC">
        <w:rPr>
          <w:lang w:val="fr-CA"/>
        </w:rPr>
        <w:t xml:space="preserve">t des femmes, et </w:t>
      </w:r>
      <w:r w:rsidRPr="00A720EC">
        <w:rPr>
          <w:u w:val="single"/>
          <w:lang w:val="fr-CA"/>
        </w:rPr>
        <w:t>la plupart ont déclaré</w:t>
      </w:r>
      <w:r w:rsidRPr="00A720EC">
        <w:rPr>
          <w:lang w:val="fr-CA"/>
        </w:rPr>
        <w:t xml:space="preserve"> avoir participé au programme</w:t>
      </w:r>
      <w:r w:rsidRPr="00A720EC">
        <w:rPr>
          <w:u w:val="single"/>
          <w:lang w:val="fr-CA"/>
        </w:rPr>
        <w:t xml:space="preserve"> afin de s’occuper de leurs enfants</w:t>
      </w:r>
      <w:r w:rsidRPr="00A720EC">
        <w:rPr>
          <w:lang w:val="fr-CA"/>
        </w:rPr>
        <w:t>.</w:t>
      </w:r>
    </w:p>
    <w:p w14:paraId="19941690" w14:textId="67AC9A11" w:rsidR="00804EA2" w:rsidRPr="00A720EC" w:rsidRDefault="001129C7" w:rsidP="00804EA2">
      <w:pPr>
        <w:pStyle w:val="Citation-AltC"/>
        <w:spacing w:after="240"/>
        <w:ind w:hanging="1166"/>
        <w:contextualSpacing w:val="0"/>
        <w:jc w:val="center"/>
        <w:rPr>
          <w:lang w:val="fr-CA"/>
        </w:rPr>
      </w:pPr>
      <w:r>
        <w:rPr>
          <w:lang w:val="fr-CA"/>
        </w:rPr>
        <w:tab/>
        <w:t>. . .</w:t>
      </w:r>
    </w:p>
    <w:p w14:paraId="61324197" w14:textId="77777777" w:rsidR="00804EA2" w:rsidRPr="00A720EC" w:rsidRDefault="00804EA2" w:rsidP="00804EA2">
      <w:pPr>
        <w:pStyle w:val="Citation-AltC"/>
        <w:tabs>
          <w:tab w:val="left" w:pos="1701"/>
        </w:tabs>
        <w:spacing w:after="240"/>
        <w:ind w:hanging="1166"/>
        <w:contextualSpacing w:val="0"/>
        <w:rPr>
          <w:lang w:val="fr-CA"/>
        </w:rPr>
      </w:pPr>
      <w:r w:rsidRPr="00A720EC">
        <w:rPr>
          <w:lang w:val="fr-CA"/>
        </w:rPr>
        <w:tab/>
      </w:r>
      <w:r w:rsidRPr="00A720EC">
        <w:rPr>
          <w:lang w:val="fr-CA"/>
        </w:rPr>
        <w:tab/>
        <w:t xml:space="preserve">Les données recueillies par la Commission [d’enquête sur le travail à temps partiel] </w:t>
      </w:r>
      <w:r>
        <w:rPr>
          <w:lang w:val="fr-CA"/>
        </w:rPr>
        <w:t>portaient à croire</w:t>
      </w:r>
      <w:r w:rsidRPr="00A720EC">
        <w:rPr>
          <w:lang w:val="fr-CA"/>
        </w:rPr>
        <w:t xml:space="preserve"> que la </w:t>
      </w:r>
      <w:r>
        <w:rPr>
          <w:lang w:val="fr-CA"/>
        </w:rPr>
        <w:t>quasi-totalité</w:t>
      </w:r>
      <w:r w:rsidRPr="00A720EC">
        <w:rPr>
          <w:lang w:val="fr-CA"/>
        </w:rPr>
        <w:t xml:space="preserve"> des participants à ces programmes étaient des femmes et que [</w:t>
      </w:r>
      <w:r w:rsidRPr="00A720EC">
        <w:rPr>
          <w:smallCaps/>
          <w:lang w:val="fr-CA"/>
        </w:rPr>
        <w:t>traduction</w:t>
      </w:r>
      <w:r w:rsidRPr="00A720EC">
        <w:rPr>
          <w:lang w:val="fr-CA"/>
        </w:rPr>
        <w:t>] « </w:t>
      </w:r>
      <w:r w:rsidRPr="00A720EC">
        <w:rPr>
          <w:u w:val="single"/>
          <w:lang w:val="fr-CA"/>
        </w:rPr>
        <w:t>l’arrivée d’un nouveau bébé était la raison principale la plus courante pour participer à un programme de partage de poste</w:t>
      </w:r>
      <w:r w:rsidRPr="00A720EC">
        <w:rPr>
          <w:lang w:val="fr-CA"/>
        </w:rPr>
        <w:t> » (</w:t>
      </w:r>
      <w:r>
        <w:rPr>
          <w:lang w:val="fr-CA"/>
        </w:rPr>
        <w:t>p. </w:t>
      </w:r>
      <w:r w:rsidRPr="00A720EC">
        <w:rPr>
          <w:lang w:val="fr-CA"/>
        </w:rPr>
        <w:t>177</w:t>
      </w:r>
      <w:r>
        <w:rPr>
          <w:lang w:val="fr-CA"/>
        </w:rPr>
        <w:noBreakHyphen/>
      </w:r>
      <w:r w:rsidRPr="00A720EC">
        <w:rPr>
          <w:lang w:val="fr-CA"/>
        </w:rPr>
        <w:t xml:space="preserve">178). </w:t>
      </w:r>
    </w:p>
    <w:p w14:paraId="600B2F4C" w14:textId="639F5A8F" w:rsidR="00804EA2" w:rsidRPr="00A720EC" w:rsidRDefault="00804EA2" w:rsidP="00804EA2">
      <w:pPr>
        <w:pStyle w:val="Citation-AltC"/>
        <w:tabs>
          <w:tab w:val="left" w:pos="1701"/>
        </w:tabs>
        <w:spacing w:after="240"/>
        <w:ind w:hanging="1166"/>
        <w:contextualSpacing w:val="0"/>
        <w:rPr>
          <w:lang w:val="fr-CA"/>
        </w:rPr>
      </w:pPr>
      <w:r w:rsidRPr="00A720EC">
        <w:rPr>
          <w:lang w:val="fr-CA"/>
        </w:rPr>
        <w:tab/>
      </w:r>
      <w:r>
        <w:rPr>
          <w:lang w:val="fr-CA"/>
        </w:rPr>
        <w:tab/>
      </w:r>
      <w:r w:rsidRPr="00A720EC">
        <w:rPr>
          <w:lang w:val="fr-CA"/>
        </w:rPr>
        <w:t xml:space="preserve">Le </w:t>
      </w:r>
      <w:r w:rsidRPr="00A720EC">
        <w:rPr>
          <w:i/>
          <w:lang w:val="fr-CA"/>
        </w:rPr>
        <w:t>Rapport de la Commission sur l’égalité en matière d’emploi</w:t>
      </w:r>
      <w:r w:rsidRPr="00A720EC">
        <w:rPr>
          <w:lang w:val="fr-CA"/>
        </w:rPr>
        <w:t xml:space="preserve"> (1984, Rosalie Silberman Abella, commissaire) a précisé le lien </w:t>
      </w:r>
      <w:r w:rsidRPr="00A720EC">
        <w:rPr>
          <w:u w:val="single"/>
          <w:lang w:val="fr-CA"/>
        </w:rPr>
        <w:t>entre le travail à temps partiel et le soin des enfants</w:t>
      </w:r>
      <w:r w:rsidR="001129C7" w:rsidRPr="001129C7">
        <w:rPr>
          <w:lang w:val="fr-CA"/>
        </w:rPr>
        <w:t xml:space="preserve"> </w:t>
      </w:r>
      <w:r w:rsidRPr="00A720EC">
        <w:rPr>
          <w:lang w:val="fr-CA"/>
        </w:rPr>
        <w:t xml:space="preserve">. . . </w:t>
      </w:r>
      <w:r w:rsidRPr="00E94181">
        <w:rPr>
          <w:lang w:val="fr-CA"/>
        </w:rPr>
        <w:t>[Je souligne; par. 97 et 100</w:t>
      </w:r>
      <w:r w:rsidRPr="00E94181">
        <w:rPr>
          <w:lang w:val="fr-CA"/>
        </w:rPr>
        <w:noBreakHyphen/>
        <w:t>101.]</w:t>
      </w:r>
    </w:p>
    <w:p w14:paraId="2822509A" w14:textId="707BBAA5" w:rsidR="00804EA2" w:rsidRPr="00A720EC" w:rsidRDefault="00804EA2" w:rsidP="00804EA2">
      <w:pPr>
        <w:pStyle w:val="ParaNoNdepar-AltN"/>
        <w:rPr>
          <w:rFonts w:cs="Times New Roman"/>
          <w:lang w:val="fr-CA"/>
        </w:rPr>
      </w:pPr>
      <w:r w:rsidRPr="00A720EC">
        <w:rPr>
          <w:rFonts w:cs="Times New Roman"/>
          <w:lang w:val="fr-CA"/>
        </w:rPr>
        <w:t xml:space="preserve">La notion de femmes </w:t>
      </w:r>
      <w:r w:rsidRPr="00A720EC">
        <w:rPr>
          <w:rFonts w:cs="Times New Roman"/>
          <w:i/>
          <w:lang w:val="fr-CA"/>
        </w:rPr>
        <w:t xml:space="preserve">ayant des enfants </w:t>
      </w:r>
      <w:r w:rsidRPr="00A720EC">
        <w:rPr>
          <w:rFonts w:cs="Times New Roman"/>
          <w:lang w:val="fr-CA"/>
        </w:rPr>
        <w:t>est indissociable de la preuve présentée. Il me semble donc que la seule distinction que crée le régime de pension concerne la situation des personnes qui s’occupent d’un proche. En d’autres termes, la distinction en l’espèce ne dépend pas du fait d’être une femme, mais de la nécessité de s’occuper de quelqu’un</w:t>
      </w:r>
      <w:r>
        <w:rPr>
          <w:rFonts w:cs="Times New Roman"/>
          <w:lang w:val="fr-CA"/>
        </w:rPr>
        <w:t> :</w:t>
      </w:r>
      <w:r w:rsidRPr="00A720EC">
        <w:rPr>
          <w:rFonts w:cs="Times New Roman"/>
          <w:lang w:val="fr-CA"/>
        </w:rPr>
        <w:t xml:space="preserve"> voir </w:t>
      </w:r>
      <w:r w:rsidRPr="00A720EC">
        <w:rPr>
          <w:rFonts w:cs="Times New Roman"/>
          <w:i/>
          <w:lang w:val="fr-CA"/>
        </w:rPr>
        <w:t>Taypotat</w:t>
      </w:r>
      <w:r w:rsidRPr="00A720EC">
        <w:rPr>
          <w:rFonts w:cs="Times New Roman"/>
          <w:lang w:val="fr-CA"/>
        </w:rPr>
        <w:t xml:space="preserve">, </w:t>
      </w:r>
      <w:r>
        <w:rPr>
          <w:rFonts w:cs="Times New Roman"/>
          <w:lang w:val="fr-CA"/>
        </w:rPr>
        <w:t>par. </w:t>
      </w:r>
      <w:r w:rsidRPr="00A720EC">
        <w:rPr>
          <w:rFonts w:cs="Times New Roman"/>
          <w:lang w:val="fr-CA"/>
        </w:rPr>
        <w:t xml:space="preserve">21 (dans lequel la Cour a jugé qu’à la première étape, </w:t>
      </w:r>
      <w:r w:rsidRPr="00A720EC">
        <w:rPr>
          <w:rFonts w:cs="Times New Roman"/>
          <w:shd w:val="clear" w:color="auto" w:fill="FFFFFF"/>
          <w:lang w:val="fr-CA"/>
        </w:rPr>
        <w:t xml:space="preserve">le demandeur doit démontrer « que la loi en cause a un effet disproportionné à son égard </w:t>
      </w:r>
      <w:r w:rsidRPr="00A720EC">
        <w:rPr>
          <w:rFonts w:cs="Times New Roman"/>
          <w:iCs/>
          <w:u w:val="single"/>
          <w:shd w:val="clear" w:color="auto" w:fill="FFFFFF"/>
          <w:lang w:val="fr-CA"/>
        </w:rPr>
        <w:t>du fait de</w:t>
      </w:r>
      <w:r w:rsidRPr="00A720EC">
        <w:rPr>
          <w:rFonts w:cs="Times New Roman"/>
          <w:shd w:val="clear" w:color="auto" w:fill="FFFFFF"/>
          <w:lang w:val="fr-CA"/>
        </w:rPr>
        <w:t xml:space="preserve"> son appartenance à un groupe énuméré ou analogue »)</w:t>
      </w:r>
      <w:r w:rsidRPr="00A720EC">
        <w:rPr>
          <w:rFonts w:cs="Times New Roman"/>
          <w:lang w:val="fr-CA"/>
        </w:rPr>
        <w:t xml:space="preserve"> (je souligne); </w:t>
      </w:r>
      <w:r w:rsidRPr="00A720EC">
        <w:rPr>
          <w:rFonts w:cs="Times New Roman"/>
          <w:i/>
          <w:lang w:val="fr-CA"/>
        </w:rPr>
        <w:t>contra</w:t>
      </w:r>
      <w:r w:rsidRPr="00A720EC">
        <w:rPr>
          <w:rFonts w:cs="Times New Roman"/>
          <w:iCs/>
          <w:lang w:val="fr-CA"/>
        </w:rPr>
        <w:t>,</w:t>
      </w:r>
      <w:r w:rsidRPr="00A720EC">
        <w:rPr>
          <w:rFonts w:cs="Times New Roman"/>
          <w:i/>
          <w:lang w:val="fr-CA"/>
        </w:rPr>
        <w:t xml:space="preserve"> Centrale</w:t>
      </w:r>
      <w:r w:rsidRPr="00A720EC">
        <w:rPr>
          <w:rFonts w:cs="Times New Roman"/>
          <w:lang w:val="fr-CA"/>
        </w:rPr>
        <w:t xml:space="preserve">, </w:t>
      </w:r>
      <w:r>
        <w:rPr>
          <w:rFonts w:cs="Times New Roman"/>
          <w:lang w:val="fr-CA"/>
        </w:rPr>
        <w:t>par. </w:t>
      </w:r>
      <w:r w:rsidRPr="00A720EC">
        <w:rPr>
          <w:rFonts w:cs="Times New Roman"/>
          <w:lang w:val="fr-CA"/>
        </w:rPr>
        <w:t>28 (dans lequel la Cour a conclu que les exigences de la première étape étaient remplies, étant donné que « </w:t>
      </w:r>
      <w:r w:rsidRPr="00A720EC">
        <w:rPr>
          <w:rFonts w:cs="Times New Roman"/>
          <w:shd w:val="clear" w:color="auto" w:fill="FFFFFF"/>
          <w:lang w:val="fr-CA"/>
        </w:rPr>
        <w:t>les demanderesses subissent un effet préjudiciable disproportionné </w:t>
      </w:r>
      <w:r w:rsidRPr="00A720EC">
        <w:rPr>
          <w:rFonts w:cs="Times New Roman"/>
          <w:i/>
          <w:iCs/>
          <w:shd w:val="clear" w:color="auto" w:fill="FFFFFF"/>
          <w:lang w:val="fr-CA"/>
        </w:rPr>
        <w:t>parce qu’elles sont des femmes </w:t>
      </w:r>
      <w:r w:rsidRPr="00A720EC">
        <w:rPr>
          <w:rFonts w:cs="Times New Roman"/>
          <w:shd w:val="clear" w:color="auto" w:fill="FFFFFF"/>
          <w:lang w:val="fr-CA"/>
        </w:rPr>
        <w:t>») (</w:t>
      </w:r>
      <w:r w:rsidR="001129C7">
        <w:rPr>
          <w:rFonts w:cs="Times New Roman"/>
          <w:shd w:val="clear" w:color="auto" w:fill="FFFFFF"/>
          <w:lang w:val="fr-CA"/>
        </w:rPr>
        <w:t>en italique</w:t>
      </w:r>
      <w:r w:rsidRPr="00A720EC">
        <w:rPr>
          <w:rFonts w:cs="Times New Roman"/>
          <w:lang w:val="fr-CA"/>
        </w:rPr>
        <w:t xml:space="preserve"> dans l’original). On ne partage pas un poste avec un autre employé </w:t>
      </w:r>
      <w:r w:rsidRPr="00A720EC">
        <w:rPr>
          <w:rFonts w:cs="Times New Roman"/>
          <w:i/>
          <w:iCs/>
          <w:lang w:val="fr-CA"/>
        </w:rPr>
        <w:t>parce qu</w:t>
      </w:r>
      <w:r w:rsidRPr="00A720EC">
        <w:rPr>
          <w:rFonts w:cs="Times New Roman"/>
          <w:lang w:val="fr-CA"/>
        </w:rPr>
        <w:t>’on est une femme, mais parce qu’on doit s’occuper de quelqu’un</w:t>
      </w:r>
      <w:r>
        <w:rPr>
          <w:rFonts w:cs="Times New Roman"/>
          <w:lang w:val="fr-CA"/>
        </w:rPr>
        <w:t> :</w:t>
      </w:r>
      <w:r w:rsidRPr="00A720EC">
        <w:rPr>
          <w:rFonts w:cs="Times New Roman"/>
          <w:lang w:val="fr-CA"/>
        </w:rPr>
        <w:t xml:space="preserve"> affidavits des appelantes, d.a., </w:t>
      </w:r>
      <w:r>
        <w:rPr>
          <w:rFonts w:cs="Times New Roman"/>
          <w:lang w:val="fr-CA"/>
        </w:rPr>
        <w:t>vol. </w:t>
      </w:r>
      <w:r w:rsidRPr="00A720EC">
        <w:rPr>
          <w:rFonts w:cs="Times New Roman"/>
          <w:lang w:val="fr-CA"/>
        </w:rPr>
        <w:t xml:space="preserve">II, </w:t>
      </w:r>
      <w:r>
        <w:rPr>
          <w:rFonts w:cs="Times New Roman"/>
          <w:lang w:val="fr-CA"/>
        </w:rPr>
        <w:t>p. </w:t>
      </w:r>
      <w:r w:rsidRPr="00A720EC">
        <w:rPr>
          <w:rFonts w:cs="Times New Roman"/>
          <w:lang w:val="fr-CA"/>
        </w:rPr>
        <w:t xml:space="preserve">129 et suiv., et </w:t>
      </w:r>
      <w:r>
        <w:rPr>
          <w:rFonts w:cs="Times New Roman"/>
          <w:lang w:val="fr-CA"/>
        </w:rPr>
        <w:t>vol. </w:t>
      </w:r>
      <w:r w:rsidRPr="00A720EC">
        <w:rPr>
          <w:rFonts w:cs="Times New Roman"/>
          <w:lang w:val="fr-CA"/>
        </w:rPr>
        <w:t xml:space="preserve">III, </w:t>
      </w:r>
      <w:r>
        <w:rPr>
          <w:rFonts w:cs="Times New Roman"/>
          <w:lang w:val="fr-CA"/>
        </w:rPr>
        <w:t>p. </w:t>
      </w:r>
      <w:r w:rsidRPr="00A720EC">
        <w:rPr>
          <w:rFonts w:cs="Times New Roman"/>
          <w:lang w:val="fr-CA"/>
        </w:rPr>
        <w:t>327</w:t>
      </w:r>
      <w:r>
        <w:rPr>
          <w:rFonts w:cs="Times New Roman"/>
          <w:lang w:val="fr-CA"/>
        </w:rPr>
        <w:noBreakHyphen/>
      </w:r>
      <w:r w:rsidRPr="00A720EC">
        <w:rPr>
          <w:rFonts w:cs="Times New Roman"/>
          <w:lang w:val="fr-CA"/>
        </w:rPr>
        <w:t xml:space="preserve">342; 2017 CF 557, </w:t>
      </w:r>
      <w:r>
        <w:rPr>
          <w:rFonts w:cs="Times New Roman"/>
          <w:lang w:val="fr-CA"/>
        </w:rPr>
        <w:t>par. </w:t>
      </w:r>
      <w:r w:rsidRPr="00A720EC">
        <w:rPr>
          <w:rFonts w:cs="Times New Roman"/>
          <w:lang w:val="fr-CA"/>
        </w:rPr>
        <w:t xml:space="preserve">22 et annexe A (CanLII). </w:t>
      </w:r>
    </w:p>
    <w:p w14:paraId="477ADD31" w14:textId="77777777" w:rsidR="00804EA2" w:rsidRPr="00A720EC" w:rsidRDefault="00804EA2" w:rsidP="00804EA2">
      <w:pPr>
        <w:pStyle w:val="ParaNoNdepar-AltN"/>
        <w:rPr>
          <w:rFonts w:cs="Times New Roman"/>
          <w:lang w:val="fr-CA"/>
        </w:rPr>
      </w:pPr>
      <w:r w:rsidRPr="00A720EC">
        <w:rPr>
          <w:rFonts w:cs="Times New Roman"/>
          <w:lang w:val="fr-CA"/>
        </w:rPr>
        <w:t>Particulièrement, je désire attirer l’attention sur les cas de figure qui suivent. Prenons le cas, par exemple, d’un couple composé de deux hommes qui doivent eux aussi assumer la charge de s’occuper de leurs enfants. Ou encore le cas de personnes qui se chargent de veiller sur leurs parents vieillissants ou sur leur conjoint âgé. Ces personnes, de même que les femmes qui ont des enfants, subiront toutes une pression disproportionnée qui les incitera à recourir à la formule du partage de poste en raison de leur responsabilité de s’occuper de quelqu’un. Les personnes qui n’ont pas à prendre soin de quelqu’un ne seront pas exposées à ce type de pression qui les inciterait à partager leur poste avec quelqu’un d’autre. Les dispositions contestées créent donc une distinction fondée, non pas sur le sexe en tant que tel, mais sur leur responsabilité de s’occuper de quelqu’un</w:t>
      </w:r>
      <w:r>
        <w:rPr>
          <w:rFonts w:cs="Times New Roman"/>
          <w:lang w:val="fr-CA"/>
        </w:rPr>
        <w:t> :</w:t>
      </w:r>
      <w:r w:rsidRPr="00A720EC">
        <w:rPr>
          <w:rFonts w:cs="Times New Roman"/>
          <w:lang w:val="fr-CA"/>
        </w:rPr>
        <w:t xml:space="preserve"> </w:t>
      </w:r>
      <w:r w:rsidRPr="00A720EC">
        <w:rPr>
          <w:rFonts w:cs="Times New Roman"/>
          <w:i/>
          <w:lang w:val="fr-CA"/>
        </w:rPr>
        <w:t>Withler</w:t>
      </w:r>
      <w:r w:rsidRPr="00A720EC">
        <w:rPr>
          <w:rFonts w:cs="Times New Roman"/>
          <w:lang w:val="fr-CA"/>
        </w:rPr>
        <w:t xml:space="preserve">, </w:t>
      </w:r>
      <w:r>
        <w:rPr>
          <w:rFonts w:cs="Times New Roman"/>
          <w:lang w:val="fr-CA"/>
        </w:rPr>
        <w:t>par. </w:t>
      </w:r>
      <w:r w:rsidRPr="00A720EC">
        <w:rPr>
          <w:rFonts w:cs="Times New Roman"/>
          <w:lang w:val="fr-CA"/>
        </w:rPr>
        <w:t>62.</w:t>
      </w:r>
    </w:p>
    <w:p w14:paraId="4F8471F3" w14:textId="77777777" w:rsidR="00804EA2" w:rsidRPr="00A720EC" w:rsidRDefault="00804EA2" w:rsidP="00804EA2">
      <w:pPr>
        <w:pStyle w:val="ParaNoNdepar-AltN"/>
        <w:rPr>
          <w:rFonts w:cs="Times New Roman"/>
          <w:lang w:val="fr-CA"/>
        </w:rPr>
      </w:pPr>
      <w:r w:rsidRPr="00A720EC">
        <w:rPr>
          <w:rFonts w:cs="Times New Roman"/>
          <w:lang w:val="fr-CA"/>
        </w:rPr>
        <w:t xml:space="preserve">À mon sens, il est essentiel de tenir compte de la nature de la demande qui nous est soumise. En effet, les appelantes formulent leur demande au nom des femmes </w:t>
      </w:r>
      <w:r w:rsidRPr="00A720EC">
        <w:rPr>
          <w:rFonts w:cs="Times New Roman"/>
          <w:i/>
          <w:lang w:val="fr-CA"/>
        </w:rPr>
        <w:t>qui ont des enfants</w:t>
      </w:r>
      <w:r w:rsidRPr="00A720EC">
        <w:rPr>
          <w:rFonts w:cs="Times New Roman"/>
          <w:lang w:val="fr-CA"/>
        </w:rPr>
        <w:t xml:space="preserve">, et non simplement au nom des femmes en général; d’ailleurs, personne n’a fait valoir une demande au nom de femmes </w:t>
      </w:r>
      <w:r w:rsidRPr="00A720EC">
        <w:rPr>
          <w:rFonts w:cs="Times New Roman"/>
          <w:i/>
          <w:lang w:val="fr-CA"/>
        </w:rPr>
        <w:t xml:space="preserve">qui n’ont pas </w:t>
      </w:r>
      <w:r w:rsidRPr="00A720EC">
        <w:rPr>
          <w:rFonts w:cs="Times New Roman"/>
          <w:lang w:val="fr-CA"/>
        </w:rPr>
        <w:t xml:space="preserve">d’enfants. Le fait que les appelantes avaient la charge de s’occuper de leurs enfants et que les responsabilités qu’elles ont assumées à ce titre les ont incitées à prendre la décision de partager leur poste constitue un aspect essentiel de la demande. C’est la raison pour laquelle les appelantes ont plaidé leurs arguments en appel sur la base des </w:t>
      </w:r>
      <w:bookmarkStart w:id="2" w:name="_Hlk47533559"/>
      <w:r w:rsidRPr="00A720EC">
        <w:rPr>
          <w:rFonts w:cs="Times New Roman"/>
          <w:lang w:val="fr-CA"/>
        </w:rPr>
        <w:t>motifs de discrimination « intersectionnels » que sont le sexe et la situation familiale ou l’état parental</w:t>
      </w:r>
      <w:r>
        <w:rPr>
          <w:rFonts w:cs="Times New Roman"/>
          <w:lang w:val="fr-CA"/>
        </w:rPr>
        <w:t> :</w:t>
      </w:r>
      <w:bookmarkEnd w:id="2"/>
      <w:r w:rsidRPr="00A720EC">
        <w:rPr>
          <w:rFonts w:cs="Times New Roman"/>
          <w:lang w:val="fr-CA"/>
        </w:rPr>
        <w:t xml:space="preserve"> m.a.; 2018 CAF 223, [2019] 2 R.C.F. 541, </w:t>
      </w:r>
      <w:r>
        <w:rPr>
          <w:rFonts w:cs="Times New Roman"/>
          <w:lang w:val="fr-CA"/>
        </w:rPr>
        <w:t>par. </w:t>
      </w:r>
      <w:r w:rsidRPr="00A720EC">
        <w:rPr>
          <w:rFonts w:cs="Times New Roman"/>
          <w:lang w:val="fr-CA"/>
        </w:rPr>
        <w:t xml:space="preserve">3 et 42. </w:t>
      </w:r>
    </w:p>
    <w:p w14:paraId="27144641" w14:textId="77777777" w:rsidR="00804EA2" w:rsidRPr="00A720EC" w:rsidRDefault="00804EA2" w:rsidP="00804EA2">
      <w:pPr>
        <w:pStyle w:val="ParaNoNdepar-AltN"/>
        <w:rPr>
          <w:rFonts w:cs="Times New Roman"/>
          <w:lang w:val="fr-CA"/>
        </w:rPr>
      </w:pPr>
      <w:r w:rsidRPr="00A720EC">
        <w:rPr>
          <w:rFonts w:cs="Times New Roman"/>
          <w:lang w:val="fr-CA"/>
        </w:rPr>
        <w:t xml:space="preserve">Cependant — et cet aspect revêt une importance capitale pour trancher le présent pourvoi —, la situation de la personne qui s’occupe d’un proche, de même que l’état parental et la situation familiale </w:t>
      </w:r>
      <w:r w:rsidRPr="00A720EC">
        <w:rPr>
          <w:rFonts w:cs="Times New Roman"/>
          <w:i/>
          <w:iCs/>
          <w:lang w:val="fr-CA"/>
        </w:rPr>
        <w:t>ne</w:t>
      </w:r>
      <w:r w:rsidRPr="00A720EC">
        <w:rPr>
          <w:rFonts w:cs="Times New Roman"/>
          <w:lang w:val="fr-CA"/>
        </w:rPr>
        <w:t xml:space="preserve"> constituent </w:t>
      </w:r>
      <w:r w:rsidRPr="00A720EC">
        <w:rPr>
          <w:rFonts w:cs="Times New Roman"/>
          <w:i/>
          <w:iCs/>
          <w:lang w:val="fr-CA"/>
        </w:rPr>
        <w:t>pas</w:t>
      </w:r>
      <w:r w:rsidRPr="00A720EC">
        <w:rPr>
          <w:rFonts w:cs="Times New Roman"/>
          <w:lang w:val="fr-CA"/>
        </w:rPr>
        <w:t xml:space="preserve"> des motifs analogues qui sont reconnus par notre Cour en vertu du </w:t>
      </w:r>
      <w:r>
        <w:rPr>
          <w:rFonts w:cs="Times New Roman"/>
          <w:lang w:val="fr-CA"/>
        </w:rPr>
        <w:t>par. </w:t>
      </w:r>
      <w:r w:rsidRPr="00A720EC">
        <w:rPr>
          <w:rFonts w:cs="Times New Roman"/>
          <w:lang w:val="fr-CA"/>
        </w:rPr>
        <w:t xml:space="preserve">15(1) de la </w:t>
      </w:r>
      <w:r w:rsidRPr="00A720EC">
        <w:rPr>
          <w:rFonts w:cs="Times New Roman"/>
          <w:i/>
          <w:lang w:val="fr-CA"/>
        </w:rPr>
        <w:t>Charte</w:t>
      </w:r>
      <w:r w:rsidRPr="00A720EC">
        <w:rPr>
          <w:rFonts w:cs="Times New Roman"/>
          <w:lang w:val="fr-CA"/>
        </w:rPr>
        <w:t>, et je ne reconnaîtrais aucun d’eux comme tels en l’espèce. D’ailleurs, ma collègue la juge Abella explique de façon convaincante pourquoi il faut s’en abstenir (</w:t>
      </w:r>
      <w:r>
        <w:rPr>
          <w:rFonts w:cs="Times New Roman"/>
          <w:lang w:val="fr-CA"/>
        </w:rPr>
        <w:t>par. </w:t>
      </w:r>
      <w:r w:rsidRPr="00A720EC">
        <w:rPr>
          <w:rFonts w:cs="Times New Roman"/>
          <w:lang w:val="fr-CA"/>
        </w:rPr>
        <w:t>119</w:t>
      </w:r>
      <w:r>
        <w:rPr>
          <w:rFonts w:cs="Times New Roman"/>
          <w:lang w:val="fr-CA"/>
        </w:rPr>
        <w:noBreakHyphen/>
      </w:r>
      <w:r w:rsidRPr="00A720EC">
        <w:rPr>
          <w:rFonts w:cs="Times New Roman"/>
          <w:lang w:val="fr-CA"/>
        </w:rPr>
        <w:t>123), tout comme mes collègues les juges Brown et Rowe (</w:t>
      </w:r>
      <w:r>
        <w:rPr>
          <w:rFonts w:cs="Times New Roman"/>
          <w:lang w:val="fr-CA"/>
        </w:rPr>
        <w:t>par. </w:t>
      </w:r>
      <w:r w:rsidRPr="00A720EC">
        <w:rPr>
          <w:rFonts w:cs="Times New Roman"/>
          <w:lang w:val="fr-CA"/>
        </w:rPr>
        <w:t xml:space="preserve">183), et je suis d’accord avec eux qu’il serait malavisé de les reconnaître. Par conséquent, vu la conclusion que toute distinction dépend, en l’espèce, non pas du sexe de l’individu, mais bien uniquement du fait qu’il s’occupe de quelqu’un, et compte tenu du fait que notre Cour ne peut reconnaître la situation de la personne qui s’occupe d’un proche, l’état parental ou la situation familiale comme des motifs analogues dans le cas qui nous occupe, la prétention des appelantes doit être rejetée à la première étape de l’analyse du </w:t>
      </w:r>
      <w:r>
        <w:rPr>
          <w:rFonts w:cs="Times New Roman"/>
          <w:lang w:val="fr-CA"/>
        </w:rPr>
        <w:t>par. </w:t>
      </w:r>
      <w:r w:rsidRPr="00A720EC">
        <w:rPr>
          <w:rFonts w:cs="Times New Roman"/>
          <w:lang w:val="fr-CA"/>
        </w:rPr>
        <w:t>15(1).</w:t>
      </w:r>
    </w:p>
    <w:p w14:paraId="4FD7F052" w14:textId="336E446C" w:rsidR="00804EA2" w:rsidRPr="00A720EC" w:rsidRDefault="00804EA2" w:rsidP="00804EA2">
      <w:pPr>
        <w:pStyle w:val="ParaNoNdepar-AltN"/>
        <w:rPr>
          <w:rFonts w:cs="Times New Roman"/>
          <w:lang w:val="fr-CA"/>
        </w:rPr>
      </w:pPr>
      <w:r w:rsidRPr="00A720EC">
        <w:rPr>
          <w:rFonts w:cs="Times New Roman"/>
          <w:lang w:val="fr-CA"/>
        </w:rPr>
        <w:t>La présente affaire est donc relativement simple, du moins sur le plan de la doctrine. De longs motifs ne s’expliquent que par le fait que l’on tente de faire cadrer la demande avec le motif énuméré du sexe en tant que tel. Il est toutefois évident que la distinction créée par le régime de pension ne découle pas uniquement du sexe, mais d’une combinaison du sexe et du fait de s’occuper de quelqu’un. Si la majorité souhaite faire droit au pourvoi, elle serait mieux avisée, sur le plan des principes, soit de reconnaître les motifs « intersectionnels » que les appelantes l’exhortent à adopter, soit de reconnaître un nouveau motif analogue</w:t>
      </w:r>
      <w:r w:rsidR="001129C7">
        <w:rPr>
          <w:rStyle w:val="FootnoteReference"/>
          <w:rFonts w:cs="Times New Roman"/>
          <w:lang w:val="fr-CA"/>
        </w:rPr>
        <w:footnoteReference w:id="17"/>
      </w:r>
      <w:r w:rsidRPr="00A720EC">
        <w:rPr>
          <w:rFonts w:cs="Times New Roman"/>
          <w:lang w:val="fr-CA"/>
        </w:rPr>
        <w:t xml:space="preserve">. Comme elle refuse l’un et l’autre, notre Cour a essayé de résoudre la quadrature du cercle, rendant plus incertains les principes relatifs au </w:t>
      </w:r>
      <w:r>
        <w:rPr>
          <w:rFonts w:cs="Times New Roman"/>
          <w:lang w:val="fr-CA"/>
        </w:rPr>
        <w:t>par. </w:t>
      </w:r>
      <w:r w:rsidRPr="00A720EC">
        <w:rPr>
          <w:rFonts w:cs="Times New Roman"/>
          <w:lang w:val="fr-CA"/>
        </w:rPr>
        <w:t xml:space="preserve">15(1) développés par notre Cour et plus opaque la voie à suivre, plutôt que de l’éclairer. </w:t>
      </w:r>
    </w:p>
    <w:p w14:paraId="2A2B6949" w14:textId="77777777" w:rsidR="00804EA2" w:rsidRPr="00A720EC" w:rsidRDefault="00804EA2" w:rsidP="00804EA2">
      <w:pPr>
        <w:pStyle w:val="ParaNoNdepar-AltN"/>
        <w:rPr>
          <w:rFonts w:cs="Times New Roman"/>
          <w:lang w:val="fr-CA"/>
        </w:rPr>
      </w:pPr>
      <w:r w:rsidRPr="00A720EC">
        <w:rPr>
          <w:rFonts w:cs="Times New Roman"/>
          <w:lang w:val="fr-CA"/>
        </w:rPr>
        <w:t xml:space="preserve">J’en viens à mon point suivant, qui consiste à examiner les méthodes analytiques et les principes applicables pour pouvoir conclure que le régime de pension crée une distinction fondée sur le sexe uniquement. </w:t>
      </w:r>
    </w:p>
    <w:p w14:paraId="5E72D3C9" w14:textId="52448E72" w:rsidR="00804EA2" w:rsidRPr="00A720EC" w:rsidRDefault="00804EA2" w:rsidP="00804EA2">
      <w:pPr>
        <w:pStyle w:val="ParaNoNdepar-AltN"/>
        <w:rPr>
          <w:rFonts w:cs="Times New Roman"/>
          <w:lang w:val="fr-CA"/>
        </w:rPr>
      </w:pPr>
      <w:r w:rsidRPr="00A720EC">
        <w:rPr>
          <w:rFonts w:cs="Times New Roman"/>
          <w:lang w:val="fr-CA"/>
        </w:rPr>
        <w:t xml:space="preserve">En premier lieu, pour étayer la conclusion que les dispositions contestées créent une distinction fondée sur le </w:t>
      </w:r>
      <w:r w:rsidRPr="00A720EC">
        <w:rPr>
          <w:rFonts w:cs="Times New Roman"/>
          <w:i/>
          <w:lang w:val="fr-CA"/>
        </w:rPr>
        <w:t>sexe</w:t>
      </w:r>
      <w:r w:rsidRPr="00A720EC">
        <w:rPr>
          <w:rFonts w:cs="Times New Roman"/>
          <w:lang w:val="fr-CA"/>
        </w:rPr>
        <w:t xml:space="preserve"> (sans pour autant reconnaître l’existence d’un motif intersectionnel ou d’un motif analogue fondé sur l’état parental, la situation familiale ou le fait de s’occuper de quelqu’un), ma collègue la juge Abella affirme en fait que la discrimination fondée sur </w:t>
      </w:r>
      <w:r w:rsidRPr="00A720EC">
        <w:rPr>
          <w:rFonts w:cs="Times New Roman"/>
          <w:i/>
          <w:iCs/>
          <w:lang w:val="fr-CA"/>
        </w:rPr>
        <w:t>le fait de s’occuper d’enfants</w:t>
      </w:r>
      <w:r w:rsidRPr="00A720EC">
        <w:rPr>
          <w:rFonts w:cs="Times New Roman"/>
          <w:lang w:val="fr-CA"/>
        </w:rPr>
        <w:t xml:space="preserve"> équivaut à une discrimination fondée sur le </w:t>
      </w:r>
      <w:r w:rsidRPr="00A720EC">
        <w:rPr>
          <w:rFonts w:cs="Times New Roman"/>
          <w:i/>
          <w:lang w:val="fr-CA"/>
        </w:rPr>
        <w:t>sexe</w:t>
      </w:r>
      <w:r w:rsidRPr="00A720EC">
        <w:rPr>
          <w:rFonts w:cs="Times New Roman"/>
          <w:lang w:val="fr-CA"/>
        </w:rPr>
        <w:t xml:space="preserve"> en raison des liens historiques qui existent entre les deux</w:t>
      </w:r>
      <w:r>
        <w:rPr>
          <w:rFonts w:cs="Times New Roman"/>
          <w:lang w:val="fr-CA"/>
        </w:rPr>
        <w:t> :</w:t>
      </w:r>
      <w:r w:rsidRPr="00A720EC">
        <w:rPr>
          <w:rFonts w:cs="Times New Roman"/>
          <w:lang w:val="fr-CA"/>
        </w:rPr>
        <w:t xml:space="preserve"> voir </w:t>
      </w:r>
      <w:r>
        <w:rPr>
          <w:rFonts w:cs="Times New Roman"/>
          <w:lang w:val="fr-CA"/>
        </w:rPr>
        <w:t>para. </w:t>
      </w:r>
      <w:r w:rsidRPr="00A720EC">
        <w:rPr>
          <w:rFonts w:cs="Times New Roman"/>
          <w:lang w:val="fr-CA"/>
        </w:rPr>
        <w:t xml:space="preserve">98 et suiv. Cet argument reprend le raisonnement suivi dans l’arrêt </w:t>
      </w:r>
      <w:r w:rsidRPr="00A720EC">
        <w:rPr>
          <w:rFonts w:cs="Times New Roman"/>
          <w:i/>
          <w:lang w:val="fr-CA"/>
        </w:rPr>
        <w:t>Brooks c. Canada Safeway Ltd.</w:t>
      </w:r>
      <w:r w:rsidRPr="00A720EC">
        <w:rPr>
          <w:rFonts w:cs="Times New Roman"/>
          <w:lang w:val="fr-CA"/>
        </w:rPr>
        <w:t>, [1989] 1 R.C.S. 1219, où la Cour a reconnu que la discrimination fondée sur la grossesse constituait nécessairement une discrimination fondée sur le sexe. En effet, ma collègue la juge Abella postule que la preuve au sujet de certains groupes «</w:t>
      </w:r>
      <w:r w:rsidR="000D3B36">
        <w:rPr>
          <w:rFonts w:cs="Times New Roman"/>
          <w:lang w:val="fr-CA"/>
        </w:rPr>
        <w:t> </w:t>
      </w:r>
      <w:r w:rsidRPr="00A720EC">
        <w:rPr>
          <w:rFonts w:cs="Times New Roman"/>
          <w:lang w:val="fr-CA"/>
        </w:rPr>
        <w:t>démontre</w:t>
      </w:r>
      <w:r>
        <w:rPr>
          <w:rFonts w:cs="Times New Roman"/>
          <w:lang w:val="fr-CA"/>
        </w:rPr>
        <w:t>ront</w:t>
      </w:r>
      <w:r w:rsidRPr="00A720EC">
        <w:rPr>
          <w:rFonts w:cs="Times New Roman"/>
          <w:lang w:val="fr-CA"/>
        </w:rPr>
        <w:t> un lien si puissant avec certains traits — comme celui entre la grossesse et le sexe — que l’effet disproportionné sur les membres de ce[s] groupe[s] “sera visible et immédiat” »</w:t>
      </w:r>
      <w:r>
        <w:rPr>
          <w:rFonts w:cs="Times New Roman"/>
          <w:lang w:val="fr-CA"/>
        </w:rPr>
        <w:t> :</w:t>
      </w:r>
      <w:r w:rsidRPr="00A720EC">
        <w:rPr>
          <w:rFonts w:cs="Times New Roman"/>
          <w:lang w:val="fr-CA"/>
        </w:rPr>
        <w:t xml:space="preserve"> </w:t>
      </w:r>
      <w:r>
        <w:rPr>
          <w:rFonts w:cs="Times New Roman"/>
          <w:lang w:val="fr-CA"/>
        </w:rPr>
        <w:t>par. </w:t>
      </w:r>
      <w:r w:rsidRPr="00A720EC">
        <w:rPr>
          <w:rFonts w:cs="Times New Roman"/>
          <w:lang w:val="fr-CA"/>
        </w:rPr>
        <w:t xml:space="preserve">61, citant </w:t>
      </w:r>
      <w:r w:rsidRPr="00A720EC">
        <w:rPr>
          <w:rFonts w:cs="Times New Roman"/>
          <w:i/>
          <w:lang w:val="fr-CA"/>
        </w:rPr>
        <w:t>Taypotat</w:t>
      </w:r>
      <w:r w:rsidRPr="00A720EC">
        <w:rPr>
          <w:rFonts w:cs="Times New Roman"/>
          <w:lang w:val="fr-CA"/>
        </w:rPr>
        <w:t xml:space="preserve">, </w:t>
      </w:r>
      <w:r>
        <w:rPr>
          <w:rFonts w:cs="Times New Roman"/>
          <w:lang w:val="fr-CA"/>
        </w:rPr>
        <w:t>par. </w:t>
      </w:r>
      <w:r w:rsidRPr="00A720EC">
        <w:rPr>
          <w:rFonts w:cs="Times New Roman"/>
          <w:lang w:val="fr-CA"/>
        </w:rPr>
        <w:t xml:space="preserve">33. </w:t>
      </w:r>
    </w:p>
    <w:p w14:paraId="76339DAF" w14:textId="40E4007B" w:rsidR="00804EA2" w:rsidRPr="00A720EC" w:rsidRDefault="00804EA2" w:rsidP="00804EA2">
      <w:pPr>
        <w:pStyle w:val="ParaNoNdepar-AltN"/>
        <w:rPr>
          <w:rFonts w:cs="Times New Roman"/>
          <w:lang w:val="fr-CA"/>
        </w:rPr>
      </w:pPr>
      <w:bookmarkStart w:id="3" w:name="_Hlk47535510"/>
      <w:r w:rsidRPr="00A720EC">
        <w:rPr>
          <w:rFonts w:cs="Times New Roman"/>
          <w:lang w:val="fr-CA"/>
        </w:rPr>
        <w:t xml:space="preserve">Faisant abstraction pour le moment de la proposition doctrinale voulant qu’il suffise de démontrer un effet disproportionné pour franchir la première étape, j’estime qu’il existe une distinction importante entre, d’une part, la grossesse et le sexe et, d’autre part, la situation de la personne qui s’occupe de quelqu’un et le sexe. La présente espèce se distingue donc de l’affaire </w:t>
      </w:r>
      <w:r w:rsidRPr="00A720EC">
        <w:rPr>
          <w:rFonts w:cs="Times New Roman"/>
          <w:i/>
          <w:lang w:val="fr-CA"/>
        </w:rPr>
        <w:t>Brooks</w:t>
      </w:r>
      <w:r w:rsidRPr="00A720EC">
        <w:rPr>
          <w:rFonts w:cs="Times New Roman"/>
          <w:lang w:val="fr-CA"/>
        </w:rPr>
        <w:t xml:space="preserve">. Dans l’arrêt </w:t>
      </w:r>
      <w:r w:rsidRPr="00A720EC">
        <w:rPr>
          <w:rFonts w:cs="Times New Roman"/>
          <w:i/>
          <w:lang w:val="fr-CA"/>
        </w:rPr>
        <w:t>Brooks</w:t>
      </w:r>
      <w:r w:rsidRPr="00A720EC">
        <w:rPr>
          <w:rFonts w:cs="Times New Roman"/>
          <w:lang w:val="fr-CA"/>
        </w:rPr>
        <w:t>, la Cour a déclaré que le régime d’assurance collective en vertu duquel une entreprise refusait d’accorder des prestations aux employées pendant leur grossesse constituait de la discrimination fondée sur le sexe. Le juge en chef Dickson</w:t>
      </w:r>
      <w:r>
        <w:rPr>
          <w:rFonts w:cs="Times New Roman"/>
          <w:lang w:val="fr-CA"/>
        </w:rPr>
        <w:t xml:space="preserve"> </w:t>
      </w:r>
      <w:r w:rsidRPr="00A720EC">
        <w:rPr>
          <w:rFonts w:cs="Times New Roman"/>
          <w:lang w:val="fr-CA"/>
        </w:rPr>
        <w:t>a fondé cette conclusion sur le fait que, par définition, la grossesse ne concerne que les femmes.</w:t>
      </w:r>
      <w:r>
        <w:rPr>
          <w:rFonts w:cs="Times New Roman"/>
          <w:lang w:val="fr-CA"/>
        </w:rPr>
        <w:t xml:space="preserve"> </w:t>
      </w:r>
      <w:r w:rsidRPr="00A720EC">
        <w:rPr>
          <w:rFonts w:cs="Times New Roman"/>
          <w:lang w:val="fr-CA"/>
        </w:rPr>
        <w:t xml:space="preserve">S’exprimant au nom de la Cour, le juge en chef Dickson a expliqué que « [q]uoique la discrimination fondée sur la grossesse ne puisse frapper qu’une partie d’un groupe identifiable, elle ne peut frapper personne </w:t>
      </w:r>
      <w:r w:rsidR="006B3E44">
        <w:rPr>
          <w:rFonts w:cs="Times New Roman"/>
          <w:lang w:val="fr-CA"/>
        </w:rPr>
        <w:t>en dehors de</w:t>
      </w:r>
      <w:r w:rsidRPr="00A720EC">
        <w:rPr>
          <w:rFonts w:cs="Times New Roman"/>
          <w:lang w:val="fr-CA"/>
        </w:rPr>
        <w:t xml:space="preserve"> ce groupe »</w:t>
      </w:r>
      <w:r>
        <w:rPr>
          <w:rFonts w:cs="Times New Roman"/>
          <w:lang w:val="fr-CA"/>
        </w:rPr>
        <w:t> :</w:t>
      </w:r>
      <w:r w:rsidRPr="00A720EC">
        <w:rPr>
          <w:rFonts w:cs="Times New Roman"/>
          <w:lang w:val="fr-CA"/>
        </w:rPr>
        <w:t xml:space="preserve"> </w:t>
      </w:r>
      <w:r>
        <w:rPr>
          <w:rFonts w:cs="Times New Roman"/>
          <w:szCs w:val="24"/>
          <w:lang w:val="fr-CA"/>
        </w:rPr>
        <w:t>p. </w:t>
      </w:r>
      <w:r w:rsidRPr="00A720EC">
        <w:rPr>
          <w:rFonts w:cs="Times New Roman"/>
          <w:szCs w:val="24"/>
          <w:lang w:val="fr-CA"/>
        </w:rPr>
        <w:t>1247</w:t>
      </w:r>
      <w:r w:rsidRPr="00A720EC">
        <w:rPr>
          <w:rFonts w:cs="Times New Roman"/>
          <w:lang w:val="fr-CA"/>
        </w:rPr>
        <w:t xml:space="preserve">. La présente affaire est de toute évidence différente. La situation de la personne qui s’occupe de quelqu’un </w:t>
      </w:r>
      <w:r w:rsidRPr="00A720EC">
        <w:rPr>
          <w:rFonts w:cs="Times New Roman"/>
          <w:i/>
          <w:iCs/>
          <w:lang w:val="fr-CA"/>
        </w:rPr>
        <w:t>peut</w:t>
      </w:r>
      <w:r w:rsidRPr="00A720EC">
        <w:rPr>
          <w:rFonts w:cs="Times New Roman"/>
          <w:lang w:val="fr-CA"/>
        </w:rPr>
        <w:t xml:space="preserve"> être dissociée de son sexe. </w:t>
      </w:r>
      <w:r w:rsidRPr="00A720EC">
        <w:rPr>
          <w:rFonts w:cs="Times New Roman"/>
          <w:szCs w:val="24"/>
          <w:lang w:val="fr-CA"/>
        </w:rPr>
        <w:t xml:space="preserve">Dans l’affaire </w:t>
      </w:r>
      <w:r w:rsidRPr="00A720EC">
        <w:rPr>
          <w:rFonts w:cs="Times New Roman"/>
          <w:i/>
          <w:szCs w:val="24"/>
          <w:lang w:val="fr-CA"/>
        </w:rPr>
        <w:t>Brooks</w:t>
      </w:r>
      <w:r w:rsidRPr="00A720EC">
        <w:rPr>
          <w:rFonts w:cs="Times New Roman"/>
          <w:szCs w:val="24"/>
          <w:lang w:val="fr-CA"/>
        </w:rPr>
        <w:t xml:space="preserve">, un régime d’assurance collective discriminatoire envers les femmes enceintes discriminait </w:t>
      </w:r>
      <w:r w:rsidRPr="00A720EC">
        <w:rPr>
          <w:rFonts w:cs="Times New Roman"/>
          <w:i/>
          <w:iCs/>
          <w:szCs w:val="24"/>
          <w:lang w:val="fr-CA"/>
        </w:rPr>
        <w:t>nécessairement</w:t>
      </w:r>
      <w:r w:rsidRPr="00A720EC">
        <w:rPr>
          <w:rFonts w:cs="Times New Roman"/>
          <w:szCs w:val="24"/>
          <w:lang w:val="fr-CA"/>
        </w:rPr>
        <w:t xml:space="preserve"> les femmes. Dans le cas qui nous occupe, les dispositions contestées discriminant les personnes qui s’occupent de quelqu’un ne sont pas </w:t>
      </w:r>
      <w:r w:rsidRPr="00A720EC">
        <w:rPr>
          <w:rFonts w:cs="Times New Roman"/>
          <w:i/>
          <w:iCs/>
          <w:szCs w:val="24"/>
          <w:lang w:val="fr-CA"/>
        </w:rPr>
        <w:t>nécessairement</w:t>
      </w:r>
      <w:r w:rsidRPr="00A720EC">
        <w:rPr>
          <w:rFonts w:cs="Times New Roman"/>
          <w:szCs w:val="24"/>
          <w:lang w:val="fr-CA"/>
        </w:rPr>
        <w:t xml:space="preserve"> discriminatoires à l’égard des femmes. En d’autres termes, contrairement à la grossesse, le fait de prendre soin de quelqu’un n’est pas, </w:t>
      </w:r>
      <w:r w:rsidRPr="00A720EC">
        <w:rPr>
          <w:rFonts w:cs="Times New Roman"/>
          <w:i/>
          <w:iCs/>
          <w:szCs w:val="24"/>
          <w:lang w:val="fr-CA"/>
        </w:rPr>
        <w:t>par définition</w:t>
      </w:r>
      <w:r w:rsidRPr="00A720EC">
        <w:rPr>
          <w:rFonts w:cs="Times New Roman"/>
          <w:szCs w:val="24"/>
          <w:lang w:val="fr-CA"/>
        </w:rPr>
        <w:t xml:space="preserve">, lié au sexe. Au contraire, les couples de même sexe avec enfants, ainsi que les </w:t>
      </w:r>
      <w:r>
        <w:rPr>
          <w:rFonts w:cs="Times New Roman"/>
          <w:szCs w:val="24"/>
          <w:lang w:val="fr-CA"/>
        </w:rPr>
        <w:t xml:space="preserve">autres </w:t>
      </w:r>
      <w:r w:rsidRPr="00A720EC">
        <w:rPr>
          <w:rFonts w:cs="Times New Roman"/>
          <w:szCs w:val="24"/>
          <w:lang w:val="fr-CA"/>
        </w:rPr>
        <w:t xml:space="preserve">personnes qui s’occupent de </w:t>
      </w:r>
      <w:r>
        <w:rPr>
          <w:rFonts w:cs="Times New Roman"/>
          <w:szCs w:val="24"/>
          <w:lang w:val="fr-CA"/>
        </w:rPr>
        <w:t>quelqu’un</w:t>
      </w:r>
      <w:r w:rsidRPr="00A720EC">
        <w:rPr>
          <w:rFonts w:cs="Times New Roman"/>
          <w:szCs w:val="24"/>
          <w:lang w:val="fr-CA"/>
        </w:rPr>
        <w:t xml:space="preserve"> seront tous touchés de manière disproportionnée. Les appelantes — des femmes avec des enfants — ne se sont pas vu « </w:t>
      </w:r>
      <w:r w:rsidRPr="00A720EC">
        <w:rPr>
          <w:rFonts w:cs="Times New Roman"/>
          <w:shd w:val="clear" w:color="auto" w:fill="FFFFFF"/>
          <w:lang w:val="fr-CA"/>
        </w:rPr>
        <w:t xml:space="preserve">refuser un avantage accordé à d’autres [. . .] en raison d’une caractéristique personnelle correspondant à un motif énuméré visé par le </w:t>
      </w:r>
      <w:r>
        <w:rPr>
          <w:rFonts w:cs="Times New Roman"/>
          <w:shd w:val="clear" w:color="auto" w:fill="FFFFFF"/>
          <w:lang w:val="fr-CA"/>
        </w:rPr>
        <w:t>par. </w:t>
      </w:r>
      <w:r w:rsidRPr="00A720EC">
        <w:rPr>
          <w:rFonts w:cs="Times New Roman"/>
          <w:shd w:val="clear" w:color="auto" w:fill="FFFFFF"/>
          <w:lang w:val="fr-CA"/>
        </w:rPr>
        <w:t>15(1) »</w:t>
      </w:r>
      <w:r>
        <w:rPr>
          <w:rFonts w:cs="Times New Roman"/>
          <w:shd w:val="clear" w:color="auto" w:fill="FFFFFF"/>
          <w:lang w:val="fr-CA"/>
        </w:rPr>
        <w:t> :</w:t>
      </w:r>
      <w:r w:rsidRPr="00A720EC">
        <w:rPr>
          <w:rFonts w:cs="Times New Roman"/>
          <w:szCs w:val="24"/>
          <w:lang w:val="fr-CA"/>
        </w:rPr>
        <w:t xml:space="preserve"> </w:t>
      </w:r>
      <w:r w:rsidRPr="00A720EC">
        <w:rPr>
          <w:rFonts w:cs="Times New Roman"/>
          <w:i/>
          <w:szCs w:val="24"/>
          <w:lang w:val="fr-CA"/>
        </w:rPr>
        <w:t>Withler</w:t>
      </w:r>
      <w:r w:rsidRPr="00A720EC">
        <w:rPr>
          <w:rFonts w:cs="Times New Roman"/>
          <w:szCs w:val="24"/>
          <w:lang w:val="fr-CA"/>
        </w:rPr>
        <w:t>,</w:t>
      </w:r>
      <w:r w:rsidRPr="00A720EC">
        <w:rPr>
          <w:rFonts w:cs="Times New Roman"/>
          <w:i/>
          <w:szCs w:val="24"/>
          <w:lang w:val="fr-CA"/>
        </w:rPr>
        <w:t xml:space="preserve"> </w:t>
      </w:r>
      <w:r>
        <w:rPr>
          <w:rFonts w:cs="Times New Roman"/>
          <w:iCs/>
          <w:szCs w:val="24"/>
          <w:lang w:val="fr-CA"/>
        </w:rPr>
        <w:t>par. </w:t>
      </w:r>
      <w:r w:rsidRPr="00A720EC">
        <w:rPr>
          <w:rFonts w:cs="Times New Roman"/>
          <w:szCs w:val="24"/>
          <w:lang w:val="fr-CA"/>
        </w:rPr>
        <w:t>62. Les dispositions contestées créent une distinction fondée non pas sur le sexe en tant que tel, mais sur le fait de s’occuper d’une autre personne.</w:t>
      </w:r>
    </w:p>
    <w:p w14:paraId="35353058" w14:textId="77D7C56C" w:rsidR="00804EA2" w:rsidRPr="00A720EC" w:rsidRDefault="00804EA2" w:rsidP="00804EA2">
      <w:pPr>
        <w:pStyle w:val="ParaNoNdepar-AltN"/>
        <w:rPr>
          <w:rFonts w:cs="Times New Roman"/>
          <w:lang w:val="fr-CA"/>
        </w:rPr>
      </w:pPr>
      <w:r w:rsidRPr="00A720EC">
        <w:rPr>
          <w:rFonts w:cs="Times New Roman"/>
          <w:szCs w:val="24"/>
          <w:lang w:val="fr-CA"/>
        </w:rPr>
        <w:t xml:space="preserve">Par conséquent, le seul moyen d’appuyer la conclusion suivant laquelle le régime de pension est discriminatoire à l’égard des </w:t>
      </w:r>
      <w:r w:rsidRPr="00A720EC">
        <w:rPr>
          <w:rFonts w:cs="Times New Roman"/>
          <w:i/>
          <w:iCs/>
          <w:szCs w:val="24"/>
          <w:lang w:val="fr-CA"/>
        </w:rPr>
        <w:t>femmes</w:t>
      </w:r>
      <w:r w:rsidRPr="00A720EC">
        <w:rPr>
          <w:rFonts w:cs="Times New Roman"/>
          <w:szCs w:val="24"/>
          <w:lang w:val="fr-CA"/>
        </w:rPr>
        <w:t xml:space="preserve"> — sans pour autant reconnaître un motif analogue ou intersectionnel ou de s’appuyer sur l’argument tiré de l’arrêt </w:t>
      </w:r>
      <w:r w:rsidRPr="00A720EC">
        <w:rPr>
          <w:rFonts w:cs="Times New Roman"/>
          <w:i/>
          <w:szCs w:val="24"/>
          <w:lang w:val="fr-CA"/>
        </w:rPr>
        <w:t xml:space="preserve">Brooks </w:t>
      </w:r>
      <w:r w:rsidRPr="00A720EC">
        <w:rPr>
          <w:rFonts w:cs="Times New Roman"/>
          <w:szCs w:val="24"/>
          <w:lang w:val="fr-CA"/>
        </w:rPr>
        <w:t>— consiste à faire abstraction de la causalité, du lien ou de l’association nécessaire entre les dispositions contestées et leur effet et à ne tenir compte que des disparités statistiques que ce régime entraîne — c.</w:t>
      </w:r>
      <w:r>
        <w:rPr>
          <w:rFonts w:cs="Times New Roman"/>
          <w:szCs w:val="24"/>
          <w:lang w:val="fr-CA"/>
        </w:rPr>
        <w:noBreakHyphen/>
      </w:r>
      <w:r w:rsidRPr="00A720EC">
        <w:rPr>
          <w:rFonts w:cs="Times New Roman"/>
          <w:szCs w:val="24"/>
          <w:lang w:val="fr-CA"/>
        </w:rPr>
        <w:t>à</w:t>
      </w:r>
      <w:r>
        <w:rPr>
          <w:rFonts w:cs="Times New Roman"/>
          <w:szCs w:val="24"/>
          <w:lang w:val="fr-CA"/>
        </w:rPr>
        <w:noBreakHyphen/>
      </w:r>
      <w:r w:rsidRPr="00A720EC">
        <w:rPr>
          <w:rFonts w:cs="Times New Roman"/>
          <w:szCs w:val="24"/>
          <w:lang w:val="fr-CA"/>
        </w:rPr>
        <w:t>d. à tenir compte du fait que les femmes sont touchées de manière disproportionnée. Ma collègue la juge Abella franchit d’ailleurs ce pas doctrinal et réduit vraisemblablement l’analyse conduite à la première étape à une simple recherche d’un effet disproportionné démontré par des disparités statistiques</w:t>
      </w:r>
      <w:r>
        <w:rPr>
          <w:rFonts w:cs="Times New Roman"/>
          <w:szCs w:val="24"/>
          <w:lang w:val="fr-CA"/>
        </w:rPr>
        <w:t> :</w:t>
      </w:r>
      <w:r w:rsidRPr="00A720EC">
        <w:rPr>
          <w:rFonts w:cs="Times New Roman"/>
          <w:szCs w:val="24"/>
          <w:lang w:val="fr-CA"/>
        </w:rPr>
        <w:t xml:space="preserve"> elle affirme que </w:t>
      </w:r>
      <w:r>
        <w:rPr>
          <w:rFonts w:cs="Times New Roman"/>
          <w:szCs w:val="24"/>
          <w:lang w:val="fr-CA"/>
        </w:rPr>
        <w:t>« </w:t>
      </w:r>
      <w:r w:rsidRPr="00A720EC">
        <w:rPr>
          <w:rFonts w:cs="Times New Roman"/>
          <w:lang w:val="fr-CA"/>
        </w:rPr>
        <w:t xml:space="preserve">pour qu’une loi crée </w:t>
      </w:r>
      <w:r>
        <w:rPr>
          <w:rFonts w:cs="Times New Roman"/>
          <w:lang w:val="fr-CA"/>
        </w:rPr>
        <w:t xml:space="preserve">par son effet </w:t>
      </w:r>
      <w:r w:rsidRPr="00A720EC">
        <w:rPr>
          <w:rFonts w:cs="Times New Roman"/>
          <w:lang w:val="fr-CA"/>
        </w:rPr>
        <w:t xml:space="preserve">une distinction fondée sur des motifs interdits, elle doit avoir un effet disproportionné sur les membres d’un groupe protégé. </w:t>
      </w:r>
      <w:r>
        <w:rPr>
          <w:rFonts w:cs="Times New Roman"/>
          <w:lang w:val="fr-CA"/>
        </w:rPr>
        <w:t>Si c’est le cas</w:t>
      </w:r>
      <w:r w:rsidRPr="00A720EC">
        <w:rPr>
          <w:rFonts w:cs="Times New Roman"/>
          <w:lang w:val="fr-CA"/>
        </w:rPr>
        <w:t xml:space="preserve">, la première étape </w:t>
      </w:r>
      <w:r>
        <w:rPr>
          <w:rFonts w:cs="Times New Roman"/>
          <w:lang w:val="fr-CA"/>
        </w:rPr>
        <w:t>de l’analyse relative</w:t>
      </w:r>
      <w:r w:rsidRPr="00A720EC">
        <w:rPr>
          <w:rFonts w:cs="Times New Roman"/>
          <w:lang w:val="fr-CA"/>
        </w:rPr>
        <w:t xml:space="preserve"> à l’art</w:t>
      </w:r>
      <w:r>
        <w:rPr>
          <w:rFonts w:cs="Times New Roman"/>
          <w:lang w:val="fr-CA"/>
        </w:rPr>
        <w:t>.</w:t>
      </w:r>
      <w:r w:rsidRPr="00A720EC">
        <w:rPr>
          <w:rFonts w:cs="Times New Roman"/>
          <w:lang w:val="fr-CA"/>
        </w:rPr>
        <w:t xml:space="preserve"> 15 </w:t>
      </w:r>
      <w:r w:rsidRPr="00A720EC">
        <w:rPr>
          <w:rFonts w:cs="Times New Roman"/>
          <w:u w:val="single"/>
          <w:lang w:val="fr-CA"/>
        </w:rPr>
        <w:t>est</w:t>
      </w:r>
      <w:r w:rsidRPr="00A720EC">
        <w:rPr>
          <w:rFonts w:cs="Times New Roman"/>
          <w:lang w:val="fr-CA"/>
        </w:rPr>
        <w:t xml:space="preserve"> </w:t>
      </w:r>
      <w:r>
        <w:rPr>
          <w:rFonts w:cs="Times New Roman"/>
          <w:lang w:val="fr-CA"/>
        </w:rPr>
        <w:t>franchie</w:t>
      </w:r>
      <w:r w:rsidRPr="00A720EC">
        <w:rPr>
          <w:rFonts w:cs="Times New Roman"/>
          <w:lang w:val="fr-CA"/>
        </w:rPr>
        <w:t> » (</w:t>
      </w:r>
      <w:r>
        <w:rPr>
          <w:rFonts w:cs="Times New Roman"/>
          <w:lang w:val="fr-CA"/>
        </w:rPr>
        <w:t>par. </w:t>
      </w:r>
      <w:r w:rsidRPr="00A720EC">
        <w:rPr>
          <w:rFonts w:cs="Times New Roman"/>
          <w:lang w:val="fr-CA"/>
        </w:rPr>
        <w:t xml:space="preserve">52 (je souligne); voir également </w:t>
      </w:r>
      <w:r>
        <w:rPr>
          <w:rFonts w:cs="Times New Roman"/>
          <w:lang w:val="fr-CA"/>
        </w:rPr>
        <w:t>para. </w:t>
      </w:r>
      <w:r w:rsidRPr="00A720EC">
        <w:rPr>
          <w:rFonts w:cs="Times New Roman"/>
          <w:lang w:val="fr-CA"/>
        </w:rPr>
        <w:t>5, 63, 66</w:t>
      </w:r>
      <w:r>
        <w:rPr>
          <w:rFonts w:cs="Times New Roman"/>
          <w:lang w:val="fr-CA"/>
        </w:rPr>
        <w:noBreakHyphen/>
      </w:r>
      <w:r w:rsidRPr="00A720EC">
        <w:rPr>
          <w:rFonts w:cs="Times New Roman"/>
          <w:lang w:val="fr-CA"/>
        </w:rPr>
        <w:t>67, 70 et 84). Ma coll</w:t>
      </w:r>
      <w:r>
        <w:rPr>
          <w:rFonts w:cs="Times New Roman"/>
          <w:lang w:val="fr-CA"/>
        </w:rPr>
        <w:t>ègue explique ensuite qu’elle « souscri[t] </w:t>
      </w:r>
      <w:r w:rsidRPr="00A720EC">
        <w:rPr>
          <w:rFonts w:cs="Times New Roman"/>
          <w:lang w:val="fr-CA"/>
        </w:rPr>
        <w:t>» (</w:t>
      </w:r>
      <w:r>
        <w:rPr>
          <w:rFonts w:cs="Times New Roman"/>
          <w:lang w:val="fr-CA"/>
        </w:rPr>
        <w:t>par. </w:t>
      </w:r>
      <w:r w:rsidRPr="00A720EC">
        <w:rPr>
          <w:rFonts w:cs="Times New Roman"/>
          <w:lang w:val="fr-CA"/>
        </w:rPr>
        <w:t>67) à l’idée suivant laquelle une preuve de dis</w:t>
      </w:r>
      <w:r>
        <w:rPr>
          <w:rFonts w:cs="Times New Roman"/>
          <w:lang w:val="fr-CA"/>
        </w:rPr>
        <w:t>parités statistiques « suffi[t] </w:t>
      </w:r>
      <w:r w:rsidRPr="00A720EC">
        <w:rPr>
          <w:rFonts w:cs="Times New Roman"/>
          <w:lang w:val="fr-CA"/>
        </w:rPr>
        <w:t>» à établir l’existence d’un effet disproportionné (</w:t>
      </w:r>
      <w:r>
        <w:rPr>
          <w:rFonts w:cs="Times New Roman"/>
          <w:lang w:val="fr-CA"/>
        </w:rPr>
        <w:t>par. </w:t>
      </w:r>
      <w:r w:rsidRPr="00A720EC">
        <w:rPr>
          <w:rFonts w:cs="Times New Roman"/>
          <w:lang w:val="fr-CA"/>
        </w:rPr>
        <w:t xml:space="preserve">66, citant </w:t>
      </w:r>
      <w:r>
        <w:rPr>
          <w:rFonts w:cs="Times New Roman"/>
          <w:i/>
          <w:lang w:val="fr-CA"/>
        </w:rPr>
        <w:t xml:space="preserve">D.H. c. </w:t>
      </w:r>
      <w:r w:rsidR="00B80EF0">
        <w:rPr>
          <w:rFonts w:cs="Times New Roman"/>
          <w:i/>
          <w:lang w:val="fr-CA"/>
        </w:rPr>
        <w:t>République t</w:t>
      </w:r>
      <w:r w:rsidRPr="00A720EC">
        <w:rPr>
          <w:rFonts w:cs="Times New Roman"/>
          <w:i/>
          <w:lang w:val="fr-CA"/>
        </w:rPr>
        <w:t>chèque</w:t>
      </w:r>
      <w:r w:rsidRPr="00A720EC">
        <w:rPr>
          <w:rFonts w:cs="Times New Roman"/>
          <w:lang w:val="fr-CA"/>
        </w:rPr>
        <w:t>, n</w:t>
      </w:r>
      <w:r w:rsidRPr="00A720EC">
        <w:rPr>
          <w:rFonts w:cs="Times New Roman"/>
          <w:vertAlign w:val="superscript"/>
          <w:lang w:val="fr-CA"/>
        </w:rPr>
        <w:t>o</w:t>
      </w:r>
      <w:r w:rsidRPr="00A720EC">
        <w:rPr>
          <w:rFonts w:cs="Times New Roman"/>
          <w:lang w:val="fr-CA"/>
        </w:rPr>
        <w:t> 57325/00, CEDH 2007</w:t>
      </w:r>
      <w:r>
        <w:rPr>
          <w:rFonts w:cs="Times New Roman"/>
          <w:lang w:val="fr-CA"/>
        </w:rPr>
        <w:noBreakHyphen/>
      </w:r>
      <w:r w:rsidRPr="00A720EC">
        <w:rPr>
          <w:rFonts w:cs="Times New Roman"/>
          <w:lang w:val="fr-CA"/>
        </w:rPr>
        <w:t xml:space="preserve">IV, </w:t>
      </w:r>
      <w:r>
        <w:rPr>
          <w:rFonts w:cs="Times New Roman"/>
          <w:lang w:val="fr-CA"/>
        </w:rPr>
        <w:t>par. </w:t>
      </w:r>
      <w:r w:rsidRPr="00A720EC">
        <w:rPr>
          <w:rFonts w:cs="Times New Roman"/>
          <w:lang w:val="fr-CA"/>
        </w:rPr>
        <w:t>188). Ce développement doctrinal appelle la plus grande prudence, et ce, pas seulement parce qu’il confond une condition nécessaire avec une condition suffisante</w:t>
      </w:r>
      <w:r w:rsidR="00780643">
        <w:rPr>
          <w:rStyle w:val="FootnoteReference"/>
          <w:rFonts w:cs="Times New Roman"/>
          <w:lang w:val="fr-CA"/>
        </w:rPr>
        <w:footnoteReference w:id="18"/>
      </w:r>
      <w:r w:rsidRPr="00A720EC">
        <w:rPr>
          <w:rFonts w:cs="Times New Roman"/>
          <w:lang w:val="fr-CA"/>
        </w:rPr>
        <w:t>.</w:t>
      </w:r>
    </w:p>
    <w:p w14:paraId="548C7DDA" w14:textId="625348A1" w:rsidR="00804EA2" w:rsidRPr="00A720EC" w:rsidRDefault="00804EA2" w:rsidP="00804EA2">
      <w:pPr>
        <w:pStyle w:val="ParaNoNdepar-AltN"/>
        <w:rPr>
          <w:rFonts w:cs="Times New Roman"/>
          <w:lang w:val="fr-CA"/>
        </w:rPr>
      </w:pPr>
      <w:r w:rsidRPr="00A720EC">
        <w:rPr>
          <w:rFonts w:cs="Times New Roman"/>
          <w:lang w:val="fr-CA"/>
        </w:rPr>
        <w:t xml:space="preserve">L’existence d’un effet disproportionné n’est pas </w:t>
      </w:r>
      <w:r w:rsidRPr="00A720EC">
        <w:rPr>
          <w:rFonts w:cs="Times New Roman"/>
          <w:i/>
          <w:iCs/>
          <w:lang w:val="fr-CA"/>
        </w:rPr>
        <w:t>à elle seule</w:t>
      </w:r>
      <w:r w:rsidRPr="00A720EC">
        <w:rPr>
          <w:rFonts w:cs="Times New Roman"/>
          <w:lang w:val="fr-CA"/>
        </w:rPr>
        <w:t xml:space="preserve"> suffisante pour satisfaire à la première étape de l’analyse fondée sur le </w:t>
      </w:r>
      <w:r>
        <w:rPr>
          <w:rFonts w:cs="Times New Roman"/>
          <w:lang w:val="fr-CA"/>
        </w:rPr>
        <w:t>par. </w:t>
      </w:r>
      <w:r w:rsidRPr="00A720EC">
        <w:rPr>
          <w:rFonts w:cs="Times New Roman"/>
          <w:lang w:val="fr-CA"/>
        </w:rPr>
        <w:t>15(1). En d’autres termes, il ne suffit pas, pour satisfaire aux exigences de la première étape de l’analyse, de signaler que la majorité des employés qui recourent à la formule du partage de poste sont, dans l’état actuel des choses, des femmes avec des enfants. Sinon, une loi qui, par exemple, s’appl</w:t>
      </w:r>
      <w:r w:rsidR="00DD51C5">
        <w:rPr>
          <w:rFonts w:cs="Times New Roman"/>
          <w:lang w:val="fr-CA"/>
        </w:rPr>
        <w:t xml:space="preserve">iquerait à la frange des 1 p. 100 </w:t>
      </w:r>
      <w:r w:rsidRPr="00A720EC">
        <w:rPr>
          <w:rFonts w:cs="Times New Roman"/>
          <w:lang w:val="fr-CA"/>
        </w:rPr>
        <w:t>des plus hauts salariés au Canada franchirait la première étape simplement parce que cette frange est majoritairement composée d’hommes</w:t>
      </w:r>
      <w:r w:rsidR="00780643">
        <w:rPr>
          <w:rStyle w:val="FootnoteReference"/>
          <w:rFonts w:cs="Times New Roman"/>
          <w:lang w:val="fr-CA"/>
        </w:rPr>
        <w:footnoteReference w:id="19"/>
      </w:r>
      <w:r w:rsidRPr="00A720EC">
        <w:rPr>
          <w:rFonts w:cs="Times New Roman"/>
          <w:lang w:val="fr-CA"/>
        </w:rPr>
        <w:t>. De même, une loi qui encadrerait la profession infirmière franchirait la première étape de l’analyse du simple fait que le personnel infirmier</w:t>
      </w:r>
      <w:r>
        <w:rPr>
          <w:rFonts w:cs="Times New Roman"/>
          <w:lang w:val="fr-CA"/>
        </w:rPr>
        <w:t xml:space="preserve"> ré</w:t>
      </w:r>
      <w:r w:rsidRPr="00A720EC">
        <w:rPr>
          <w:rFonts w:cs="Times New Roman"/>
          <w:lang w:val="fr-CA"/>
        </w:rPr>
        <w:t>glementé est majoritairement composé de femmes</w:t>
      </w:r>
      <w:r w:rsidR="00780643">
        <w:rPr>
          <w:rStyle w:val="FootnoteReference"/>
          <w:rFonts w:cs="Times New Roman"/>
          <w:lang w:val="fr-CA"/>
        </w:rPr>
        <w:footnoteReference w:id="20"/>
      </w:r>
      <w:r w:rsidRPr="00A720EC">
        <w:rPr>
          <w:rFonts w:cs="Times New Roman"/>
          <w:lang w:val="fr-CA"/>
        </w:rPr>
        <w:t xml:space="preserve">. Certes, les exemples susmentionnés ne constituent pas des exemples de discrimination </w:t>
      </w:r>
      <w:r w:rsidRPr="00A720EC">
        <w:rPr>
          <w:rFonts w:cs="Times New Roman"/>
          <w:i/>
          <w:iCs/>
          <w:lang w:val="fr-CA"/>
        </w:rPr>
        <w:t>prima facie</w:t>
      </w:r>
      <w:r w:rsidRPr="00A720EC">
        <w:rPr>
          <w:rFonts w:cs="Times New Roman"/>
          <w:lang w:val="fr-CA"/>
        </w:rPr>
        <w:t xml:space="preserve">, mais ils illustrent comment, s’il suffisait de démontrer l’existence d’un effet disproportionné, la première étape se résumerait à une simple formalité dans les cas de discrimination par suite d’un effet préjudiciable, et ne serait plus une étape où « le demandeur [a] une tâche plus lourde », allant ainsi à l’encontre des sages consignes données dans l’arrêt </w:t>
      </w:r>
      <w:r w:rsidRPr="00A720EC">
        <w:rPr>
          <w:rFonts w:cs="Times New Roman"/>
          <w:i/>
          <w:lang w:val="fr-CA"/>
        </w:rPr>
        <w:t>Withler</w:t>
      </w:r>
      <w:r>
        <w:rPr>
          <w:rFonts w:cs="Times New Roman"/>
          <w:i/>
          <w:lang w:val="fr-CA"/>
        </w:rPr>
        <w:t> </w:t>
      </w:r>
      <w:r w:rsidRPr="00DD51C5">
        <w:rPr>
          <w:rFonts w:cs="Times New Roman"/>
          <w:lang w:val="fr-CA"/>
        </w:rPr>
        <w:t>:</w:t>
      </w:r>
      <w:r w:rsidRPr="00A720EC">
        <w:rPr>
          <w:rFonts w:cs="Times New Roman"/>
          <w:lang w:val="fr-CA"/>
        </w:rPr>
        <w:t xml:space="preserve"> </w:t>
      </w:r>
      <w:r>
        <w:rPr>
          <w:rFonts w:cs="Times New Roman"/>
          <w:lang w:val="fr-CA"/>
        </w:rPr>
        <w:t>par. </w:t>
      </w:r>
      <w:r w:rsidRPr="00A720EC">
        <w:rPr>
          <w:rFonts w:cs="Times New Roman"/>
          <w:lang w:val="fr-CA"/>
        </w:rPr>
        <w:t xml:space="preserve">64. Pire encore, si les disparités statistiques étaient à elles seules suffisantes, on passerait directement en réalité de l’analyse fondée sur le </w:t>
      </w:r>
      <w:r>
        <w:rPr>
          <w:rFonts w:cs="Times New Roman"/>
          <w:lang w:val="fr-CA"/>
        </w:rPr>
        <w:t>par. </w:t>
      </w:r>
      <w:r w:rsidRPr="00A720EC">
        <w:rPr>
          <w:rFonts w:cs="Times New Roman"/>
          <w:lang w:val="fr-CA"/>
        </w:rPr>
        <w:t xml:space="preserve">15(1) à l’article premier, lequel article renverse le fardeau de la preuve et l’impose au gouvernement. Il se peut fort bien que mes collègues voient d’un bon œil un tel scénario — et je ne porte aucun jugement à ce sujet; je tiens toutefois simplement à souligner que cette évolution doctrinale ne trouve pour le moment aucun appui dans la jurisprudence de notre Cour et que, dans le cas contraire, elle nécessiterait, à mon humble avis, une meilleure justification ou des éclaircissements supplémentaires. </w:t>
      </w:r>
    </w:p>
    <w:p w14:paraId="2CC504E4" w14:textId="6BA60B32" w:rsidR="00804EA2" w:rsidRPr="00A720EC" w:rsidRDefault="00804EA2" w:rsidP="00804EA2">
      <w:pPr>
        <w:pStyle w:val="ParaNoNdepar-AltN"/>
        <w:rPr>
          <w:rFonts w:cs="Times New Roman"/>
          <w:lang w:val="fr-CA"/>
        </w:rPr>
      </w:pPr>
      <w:r w:rsidRPr="00A720EC">
        <w:rPr>
          <w:rFonts w:cs="Times New Roman"/>
          <w:lang w:val="fr-CA"/>
        </w:rPr>
        <w:t xml:space="preserve">Dans le même ordre d’idées, j’ai également des réserves relativement à ce qui semble être une invitation de la majorité </w:t>
      </w:r>
      <w:r>
        <w:rPr>
          <w:rFonts w:cs="Times New Roman"/>
          <w:lang w:val="fr-CA"/>
        </w:rPr>
        <w:t>aux plaideurs de</w:t>
      </w:r>
      <w:r w:rsidRPr="00A720EC">
        <w:rPr>
          <w:rFonts w:cs="Times New Roman"/>
          <w:lang w:val="fr-CA"/>
        </w:rPr>
        <w:t xml:space="preserve"> débattre de statistiques</w:t>
      </w:r>
      <w:r>
        <w:rPr>
          <w:rFonts w:cs="Times New Roman"/>
          <w:lang w:val="fr-CA"/>
        </w:rPr>
        <w:t> :</w:t>
      </w:r>
      <w:r w:rsidRPr="00A720EC">
        <w:rPr>
          <w:rFonts w:cs="Times New Roman"/>
          <w:lang w:val="fr-CA"/>
        </w:rPr>
        <w:t xml:space="preserve"> </w:t>
      </w:r>
      <w:r>
        <w:rPr>
          <w:rFonts w:cs="Times New Roman"/>
          <w:lang w:val="fr-CA"/>
        </w:rPr>
        <w:t>par. </w:t>
      </w:r>
      <w:r w:rsidRPr="00A720EC">
        <w:rPr>
          <w:rFonts w:cs="Times New Roman"/>
          <w:lang w:val="fr-CA"/>
        </w:rPr>
        <w:t>58</w:t>
      </w:r>
      <w:r>
        <w:rPr>
          <w:rFonts w:cs="Times New Roman"/>
          <w:lang w:val="fr-CA"/>
        </w:rPr>
        <w:noBreakHyphen/>
      </w:r>
      <w:r w:rsidRPr="00A720EC">
        <w:rPr>
          <w:rFonts w:cs="Times New Roman"/>
          <w:lang w:val="fr-CA"/>
        </w:rPr>
        <w:t>59, 62</w:t>
      </w:r>
      <w:r>
        <w:rPr>
          <w:rFonts w:cs="Times New Roman"/>
          <w:lang w:val="fr-CA"/>
        </w:rPr>
        <w:noBreakHyphen/>
      </w:r>
      <w:r w:rsidRPr="00A720EC">
        <w:rPr>
          <w:rFonts w:cs="Times New Roman"/>
          <w:lang w:val="fr-CA"/>
        </w:rPr>
        <w:t>63 et 66</w:t>
      </w:r>
      <w:r>
        <w:rPr>
          <w:rFonts w:cs="Times New Roman"/>
          <w:lang w:val="fr-CA"/>
        </w:rPr>
        <w:noBreakHyphen/>
      </w:r>
      <w:r w:rsidRPr="00A720EC">
        <w:rPr>
          <w:rFonts w:cs="Times New Roman"/>
          <w:lang w:val="fr-CA"/>
        </w:rPr>
        <w:t>67. En effet, à mon sens, les parties peuvent désormais systématiquement présenter et contester des preuves statistiques (ma collègue invite les demandeurs à « recourir [. . .] à leurs propres éléments de preuve [. . .] plutôt qu’à des rapports gouvernementaux, études universitaires ou témoignages d’experts » (</w:t>
      </w:r>
      <w:r>
        <w:rPr>
          <w:rFonts w:cs="Times New Roman"/>
          <w:lang w:val="fr-CA"/>
        </w:rPr>
        <w:t>par. </w:t>
      </w:r>
      <w:r w:rsidRPr="00A720EC">
        <w:rPr>
          <w:rFonts w:cs="Times New Roman"/>
          <w:lang w:val="fr-CA"/>
        </w:rPr>
        <w:t>57)), et les juges de première instance doivent désormais agir comme arbitres pour juger de la valeur et de la véracité des statistiques (ma collègue affirme que « </w:t>
      </w:r>
      <w:r w:rsidRPr="00AC4A0A">
        <w:rPr>
          <w:rFonts w:cs="Times New Roman"/>
          <w:lang w:val="fr-CA"/>
        </w:rPr>
        <w:t>[</w:t>
      </w:r>
      <w:r w:rsidRPr="00A720EC">
        <w:rPr>
          <w:rFonts w:cs="Times New Roman"/>
          <w:lang w:val="fr-CA"/>
        </w:rPr>
        <w:t>l</w:t>
      </w:r>
      <w:r>
        <w:rPr>
          <w:rFonts w:cs="Times New Roman"/>
          <w:lang w:val="fr-CA"/>
        </w:rPr>
        <w:t>]</w:t>
      </w:r>
      <w:r w:rsidRPr="00A720EC">
        <w:rPr>
          <w:rFonts w:cs="Times New Roman"/>
          <w:lang w:val="fr-CA"/>
        </w:rPr>
        <w:t xml:space="preserve">e poids accordé aux statistiques dépendra, entre autres, de </w:t>
      </w:r>
      <w:r>
        <w:rPr>
          <w:rFonts w:cs="Times New Roman"/>
          <w:lang w:val="fr-CA"/>
        </w:rPr>
        <w:t>la</w:t>
      </w:r>
      <w:r w:rsidRPr="00A720EC">
        <w:rPr>
          <w:rFonts w:cs="Times New Roman"/>
          <w:lang w:val="fr-CA"/>
        </w:rPr>
        <w:t xml:space="preserve"> qualité</w:t>
      </w:r>
      <w:r>
        <w:rPr>
          <w:rFonts w:cs="Times New Roman"/>
          <w:lang w:val="fr-CA"/>
        </w:rPr>
        <w:t xml:space="preserve"> de celles-ci</w:t>
      </w:r>
      <w:r w:rsidRPr="00A720EC">
        <w:rPr>
          <w:rFonts w:cs="Times New Roman"/>
          <w:lang w:val="fr-CA"/>
        </w:rPr>
        <w:t xml:space="preserve"> et de la méthode utilisée pour les obtenir » (</w:t>
      </w:r>
      <w:r>
        <w:rPr>
          <w:rFonts w:cs="Times New Roman"/>
          <w:lang w:val="fr-CA"/>
        </w:rPr>
        <w:t>par. </w:t>
      </w:r>
      <w:r w:rsidRPr="00A720EC">
        <w:rPr>
          <w:rFonts w:cs="Times New Roman"/>
          <w:lang w:val="fr-CA"/>
        </w:rPr>
        <w:t>59)), ce qui renforce par le fait même les conclusions factuelles tirées par les juges, lesquelles commandent la déférence de la part de la juridiction d’appel qui procède à un contrôle (des conclusions que le pouvoir judiciaire est mal outillé sur le plan in</w:t>
      </w:r>
      <w:r w:rsidR="00DD51C5">
        <w:rPr>
          <w:rFonts w:cs="Times New Roman"/>
          <w:lang w:val="fr-CA"/>
        </w:rPr>
        <w:t>stitutionnel à tirer (voir, p. </w:t>
      </w:r>
      <w:r w:rsidRPr="00A720EC">
        <w:rPr>
          <w:rFonts w:cs="Times New Roman"/>
          <w:lang w:val="fr-CA"/>
        </w:rPr>
        <w:t xml:space="preserve">ex., </w:t>
      </w:r>
      <w:r>
        <w:rPr>
          <w:rFonts w:cs="Times New Roman"/>
          <w:lang w:val="fr-CA"/>
        </w:rPr>
        <w:t>P. </w:t>
      </w:r>
      <w:r w:rsidRPr="00A720EC">
        <w:rPr>
          <w:rFonts w:cs="Times New Roman"/>
          <w:lang w:val="fr-CA"/>
        </w:rPr>
        <w:t xml:space="preserve">Yowell, </w:t>
      </w:r>
      <w:r w:rsidRPr="00A720EC">
        <w:rPr>
          <w:rFonts w:cs="Times New Roman"/>
          <w:i/>
          <w:lang w:val="fr-CA"/>
        </w:rPr>
        <w:t>Constitutional Rights and Constitutional Design</w:t>
      </w:r>
      <w:r w:rsidR="00DD51C5">
        <w:rPr>
          <w:rFonts w:cs="Times New Roman"/>
          <w:i/>
          <w:lang w:val="fr-CA"/>
        </w:rPr>
        <w:t> </w:t>
      </w:r>
      <w:r w:rsidRPr="00A720EC">
        <w:rPr>
          <w:rFonts w:cs="Times New Roman"/>
          <w:i/>
          <w:lang w:val="fr-CA"/>
        </w:rPr>
        <w:t>: Moral and Empirical Reasoning in Judicial Review</w:t>
      </w:r>
      <w:r w:rsidRPr="00A720EC">
        <w:rPr>
          <w:rFonts w:cs="Times New Roman"/>
          <w:lang w:val="fr-CA"/>
        </w:rPr>
        <w:t xml:space="preserve"> (2018),</w:t>
      </w:r>
      <w:r w:rsidRPr="00A720EC">
        <w:rPr>
          <w:rFonts w:cs="Times New Roman"/>
          <w:i/>
          <w:lang w:val="fr-CA"/>
        </w:rPr>
        <w:t xml:space="preserve"> </w:t>
      </w:r>
      <w:r>
        <w:rPr>
          <w:rFonts w:cs="Times New Roman"/>
          <w:lang w:val="fr-CA"/>
        </w:rPr>
        <w:t>p. </w:t>
      </w:r>
      <w:r w:rsidRPr="00A720EC">
        <w:rPr>
          <w:rFonts w:cs="Times New Roman"/>
          <w:lang w:val="fr-CA"/>
        </w:rPr>
        <w:t>70</w:t>
      </w:r>
      <w:r>
        <w:rPr>
          <w:rFonts w:cs="Times New Roman"/>
          <w:lang w:val="fr-CA"/>
        </w:rPr>
        <w:noBreakHyphen/>
      </w:r>
      <w:r w:rsidRPr="00A720EC">
        <w:rPr>
          <w:rFonts w:cs="Times New Roman"/>
          <w:lang w:val="fr-CA"/>
        </w:rPr>
        <w:t xml:space="preserve">71)). De par leur nature, les statistiques qui sont soumises au tribunal sont figées dans le temps; pourtant, en réalité, elles évoluent sans cesse — une loi ne peut être constitutionnelle un jour et inconstitutionnelle le lendemain sur la seule foi d’une preuve statistique. </w:t>
      </w:r>
    </w:p>
    <w:p w14:paraId="1D595980" w14:textId="2DF949F4" w:rsidR="00804EA2" w:rsidRPr="00A720EC" w:rsidRDefault="00804EA2" w:rsidP="00804EA2">
      <w:pPr>
        <w:pStyle w:val="ParaNoNdepar-AltN"/>
        <w:rPr>
          <w:rFonts w:cs="Times New Roman"/>
          <w:lang w:val="fr-CA"/>
        </w:rPr>
      </w:pPr>
      <w:r w:rsidRPr="00A720EC">
        <w:rPr>
          <w:rFonts w:cs="Times New Roman"/>
          <w:lang w:val="fr-CA"/>
        </w:rPr>
        <w:t xml:space="preserve">Sur ce point, j’estime, en toute déférence, que ma collègue la juge Abella a tort de se fonder sur l’arrêt </w:t>
      </w:r>
      <w:r w:rsidRPr="00A720EC">
        <w:rPr>
          <w:rFonts w:cs="Times New Roman"/>
          <w:i/>
          <w:lang w:val="fr-CA"/>
        </w:rPr>
        <w:t>Griggs c. Duke Power Co.</w:t>
      </w:r>
      <w:r w:rsidRPr="00A720EC">
        <w:rPr>
          <w:rFonts w:cs="Times New Roman"/>
          <w:lang w:val="fr-CA"/>
        </w:rPr>
        <w:t xml:space="preserve">, 401 U.S. 424 (1971). Elle cite à plusieurs reprises l’arrêt </w:t>
      </w:r>
      <w:r w:rsidRPr="00A720EC">
        <w:rPr>
          <w:rFonts w:cs="Times New Roman"/>
          <w:i/>
          <w:lang w:val="fr-CA"/>
        </w:rPr>
        <w:t xml:space="preserve">Griggs </w:t>
      </w:r>
      <w:r w:rsidRPr="00A720EC">
        <w:rPr>
          <w:rFonts w:cs="Times New Roman"/>
          <w:lang w:val="fr-CA"/>
        </w:rPr>
        <w:t xml:space="preserve">(voir les </w:t>
      </w:r>
      <w:r>
        <w:rPr>
          <w:rFonts w:cs="Times New Roman"/>
          <w:lang w:val="fr-CA"/>
        </w:rPr>
        <w:t>par. </w:t>
      </w:r>
      <w:r w:rsidRPr="00A720EC">
        <w:rPr>
          <w:rFonts w:cs="Times New Roman"/>
          <w:lang w:val="fr-CA"/>
        </w:rPr>
        <w:t>32</w:t>
      </w:r>
      <w:r>
        <w:rPr>
          <w:rFonts w:cs="Times New Roman"/>
          <w:lang w:val="fr-CA"/>
        </w:rPr>
        <w:noBreakHyphen/>
      </w:r>
      <w:r w:rsidRPr="00A720EC">
        <w:rPr>
          <w:rFonts w:cs="Times New Roman"/>
          <w:lang w:val="fr-CA"/>
        </w:rPr>
        <w:t>34, 38, 53, 55 et 70</w:t>
      </w:r>
      <w:r>
        <w:rPr>
          <w:rFonts w:cs="Times New Roman"/>
          <w:lang w:val="fr-CA"/>
        </w:rPr>
        <w:noBreakHyphen/>
      </w:r>
      <w:r w:rsidRPr="00A720EC">
        <w:rPr>
          <w:rFonts w:cs="Times New Roman"/>
          <w:lang w:val="fr-CA"/>
        </w:rPr>
        <w:t>71)</w:t>
      </w:r>
      <w:r w:rsidRPr="00A720EC">
        <w:rPr>
          <w:rFonts w:cs="Times New Roman"/>
          <w:i/>
          <w:lang w:val="fr-CA"/>
        </w:rPr>
        <w:t xml:space="preserve"> </w:t>
      </w:r>
      <w:r w:rsidRPr="00A720EC">
        <w:rPr>
          <w:rFonts w:cs="Times New Roman"/>
          <w:lang w:val="fr-CA"/>
        </w:rPr>
        <w:t>pour appuyer l’idée que l’effet disproportionné suffit à lui seul pour démontrer qu’une loi crée une distinction préjudiciable fondée sur un motif protégé, satisfaisant ainsi aux exigences de la première étape de l’analyse</w:t>
      </w:r>
      <w:r>
        <w:rPr>
          <w:rFonts w:cs="Times New Roman"/>
          <w:lang w:val="fr-CA"/>
        </w:rPr>
        <w:t> :</w:t>
      </w:r>
      <w:r w:rsidRPr="00A720EC">
        <w:rPr>
          <w:rFonts w:cs="Times New Roman"/>
          <w:lang w:val="fr-CA"/>
        </w:rPr>
        <w:t xml:space="preserve"> voir les </w:t>
      </w:r>
      <w:r>
        <w:rPr>
          <w:rFonts w:cs="Times New Roman"/>
          <w:lang w:val="fr-CA"/>
        </w:rPr>
        <w:t>par. </w:t>
      </w:r>
      <w:r w:rsidRPr="00A720EC">
        <w:rPr>
          <w:rFonts w:cs="Times New Roman"/>
          <w:lang w:val="fr-CA"/>
        </w:rPr>
        <w:t>55 et 70</w:t>
      </w:r>
      <w:r>
        <w:rPr>
          <w:rFonts w:cs="Times New Roman"/>
          <w:lang w:val="fr-CA"/>
        </w:rPr>
        <w:noBreakHyphen/>
      </w:r>
      <w:r w:rsidRPr="00A720EC">
        <w:rPr>
          <w:rFonts w:cs="Times New Roman"/>
          <w:lang w:val="fr-CA"/>
        </w:rPr>
        <w:t xml:space="preserve">71. Je ne pense pas que l’on puisse interpréter ainsi l’arrêt </w:t>
      </w:r>
      <w:r w:rsidRPr="00A720EC">
        <w:rPr>
          <w:rFonts w:cs="Times New Roman"/>
          <w:i/>
          <w:lang w:val="fr-CA"/>
        </w:rPr>
        <w:t>Griggs</w:t>
      </w:r>
      <w:r w:rsidRPr="00A720EC">
        <w:rPr>
          <w:rFonts w:cs="Times New Roman"/>
          <w:lang w:val="fr-CA"/>
        </w:rPr>
        <w:t xml:space="preserve">. L’affaire </w:t>
      </w:r>
      <w:r w:rsidRPr="00A720EC">
        <w:rPr>
          <w:rFonts w:cs="Times New Roman"/>
          <w:i/>
          <w:lang w:val="fr-CA"/>
        </w:rPr>
        <w:t xml:space="preserve">Griggs </w:t>
      </w:r>
      <w:r w:rsidRPr="00A720EC">
        <w:rPr>
          <w:rFonts w:cs="Times New Roman"/>
          <w:lang w:val="fr-CA"/>
        </w:rPr>
        <w:t xml:space="preserve">ne portait pas sur la Constitution, mais sur l’interprétation législative du titre VII du </w:t>
      </w:r>
      <w:r w:rsidRPr="00A720EC">
        <w:rPr>
          <w:rFonts w:cs="Times New Roman"/>
          <w:i/>
          <w:lang w:val="fr-CA"/>
        </w:rPr>
        <w:t>Civil Rights Act of 1964</w:t>
      </w:r>
      <w:r w:rsidRPr="00A720EC">
        <w:rPr>
          <w:rFonts w:cs="Times New Roman"/>
          <w:lang w:val="fr-CA"/>
        </w:rPr>
        <w:t>, Pub. L. 88</w:t>
      </w:r>
      <w:r>
        <w:rPr>
          <w:rFonts w:cs="Times New Roman"/>
          <w:lang w:val="fr-CA"/>
        </w:rPr>
        <w:noBreakHyphen/>
      </w:r>
      <w:r w:rsidRPr="00A720EC">
        <w:rPr>
          <w:rFonts w:cs="Times New Roman"/>
          <w:lang w:val="fr-CA"/>
        </w:rPr>
        <w:t xml:space="preserve">352, 78 Stat. 241 (1964). La solution retenue par le tribunal dans cette affaire s’imposait en raison du </w:t>
      </w:r>
      <w:r w:rsidRPr="00A720EC">
        <w:rPr>
          <w:rFonts w:cs="Times New Roman"/>
          <w:i/>
          <w:iCs/>
          <w:lang w:val="fr-CA"/>
        </w:rPr>
        <w:t>libellé</w:t>
      </w:r>
      <w:r w:rsidRPr="00A720EC">
        <w:rPr>
          <w:rFonts w:cs="Times New Roman"/>
          <w:lang w:val="fr-CA"/>
        </w:rPr>
        <w:t xml:space="preserve"> de la loi et non à cause des principes applicables en matière de discrimination inconstitutionnelle par suite d’un effet préjudiciable</w:t>
      </w:r>
      <w:r>
        <w:rPr>
          <w:rFonts w:cs="Times New Roman"/>
          <w:lang w:val="fr-CA"/>
        </w:rPr>
        <w:t> :</w:t>
      </w:r>
      <w:r w:rsidRPr="00A720EC">
        <w:rPr>
          <w:rFonts w:cs="Times New Roman"/>
          <w:lang w:val="fr-CA"/>
        </w:rPr>
        <w:t xml:space="preserve"> </w:t>
      </w:r>
      <w:r w:rsidRPr="00A720EC">
        <w:rPr>
          <w:rFonts w:cs="Times New Roman"/>
          <w:i/>
          <w:lang w:val="fr-CA"/>
        </w:rPr>
        <w:t>Washington, Mayor of Washington</w:t>
      </w:r>
      <w:r w:rsidR="0083466C">
        <w:rPr>
          <w:rFonts w:cs="Times New Roman"/>
          <w:i/>
          <w:lang w:val="fr-CA"/>
        </w:rPr>
        <w:t>,</w:t>
      </w:r>
      <w:r w:rsidRPr="00A720EC">
        <w:rPr>
          <w:rFonts w:cs="Times New Roman"/>
          <w:i/>
          <w:lang w:val="fr-CA"/>
        </w:rPr>
        <w:t xml:space="preserve"> D.C. c. Davis</w:t>
      </w:r>
      <w:r w:rsidRPr="00A720EC">
        <w:rPr>
          <w:rFonts w:cs="Times New Roman"/>
          <w:lang w:val="fr-CA"/>
        </w:rPr>
        <w:t xml:space="preserve">, 426 U.S. 229 (1976). En outre, ainsi qu’il ressort des décisions qui ont été rendues dans sa foulée, l’arrêt </w:t>
      </w:r>
      <w:r w:rsidRPr="00A720EC">
        <w:rPr>
          <w:rFonts w:cs="Times New Roman"/>
          <w:i/>
          <w:lang w:val="fr-CA"/>
        </w:rPr>
        <w:t xml:space="preserve">Griggs </w:t>
      </w:r>
      <w:r w:rsidRPr="00A720EC">
        <w:rPr>
          <w:rFonts w:cs="Times New Roman"/>
          <w:lang w:val="fr-CA"/>
        </w:rPr>
        <w:t>a une portée limitée, de sorte qu’il ne peut être invoqué pour affirmer qu’une disparité statistique est suffisante</w:t>
      </w:r>
      <w:r>
        <w:rPr>
          <w:rFonts w:cs="Times New Roman"/>
          <w:lang w:val="fr-CA"/>
        </w:rPr>
        <w:t> :</w:t>
      </w:r>
      <w:r w:rsidRPr="00A720EC">
        <w:rPr>
          <w:rFonts w:cs="Times New Roman"/>
          <w:lang w:val="fr-CA"/>
        </w:rPr>
        <w:t xml:space="preserve"> voir </w:t>
      </w:r>
      <w:r w:rsidRPr="00A720EC">
        <w:rPr>
          <w:rFonts w:cs="Times New Roman"/>
          <w:i/>
          <w:lang w:val="fr-CA"/>
        </w:rPr>
        <w:t>Watson c. Fort Worth Bank &amp; Trust</w:t>
      </w:r>
      <w:r w:rsidRPr="00A720EC">
        <w:rPr>
          <w:rFonts w:cs="Times New Roman"/>
          <w:lang w:val="fr-CA"/>
        </w:rPr>
        <w:t xml:space="preserve">, 487 U.S. 977 (1988), </w:t>
      </w:r>
      <w:r>
        <w:rPr>
          <w:rFonts w:cs="Times New Roman"/>
          <w:lang w:val="fr-CA"/>
        </w:rPr>
        <w:t>p. </w:t>
      </w:r>
      <w:r w:rsidRPr="00A720EC">
        <w:rPr>
          <w:rFonts w:cs="Times New Roman"/>
          <w:lang w:val="fr-CA"/>
        </w:rPr>
        <w:t>994 (dans lequel le tribunal a jugé que [</w:t>
      </w:r>
      <w:r w:rsidRPr="00A720EC">
        <w:rPr>
          <w:rFonts w:cs="Times New Roman"/>
          <w:smallCaps/>
          <w:lang w:val="fr-CA"/>
        </w:rPr>
        <w:t>traduction</w:t>
      </w:r>
      <w:r w:rsidRPr="00A720EC">
        <w:rPr>
          <w:rFonts w:cs="Times New Roman"/>
          <w:lang w:val="fr-CA"/>
        </w:rPr>
        <w:t xml:space="preserve">] « la charge de preuve qui incombe au demandeur pour établir une preuve </w:t>
      </w:r>
      <w:r w:rsidRPr="00A720EC">
        <w:rPr>
          <w:rFonts w:cs="Times New Roman"/>
          <w:i/>
          <w:iCs/>
          <w:lang w:val="fr-CA"/>
        </w:rPr>
        <w:t>prima facie</w:t>
      </w:r>
      <w:r w:rsidRPr="00A720EC">
        <w:rPr>
          <w:rFonts w:cs="Times New Roman"/>
          <w:lang w:val="fr-CA"/>
        </w:rPr>
        <w:t xml:space="preserve"> de discrimination </w:t>
      </w:r>
      <w:r w:rsidRPr="00A720EC">
        <w:rPr>
          <w:rFonts w:cs="Times New Roman"/>
          <w:u w:val="single"/>
          <w:lang w:val="fr-CA"/>
        </w:rPr>
        <w:t>ne saurait se limiter à l’exigence de démontrer l’existence de disparités statistiques</w:t>
      </w:r>
      <w:r w:rsidRPr="00A720EC">
        <w:rPr>
          <w:rFonts w:cs="Times New Roman"/>
          <w:lang w:val="fr-CA"/>
        </w:rPr>
        <w:t xml:space="preserve"> » et que « le demandeur doit présenter une preuve statistique suffisante pour démontrer comment l’acte reproché </w:t>
      </w:r>
      <w:r w:rsidRPr="00A720EC">
        <w:rPr>
          <w:rFonts w:cs="Times New Roman"/>
          <w:u w:val="single"/>
          <w:lang w:val="fr-CA"/>
        </w:rPr>
        <w:t>a eu pour effet</w:t>
      </w:r>
      <w:r w:rsidRPr="00A720EC">
        <w:rPr>
          <w:rFonts w:cs="Times New Roman"/>
          <w:lang w:val="fr-CA"/>
        </w:rPr>
        <w:t xml:space="preserve"> d’écarter des candidats à certains postes ou à certaines promotions </w:t>
      </w:r>
      <w:r w:rsidRPr="00A720EC">
        <w:rPr>
          <w:rFonts w:cs="Times New Roman"/>
          <w:u w:val="single"/>
          <w:lang w:val="fr-CA"/>
        </w:rPr>
        <w:t>du fait</w:t>
      </w:r>
      <w:r w:rsidRPr="00A720EC">
        <w:rPr>
          <w:rFonts w:cs="Times New Roman"/>
          <w:lang w:val="fr-CA"/>
        </w:rPr>
        <w:t xml:space="preserve"> de leur appartenance à un groupe protégé ») (je souligne); voir également </w:t>
      </w:r>
      <w:r w:rsidRPr="00A720EC">
        <w:rPr>
          <w:rFonts w:cs="Times New Roman"/>
          <w:i/>
          <w:lang w:val="fr-CA"/>
        </w:rPr>
        <w:t>Texas Department of Housing and Community Affairs c. Inclusive Communities Project, Inc.</w:t>
      </w:r>
      <w:r w:rsidRPr="00A720EC">
        <w:rPr>
          <w:rFonts w:cs="Times New Roman"/>
          <w:lang w:val="fr-CA"/>
        </w:rPr>
        <w:t xml:space="preserve">, 135 S. Ct. 2507 (2015); </w:t>
      </w:r>
      <w:r w:rsidRPr="00A720EC">
        <w:rPr>
          <w:rFonts w:cs="Times New Roman"/>
          <w:i/>
          <w:lang w:val="fr-CA"/>
        </w:rPr>
        <w:t>Ricci c. DeStefano</w:t>
      </w:r>
      <w:r w:rsidRPr="00A720EC">
        <w:rPr>
          <w:rFonts w:cs="Times New Roman"/>
          <w:lang w:val="fr-CA"/>
        </w:rPr>
        <w:t xml:space="preserve">, 557 U.S. 557 (2009); </w:t>
      </w:r>
      <w:r w:rsidRPr="00A720EC">
        <w:rPr>
          <w:rFonts w:cs="Times New Roman"/>
          <w:i/>
          <w:lang w:val="fr-CA"/>
        </w:rPr>
        <w:t>Smith c. City of Jackson, Mississippi</w:t>
      </w:r>
      <w:r w:rsidRPr="00A720EC">
        <w:rPr>
          <w:rFonts w:cs="Times New Roman"/>
          <w:lang w:val="fr-CA"/>
        </w:rPr>
        <w:t xml:space="preserve">, 544 U.S. 228 (2005). Quoi qu’il en soit, et ce dans l’espoir d’éviter un débat jurisprudentiel sur des décisions provenant d’un pays étranger, la tradition américaine en matière d’égalité est, au fond, nettement différente de la tradition canadienne. Même s’il est vrai que l’affaire </w:t>
      </w:r>
      <w:r w:rsidRPr="00A720EC">
        <w:rPr>
          <w:rFonts w:cs="Times New Roman"/>
          <w:i/>
          <w:lang w:val="fr-CA"/>
        </w:rPr>
        <w:t xml:space="preserve">Griggs </w:t>
      </w:r>
      <w:r w:rsidRPr="00A720EC">
        <w:rPr>
          <w:rFonts w:cs="Times New Roman"/>
          <w:lang w:val="fr-CA"/>
        </w:rPr>
        <w:t>concernait une discrimination par suite d’un effet préjudiciable, il s’agissait fondamentalement aussi d’une affaire qui se situait dans le contexte unique des séquelles laissées par l’esclavage et la ségrégation scolaire qui ont jalonné l’histoire américaine</w:t>
      </w:r>
      <w:r>
        <w:rPr>
          <w:rFonts w:cs="Times New Roman"/>
          <w:lang w:val="fr-CA"/>
        </w:rPr>
        <w:t> :</w:t>
      </w:r>
      <w:r w:rsidRPr="00A720EC">
        <w:rPr>
          <w:rFonts w:cs="Times New Roman"/>
          <w:lang w:val="fr-CA"/>
        </w:rPr>
        <w:t xml:space="preserve"> dans l’affaire </w:t>
      </w:r>
      <w:r w:rsidRPr="00A720EC">
        <w:rPr>
          <w:rFonts w:cs="Times New Roman"/>
          <w:i/>
          <w:lang w:val="fr-CA"/>
        </w:rPr>
        <w:t>Griggs</w:t>
      </w:r>
      <w:r w:rsidRPr="00A720EC">
        <w:rPr>
          <w:rFonts w:cs="Times New Roman"/>
          <w:lang w:val="fr-CA"/>
        </w:rPr>
        <w:t xml:space="preserve">, l’exigence du diplôme d’études secondaires avait effectivement servi de prétexte à une discrimination raciale (en effet, les exigences contestées — en l’occurrence celles d’être titulaire d’un diplôme d’études secondaires et de réussir un test d’aptitude — avaient, dans cette affaire, été imposées le jour même où le </w:t>
      </w:r>
      <w:r w:rsidRPr="00A720EC">
        <w:rPr>
          <w:rFonts w:cs="Times New Roman"/>
          <w:i/>
          <w:lang w:val="fr-CA"/>
        </w:rPr>
        <w:t xml:space="preserve">Civil Rights Act of 1964 </w:t>
      </w:r>
      <w:r w:rsidRPr="00A720EC">
        <w:rPr>
          <w:rFonts w:cs="Times New Roman"/>
          <w:iCs/>
          <w:lang w:val="fr-CA"/>
        </w:rPr>
        <w:t>était entré en vigueur</w:t>
      </w:r>
      <w:r w:rsidRPr="00A720EC">
        <w:rPr>
          <w:rFonts w:cs="Times New Roman"/>
          <w:lang w:val="fr-CA"/>
        </w:rPr>
        <w:t xml:space="preserve">). Ainsi, dans l’affaire </w:t>
      </w:r>
      <w:r w:rsidRPr="00A720EC">
        <w:rPr>
          <w:rFonts w:cs="Times New Roman"/>
          <w:i/>
          <w:lang w:val="fr-CA"/>
        </w:rPr>
        <w:t>Griggs</w:t>
      </w:r>
      <w:r w:rsidRPr="00A720EC">
        <w:rPr>
          <w:rFonts w:cs="Times New Roman"/>
          <w:lang w:val="fr-CA"/>
        </w:rPr>
        <w:t>, on avait établi un lien légitime entre, d’une part, l’obligation de détenir un diplôme d’études secondaires et de réussir un test d’aptitude et, d’autre part, la discrimination raciale, et non simplement un lien qui dépend seulement de preuves de disparités statistiques (preuves qui, selon la majorité, seraient suffisantes).</w:t>
      </w:r>
    </w:p>
    <w:p w14:paraId="07CB3F99" w14:textId="77777777" w:rsidR="00804EA2" w:rsidRPr="00A720EC" w:rsidRDefault="00804EA2" w:rsidP="00804EA2">
      <w:pPr>
        <w:pStyle w:val="ParaNoNdepar-AltN"/>
        <w:tabs>
          <w:tab w:val="clear" w:pos="1152"/>
          <w:tab w:val="left" w:pos="1166"/>
        </w:tabs>
        <w:rPr>
          <w:rFonts w:cs="Times New Roman"/>
          <w:lang w:val="fr-CA"/>
        </w:rPr>
      </w:pPr>
      <w:r w:rsidRPr="00A720EC">
        <w:rPr>
          <w:rFonts w:cs="Times New Roman"/>
          <w:lang w:val="fr-CA"/>
        </w:rPr>
        <w:t xml:space="preserve">Bien qu’elle ait évidemment déjà cité l’arrêt </w:t>
      </w:r>
      <w:r w:rsidRPr="00A720EC">
        <w:rPr>
          <w:rFonts w:cs="Times New Roman"/>
          <w:i/>
          <w:lang w:val="fr-CA"/>
        </w:rPr>
        <w:t>Griggs</w:t>
      </w:r>
      <w:r w:rsidRPr="00A720EC">
        <w:rPr>
          <w:rFonts w:cs="Times New Roman"/>
          <w:lang w:val="fr-CA"/>
        </w:rPr>
        <w:t xml:space="preserve"> dans le passé, notre Cour ne l’a jamais invoqué pour appuyer la thèse selon laquelle on peut franchir la première étape sans avoir à établir l’existence d’un lien entre la disposition législative contestée et l’effet disproportionné. Depuis le début de notre jurisprudence sur l’interprétation du </w:t>
      </w:r>
      <w:r>
        <w:rPr>
          <w:rFonts w:cs="Times New Roman"/>
          <w:lang w:val="fr-CA"/>
        </w:rPr>
        <w:t>par. </w:t>
      </w:r>
      <w:r w:rsidRPr="00A720EC">
        <w:rPr>
          <w:rFonts w:cs="Times New Roman"/>
          <w:lang w:val="fr-CA"/>
        </w:rPr>
        <w:t>15(1), notre Cour a formulé la mise en garde suivante</w:t>
      </w:r>
      <w:r>
        <w:rPr>
          <w:rFonts w:cs="Times New Roman"/>
          <w:lang w:val="fr-CA"/>
        </w:rPr>
        <w:t> :</w:t>
      </w:r>
      <w:r w:rsidRPr="00A720EC">
        <w:rPr>
          <w:rFonts w:cs="Times New Roman"/>
          <w:lang w:val="fr-CA"/>
        </w:rPr>
        <w:t xml:space="preserve"> </w:t>
      </w:r>
    </w:p>
    <w:p w14:paraId="1B53779F" w14:textId="77777777" w:rsidR="00804EA2" w:rsidRPr="00A720EC" w:rsidRDefault="00804EA2" w:rsidP="00886616">
      <w:pPr>
        <w:pStyle w:val="Citation-AltC"/>
        <w:spacing w:after="480"/>
        <w:ind w:hanging="1166"/>
        <w:contextualSpacing w:val="0"/>
        <w:rPr>
          <w:lang w:val="fr-CA"/>
        </w:rPr>
      </w:pPr>
      <w:r w:rsidRPr="00A720EC">
        <w:rPr>
          <w:shd w:val="clear" w:color="auto" w:fill="FFFFFF"/>
          <w:lang w:val="fr-CA"/>
        </w:rPr>
        <w:tab/>
        <w:t>Pour que l’analyse des effets préjudiciables soit cohérente, il ne faut pas présumer qu’une disposition législative possède un effet qui n’est pas prouvé. Nous devons prendre soin d’établir une distinction entre les effets qui sont causés en totalité ou en partie par une disposition contestée et les circonstances sociales qui existent indépendamment de la disposition en question.</w:t>
      </w:r>
      <w:r w:rsidRPr="00A720EC">
        <w:rPr>
          <w:lang w:val="fr-CA"/>
        </w:rPr>
        <w:t xml:space="preserve"> </w:t>
      </w:r>
    </w:p>
    <w:p w14:paraId="6C20DA96" w14:textId="152584EE" w:rsidR="00804EA2" w:rsidRPr="00A720EC" w:rsidRDefault="00804EA2" w:rsidP="00804EA2">
      <w:pPr>
        <w:pStyle w:val="Citation-AltC"/>
        <w:ind w:hanging="1166"/>
        <w:rPr>
          <w:lang w:val="fr-CA"/>
        </w:rPr>
      </w:pPr>
      <w:r w:rsidRPr="00A720EC">
        <w:rPr>
          <w:lang w:val="fr-CA"/>
        </w:rPr>
        <w:t>(</w:t>
      </w:r>
      <w:r w:rsidRPr="00A720EC">
        <w:rPr>
          <w:i/>
          <w:lang w:val="fr-CA"/>
        </w:rPr>
        <w:t>Symes c. Canada</w:t>
      </w:r>
      <w:r w:rsidRPr="00A720EC">
        <w:rPr>
          <w:lang w:val="fr-CA"/>
        </w:rPr>
        <w:t xml:space="preserve">, [1993] 4 R.C.S. 695, </w:t>
      </w:r>
      <w:r>
        <w:rPr>
          <w:lang w:val="fr-CA"/>
        </w:rPr>
        <w:t>p. </w:t>
      </w:r>
      <w:r w:rsidRPr="00A720EC">
        <w:rPr>
          <w:lang w:val="fr-CA"/>
        </w:rPr>
        <w:t>764</w:t>
      </w:r>
      <w:r>
        <w:rPr>
          <w:lang w:val="fr-CA"/>
        </w:rPr>
        <w:noBreakHyphen/>
      </w:r>
      <w:r w:rsidRPr="00A720EC">
        <w:rPr>
          <w:lang w:val="fr-CA"/>
        </w:rPr>
        <w:t>765)</w:t>
      </w:r>
    </w:p>
    <w:p w14:paraId="436EA5CD" w14:textId="10DAEDDA" w:rsidR="00804EA2" w:rsidRPr="00A720EC" w:rsidRDefault="00804EA2" w:rsidP="00804EA2">
      <w:pPr>
        <w:pStyle w:val="ContinueParaSuitedupar-AltP"/>
        <w:rPr>
          <w:rFonts w:cs="Times New Roman"/>
          <w:lang w:val="fr-CA"/>
        </w:rPr>
      </w:pPr>
      <w:r w:rsidRPr="00A720EC">
        <w:rPr>
          <w:rFonts w:cs="Times New Roman"/>
          <w:lang w:val="fr-CA"/>
        </w:rPr>
        <w:t>Cet énoncé vaut encore lorsqu’il s’agit de démontrer le lien nécessaire entre les dispositions contestées et leur effet dans les affaires de discrimination par suite d’un effet préjudiciable</w:t>
      </w:r>
      <w:r>
        <w:rPr>
          <w:rFonts w:cs="Times New Roman"/>
          <w:lang w:val="fr-CA"/>
        </w:rPr>
        <w:t> :</w:t>
      </w:r>
      <w:r w:rsidRPr="00A720EC">
        <w:rPr>
          <w:rFonts w:cs="Times New Roman"/>
          <w:lang w:val="fr-CA"/>
        </w:rPr>
        <w:t xml:space="preserve"> voir </w:t>
      </w:r>
      <w:r w:rsidRPr="00A720EC">
        <w:rPr>
          <w:rFonts w:cs="Times New Roman"/>
          <w:i/>
          <w:lang w:val="fr-CA"/>
        </w:rPr>
        <w:t>Miceli</w:t>
      </w:r>
      <w:r>
        <w:rPr>
          <w:rFonts w:cs="Times New Roman"/>
          <w:i/>
          <w:lang w:val="fr-CA"/>
        </w:rPr>
        <w:noBreakHyphen/>
      </w:r>
      <w:r w:rsidRPr="00A720EC">
        <w:rPr>
          <w:rFonts w:cs="Times New Roman"/>
          <w:i/>
          <w:lang w:val="fr-CA"/>
        </w:rPr>
        <w:t>Riggins c. Canada (Procureur général)</w:t>
      </w:r>
      <w:r w:rsidRPr="00A720EC">
        <w:rPr>
          <w:rFonts w:cs="Times New Roman"/>
          <w:lang w:val="fr-CA"/>
        </w:rPr>
        <w:t xml:space="preserve">, 2013 CAF 158, [2014] 4 R.C.F. 709, </w:t>
      </w:r>
      <w:r>
        <w:rPr>
          <w:rFonts w:cs="Times New Roman"/>
          <w:lang w:val="fr-CA"/>
        </w:rPr>
        <w:t>par. </w:t>
      </w:r>
      <w:r w:rsidRPr="00A720EC">
        <w:rPr>
          <w:rFonts w:cs="Times New Roman"/>
          <w:lang w:val="fr-CA"/>
        </w:rPr>
        <w:t xml:space="preserve">76; </w:t>
      </w:r>
      <w:r w:rsidRPr="00A720EC">
        <w:rPr>
          <w:rFonts w:cs="Times New Roman"/>
          <w:i/>
          <w:lang w:val="fr-CA"/>
        </w:rPr>
        <w:t xml:space="preserve">Grenon c. </w:t>
      </w:r>
      <w:r w:rsidR="00886616">
        <w:rPr>
          <w:rFonts w:cs="Times New Roman"/>
          <w:i/>
          <w:lang w:val="fr-CA"/>
        </w:rPr>
        <w:t>Canada</w:t>
      </w:r>
      <w:r w:rsidRPr="00A720EC">
        <w:rPr>
          <w:rFonts w:cs="Times New Roman"/>
          <w:lang w:val="fr-CA"/>
        </w:rPr>
        <w:t xml:space="preserve">, 2016 CAF 4, </w:t>
      </w:r>
      <w:r>
        <w:rPr>
          <w:rFonts w:cs="Times New Roman"/>
          <w:lang w:val="fr-CA"/>
        </w:rPr>
        <w:t>par. </w:t>
      </w:r>
      <w:r w:rsidRPr="00A720EC">
        <w:rPr>
          <w:rFonts w:cs="Times New Roman"/>
          <w:lang w:val="fr-CA"/>
        </w:rPr>
        <w:t>38</w:t>
      </w:r>
      <w:r>
        <w:rPr>
          <w:rFonts w:cs="Times New Roman"/>
          <w:lang w:val="fr-CA"/>
        </w:rPr>
        <w:noBreakHyphen/>
      </w:r>
      <w:r w:rsidRPr="00A720EC">
        <w:rPr>
          <w:rFonts w:cs="Times New Roman"/>
          <w:lang w:val="fr-CA"/>
        </w:rPr>
        <w:t>39 et 45</w:t>
      </w:r>
      <w:r w:rsidR="00886616">
        <w:rPr>
          <w:rFonts w:cs="Times New Roman"/>
          <w:lang w:val="fr-CA"/>
        </w:rPr>
        <w:t xml:space="preserve"> (CanLII)</w:t>
      </w:r>
      <w:r w:rsidRPr="00A720EC">
        <w:rPr>
          <w:rFonts w:cs="Times New Roman"/>
          <w:lang w:val="fr-CA"/>
        </w:rPr>
        <w:t xml:space="preserve">; voir aussi </w:t>
      </w:r>
      <w:r w:rsidRPr="00A720EC">
        <w:rPr>
          <w:rFonts w:cs="Times New Roman"/>
          <w:i/>
          <w:lang w:val="fr-CA"/>
        </w:rPr>
        <w:t>Canad</w:t>
      </w:r>
      <w:r w:rsidR="00886616">
        <w:rPr>
          <w:rFonts w:cs="Times New Roman"/>
          <w:i/>
          <w:lang w:val="fr-CA"/>
        </w:rPr>
        <w:t>a (Procureur général) c. Lesiuk</w:t>
      </w:r>
      <w:r w:rsidR="00886616" w:rsidRPr="00886616">
        <w:rPr>
          <w:rFonts w:cs="Times New Roman"/>
          <w:lang w:val="fr-CA"/>
        </w:rPr>
        <w:t>,</w:t>
      </w:r>
      <w:r w:rsidR="00886616">
        <w:rPr>
          <w:rFonts w:cs="Times New Roman"/>
          <w:i/>
          <w:lang w:val="fr-CA"/>
        </w:rPr>
        <w:t xml:space="preserve"> </w:t>
      </w:r>
      <w:r w:rsidRPr="00A720EC">
        <w:rPr>
          <w:rFonts w:cs="Times New Roman"/>
          <w:lang w:val="fr-CA"/>
        </w:rPr>
        <w:t xml:space="preserve">2003 CAF </w:t>
      </w:r>
      <w:r w:rsidR="000A4B4C">
        <w:rPr>
          <w:rFonts w:cs="Times New Roman"/>
          <w:lang w:val="fr-CA"/>
        </w:rPr>
        <w:t>3, [200</w:t>
      </w:r>
      <w:r w:rsidRPr="00A720EC">
        <w:rPr>
          <w:rFonts w:cs="Times New Roman"/>
          <w:lang w:val="fr-CA"/>
        </w:rPr>
        <w:t xml:space="preserve">3] 2 C.F. 697, </w:t>
      </w:r>
      <w:r>
        <w:rPr>
          <w:rFonts w:cs="Times New Roman"/>
          <w:lang w:val="fr-CA"/>
        </w:rPr>
        <w:t>par. </w:t>
      </w:r>
      <w:r w:rsidRPr="00A720EC">
        <w:rPr>
          <w:rFonts w:cs="Times New Roman"/>
          <w:lang w:val="fr-CA"/>
        </w:rPr>
        <w:t xml:space="preserve">33; </w:t>
      </w:r>
      <w:r w:rsidRPr="00A720EC">
        <w:rPr>
          <w:rFonts w:cs="Times New Roman"/>
          <w:i/>
          <w:lang w:val="fr-CA"/>
        </w:rPr>
        <w:t>Begum c. Canada (Citoyenneté et Immigration)</w:t>
      </w:r>
      <w:r w:rsidRPr="00A720EC">
        <w:rPr>
          <w:rFonts w:cs="Times New Roman"/>
          <w:lang w:val="fr-CA"/>
        </w:rPr>
        <w:t xml:space="preserve">, 2018 CAF 181, [2019] 2 R.C.F. 488, </w:t>
      </w:r>
      <w:r>
        <w:rPr>
          <w:rFonts w:cs="Times New Roman"/>
          <w:lang w:val="fr-CA"/>
        </w:rPr>
        <w:t>par. </w:t>
      </w:r>
      <w:r w:rsidRPr="00A720EC">
        <w:rPr>
          <w:rFonts w:cs="Times New Roman"/>
          <w:lang w:val="fr-CA"/>
        </w:rPr>
        <w:t>81.</w:t>
      </w:r>
    </w:p>
    <w:p w14:paraId="06DB8650" w14:textId="77777777" w:rsidR="00804EA2" w:rsidRPr="00A720EC" w:rsidRDefault="00804EA2" w:rsidP="00804EA2">
      <w:pPr>
        <w:pStyle w:val="ParaNoNdepar-AltN"/>
        <w:rPr>
          <w:rFonts w:cs="Times New Roman"/>
          <w:lang w:val="fr-CA"/>
        </w:rPr>
      </w:pPr>
      <w:r w:rsidRPr="00A720EC">
        <w:rPr>
          <w:rFonts w:cs="Times New Roman"/>
          <w:lang w:val="fr-CA"/>
        </w:rPr>
        <w:t xml:space="preserve">En fin de compte, la question qui se pose à la première étape est de savoir si, quoique neutre en apparence, la disposition contestée </w:t>
      </w:r>
      <w:r w:rsidRPr="00A720EC">
        <w:rPr>
          <w:rFonts w:cs="Times New Roman"/>
          <w:i/>
          <w:lang w:val="fr-CA"/>
        </w:rPr>
        <w:t>crée</w:t>
      </w:r>
      <w:r w:rsidRPr="00A720EC">
        <w:rPr>
          <w:rFonts w:cs="Times New Roman"/>
          <w:lang w:val="fr-CA"/>
        </w:rPr>
        <w:t xml:space="preserve"> une distinction préjudiciable fondée sur un motif énuméré ou analogue</w:t>
      </w:r>
      <w:r>
        <w:rPr>
          <w:rFonts w:cs="Times New Roman"/>
          <w:lang w:val="fr-CA"/>
        </w:rPr>
        <w:t> :</w:t>
      </w:r>
      <w:r w:rsidRPr="00A720EC">
        <w:rPr>
          <w:rFonts w:cs="Times New Roman"/>
          <w:lang w:val="fr-CA"/>
        </w:rPr>
        <w:t xml:space="preserve"> voir </w:t>
      </w:r>
      <w:r w:rsidRPr="00A720EC">
        <w:rPr>
          <w:rFonts w:cs="Times New Roman"/>
          <w:i/>
          <w:lang w:val="fr-CA"/>
        </w:rPr>
        <w:t>Kapp</w:t>
      </w:r>
      <w:r w:rsidRPr="00A720EC">
        <w:rPr>
          <w:rFonts w:cs="Times New Roman"/>
          <w:lang w:val="fr-CA"/>
        </w:rPr>
        <w:t xml:space="preserve">, </w:t>
      </w:r>
      <w:r>
        <w:rPr>
          <w:rFonts w:cs="Times New Roman"/>
          <w:lang w:val="fr-CA"/>
        </w:rPr>
        <w:t>par. </w:t>
      </w:r>
      <w:r w:rsidRPr="00A720EC">
        <w:rPr>
          <w:rFonts w:cs="Times New Roman"/>
          <w:lang w:val="fr-CA"/>
        </w:rPr>
        <w:t xml:space="preserve">17; </w:t>
      </w:r>
      <w:r w:rsidRPr="00A720EC">
        <w:rPr>
          <w:rFonts w:cs="Times New Roman"/>
          <w:i/>
          <w:lang w:val="fr-CA"/>
        </w:rPr>
        <w:t>Withler</w:t>
      </w:r>
      <w:r w:rsidRPr="00A720EC">
        <w:rPr>
          <w:rFonts w:cs="Times New Roman"/>
          <w:lang w:val="fr-CA"/>
        </w:rPr>
        <w:t xml:space="preserve">, </w:t>
      </w:r>
      <w:r>
        <w:rPr>
          <w:rFonts w:cs="Times New Roman"/>
          <w:lang w:val="fr-CA"/>
        </w:rPr>
        <w:t>par. </w:t>
      </w:r>
      <w:r w:rsidRPr="00A720EC">
        <w:rPr>
          <w:rFonts w:cs="Times New Roman"/>
          <w:lang w:val="fr-CA"/>
        </w:rPr>
        <w:t xml:space="preserve">30 et 61; </w:t>
      </w:r>
      <w:r w:rsidRPr="00A720EC">
        <w:rPr>
          <w:rFonts w:cs="Times New Roman"/>
          <w:i/>
          <w:lang w:val="fr-CA"/>
        </w:rPr>
        <w:t>Québec c. A</w:t>
      </w:r>
      <w:r w:rsidRPr="00A720EC">
        <w:rPr>
          <w:rFonts w:cs="Times New Roman"/>
          <w:lang w:val="fr-CA"/>
        </w:rPr>
        <w:t xml:space="preserve">, </w:t>
      </w:r>
      <w:r>
        <w:rPr>
          <w:rFonts w:cs="Times New Roman"/>
          <w:lang w:val="fr-CA"/>
        </w:rPr>
        <w:t>par. </w:t>
      </w:r>
      <w:r w:rsidRPr="00A720EC">
        <w:rPr>
          <w:rFonts w:cs="Times New Roman"/>
          <w:lang w:val="fr-CA"/>
        </w:rPr>
        <w:t xml:space="preserve">185; </w:t>
      </w:r>
      <w:r w:rsidRPr="00A720EC">
        <w:rPr>
          <w:rFonts w:cs="Times New Roman"/>
          <w:i/>
          <w:lang w:val="fr-CA"/>
        </w:rPr>
        <w:t>Taypotat</w:t>
      </w:r>
      <w:r w:rsidRPr="00A720EC">
        <w:rPr>
          <w:rFonts w:cs="Times New Roman"/>
          <w:lang w:val="fr-CA"/>
        </w:rPr>
        <w:t xml:space="preserve">, </w:t>
      </w:r>
      <w:r>
        <w:rPr>
          <w:rFonts w:cs="Times New Roman"/>
          <w:lang w:val="fr-CA"/>
        </w:rPr>
        <w:t>par. </w:t>
      </w:r>
      <w:r w:rsidRPr="00A720EC">
        <w:rPr>
          <w:rFonts w:cs="Times New Roman"/>
          <w:lang w:val="fr-CA"/>
        </w:rPr>
        <w:t>19. Cela signifie que l</w:t>
      </w:r>
      <w:r w:rsidRPr="00A720EC">
        <w:rPr>
          <w:rFonts w:cs="Times New Roman"/>
          <w:shd w:val="clear" w:color="auto" w:fill="FFFFFF"/>
          <w:lang w:val="fr-CA"/>
        </w:rPr>
        <w:t>e demandeur «</w:t>
      </w:r>
      <w:r>
        <w:rPr>
          <w:rFonts w:cs="Times New Roman"/>
          <w:shd w:val="clear" w:color="auto" w:fill="FFFFFF"/>
          <w:lang w:val="fr-CA"/>
        </w:rPr>
        <w:t> </w:t>
      </w:r>
      <w:r w:rsidRPr="00A720EC">
        <w:rPr>
          <w:rFonts w:cs="Times New Roman"/>
          <w:shd w:val="clear" w:color="auto" w:fill="FFFFFF"/>
          <w:lang w:val="fr-CA"/>
        </w:rPr>
        <w:t xml:space="preserve">doit par conséquent démontrer que la loi en cause a un effet disproportionné à son égard </w:t>
      </w:r>
      <w:r w:rsidRPr="00A720EC">
        <w:rPr>
          <w:rFonts w:cs="Times New Roman"/>
          <w:u w:val="single"/>
          <w:shd w:val="clear" w:color="auto" w:fill="FFFFFF"/>
          <w:lang w:val="fr-CA"/>
        </w:rPr>
        <w:t>du fait de</w:t>
      </w:r>
      <w:r w:rsidRPr="00A720EC">
        <w:rPr>
          <w:rFonts w:cs="Times New Roman"/>
          <w:shd w:val="clear" w:color="auto" w:fill="FFFFFF"/>
          <w:lang w:val="fr-CA"/>
        </w:rPr>
        <w:t xml:space="preserve"> son appartenance à un groupe énuméré ou analogue »</w:t>
      </w:r>
      <w:r>
        <w:rPr>
          <w:rFonts w:cs="Times New Roman"/>
          <w:shd w:val="clear" w:color="auto" w:fill="FFFFFF"/>
          <w:lang w:val="fr-CA"/>
        </w:rPr>
        <w:t> :</w:t>
      </w:r>
      <w:r w:rsidRPr="00A720EC">
        <w:rPr>
          <w:rFonts w:cs="Times New Roman"/>
          <w:shd w:val="clear" w:color="auto" w:fill="FFFFFF"/>
          <w:lang w:val="fr-CA"/>
        </w:rPr>
        <w:t xml:space="preserve"> </w:t>
      </w:r>
      <w:r w:rsidRPr="00A720EC">
        <w:rPr>
          <w:rFonts w:cs="Times New Roman"/>
          <w:i/>
          <w:lang w:val="fr-CA"/>
        </w:rPr>
        <w:t>Taypotat</w:t>
      </w:r>
      <w:r w:rsidRPr="00A720EC">
        <w:rPr>
          <w:rFonts w:cs="Times New Roman"/>
          <w:lang w:val="fr-CA"/>
        </w:rPr>
        <w:t xml:space="preserve">, </w:t>
      </w:r>
      <w:r>
        <w:rPr>
          <w:rFonts w:cs="Times New Roman"/>
          <w:lang w:val="fr-CA"/>
        </w:rPr>
        <w:t>par. </w:t>
      </w:r>
      <w:r w:rsidRPr="00A720EC">
        <w:rPr>
          <w:rFonts w:cs="Times New Roman"/>
          <w:lang w:val="fr-CA"/>
        </w:rPr>
        <w:t xml:space="preserve">21 (je souligne). Bien que la formulation de la question à trancher à la première étape faite par ma collègue la juge Abella emploie à juste titre le mot </w:t>
      </w:r>
      <w:r w:rsidRPr="00A720EC">
        <w:rPr>
          <w:rFonts w:cs="Times New Roman"/>
          <w:i/>
          <w:lang w:val="fr-CA"/>
        </w:rPr>
        <w:t xml:space="preserve">crée </w:t>
      </w:r>
      <w:r w:rsidRPr="00A720EC">
        <w:rPr>
          <w:rFonts w:cs="Times New Roman"/>
          <w:lang w:val="fr-CA"/>
        </w:rPr>
        <w:t>(</w:t>
      </w:r>
      <w:r>
        <w:rPr>
          <w:rFonts w:cs="Times New Roman"/>
          <w:lang w:val="fr-CA"/>
        </w:rPr>
        <w:t>par. </w:t>
      </w:r>
      <w:r w:rsidRPr="00A720EC">
        <w:rPr>
          <w:rFonts w:cs="Times New Roman"/>
          <w:lang w:val="fr-CA"/>
        </w:rPr>
        <w:t>50), elle semble plus loin l’écarter de son interprétation en déclarant que la simple preuve d’un effet disproportionné suffit</w:t>
      </w:r>
      <w:r>
        <w:rPr>
          <w:rFonts w:cs="Times New Roman"/>
          <w:lang w:val="fr-CA"/>
        </w:rPr>
        <w:t> :</w:t>
      </w:r>
      <w:r w:rsidRPr="00A720EC">
        <w:rPr>
          <w:rFonts w:cs="Times New Roman"/>
          <w:lang w:val="fr-CA"/>
        </w:rPr>
        <w:t xml:space="preserve"> </w:t>
      </w:r>
      <w:r>
        <w:rPr>
          <w:rFonts w:cs="Times New Roman"/>
          <w:lang w:val="fr-CA"/>
        </w:rPr>
        <w:t>par. </w:t>
      </w:r>
      <w:r w:rsidRPr="00A720EC">
        <w:rPr>
          <w:rFonts w:cs="Times New Roman"/>
          <w:lang w:val="fr-CA"/>
        </w:rPr>
        <w:t>52. Cette façon de voir ne tient pas</w:t>
      </w:r>
      <w:r>
        <w:rPr>
          <w:rFonts w:cs="Times New Roman"/>
          <w:lang w:val="fr-CA"/>
        </w:rPr>
        <w:t> :</w:t>
      </w:r>
      <w:r w:rsidRPr="00A720EC">
        <w:rPr>
          <w:rFonts w:cs="Times New Roman"/>
          <w:lang w:val="fr-CA"/>
        </w:rPr>
        <w:t xml:space="preserve"> pour franchir avec succès la première étape et établir une preuve </w:t>
      </w:r>
      <w:r w:rsidRPr="00A720EC">
        <w:rPr>
          <w:rFonts w:cs="Times New Roman"/>
          <w:i/>
          <w:iCs/>
          <w:lang w:val="fr-CA"/>
        </w:rPr>
        <w:t>prima facie</w:t>
      </w:r>
      <w:r w:rsidRPr="00A720EC">
        <w:rPr>
          <w:rFonts w:cs="Times New Roman"/>
          <w:lang w:val="fr-CA"/>
        </w:rPr>
        <w:t xml:space="preserve"> de discrimination, la </w:t>
      </w:r>
      <w:r w:rsidRPr="00A720EC">
        <w:rPr>
          <w:rFonts w:cs="Times New Roman"/>
          <w:shd w:val="clear" w:color="auto" w:fill="FFFFFF"/>
          <w:lang w:val="fr-CA"/>
        </w:rPr>
        <w:t>preuve « doit comprendre davantage qu’une accumulation d’intuitions »</w:t>
      </w:r>
      <w:r w:rsidRPr="00A720EC">
        <w:rPr>
          <w:rFonts w:cs="Times New Roman"/>
          <w:lang w:val="fr-CA"/>
        </w:rPr>
        <w:t xml:space="preserve"> (</w:t>
      </w:r>
      <w:r w:rsidRPr="00A720EC">
        <w:rPr>
          <w:rFonts w:cs="Times New Roman"/>
          <w:i/>
          <w:lang w:val="fr-CA"/>
        </w:rPr>
        <w:t>Taypotat</w:t>
      </w:r>
      <w:r w:rsidRPr="00A720EC">
        <w:rPr>
          <w:rFonts w:cs="Times New Roman"/>
          <w:lang w:val="fr-CA"/>
        </w:rPr>
        <w:t xml:space="preserve">, </w:t>
      </w:r>
      <w:r>
        <w:rPr>
          <w:rFonts w:cs="Times New Roman"/>
          <w:lang w:val="fr-CA"/>
        </w:rPr>
        <w:t>par. </w:t>
      </w:r>
      <w:r w:rsidRPr="00A720EC">
        <w:rPr>
          <w:rFonts w:cs="Times New Roman"/>
          <w:lang w:val="fr-CA"/>
        </w:rPr>
        <w:t xml:space="preserve">34). Il faut établir l’existence d’un lien entre les dispositions contestées et l’effet disproportionné. </w:t>
      </w:r>
    </w:p>
    <w:p w14:paraId="2EBC6090" w14:textId="77777777" w:rsidR="00804EA2" w:rsidRPr="00A720EC" w:rsidRDefault="00804EA2" w:rsidP="00804EA2">
      <w:pPr>
        <w:pStyle w:val="ParaNoNdepar-AltN"/>
        <w:rPr>
          <w:rFonts w:cs="Times New Roman"/>
          <w:lang w:val="fr-CA"/>
        </w:rPr>
      </w:pPr>
      <w:r w:rsidRPr="00A720EC">
        <w:rPr>
          <w:rFonts w:cs="Times New Roman"/>
          <w:lang w:val="fr-CA"/>
        </w:rPr>
        <w:t>Toutes ces considérations sont essentielles pour comprendre pourquoi la Cour fédérale et la Cour d’appel fédérale ont toutes les deux estimé en l’espèce que la demande échouait à la première étape. En effet, ces deux cours ont conclu que la présente affaire « porte sur la première étape de l’analyse »</w:t>
      </w:r>
      <w:r>
        <w:rPr>
          <w:rFonts w:cs="Times New Roman"/>
          <w:lang w:val="fr-CA"/>
        </w:rPr>
        <w:t> :</w:t>
      </w:r>
      <w:r w:rsidRPr="00A720EC">
        <w:rPr>
          <w:rFonts w:cs="Times New Roman"/>
          <w:lang w:val="fr-CA"/>
        </w:rPr>
        <w:t xml:space="preserve"> motifs de la C.A., </w:t>
      </w:r>
      <w:r>
        <w:rPr>
          <w:rFonts w:cs="Times New Roman"/>
          <w:lang w:val="fr-CA"/>
        </w:rPr>
        <w:t>par. </w:t>
      </w:r>
      <w:r w:rsidRPr="00A720EC">
        <w:rPr>
          <w:rFonts w:cs="Times New Roman"/>
          <w:lang w:val="fr-CA"/>
        </w:rPr>
        <w:t>40. Appliquant la première étape aux faits de l’espèce, elles ont toutes les deux conclu que le régime de pension ne créait pas de distinction fondée sur le motif énuméré du sexe. Elles ont déclaré ce qui suit</w:t>
      </w:r>
      <w:r>
        <w:rPr>
          <w:rFonts w:cs="Times New Roman"/>
          <w:lang w:val="fr-CA"/>
        </w:rPr>
        <w:t> :</w:t>
      </w:r>
      <w:r w:rsidRPr="00A720EC">
        <w:rPr>
          <w:rFonts w:cs="Times New Roman"/>
          <w:lang w:val="fr-CA"/>
        </w:rPr>
        <w:t xml:space="preserve"> </w:t>
      </w:r>
    </w:p>
    <w:p w14:paraId="0BD14251" w14:textId="77777777" w:rsidR="00804EA2" w:rsidRPr="00A720EC" w:rsidRDefault="00804EA2" w:rsidP="00CC37D2">
      <w:pPr>
        <w:pStyle w:val="Citation-AltC"/>
        <w:spacing w:after="480"/>
        <w:ind w:hanging="1166"/>
        <w:contextualSpacing w:val="0"/>
        <w:rPr>
          <w:lang w:val="fr-CA"/>
        </w:rPr>
      </w:pPr>
      <w:r w:rsidRPr="00A720EC">
        <w:rPr>
          <w:shd w:val="clear" w:color="auto" w:fill="FFFFFF"/>
          <w:lang w:val="fr-CA"/>
        </w:rPr>
        <w:tab/>
        <w:t>Le fait que la grande majorité des membres qui travaillent à temps partiel ou qui partagent leur poste sont des femmes, et que les membres qui partagent leur poste ne bénéficient pas de l’option de cotiser au régime de pension selon le taux de rémunération à temps plein, n’est pas une conséquence des dispositions de la</w:t>
      </w:r>
      <w:r>
        <w:rPr>
          <w:shd w:val="clear" w:color="auto" w:fill="FFFFFF"/>
          <w:lang w:val="fr-CA"/>
        </w:rPr>
        <w:t xml:space="preserve"> </w:t>
      </w:r>
      <w:r w:rsidRPr="00A720EC">
        <w:rPr>
          <w:shd w:val="clear" w:color="auto" w:fill="FFFFFF"/>
          <w:lang w:val="fr-CA"/>
        </w:rPr>
        <w:t>LPRGRC et n’a pas de lien avec ces dispositions. L’</w:t>
      </w:r>
      <w:r w:rsidRPr="00A720EC">
        <w:rPr>
          <w:rStyle w:val="citationcar"/>
          <w:shd w:val="clear" w:color="auto" w:fill="FFFFFF"/>
          <w:lang w:val="fr-CA"/>
        </w:rPr>
        <w:t>« élément clé »</w:t>
      </w:r>
      <w:r>
        <w:rPr>
          <w:rStyle w:val="citationcar"/>
          <w:shd w:val="clear" w:color="auto" w:fill="FFFFFF"/>
          <w:lang w:val="fr-CA"/>
        </w:rPr>
        <w:t xml:space="preserve"> </w:t>
      </w:r>
      <w:r w:rsidRPr="00A720EC">
        <w:rPr>
          <w:shd w:val="clear" w:color="auto" w:fill="FFFFFF"/>
          <w:lang w:val="fr-CA"/>
        </w:rPr>
        <w:t>est la question de savoir si les membres travaillent à temps partiel. Il n’y a aucun lien avec la</w:t>
      </w:r>
      <w:r>
        <w:rPr>
          <w:shd w:val="clear" w:color="auto" w:fill="FFFFFF"/>
          <w:lang w:val="fr-CA"/>
        </w:rPr>
        <w:t xml:space="preserve"> </w:t>
      </w:r>
      <w:r w:rsidRPr="00A720EC">
        <w:rPr>
          <w:shd w:val="clear" w:color="auto" w:fill="FFFFFF"/>
          <w:lang w:val="fr-CA"/>
        </w:rPr>
        <w:t>LPRGRC. Il s’agit plutôt de la décision familiale des membres, aussi difficile soit</w:t>
      </w:r>
      <w:r>
        <w:rPr>
          <w:shd w:val="clear" w:color="auto" w:fill="FFFFFF"/>
          <w:lang w:val="fr-CA"/>
        </w:rPr>
        <w:noBreakHyphen/>
      </w:r>
      <w:r w:rsidRPr="00A720EC">
        <w:rPr>
          <w:shd w:val="clear" w:color="auto" w:fill="FFFFFF"/>
          <w:lang w:val="fr-CA"/>
        </w:rPr>
        <w:t>elle, de concilier le travail et les obligations parentales, en choisissant l’un des parents, habituellement la femme, qui travaillera à temps partiel pendant quelques années</w:t>
      </w:r>
      <w:r w:rsidRPr="00A720EC">
        <w:rPr>
          <w:lang w:val="fr-CA"/>
        </w:rPr>
        <w:t>.</w:t>
      </w:r>
    </w:p>
    <w:p w14:paraId="75E9D445" w14:textId="3FEB2087" w:rsidR="00804EA2" w:rsidRPr="00A720EC" w:rsidRDefault="00804EA2" w:rsidP="00CC37D2">
      <w:pPr>
        <w:pStyle w:val="Citation-AltC"/>
        <w:spacing w:after="480"/>
        <w:ind w:hanging="1166"/>
        <w:contextualSpacing w:val="0"/>
        <w:rPr>
          <w:lang w:val="fr-CA"/>
        </w:rPr>
      </w:pPr>
      <w:r w:rsidRPr="00A720EC">
        <w:rPr>
          <w:lang w:val="fr-CA"/>
        </w:rPr>
        <w:t xml:space="preserve">(motifs de la C.F., </w:t>
      </w:r>
      <w:r>
        <w:rPr>
          <w:lang w:val="fr-CA"/>
        </w:rPr>
        <w:t>par. </w:t>
      </w:r>
      <w:r w:rsidRPr="00A720EC">
        <w:rPr>
          <w:lang w:val="fr-CA"/>
        </w:rPr>
        <w:t>137)</w:t>
      </w:r>
    </w:p>
    <w:p w14:paraId="268159C6" w14:textId="47959770" w:rsidR="00804EA2" w:rsidRPr="00A720EC" w:rsidRDefault="00CC37D2" w:rsidP="00CC37D2">
      <w:pPr>
        <w:pStyle w:val="Citation-AltC"/>
        <w:spacing w:after="480"/>
        <w:ind w:hanging="1166"/>
        <w:contextualSpacing w:val="0"/>
        <w:rPr>
          <w:lang w:val="fr-CA"/>
        </w:rPr>
      </w:pPr>
      <w:r>
        <w:rPr>
          <w:lang w:val="fr-CA"/>
        </w:rPr>
        <w:tab/>
        <w:t>. . .</w:t>
      </w:r>
      <w:r w:rsidR="00804EA2" w:rsidRPr="00A720EC">
        <w:rPr>
          <w:lang w:val="fr-CA"/>
        </w:rPr>
        <w:t xml:space="preserve"> </w:t>
      </w:r>
      <w:r w:rsidR="00804EA2" w:rsidRPr="00A720EC">
        <w:rPr>
          <w:shd w:val="clear" w:color="auto" w:fill="FFFFFF"/>
          <w:lang w:val="fr-CA"/>
        </w:rPr>
        <w:t>le seul fait que les employés se prévalant de la possibilité du partage de poste sont en grande partie des femmes ne signifie pas que le traitement en matière de pension qui est réservé à celles</w:t>
      </w:r>
      <w:r w:rsidR="00804EA2">
        <w:rPr>
          <w:shd w:val="clear" w:color="auto" w:fill="FFFFFF"/>
          <w:lang w:val="fr-CA"/>
        </w:rPr>
        <w:noBreakHyphen/>
      </w:r>
      <w:r w:rsidR="00804EA2" w:rsidRPr="00A720EC">
        <w:rPr>
          <w:shd w:val="clear" w:color="auto" w:fill="FFFFFF"/>
          <w:lang w:val="fr-CA"/>
        </w:rPr>
        <w:t>ci en application de la LPRGRC et du Règlement crée une discrimination fondée sur un motif énuméré ou analogue. De même, comme dans l’affaire </w:t>
      </w:r>
      <w:r w:rsidR="00804EA2" w:rsidRPr="00A720EC">
        <w:rPr>
          <w:rStyle w:val="Emphasis"/>
          <w:shd w:val="clear" w:color="auto" w:fill="FFFFFF"/>
          <w:lang w:val="fr-CA"/>
        </w:rPr>
        <w:t>Begum</w:t>
      </w:r>
      <w:r w:rsidR="00804EA2" w:rsidRPr="00A720EC">
        <w:rPr>
          <w:shd w:val="clear" w:color="auto" w:fill="FFFFFF"/>
          <w:lang w:val="fr-CA"/>
        </w:rPr>
        <w:t>, le témoignage d’expert déposé par les appelantes ne permet pas d’établir le lien nécessaire entre les dispositions contestées et un motif de distinction illicite qui démontrerait le non</w:t>
      </w:r>
      <w:r w:rsidR="00804EA2">
        <w:rPr>
          <w:shd w:val="clear" w:color="auto" w:fill="FFFFFF"/>
          <w:lang w:val="fr-CA"/>
        </w:rPr>
        <w:noBreakHyphen/>
      </w:r>
      <w:r w:rsidR="00804EA2" w:rsidRPr="00A720EC">
        <w:rPr>
          <w:shd w:val="clear" w:color="auto" w:fill="FFFFFF"/>
          <w:lang w:val="fr-CA"/>
        </w:rPr>
        <w:t xml:space="preserve">respect de l’article 15. En résumé, les appelantes ne se sont pas vu refuser le droit de racheter leur service en raison de leurs caractéristiques personnelles de membres féminines de la GRC mères de jeunes enfants, mais bien parce qu’elles ont choisi de conclure une entente de partage de poste plutôt que de prendre un congé pour les soins et l’éducation de leurs enfants. Le lien qu’il faut établir pour conclure à une violation de l’article 15 de la </w:t>
      </w:r>
      <w:r w:rsidR="00804EA2" w:rsidRPr="00A720EC">
        <w:rPr>
          <w:i/>
          <w:iCs/>
          <w:shd w:val="clear" w:color="auto" w:fill="FFFFFF"/>
          <w:lang w:val="fr-CA"/>
        </w:rPr>
        <w:t>Charte</w:t>
      </w:r>
      <w:r w:rsidR="00804EA2" w:rsidRPr="00A720EC">
        <w:rPr>
          <w:shd w:val="clear" w:color="auto" w:fill="FFFFFF"/>
          <w:lang w:val="fr-CA"/>
        </w:rPr>
        <w:t xml:space="preserve"> étant absent en l’espèce, les appelantes ne peuvent pas démontrer que les dispositions contestées de la LPRGRC et du Règlement ont eu un effet négatif plus important sur elles que sur d</w:t>
      </w:r>
      <w:r>
        <w:rPr>
          <w:shd w:val="clear" w:color="auto" w:fill="FFFFFF"/>
          <w:lang w:val="fr-CA"/>
        </w:rPr>
        <w:t>’autres en raison de leur sexe . . .</w:t>
      </w:r>
    </w:p>
    <w:p w14:paraId="4B5DBA66" w14:textId="50DF6FBD" w:rsidR="00804EA2" w:rsidRPr="00A720EC" w:rsidRDefault="00804EA2" w:rsidP="00CC37D2">
      <w:pPr>
        <w:pStyle w:val="Citation-AltC"/>
        <w:ind w:left="0"/>
        <w:rPr>
          <w:lang w:val="fr-CA"/>
        </w:rPr>
      </w:pPr>
      <w:r w:rsidRPr="00A720EC">
        <w:rPr>
          <w:lang w:val="fr-CA"/>
        </w:rPr>
        <w:t xml:space="preserve">(motifs de la C.A., </w:t>
      </w:r>
      <w:r>
        <w:rPr>
          <w:lang w:val="fr-CA"/>
        </w:rPr>
        <w:t>par. </w:t>
      </w:r>
      <w:r w:rsidRPr="00A720EC">
        <w:rPr>
          <w:lang w:val="fr-CA"/>
        </w:rPr>
        <w:t>53)</w:t>
      </w:r>
    </w:p>
    <w:p w14:paraId="65C4C11B" w14:textId="77777777" w:rsidR="00804EA2" w:rsidRPr="00A720EC" w:rsidRDefault="00804EA2" w:rsidP="00804EA2">
      <w:pPr>
        <w:pStyle w:val="ParaNoNdepar-AltN"/>
        <w:rPr>
          <w:rFonts w:cs="Times New Roman"/>
          <w:lang w:val="fr-CA"/>
        </w:rPr>
      </w:pPr>
      <w:r w:rsidRPr="00A720EC">
        <w:rPr>
          <w:rFonts w:cs="Times New Roman"/>
          <w:lang w:val="fr-CA"/>
        </w:rPr>
        <w:t>Ma collègue la juge Abella rejette ce raisonnement et l’accent qu’il met sur le « choix » (</w:t>
      </w:r>
      <w:r>
        <w:rPr>
          <w:rFonts w:cs="Times New Roman"/>
          <w:lang w:val="fr-CA"/>
        </w:rPr>
        <w:t>par. </w:t>
      </w:r>
      <w:r w:rsidRPr="00A720EC">
        <w:rPr>
          <w:rFonts w:cs="Times New Roman"/>
          <w:lang w:val="fr-CA"/>
        </w:rPr>
        <w:t>85</w:t>
      </w:r>
      <w:r>
        <w:rPr>
          <w:rFonts w:cs="Times New Roman"/>
          <w:lang w:val="fr-CA"/>
        </w:rPr>
        <w:noBreakHyphen/>
      </w:r>
      <w:r w:rsidRPr="00A720EC">
        <w:rPr>
          <w:rFonts w:cs="Times New Roman"/>
          <w:lang w:val="fr-CA"/>
        </w:rPr>
        <w:t>92), et mes collègues les juges Brown et Rowe — implicitement, en concluant que les appelantes ont satisfait aux exigences de la première étape (</w:t>
      </w:r>
      <w:r>
        <w:rPr>
          <w:rFonts w:cs="Times New Roman"/>
          <w:lang w:val="fr-CA"/>
        </w:rPr>
        <w:t>par. </w:t>
      </w:r>
      <w:r w:rsidRPr="00A720EC">
        <w:rPr>
          <w:rFonts w:cs="Times New Roman"/>
          <w:lang w:val="fr-CA"/>
        </w:rPr>
        <w:t>186) — semblent aussi écarter ce raisonnement (quoique peut</w:t>
      </w:r>
      <w:r>
        <w:rPr>
          <w:rFonts w:cs="Times New Roman"/>
          <w:lang w:val="fr-CA"/>
        </w:rPr>
        <w:noBreakHyphen/>
      </w:r>
      <w:r w:rsidRPr="00A720EC">
        <w:rPr>
          <w:rFonts w:cs="Times New Roman"/>
          <w:lang w:val="fr-CA"/>
        </w:rPr>
        <w:t>être pour des raisons différentes). Il n’est pas nécessaire que je formule de conclusion à cet égard parce qu’en tout état de cause, aucune distinction fondée sur le sexe ne peut être démontrée en l’espèce.</w:t>
      </w:r>
    </w:p>
    <w:p w14:paraId="483111C8" w14:textId="77777777" w:rsidR="00804EA2" w:rsidRPr="00A720EC" w:rsidRDefault="00804EA2" w:rsidP="00804EA2">
      <w:pPr>
        <w:pStyle w:val="ParaNoNdepar-AltN"/>
        <w:rPr>
          <w:rFonts w:cs="Times New Roman"/>
          <w:lang w:val="fr-CA"/>
        </w:rPr>
      </w:pPr>
      <w:r w:rsidRPr="00A720EC">
        <w:rPr>
          <w:rFonts w:cs="Times New Roman"/>
          <w:lang w:val="fr-CA"/>
        </w:rPr>
        <w:t>Comme je l’ai établi, il est difficile de voir en quoi les dispositions contestées créent une distinction fondée sur le seul fait d’être une femme. Je répète qu’on ne choisit pas de partager un poste parce qu’on est une femme — c’est</w:t>
      </w:r>
      <w:r>
        <w:rPr>
          <w:rFonts w:cs="Times New Roman"/>
          <w:lang w:val="fr-CA"/>
        </w:rPr>
        <w:noBreakHyphen/>
      </w:r>
      <w:r w:rsidRPr="00A720EC">
        <w:rPr>
          <w:rFonts w:cs="Times New Roman"/>
          <w:lang w:val="fr-CA"/>
        </w:rPr>
        <w:t>à</w:t>
      </w:r>
      <w:r>
        <w:rPr>
          <w:rFonts w:cs="Times New Roman"/>
          <w:lang w:val="fr-CA"/>
        </w:rPr>
        <w:noBreakHyphen/>
      </w:r>
      <w:r w:rsidRPr="00A720EC">
        <w:rPr>
          <w:rFonts w:cs="Times New Roman"/>
          <w:lang w:val="fr-CA"/>
        </w:rPr>
        <w:t xml:space="preserve">dire du seul fait de son sexe — mais parce qu’on doit s’occuper de quelqu’un (en l’espèce, d’enfants). Le sort de la demande des appelantes — au nom des femmes </w:t>
      </w:r>
      <w:r w:rsidRPr="00A720EC">
        <w:rPr>
          <w:rFonts w:cs="Times New Roman"/>
          <w:i/>
          <w:iCs/>
          <w:lang w:val="fr-CA"/>
        </w:rPr>
        <w:t>qui ont des enfants</w:t>
      </w:r>
      <w:r w:rsidRPr="00A720EC">
        <w:rPr>
          <w:rFonts w:cs="Times New Roman"/>
          <w:lang w:val="fr-CA"/>
        </w:rPr>
        <w:t xml:space="preserve"> — dépend essentiellement de l’intersectionnalité entre le sexe et l’état parental ou la situation familiale. Les arguments présentés et les statistiques citées concernent exclusivement des femmes </w:t>
      </w:r>
      <w:r w:rsidRPr="00A720EC">
        <w:rPr>
          <w:rFonts w:cs="Times New Roman"/>
          <w:i/>
          <w:iCs/>
          <w:lang w:val="fr-CA"/>
        </w:rPr>
        <w:t>qui ont des enfants</w:t>
      </w:r>
      <w:r w:rsidRPr="00A720EC">
        <w:rPr>
          <w:rFonts w:cs="Times New Roman"/>
          <w:lang w:val="fr-CA"/>
        </w:rPr>
        <w:t>. À l’instar de ma collègue la juge Abella, j’accepte le témoignage de l’appelante M</w:t>
      </w:r>
      <w:r w:rsidRPr="00A720EC">
        <w:rPr>
          <w:rFonts w:cs="Times New Roman"/>
          <w:vertAlign w:val="superscript"/>
          <w:lang w:val="fr-CA"/>
        </w:rPr>
        <w:t>me</w:t>
      </w:r>
      <w:r w:rsidRPr="00A720EC">
        <w:rPr>
          <w:rFonts w:cs="Times New Roman"/>
          <w:lang w:val="fr-CA"/>
        </w:rPr>
        <w:t xml:space="preserve"> Fox suivant lequel </w:t>
      </w:r>
      <w:bookmarkStart w:id="4" w:name="_Hlk47622574"/>
      <w:r w:rsidRPr="00A720EC">
        <w:rPr>
          <w:rFonts w:cs="Times New Roman"/>
          <w:lang w:val="fr-CA"/>
        </w:rPr>
        <w:t>« </w:t>
      </w:r>
      <w:r>
        <w:rPr>
          <w:rFonts w:cs="Times New Roman"/>
          <w:lang w:val="fr-CA"/>
        </w:rPr>
        <w:t xml:space="preserve">pour les membres ayant des enfants, </w:t>
      </w:r>
      <w:r w:rsidRPr="00A720EC">
        <w:rPr>
          <w:rFonts w:cs="Times New Roman"/>
          <w:lang w:val="fr-CA"/>
        </w:rPr>
        <w:t xml:space="preserve">le </w:t>
      </w:r>
      <w:bookmarkEnd w:id="4"/>
      <w:r w:rsidRPr="00A720EC">
        <w:rPr>
          <w:rFonts w:cs="Times New Roman"/>
          <w:lang w:val="fr-CA"/>
        </w:rPr>
        <w:t xml:space="preserve">partage de poste est souvent la seule solution </w:t>
      </w:r>
      <w:r>
        <w:rPr>
          <w:rFonts w:cs="Times New Roman"/>
          <w:lang w:val="fr-CA"/>
        </w:rPr>
        <w:t>en matière de services de garde</w:t>
      </w:r>
      <w:r w:rsidRPr="00A720EC">
        <w:rPr>
          <w:rFonts w:cs="Times New Roman"/>
          <w:lang w:val="fr-CA"/>
        </w:rPr>
        <w:t> » parce qu’« il n’y a tout simplement pas de service</w:t>
      </w:r>
      <w:r>
        <w:rPr>
          <w:rFonts w:cs="Times New Roman"/>
          <w:lang w:val="fr-CA"/>
        </w:rPr>
        <w:t>s</w:t>
      </w:r>
      <w:r w:rsidRPr="00A720EC">
        <w:rPr>
          <w:rFonts w:cs="Times New Roman"/>
          <w:lang w:val="fr-CA"/>
        </w:rPr>
        <w:t xml:space="preserve"> de garde pour enfants </w:t>
      </w:r>
      <w:r>
        <w:rPr>
          <w:rFonts w:cs="Times New Roman"/>
          <w:lang w:val="fr-CA"/>
        </w:rPr>
        <w:t>disponibles à toute heure du jour » « </w:t>
      </w:r>
      <w:r w:rsidRPr="00A720EC">
        <w:rPr>
          <w:rFonts w:cs="Times New Roman"/>
          <w:lang w:val="fr-CA"/>
        </w:rPr>
        <w:t>dans des collectivités rurales ou éloignées »</w:t>
      </w:r>
      <w:r>
        <w:rPr>
          <w:rFonts w:cs="Times New Roman"/>
          <w:lang w:val="fr-CA"/>
        </w:rPr>
        <w:t> :</w:t>
      </w:r>
      <w:r w:rsidRPr="00A720EC">
        <w:rPr>
          <w:rFonts w:cs="Times New Roman"/>
          <w:lang w:val="fr-CA"/>
        </w:rPr>
        <w:t xml:space="preserve"> </w:t>
      </w:r>
      <w:r>
        <w:rPr>
          <w:rFonts w:cs="Times New Roman"/>
          <w:lang w:val="fr-CA"/>
        </w:rPr>
        <w:t>par. </w:t>
      </w:r>
      <w:r w:rsidRPr="00A720EC">
        <w:rPr>
          <w:rFonts w:cs="Times New Roman"/>
          <w:lang w:val="fr-CA"/>
        </w:rPr>
        <w:t xml:space="preserve">91, citant le d.a., </w:t>
      </w:r>
      <w:r>
        <w:rPr>
          <w:rFonts w:cs="Times New Roman"/>
          <w:lang w:val="fr-CA"/>
        </w:rPr>
        <w:t>vol. </w:t>
      </w:r>
      <w:r w:rsidRPr="00A720EC">
        <w:rPr>
          <w:rFonts w:cs="Times New Roman"/>
          <w:lang w:val="fr-CA"/>
        </w:rPr>
        <w:t xml:space="preserve">III, </w:t>
      </w:r>
      <w:r>
        <w:rPr>
          <w:rFonts w:cs="Times New Roman"/>
          <w:lang w:val="fr-CA"/>
        </w:rPr>
        <w:t>p. </w:t>
      </w:r>
      <w:r w:rsidRPr="00A720EC">
        <w:rPr>
          <w:rFonts w:cs="Times New Roman"/>
          <w:lang w:val="fr-CA"/>
        </w:rPr>
        <w:t xml:space="preserve">334. Mais rien ne justifie que cette question ne concerne que le sexe; la question est plutôt liée à la situation de la personne qui s’occupe de quelqu’un. En ce sens, dans ces mêmes collectivités rurales ou éloignées, il est probable qu’il n’existe pas non plus de services offerts jour et nuit pour s’occuper des personnes âgées, de sorte que le partage de poste est la seule solution qui s’offre aux personnes qui doivent s’en occuper. Par conséquent, la pression exercée sur les agents pour recourir au partage de poste et la distinction que créent à cet égard les dispositions contestées du régime de pension sont imposées à tout agent </w:t>
      </w:r>
      <w:r w:rsidRPr="00A720EC">
        <w:rPr>
          <w:rFonts w:cs="Times New Roman"/>
          <w:i/>
          <w:iCs/>
          <w:lang w:val="fr-CA"/>
        </w:rPr>
        <w:t>qui s’occupe d’une autre personne</w:t>
      </w:r>
      <w:r w:rsidRPr="00A720EC">
        <w:rPr>
          <w:rFonts w:cs="Times New Roman"/>
          <w:lang w:val="fr-CA"/>
        </w:rPr>
        <w:t xml:space="preserve"> et ne se limitent pas aux agents d’un sexe ou d’un autre. En effet, les agents qui n’ont pas de telles responsabilités ne sont soumis à aucune pression comparable qui les inciterait à opter pour le partage de poste. La demande des appelantes doit toutefois échouer à la première étape de l’analyse du </w:t>
      </w:r>
      <w:r>
        <w:rPr>
          <w:rFonts w:cs="Times New Roman"/>
          <w:lang w:val="fr-CA"/>
        </w:rPr>
        <w:t>par. </w:t>
      </w:r>
      <w:r w:rsidRPr="00A720EC">
        <w:rPr>
          <w:rFonts w:cs="Times New Roman"/>
          <w:lang w:val="fr-CA"/>
        </w:rPr>
        <w:t xml:space="preserve">15(1) en l’absence de la reconnaissance d’un motif analogue protégé fondé sur l’état parental, la situation familiale ou celle de personne s’occupant d’un proche ou, à titre subsidiaire, sur l’existence de liens entre ce motif et le sexe (comme dans l’arrêt </w:t>
      </w:r>
      <w:r w:rsidRPr="00A720EC">
        <w:rPr>
          <w:rFonts w:cs="Times New Roman"/>
          <w:i/>
          <w:lang w:val="fr-CA"/>
        </w:rPr>
        <w:t>Lesiuk</w:t>
      </w:r>
      <w:r w:rsidRPr="00A720EC">
        <w:rPr>
          <w:rFonts w:cs="Times New Roman"/>
          <w:lang w:val="fr-CA"/>
        </w:rPr>
        <w:t xml:space="preserve">, au </w:t>
      </w:r>
      <w:r>
        <w:rPr>
          <w:rFonts w:cs="Times New Roman"/>
          <w:lang w:val="fr-CA"/>
        </w:rPr>
        <w:t>par. </w:t>
      </w:r>
      <w:r w:rsidRPr="00A720EC">
        <w:rPr>
          <w:rFonts w:cs="Times New Roman"/>
          <w:lang w:val="fr-CA"/>
        </w:rPr>
        <w:t xml:space="preserve">37). </w:t>
      </w:r>
    </w:p>
    <w:p w14:paraId="1D8411DB" w14:textId="77777777" w:rsidR="00804EA2" w:rsidRPr="00A720EC" w:rsidRDefault="00804EA2" w:rsidP="00804EA2">
      <w:pPr>
        <w:pStyle w:val="ParaNoNdepar-AltN"/>
        <w:rPr>
          <w:rFonts w:cs="Times New Roman"/>
          <w:lang w:val="fr-CA"/>
        </w:rPr>
      </w:pPr>
      <w:r w:rsidRPr="00A720EC">
        <w:rPr>
          <w:rFonts w:cs="Times New Roman"/>
          <w:lang w:val="fr-CA"/>
        </w:rPr>
        <w:t xml:space="preserve">Certes, il se peut fort bien que les dispositions contestées ne soient pas rationnelles et qu’il n’existe en fait aucune raison logique de refuser aux agents qui optent pour le partage de poste les prestations de pension complètes qui sont garanties aux agents à temps plein et aux agents en congé non payé. Mais il n’appartient pas à notre Cour de constitutionnaliser un jugement normatif en ce sens. Ce rôle incombe aux électeurs et, en dernière analyse, au législateur. </w:t>
      </w:r>
    </w:p>
    <w:p w14:paraId="6EADBD1F" w14:textId="77777777" w:rsidR="00804EA2" w:rsidRPr="00A720EC" w:rsidRDefault="00804EA2" w:rsidP="00804EA2">
      <w:pPr>
        <w:pStyle w:val="ParaNoNdepar-AltN"/>
        <w:rPr>
          <w:rFonts w:cs="Times New Roman"/>
          <w:lang w:val="fr-CA"/>
        </w:rPr>
      </w:pPr>
      <w:r w:rsidRPr="00A720EC">
        <w:rPr>
          <w:rFonts w:cs="Times New Roman"/>
          <w:lang w:val="fr-CA"/>
        </w:rPr>
        <w:t xml:space="preserve">Dans cet esprit, je souhaite ajouter une dernière remarque au sujet du rôle du pouvoir judiciaire par rapport au pouvoir législatif. La solution à laquelle parvient la majorité est certainement souhaitable dans la mesure où elle garantit aux agents de la GRC qui utilisent la formule du partage de poste l’occasion de toucher des prestations de retraite majorées. Mais lorsque la Cour parvient à ce résultat sur des bases théoriques aussi précaires, et que les dispositions contestées sont possiblement illogiques, irrationnelles ou trop restrictives, c’est au législateur qu’il incombe de corriger la situation. La réponse ne réside pas dans la Constitution, qui interdit des formes </w:t>
      </w:r>
      <w:r w:rsidRPr="00A720EC">
        <w:rPr>
          <w:rFonts w:cs="Times New Roman"/>
          <w:i/>
          <w:iCs/>
          <w:lang w:val="fr-CA"/>
        </w:rPr>
        <w:t xml:space="preserve">bien précises </w:t>
      </w:r>
      <w:r w:rsidRPr="00A720EC">
        <w:rPr>
          <w:rFonts w:cs="Times New Roman"/>
          <w:lang w:val="fr-CA"/>
        </w:rPr>
        <w:t>de discrimination, formes qui n’existent pas en l’espèce. Avec beaucoup d’égards, alors, la réparation demandée en l’espèce devrait être octroyée dans le cadre du processus démocratique.</w:t>
      </w:r>
    </w:p>
    <w:p w14:paraId="1A3D41CE" w14:textId="77777777" w:rsidR="00804EA2" w:rsidRPr="00A720EC" w:rsidRDefault="00804EA2" w:rsidP="00804EA2">
      <w:pPr>
        <w:pStyle w:val="Title1LevelTitre1Niveau-AltL"/>
        <w:rPr>
          <w:rFonts w:cs="Times New Roman"/>
          <w:lang w:val="fr-CA"/>
        </w:rPr>
      </w:pPr>
      <w:r w:rsidRPr="00A720EC">
        <w:rPr>
          <w:rFonts w:cs="Times New Roman"/>
          <w:lang w:val="fr-CA"/>
        </w:rPr>
        <w:t>Conclusion</w:t>
      </w:r>
    </w:p>
    <w:p w14:paraId="3B1232E9" w14:textId="77777777" w:rsidR="00804EA2" w:rsidRPr="00A720EC" w:rsidRDefault="00804EA2" w:rsidP="00804EA2">
      <w:pPr>
        <w:pStyle w:val="ParaNoNdepar-AltN"/>
        <w:rPr>
          <w:rFonts w:cs="Times New Roman"/>
          <w:u w:val="single"/>
          <w:lang w:val="fr-CA"/>
        </w:rPr>
      </w:pPr>
      <w:r w:rsidRPr="00A720EC">
        <w:rPr>
          <w:rFonts w:cs="Times New Roman"/>
          <w:lang w:val="fr-CA"/>
        </w:rPr>
        <w:t>Bien que je sois d’accord avec la juge Abella pour dire que la discrimination fondée sur le sexe est particulièrement insidieuse et pour déplorer comme elle la discrimination dont les femmes sont depuis trop longtemps victimes au sein de notre société, je dois, avec égards, me dissocier de son opinion quant à la question de savoir si les appelantes ont suffisamment démontré qu’il y avait eu violation de l’</w:t>
      </w:r>
      <w:r>
        <w:rPr>
          <w:rFonts w:cs="Times New Roman"/>
          <w:lang w:val="fr-CA"/>
        </w:rPr>
        <w:t>art. </w:t>
      </w:r>
      <w:r w:rsidRPr="00A720EC">
        <w:rPr>
          <w:rFonts w:cs="Times New Roman"/>
          <w:lang w:val="fr-CA"/>
        </w:rPr>
        <w:t>15 en l’espèce, vu la jurisprudence bien établie de notre Cour.</w:t>
      </w:r>
    </w:p>
    <w:p w14:paraId="4437DB87" w14:textId="77777777" w:rsidR="00804EA2" w:rsidRPr="00A720EC" w:rsidRDefault="00804EA2" w:rsidP="00804EA2">
      <w:pPr>
        <w:pStyle w:val="ParaNoNdepar-AltN"/>
        <w:rPr>
          <w:rFonts w:cs="Times New Roman"/>
          <w:u w:val="single"/>
          <w:lang w:val="fr-CA"/>
        </w:rPr>
      </w:pPr>
      <w:r w:rsidRPr="00A720EC">
        <w:rPr>
          <w:rFonts w:cs="Times New Roman"/>
          <w:lang w:val="fr-CA"/>
        </w:rPr>
        <w:t xml:space="preserve">De même, bien que je souscrive à la solution proposée par mes collègues les juges Brown et Rowe pour trancher le présent pourvoi ainsi qu’à leurs observations concernant la situation d’emploi des appelantes et leur désaccord à l’encontre de l’extension de la portée du </w:t>
      </w:r>
      <w:r>
        <w:rPr>
          <w:rFonts w:cs="Times New Roman"/>
          <w:lang w:val="fr-CA"/>
        </w:rPr>
        <w:t>par. </w:t>
      </w:r>
      <w:r w:rsidRPr="00A720EC">
        <w:rPr>
          <w:rFonts w:cs="Times New Roman"/>
          <w:lang w:val="fr-CA"/>
        </w:rPr>
        <w:t xml:space="preserve">15(1) proposée par la majorité ne cadrant pas avec les principes établis en la matière, je tenais à rédiger des motifs distincts pour exprimer mon désaccord avec leur décision de rejeter le pourvoi à la seconde, plutôt qu’à la première étape de l’analyse fondée sur le </w:t>
      </w:r>
      <w:r>
        <w:rPr>
          <w:rFonts w:cs="Times New Roman"/>
          <w:lang w:val="fr-CA"/>
        </w:rPr>
        <w:t>par. </w:t>
      </w:r>
      <w:r w:rsidRPr="00A720EC">
        <w:rPr>
          <w:rFonts w:cs="Times New Roman"/>
          <w:lang w:val="fr-CA"/>
        </w:rPr>
        <w:t>15(1), étape sur laquelle porte la présente affaire</w:t>
      </w:r>
      <w:r>
        <w:rPr>
          <w:rFonts w:cs="Times New Roman"/>
          <w:lang w:val="fr-CA"/>
        </w:rPr>
        <w:t> :</w:t>
      </w:r>
      <w:r w:rsidRPr="00A720EC">
        <w:rPr>
          <w:rFonts w:cs="Times New Roman"/>
          <w:lang w:val="fr-CA"/>
        </w:rPr>
        <w:t xml:space="preserve"> motifs de la C.A., </w:t>
      </w:r>
      <w:r>
        <w:rPr>
          <w:rFonts w:cs="Times New Roman"/>
          <w:lang w:val="fr-CA"/>
        </w:rPr>
        <w:t>par. </w:t>
      </w:r>
      <w:r w:rsidRPr="00A720EC">
        <w:rPr>
          <w:rFonts w:cs="Times New Roman"/>
          <w:lang w:val="fr-CA"/>
        </w:rPr>
        <w:t>40. Je tenais aussi à rédiger ma propre opinion pour insister sur le caractère trop restrictif du régime de pension, qui touche de façon disproportionnée toutes les personnes qui veillent au bien</w:t>
      </w:r>
      <w:r>
        <w:rPr>
          <w:rFonts w:cs="Times New Roman"/>
          <w:lang w:val="fr-CA"/>
        </w:rPr>
        <w:noBreakHyphen/>
      </w:r>
      <w:r w:rsidRPr="00A720EC">
        <w:rPr>
          <w:rFonts w:cs="Times New Roman"/>
          <w:lang w:val="fr-CA"/>
        </w:rPr>
        <w:t xml:space="preserve">être de quelqu’un, y compris les couples de même sexe qui ont des enfants et les personnes qui veillent sur leurs parents vieillissants ou leur conjoint âgé. Il appartient donc au législateur, et non aux tribunaux, de remédier au caractère trop restrictif de la présente loi, qui était censée à l’origine venir en aide aux personnes qui prennent soin de quelqu’un. </w:t>
      </w:r>
    </w:p>
    <w:p w14:paraId="412158E6" w14:textId="494EC772" w:rsidR="00804EA2" w:rsidRPr="00CC37D2" w:rsidRDefault="00804EA2" w:rsidP="00804EA2">
      <w:pPr>
        <w:pStyle w:val="ParaNoNdepar-AltN"/>
        <w:rPr>
          <w:rFonts w:cs="Times New Roman"/>
          <w:lang w:val="fr-CA"/>
        </w:rPr>
      </w:pPr>
      <w:r w:rsidRPr="00A720EC">
        <w:rPr>
          <w:rFonts w:cs="Times New Roman"/>
          <w:lang w:val="fr-CA"/>
        </w:rPr>
        <w:t xml:space="preserve">Pour ces motifs, et en toute déférence pour l’opinion de mes collègues, je suis d’avis de rejeter le pourvoi. </w:t>
      </w:r>
      <w:bookmarkEnd w:id="3"/>
    </w:p>
    <w:p w14:paraId="766C218E" w14:textId="6970ADFF" w:rsidR="004D7D95" w:rsidRPr="00A20EF6" w:rsidRDefault="004D7D95" w:rsidP="0009382E">
      <w:pPr>
        <w:pStyle w:val="SCCNormalDoubleSpacing"/>
        <w:spacing w:after="480"/>
        <w:rPr>
          <w:i/>
          <w:lang w:val="fr-CA"/>
        </w:rPr>
      </w:pPr>
      <w:r w:rsidRPr="00593AA6">
        <w:rPr>
          <w:lang w:val="fr-CA"/>
        </w:rPr>
        <w:tab/>
      </w:r>
      <w:r w:rsidR="00A20EF6" w:rsidRPr="00DB2A82">
        <w:rPr>
          <w:i/>
          <w:lang w:val="fr-CA"/>
        </w:rPr>
        <w:t xml:space="preserve">Pourvoi accueilli avec dépens dans toutes les cours, les juges </w:t>
      </w:r>
      <w:r w:rsidR="00A20EF6" w:rsidRPr="00DB2A82">
        <w:rPr>
          <w:smallCaps/>
          <w:lang w:val="fr-CA"/>
        </w:rPr>
        <w:t>Côté</w:t>
      </w:r>
      <w:r w:rsidR="00A20EF6" w:rsidRPr="00DB2A82">
        <w:rPr>
          <w:i/>
          <w:lang w:val="fr-CA"/>
        </w:rPr>
        <w:t>,</w:t>
      </w:r>
      <w:r w:rsidR="00A20EF6" w:rsidRPr="00DB2A82">
        <w:rPr>
          <w:lang w:val="fr-CA"/>
        </w:rPr>
        <w:t xml:space="preserve"> </w:t>
      </w:r>
      <w:r w:rsidR="00A20EF6" w:rsidRPr="00DB2A82">
        <w:rPr>
          <w:smallCaps/>
          <w:lang w:val="fr-CA"/>
        </w:rPr>
        <w:t>Brown</w:t>
      </w:r>
      <w:r w:rsidR="00A20EF6" w:rsidRPr="00DB2A82">
        <w:rPr>
          <w:lang w:val="fr-CA"/>
        </w:rPr>
        <w:t xml:space="preserve"> </w:t>
      </w:r>
      <w:r w:rsidR="00A20EF6" w:rsidRPr="00DB2A82">
        <w:rPr>
          <w:i/>
          <w:lang w:val="fr-CA"/>
        </w:rPr>
        <w:t>et</w:t>
      </w:r>
      <w:r w:rsidR="00A20EF6" w:rsidRPr="00DB2A82">
        <w:rPr>
          <w:lang w:val="fr-CA"/>
        </w:rPr>
        <w:t xml:space="preserve"> </w:t>
      </w:r>
      <w:r w:rsidR="00A20EF6" w:rsidRPr="00DB2A82">
        <w:rPr>
          <w:smallCaps/>
          <w:lang w:val="fr-CA"/>
        </w:rPr>
        <w:t>Rowe</w:t>
      </w:r>
      <w:r w:rsidR="00A20EF6" w:rsidRPr="00DB2A82">
        <w:rPr>
          <w:lang w:val="fr-CA"/>
        </w:rPr>
        <w:t xml:space="preserve"> </w:t>
      </w:r>
      <w:r w:rsidR="00A20EF6" w:rsidRPr="00DB2A82">
        <w:rPr>
          <w:i/>
          <w:lang w:val="fr-CA"/>
        </w:rPr>
        <w:t>sont dissidents.</w:t>
      </w:r>
    </w:p>
    <w:p w14:paraId="7AAE13A9" w14:textId="77E0D8FD" w:rsidR="00556CFA" w:rsidRPr="00593AA6" w:rsidRDefault="00CA08B5" w:rsidP="0009382E">
      <w:pPr>
        <w:pStyle w:val="SCCLawFirm"/>
        <w:spacing w:after="480"/>
        <w:rPr>
          <w:lang w:val="fr-CA"/>
        </w:rPr>
      </w:pPr>
      <w:r w:rsidRPr="00593AA6">
        <w:rPr>
          <w:lang w:val="fr-CA"/>
        </w:rPr>
        <w:tab/>
        <w:t>Procureurs des appelantes</w:t>
      </w:r>
      <w:r w:rsidR="002167F7">
        <w:rPr>
          <w:lang w:val="fr-CA"/>
        </w:rPr>
        <w:t> :</w:t>
      </w:r>
      <w:r w:rsidR="0009382E">
        <w:rPr>
          <w:lang w:val="fr-CA"/>
        </w:rPr>
        <w:t> </w:t>
      </w:r>
      <w:r w:rsidRPr="00593AA6">
        <w:rPr>
          <w:lang w:val="fr-CA"/>
        </w:rPr>
        <w:t>Champ &amp; Associates, Ottawa.</w:t>
      </w:r>
    </w:p>
    <w:p w14:paraId="2D94200E" w14:textId="534AB8E7" w:rsidR="00556CFA" w:rsidRPr="00593AA6" w:rsidRDefault="00CA08B5" w:rsidP="0009382E">
      <w:pPr>
        <w:pStyle w:val="SCCLawFirm"/>
        <w:spacing w:after="480"/>
        <w:rPr>
          <w:lang w:val="fr-CA"/>
        </w:rPr>
      </w:pPr>
      <w:r w:rsidRPr="00593AA6">
        <w:rPr>
          <w:lang w:val="fr-CA"/>
        </w:rPr>
        <w:tab/>
        <w:t>Procureur de l</w:t>
      </w:r>
      <w:r w:rsidR="00546EA0" w:rsidRPr="00593AA6">
        <w:rPr>
          <w:lang w:val="fr-CA"/>
        </w:rPr>
        <w:t>’</w:t>
      </w:r>
      <w:r w:rsidRPr="00593AA6">
        <w:rPr>
          <w:lang w:val="fr-CA"/>
        </w:rPr>
        <w:t>intimé</w:t>
      </w:r>
      <w:r w:rsidR="002167F7">
        <w:rPr>
          <w:lang w:val="fr-CA"/>
        </w:rPr>
        <w:t> :</w:t>
      </w:r>
      <w:r w:rsidR="0009382E">
        <w:rPr>
          <w:lang w:val="fr-CA"/>
        </w:rPr>
        <w:t> </w:t>
      </w:r>
      <w:r w:rsidRPr="00593AA6">
        <w:rPr>
          <w:lang w:val="fr-CA"/>
        </w:rPr>
        <w:t>Procureur général du Canada, Ottawa.</w:t>
      </w:r>
    </w:p>
    <w:p w14:paraId="2ABFAA90" w14:textId="6C16F890" w:rsidR="00556CFA" w:rsidRPr="00593AA6" w:rsidRDefault="00EA3C4F" w:rsidP="0009382E">
      <w:pPr>
        <w:pStyle w:val="SCCLawFirm"/>
        <w:spacing w:after="480"/>
        <w:rPr>
          <w:lang w:val="fr-CA"/>
        </w:rPr>
      </w:pPr>
      <w:r>
        <w:rPr>
          <w:lang w:val="fr-CA"/>
        </w:rPr>
        <w:tab/>
        <w:t>Procureur</w:t>
      </w:r>
      <w:r w:rsidR="00CA08B5" w:rsidRPr="00593AA6">
        <w:rPr>
          <w:lang w:val="fr-CA"/>
        </w:rPr>
        <w:t xml:space="preserve"> de l</w:t>
      </w:r>
      <w:r w:rsidR="00546EA0" w:rsidRPr="00593AA6">
        <w:rPr>
          <w:lang w:val="fr-CA"/>
        </w:rPr>
        <w:t>’</w:t>
      </w:r>
      <w:r>
        <w:rPr>
          <w:lang w:val="fr-CA"/>
        </w:rPr>
        <w:t>intervenant le procureur général</w:t>
      </w:r>
      <w:r w:rsidR="00CA08B5" w:rsidRPr="00593AA6">
        <w:rPr>
          <w:lang w:val="fr-CA"/>
        </w:rPr>
        <w:t xml:space="preserve"> de l</w:t>
      </w:r>
      <w:r w:rsidR="00546EA0" w:rsidRPr="00593AA6">
        <w:rPr>
          <w:lang w:val="fr-CA"/>
        </w:rPr>
        <w:t>’</w:t>
      </w:r>
      <w:r w:rsidR="00CA08B5" w:rsidRPr="00593AA6">
        <w:rPr>
          <w:lang w:val="fr-CA"/>
        </w:rPr>
        <w:t>Ontario</w:t>
      </w:r>
      <w:r w:rsidR="002167F7">
        <w:rPr>
          <w:lang w:val="fr-CA"/>
        </w:rPr>
        <w:t> :</w:t>
      </w:r>
      <w:r w:rsidR="0009382E">
        <w:rPr>
          <w:lang w:val="fr-CA"/>
        </w:rPr>
        <w:t> </w:t>
      </w:r>
      <w:r>
        <w:rPr>
          <w:lang w:val="fr-CA"/>
        </w:rPr>
        <w:t>Procureur général</w:t>
      </w:r>
      <w:r w:rsidR="00CA08B5" w:rsidRPr="00593AA6">
        <w:rPr>
          <w:lang w:val="fr-CA"/>
        </w:rPr>
        <w:t xml:space="preserve"> de l’Ontario, Toronto.</w:t>
      </w:r>
    </w:p>
    <w:p w14:paraId="753B4FA3" w14:textId="362AE325" w:rsidR="00556CFA" w:rsidRPr="00593AA6" w:rsidRDefault="00CA08B5" w:rsidP="0009382E">
      <w:pPr>
        <w:pStyle w:val="SCCLawFirm"/>
        <w:spacing w:after="480"/>
        <w:rPr>
          <w:lang w:val="fr-CA"/>
        </w:rPr>
      </w:pPr>
      <w:r w:rsidRPr="00593AA6">
        <w:rPr>
          <w:lang w:val="fr-CA"/>
        </w:rPr>
        <w:tab/>
        <w:t>Procureure de l</w:t>
      </w:r>
      <w:r w:rsidR="00546EA0" w:rsidRPr="00593AA6">
        <w:rPr>
          <w:lang w:val="fr-CA"/>
        </w:rPr>
        <w:t>’</w:t>
      </w:r>
      <w:r w:rsidR="00EA3C4F">
        <w:rPr>
          <w:lang w:val="fr-CA"/>
        </w:rPr>
        <w:t>intervenante la p</w:t>
      </w:r>
      <w:r w:rsidRPr="00593AA6">
        <w:rPr>
          <w:lang w:val="fr-CA"/>
        </w:rPr>
        <w:t>rocureure générale du Québec</w:t>
      </w:r>
      <w:r w:rsidR="002167F7">
        <w:rPr>
          <w:lang w:val="fr-CA"/>
        </w:rPr>
        <w:t> :</w:t>
      </w:r>
      <w:r w:rsidR="0009382E">
        <w:rPr>
          <w:lang w:val="fr-CA"/>
        </w:rPr>
        <w:t> </w:t>
      </w:r>
      <w:r w:rsidRPr="00593AA6">
        <w:rPr>
          <w:lang w:val="fr-CA"/>
        </w:rPr>
        <w:t>Procureure générale du Québec, Québec.</w:t>
      </w:r>
    </w:p>
    <w:p w14:paraId="49EA5016" w14:textId="7D48AE72" w:rsidR="00556CFA" w:rsidRPr="00593AA6" w:rsidRDefault="00CA08B5" w:rsidP="0009382E">
      <w:pPr>
        <w:pStyle w:val="SCCLawFirm"/>
        <w:spacing w:after="480"/>
        <w:rPr>
          <w:lang w:val="fr-CA"/>
        </w:rPr>
      </w:pPr>
      <w:r w:rsidRPr="00593AA6">
        <w:rPr>
          <w:lang w:val="fr-CA"/>
        </w:rPr>
        <w:tab/>
        <w:t>Procureurs de l</w:t>
      </w:r>
      <w:r w:rsidR="00546EA0" w:rsidRPr="00593AA6">
        <w:rPr>
          <w:lang w:val="fr-CA"/>
        </w:rPr>
        <w:t>’</w:t>
      </w:r>
      <w:r w:rsidRPr="00593AA6">
        <w:rPr>
          <w:lang w:val="fr-CA"/>
        </w:rPr>
        <w:t>intervenant le Fonds d</w:t>
      </w:r>
      <w:r w:rsidR="00546EA0" w:rsidRPr="00593AA6">
        <w:rPr>
          <w:lang w:val="fr-CA"/>
        </w:rPr>
        <w:t>’</w:t>
      </w:r>
      <w:r w:rsidRPr="00593AA6">
        <w:rPr>
          <w:lang w:val="fr-CA"/>
        </w:rPr>
        <w:t>action et d</w:t>
      </w:r>
      <w:r w:rsidR="00546EA0" w:rsidRPr="00593AA6">
        <w:rPr>
          <w:lang w:val="fr-CA"/>
        </w:rPr>
        <w:t>’</w:t>
      </w:r>
      <w:r w:rsidRPr="00593AA6">
        <w:rPr>
          <w:lang w:val="fr-CA"/>
        </w:rPr>
        <w:t xml:space="preserve">éducation juridiques pour les </w:t>
      </w:r>
      <w:r w:rsidRPr="00F218EA">
        <w:rPr>
          <w:lang w:val="fr-CA"/>
        </w:rPr>
        <w:t>femmes inc.</w:t>
      </w:r>
      <w:r w:rsidR="002167F7" w:rsidRPr="00F218EA">
        <w:rPr>
          <w:lang w:val="fr-CA"/>
        </w:rPr>
        <w:t> :</w:t>
      </w:r>
      <w:r w:rsidR="0009382E" w:rsidRPr="00F218EA">
        <w:rPr>
          <w:lang w:val="fr-CA"/>
        </w:rPr>
        <w:t> </w:t>
      </w:r>
      <w:r w:rsidRPr="00F218EA">
        <w:rPr>
          <w:lang w:val="fr-CA"/>
        </w:rPr>
        <w:t>Cavalluzzo, Toronto.</w:t>
      </w:r>
    </w:p>
    <w:p w14:paraId="0B96BDCC" w14:textId="36C02D98" w:rsidR="00556CFA" w:rsidRPr="00593AA6" w:rsidRDefault="00CA08B5" w:rsidP="0009382E">
      <w:pPr>
        <w:pStyle w:val="SCCLawFirm"/>
        <w:spacing w:after="480"/>
        <w:rPr>
          <w:lang w:val="fr-CA"/>
        </w:rPr>
      </w:pPr>
      <w:r w:rsidRPr="00593AA6">
        <w:rPr>
          <w:lang w:val="fr-CA"/>
        </w:rPr>
        <w:tab/>
        <w:t>Procureurs de l</w:t>
      </w:r>
      <w:r w:rsidR="00546EA0" w:rsidRPr="00593AA6">
        <w:rPr>
          <w:lang w:val="fr-CA"/>
        </w:rPr>
        <w:t>’</w:t>
      </w:r>
      <w:r w:rsidR="00EA3C4F">
        <w:rPr>
          <w:lang w:val="fr-CA"/>
        </w:rPr>
        <w:t>intervenante l’Alliance de la F</w:t>
      </w:r>
      <w:r w:rsidRPr="00593AA6">
        <w:rPr>
          <w:lang w:val="fr-CA"/>
        </w:rPr>
        <w:t>onction publique du Canada</w:t>
      </w:r>
      <w:r w:rsidR="002167F7">
        <w:rPr>
          <w:lang w:val="fr-CA"/>
        </w:rPr>
        <w:t> :</w:t>
      </w:r>
      <w:r w:rsidR="0009382E">
        <w:rPr>
          <w:lang w:val="fr-CA"/>
        </w:rPr>
        <w:t> </w:t>
      </w:r>
      <w:r w:rsidRPr="00593AA6">
        <w:rPr>
          <w:lang w:val="fr-CA"/>
        </w:rPr>
        <w:t>Raven, Cameron, Ballantyne &amp; Yazbeck, Ottawa.</w:t>
      </w:r>
    </w:p>
    <w:p w14:paraId="42C9A355" w14:textId="0BB072FC" w:rsidR="00556CFA" w:rsidRPr="00796CE1" w:rsidRDefault="00CA08B5">
      <w:pPr>
        <w:pStyle w:val="SCCLawFirm"/>
        <w:rPr>
          <w:lang w:val="fr-CA"/>
        </w:rPr>
      </w:pPr>
      <w:r w:rsidRPr="00593AA6">
        <w:rPr>
          <w:lang w:val="fr-CA"/>
        </w:rPr>
        <w:tab/>
        <w:t>Procureurs de l</w:t>
      </w:r>
      <w:r w:rsidR="00546EA0" w:rsidRPr="00593AA6">
        <w:rPr>
          <w:lang w:val="fr-CA"/>
        </w:rPr>
        <w:t>’</w:t>
      </w:r>
      <w:r w:rsidRPr="00593AA6">
        <w:rPr>
          <w:lang w:val="fr-CA"/>
        </w:rPr>
        <w:t>in</w:t>
      </w:r>
      <w:r w:rsidR="00EA3C4F">
        <w:rPr>
          <w:lang w:val="fr-CA"/>
        </w:rPr>
        <w:t>tervenante la Fédération de la police n</w:t>
      </w:r>
      <w:r w:rsidRPr="00593AA6">
        <w:rPr>
          <w:lang w:val="fr-CA"/>
        </w:rPr>
        <w:t>ationale</w:t>
      </w:r>
      <w:r w:rsidR="002167F7">
        <w:rPr>
          <w:lang w:val="fr-CA"/>
        </w:rPr>
        <w:t> :</w:t>
      </w:r>
      <w:r w:rsidR="0009382E">
        <w:rPr>
          <w:lang w:val="fr-CA"/>
        </w:rPr>
        <w:t> </w:t>
      </w:r>
      <w:r w:rsidRPr="00593AA6">
        <w:rPr>
          <w:lang w:val="fr-CA"/>
        </w:rPr>
        <w:t>Nelligan O</w:t>
      </w:r>
      <w:r w:rsidR="00546EA0" w:rsidRPr="00593AA6">
        <w:rPr>
          <w:lang w:val="fr-CA"/>
        </w:rPr>
        <w:t>’</w:t>
      </w:r>
      <w:r w:rsidRPr="00593AA6">
        <w:rPr>
          <w:lang w:val="fr-CA"/>
        </w:rPr>
        <w:t>Brien Payne, Ottawa.</w:t>
      </w:r>
    </w:p>
    <w:sectPr w:rsidR="00556CFA" w:rsidRPr="00796CE1"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79EB1" w14:textId="77777777" w:rsidR="00E1044F" w:rsidRDefault="00E1044F">
      <w:r>
        <w:separator/>
      </w:r>
    </w:p>
  </w:endnote>
  <w:endnote w:type="continuationSeparator" w:id="0">
    <w:p w14:paraId="27040F06" w14:textId="77777777" w:rsidR="00E1044F" w:rsidRDefault="00E1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D66B4" w14:textId="77777777" w:rsidR="00FD349F" w:rsidRDefault="00FD3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11213" w14:textId="77777777" w:rsidR="00FD349F" w:rsidRDefault="00FD34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85A53" w14:textId="77777777" w:rsidR="00FD349F" w:rsidRDefault="00FD3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E7718" w14:textId="77777777" w:rsidR="00E1044F" w:rsidRDefault="00E1044F">
      <w:r>
        <w:separator/>
      </w:r>
    </w:p>
  </w:footnote>
  <w:footnote w:type="continuationSeparator" w:id="0">
    <w:p w14:paraId="294593F8" w14:textId="77777777" w:rsidR="00E1044F" w:rsidRDefault="00E1044F">
      <w:r>
        <w:continuationSeparator/>
      </w:r>
    </w:p>
  </w:footnote>
  <w:footnote w:id="1">
    <w:p w14:paraId="0D34B6BD" w14:textId="35F1AE72" w:rsidR="00FD349F" w:rsidRPr="00CE212F" w:rsidRDefault="00FD349F">
      <w:pPr>
        <w:pStyle w:val="FootnoteText"/>
        <w:rPr>
          <w:lang w:val="fr-CA"/>
        </w:rPr>
      </w:pPr>
      <w:r>
        <w:rPr>
          <w:rStyle w:val="FootnoteReference"/>
        </w:rPr>
        <w:footnoteRef/>
      </w:r>
      <w:r w:rsidRPr="00CE212F">
        <w:rPr>
          <w:lang w:val="fr-CA"/>
        </w:rPr>
        <w:t xml:space="preserve"> </w:t>
      </w:r>
      <w:r w:rsidRPr="00DE3567">
        <w:rPr>
          <w:i/>
          <w:lang w:val="fr-CA"/>
        </w:rPr>
        <w:t>Loi sur la</w:t>
      </w:r>
      <w:r>
        <w:rPr>
          <w:i/>
          <w:lang w:val="fr-CA"/>
        </w:rPr>
        <w:t xml:space="preserve"> pension de retraite de la Gendarmerie royale du Canada</w:t>
      </w:r>
      <w:r w:rsidRPr="00DE3567">
        <w:rPr>
          <w:lang w:val="fr-CA"/>
        </w:rPr>
        <w:t xml:space="preserve">, </w:t>
      </w:r>
      <w:r>
        <w:rPr>
          <w:lang w:val="fr-CA"/>
        </w:rPr>
        <w:t>L.R.C. 1985, c. </w:t>
      </w:r>
      <w:r w:rsidRPr="00DE3567">
        <w:rPr>
          <w:lang w:val="fr-CA"/>
        </w:rPr>
        <w:t>R</w:t>
      </w:r>
      <w:r>
        <w:rPr>
          <w:lang w:val="fr-CA"/>
        </w:rPr>
        <w:noBreakHyphen/>
      </w:r>
      <w:r w:rsidRPr="00DE3567">
        <w:rPr>
          <w:lang w:val="fr-CA"/>
        </w:rPr>
        <w:t>11</w:t>
      </w:r>
      <w:r>
        <w:rPr>
          <w:lang w:val="fr-CA"/>
        </w:rPr>
        <w:t xml:space="preserve"> </w:t>
      </w:r>
      <w:r>
        <w:rPr>
          <w:lang w:val="fr-CA"/>
        </w:rPr>
        <w:br/>
        <w:t>(« </w:t>
      </w:r>
      <w:r w:rsidRPr="000751AF">
        <w:rPr>
          <w:i/>
          <w:lang w:val="fr-CA"/>
        </w:rPr>
        <w:t>Loi</w:t>
      </w:r>
      <w:r>
        <w:rPr>
          <w:lang w:val="fr-CA"/>
        </w:rPr>
        <w:t> »)</w:t>
      </w:r>
      <w:r w:rsidRPr="00DE3567">
        <w:rPr>
          <w:lang w:val="fr-CA"/>
        </w:rPr>
        <w:t xml:space="preserve">; </w:t>
      </w:r>
      <w:r>
        <w:rPr>
          <w:lang w:val="fr-CA"/>
        </w:rPr>
        <w:t xml:space="preserve">et </w:t>
      </w:r>
      <w:r w:rsidRPr="001A6D7B">
        <w:rPr>
          <w:i/>
          <w:lang w:val="fr-CA"/>
        </w:rPr>
        <w:t>Règlement sur la pension de retraite de la Gendarmerie royale du Canada</w:t>
      </w:r>
      <w:r w:rsidRPr="001A6D7B">
        <w:rPr>
          <w:lang w:val="fr-CA"/>
        </w:rPr>
        <w:t>, C.</w:t>
      </w:r>
      <w:r>
        <w:rPr>
          <w:lang w:val="fr-CA"/>
        </w:rPr>
        <w:t>R.C., c. </w:t>
      </w:r>
      <w:r w:rsidRPr="00DE3567">
        <w:rPr>
          <w:lang w:val="fr-CA"/>
        </w:rPr>
        <w:t>1393</w:t>
      </w:r>
      <w:r>
        <w:rPr>
          <w:lang w:val="fr-CA"/>
        </w:rPr>
        <w:t xml:space="preserve"> (« </w:t>
      </w:r>
      <w:r w:rsidRPr="000751AF">
        <w:rPr>
          <w:i/>
          <w:lang w:val="fr-CA"/>
        </w:rPr>
        <w:t>Règlement</w:t>
      </w:r>
      <w:r>
        <w:rPr>
          <w:lang w:val="fr-CA"/>
        </w:rPr>
        <w:t> »), connexe</w:t>
      </w:r>
      <w:r w:rsidRPr="00DE3567">
        <w:rPr>
          <w:lang w:val="fr-CA"/>
        </w:rPr>
        <w:t xml:space="preserve">. </w:t>
      </w:r>
      <w:r>
        <w:rPr>
          <w:lang w:val="fr-CA"/>
        </w:rPr>
        <w:t xml:space="preserve">Sauf lorsqu’il est nécessaire de faire une distinction entre la </w:t>
      </w:r>
      <w:r>
        <w:rPr>
          <w:i/>
          <w:lang w:val="fr-CA"/>
        </w:rPr>
        <w:t xml:space="preserve">Loi </w:t>
      </w:r>
      <w:r>
        <w:rPr>
          <w:lang w:val="fr-CA"/>
        </w:rPr>
        <w:t xml:space="preserve">et le </w:t>
      </w:r>
      <w:r>
        <w:rPr>
          <w:i/>
          <w:lang w:val="fr-CA"/>
        </w:rPr>
        <w:t>Règlement</w:t>
      </w:r>
      <w:r>
        <w:rPr>
          <w:lang w:val="fr-CA"/>
        </w:rPr>
        <w:t>, je les appellerai tous les deux le « régime de pension » ou le « régime » dans les présents motifs.</w:t>
      </w:r>
    </w:p>
  </w:footnote>
  <w:footnote w:id="2">
    <w:p w14:paraId="00F5B9E5" w14:textId="7DF00A0F" w:rsidR="00FD349F" w:rsidRPr="00CE212F" w:rsidRDefault="00FD349F">
      <w:pPr>
        <w:pStyle w:val="FootnoteText"/>
        <w:rPr>
          <w:lang w:val="fr-CA"/>
        </w:rPr>
      </w:pPr>
      <w:r>
        <w:rPr>
          <w:rStyle w:val="FootnoteReference"/>
        </w:rPr>
        <w:footnoteRef/>
      </w:r>
      <w:r w:rsidRPr="00CE212F">
        <w:rPr>
          <w:lang w:val="fr-CA"/>
        </w:rPr>
        <w:t xml:space="preserve"> </w:t>
      </w:r>
      <w:r>
        <w:rPr>
          <w:lang w:val="fr-CA"/>
        </w:rPr>
        <w:t xml:space="preserve"> La formule utilisée est la suivante :</w:t>
      </w:r>
      <w:r w:rsidRPr="00DE3567">
        <w:rPr>
          <w:lang w:val="fr-CA"/>
        </w:rPr>
        <w:t xml:space="preserve"> 2</w:t>
      </w:r>
      <w:r>
        <w:rPr>
          <w:lang w:val="fr-CA"/>
        </w:rPr>
        <w:t> </w:t>
      </w:r>
      <w:r w:rsidRPr="00DE3567">
        <w:rPr>
          <w:lang w:val="fr-CA"/>
        </w:rPr>
        <w:t xml:space="preserve">% </w:t>
      </w:r>
      <w:r w:rsidRPr="000751AF">
        <w:rPr>
          <w:lang w:val="fr-CA"/>
        </w:rPr>
        <w:t>×</w:t>
      </w:r>
      <w:r w:rsidRPr="00DE3567">
        <w:rPr>
          <w:lang w:val="fr-CA"/>
        </w:rPr>
        <w:t xml:space="preserve"> </w:t>
      </w:r>
      <w:r>
        <w:rPr>
          <w:lang w:val="fr-CA"/>
        </w:rPr>
        <w:t>années de service ouvrant droit à pension</w:t>
      </w:r>
      <w:r w:rsidRPr="00DE3567">
        <w:rPr>
          <w:lang w:val="fr-CA"/>
        </w:rPr>
        <w:t xml:space="preserve"> </w:t>
      </w:r>
      <w:r w:rsidRPr="000751AF">
        <w:rPr>
          <w:lang w:val="fr-CA"/>
        </w:rPr>
        <w:t>×</w:t>
      </w:r>
      <w:r w:rsidRPr="00DE3567">
        <w:rPr>
          <w:lang w:val="fr-CA"/>
        </w:rPr>
        <w:t xml:space="preserve"> </w:t>
      </w:r>
      <w:r>
        <w:rPr>
          <w:lang w:val="fr-CA"/>
        </w:rPr>
        <w:t>rémunération moyenne annuelle</w:t>
      </w:r>
      <w:r w:rsidRPr="00DE3567">
        <w:rPr>
          <w:lang w:val="fr-CA"/>
        </w:rPr>
        <w:t>.</w:t>
      </w:r>
      <w:r>
        <w:rPr>
          <w:lang w:val="fr-CA"/>
        </w:rPr>
        <w:t xml:space="preserve"> Pour calculer la rémunération moyenne annuelle, on utilise les cinq années consécutives à rémunération la plus élevée du service ouvrant droit à pension</w:t>
      </w:r>
      <w:r w:rsidRPr="00DE3567">
        <w:rPr>
          <w:lang w:val="fr-CA"/>
        </w:rPr>
        <w:t xml:space="preserve"> (</w:t>
      </w:r>
      <w:r>
        <w:rPr>
          <w:lang w:val="fr-CA"/>
        </w:rPr>
        <w:t>d.a., vol. V</w:t>
      </w:r>
      <w:r w:rsidRPr="00DE3567">
        <w:rPr>
          <w:lang w:val="fr-CA"/>
        </w:rPr>
        <w:t xml:space="preserve">, </w:t>
      </w:r>
      <w:r>
        <w:rPr>
          <w:lang w:val="fr-CA"/>
        </w:rPr>
        <w:t>p. 805</w:t>
      </w:r>
      <w:r>
        <w:rPr>
          <w:lang w:val="fr-CA"/>
        </w:rPr>
        <w:noBreakHyphen/>
        <w:t>80</w:t>
      </w:r>
      <w:r w:rsidRPr="00DE3567">
        <w:rPr>
          <w:lang w:val="fr-CA"/>
        </w:rPr>
        <w:t>6).</w:t>
      </w:r>
    </w:p>
  </w:footnote>
  <w:footnote w:id="3">
    <w:p w14:paraId="09F690AF" w14:textId="4D385195" w:rsidR="00FD349F" w:rsidRPr="00192947" w:rsidRDefault="00FD349F">
      <w:pPr>
        <w:pStyle w:val="FootnoteText"/>
        <w:rPr>
          <w:lang w:val="fr-CA"/>
        </w:rPr>
      </w:pPr>
      <w:r>
        <w:rPr>
          <w:rStyle w:val="FootnoteReference"/>
        </w:rPr>
        <w:footnoteRef/>
      </w:r>
      <w:r w:rsidRPr="00192947">
        <w:rPr>
          <w:lang w:val="fr-CA"/>
        </w:rPr>
        <w:t xml:space="preserve"> </w:t>
      </w:r>
      <w:r>
        <w:rPr>
          <w:lang w:val="fr-CA"/>
        </w:rPr>
        <w:t>L.R.C.</w:t>
      </w:r>
      <w:r w:rsidRPr="00DE3567">
        <w:rPr>
          <w:lang w:val="fr-CA"/>
        </w:rPr>
        <w:t xml:space="preserve"> 1985, c</w:t>
      </w:r>
      <w:r>
        <w:rPr>
          <w:lang w:val="fr-CA"/>
        </w:rPr>
        <w:t>. </w:t>
      </w:r>
      <w:r w:rsidRPr="00DE3567">
        <w:rPr>
          <w:lang w:val="fr-CA"/>
        </w:rPr>
        <w:t>1 (5</w:t>
      </w:r>
      <w:r>
        <w:rPr>
          <w:vertAlign w:val="superscript"/>
          <w:lang w:val="fr-CA"/>
        </w:rPr>
        <w:t>e</w:t>
      </w:r>
      <w:r w:rsidRPr="00DE3567">
        <w:rPr>
          <w:lang w:val="fr-CA"/>
        </w:rPr>
        <w:t xml:space="preserve"> </w:t>
      </w:r>
      <w:r>
        <w:rPr>
          <w:lang w:val="fr-CA"/>
        </w:rPr>
        <w:t>s</w:t>
      </w:r>
      <w:r w:rsidRPr="00DE3567">
        <w:rPr>
          <w:lang w:val="fr-CA"/>
        </w:rPr>
        <w:t>upp</w:t>
      </w:r>
      <w:r>
        <w:rPr>
          <w:lang w:val="fr-CA"/>
        </w:rPr>
        <w:t>l</w:t>
      </w:r>
      <w:r w:rsidRPr="00DE3567">
        <w:rPr>
          <w:lang w:val="fr-CA"/>
        </w:rPr>
        <w:t xml:space="preserve">.); </w:t>
      </w:r>
      <w:r>
        <w:rPr>
          <w:lang w:val="fr-CA"/>
        </w:rPr>
        <w:t>et C.R.C., c. </w:t>
      </w:r>
      <w:r w:rsidRPr="00DE3567">
        <w:rPr>
          <w:lang w:val="fr-CA"/>
        </w:rPr>
        <w:t xml:space="preserve">945, </w:t>
      </w:r>
      <w:r>
        <w:rPr>
          <w:lang w:val="fr-CA"/>
        </w:rPr>
        <w:t>respectivement</w:t>
      </w:r>
      <w:r w:rsidRPr="00DE3567">
        <w:rPr>
          <w:lang w:val="fr-CA"/>
        </w:rPr>
        <w:t>.</w:t>
      </w:r>
    </w:p>
  </w:footnote>
  <w:footnote w:id="4">
    <w:p w14:paraId="37754E49" w14:textId="3AFBD76B" w:rsidR="00FD349F" w:rsidRPr="003D7C9E" w:rsidRDefault="00FD349F">
      <w:pPr>
        <w:pStyle w:val="FootnoteText"/>
        <w:rPr>
          <w:lang w:val="fr-CA"/>
        </w:rPr>
      </w:pPr>
      <w:r>
        <w:rPr>
          <w:rStyle w:val="FootnoteReference"/>
        </w:rPr>
        <w:footnoteRef/>
      </w:r>
      <w:r w:rsidRPr="003D7C9E">
        <w:rPr>
          <w:lang w:val="fr-CA"/>
        </w:rPr>
        <w:t xml:space="preserve"> </w:t>
      </w:r>
      <w:r>
        <w:rPr>
          <w:lang w:val="fr-CA"/>
        </w:rPr>
        <w:t xml:space="preserve"> </w:t>
      </w:r>
      <w:r w:rsidRPr="0052018F">
        <w:rPr>
          <w:lang w:val="fr-CA"/>
        </w:rPr>
        <w:t xml:space="preserve">Le </w:t>
      </w:r>
      <w:r w:rsidRPr="0052018F">
        <w:rPr>
          <w:i/>
          <w:iCs/>
          <w:lang w:val="fr-CA"/>
        </w:rPr>
        <w:t>Règlement</w:t>
      </w:r>
      <w:r w:rsidRPr="0052018F">
        <w:rPr>
          <w:lang w:val="fr-CA"/>
        </w:rPr>
        <w:t xml:space="preserve"> emploie l’expression « nombre normal d’heures de travail », qui est fixé à 40 heures par semaine.</w:t>
      </w:r>
    </w:p>
  </w:footnote>
  <w:footnote w:id="5">
    <w:p w14:paraId="4F226C56" w14:textId="71DF5ACB" w:rsidR="00FD349F" w:rsidRPr="00367A7B" w:rsidRDefault="00FD349F" w:rsidP="00367A7B">
      <w:pPr>
        <w:pStyle w:val="FootnoteText"/>
        <w:tabs>
          <w:tab w:val="clear" w:pos="180"/>
        </w:tabs>
        <w:ind w:left="270" w:hanging="270"/>
        <w:rPr>
          <w:lang w:val="fr-CA"/>
        </w:rPr>
      </w:pPr>
      <w:r>
        <w:rPr>
          <w:rStyle w:val="FootnoteReference"/>
        </w:rPr>
        <w:footnoteRef/>
      </w:r>
      <w:r w:rsidRPr="00367A7B">
        <w:rPr>
          <w:lang w:val="fr-CA"/>
        </w:rPr>
        <w:t xml:space="preserve"> </w:t>
      </w:r>
      <w:r>
        <w:rPr>
          <w:i/>
          <w:lang w:val="fr-CA"/>
        </w:rPr>
        <w:t>Colombie</w:t>
      </w:r>
      <w:r>
        <w:rPr>
          <w:i/>
          <w:lang w:val="fr-CA"/>
        </w:rPr>
        <w:noBreakHyphen/>
        <w:t>Britannique</w:t>
      </w:r>
      <w:r w:rsidRPr="00DE3567">
        <w:rPr>
          <w:i/>
          <w:lang w:val="fr-CA"/>
        </w:rPr>
        <w:t xml:space="preserve"> (Public Service Employee Relations Commission) </w:t>
      </w:r>
      <w:r>
        <w:rPr>
          <w:i/>
          <w:lang w:val="fr-CA"/>
        </w:rPr>
        <w:t>c</w:t>
      </w:r>
      <w:r w:rsidRPr="00DE3567">
        <w:rPr>
          <w:i/>
          <w:lang w:val="fr-CA"/>
        </w:rPr>
        <w:t>. BC</w:t>
      </w:r>
      <w:r>
        <w:rPr>
          <w:i/>
          <w:lang w:val="fr-CA"/>
        </w:rPr>
        <w:t>GS</w:t>
      </w:r>
      <w:r w:rsidRPr="00DE3567">
        <w:rPr>
          <w:i/>
          <w:lang w:val="fr-CA"/>
        </w:rPr>
        <w:t>EU</w:t>
      </w:r>
      <w:r>
        <w:rPr>
          <w:lang w:val="fr-CA"/>
        </w:rPr>
        <w:t>, [1999] 3 </w:t>
      </w:r>
      <w:r w:rsidRPr="00DE3567">
        <w:rPr>
          <w:lang w:val="fr-CA"/>
        </w:rPr>
        <w:t>R.</w:t>
      </w:r>
      <w:r>
        <w:rPr>
          <w:lang w:val="fr-CA"/>
        </w:rPr>
        <w:t>C.S. </w:t>
      </w:r>
      <w:r w:rsidRPr="00DE3567">
        <w:rPr>
          <w:lang w:val="fr-CA"/>
        </w:rPr>
        <w:t>3</w:t>
      </w:r>
      <w:r>
        <w:rPr>
          <w:lang w:val="fr-CA"/>
        </w:rPr>
        <w:t xml:space="preserve"> </w:t>
      </w:r>
      <w:r w:rsidRPr="00DE3567">
        <w:rPr>
          <w:lang w:val="fr-CA"/>
        </w:rPr>
        <w:t>(</w:t>
      </w:r>
      <w:r>
        <w:rPr>
          <w:lang w:val="fr-CA"/>
        </w:rPr>
        <w:t>« </w:t>
      </w:r>
      <w:r w:rsidRPr="00DE3567">
        <w:rPr>
          <w:i/>
          <w:lang w:val="fr-CA"/>
        </w:rPr>
        <w:t>Meiorin</w:t>
      </w:r>
      <w:r>
        <w:rPr>
          <w:lang w:val="fr-CA"/>
        </w:rPr>
        <w:t> »</w:t>
      </w:r>
      <w:r w:rsidRPr="00DE3567">
        <w:rPr>
          <w:lang w:val="fr-CA"/>
        </w:rPr>
        <w:t xml:space="preserve">), </w:t>
      </w:r>
      <w:r>
        <w:rPr>
          <w:lang w:val="fr-CA"/>
        </w:rPr>
        <w:t>par. </w:t>
      </w:r>
      <w:r w:rsidRPr="00DE3567">
        <w:rPr>
          <w:lang w:val="fr-CA"/>
        </w:rPr>
        <w:t>29</w:t>
      </w:r>
      <w:r>
        <w:rPr>
          <w:lang w:val="fr-CA"/>
        </w:rPr>
        <w:t xml:space="preserve">, citant </w:t>
      </w:r>
      <w:r w:rsidRPr="00DE3567">
        <w:rPr>
          <w:i/>
          <w:iCs/>
          <w:lang w:val="fr-CA" w:bidi="en-US"/>
        </w:rPr>
        <w:t>Canada (</w:t>
      </w:r>
      <w:r>
        <w:rPr>
          <w:i/>
          <w:iCs/>
          <w:lang w:val="fr-CA" w:bidi="en-US"/>
        </w:rPr>
        <w:t>Commission des droits de la personne</w:t>
      </w:r>
      <w:r w:rsidRPr="00DE3567">
        <w:rPr>
          <w:i/>
          <w:iCs/>
          <w:lang w:val="fr-CA" w:bidi="en-US"/>
        </w:rPr>
        <w:t xml:space="preserve">) </w:t>
      </w:r>
      <w:r>
        <w:rPr>
          <w:i/>
          <w:iCs/>
          <w:lang w:val="fr-CA" w:bidi="en-US"/>
        </w:rPr>
        <w:t>c</w:t>
      </w:r>
      <w:r w:rsidRPr="00DE3567">
        <w:rPr>
          <w:i/>
          <w:iCs/>
          <w:lang w:val="fr-CA" w:bidi="en-US"/>
        </w:rPr>
        <w:t>. Taylor</w:t>
      </w:r>
      <w:r w:rsidRPr="0004493C">
        <w:rPr>
          <w:iCs/>
          <w:lang w:val="fr-CA" w:bidi="en-US"/>
        </w:rPr>
        <w:t>,</w:t>
      </w:r>
      <w:r w:rsidRPr="00DE3567">
        <w:rPr>
          <w:i/>
          <w:iCs/>
          <w:lang w:val="fr-CA" w:bidi="en-US"/>
        </w:rPr>
        <w:t xml:space="preserve"> </w:t>
      </w:r>
      <w:r>
        <w:rPr>
          <w:iCs/>
          <w:lang w:val="fr-CA" w:bidi="en-US"/>
        </w:rPr>
        <w:t>[1990] 3 </w:t>
      </w:r>
      <w:r w:rsidRPr="00DE3567">
        <w:rPr>
          <w:iCs/>
          <w:lang w:val="fr-CA" w:bidi="en-US"/>
        </w:rPr>
        <w:t>R.</w:t>
      </w:r>
      <w:r>
        <w:rPr>
          <w:iCs/>
          <w:lang w:val="fr-CA" w:bidi="en-US"/>
        </w:rPr>
        <w:t>C.S. </w:t>
      </w:r>
      <w:r w:rsidRPr="00DE3567">
        <w:rPr>
          <w:iCs/>
          <w:lang w:val="fr-CA" w:bidi="en-US"/>
        </w:rPr>
        <w:t>892</w:t>
      </w:r>
      <w:r w:rsidRPr="00DE3567">
        <w:rPr>
          <w:lang w:val="fr-CA" w:bidi="en-US"/>
        </w:rPr>
        <w:t xml:space="preserve">, </w:t>
      </w:r>
      <w:r>
        <w:rPr>
          <w:lang w:val="fr-CA" w:bidi="en-US"/>
        </w:rPr>
        <w:t>p. </w:t>
      </w:r>
      <w:r w:rsidRPr="00DE3567">
        <w:rPr>
          <w:lang w:val="fr-CA" w:bidi="en-US"/>
        </w:rPr>
        <w:t>931.</w:t>
      </w:r>
    </w:p>
  </w:footnote>
  <w:footnote w:id="6">
    <w:p w14:paraId="3AAA6CEB" w14:textId="59925152" w:rsidR="002A69CB" w:rsidRPr="002A69CB" w:rsidRDefault="002A69CB">
      <w:pPr>
        <w:pStyle w:val="FootnoteText"/>
        <w:rPr>
          <w:lang w:val="fr-CA"/>
        </w:rPr>
      </w:pPr>
      <w:r>
        <w:rPr>
          <w:rStyle w:val="FootnoteReference"/>
        </w:rPr>
        <w:footnoteRef/>
      </w:r>
      <w:r w:rsidRPr="002A69CB">
        <w:rPr>
          <w:lang w:val="fr-CA"/>
        </w:rPr>
        <w:t xml:space="preserve"> </w:t>
      </w:r>
      <w:r>
        <w:rPr>
          <w:lang w:val="fr-CA"/>
        </w:rPr>
        <w:t xml:space="preserve"> Dans son avis de question constitutionnelle, M</w:t>
      </w:r>
      <w:r w:rsidRPr="00966088">
        <w:rPr>
          <w:vertAlign w:val="superscript"/>
          <w:lang w:val="fr-CA"/>
        </w:rPr>
        <w:t>me</w:t>
      </w:r>
      <w:r>
        <w:rPr>
          <w:vertAlign w:val="superscript"/>
          <w:lang w:val="fr-CA"/>
        </w:rPr>
        <w:t> </w:t>
      </w:r>
      <w:r>
        <w:rPr>
          <w:lang w:val="fr-CA"/>
        </w:rPr>
        <w:t>Fraser a désigné le « </w:t>
      </w:r>
      <w:r w:rsidRPr="00DC3E33">
        <w:rPr>
          <w:lang w:val="fr-CA"/>
        </w:rPr>
        <w:t xml:space="preserve">statut de parent » comme étant le motif analogue pertinent suivant le </w:t>
      </w:r>
      <w:r>
        <w:rPr>
          <w:lang w:val="fr-CA"/>
        </w:rPr>
        <w:t>par. </w:t>
      </w:r>
      <w:r w:rsidRPr="00DC3E33">
        <w:rPr>
          <w:lang w:val="fr-CA"/>
        </w:rPr>
        <w:t>15(1). De</w:t>
      </w:r>
      <w:r>
        <w:rPr>
          <w:lang w:val="fr-CA"/>
        </w:rPr>
        <w:t>vant notre Cour, elle a affirmé que le motif applicable était celui du « </w:t>
      </w:r>
      <w:r w:rsidRPr="00DF56AD">
        <w:rPr>
          <w:lang w:val="fr-CA"/>
        </w:rPr>
        <w:t>statut de famille</w:t>
      </w:r>
      <w:r>
        <w:rPr>
          <w:lang w:val="fr-CA"/>
        </w:rPr>
        <w:t> ».</w:t>
      </w:r>
    </w:p>
  </w:footnote>
  <w:footnote w:id="7">
    <w:p w14:paraId="6FA131CD" w14:textId="0F7CF278" w:rsidR="00F37892" w:rsidRPr="00F37892" w:rsidRDefault="00F37892">
      <w:pPr>
        <w:pStyle w:val="FootnoteText"/>
        <w:rPr>
          <w:lang w:val="fr-CA"/>
        </w:rPr>
      </w:pPr>
      <w:r>
        <w:rPr>
          <w:rStyle w:val="FootnoteReference"/>
        </w:rPr>
        <w:footnoteRef/>
      </w:r>
      <w:r w:rsidRPr="00F37892">
        <w:rPr>
          <w:lang w:val="fr-CA"/>
        </w:rPr>
        <w:t xml:space="preserve"> </w:t>
      </w:r>
      <w:r>
        <w:rPr>
          <w:lang w:val="fr-CA"/>
        </w:rPr>
        <w:t xml:space="preserve"> </w:t>
      </w:r>
      <w:r w:rsidRPr="00050E24">
        <w:rPr>
          <w:lang w:val="fr-CA"/>
        </w:rPr>
        <w:t>À l’audience, on a demandé à l’avocat de</w:t>
      </w:r>
      <w:r w:rsidRPr="00050E24">
        <w:rPr>
          <w:color w:val="000000"/>
          <w:shd w:val="clear" w:color="auto" w:fill="FFFFFF"/>
          <w:lang w:val="fr-CA"/>
        </w:rPr>
        <w:t xml:space="preserve"> M</w:t>
      </w:r>
      <w:r w:rsidRPr="00050E24">
        <w:rPr>
          <w:color w:val="000000"/>
          <w:shd w:val="clear" w:color="auto" w:fill="FFFFFF"/>
          <w:vertAlign w:val="superscript"/>
          <w:lang w:val="fr-CA"/>
        </w:rPr>
        <w:t>me</w:t>
      </w:r>
      <w:r w:rsidRPr="00050E24">
        <w:rPr>
          <w:color w:val="000000"/>
          <w:shd w:val="clear" w:color="auto" w:fill="FFFFFF"/>
          <w:lang w:val="fr-CA"/>
        </w:rPr>
        <w:t xml:space="preserve"> Fraser s’il était nécessaire que la Cour reconnaisse </w:t>
      </w:r>
      <w:r w:rsidRPr="00DF56AD">
        <w:rPr>
          <w:color w:val="000000"/>
          <w:shd w:val="clear" w:color="auto" w:fill="FFFFFF"/>
          <w:lang w:val="fr-CA"/>
        </w:rPr>
        <w:t>le statut de famille</w:t>
      </w:r>
      <w:r>
        <w:rPr>
          <w:color w:val="000000"/>
          <w:shd w:val="clear" w:color="auto" w:fill="FFFFFF"/>
          <w:lang w:val="fr-CA"/>
        </w:rPr>
        <w:t xml:space="preserve"> </w:t>
      </w:r>
      <w:r w:rsidRPr="00050E24">
        <w:rPr>
          <w:color w:val="000000"/>
          <w:shd w:val="clear" w:color="auto" w:fill="FFFFFF"/>
          <w:lang w:val="fr-CA"/>
        </w:rPr>
        <w:t xml:space="preserve">ou </w:t>
      </w:r>
      <w:r w:rsidRPr="00DF56AD">
        <w:rPr>
          <w:color w:val="000000"/>
          <w:shd w:val="clear" w:color="auto" w:fill="FFFFFF"/>
          <w:lang w:val="fr-CA"/>
        </w:rPr>
        <w:t>le statut de parent</w:t>
      </w:r>
      <w:r w:rsidRPr="00050E24">
        <w:rPr>
          <w:color w:val="000000"/>
          <w:shd w:val="clear" w:color="auto" w:fill="FFFFFF"/>
          <w:lang w:val="fr-CA"/>
        </w:rPr>
        <w:t xml:space="preserve"> comme motif analogue à ceux énumérés au </w:t>
      </w:r>
      <w:r>
        <w:rPr>
          <w:color w:val="000000"/>
          <w:shd w:val="clear" w:color="auto" w:fill="FFFFFF"/>
          <w:lang w:val="fr-CA"/>
        </w:rPr>
        <w:t>par. </w:t>
      </w:r>
      <w:r w:rsidRPr="00050E24">
        <w:rPr>
          <w:color w:val="000000"/>
          <w:shd w:val="clear" w:color="auto" w:fill="FFFFFF"/>
          <w:lang w:val="fr-CA"/>
        </w:rPr>
        <w:t xml:space="preserve">15(1) (transcription, </w:t>
      </w:r>
      <w:r>
        <w:rPr>
          <w:color w:val="000000"/>
          <w:shd w:val="clear" w:color="auto" w:fill="FFFFFF"/>
          <w:lang w:val="fr-CA"/>
        </w:rPr>
        <w:t>p. </w:t>
      </w:r>
      <w:r w:rsidRPr="00050E24">
        <w:rPr>
          <w:color w:val="000000"/>
          <w:shd w:val="clear" w:color="auto" w:fill="FFFFFF"/>
          <w:lang w:val="fr-CA"/>
        </w:rPr>
        <w:t>36</w:t>
      </w:r>
      <w:r>
        <w:rPr>
          <w:color w:val="000000"/>
          <w:shd w:val="clear" w:color="auto" w:fill="FFFFFF"/>
          <w:lang w:val="fr-CA"/>
        </w:rPr>
        <w:noBreakHyphen/>
      </w:r>
      <w:r w:rsidRPr="00050E24">
        <w:rPr>
          <w:color w:val="000000"/>
          <w:shd w:val="clear" w:color="auto" w:fill="FFFFFF"/>
          <w:lang w:val="fr-CA"/>
        </w:rPr>
        <w:t>40). L’avocat a reconn</w:t>
      </w:r>
      <w:r w:rsidRPr="00DA42F6">
        <w:rPr>
          <w:color w:val="000000"/>
          <w:shd w:val="clear" w:color="auto" w:fill="FFFFFF"/>
          <w:lang w:val="fr-CA"/>
        </w:rPr>
        <w:t>u que [</w:t>
      </w:r>
      <w:r w:rsidRPr="00DA42F6">
        <w:rPr>
          <w:smallCaps/>
          <w:color w:val="000000"/>
          <w:shd w:val="clear" w:color="auto" w:fill="FFFFFF"/>
          <w:lang w:val="fr-CA"/>
        </w:rPr>
        <w:t>traduction</w:t>
      </w:r>
      <w:r w:rsidRPr="00DA42F6">
        <w:rPr>
          <w:color w:val="000000"/>
          <w:shd w:val="clear" w:color="auto" w:fill="FFFFFF"/>
          <w:lang w:val="fr-CA"/>
        </w:rPr>
        <w:t>] « [l’appel] pourrait être plaidé uniquement sur la base du motif fondé sur le</w:t>
      </w:r>
      <w:r>
        <w:rPr>
          <w:color w:val="000000"/>
          <w:shd w:val="clear" w:color="auto" w:fill="FFFFFF"/>
          <w:lang w:val="fr-CA"/>
        </w:rPr>
        <w:t xml:space="preserve"> sexe </w:t>
      </w:r>
      <w:r w:rsidRPr="00050E24">
        <w:rPr>
          <w:color w:val="000000"/>
          <w:shd w:val="clear" w:color="auto" w:fill="FFFFFF"/>
          <w:lang w:val="fr-CA"/>
        </w:rPr>
        <w:t xml:space="preserve">», sans toutefois renoncer à sa thèse sur </w:t>
      </w:r>
      <w:r w:rsidRPr="00DF56AD">
        <w:rPr>
          <w:color w:val="000000"/>
          <w:shd w:val="clear" w:color="auto" w:fill="FFFFFF"/>
          <w:lang w:val="fr-CA"/>
        </w:rPr>
        <w:t>le statut de famille</w:t>
      </w:r>
      <w:r>
        <w:rPr>
          <w:color w:val="000000"/>
          <w:shd w:val="clear" w:color="auto" w:fill="FFFFFF"/>
          <w:lang w:val="fr-CA"/>
        </w:rPr>
        <w:t xml:space="preserve"> </w:t>
      </w:r>
      <w:r w:rsidRPr="00887597">
        <w:rPr>
          <w:shd w:val="clear" w:color="auto" w:fill="FFFFFF"/>
          <w:lang w:val="fr-CA"/>
        </w:rPr>
        <w:t>(</w:t>
      </w:r>
      <w:r>
        <w:rPr>
          <w:shd w:val="clear" w:color="auto" w:fill="FFFFFF"/>
          <w:lang w:val="fr-CA"/>
        </w:rPr>
        <w:t>p. </w:t>
      </w:r>
      <w:r w:rsidRPr="00887597">
        <w:rPr>
          <w:shd w:val="clear" w:color="auto" w:fill="FFFFFF"/>
          <w:lang w:val="fr-CA"/>
        </w:rPr>
        <w:t xml:space="preserve">37). </w:t>
      </w:r>
      <w:r w:rsidRPr="00050E24">
        <w:rPr>
          <w:color w:val="000000"/>
          <w:shd w:val="clear" w:color="auto" w:fill="FFFFFF"/>
          <w:lang w:val="fr-CA"/>
        </w:rPr>
        <w:t>L’intervenant le Fonds d’action et d’éducation juridique</w:t>
      </w:r>
      <w:r>
        <w:rPr>
          <w:color w:val="000000"/>
          <w:shd w:val="clear" w:color="auto" w:fill="FFFFFF"/>
          <w:lang w:val="fr-CA"/>
        </w:rPr>
        <w:t>s</w:t>
      </w:r>
      <w:r w:rsidRPr="00050E24">
        <w:rPr>
          <w:color w:val="000000"/>
          <w:shd w:val="clear" w:color="auto" w:fill="FFFFFF"/>
          <w:lang w:val="fr-CA"/>
        </w:rPr>
        <w:t xml:space="preserve"> pour les femmes</w:t>
      </w:r>
      <w:r>
        <w:rPr>
          <w:color w:val="000000"/>
          <w:shd w:val="clear" w:color="auto" w:fill="FFFFFF"/>
          <w:lang w:val="fr-CA"/>
        </w:rPr>
        <w:t xml:space="preserve"> inc.</w:t>
      </w:r>
      <w:r w:rsidRPr="00050E24">
        <w:rPr>
          <w:color w:val="000000"/>
          <w:shd w:val="clear" w:color="auto" w:fill="FFFFFF"/>
          <w:lang w:val="fr-CA"/>
        </w:rPr>
        <w:t xml:space="preserve"> a fait valoir </w:t>
      </w:r>
      <w:r w:rsidR="00404130">
        <w:rPr>
          <w:color w:val="000000"/>
          <w:shd w:val="clear" w:color="auto" w:fill="FFFFFF"/>
          <w:lang w:val="fr-CA"/>
        </w:rPr>
        <w:t>que la Cour</w:t>
      </w:r>
      <w:r w:rsidRPr="00DA42F6">
        <w:rPr>
          <w:color w:val="000000"/>
          <w:shd w:val="clear" w:color="auto" w:fill="FFFFFF"/>
          <w:lang w:val="fr-CA"/>
        </w:rPr>
        <w:t xml:space="preserve"> « n’a pas besoin du</w:t>
      </w:r>
      <w:r w:rsidRPr="00050E24">
        <w:rPr>
          <w:color w:val="000000"/>
          <w:shd w:val="clear" w:color="auto" w:fill="FFFFFF"/>
          <w:lang w:val="fr-CA"/>
        </w:rPr>
        <w:t xml:space="preserve"> motif analogue</w:t>
      </w:r>
      <w:r>
        <w:rPr>
          <w:color w:val="000000"/>
          <w:shd w:val="clear" w:color="auto" w:fill="FFFFFF"/>
          <w:lang w:val="fr-CA"/>
        </w:rPr>
        <w:t xml:space="preserve"> </w:t>
      </w:r>
      <w:r w:rsidRPr="00DF56AD">
        <w:rPr>
          <w:color w:val="000000"/>
          <w:shd w:val="clear" w:color="auto" w:fill="FFFFFF"/>
          <w:lang w:val="fr-CA"/>
        </w:rPr>
        <w:t>fondé sur</w:t>
      </w:r>
      <w:r>
        <w:rPr>
          <w:color w:val="000000"/>
          <w:shd w:val="clear" w:color="auto" w:fill="FFFFFF"/>
          <w:lang w:val="fr-CA"/>
        </w:rPr>
        <w:t xml:space="preserve"> le </w:t>
      </w:r>
      <w:r w:rsidRPr="00DF56AD">
        <w:rPr>
          <w:color w:val="000000"/>
          <w:shd w:val="clear" w:color="auto" w:fill="FFFFFF"/>
          <w:lang w:val="fr-CA"/>
        </w:rPr>
        <w:t>statut de famille</w:t>
      </w:r>
      <w:r w:rsidRPr="00050E24">
        <w:rPr>
          <w:color w:val="000000"/>
          <w:shd w:val="clear" w:color="auto" w:fill="FFFFFF"/>
          <w:lang w:val="fr-CA"/>
        </w:rPr>
        <w:t xml:space="preserve"> » </w:t>
      </w:r>
      <w:r w:rsidRPr="00DA42F6">
        <w:rPr>
          <w:color w:val="000000"/>
          <w:shd w:val="clear" w:color="auto" w:fill="FFFFFF"/>
          <w:lang w:val="fr-CA"/>
        </w:rPr>
        <w:t>pour trancher en faveur de M</w:t>
      </w:r>
      <w:r w:rsidRPr="00DA42F6">
        <w:rPr>
          <w:color w:val="000000"/>
          <w:shd w:val="clear" w:color="auto" w:fill="FFFFFF"/>
          <w:vertAlign w:val="superscript"/>
          <w:lang w:val="fr-CA"/>
        </w:rPr>
        <w:t>me</w:t>
      </w:r>
      <w:r w:rsidRPr="00DA42F6">
        <w:rPr>
          <w:color w:val="000000"/>
          <w:shd w:val="clear" w:color="auto" w:fill="FFFFFF"/>
          <w:lang w:val="fr-CA"/>
        </w:rPr>
        <w:t> Fraser</w:t>
      </w:r>
      <w:r w:rsidRPr="00050E24">
        <w:rPr>
          <w:color w:val="000000"/>
          <w:shd w:val="clear" w:color="auto" w:fill="FFFFFF"/>
          <w:lang w:val="fr-CA"/>
        </w:rPr>
        <w:t xml:space="preserve"> (</w:t>
      </w:r>
      <w:r>
        <w:rPr>
          <w:color w:val="000000"/>
          <w:shd w:val="clear" w:color="auto" w:fill="FFFFFF"/>
          <w:lang w:val="fr-CA"/>
        </w:rPr>
        <w:t>p. </w:t>
      </w:r>
      <w:r w:rsidRPr="00050E24">
        <w:rPr>
          <w:color w:val="000000"/>
          <w:shd w:val="clear" w:color="auto" w:fill="FFFFFF"/>
          <w:lang w:val="fr-CA"/>
        </w:rPr>
        <w:t>64).</w:t>
      </w:r>
    </w:p>
  </w:footnote>
  <w:footnote w:id="8">
    <w:p w14:paraId="392DE0BE" w14:textId="6D466A10" w:rsidR="009C4193" w:rsidRPr="009C4193" w:rsidRDefault="009C4193">
      <w:pPr>
        <w:pStyle w:val="FootnoteText"/>
        <w:rPr>
          <w:lang w:val="fr-CA"/>
        </w:rPr>
      </w:pPr>
      <w:r>
        <w:rPr>
          <w:rStyle w:val="FootnoteReference"/>
        </w:rPr>
        <w:footnoteRef/>
      </w:r>
      <w:r w:rsidRPr="009C4193">
        <w:rPr>
          <w:lang w:val="fr-CA"/>
        </w:rPr>
        <w:t xml:space="preserve"> </w:t>
      </w:r>
      <w:r>
        <w:rPr>
          <w:lang w:val="fr-CA"/>
        </w:rPr>
        <w:t xml:space="preserve"> </w:t>
      </w:r>
      <w:r w:rsidRPr="00E9277A">
        <w:rPr>
          <w:lang w:val="fr-CA"/>
        </w:rPr>
        <w:t>Cette hypothèse</w:t>
      </w:r>
      <w:r w:rsidRPr="00463CF5">
        <w:rPr>
          <w:lang w:val="fr-CA"/>
        </w:rPr>
        <w:t xml:space="preserve"> a été </w:t>
      </w:r>
      <w:r>
        <w:rPr>
          <w:lang w:val="fr-CA"/>
        </w:rPr>
        <w:t>rejetée par la majorité au par. </w:t>
      </w:r>
      <w:r w:rsidRPr="00463CF5">
        <w:rPr>
          <w:lang w:val="fr-CA"/>
        </w:rPr>
        <w:t>42</w:t>
      </w:r>
      <w:r>
        <w:rPr>
          <w:lang w:val="fr-CA"/>
        </w:rPr>
        <w:t xml:space="preserve"> d’</w:t>
      </w:r>
      <w:r>
        <w:rPr>
          <w:i/>
          <w:lang w:val="fr-CA"/>
        </w:rPr>
        <w:t>Alliance</w:t>
      </w:r>
      <w:r>
        <w:rPr>
          <w:lang w:val="fr-CA"/>
        </w:rPr>
        <w:t xml:space="preserve"> : </w:t>
      </w:r>
      <w:r w:rsidRPr="00463CF5">
        <w:rPr>
          <w:lang w:val="fr-CA"/>
        </w:rPr>
        <w:t xml:space="preserve">« aucun élément de preuve n’étaye le point de vue </w:t>
      </w:r>
      <w:r w:rsidRPr="00463CF5">
        <w:rPr>
          <w:i/>
          <w:lang w:val="fr-CA"/>
        </w:rPr>
        <w:t>in terrorem</w:t>
      </w:r>
      <w:r w:rsidRPr="00463CF5">
        <w:rPr>
          <w:lang w:val="fr-CA"/>
        </w:rPr>
        <w:t xml:space="preserve"> de mes collègues portant que le fait de concl</w:t>
      </w:r>
      <w:r>
        <w:rPr>
          <w:lang w:val="fr-CA"/>
        </w:rPr>
        <w:t xml:space="preserve">ure à une violation aurait un </w:t>
      </w:r>
      <w:r w:rsidRPr="0047469A">
        <w:rPr>
          <w:lang w:val="fr-CA"/>
        </w:rPr>
        <w:t>“</w:t>
      </w:r>
      <w:r>
        <w:rPr>
          <w:lang w:val="fr-CA"/>
        </w:rPr>
        <w:t>effet paralysant</w:t>
      </w:r>
      <w:r w:rsidRPr="0047469A">
        <w:rPr>
          <w:lang w:val="fr-CA"/>
        </w:rPr>
        <w:t>”</w:t>
      </w:r>
      <w:r w:rsidRPr="00463CF5">
        <w:rPr>
          <w:lang w:val="fr-CA"/>
        </w:rPr>
        <w:t xml:space="preserve"> sur les législateurs. Cela revient à soutenir que le fait d’exiger de ces derniers qu’ils se conforment aux normes établies dans la </w:t>
      </w:r>
      <w:r w:rsidRPr="00463CF5">
        <w:rPr>
          <w:i/>
          <w:lang w:val="fr-CA"/>
        </w:rPr>
        <w:t>Charte</w:t>
      </w:r>
      <w:r w:rsidRPr="00463CF5">
        <w:rPr>
          <w:lang w:val="fr-CA"/>
        </w:rPr>
        <w:t xml:space="preserve"> aurait un tel effet. Des préoccupations de nature conjecturale quant à la possibilité d’inciter les législateurs à faire montre de timidité en matière législative n’a jamais, jusqu’à maintenant, constitué un outil d’analyse reconnu pour décider s’il y a eu violation de la Constitution. Les législateurs comprennent qu’ils sont liés par la </w:t>
      </w:r>
      <w:r w:rsidRPr="00463CF5">
        <w:rPr>
          <w:i/>
          <w:lang w:val="fr-CA"/>
        </w:rPr>
        <w:t>Charte</w:t>
      </w:r>
      <w:r w:rsidRPr="00463CF5">
        <w:rPr>
          <w:lang w:val="fr-CA"/>
        </w:rPr>
        <w:t xml:space="preserve"> et que la population s’attend à ce qu’ils se conforment à celle</w:t>
      </w:r>
      <w:r>
        <w:rPr>
          <w:lang w:val="fr-CA"/>
        </w:rPr>
        <w:noBreakHyphen/>
      </w:r>
      <w:r w:rsidRPr="00463CF5">
        <w:rPr>
          <w:lang w:val="fr-CA"/>
        </w:rPr>
        <w:t>ci. Les tribunaux sont des agents de facilitation, et non pas de simples spectateurs, dans cette entreprise ».</w:t>
      </w:r>
    </w:p>
  </w:footnote>
  <w:footnote w:id="9">
    <w:p w14:paraId="4F5AB095" w14:textId="5002B180" w:rsidR="009C4193" w:rsidRPr="009C4193" w:rsidRDefault="009C4193" w:rsidP="009C4193">
      <w:pPr>
        <w:pStyle w:val="FootnoteText"/>
        <w:tabs>
          <w:tab w:val="clear" w:pos="180"/>
        </w:tabs>
        <w:rPr>
          <w:lang w:val="fr-CA"/>
        </w:rPr>
      </w:pPr>
      <w:r>
        <w:rPr>
          <w:rStyle w:val="FootnoteReference"/>
        </w:rPr>
        <w:footnoteRef/>
      </w:r>
      <w:r w:rsidRPr="009C4193">
        <w:rPr>
          <w:lang w:val="fr-CA"/>
        </w:rPr>
        <w:t xml:space="preserve"> </w:t>
      </w:r>
      <w:r>
        <w:rPr>
          <w:lang w:val="fr-CA"/>
        </w:rPr>
        <w:t> </w:t>
      </w:r>
      <w:r w:rsidRPr="00463CF5">
        <w:rPr>
          <w:lang w:val="fr-CA"/>
        </w:rPr>
        <w:t xml:space="preserve">Thèse écartée par les juges majoritaires au </w:t>
      </w:r>
      <w:r>
        <w:rPr>
          <w:lang w:val="fr-CA"/>
        </w:rPr>
        <w:t>par. </w:t>
      </w:r>
      <w:r w:rsidRPr="00463CF5">
        <w:rPr>
          <w:lang w:val="fr-CA"/>
        </w:rPr>
        <w:t>41</w:t>
      </w:r>
      <w:r>
        <w:rPr>
          <w:lang w:val="fr-CA"/>
        </w:rPr>
        <w:t> :</w:t>
      </w:r>
      <w:r w:rsidRPr="00463CF5">
        <w:rPr>
          <w:lang w:val="fr-CA"/>
        </w:rPr>
        <w:t xml:space="preserve"> « [m]es collègues laissent néanmoins entendre qu’il n’y a aucune violation du </w:t>
      </w:r>
      <w:r>
        <w:rPr>
          <w:lang w:val="fr-CA"/>
        </w:rPr>
        <w:t>par. </w:t>
      </w:r>
      <w:r w:rsidRPr="00463CF5">
        <w:rPr>
          <w:lang w:val="fr-CA"/>
        </w:rPr>
        <w:t xml:space="preserve">15(1) de la </w:t>
      </w:r>
      <w:r w:rsidRPr="00463CF5">
        <w:rPr>
          <w:i/>
          <w:lang w:val="fr-CA"/>
        </w:rPr>
        <w:t>Charte</w:t>
      </w:r>
      <w:r w:rsidRPr="00463CF5">
        <w:rPr>
          <w:lang w:val="fr-CA"/>
        </w:rPr>
        <w:t xml:space="preserve"> parce que la législature québécoise n’a pas </w:t>
      </w:r>
      <w:r w:rsidRPr="00463CF5">
        <w:rPr>
          <w:i/>
          <w:lang w:val="fr-CA"/>
        </w:rPr>
        <w:t>créé</w:t>
      </w:r>
      <w:r w:rsidRPr="00463CF5">
        <w:rPr>
          <w:lang w:val="fr-CA"/>
        </w:rPr>
        <w:t xml:space="preserve"> de discrimination salariale à l’endroit des femmes. Personne n’a suggéré qu’il l’avait fait. Toutefois, quand le gouvernement adopte une loi de manière à perpétuer un désavantage historique pour des groupes protégés, cette loi est assujettie à un examen de la conformité à l’</w:t>
      </w:r>
      <w:r>
        <w:rPr>
          <w:lang w:val="fr-CA"/>
        </w:rPr>
        <w:t>art. </w:t>
      </w:r>
      <w:r w:rsidRPr="00463CF5">
        <w:rPr>
          <w:lang w:val="fr-CA"/>
        </w:rPr>
        <w:t>15, quel que soit l’auteur du désavantage »</w:t>
      </w:r>
      <w:r w:rsidR="00EF7ACC">
        <w:rPr>
          <w:lang w:val="fr-CA"/>
        </w:rPr>
        <w:t xml:space="preserve"> (en italique</w:t>
      </w:r>
      <w:r>
        <w:rPr>
          <w:lang w:val="fr-CA"/>
        </w:rPr>
        <w:t xml:space="preserve"> dans l’original)</w:t>
      </w:r>
      <w:r w:rsidRPr="00463CF5">
        <w:rPr>
          <w:lang w:val="fr-CA"/>
        </w:rPr>
        <w:t>.</w:t>
      </w:r>
    </w:p>
  </w:footnote>
  <w:footnote w:id="10">
    <w:p w14:paraId="7A9C4772" w14:textId="50051B0B" w:rsidR="009C4193" w:rsidRPr="009C4193" w:rsidRDefault="009C4193">
      <w:pPr>
        <w:pStyle w:val="FootnoteText"/>
        <w:rPr>
          <w:lang w:val="fr-CA"/>
        </w:rPr>
      </w:pPr>
      <w:r>
        <w:rPr>
          <w:rStyle w:val="FootnoteReference"/>
        </w:rPr>
        <w:footnoteRef/>
      </w:r>
      <w:r w:rsidRPr="009C4193">
        <w:rPr>
          <w:lang w:val="fr-CA"/>
        </w:rPr>
        <w:t xml:space="preserve"> </w:t>
      </w:r>
      <w:r w:rsidRPr="00E9277A">
        <w:rPr>
          <w:lang w:val="fr-CA"/>
        </w:rPr>
        <w:t>Cet</w:t>
      </w:r>
      <w:r w:rsidRPr="001838AC">
        <w:rPr>
          <w:lang w:val="fr-CA"/>
        </w:rPr>
        <w:t xml:space="preserve"> argument n’a pas empêché la Cour de conclure à une violation du </w:t>
      </w:r>
      <w:r>
        <w:rPr>
          <w:lang w:val="fr-CA"/>
        </w:rPr>
        <w:t>par. </w:t>
      </w:r>
      <w:r w:rsidRPr="001838AC">
        <w:rPr>
          <w:lang w:val="fr-CA"/>
        </w:rPr>
        <w:t xml:space="preserve">15(1) dans l’affaire </w:t>
      </w:r>
      <w:r w:rsidRPr="001838AC">
        <w:rPr>
          <w:i/>
          <w:lang w:val="fr-CA"/>
        </w:rPr>
        <w:t>Alliance</w:t>
      </w:r>
      <w:r w:rsidRPr="001838AC">
        <w:rPr>
          <w:lang w:val="fr-CA"/>
        </w:rPr>
        <w:t xml:space="preserve"> ou dans le pourvoi connexe </w:t>
      </w:r>
      <w:r w:rsidRPr="001838AC">
        <w:rPr>
          <w:i/>
          <w:lang w:val="fr-CA"/>
        </w:rPr>
        <w:t xml:space="preserve">Centrale </w:t>
      </w:r>
      <w:r w:rsidRPr="001838AC">
        <w:rPr>
          <w:lang w:val="fr-CA"/>
        </w:rPr>
        <w:t xml:space="preserve">(voir également </w:t>
      </w:r>
      <w:r w:rsidRPr="001838AC">
        <w:rPr>
          <w:i/>
          <w:lang w:val="fr-CA"/>
        </w:rPr>
        <w:t>McKinney</w:t>
      </w:r>
      <w:r w:rsidRPr="001838AC">
        <w:rPr>
          <w:lang w:val="fr-CA"/>
        </w:rPr>
        <w:t xml:space="preserve">, </w:t>
      </w:r>
      <w:r>
        <w:rPr>
          <w:lang w:val="fr-CA"/>
        </w:rPr>
        <w:t>p. </w:t>
      </w:r>
      <w:r w:rsidRPr="001838AC">
        <w:rPr>
          <w:lang w:val="fr-CA"/>
        </w:rPr>
        <w:t xml:space="preserve">279). Cet argument est encore moins convaincant en l’espèce, où le gouvernement n’a rien fait pour justifier l’absence de droit de rachat en soutenant que cela s’inscrivait dans le cadre d’une stratégie visant à s’attaquer aux inégalités, et </w:t>
      </w:r>
      <w:r>
        <w:rPr>
          <w:lang w:val="fr-CA"/>
        </w:rPr>
        <w:t xml:space="preserve">où rien au dossier n’étaye </w:t>
      </w:r>
      <w:r w:rsidRPr="001838AC">
        <w:rPr>
          <w:lang w:val="fr-CA"/>
        </w:rPr>
        <w:t>cette thèse.</w:t>
      </w:r>
    </w:p>
  </w:footnote>
  <w:footnote w:id="11">
    <w:p w14:paraId="447D7522" w14:textId="2B012FC8" w:rsidR="009C4193" w:rsidRPr="009C4193" w:rsidRDefault="009C4193" w:rsidP="009C4193">
      <w:pPr>
        <w:pStyle w:val="FootnoteText"/>
        <w:rPr>
          <w:lang w:val="fr-CA"/>
        </w:rPr>
      </w:pPr>
      <w:r>
        <w:rPr>
          <w:rStyle w:val="FootnoteReference"/>
        </w:rPr>
        <w:footnoteRef/>
      </w:r>
      <w:r>
        <w:rPr>
          <w:lang w:val="fr-CA"/>
        </w:rPr>
        <w:t> </w:t>
      </w:r>
      <w:r w:rsidRPr="00E9277A">
        <w:rPr>
          <w:lang w:val="fr-CA"/>
        </w:rPr>
        <w:t xml:space="preserve">C’est en </w:t>
      </w:r>
      <w:r w:rsidRPr="00E9277A">
        <w:rPr>
          <w:i/>
          <w:lang w:val="fr-CA"/>
        </w:rPr>
        <w:t>écartant</w:t>
      </w:r>
      <w:r w:rsidRPr="00E9277A">
        <w:rPr>
          <w:lang w:val="fr-CA"/>
        </w:rPr>
        <w:t xml:space="preserve"> cette crainte que, dans l’arrêt </w:t>
      </w:r>
      <w:r w:rsidRPr="00E9277A">
        <w:rPr>
          <w:i/>
          <w:lang w:val="fr-CA"/>
        </w:rPr>
        <w:t>Alliance</w:t>
      </w:r>
      <w:r w:rsidRPr="00E9277A">
        <w:rPr>
          <w:lang w:val="fr-CA"/>
        </w:rPr>
        <w:t>, la majorité a, au par</w:t>
      </w:r>
      <w:r>
        <w:rPr>
          <w:lang w:val="fr-CA"/>
        </w:rPr>
        <w:t>.</w:t>
      </w:r>
      <w:r w:rsidRPr="00E9277A">
        <w:rPr>
          <w:lang w:val="fr-CA"/>
        </w:rPr>
        <w:t> 42, fait les deux affirmations que mes collègues invoquent de façon répétée</w:t>
      </w:r>
      <w:r>
        <w:rPr>
          <w:lang w:val="fr-CA"/>
        </w:rPr>
        <w:t> :</w:t>
      </w:r>
      <w:r w:rsidRPr="006824BC">
        <w:rPr>
          <w:lang w:val="fr-CA"/>
        </w:rPr>
        <w:t xml:space="preserve"> « Contrairement à ce que fait valoir le Québec, </w:t>
      </w:r>
      <w:r w:rsidRPr="006824BC">
        <w:rPr>
          <w:i/>
          <w:iCs/>
          <w:lang w:val="fr-CA"/>
        </w:rPr>
        <w:t>conclure en l’espèce que les modifications apportées par cette province violent l’</w:t>
      </w:r>
      <w:r>
        <w:rPr>
          <w:i/>
          <w:iCs/>
          <w:lang w:val="fr-CA"/>
        </w:rPr>
        <w:t>art. </w:t>
      </w:r>
      <w:r w:rsidRPr="006824BC">
        <w:rPr>
          <w:i/>
          <w:iCs/>
          <w:lang w:val="fr-CA"/>
        </w:rPr>
        <w:t xml:space="preserve">15 n’a pas pour effet </w:t>
      </w:r>
      <w:r w:rsidRPr="006824BC">
        <w:rPr>
          <w:lang w:val="fr-CA"/>
        </w:rPr>
        <w:t xml:space="preserve">d’imposer à l’État une obligation positive distincte d’adopter des régimes de prestations visant à corriger des inégalités sociales. Une telle conclusion ne mine pas non plus la capacité de l’État à agir de manière graduelle pour s’attaquer aux inégalités systémiques. </w:t>
      </w:r>
      <w:r w:rsidRPr="006824BC">
        <w:rPr>
          <w:i/>
          <w:iCs/>
          <w:lang w:val="fr-CA"/>
        </w:rPr>
        <w:t>L’article 15 exige cependant que l’État veille à ce que toutes les mesures qu’il prend effectivement n’aient pas d’effet discriminatoire </w:t>
      </w:r>
      <w:r w:rsidRPr="00CD2B01">
        <w:rPr>
          <w:iCs/>
          <w:lang w:val="fr-CA"/>
        </w:rPr>
        <w:t>»</w:t>
      </w:r>
      <w:r w:rsidRPr="006824BC">
        <w:rPr>
          <w:lang w:val="fr-CA"/>
        </w:rPr>
        <w:t xml:space="preserve"> (</w:t>
      </w:r>
      <w:r w:rsidR="003804CC">
        <w:rPr>
          <w:lang w:val="fr-CA"/>
        </w:rPr>
        <w:t>italique ajouté</w:t>
      </w:r>
      <w:r w:rsidRPr="006824BC">
        <w:rPr>
          <w:lang w:val="fr-CA"/>
        </w:rPr>
        <w:t>).</w:t>
      </w:r>
    </w:p>
  </w:footnote>
  <w:footnote w:id="12">
    <w:p w14:paraId="54445517" w14:textId="0C810F73" w:rsidR="009C4193" w:rsidRPr="009C4193" w:rsidRDefault="009C4193" w:rsidP="009C4193">
      <w:pPr>
        <w:pStyle w:val="FootnoteText"/>
        <w:rPr>
          <w:lang w:val="en-US"/>
        </w:rPr>
      </w:pPr>
      <w:r>
        <w:rPr>
          <w:rStyle w:val="FootnoteReference"/>
        </w:rPr>
        <w:footnoteRef/>
      </w:r>
      <w:r>
        <w:t> </w:t>
      </w:r>
      <w:r w:rsidRPr="00A065E9">
        <w:rPr>
          <w:lang w:val="en-US"/>
        </w:rPr>
        <w:t>Adam</w:t>
      </w:r>
      <w:r w:rsidRPr="00381ABD">
        <w:rPr>
          <w:lang w:val="en-US"/>
        </w:rPr>
        <w:t xml:space="preserve"> Gopnik</w:t>
      </w:r>
      <w:r>
        <w:rPr>
          <w:lang w:val="en-US"/>
        </w:rPr>
        <w:t>,</w:t>
      </w:r>
      <w:r w:rsidRPr="00381ABD">
        <w:rPr>
          <w:lang w:val="en-US"/>
        </w:rPr>
        <w:t xml:space="preserve"> « </w:t>
      </w:r>
      <w:r w:rsidRPr="00D46E5F">
        <w:rPr>
          <w:lang w:val="en-US"/>
        </w:rPr>
        <w:t>The illiberal imagination: Are liberals on the wrong side of history?</w:t>
      </w:r>
      <w:r>
        <w:rPr>
          <w:lang w:val="en-US"/>
        </w:rPr>
        <w:t> »</w:t>
      </w:r>
      <w:r w:rsidRPr="00D46E5F">
        <w:rPr>
          <w:lang w:val="en-US"/>
        </w:rPr>
        <w:t xml:space="preserve">, </w:t>
      </w:r>
      <w:r w:rsidRPr="003804CC">
        <w:rPr>
          <w:i/>
          <w:lang w:val="en-US"/>
        </w:rPr>
        <w:t>The New Yorker</w:t>
      </w:r>
      <w:r w:rsidRPr="00D46E5F">
        <w:rPr>
          <w:lang w:val="en-US"/>
        </w:rPr>
        <w:t xml:space="preserve">, </w:t>
      </w:r>
      <w:r>
        <w:rPr>
          <w:lang w:val="en-US"/>
        </w:rPr>
        <w:t xml:space="preserve">20 mars </w:t>
      </w:r>
      <w:r w:rsidRPr="00D46E5F">
        <w:rPr>
          <w:lang w:val="en-US"/>
        </w:rPr>
        <w:t xml:space="preserve">2017, 88, at </w:t>
      </w:r>
      <w:r>
        <w:rPr>
          <w:lang w:val="en-US"/>
        </w:rPr>
        <w:t>p. </w:t>
      </w:r>
      <w:r w:rsidRPr="00D46E5F">
        <w:rPr>
          <w:lang w:val="en-US"/>
        </w:rPr>
        <w:t>92.</w:t>
      </w:r>
    </w:p>
  </w:footnote>
  <w:footnote w:id="13">
    <w:p w14:paraId="49B3278F" w14:textId="6792E0FF" w:rsidR="009C4193" w:rsidRPr="009C4193" w:rsidRDefault="009C4193" w:rsidP="009C4193">
      <w:pPr>
        <w:pStyle w:val="FootnoteText"/>
        <w:rPr>
          <w:lang w:val="en-US"/>
        </w:rPr>
      </w:pPr>
      <w:r>
        <w:rPr>
          <w:rStyle w:val="FootnoteReference"/>
        </w:rPr>
        <w:footnoteRef/>
      </w:r>
      <w:r>
        <w:t> </w:t>
      </w:r>
      <w:r w:rsidRPr="0078765D">
        <w:rPr>
          <w:lang w:val="en-US"/>
        </w:rPr>
        <w:t xml:space="preserve">Voir également Young, (2010), </w:t>
      </w:r>
      <w:r>
        <w:rPr>
          <w:lang w:val="en-US"/>
        </w:rPr>
        <w:t>p. </w:t>
      </w:r>
      <w:r w:rsidRPr="0078765D">
        <w:rPr>
          <w:lang w:val="en-US"/>
        </w:rPr>
        <w:t>192</w:t>
      </w:r>
      <w:r>
        <w:rPr>
          <w:lang w:val="en-US"/>
        </w:rPr>
        <w:noBreakHyphen/>
      </w:r>
      <w:r w:rsidRPr="0078765D">
        <w:rPr>
          <w:lang w:val="en-US"/>
        </w:rPr>
        <w:t>198; Jennifer Koshan et Jonnette Watson Hamilton, « Meaningless Mantra</w:t>
      </w:r>
      <w:r w:rsidR="003804CC">
        <w:rPr>
          <w:lang w:val="en-US"/>
        </w:rPr>
        <w:t> </w:t>
      </w:r>
      <w:r w:rsidRPr="0078765D">
        <w:rPr>
          <w:lang w:val="en-US"/>
        </w:rPr>
        <w:t xml:space="preserve">: Substantive Equality after </w:t>
      </w:r>
      <w:r w:rsidRPr="0078765D">
        <w:rPr>
          <w:i/>
          <w:lang w:val="en-US"/>
        </w:rPr>
        <w:t>Withler</w:t>
      </w:r>
      <w:r w:rsidRPr="0078765D">
        <w:rPr>
          <w:lang w:val="en-US"/>
        </w:rPr>
        <w:t xml:space="preserve"> » (2011), 16 </w:t>
      </w:r>
      <w:r w:rsidRPr="0078765D">
        <w:rPr>
          <w:i/>
          <w:lang w:val="en-US"/>
        </w:rPr>
        <w:t xml:space="preserve">Rev. Const. Stud. </w:t>
      </w:r>
      <w:r w:rsidRPr="0078765D">
        <w:rPr>
          <w:lang w:val="en-US"/>
        </w:rPr>
        <w:t xml:space="preserve">31, </w:t>
      </w:r>
      <w:r>
        <w:rPr>
          <w:lang w:val="en-US"/>
        </w:rPr>
        <w:t>p. </w:t>
      </w:r>
      <w:r w:rsidRPr="0078765D">
        <w:rPr>
          <w:lang w:val="en-US"/>
        </w:rPr>
        <w:t xml:space="preserve">59; Patricia Hughes, « Supreme Court of Canada Equality Jurisprudence and ‘Everyday Life’ » (2012), 58 </w:t>
      </w:r>
      <w:r w:rsidRPr="0078765D">
        <w:rPr>
          <w:i/>
          <w:lang w:val="en-US"/>
        </w:rPr>
        <w:t>S.C.L.R.</w:t>
      </w:r>
      <w:r w:rsidRPr="0078765D">
        <w:rPr>
          <w:lang w:val="en-US"/>
        </w:rPr>
        <w:t xml:space="preserve"> (2d) 245, </w:t>
      </w:r>
      <w:r>
        <w:rPr>
          <w:lang w:val="en-US"/>
        </w:rPr>
        <w:t>p. </w:t>
      </w:r>
      <w:r w:rsidRPr="0078765D">
        <w:rPr>
          <w:lang w:val="en-US"/>
        </w:rPr>
        <w:t>271</w:t>
      </w:r>
      <w:r>
        <w:rPr>
          <w:lang w:val="en-US"/>
        </w:rPr>
        <w:noBreakHyphen/>
      </w:r>
      <w:r w:rsidRPr="0078765D">
        <w:rPr>
          <w:lang w:val="en-US"/>
        </w:rPr>
        <w:t>272.</w:t>
      </w:r>
    </w:p>
  </w:footnote>
  <w:footnote w:id="14">
    <w:p w14:paraId="79A0AE11" w14:textId="22ABCEC3" w:rsidR="000C076E" w:rsidRPr="000C076E" w:rsidRDefault="000C076E">
      <w:pPr>
        <w:pStyle w:val="FootnoteText"/>
        <w:rPr>
          <w:lang w:val="fr-CA"/>
        </w:rPr>
      </w:pPr>
      <w:r>
        <w:rPr>
          <w:rStyle w:val="FootnoteReference"/>
        </w:rPr>
        <w:footnoteRef/>
      </w:r>
      <w:r w:rsidRPr="000C076E">
        <w:rPr>
          <w:lang w:val="fr-CA"/>
        </w:rPr>
        <w:t xml:space="preserve"> </w:t>
      </w:r>
      <w:r w:rsidRPr="00A63E25">
        <w:rPr>
          <w:lang w:val="fr-CA"/>
        </w:rPr>
        <w:t>Le membre qui</w:t>
      </w:r>
      <w:r w:rsidRPr="00C6240F">
        <w:rPr>
          <w:lang w:val="fr-CA"/>
        </w:rPr>
        <w:t xml:space="preserve"> choisit de </w:t>
      </w:r>
      <w:r w:rsidRPr="00AF085F">
        <w:rPr>
          <w:i/>
          <w:lang w:val="fr-CA"/>
        </w:rPr>
        <w:t>ne pas</w:t>
      </w:r>
      <w:r w:rsidRPr="00C6240F">
        <w:rPr>
          <w:lang w:val="fr-CA"/>
        </w:rPr>
        <w:t xml:space="preserve"> traiter une </w:t>
      </w:r>
      <w:r>
        <w:rPr>
          <w:lang w:val="fr-CA"/>
        </w:rPr>
        <w:t xml:space="preserve">période </w:t>
      </w:r>
      <w:r w:rsidRPr="00C6240F">
        <w:rPr>
          <w:lang w:val="fr-CA"/>
        </w:rPr>
        <w:t xml:space="preserve">de service comme une période ouvrant droit à pension peut ultérieurement choisir de racheter la période de service </w:t>
      </w:r>
      <w:r>
        <w:rPr>
          <w:lang w:val="fr-CA"/>
        </w:rPr>
        <w:t>à un taux équivalent à deux fois ou deux fois et demie cette somme, majorée des intérêts (</w:t>
      </w:r>
      <w:r w:rsidRPr="00C6240F">
        <w:rPr>
          <w:i/>
          <w:lang w:val="fr-CA"/>
        </w:rPr>
        <w:t>R</w:t>
      </w:r>
      <w:r>
        <w:rPr>
          <w:i/>
          <w:lang w:val="fr-CA"/>
        </w:rPr>
        <w:t>èglement</w:t>
      </w:r>
      <w:r w:rsidRPr="00C6240F">
        <w:rPr>
          <w:lang w:val="fr-CA"/>
        </w:rPr>
        <w:t xml:space="preserve">, </w:t>
      </w:r>
      <w:r>
        <w:rPr>
          <w:lang w:val="fr-CA"/>
        </w:rPr>
        <w:t>art</w:t>
      </w:r>
      <w:r w:rsidRPr="00C6240F">
        <w:rPr>
          <w:lang w:val="fr-CA"/>
        </w:rPr>
        <w:t>.</w:t>
      </w:r>
      <w:r>
        <w:rPr>
          <w:lang w:val="fr-CA"/>
        </w:rPr>
        <w:t> </w:t>
      </w:r>
      <w:r w:rsidRPr="00C6240F">
        <w:rPr>
          <w:lang w:val="fr-CA"/>
        </w:rPr>
        <w:t>10.8</w:t>
      </w:r>
      <w:r>
        <w:rPr>
          <w:lang w:val="fr-CA"/>
        </w:rPr>
        <w:t>)</w:t>
      </w:r>
      <w:r w:rsidRPr="00C6240F">
        <w:rPr>
          <w:lang w:val="fr-CA"/>
        </w:rPr>
        <w:t>.</w:t>
      </w:r>
    </w:p>
  </w:footnote>
  <w:footnote w:id="15">
    <w:p w14:paraId="061EA395" w14:textId="278E0D7E" w:rsidR="00AD6F9A" w:rsidRPr="00AD6F9A" w:rsidRDefault="00AD6F9A">
      <w:pPr>
        <w:pStyle w:val="FootnoteText"/>
        <w:rPr>
          <w:lang w:val="fr-CA"/>
        </w:rPr>
      </w:pPr>
      <w:r>
        <w:rPr>
          <w:rStyle w:val="FootnoteReference"/>
        </w:rPr>
        <w:footnoteRef/>
      </w:r>
      <w:r w:rsidRPr="00AD6F9A">
        <w:rPr>
          <w:lang w:val="fr-CA"/>
        </w:rPr>
        <w:t xml:space="preserve"> </w:t>
      </w:r>
      <w:r>
        <w:rPr>
          <w:lang w:val="fr-CA"/>
        </w:rPr>
        <w:tab/>
      </w:r>
      <w:r w:rsidRPr="005F3213">
        <w:rPr>
          <w:lang w:val="fr-CA"/>
        </w:rPr>
        <w:t>«</w:t>
      </w:r>
      <w:r>
        <w:rPr>
          <w:lang w:val="fr-CA"/>
        </w:rPr>
        <w:t> </w:t>
      </w:r>
      <w:r w:rsidRPr="005F3213">
        <w:rPr>
          <w:lang w:val="fr-CA"/>
        </w:rPr>
        <w:t xml:space="preserve">Si </w:t>
      </w:r>
      <w:r w:rsidRPr="001B19BF">
        <w:rPr>
          <w:lang w:val="fr-CA"/>
        </w:rPr>
        <w:t>[</w:t>
      </w:r>
      <w:r>
        <w:rPr>
          <w:lang w:val="fr-CA"/>
        </w:rPr>
        <w:t>des employés]</w:t>
      </w:r>
      <w:r w:rsidRPr="005F3213">
        <w:rPr>
          <w:lang w:val="fr-CA"/>
        </w:rPr>
        <w:t xml:space="preserve"> travaillent à temps partiel, [</w:t>
      </w:r>
      <w:r>
        <w:rPr>
          <w:lang w:val="fr-CA"/>
        </w:rPr>
        <w:t>ils</w:t>
      </w:r>
      <w:r w:rsidRPr="005F3213">
        <w:rPr>
          <w:lang w:val="fr-CA"/>
        </w:rPr>
        <w:t>] ne devraient pas avoir à porter le fardeau financier injuste généré par la perception que le travail à temps partiel</w:t>
      </w:r>
      <w:r>
        <w:rPr>
          <w:lang w:val="fr-CA"/>
        </w:rPr>
        <w:t xml:space="preserve"> n’est pas un travail sérieux. </w:t>
      </w:r>
      <w:r w:rsidRPr="00D23851">
        <w:rPr>
          <w:lang w:val="fr-CA"/>
        </w:rPr>
        <w:t>[</w:t>
      </w:r>
      <w:r>
        <w:rPr>
          <w:lang w:val="fr-CA"/>
        </w:rPr>
        <w:t xml:space="preserve">Il]s </w:t>
      </w:r>
      <w:r w:rsidRPr="005F3213">
        <w:rPr>
          <w:lang w:val="fr-CA"/>
        </w:rPr>
        <w:t xml:space="preserve">devraient être rémunérés et recevoir des avantages sociaux </w:t>
      </w:r>
      <w:r w:rsidRPr="005F3213">
        <w:rPr>
          <w:u w:val="single"/>
          <w:lang w:val="fr-CA"/>
        </w:rPr>
        <w:t>au prorata</w:t>
      </w:r>
      <w:r w:rsidRPr="005F3213">
        <w:rPr>
          <w:lang w:val="fr-CA"/>
        </w:rPr>
        <w:t xml:space="preserve"> de ce que reçoivent les employés à temps plein.</w:t>
      </w:r>
      <w:r>
        <w:rPr>
          <w:lang w:val="fr-CA"/>
        </w:rPr>
        <w:t> </w:t>
      </w:r>
      <w:r w:rsidRPr="005F3213">
        <w:rPr>
          <w:lang w:val="fr-CA"/>
        </w:rPr>
        <w:t>» (</w:t>
      </w:r>
      <w:r>
        <w:rPr>
          <w:lang w:val="fr-CA"/>
        </w:rPr>
        <w:t>nous soulignons</w:t>
      </w:r>
      <w:r w:rsidRPr="005F3213">
        <w:rPr>
          <w:lang w:val="fr-CA"/>
        </w:rPr>
        <w:t>).</w:t>
      </w:r>
    </w:p>
  </w:footnote>
  <w:footnote w:id="16">
    <w:p w14:paraId="0B3948DF" w14:textId="268DB3D9" w:rsidR="00B84F78" w:rsidRPr="00B84F78" w:rsidRDefault="00B84F78">
      <w:pPr>
        <w:pStyle w:val="FootnoteText"/>
        <w:rPr>
          <w:lang w:val="fr-CA"/>
        </w:rPr>
      </w:pPr>
      <w:r>
        <w:rPr>
          <w:rStyle w:val="FootnoteReference"/>
        </w:rPr>
        <w:footnoteRef/>
      </w:r>
      <w:r w:rsidRPr="00B84F78">
        <w:rPr>
          <w:lang w:val="fr-CA"/>
        </w:rPr>
        <w:t xml:space="preserve"> </w:t>
      </w:r>
      <w:r w:rsidRPr="00EF0DA1">
        <w:rPr>
          <w:lang w:val="fr-CA"/>
        </w:rPr>
        <w:t xml:space="preserve">Les dispositions sur le travail à temps partiel contenues dans la </w:t>
      </w:r>
      <w:r w:rsidRPr="00DE3567">
        <w:rPr>
          <w:i/>
          <w:lang w:val="fr-CA"/>
        </w:rPr>
        <w:t>Loi sur la</w:t>
      </w:r>
      <w:r>
        <w:rPr>
          <w:i/>
          <w:lang w:val="fr-CA"/>
        </w:rPr>
        <w:t xml:space="preserve"> pension de retraite de la Gendarmerie royale du Canada</w:t>
      </w:r>
      <w:r w:rsidRPr="00DE3567">
        <w:rPr>
          <w:lang w:val="fr-CA"/>
        </w:rPr>
        <w:t xml:space="preserve">, </w:t>
      </w:r>
      <w:r>
        <w:rPr>
          <w:lang w:val="fr-CA"/>
        </w:rPr>
        <w:t>L.R.C. 1985, c. </w:t>
      </w:r>
      <w:r w:rsidRPr="00DE3567">
        <w:rPr>
          <w:lang w:val="fr-CA"/>
        </w:rPr>
        <w:t>R-11</w:t>
      </w:r>
      <w:r>
        <w:rPr>
          <w:lang w:val="fr-CA"/>
        </w:rPr>
        <w:t xml:space="preserve">, et le </w:t>
      </w:r>
      <w:r w:rsidRPr="008B0120">
        <w:rPr>
          <w:i/>
          <w:lang w:val="fr-CA"/>
        </w:rPr>
        <w:t>Règlement sur la pension de retraite de la Gendarmerie royale du Canada</w:t>
      </w:r>
      <w:r w:rsidRPr="008B0120">
        <w:rPr>
          <w:lang w:val="fr-CA"/>
        </w:rPr>
        <w:t>, C.R.C., c</w:t>
      </w:r>
      <w:r>
        <w:rPr>
          <w:lang w:val="fr-CA"/>
        </w:rPr>
        <w:t>. </w:t>
      </w:r>
      <w:r w:rsidRPr="008B0120">
        <w:rPr>
          <w:lang w:val="fr-CA"/>
        </w:rPr>
        <w:t>1393, connexe</w:t>
      </w:r>
      <w:r w:rsidRPr="00DE3567">
        <w:rPr>
          <w:lang w:val="fr-CA"/>
        </w:rPr>
        <w:t xml:space="preserve">. </w:t>
      </w:r>
      <w:r>
        <w:rPr>
          <w:lang w:val="fr-CA"/>
        </w:rPr>
        <w:t>À l’instar de mes collègues, je les appellerai tous les deux de façon interchangeable le « régime de pension » ou le « régime » ou simplement les dispositions contestées</w:t>
      </w:r>
      <w:r w:rsidRPr="00AB7581">
        <w:rPr>
          <w:lang w:val="fr-CA"/>
        </w:rPr>
        <w:t>.</w:t>
      </w:r>
    </w:p>
  </w:footnote>
  <w:footnote w:id="17">
    <w:p w14:paraId="2843A71F" w14:textId="5BCB6028" w:rsidR="001129C7" w:rsidRPr="001129C7" w:rsidRDefault="001129C7">
      <w:pPr>
        <w:pStyle w:val="FootnoteText"/>
        <w:rPr>
          <w:lang w:val="fr-CA"/>
        </w:rPr>
      </w:pPr>
      <w:r>
        <w:rPr>
          <w:rStyle w:val="FootnoteReference"/>
        </w:rPr>
        <w:footnoteRef/>
      </w:r>
      <w:r>
        <w:rPr>
          <w:lang w:val="fr-CA"/>
        </w:rPr>
        <w:t> </w:t>
      </w:r>
      <w:r w:rsidRPr="007C2F3A">
        <w:rPr>
          <w:lang w:val="fr-CA"/>
        </w:rPr>
        <w:t xml:space="preserve">Je tiens à préciser </w:t>
      </w:r>
      <w:r>
        <w:rPr>
          <w:lang w:val="fr-CA"/>
        </w:rPr>
        <w:t xml:space="preserve">que je ne souscris pas à une approche fondée sur l’existence de motifs </w:t>
      </w:r>
      <w:r w:rsidRPr="004042A2">
        <w:rPr>
          <w:lang w:val="fr-CA"/>
        </w:rPr>
        <w:t>intersectionnels</w:t>
      </w:r>
      <w:r>
        <w:rPr>
          <w:lang w:val="fr-CA"/>
        </w:rPr>
        <w:t xml:space="preserve"> ou à la reconnaissance de nouveaux motifs analogues : je veux seulement faire valoir que, plutôt que de </w:t>
      </w:r>
      <w:r w:rsidRPr="00A720EC">
        <w:rPr>
          <w:lang w:val="fr-CA"/>
        </w:rPr>
        <w:t xml:space="preserve">jouer </w:t>
      </w:r>
      <w:r>
        <w:rPr>
          <w:lang w:val="fr-CA"/>
        </w:rPr>
        <w:t>avec les principes applicables à l’art. 15 qui existent déjà, il aurait été plus sage — c’est</w:t>
      </w:r>
      <w:r>
        <w:rPr>
          <w:lang w:val="fr-CA"/>
        </w:rPr>
        <w:noBreakHyphen/>
        <w:t>à</w:t>
      </w:r>
      <w:r>
        <w:rPr>
          <w:lang w:val="fr-CA"/>
        </w:rPr>
        <w:noBreakHyphen/>
        <w:t>dire davantage conforme aux principes existants — d’utiliser ce moyen pour parvenir au résultat préconisé par la majorité</w:t>
      </w:r>
      <w:r w:rsidRPr="007C2F3A">
        <w:rPr>
          <w:lang w:val="fr-CA"/>
        </w:rPr>
        <w:t>.</w:t>
      </w:r>
    </w:p>
  </w:footnote>
  <w:footnote w:id="18">
    <w:p w14:paraId="2BBDAD1B" w14:textId="66E7135D" w:rsidR="00780643" w:rsidRPr="00780643" w:rsidRDefault="00780643">
      <w:pPr>
        <w:pStyle w:val="FootnoteText"/>
        <w:rPr>
          <w:lang w:val="fr-CA"/>
        </w:rPr>
      </w:pPr>
      <w:r>
        <w:rPr>
          <w:rStyle w:val="FootnoteReference"/>
        </w:rPr>
        <w:footnoteRef/>
      </w:r>
      <w:r w:rsidRPr="00780643">
        <w:rPr>
          <w:lang w:val="fr-CA"/>
        </w:rPr>
        <w:t xml:space="preserve"> </w:t>
      </w:r>
      <w:r w:rsidRPr="001269CA">
        <w:rPr>
          <w:lang w:val="fr-CA"/>
        </w:rPr>
        <w:t xml:space="preserve">Ma collègue affirme </w:t>
      </w:r>
      <w:r>
        <w:rPr>
          <w:lang w:val="fr-CA"/>
        </w:rPr>
        <w:t xml:space="preserve">tout d’abord </w:t>
      </w:r>
      <w:r w:rsidRPr="001269CA">
        <w:rPr>
          <w:lang w:val="fr-CA"/>
        </w:rPr>
        <w:t xml:space="preserve">que pour qu’une loi crée </w:t>
      </w:r>
      <w:r>
        <w:rPr>
          <w:lang w:val="fr-CA"/>
        </w:rPr>
        <w:t xml:space="preserve">par son effet </w:t>
      </w:r>
      <w:r w:rsidRPr="001269CA">
        <w:rPr>
          <w:lang w:val="fr-CA"/>
        </w:rPr>
        <w:t xml:space="preserve">une distinction </w:t>
      </w:r>
      <w:r>
        <w:rPr>
          <w:lang w:val="fr-CA"/>
        </w:rPr>
        <w:t>fondée sur des motifs interdits</w:t>
      </w:r>
      <w:r w:rsidRPr="001269CA">
        <w:rPr>
          <w:lang w:val="fr-CA"/>
        </w:rPr>
        <w:t xml:space="preserve">, </w:t>
      </w:r>
      <w:r>
        <w:rPr>
          <w:lang w:val="fr-CA"/>
        </w:rPr>
        <w:t>« </w:t>
      </w:r>
      <w:r w:rsidRPr="001269CA">
        <w:rPr>
          <w:lang w:val="fr-CA"/>
        </w:rPr>
        <w:t xml:space="preserve">elle </w:t>
      </w:r>
      <w:r w:rsidRPr="001579BA">
        <w:rPr>
          <w:u w:val="single"/>
          <w:lang w:val="fr-CA"/>
        </w:rPr>
        <w:t>doit</w:t>
      </w:r>
      <w:r w:rsidRPr="001269CA">
        <w:rPr>
          <w:lang w:val="fr-CA"/>
        </w:rPr>
        <w:t xml:space="preserve"> avoir un effet disproportionné sur les membres d’un groupe protégé</w:t>
      </w:r>
      <w:r>
        <w:rPr>
          <w:lang w:val="fr-CA"/>
        </w:rPr>
        <w:t xml:space="preserve"> » </w:t>
      </w:r>
      <w:r w:rsidRPr="00EF0DA1">
        <w:rPr>
          <w:lang w:val="fr-CA"/>
        </w:rPr>
        <w:t>—</w:t>
      </w:r>
      <w:r>
        <w:rPr>
          <w:lang w:val="fr-CA"/>
        </w:rPr>
        <w:t xml:space="preserve"> il s’agit d’une condition </w:t>
      </w:r>
      <w:r>
        <w:rPr>
          <w:i/>
          <w:iCs/>
          <w:lang w:val="fr-CA"/>
        </w:rPr>
        <w:t>nécessaire </w:t>
      </w:r>
      <w:r>
        <w:rPr>
          <w:iCs/>
          <w:lang w:val="fr-CA"/>
        </w:rPr>
        <w:t>: par. </w:t>
      </w:r>
      <w:r w:rsidRPr="00EF0DA1">
        <w:rPr>
          <w:iCs/>
          <w:lang w:val="fr-CA"/>
        </w:rPr>
        <w:t>52 (</w:t>
      </w:r>
      <w:r>
        <w:rPr>
          <w:iCs/>
          <w:lang w:val="fr-CA"/>
        </w:rPr>
        <w:t>je souligne</w:t>
      </w:r>
      <w:r w:rsidRPr="00EF0DA1">
        <w:rPr>
          <w:iCs/>
          <w:lang w:val="fr-CA"/>
        </w:rPr>
        <w:t>)</w:t>
      </w:r>
      <w:r w:rsidRPr="00EF0DA1">
        <w:rPr>
          <w:lang w:val="fr-CA"/>
        </w:rPr>
        <w:t>. Toutefois, dans la phrase sui</w:t>
      </w:r>
      <w:r>
        <w:rPr>
          <w:lang w:val="fr-CA"/>
        </w:rPr>
        <w:t>vante, elle explique que « si c’est le</w:t>
      </w:r>
      <w:r w:rsidRPr="00EF0DA1">
        <w:rPr>
          <w:lang w:val="fr-CA"/>
        </w:rPr>
        <w:t xml:space="preserve"> cas, la premiè</w:t>
      </w:r>
      <w:r>
        <w:rPr>
          <w:lang w:val="fr-CA"/>
        </w:rPr>
        <w:t>re étape de l’analyse relative à l’</w:t>
      </w:r>
      <w:r w:rsidRPr="00EF0DA1">
        <w:rPr>
          <w:lang w:val="fr-CA"/>
        </w:rPr>
        <w:t>art</w:t>
      </w:r>
      <w:r>
        <w:rPr>
          <w:lang w:val="fr-CA"/>
        </w:rPr>
        <w:t>. </w:t>
      </w:r>
      <w:r w:rsidRPr="00EF0DA1">
        <w:rPr>
          <w:lang w:val="fr-CA"/>
        </w:rPr>
        <w:t xml:space="preserve">15 </w:t>
      </w:r>
      <w:r w:rsidRPr="00FE4954">
        <w:rPr>
          <w:u w:val="single"/>
          <w:lang w:val="fr-CA"/>
        </w:rPr>
        <w:t>est</w:t>
      </w:r>
      <w:r w:rsidRPr="00EF0DA1">
        <w:rPr>
          <w:lang w:val="fr-CA"/>
        </w:rPr>
        <w:t xml:space="preserve"> </w:t>
      </w:r>
      <w:r>
        <w:rPr>
          <w:lang w:val="fr-CA"/>
        </w:rPr>
        <w:t>franchie</w:t>
      </w:r>
      <w:r w:rsidRPr="00EF0DA1">
        <w:rPr>
          <w:lang w:val="fr-CA"/>
        </w:rPr>
        <w:t xml:space="preserve"> », ce qui en fait également une condition </w:t>
      </w:r>
      <w:r w:rsidRPr="00EF0DA1">
        <w:rPr>
          <w:i/>
          <w:iCs/>
          <w:lang w:val="fr-CA"/>
        </w:rPr>
        <w:t>suffisante</w:t>
      </w:r>
      <w:r w:rsidRPr="00EF0DA1">
        <w:rPr>
          <w:lang w:val="fr-CA"/>
        </w:rPr>
        <w:t xml:space="preserve"> : </w:t>
      </w:r>
      <w:r>
        <w:rPr>
          <w:iCs/>
          <w:lang w:val="fr-CA"/>
        </w:rPr>
        <w:t>par. </w:t>
      </w:r>
      <w:r w:rsidRPr="00EF0DA1">
        <w:rPr>
          <w:iCs/>
          <w:lang w:val="fr-CA"/>
        </w:rPr>
        <w:t>52 (</w:t>
      </w:r>
      <w:r>
        <w:rPr>
          <w:iCs/>
          <w:lang w:val="fr-CA"/>
        </w:rPr>
        <w:t>je souligne</w:t>
      </w:r>
      <w:r w:rsidRPr="00EF0DA1">
        <w:rPr>
          <w:iCs/>
          <w:lang w:val="fr-CA"/>
        </w:rPr>
        <w:t>).</w:t>
      </w:r>
    </w:p>
  </w:footnote>
  <w:footnote w:id="19">
    <w:p w14:paraId="3F1F6B72" w14:textId="7A5524C1" w:rsidR="00780643" w:rsidRPr="00780643" w:rsidRDefault="00780643">
      <w:pPr>
        <w:pStyle w:val="FootnoteText"/>
        <w:rPr>
          <w:lang w:val="fr-CA"/>
        </w:rPr>
      </w:pPr>
      <w:r>
        <w:rPr>
          <w:rStyle w:val="FootnoteReference"/>
        </w:rPr>
        <w:footnoteRef/>
      </w:r>
      <w:r w:rsidRPr="00780643">
        <w:rPr>
          <w:lang w:val="fr-CA"/>
        </w:rPr>
        <w:t xml:space="preserve"> </w:t>
      </w:r>
      <w:r w:rsidRPr="00563DDA">
        <w:rPr>
          <w:lang w:val="fr-CA"/>
        </w:rPr>
        <w:t>Entre 2013</w:t>
      </w:r>
      <w:r>
        <w:rPr>
          <w:lang w:val="fr-CA"/>
        </w:rPr>
        <w:t xml:space="preserve"> et </w:t>
      </w:r>
      <w:r w:rsidRPr="00563DDA">
        <w:rPr>
          <w:lang w:val="fr-CA"/>
        </w:rPr>
        <w:t xml:space="preserve">2017, </w:t>
      </w:r>
      <w:r>
        <w:rPr>
          <w:lang w:val="fr-CA"/>
        </w:rPr>
        <w:t xml:space="preserve">les hommes représentaient respectivement </w:t>
      </w:r>
      <w:r w:rsidRPr="00563DDA">
        <w:rPr>
          <w:lang w:val="fr-CA"/>
        </w:rPr>
        <w:t>78, 78</w:t>
      </w:r>
      <w:r>
        <w:rPr>
          <w:lang w:val="fr-CA"/>
        </w:rPr>
        <w:t>,</w:t>
      </w:r>
      <w:r w:rsidRPr="00563DDA">
        <w:rPr>
          <w:lang w:val="fr-CA"/>
        </w:rPr>
        <w:t>3, 76</w:t>
      </w:r>
      <w:r>
        <w:rPr>
          <w:lang w:val="fr-CA"/>
        </w:rPr>
        <w:t>,</w:t>
      </w:r>
      <w:r w:rsidRPr="00563DDA">
        <w:rPr>
          <w:lang w:val="fr-CA"/>
        </w:rPr>
        <w:t>8, 76</w:t>
      </w:r>
      <w:r>
        <w:rPr>
          <w:lang w:val="fr-CA"/>
        </w:rPr>
        <w:t>,</w:t>
      </w:r>
      <w:r w:rsidRPr="00563DDA">
        <w:rPr>
          <w:lang w:val="fr-CA"/>
        </w:rPr>
        <w:t>1</w:t>
      </w:r>
      <w:r>
        <w:rPr>
          <w:lang w:val="fr-CA"/>
        </w:rPr>
        <w:t xml:space="preserve"> et </w:t>
      </w:r>
      <w:r w:rsidRPr="00563DDA">
        <w:rPr>
          <w:lang w:val="fr-CA"/>
        </w:rPr>
        <w:t>75</w:t>
      </w:r>
      <w:r>
        <w:rPr>
          <w:lang w:val="fr-CA"/>
        </w:rPr>
        <w:t>,</w:t>
      </w:r>
      <w:r w:rsidRPr="00563DDA">
        <w:rPr>
          <w:lang w:val="fr-CA"/>
        </w:rPr>
        <w:t>8</w:t>
      </w:r>
      <w:r>
        <w:rPr>
          <w:lang w:val="fr-CA"/>
        </w:rPr>
        <w:t> pour cent</w:t>
      </w:r>
      <w:r w:rsidRPr="00563DDA">
        <w:rPr>
          <w:lang w:val="fr-CA"/>
        </w:rPr>
        <w:t xml:space="preserve"> </w:t>
      </w:r>
      <w:r>
        <w:rPr>
          <w:lang w:val="fr-CA"/>
        </w:rPr>
        <w:t xml:space="preserve">de la frange des 1 pour cent des plus hauts salariés : voir </w:t>
      </w:r>
      <w:r w:rsidRPr="00563DDA">
        <w:rPr>
          <w:lang w:val="fr-CA"/>
        </w:rPr>
        <w:t>Statisti</w:t>
      </w:r>
      <w:r>
        <w:rPr>
          <w:lang w:val="fr-CA"/>
        </w:rPr>
        <w:t>que</w:t>
      </w:r>
      <w:r w:rsidRPr="00563DDA">
        <w:rPr>
          <w:lang w:val="fr-CA"/>
        </w:rPr>
        <w:t xml:space="preserve"> Canada</w:t>
      </w:r>
      <w:r>
        <w:rPr>
          <w:lang w:val="fr-CA"/>
        </w:rPr>
        <w:t>,</w:t>
      </w:r>
      <w:r w:rsidRPr="00563DDA">
        <w:rPr>
          <w:lang w:val="fr-CA"/>
        </w:rPr>
        <w:t xml:space="preserve"> </w:t>
      </w:r>
      <w:r w:rsidRPr="00563DDA">
        <w:rPr>
          <w:i/>
          <w:lang w:val="fr-CA"/>
        </w:rPr>
        <w:t>Table</w:t>
      </w:r>
      <w:r>
        <w:rPr>
          <w:i/>
          <w:lang w:val="fr-CA"/>
        </w:rPr>
        <w:t>au</w:t>
      </w:r>
      <w:r w:rsidRPr="00563DDA">
        <w:rPr>
          <w:i/>
          <w:lang w:val="fr-CA"/>
        </w:rPr>
        <w:t xml:space="preserve"> 11-10-0055-01</w:t>
      </w:r>
      <w:r>
        <w:rPr>
          <w:lang w:val="fr-CA"/>
        </w:rPr>
        <w:t xml:space="preserve"> </w:t>
      </w:r>
      <w:r w:rsidRPr="00EF0DA1">
        <w:rPr>
          <w:lang w:val="fr-CA"/>
        </w:rPr>
        <w:t>—</w:t>
      </w:r>
      <w:r>
        <w:rPr>
          <w:lang w:val="fr-CA"/>
        </w:rPr>
        <w:t xml:space="preserve"> </w:t>
      </w:r>
      <w:r>
        <w:rPr>
          <w:i/>
          <w:lang w:val="fr-CA"/>
        </w:rPr>
        <w:t xml:space="preserve">Les déclarants à revenu élevé, au </w:t>
      </w:r>
      <w:r w:rsidRPr="00563DDA">
        <w:rPr>
          <w:i/>
          <w:lang w:val="fr-CA"/>
        </w:rPr>
        <w:t>Canada</w:t>
      </w:r>
      <w:r>
        <w:rPr>
          <w:i/>
          <w:lang w:val="fr-CA"/>
        </w:rPr>
        <w:t xml:space="preserve"> </w:t>
      </w:r>
      <w:r>
        <w:rPr>
          <w:lang w:val="fr-CA"/>
        </w:rPr>
        <w:t>(en ligne)</w:t>
      </w:r>
      <w:r w:rsidRPr="00563DDA">
        <w:rPr>
          <w:lang w:val="fr-CA"/>
        </w:rPr>
        <w:t>.</w:t>
      </w:r>
    </w:p>
  </w:footnote>
  <w:footnote w:id="20">
    <w:p w14:paraId="308A4DF0" w14:textId="39CE3F40" w:rsidR="00780643" w:rsidRPr="00780643" w:rsidRDefault="00780643">
      <w:pPr>
        <w:pStyle w:val="FootnoteText"/>
        <w:rPr>
          <w:lang w:val="fr-CA"/>
        </w:rPr>
      </w:pPr>
      <w:r>
        <w:rPr>
          <w:rStyle w:val="FootnoteReference"/>
        </w:rPr>
        <w:footnoteRef/>
      </w:r>
      <w:r w:rsidRPr="00780643">
        <w:rPr>
          <w:lang w:val="fr-CA"/>
        </w:rPr>
        <w:t xml:space="preserve"> </w:t>
      </w:r>
      <w:r>
        <w:rPr>
          <w:lang w:val="fr-CA"/>
        </w:rPr>
        <w:t>En</w:t>
      </w:r>
      <w:r w:rsidRPr="00563DDA">
        <w:rPr>
          <w:lang w:val="fr-CA"/>
        </w:rPr>
        <w:t xml:space="preserve"> 2019, </w:t>
      </w:r>
      <w:r>
        <w:rPr>
          <w:lang w:val="fr-CA"/>
        </w:rPr>
        <w:t xml:space="preserve">environ </w:t>
      </w:r>
      <w:r w:rsidRPr="00563DDA">
        <w:rPr>
          <w:lang w:val="fr-CA"/>
        </w:rPr>
        <w:t>90</w:t>
      </w:r>
      <w:r>
        <w:rPr>
          <w:lang w:val="fr-CA"/>
        </w:rPr>
        <w:t> </w:t>
      </w:r>
      <w:r w:rsidR="00DD51C5">
        <w:rPr>
          <w:lang w:val="fr-CA"/>
        </w:rPr>
        <w:t>p. 100</w:t>
      </w:r>
      <w:r w:rsidRPr="00E87888">
        <w:rPr>
          <w:lang w:val="fr-CA"/>
        </w:rPr>
        <w:t xml:space="preserve"> du personnel</w:t>
      </w:r>
      <w:r>
        <w:rPr>
          <w:lang w:val="fr-CA"/>
        </w:rPr>
        <w:t xml:space="preserve"> infirmier réglementé au </w:t>
      </w:r>
      <w:r w:rsidRPr="00563DDA">
        <w:rPr>
          <w:lang w:val="fr-CA"/>
        </w:rPr>
        <w:t xml:space="preserve">Canada </w:t>
      </w:r>
      <w:r>
        <w:rPr>
          <w:lang w:val="fr-CA"/>
        </w:rPr>
        <w:t xml:space="preserve">était composé de femmes : voir </w:t>
      </w:r>
      <w:r w:rsidRPr="00563DDA">
        <w:rPr>
          <w:lang w:val="fr-CA"/>
        </w:rPr>
        <w:t>Institut</w:t>
      </w:r>
      <w:r>
        <w:rPr>
          <w:lang w:val="fr-CA"/>
        </w:rPr>
        <w:t xml:space="preserve"> canadien d’information sur la santé,</w:t>
      </w:r>
      <w:r w:rsidRPr="00563DDA">
        <w:rPr>
          <w:lang w:val="fr-CA"/>
        </w:rPr>
        <w:t xml:space="preserve"> </w:t>
      </w:r>
      <w:r w:rsidRPr="00563DDA">
        <w:rPr>
          <w:i/>
          <w:lang w:val="fr-CA"/>
        </w:rPr>
        <w:t>Le personnel infirmier au Canada, 2019</w:t>
      </w:r>
      <w:r>
        <w:rPr>
          <w:i/>
          <w:lang w:val="fr-CA"/>
        </w:rPr>
        <w:t> </w:t>
      </w:r>
      <w:r w:rsidRPr="00563DDA">
        <w:rPr>
          <w:i/>
          <w:lang w:val="fr-CA"/>
        </w:rPr>
        <w:t xml:space="preserve">: </w:t>
      </w:r>
      <w:r>
        <w:rPr>
          <w:i/>
          <w:lang w:val="fr-CA"/>
        </w:rPr>
        <w:t xml:space="preserve">un regard sur l’effectif et la main-d’œuvre </w:t>
      </w:r>
      <w:r>
        <w:rPr>
          <w:lang w:val="fr-CA"/>
        </w:rPr>
        <w:t>(</w:t>
      </w:r>
      <w:r w:rsidRPr="00563DDA">
        <w:rPr>
          <w:lang w:val="fr-CA"/>
        </w:rPr>
        <w:t>2020</w:t>
      </w:r>
      <w:r>
        <w:rPr>
          <w:lang w:val="fr-CA"/>
        </w:rPr>
        <w:t>)</w:t>
      </w:r>
      <w:r w:rsidRPr="00563DDA">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19D4C" w14:textId="77777777" w:rsidR="00FD349F" w:rsidRDefault="00FD34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9968" w14:textId="77777777" w:rsidR="00FD349F" w:rsidRPr="00F87DEB" w:rsidRDefault="00FD349F" w:rsidP="00F87D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B34E3" w14:textId="77777777" w:rsidR="00FD349F" w:rsidRDefault="00FD3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53C"/>
    <w:multiLevelType w:val="hybridMultilevel"/>
    <w:tmpl w:val="41F8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00D7"/>
    <w:multiLevelType w:val="hybridMultilevel"/>
    <w:tmpl w:val="C45ED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7410C"/>
    <w:multiLevelType w:val="multilevel"/>
    <w:tmpl w:val="258000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strike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7745D5"/>
    <w:multiLevelType w:val="hybridMultilevel"/>
    <w:tmpl w:val="7F50B6E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BBC623E"/>
    <w:multiLevelType w:val="hybridMultilevel"/>
    <w:tmpl w:val="7A6CF16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1B2188"/>
    <w:multiLevelType w:val="hybridMultilevel"/>
    <w:tmpl w:val="0A6A03F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7" w15:restartNumberingAfterBreak="0">
    <w:nsid w:val="1C3547A1"/>
    <w:multiLevelType w:val="hybridMultilevel"/>
    <w:tmpl w:val="1520D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551D9"/>
    <w:multiLevelType w:val="hybridMultilevel"/>
    <w:tmpl w:val="8D2431A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903212"/>
    <w:multiLevelType w:val="hybridMultilevel"/>
    <w:tmpl w:val="36802448"/>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1" w15:restartNumberingAfterBreak="0">
    <w:nsid w:val="2A431543"/>
    <w:multiLevelType w:val="hybridMultilevel"/>
    <w:tmpl w:val="BC827452"/>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2" w15:restartNumberingAfterBreak="0">
    <w:nsid w:val="32231BE1"/>
    <w:multiLevelType w:val="hybridMultilevel"/>
    <w:tmpl w:val="C45A3B52"/>
    <w:lvl w:ilvl="0" w:tplc="1FF0943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30242"/>
    <w:multiLevelType w:val="hybridMultilevel"/>
    <w:tmpl w:val="B8F0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A3C30"/>
    <w:multiLevelType w:val="hybridMultilevel"/>
    <w:tmpl w:val="5744253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5" w15:restartNumberingAfterBreak="0">
    <w:nsid w:val="3B3E08EA"/>
    <w:multiLevelType w:val="hybridMultilevel"/>
    <w:tmpl w:val="735ADE38"/>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7" w15:restartNumberingAfterBreak="0">
    <w:nsid w:val="483F6A3A"/>
    <w:multiLevelType w:val="hybridMultilevel"/>
    <w:tmpl w:val="E9F4F0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D4D4501"/>
    <w:multiLevelType w:val="hybridMultilevel"/>
    <w:tmpl w:val="D67E560E"/>
    <w:lvl w:ilvl="0" w:tplc="FEBE62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83EE8"/>
    <w:multiLevelType w:val="multilevel"/>
    <w:tmpl w:val="2A882780"/>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43D6FAB"/>
    <w:multiLevelType w:val="hybridMultilevel"/>
    <w:tmpl w:val="A940A572"/>
    <w:lvl w:ilvl="0" w:tplc="B5CE300C">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464667"/>
    <w:multiLevelType w:val="hybridMultilevel"/>
    <w:tmpl w:val="45D4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D929BF"/>
    <w:multiLevelType w:val="hybridMultilevel"/>
    <w:tmpl w:val="7F00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D373E"/>
    <w:multiLevelType w:val="hybridMultilevel"/>
    <w:tmpl w:val="09846E90"/>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0675FEF"/>
    <w:multiLevelType w:val="multilevel"/>
    <w:tmpl w:val="860AA0D6"/>
    <w:lvl w:ilvl="0">
      <w:start w:val="1"/>
      <w:numFmt w:val="decimal"/>
      <w:pStyle w:val="ParaLevel1"/>
      <w:lvlText w:val="%1."/>
      <w:lvlJc w:val="left"/>
      <w:pPr>
        <w:tabs>
          <w:tab w:val="num" w:pos="1288"/>
        </w:tabs>
        <w:ind w:left="1288" w:hanging="720"/>
      </w:pPr>
      <w:rPr>
        <w:rFonts w:ascii="Times New Roman" w:hAnsi="Times New Roman" w:cs="Times New Roman" w:hint="default"/>
        <w:u w:val="none"/>
        <w:lang w:val="en-CA"/>
      </w:rPr>
    </w:lvl>
    <w:lvl w:ilvl="1">
      <w:start w:val="1"/>
      <w:numFmt w:val="decimal"/>
      <w:pStyle w:val="ParaLevel2"/>
      <w:lvlText w:val="%2."/>
      <w:lvlJc w:val="left"/>
      <w:pPr>
        <w:tabs>
          <w:tab w:val="num" w:pos="927"/>
        </w:tabs>
        <w:ind w:left="567" w:firstLine="0"/>
      </w:pPr>
      <w:rPr>
        <w:rFonts w:ascii="Times New Roman" w:eastAsia="Times New Roman" w:hAnsi="Times New Roman" w:cs="Times New Roman"/>
      </w:rPr>
    </w:lvl>
    <w:lvl w:ilvl="2">
      <w:start w:val="1"/>
      <w:numFmt w:val="lowerRoman"/>
      <w:pStyle w:val="ParaLevel3"/>
      <w:lvlText w:val="(%3)"/>
      <w:lvlJc w:val="left"/>
      <w:pPr>
        <w:tabs>
          <w:tab w:val="num" w:pos="2160"/>
        </w:tabs>
        <w:ind w:left="720" w:firstLine="720"/>
      </w:pPr>
      <w:rPr>
        <w:rFonts w:hint="default"/>
      </w:rPr>
    </w:lvl>
    <w:lvl w:ilvl="3">
      <w:start w:val="1"/>
      <w:numFmt w:val="lowerRoman"/>
      <w:lvlText w:val="(%4)"/>
      <w:lvlJc w:val="left"/>
      <w:pPr>
        <w:tabs>
          <w:tab w:val="num" w:pos="1758"/>
        </w:tabs>
        <w:ind w:left="1758" w:hanging="67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93943E9"/>
    <w:multiLevelType w:val="hybridMultilevel"/>
    <w:tmpl w:val="E5EACE7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1"/>
  </w:num>
  <w:num w:numId="2">
    <w:abstractNumId w:val="16"/>
  </w:num>
  <w:num w:numId="3">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14"/>
  </w:num>
  <w:num w:numId="5">
    <w:abstractNumId w:val="27"/>
  </w:num>
  <w:num w:numId="6">
    <w:abstractNumId w:val="4"/>
  </w:num>
  <w:num w:numId="7">
    <w:abstractNumId w:val="10"/>
  </w:num>
  <w:num w:numId="8">
    <w:abstractNumId w:val="28"/>
  </w:num>
  <w:num w:numId="9">
    <w:abstractNumId w:val="25"/>
  </w:num>
  <w:num w:numId="10">
    <w:abstractNumId w:val="23"/>
  </w:num>
  <w:num w:numId="11">
    <w:abstractNumId w:val="0"/>
  </w:num>
  <w:num w:numId="12">
    <w:abstractNumId w:val="24"/>
  </w:num>
  <w:num w:numId="13">
    <w:abstractNumId w:val="13"/>
  </w:num>
  <w:num w:numId="14">
    <w:abstractNumId w:val="12"/>
  </w:num>
  <w:num w:numId="15">
    <w:abstractNumId w:val="20"/>
  </w:num>
  <w:num w:numId="16">
    <w:abstractNumId w:val="9"/>
  </w:num>
  <w:num w:numId="17">
    <w:abstractNumId w:val="26"/>
  </w:num>
  <w:num w:numId="18">
    <w:abstractNumId w:val="3"/>
  </w:num>
  <w:num w:numId="19">
    <w:abstractNumId w:val="17"/>
  </w:num>
  <w:num w:numId="20">
    <w:abstractNumId w:val="6"/>
  </w:num>
  <w:num w:numId="21">
    <w:abstractNumId w:val="11"/>
  </w:num>
  <w:num w:numId="22">
    <w:abstractNumId w:val="8"/>
  </w:num>
  <w:num w:numId="23">
    <w:abstractNumId w:val="22"/>
  </w:num>
  <w:num w:numId="24">
    <w:abstractNumId w:val="5"/>
  </w:num>
  <w:num w:numId="25">
    <w:abstractNumId w:val="18"/>
  </w:num>
  <w:num w:numId="26">
    <w:abstractNumId w:val="1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54DF"/>
    <w:rsid w:val="00005B50"/>
    <w:rsid w:val="00013032"/>
    <w:rsid w:val="00023FC7"/>
    <w:rsid w:val="00025198"/>
    <w:rsid w:val="0003033E"/>
    <w:rsid w:val="00032F5E"/>
    <w:rsid w:val="00036D2D"/>
    <w:rsid w:val="000409AB"/>
    <w:rsid w:val="000423A3"/>
    <w:rsid w:val="0004493C"/>
    <w:rsid w:val="00047190"/>
    <w:rsid w:val="00052712"/>
    <w:rsid w:val="00053600"/>
    <w:rsid w:val="00055E8D"/>
    <w:rsid w:val="000578A3"/>
    <w:rsid w:val="0006324B"/>
    <w:rsid w:val="000648CC"/>
    <w:rsid w:val="00080B21"/>
    <w:rsid w:val="000846A2"/>
    <w:rsid w:val="000849DA"/>
    <w:rsid w:val="0009382E"/>
    <w:rsid w:val="00096362"/>
    <w:rsid w:val="000A4B4C"/>
    <w:rsid w:val="000B007D"/>
    <w:rsid w:val="000B0BD0"/>
    <w:rsid w:val="000B0DEF"/>
    <w:rsid w:val="000B440E"/>
    <w:rsid w:val="000B5459"/>
    <w:rsid w:val="000B68E7"/>
    <w:rsid w:val="000C076E"/>
    <w:rsid w:val="000C2135"/>
    <w:rsid w:val="000C59B8"/>
    <w:rsid w:val="000C5D46"/>
    <w:rsid w:val="000C67C5"/>
    <w:rsid w:val="000C6AF0"/>
    <w:rsid w:val="000D0A77"/>
    <w:rsid w:val="000D2BAE"/>
    <w:rsid w:val="000D3B36"/>
    <w:rsid w:val="000E3B38"/>
    <w:rsid w:val="000E4342"/>
    <w:rsid w:val="000E6B54"/>
    <w:rsid w:val="000F7993"/>
    <w:rsid w:val="00103D64"/>
    <w:rsid w:val="00104F33"/>
    <w:rsid w:val="001051FC"/>
    <w:rsid w:val="00111DE2"/>
    <w:rsid w:val="001124E3"/>
    <w:rsid w:val="001129C7"/>
    <w:rsid w:val="00113ED1"/>
    <w:rsid w:val="00116B38"/>
    <w:rsid w:val="001223EE"/>
    <w:rsid w:val="001326CB"/>
    <w:rsid w:val="001328A1"/>
    <w:rsid w:val="00135406"/>
    <w:rsid w:val="00135972"/>
    <w:rsid w:val="00140DAE"/>
    <w:rsid w:val="001426A9"/>
    <w:rsid w:val="001444AA"/>
    <w:rsid w:val="00145176"/>
    <w:rsid w:val="00154D7C"/>
    <w:rsid w:val="00155C65"/>
    <w:rsid w:val="00156C97"/>
    <w:rsid w:val="001570B0"/>
    <w:rsid w:val="0015752C"/>
    <w:rsid w:val="00157737"/>
    <w:rsid w:val="00165277"/>
    <w:rsid w:val="00170592"/>
    <w:rsid w:val="00170E9C"/>
    <w:rsid w:val="001720F7"/>
    <w:rsid w:val="001744F4"/>
    <w:rsid w:val="001746E6"/>
    <w:rsid w:val="00175ECB"/>
    <w:rsid w:val="001761E9"/>
    <w:rsid w:val="00185354"/>
    <w:rsid w:val="00192947"/>
    <w:rsid w:val="00195D83"/>
    <w:rsid w:val="00197F46"/>
    <w:rsid w:val="001A00C1"/>
    <w:rsid w:val="001A5988"/>
    <w:rsid w:val="001A7EE1"/>
    <w:rsid w:val="001B33E0"/>
    <w:rsid w:val="001B4573"/>
    <w:rsid w:val="001B4EDF"/>
    <w:rsid w:val="001C779F"/>
    <w:rsid w:val="001D1E42"/>
    <w:rsid w:val="001D2754"/>
    <w:rsid w:val="001D2972"/>
    <w:rsid w:val="001D2AC1"/>
    <w:rsid w:val="001D4539"/>
    <w:rsid w:val="001D4E7E"/>
    <w:rsid w:val="001D4E88"/>
    <w:rsid w:val="001D53E6"/>
    <w:rsid w:val="001D63A5"/>
    <w:rsid w:val="001E2D21"/>
    <w:rsid w:val="001E658F"/>
    <w:rsid w:val="001E6D65"/>
    <w:rsid w:val="001F5706"/>
    <w:rsid w:val="00201345"/>
    <w:rsid w:val="002018B3"/>
    <w:rsid w:val="00203C94"/>
    <w:rsid w:val="002167F7"/>
    <w:rsid w:val="00220FC2"/>
    <w:rsid w:val="002222F4"/>
    <w:rsid w:val="00224FC0"/>
    <w:rsid w:val="00225EA4"/>
    <w:rsid w:val="00226EAF"/>
    <w:rsid w:val="00231F3A"/>
    <w:rsid w:val="002406EE"/>
    <w:rsid w:val="00243EC8"/>
    <w:rsid w:val="00245D00"/>
    <w:rsid w:val="00247059"/>
    <w:rsid w:val="00250B5C"/>
    <w:rsid w:val="00256CCA"/>
    <w:rsid w:val="00257D32"/>
    <w:rsid w:val="0026655E"/>
    <w:rsid w:val="0027023B"/>
    <w:rsid w:val="00270D93"/>
    <w:rsid w:val="002731AA"/>
    <w:rsid w:val="002745CC"/>
    <w:rsid w:val="00275694"/>
    <w:rsid w:val="00276D32"/>
    <w:rsid w:val="00285A77"/>
    <w:rsid w:val="002931B7"/>
    <w:rsid w:val="002968A0"/>
    <w:rsid w:val="00296D95"/>
    <w:rsid w:val="002A320A"/>
    <w:rsid w:val="002A4F2F"/>
    <w:rsid w:val="002A593C"/>
    <w:rsid w:val="002A69CB"/>
    <w:rsid w:val="002B1BF6"/>
    <w:rsid w:val="002B2683"/>
    <w:rsid w:val="002B6FBE"/>
    <w:rsid w:val="002B7924"/>
    <w:rsid w:val="002C10A6"/>
    <w:rsid w:val="002C1AAE"/>
    <w:rsid w:val="002D12A2"/>
    <w:rsid w:val="002D28C3"/>
    <w:rsid w:val="002D39A4"/>
    <w:rsid w:val="002D413D"/>
    <w:rsid w:val="002D685E"/>
    <w:rsid w:val="002D793C"/>
    <w:rsid w:val="002E3FA4"/>
    <w:rsid w:val="002E6705"/>
    <w:rsid w:val="002E752C"/>
    <w:rsid w:val="002F6DFD"/>
    <w:rsid w:val="002F6F01"/>
    <w:rsid w:val="0030329A"/>
    <w:rsid w:val="00306CC8"/>
    <w:rsid w:val="0031086F"/>
    <w:rsid w:val="00311A8F"/>
    <w:rsid w:val="0031414C"/>
    <w:rsid w:val="00314E01"/>
    <w:rsid w:val="0032089D"/>
    <w:rsid w:val="00325280"/>
    <w:rsid w:val="0033064B"/>
    <w:rsid w:val="003310DE"/>
    <w:rsid w:val="00331A32"/>
    <w:rsid w:val="003323B0"/>
    <w:rsid w:val="00340A49"/>
    <w:rsid w:val="00341222"/>
    <w:rsid w:val="00341BC4"/>
    <w:rsid w:val="00342BE8"/>
    <w:rsid w:val="00346740"/>
    <w:rsid w:val="0035169A"/>
    <w:rsid w:val="0035259D"/>
    <w:rsid w:val="00354A1A"/>
    <w:rsid w:val="003630C7"/>
    <w:rsid w:val="00364B18"/>
    <w:rsid w:val="00367A7B"/>
    <w:rsid w:val="00374B02"/>
    <w:rsid w:val="00374D14"/>
    <w:rsid w:val="003765AE"/>
    <w:rsid w:val="003804CC"/>
    <w:rsid w:val="00383FCF"/>
    <w:rsid w:val="00384273"/>
    <w:rsid w:val="003936A5"/>
    <w:rsid w:val="00395CF7"/>
    <w:rsid w:val="003A125D"/>
    <w:rsid w:val="003A3709"/>
    <w:rsid w:val="003A3989"/>
    <w:rsid w:val="003A4C70"/>
    <w:rsid w:val="003A5313"/>
    <w:rsid w:val="003B156C"/>
    <w:rsid w:val="003B215F"/>
    <w:rsid w:val="003B3651"/>
    <w:rsid w:val="003B471C"/>
    <w:rsid w:val="003C651F"/>
    <w:rsid w:val="003C799C"/>
    <w:rsid w:val="003C7A7D"/>
    <w:rsid w:val="003D0399"/>
    <w:rsid w:val="003D27CA"/>
    <w:rsid w:val="003D300C"/>
    <w:rsid w:val="003D7922"/>
    <w:rsid w:val="003D7C9E"/>
    <w:rsid w:val="003E04E7"/>
    <w:rsid w:val="003E1C71"/>
    <w:rsid w:val="003F327B"/>
    <w:rsid w:val="003F5069"/>
    <w:rsid w:val="0040096F"/>
    <w:rsid w:val="00404130"/>
    <w:rsid w:val="0040451C"/>
    <w:rsid w:val="00406166"/>
    <w:rsid w:val="0040704B"/>
    <w:rsid w:val="00410A55"/>
    <w:rsid w:val="00411300"/>
    <w:rsid w:val="004114CC"/>
    <w:rsid w:val="00413F17"/>
    <w:rsid w:val="00415417"/>
    <w:rsid w:val="0042025B"/>
    <w:rsid w:val="004222F1"/>
    <w:rsid w:val="00426659"/>
    <w:rsid w:val="0043427B"/>
    <w:rsid w:val="00434822"/>
    <w:rsid w:val="00441137"/>
    <w:rsid w:val="004443F9"/>
    <w:rsid w:val="00450352"/>
    <w:rsid w:val="00453574"/>
    <w:rsid w:val="00454BDB"/>
    <w:rsid w:val="004617E9"/>
    <w:rsid w:val="00465132"/>
    <w:rsid w:val="00466F0B"/>
    <w:rsid w:val="0046727D"/>
    <w:rsid w:val="00472E54"/>
    <w:rsid w:val="00480C90"/>
    <w:rsid w:val="0048396F"/>
    <w:rsid w:val="0048698D"/>
    <w:rsid w:val="00487EAF"/>
    <w:rsid w:val="00493C18"/>
    <w:rsid w:val="00494CE3"/>
    <w:rsid w:val="004954EC"/>
    <w:rsid w:val="00495C1B"/>
    <w:rsid w:val="004A3ECB"/>
    <w:rsid w:val="004A42DE"/>
    <w:rsid w:val="004A600C"/>
    <w:rsid w:val="004A6118"/>
    <w:rsid w:val="004A6C32"/>
    <w:rsid w:val="004B14DC"/>
    <w:rsid w:val="004B162D"/>
    <w:rsid w:val="004B3F53"/>
    <w:rsid w:val="004B6658"/>
    <w:rsid w:val="004C386A"/>
    <w:rsid w:val="004C478D"/>
    <w:rsid w:val="004C48CC"/>
    <w:rsid w:val="004D34F6"/>
    <w:rsid w:val="004D4583"/>
    <w:rsid w:val="004D7D95"/>
    <w:rsid w:val="004E08B6"/>
    <w:rsid w:val="004E2C26"/>
    <w:rsid w:val="004E4DE9"/>
    <w:rsid w:val="00500117"/>
    <w:rsid w:val="00502207"/>
    <w:rsid w:val="005117A8"/>
    <w:rsid w:val="005125A8"/>
    <w:rsid w:val="00512D98"/>
    <w:rsid w:val="0051563D"/>
    <w:rsid w:val="00515C00"/>
    <w:rsid w:val="00517549"/>
    <w:rsid w:val="00520ABC"/>
    <w:rsid w:val="00521AE8"/>
    <w:rsid w:val="00522048"/>
    <w:rsid w:val="005230BA"/>
    <w:rsid w:val="0052503F"/>
    <w:rsid w:val="00527180"/>
    <w:rsid w:val="00527FA2"/>
    <w:rsid w:val="00546EA0"/>
    <w:rsid w:val="00550FA2"/>
    <w:rsid w:val="00551A52"/>
    <w:rsid w:val="00555291"/>
    <w:rsid w:val="00556CFA"/>
    <w:rsid w:val="0056486B"/>
    <w:rsid w:val="00566AD1"/>
    <w:rsid w:val="00566B64"/>
    <w:rsid w:val="005678CF"/>
    <w:rsid w:val="00583EDE"/>
    <w:rsid w:val="00585A77"/>
    <w:rsid w:val="00587F87"/>
    <w:rsid w:val="00593AA6"/>
    <w:rsid w:val="00596470"/>
    <w:rsid w:val="00597B54"/>
    <w:rsid w:val="00597D2C"/>
    <w:rsid w:val="005A6079"/>
    <w:rsid w:val="005B03D4"/>
    <w:rsid w:val="005D41FB"/>
    <w:rsid w:val="005D5392"/>
    <w:rsid w:val="005E16DB"/>
    <w:rsid w:val="005E4698"/>
    <w:rsid w:val="005F4A0D"/>
    <w:rsid w:val="0060303A"/>
    <w:rsid w:val="00603924"/>
    <w:rsid w:val="0060573E"/>
    <w:rsid w:val="00610539"/>
    <w:rsid w:val="00613969"/>
    <w:rsid w:val="0061523E"/>
    <w:rsid w:val="00620463"/>
    <w:rsid w:val="00625C35"/>
    <w:rsid w:val="00630DC4"/>
    <w:rsid w:val="00630EC5"/>
    <w:rsid w:val="0063335F"/>
    <w:rsid w:val="0063705A"/>
    <w:rsid w:val="00640A23"/>
    <w:rsid w:val="006447ED"/>
    <w:rsid w:val="00647E49"/>
    <w:rsid w:val="00651A87"/>
    <w:rsid w:val="00651C19"/>
    <w:rsid w:val="00654E5A"/>
    <w:rsid w:val="00656313"/>
    <w:rsid w:val="006565F4"/>
    <w:rsid w:val="006601C6"/>
    <w:rsid w:val="00661DE7"/>
    <w:rsid w:val="00664745"/>
    <w:rsid w:val="0067478F"/>
    <w:rsid w:val="00684EEA"/>
    <w:rsid w:val="00690D63"/>
    <w:rsid w:val="0069689B"/>
    <w:rsid w:val="00696C12"/>
    <w:rsid w:val="006B1004"/>
    <w:rsid w:val="006B1A0D"/>
    <w:rsid w:val="006B1A82"/>
    <w:rsid w:val="006B2196"/>
    <w:rsid w:val="006B2B77"/>
    <w:rsid w:val="006B2E4F"/>
    <w:rsid w:val="006B3E44"/>
    <w:rsid w:val="006B5FF5"/>
    <w:rsid w:val="006C0AE0"/>
    <w:rsid w:val="006D22C3"/>
    <w:rsid w:val="006D3187"/>
    <w:rsid w:val="006E27FE"/>
    <w:rsid w:val="006E7387"/>
    <w:rsid w:val="006F01DB"/>
    <w:rsid w:val="006F1E13"/>
    <w:rsid w:val="006F30AF"/>
    <w:rsid w:val="006F612B"/>
    <w:rsid w:val="0070064F"/>
    <w:rsid w:val="00701759"/>
    <w:rsid w:val="00701E83"/>
    <w:rsid w:val="00705B24"/>
    <w:rsid w:val="00705C15"/>
    <w:rsid w:val="00710C00"/>
    <w:rsid w:val="007110F6"/>
    <w:rsid w:val="00720151"/>
    <w:rsid w:val="00720234"/>
    <w:rsid w:val="007208D1"/>
    <w:rsid w:val="00721DEC"/>
    <w:rsid w:val="00726D60"/>
    <w:rsid w:val="0073171E"/>
    <w:rsid w:val="00734766"/>
    <w:rsid w:val="00744518"/>
    <w:rsid w:val="00744EAD"/>
    <w:rsid w:val="00747288"/>
    <w:rsid w:val="00747DD3"/>
    <w:rsid w:val="0075397A"/>
    <w:rsid w:val="007543FD"/>
    <w:rsid w:val="007549C8"/>
    <w:rsid w:val="00757AD2"/>
    <w:rsid w:val="00766D14"/>
    <w:rsid w:val="00767A0F"/>
    <w:rsid w:val="00771536"/>
    <w:rsid w:val="00773402"/>
    <w:rsid w:val="00774D5B"/>
    <w:rsid w:val="007756F6"/>
    <w:rsid w:val="00780643"/>
    <w:rsid w:val="00791272"/>
    <w:rsid w:val="007919FC"/>
    <w:rsid w:val="007951D2"/>
    <w:rsid w:val="00796CE1"/>
    <w:rsid w:val="007A05F6"/>
    <w:rsid w:val="007A52A3"/>
    <w:rsid w:val="007B24BE"/>
    <w:rsid w:val="007B6F4A"/>
    <w:rsid w:val="007C706E"/>
    <w:rsid w:val="007E1C47"/>
    <w:rsid w:val="007E337A"/>
    <w:rsid w:val="007E5C70"/>
    <w:rsid w:val="007E7FA8"/>
    <w:rsid w:val="007F13DD"/>
    <w:rsid w:val="007F2FF5"/>
    <w:rsid w:val="007F3F08"/>
    <w:rsid w:val="007F6EDE"/>
    <w:rsid w:val="00804CC6"/>
    <w:rsid w:val="00804EA2"/>
    <w:rsid w:val="008057F0"/>
    <w:rsid w:val="008079BC"/>
    <w:rsid w:val="0081122E"/>
    <w:rsid w:val="00817190"/>
    <w:rsid w:val="00825324"/>
    <w:rsid w:val="008260E2"/>
    <w:rsid w:val="00830361"/>
    <w:rsid w:val="008322BD"/>
    <w:rsid w:val="0083466C"/>
    <w:rsid w:val="00834F73"/>
    <w:rsid w:val="0084041F"/>
    <w:rsid w:val="008413C1"/>
    <w:rsid w:val="00843882"/>
    <w:rsid w:val="0084683B"/>
    <w:rsid w:val="00846A17"/>
    <w:rsid w:val="00855F10"/>
    <w:rsid w:val="00864C8A"/>
    <w:rsid w:val="00864CF8"/>
    <w:rsid w:val="00874914"/>
    <w:rsid w:val="00874E12"/>
    <w:rsid w:val="008817BE"/>
    <w:rsid w:val="00886616"/>
    <w:rsid w:val="00891422"/>
    <w:rsid w:val="00892E1A"/>
    <w:rsid w:val="00896F3E"/>
    <w:rsid w:val="008A29A0"/>
    <w:rsid w:val="008A78EB"/>
    <w:rsid w:val="008B660A"/>
    <w:rsid w:val="008C01DA"/>
    <w:rsid w:val="008C1281"/>
    <w:rsid w:val="008D23A8"/>
    <w:rsid w:val="008D41DD"/>
    <w:rsid w:val="008E231C"/>
    <w:rsid w:val="008E752C"/>
    <w:rsid w:val="008F2674"/>
    <w:rsid w:val="008F78E9"/>
    <w:rsid w:val="00900AB8"/>
    <w:rsid w:val="00900DBE"/>
    <w:rsid w:val="009022DA"/>
    <w:rsid w:val="009024D0"/>
    <w:rsid w:val="00905B20"/>
    <w:rsid w:val="00910045"/>
    <w:rsid w:val="009151F9"/>
    <w:rsid w:val="009179F9"/>
    <w:rsid w:val="00917C7A"/>
    <w:rsid w:val="009232C6"/>
    <w:rsid w:val="00926B54"/>
    <w:rsid w:val="00927885"/>
    <w:rsid w:val="00927CD7"/>
    <w:rsid w:val="00933E5E"/>
    <w:rsid w:val="00934DFB"/>
    <w:rsid w:val="00935218"/>
    <w:rsid w:val="00937C52"/>
    <w:rsid w:val="009403F3"/>
    <w:rsid w:val="009407ED"/>
    <w:rsid w:val="00941944"/>
    <w:rsid w:val="00942F13"/>
    <w:rsid w:val="0094472B"/>
    <w:rsid w:val="00946B3C"/>
    <w:rsid w:val="00946C89"/>
    <w:rsid w:val="00947746"/>
    <w:rsid w:val="00947A2D"/>
    <w:rsid w:val="00947A7A"/>
    <w:rsid w:val="00950F08"/>
    <w:rsid w:val="009555B7"/>
    <w:rsid w:val="00956102"/>
    <w:rsid w:val="009567AA"/>
    <w:rsid w:val="009602C9"/>
    <w:rsid w:val="00963B5C"/>
    <w:rsid w:val="00966833"/>
    <w:rsid w:val="00967374"/>
    <w:rsid w:val="009703A7"/>
    <w:rsid w:val="00982EBC"/>
    <w:rsid w:val="009A343A"/>
    <w:rsid w:val="009A43A2"/>
    <w:rsid w:val="009A44EB"/>
    <w:rsid w:val="009B2F23"/>
    <w:rsid w:val="009B3472"/>
    <w:rsid w:val="009B57B3"/>
    <w:rsid w:val="009C4193"/>
    <w:rsid w:val="009D2920"/>
    <w:rsid w:val="009D49D4"/>
    <w:rsid w:val="009D4CED"/>
    <w:rsid w:val="009D5AEB"/>
    <w:rsid w:val="009E5F9B"/>
    <w:rsid w:val="009F0E33"/>
    <w:rsid w:val="009F2DD9"/>
    <w:rsid w:val="00A047D5"/>
    <w:rsid w:val="00A10FAE"/>
    <w:rsid w:val="00A149DF"/>
    <w:rsid w:val="00A1755C"/>
    <w:rsid w:val="00A20EF6"/>
    <w:rsid w:val="00A21B90"/>
    <w:rsid w:val="00A22834"/>
    <w:rsid w:val="00A22AAC"/>
    <w:rsid w:val="00A233B2"/>
    <w:rsid w:val="00A23F27"/>
    <w:rsid w:val="00A32F9A"/>
    <w:rsid w:val="00A41805"/>
    <w:rsid w:val="00A46939"/>
    <w:rsid w:val="00A51882"/>
    <w:rsid w:val="00A52AFB"/>
    <w:rsid w:val="00A548CB"/>
    <w:rsid w:val="00A5521C"/>
    <w:rsid w:val="00A55383"/>
    <w:rsid w:val="00A60099"/>
    <w:rsid w:val="00A643E7"/>
    <w:rsid w:val="00A66CD2"/>
    <w:rsid w:val="00A73C38"/>
    <w:rsid w:val="00A73C71"/>
    <w:rsid w:val="00A840B3"/>
    <w:rsid w:val="00A8413D"/>
    <w:rsid w:val="00A86BF2"/>
    <w:rsid w:val="00A912C3"/>
    <w:rsid w:val="00A921A7"/>
    <w:rsid w:val="00A942BA"/>
    <w:rsid w:val="00AA343D"/>
    <w:rsid w:val="00AA76A0"/>
    <w:rsid w:val="00AB2A10"/>
    <w:rsid w:val="00AB5F9B"/>
    <w:rsid w:val="00AB670D"/>
    <w:rsid w:val="00AC1306"/>
    <w:rsid w:val="00AD1F99"/>
    <w:rsid w:val="00AD384C"/>
    <w:rsid w:val="00AD6F9A"/>
    <w:rsid w:val="00AD7E86"/>
    <w:rsid w:val="00AE28EA"/>
    <w:rsid w:val="00AE39D9"/>
    <w:rsid w:val="00AF03C5"/>
    <w:rsid w:val="00B00018"/>
    <w:rsid w:val="00B000D8"/>
    <w:rsid w:val="00B00F75"/>
    <w:rsid w:val="00B020BC"/>
    <w:rsid w:val="00B05177"/>
    <w:rsid w:val="00B145B6"/>
    <w:rsid w:val="00B14EAA"/>
    <w:rsid w:val="00B174E7"/>
    <w:rsid w:val="00B279EB"/>
    <w:rsid w:val="00B34C28"/>
    <w:rsid w:val="00B3515A"/>
    <w:rsid w:val="00B40312"/>
    <w:rsid w:val="00B4299A"/>
    <w:rsid w:val="00B44550"/>
    <w:rsid w:val="00B46FD2"/>
    <w:rsid w:val="00B50C81"/>
    <w:rsid w:val="00B51738"/>
    <w:rsid w:val="00B528D8"/>
    <w:rsid w:val="00B557F8"/>
    <w:rsid w:val="00B57A47"/>
    <w:rsid w:val="00B61292"/>
    <w:rsid w:val="00B65620"/>
    <w:rsid w:val="00B71423"/>
    <w:rsid w:val="00B72C4A"/>
    <w:rsid w:val="00B757CA"/>
    <w:rsid w:val="00B7740B"/>
    <w:rsid w:val="00B80EF0"/>
    <w:rsid w:val="00B815FC"/>
    <w:rsid w:val="00B83A3B"/>
    <w:rsid w:val="00B84F78"/>
    <w:rsid w:val="00B93FBC"/>
    <w:rsid w:val="00B94189"/>
    <w:rsid w:val="00B95726"/>
    <w:rsid w:val="00B9586F"/>
    <w:rsid w:val="00BA0E3A"/>
    <w:rsid w:val="00BA7842"/>
    <w:rsid w:val="00BA7DA0"/>
    <w:rsid w:val="00BB2EE4"/>
    <w:rsid w:val="00BB46F1"/>
    <w:rsid w:val="00BB4C92"/>
    <w:rsid w:val="00BC2108"/>
    <w:rsid w:val="00BD0E9E"/>
    <w:rsid w:val="00BD15E1"/>
    <w:rsid w:val="00BD1BEC"/>
    <w:rsid w:val="00BD2618"/>
    <w:rsid w:val="00BD32FF"/>
    <w:rsid w:val="00BD5CF0"/>
    <w:rsid w:val="00BD7D2C"/>
    <w:rsid w:val="00BF19BC"/>
    <w:rsid w:val="00BF5576"/>
    <w:rsid w:val="00BF6FE9"/>
    <w:rsid w:val="00C02092"/>
    <w:rsid w:val="00C21D72"/>
    <w:rsid w:val="00C23E0C"/>
    <w:rsid w:val="00C24D91"/>
    <w:rsid w:val="00C26DB2"/>
    <w:rsid w:val="00C369AE"/>
    <w:rsid w:val="00C4119C"/>
    <w:rsid w:val="00C53F14"/>
    <w:rsid w:val="00C600CF"/>
    <w:rsid w:val="00C6084F"/>
    <w:rsid w:val="00C62A66"/>
    <w:rsid w:val="00C65F57"/>
    <w:rsid w:val="00C66359"/>
    <w:rsid w:val="00C71458"/>
    <w:rsid w:val="00C72308"/>
    <w:rsid w:val="00C72BCF"/>
    <w:rsid w:val="00C77613"/>
    <w:rsid w:val="00C77C16"/>
    <w:rsid w:val="00C828E7"/>
    <w:rsid w:val="00C86719"/>
    <w:rsid w:val="00C921DD"/>
    <w:rsid w:val="00C94588"/>
    <w:rsid w:val="00CA08B5"/>
    <w:rsid w:val="00CA3627"/>
    <w:rsid w:val="00CA42C6"/>
    <w:rsid w:val="00CA6391"/>
    <w:rsid w:val="00CC37D2"/>
    <w:rsid w:val="00CD65BD"/>
    <w:rsid w:val="00CE036E"/>
    <w:rsid w:val="00CE1640"/>
    <w:rsid w:val="00CE212F"/>
    <w:rsid w:val="00CE3171"/>
    <w:rsid w:val="00CE337D"/>
    <w:rsid w:val="00CE4E7D"/>
    <w:rsid w:val="00CF1601"/>
    <w:rsid w:val="00CF2F61"/>
    <w:rsid w:val="00CF7316"/>
    <w:rsid w:val="00CF751F"/>
    <w:rsid w:val="00D0172F"/>
    <w:rsid w:val="00D01937"/>
    <w:rsid w:val="00D01E33"/>
    <w:rsid w:val="00D068A7"/>
    <w:rsid w:val="00D07C0A"/>
    <w:rsid w:val="00D11B0D"/>
    <w:rsid w:val="00D17476"/>
    <w:rsid w:val="00D17B0E"/>
    <w:rsid w:val="00D24B91"/>
    <w:rsid w:val="00D26DE9"/>
    <w:rsid w:val="00D3051D"/>
    <w:rsid w:val="00D32086"/>
    <w:rsid w:val="00D33086"/>
    <w:rsid w:val="00D37A3F"/>
    <w:rsid w:val="00D41D2A"/>
    <w:rsid w:val="00D4431D"/>
    <w:rsid w:val="00D4667A"/>
    <w:rsid w:val="00D46753"/>
    <w:rsid w:val="00D500B1"/>
    <w:rsid w:val="00D572CB"/>
    <w:rsid w:val="00D601F7"/>
    <w:rsid w:val="00D63A1C"/>
    <w:rsid w:val="00D66FF7"/>
    <w:rsid w:val="00D7516F"/>
    <w:rsid w:val="00D812C3"/>
    <w:rsid w:val="00D93928"/>
    <w:rsid w:val="00D95F8E"/>
    <w:rsid w:val="00D97F2A"/>
    <w:rsid w:val="00DA0590"/>
    <w:rsid w:val="00DA58A4"/>
    <w:rsid w:val="00DB2A82"/>
    <w:rsid w:val="00DB3FAD"/>
    <w:rsid w:val="00DB43FD"/>
    <w:rsid w:val="00DB54E9"/>
    <w:rsid w:val="00DB5A23"/>
    <w:rsid w:val="00DB78AE"/>
    <w:rsid w:val="00DC0698"/>
    <w:rsid w:val="00DC1739"/>
    <w:rsid w:val="00DC1788"/>
    <w:rsid w:val="00DC1EB2"/>
    <w:rsid w:val="00DD2EB0"/>
    <w:rsid w:val="00DD51C5"/>
    <w:rsid w:val="00DE319C"/>
    <w:rsid w:val="00DE3A59"/>
    <w:rsid w:val="00DE618F"/>
    <w:rsid w:val="00DF0CA8"/>
    <w:rsid w:val="00DF2B48"/>
    <w:rsid w:val="00DF307F"/>
    <w:rsid w:val="00DF36B1"/>
    <w:rsid w:val="00DF3741"/>
    <w:rsid w:val="00DF49A7"/>
    <w:rsid w:val="00DF699B"/>
    <w:rsid w:val="00DF74B7"/>
    <w:rsid w:val="00E02780"/>
    <w:rsid w:val="00E034AE"/>
    <w:rsid w:val="00E05538"/>
    <w:rsid w:val="00E06358"/>
    <w:rsid w:val="00E07683"/>
    <w:rsid w:val="00E07EE2"/>
    <w:rsid w:val="00E07FD1"/>
    <w:rsid w:val="00E1044F"/>
    <w:rsid w:val="00E11AE7"/>
    <w:rsid w:val="00E12493"/>
    <w:rsid w:val="00E12C2A"/>
    <w:rsid w:val="00E12D42"/>
    <w:rsid w:val="00E15237"/>
    <w:rsid w:val="00E15BAE"/>
    <w:rsid w:val="00E24573"/>
    <w:rsid w:val="00E25E1E"/>
    <w:rsid w:val="00E27EE7"/>
    <w:rsid w:val="00E33337"/>
    <w:rsid w:val="00E34B08"/>
    <w:rsid w:val="00E35404"/>
    <w:rsid w:val="00E44CCF"/>
    <w:rsid w:val="00E45109"/>
    <w:rsid w:val="00E47B7A"/>
    <w:rsid w:val="00E54009"/>
    <w:rsid w:val="00E54F48"/>
    <w:rsid w:val="00E56A44"/>
    <w:rsid w:val="00E60269"/>
    <w:rsid w:val="00E609AB"/>
    <w:rsid w:val="00E613F6"/>
    <w:rsid w:val="00E6369F"/>
    <w:rsid w:val="00E65FFD"/>
    <w:rsid w:val="00E707EE"/>
    <w:rsid w:val="00E77501"/>
    <w:rsid w:val="00E7795D"/>
    <w:rsid w:val="00E81265"/>
    <w:rsid w:val="00E97830"/>
    <w:rsid w:val="00EA0919"/>
    <w:rsid w:val="00EA3C4F"/>
    <w:rsid w:val="00EA4A7D"/>
    <w:rsid w:val="00EA51DF"/>
    <w:rsid w:val="00EA71EF"/>
    <w:rsid w:val="00EB02C6"/>
    <w:rsid w:val="00EB3CA1"/>
    <w:rsid w:val="00EC0B86"/>
    <w:rsid w:val="00EC1FFB"/>
    <w:rsid w:val="00ED0476"/>
    <w:rsid w:val="00ED1725"/>
    <w:rsid w:val="00ED1A78"/>
    <w:rsid w:val="00ED1F08"/>
    <w:rsid w:val="00EE0830"/>
    <w:rsid w:val="00EE1C2C"/>
    <w:rsid w:val="00EE64AE"/>
    <w:rsid w:val="00EE6CB8"/>
    <w:rsid w:val="00EF0263"/>
    <w:rsid w:val="00EF0683"/>
    <w:rsid w:val="00EF75CA"/>
    <w:rsid w:val="00EF7ACC"/>
    <w:rsid w:val="00F0070C"/>
    <w:rsid w:val="00F00EB7"/>
    <w:rsid w:val="00F01C9C"/>
    <w:rsid w:val="00F0682E"/>
    <w:rsid w:val="00F131EE"/>
    <w:rsid w:val="00F1495A"/>
    <w:rsid w:val="00F17D28"/>
    <w:rsid w:val="00F218EA"/>
    <w:rsid w:val="00F24C7F"/>
    <w:rsid w:val="00F26EB5"/>
    <w:rsid w:val="00F300AA"/>
    <w:rsid w:val="00F31529"/>
    <w:rsid w:val="00F36AB6"/>
    <w:rsid w:val="00F37892"/>
    <w:rsid w:val="00F3793D"/>
    <w:rsid w:val="00F37A09"/>
    <w:rsid w:val="00F409CE"/>
    <w:rsid w:val="00F4379D"/>
    <w:rsid w:val="00F50D2D"/>
    <w:rsid w:val="00F523F0"/>
    <w:rsid w:val="00F54211"/>
    <w:rsid w:val="00F56C8B"/>
    <w:rsid w:val="00F60CE6"/>
    <w:rsid w:val="00F61253"/>
    <w:rsid w:val="00F62639"/>
    <w:rsid w:val="00F66810"/>
    <w:rsid w:val="00F84DF4"/>
    <w:rsid w:val="00F858A3"/>
    <w:rsid w:val="00F85AE4"/>
    <w:rsid w:val="00F85C97"/>
    <w:rsid w:val="00F87DEB"/>
    <w:rsid w:val="00F9545E"/>
    <w:rsid w:val="00F978D6"/>
    <w:rsid w:val="00FA10BB"/>
    <w:rsid w:val="00FA1EDA"/>
    <w:rsid w:val="00FA73CA"/>
    <w:rsid w:val="00FB37D2"/>
    <w:rsid w:val="00FB495F"/>
    <w:rsid w:val="00FC4EFB"/>
    <w:rsid w:val="00FD068D"/>
    <w:rsid w:val="00FD349F"/>
    <w:rsid w:val="00FD3CD2"/>
    <w:rsid w:val="00FD4276"/>
    <w:rsid w:val="00FD4F28"/>
    <w:rsid w:val="00FD70BF"/>
    <w:rsid w:val="00FE3227"/>
    <w:rsid w:val="00FE6784"/>
    <w:rsid w:val="00FE7A8B"/>
    <w:rsid w:val="00FF12C6"/>
    <w:rsid w:val="00FF513A"/>
    <w:rsid w:val="00FF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B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ED"/>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4EA2"/>
    <w:pPr>
      <w:keepNext/>
      <w:spacing w:before="200" w:after="240" w:line="271" w:lineRule="auto"/>
      <w:ind w:left="1440"/>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qFormat/>
    <w:rsid w:val="00804EA2"/>
    <w:pPr>
      <w:spacing w:before="200"/>
      <w:ind w:left="216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unhideWhenUsed/>
    <w:qFormat/>
    <w:rsid w:val="00804EA2"/>
    <w:pPr>
      <w:spacing w:before="200"/>
      <w:ind w:left="288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semiHidden/>
    <w:unhideWhenUsed/>
    <w:qFormat/>
    <w:rsid w:val="00804EA2"/>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Heading7">
    <w:name w:val="heading 7"/>
    <w:basedOn w:val="Normal"/>
    <w:next w:val="Normal"/>
    <w:link w:val="Heading7Char"/>
    <w:uiPriority w:val="9"/>
    <w:unhideWhenUsed/>
    <w:qFormat/>
    <w:rsid w:val="00804EA2"/>
    <w:pPr>
      <w:ind w:left="4320"/>
      <w:outlineLvl w:val="6"/>
    </w:pPr>
    <w:rPr>
      <w:rFonts w:asciiTheme="majorHAnsi" w:eastAsiaTheme="majorEastAsia" w:hAnsiTheme="majorHAnsi" w:cstheme="majorBidi"/>
      <w:i/>
      <w:iCs/>
      <w:szCs w:val="24"/>
    </w:rPr>
  </w:style>
  <w:style w:type="paragraph" w:styleId="Heading8">
    <w:name w:val="heading 8"/>
    <w:basedOn w:val="Normal"/>
    <w:next w:val="Normal"/>
    <w:link w:val="Heading8Char"/>
    <w:uiPriority w:val="9"/>
    <w:semiHidden/>
    <w:unhideWhenUsed/>
    <w:qFormat/>
    <w:rsid w:val="00804EA2"/>
    <w:pPr>
      <w:ind w:left="504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804EA2"/>
    <w:pPr>
      <w:ind w:left="576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0D2BAE"/>
    <w:rPr>
      <w:color w:val="0000FF" w:themeColor="hyperlink"/>
      <w:u w:val="single"/>
    </w:rPr>
  </w:style>
  <w:style w:type="character" w:customStyle="1" w:styleId="solexhl">
    <w:name w:val="solexhl"/>
    <w:basedOn w:val="DefaultParagraphFont"/>
    <w:rsid w:val="00466F0B"/>
  </w:style>
  <w:style w:type="character" w:styleId="CommentReference">
    <w:name w:val="annotation reference"/>
    <w:basedOn w:val="DefaultParagraphFont"/>
    <w:uiPriority w:val="99"/>
    <w:semiHidden/>
    <w:unhideWhenUsed/>
    <w:rsid w:val="005F4A0D"/>
    <w:rPr>
      <w:sz w:val="16"/>
      <w:szCs w:val="16"/>
    </w:rPr>
  </w:style>
  <w:style w:type="paragraph" w:styleId="CommentText">
    <w:name w:val="annotation text"/>
    <w:basedOn w:val="Normal"/>
    <w:link w:val="CommentTextChar"/>
    <w:uiPriority w:val="99"/>
    <w:unhideWhenUsed/>
    <w:rsid w:val="005F4A0D"/>
    <w:rPr>
      <w:sz w:val="20"/>
    </w:rPr>
  </w:style>
  <w:style w:type="character" w:customStyle="1" w:styleId="CommentTextChar">
    <w:name w:val="Comment Text Char"/>
    <w:basedOn w:val="DefaultParagraphFont"/>
    <w:link w:val="CommentText"/>
    <w:uiPriority w:val="99"/>
    <w:rsid w:val="005F4A0D"/>
  </w:style>
  <w:style w:type="paragraph" w:styleId="CommentSubject">
    <w:name w:val="annotation subject"/>
    <w:basedOn w:val="CommentText"/>
    <w:next w:val="CommentText"/>
    <w:link w:val="CommentSubjectChar"/>
    <w:uiPriority w:val="99"/>
    <w:semiHidden/>
    <w:unhideWhenUsed/>
    <w:rsid w:val="005F4A0D"/>
    <w:rPr>
      <w:b/>
      <w:bCs/>
    </w:rPr>
  </w:style>
  <w:style w:type="character" w:customStyle="1" w:styleId="CommentSubjectChar">
    <w:name w:val="Comment Subject Char"/>
    <w:basedOn w:val="CommentTextChar"/>
    <w:link w:val="CommentSubject"/>
    <w:uiPriority w:val="99"/>
    <w:semiHidden/>
    <w:rsid w:val="005F4A0D"/>
    <w:rPr>
      <w:b/>
      <w:bCs/>
    </w:rPr>
  </w:style>
  <w:style w:type="paragraph" w:customStyle="1" w:styleId="ParaNoNdepar-AltN">
    <w:name w:val="Para. No. / Nº de par. - Alt N"/>
    <w:link w:val="ParaNoNdepar-AltNChar"/>
    <w:qFormat/>
    <w:rsid w:val="00453574"/>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453574"/>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804EA2"/>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804EA2"/>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804EA2"/>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804EA2"/>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rsid w:val="00804EA2"/>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804EA2"/>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804EA2"/>
    <w:rPr>
      <w:rFonts w:asciiTheme="majorHAnsi" w:eastAsiaTheme="majorEastAsia" w:hAnsiTheme="majorHAnsi" w:cstheme="majorBidi"/>
      <w:i/>
      <w:iCs/>
      <w:spacing w:val="5"/>
    </w:rPr>
  </w:style>
  <w:style w:type="paragraph" w:customStyle="1" w:styleId="SCCLsocOtherPartyRoleSeparator">
    <w:name w:val="SCC.Lsoc.OtherPartyRoleSeparator"/>
    <w:basedOn w:val="Normal"/>
    <w:next w:val="Normal"/>
    <w:link w:val="SCCLsocOtherPartyRoleSeparatorChar"/>
    <w:rsid w:val="00804EA2"/>
    <w:pPr>
      <w:spacing w:after="480"/>
    </w:pPr>
    <w:rPr>
      <w:rFonts w:eastAsiaTheme="minorHAnsi" w:cstheme="minorBidi"/>
      <w:szCs w:val="22"/>
      <w:lang w:eastAsia="en-US"/>
    </w:rPr>
  </w:style>
  <w:style w:type="paragraph" w:customStyle="1" w:styleId="SCCCoram">
    <w:name w:val="SCC.Coram"/>
    <w:basedOn w:val="Normal"/>
    <w:next w:val="Normal"/>
    <w:link w:val="SCCCoramChar"/>
    <w:rsid w:val="00804EA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04EA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04EA2"/>
    <w:rPr>
      <w:rFonts w:eastAsiaTheme="minorHAnsi" w:cstheme="minorBidi"/>
      <w:sz w:val="24"/>
      <w:szCs w:val="22"/>
      <w:lang w:eastAsia="en-US"/>
    </w:rPr>
  </w:style>
  <w:style w:type="character" w:customStyle="1" w:styleId="SCCBanSummaryChar">
    <w:name w:val="SCC.BanSummary Char"/>
    <w:basedOn w:val="DefaultParagraphFont"/>
    <w:link w:val="SCCBanSummary"/>
    <w:rsid w:val="00804EA2"/>
    <w:rPr>
      <w:b/>
      <w:sz w:val="24"/>
    </w:rPr>
  </w:style>
  <w:style w:type="table" w:styleId="TableGrid">
    <w:name w:val="Table Grid"/>
    <w:basedOn w:val="TableNormal"/>
    <w:uiPriority w:val="59"/>
    <w:rsid w:val="00804EA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04EA2"/>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804EA2"/>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804EA2"/>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804EA2"/>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04EA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04EA2"/>
    <w:pPr>
      <w:numPr>
        <w:ilvl w:val="2"/>
      </w:numPr>
      <w:outlineLvl w:val="2"/>
    </w:pPr>
  </w:style>
  <w:style w:type="paragraph" w:customStyle="1" w:styleId="Title4LevelTitre4Niveau">
    <w:name w:val="Title 4 Level / Titre 4 Niveau"/>
    <w:basedOn w:val="Title3LevelTitre3Niveau"/>
    <w:next w:val="ParaNoNdepar-AltN"/>
    <w:uiPriority w:val="4"/>
    <w:qFormat/>
    <w:rsid w:val="00804EA2"/>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04EA2"/>
    <w:pPr>
      <w:numPr>
        <w:ilvl w:val="4"/>
      </w:numPr>
      <w:outlineLvl w:val="4"/>
    </w:pPr>
  </w:style>
  <w:style w:type="paragraph" w:styleId="TOC1">
    <w:name w:val="toc 1"/>
    <w:basedOn w:val="Normal"/>
    <w:next w:val="Normal"/>
    <w:autoRedefine/>
    <w:uiPriority w:val="39"/>
    <w:unhideWhenUsed/>
    <w:rsid w:val="00804EA2"/>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804EA2"/>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804EA2"/>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804EA2"/>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804EA2"/>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804EA2"/>
    <w:pPr>
      <w:tabs>
        <w:tab w:val="left" w:pos="2160"/>
        <w:tab w:val="right" w:leader="dot" w:pos="8270"/>
      </w:tabs>
      <w:spacing w:after="100"/>
      <w:ind w:left="1800"/>
    </w:pPr>
    <w:rPr>
      <w:noProof/>
    </w:rPr>
  </w:style>
  <w:style w:type="table" w:customStyle="1" w:styleId="TableGrid1">
    <w:name w:val="Table Grid1"/>
    <w:basedOn w:val="TableNormal"/>
    <w:uiPriority w:val="59"/>
    <w:rsid w:val="00804EA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04EA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04EA2"/>
    <w:pPr>
      <w:numPr>
        <w:ilvl w:val="5"/>
      </w:numPr>
      <w:outlineLvl w:val="5"/>
    </w:pPr>
    <w:rPr>
      <w:i/>
      <w:u w:val="none"/>
    </w:rPr>
  </w:style>
  <w:style w:type="paragraph" w:styleId="FootnoteText">
    <w:name w:val="footnote text"/>
    <w:basedOn w:val="Normal"/>
    <w:link w:val="FootnoteTextChar"/>
    <w:uiPriority w:val="99"/>
    <w:unhideWhenUsed/>
    <w:rsid w:val="00804EA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804EA2"/>
  </w:style>
  <w:style w:type="character" w:styleId="FootnoteReference">
    <w:name w:val="footnote reference"/>
    <w:basedOn w:val="DefaultParagraphFont"/>
    <w:uiPriority w:val="99"/>
    <w:semiHidden/>
    <w:unhideWhenUsed/>
    <w:rsid w:val="00804EA2"/>
    <w:rPr>
      <w:vertAlign w:val="superscript"/>
    </w:rPr>
  </w:style>
  <w:style w:type="character" w:styleId="Emphasis">
    <w:name w:val="Emphasis"/>
    <w:basedOn w:val="DefaultParagraphFont"/>
    <w:uiPriority w:val="20"/>
    <w:qFormat/>
    <w:rsid w:val="00804EA2"/>
    <w:rPr>
      <w:i/>
      <w:iCs/>
    </w:rPr>
  </w:style>
  <w:style w:type="character" w:customStyle="1" w:styleId="reflex3-block">
    <w:name w:val="reflex3-block"/>
    <w:basedOn w:val="DefaultParagraphFont"/>
    <w:rsid w:val="00804EA2"/>
  </w:style>
  <w:style w:type="character" w:customStyle="1" w:styleId="reflex3-alt">
    <w:name w:val="reflex3-alt"/>
    <w:basedOn w:val="DefaultParagraphFont"/>
    <w:rsid w:val="00804EA2"/>
  </w:style>
  <w:style w:type="paragraph" w:styleId="ListParagraph">
    <w:name w:val="List Paragraph"/>
    <w:aliases w:val="Bullets"/>
    <w:basedOn w:val="Normal"/>
    <w:uiPriority w:val="34"/>
    <w:qFormat/>
    <w:rsid w:val="00804EA2"/>
    <w:pPr>
      <w:ind w:left="720"/>
      <w:contextualSpacing/>
    </w:pPr>
    <w:rPr>
      <w:rFonts w:eastAsiaTheme="minorHAnsi" w:cstheme="minorBidi"/>
      <w:szCs w:val="22"/>
      <w:lang w:val="en-US" w:eastAsia="en-US" w:bidi="en-US"/>
    </w:rPr>
  </w:style>
  <w:style w:type="numbering" w:customStyle="1" w:styleId="MemoTOCList">
    <w:name w:val="Memo TOC List"/>
    <w:basedOn w:val="NoList"/>
    <w:uiPriority w:val="99"/>
    <w:rsid w:val="00804EA2"/>
  </w:style>
  <w:style w:type="paragraph" w:styleId="Title">
    <w:name w:val="Title"/>
    <w:basedOn w:val="Normal"/>
    <w:next w:val="Normal"/>
    <w:link w:val="TitleChar"/>
    <w:uiPriority w:val="10"/>
    <w:qFormat/>
    <w:rsid w:val="00804EA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4EA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4EA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4EA2"/>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04EA2"/>
    <w:rPr>
      <w:szCs w:val="24"/>
    </w:rPr>
  </w:style>
  <w:style w:type="paragraph" w:styleId="IntenseQuote">
    <w:name w:val="Intense Quote"/>
    <w:basedOn w:val="Normal"/>
    <w:next w:val="Normal"/>
    <w:link w:val="IntenseQuoteChar"/>
    <w:uiPriority w:val="30"/>
    <w:qFormat/>
    <w:rsid w:val="00804EA2"/>
    <w:pPr>
      <w:pBdr>
        <w:bottom w:val="single" w:sz="4" w:space="1" w:color="auto"/>
      </w:pBdr>
      <w:spacing w:before="200" w:after="280"/>
      <w:ind w:left="1008" w:right="1152"/>
      <w:jc w:val="both"/>
    </w:pPr>
    <w:rPr>
      <w:b/>
      <w:bCs/>
      <w:i/>
      <w:iCs/>
      <w:szCs w:val="24"/>
    </w:rPr>
  </w:style>
  <w:style w:type="character" w:customStyle="1" w:styleId="IntenseQuoteChar">
    <w:name w:val="Intense Quote Char"/>
    <w:basedOn w:val="DefaultParagraphFont"/>
    <w:link w:val="IntenseQuote"/>
    <w:uiPriority w:val="30"/>
    <w:rsid w:val="00804EA2"/>
    <w:rPr>
      <w:b/>
      <w:bCs/>
      <w:i/>
      <w:iCs/>
      <w:sz w:val="24"/>
      <w:szCs w:val="24"/>
    </w:rPr>
  </w:style>
  <w:style w:type="character" w:styleId="SubtleEmphasis">
    <w:name w:val="Subtle Emphasis"/>
    <w:uiPriority w:val="19"/>
    <w:qFormat/>
    <w:rsid w:val="00804EA2"/>
    <w:rPr>
      <w:i/>
      <w:iCs/>
    </w:rPr>
  </w:style>
  <w:style w:type="character" w:styleId="IntenseEmphasis">
    <w:name w:val="Intense Emphasis"/>
    <w:uiPriority w:val="21"/>
    <w:qFormat/>
    <w:rsid w:val="00804EA2"/>
    <w:rPr>
      <w:b/>
      <w:bCs/>
    </w:rPr>
  </w:style>
  <w:style w:type="character" w:styleId="SubtleReference">
    <w:name w:val="Subtle Reference"/>
    <w:uiPriority w:val="31"/>
    <w:qFormat/>
    <w:rsid w:val="00804EA2"/>
    <w:rPr>
      <w:smallCaps/>
    </w:rPr>
  </w:style>
  <w:style w:type="character" w:styleId="IntenseReference">
    <w:name w:val="Intense Reference"/>
    <w:uiPriority w:val="32"/>
    <w:qFormat/>
    <w:rsid w:val="00804EA2"/>
    <w:rPr>
      <w:smallCaps/>
      <w:spacing w:val="5"/>
      <w:u w:val="single"/>
    </w:rPr>
  </w:style>
  <w:style w:type="character" w:styleId="BookTitle">
    <w:name w:val="Book Title"/>
    <w:uiPriority w:val="33"/>
    <w:qFormat/>
    <w:rsid w:val="00804EA2"/>
    <w:rPr>
      <w:i/>
      <w:iCs/>
      <w:smallCaps/>
      <w:spacing w:val="5"/>
    </w:rPr>
  </w:style>
  <w:style w:type="paragraph" w:styleId="TOCHeading">
    <w:name w:val="TOC Heading"/>
    <w:basedOn w:val="Heading1"/>
    <w:next w:val="Normal"/>
    <w:uiPriority w:val="39"/>
    <w:unhideWhenUsed/>
    <w:qFormat/>
    <w:rsid w:val="00804EA2"/>
    <w:pPr>
      <w:keepLines w:val="0"/>
      <w:spacing w:after="240"/>
      <w:ind w:left="0" w:firstLine="0"/>
      <w:jc w:val="center"/>
      <w:outlineLvl w:val="9"/>
    </w:pPr>
    <w:rPr>
      <w:rFonts w:asciiTheme="minorHAnsi" w:eastAsiaTheme="minorEastAsia" w:hAnsiTheme="minorHAnsi" w:cstheme="minorBidi"/>
      <w:caps/>
      <w:color w:val="auto"/>
      <w:sz w:val="24"/>
      <w:szCs w:val="24"/>
      <w:u w:val="single"/>
    </w:rPr>
  </w:style>
  <w:style w:type="paragraph" w:customStyle="1" w:styleId="Heading-Within">
    <w:name w:val="Heading - Within"/>
    <w:basedOn w:val="Normal"/>
    <w:uiPriority w:val="2"/>
    <w:qFormat/>
    <w:rsid w:val="00804EA2"/>
    <w:pPr>
      <w:keepNext/>
      <w:spacing w:after="240"/>
      <w:jc w:val="both"/>
    </w:pPr>
    <w:rPr>
      <w:rFonts w:ascii="Times New Roman Bold" w:hAnsi="Times New Roman Bold"/>
      <w:b/>
      <w:i/>
      <w:szCs w:val="24"/>
    </w:rPr>
  </w:style>
  <w:style w:type="paragraph" w:customStyle="1" w:styleId="QuotePara">
    <w:name w:val="Quote Para"/>
    <w:basedOn w:val="ParaNoNdepar-AltN"/>
    <w:link w:val="QuoteParaChar"/>
    <w:uiPriority w:val="2"/>
    <w:qFormat/>
    <w:rsid w:val="00804EA2"/>
    <w:pPr>
      <w:numPr>
        <w:numId w:val="0"/>
      </w:numPr>
      <w:tabs>
        <w:tab w:val="left" w:pos="1166"/>
      </w:tabs>
      <w:spacing w:line="240" w:lineRule="auto"/>
      <w:ind w:left="1800" w:right="1800"/>
    </w:pPr>
    <w:rPr>
      <w:lang w:val="fr-CA"/>
    </w:rPr>
  </w:style>
  <w:style w:type="character" w:customStyle="1" w:styleId="QuoteParaChar">
    <w:name w:val="Quote Para Char"/>
    <w:basedOn w:val="ParaNoNdepar-AltNChar"/>
    <w:link w:val="QuotePara"/>
    <w:uiPriority w:val="2"/>
    <w:rsid w:val="00804EA2"/>
    <w:rPr>
      <w:rFonts w:eastAsiaTheme="minorEastAsia" w:cstheme="minorBidi"/>
      <w:sz w:val="24"/>
      <w:szCs w:val="22"/>
      <w:lang w:val="fr-CA" w:eastAsia="en-US"/>
    </w:rPr>
  </w:style>
  <w:style w:type="paragraph" w:customStyle="1" w:styleId="reasonsquotelistitem-num1">
    <w:name w:val="reasonsquotelistitem-num1"/>
    <w:basedOn w:val="Normal"/>
    <w:rsid w:val="00804EA2"/>
    <w:pPr>
      <w:autoSpaceDE w:val="0"/>
      <w:autoSpaceDN w:val="0"/>
      <w:spacing w:before="120" w:after="120"/>
      <w:ind w:left="1080" w:right="720"/>
    </w:pPr>
    <w:rPr>
      <w:szCs w:val="24"/>
      <w:lang w:val="en-US" w:eastAsia="en-US"/>
    </w:rPr>
  </w:style>
  <w:style w:type="paragraph" w:customStyle="1" w:styleId="reasonsquotelevel11">
    <w:name w:val="reasonsquotelevel11"/>
    <w:basedOn w:val="Normal"/>
    <w:rsid w:val="00804EA2"/>
    <w:pPr>
      <w:autoSpaceDE w:val="0"/>
      <w:autoSpaceDN w:val="0"/>
      <w:spacing w:before="120" w:after="120"/>
      <w:ind w:left="720" w:right="720"/>
    </w:pPr>
    <w:rPr>
      <w:szCs w:val="24"/>
      <w:lang w:val="en-US" w:eastAsia="en-US"/>
    </w:rPr>
  </w:style>
  <w:style w:type="paragraph" w:styleId="NormalWeb">
    <w:name w:val="Normal (Web)"/>
    <w:basedOn w:val="Normal"/>
    <w:uiPriority w:val="99"/>
    <w:semiHidden/>
    <w:unhideWhenUsed/>
    <w:rsid w:val="00804EA2"/>
    <w:pPr>
      <w:spacing w:before="100" w:beforeAutospacing="1" w:after="100" w:afterAutospacing="1"/>
    </w:pPr>
    <w:rPr>
      <w:szCs w:val="24"/>
    </w:rPr>
  </w:style>
  <w:style w:type="character" w:customStyle="1" w:styleId="decisia-reflex2-icon">
    <w:name w:val="decisia-reflex2-icon"/>
    <w:basedOn w:val="DefaultParagraphFont"/>
    <w:rsid w:val="00804EA2"/>
    <w:rPr>
      <w:strike w:val="0"/>
      <w:dstrike w:val="0"/>
      <w:sz w:val="19"/>
      <w:szCs w:val="19"/>
      <w:u w:val="none"/>
      <w:effect w:val="none"/>
    </w:rPr>
  </w:style>
  <w:style w:type="paragraph" w:customStyle="1" w:styleId="ParaLevel1">
    <w:name w:val="ParaLevel1"/>
    <w:basedOn w:val="Normal"/>
    <w:rsid w:val="00804EA2"/>
    <w:pPr>
      <w:numPr>
        <w:numId w:val="5"/>
      </w:numPr>
      <w:tabs>
        <w:tab w:val="left" w:pos="1440"/>
      </w:tabs>
      <w:spacing w:before="480" w:line="360" w:lineRule="auto"/>
      <w:jc w:val="both"/>
    </w:pPr>
    <w:rPr>
      <w:szCs w:val="24"/>
      <w:lang w:eastAsia="en-US"/>
    </w:rPr>
  </w:style>
  <w:style w:type="paragraph" w:customStyle="1" w:styleId="ParaLevel2">
    <w:name w:val="ParaLevel2"/>
    <w:basedOn w:val="Normal"/>
    <w:rsid w:val="00804EA2"/>
    <w:pPr>
      <w:numPr>
        <w:ilvl w:val="1"/>
        <w:numId w:val="5"/>
      </w:numPr>
      <w:tabs>
        <w:tab w:val="clear" w:pos="927"/>
        <w:tab w:val="num" w:pos="1080"/>
      </w:tabs>
      <w:spacing w:after="240"/>
      <w:ind w:left="720"/>
      <w:jc w:val="both"/>
    </w:pPr>
    <w:rPr>
      <w:szCs w:val="24"/>
      <w:lang w:eastAsia="en-US"/>
    </w:rPr>
  </w:style>
  <w:style w:type="paragraph" w:customStyle="1" w:styleId="ParaLevel3">
    <w:name w:val="ParaLevel3"/>
    <w:basedOn w:val="Normal"/>
    <w:rsid w:val="00804EA2"/>
    <w:pPr>
      <w:numPr>
        <w:ilvl w:val="2"/>
        <w:numId w:val="5"/>
      </w:numPr>
      <w:tabs>
        <w:tab w:val="clear" w:pos="2160"/>
      </w:tabs>
      <w:spacing w:after="240"/>
      <w:ind w:left="2160" w:hanging="720"/>
      <w:jc w:val="both"/>
    </w:pPr>
    <w:rPr>
      <w:rFonts w:ascii="Arial" w:hAnsi="Arial"/>
      <w:szCs w:val="24"/>
      <w:lang w:eastAsia="en-US"/>
    </w:rPr>
  </w:style>
  <w:style w:type="paragraph" w:styleId="Caption">
    <w:name w:val="caption"/>
    <w:basedOn w:val="Normal"/>
    <w:next w:val="Normal"/>
    <w:uiPriority w:val="35"/>
    <w:semiHidden/>
    <w:unhideWhenUsed/>
    <w:qFormat/>
    <w:rsid w:val="00804EA2"/>
    <w:rPr>
      <w:rFonts w:eastAsiaTheme="minorHAnsi" w:cstheme="minorBidi"/>
      <w:b/>
      <w:bCs/>
      <w:color w:val="4F81BD" w:themeColor="accent1"/>
      <w:sz w:val="18"/>
      <w:szCs w:val="18"/>
      <w:lang w:val="en-US" w:eastAsia="en-US" w:bidi="en-US"/>
    </w:rPr>
  </w:style>
  <w:style w:type="character" w:customStyle="1" w:styleId="JudgeJugeChar">
    <w:name w:val="Judge / Juge Char"/>
    <w:basedOn w:val="DefaultParagraphFont"/>
    <w:link w:val="JudgeJuge"/>
    <w:uiPriority w:val="3"/>
    <w:rsid w:val="00804EA2"/>
    <w:rPr>
      <w:smallCaps/>
      <w:sz w:val="24"/>
      <w:szCs w:val="24"/>
    </w:rPr>
  </w:style>
  <w:style w:type="paragraph" w:customStyle="1" w:styleId="subsection">
    <w:name w:val="subsection"/>
    <w:basedOn w:val="Normal"/>
    <w:rsid w:val="00804EA2"/>
    <w:rPr>
      <w:rFonts w:ascii="inherit" w:hAnsi="inherit"/>
      <w:szCs w:val="24"/>
      <w:lang w:val="en-US" w:eastAsia="en-US"/>
    </w:rPr>
  </w:style>
  <w:style w:type="paragraph" w:customStyle="1" w:styleId="paragraph">
    <w:name w:val="paragraph"/>
    <w:basedOn w:val="Normal"/>
    <w:rsid w:val="00804EA2"/>
    <w:rPr>
      <w:rFonts w:ascii="inherit" w:hAnsi="inherit"/>
      <w:szCs w:val="24"/>
      <w:lang w:val="en-US" w:eastAsia="en-US"/>
    </w:rPr>
  </w:style>
  <w:style w:type="character" w:styleId="FollowedHyperlink">
    <w:name w:val="FollowedHyperlink"/>
    <w:basedOn w:val="DefaultParagraphFont"/>
    <w:uiPriority w:val="99"/>
    <w:semiHidden/>
    <w:unhideWhenUsed/>
    <w:rsid w:val="00804EA2"/>
    <w:rPr>
      <w:color w:val="800080" w:themeColor="followedHyperlink"/>
      <w:u w:val="single"/>
    </w:rPr>
  </w:style>
  <w:style w:type="character" w:customStyle="1" w:styleId="reflex">
    <w:name w:val="reflex"/>
    <w:basedOn w:val="DefaultParagraphFont"/>
    <w:rsid w:val="00804EA2"/>
  </w:style>
  <w:style w:type="character" w:customStyle="1" w:styleId="cohl">
    <w:name w:val="co_hl"/>
    <w:basedOn w:val="DefaultParagraphFont"/>
    <w:rsid w:val="00804EA2"/>
  </w:style>
  <w:style w:type="paragraph" w:styleId="Revision">
    <w:name w:val="Revision"/>
    <w:hidden/>
    <w:uiPriority w:val="99"/>
    <w:semiHidden/>
    <w:rsid w:val="00804EA2"/>
    <w:rPr>
      <w:sz w:val="24"/>
      <w:szCs w:val="24"/>
    </w:rPr>
  </w:style>
  <w:style w:type="character" w:customStyle="1" w:styleId="citationcar">
    <w:name w:val="citationcar"/>
    <w:basedOn w:val="DefaultParagraphFont"/>
    <w:rsid w:val="00804EA2"/>
  </w:style>
  <w:style w:type="character" w:customStyle="1" w:styleId="highlight">
    <w:name w:val="highlight"/>
    <w:basedOn w:val="DefaultParagraphFont"/>
    <w:rsid w:val="00804EA2"/>
  </w:style>
  <w:style w:type="table" w:customStyle="1" w:styleId="TableGrid2">
    <w:name w:val="Table Grid2"/>
    <w:basedOn w:val="TableNormal"/>
    <w:next w:val="TableGrid"/>
    <w:uiPriority w:val="59"/>
    <w:rsid w:val="00804EA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9ED85-3B9C-4D73-8189-4AAA1622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151</Pages>
  <Words>45336</Words>
  <Characters>249348</Characters>
  <Application>Microsoft Office Word</Application>
  <DocSecurity>0</DocSecurity>
  <Lines>2077</Lines>
  <Paragraphs>588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2021-05-19T12:08:00Z</dcterms:created>
  <dcterms:modified xsi:type="dcterms:W3CDTF">2023-07-24T21:38:00Z</dcterms:modified>
</cp:coreProperties>
</file>