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79" w:rsidRDefault="00916B79" w:rsidP="00916B79">
      <w:pPr>
        <w:tabs>
          <w:tab w:val="center" w:pos="4680"/>
          <w:tab w:val="right" w:pos="9360"/>
        </w:tabs>
        <w:jc w:val="center"/>
        <w:rPr>
          <w:rFonts w:eastAsiaTheme="minorHAnsi" w:cstheme="minorBidi"/>
          <w:szCs w:val="24"/>
          <w:lang w:val="fr-CA" w:eastAsia="en-US"/>
        </w:rPr>
      </w:pPr>
      <w:r>
        <w:rPr>
          <w:rFonts w:eastAsiaTheme="minorHAnsi" w:cstheme="minorBidi"/>
          <w:szCs w:val="24"/>
          <w:lang w:val="fr-CA" w:eastAsia="en-US"/>
        </w:rPr>
        <w:ptab w:relativeTo="margin" w:alignment="center" w:leader="none"/>
      </w:r>
      <w:r>
        <w:rPr>
          <w:rFonts w:eastAsiaTheme="minorHAnsi" w:cstheme="minorBidi"/>
          <w:szCs w:val="24"/>
          <w:lang w:val="fr-CA" w:eastAsia="en-US"/>
        </w:rPr>
        <w:t xml:space="preserve"> </w:t>
      </w:r>
      <w:r>
        <w:rPr>
          <w:rFonts w:eastAsiaTheme="minorHAnsi" w:cstheme="minorBidi"/>
          <w:szCs w:val="24"/>
          <w:lang w:val="fr-CA" w:eastAsia="en-US"/>
        </w:rPr>
        <w:object w:dxaOrig="1236" w:dyaOrig="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64.8pt" o:ole="">
            <v:imagedata r:id="rId8" o:title=""/>
          </v:shape>
          <o:OLEObject Type="Embed" ProgID="Presentations.Drawing.13" ShapeID="_x0000_i1025" DrawAspect="Content" ObjectID="_1751867341" r:id="rId9"/>
        </w:object>
      </w:r>
      <w:r>
        <w:rPr>
          <w:rFonts w:eastAsiaTheme="minorHAnsi" w:cstheme="minorBidi"/>
          <w:szCs w:val="24"/>
          <w:lang w:val="fr-CA" w:eastAsia="en-US"/>
        </w:rPr>
        <w:t xml:space="preserve"> </w:t>
      </w:r>
      <w:r>
        <w:rPr>
          <w:rFonts w:eastAsiaTheme="minorHAnsi" w:cstheme="minorBidi"/>
          <w:szCs w:val="24"/>
          <w:lang w:val="fr-CA" w:eastAsia="en-US"/>
        </w:rPr>
        <w:ptab w:relativeTo="margin" w:alignment="right" w:leader="none"/>
      </w:r>
      <w:r>
        <w:rPr>
          <w:rFonts w:eastAsiaTheme="minorHAnsi" w:cstheme="minorBidi"/>
          <w:szCs w:val="24"/>
          <w:lang w:val="fr-CA" w:eastAsia="en-US"/>
        </w:rPr>
        <w:t xml:space="preserve"> </w:t>
      </w:r>
    </w:p>
    <w:p w:rsidR="00916B79" w:rsidRDefault="00916B79" w:rsidP="00916B79">
      <w:pPr>
        <w:tabs>
          <w:tab w:val="center" w:pos="4680"/>
          <w:tab w:val="right" w:pos="9360"/>
        </w:tabs>
        <w:rPr>
          <w:rFonts w:eastAsiaTheme="minorHAnsi" w:cstheme="minorBidi"/>
          <w:szCs w:val="24"/>
          <w:lang w:val="fr-CA" w:eastAsia="en-US"/>
        </w:rPr>
      </w:pPr>
    </w:p>
    <w:p w:rsidR="00916B79" w:rsidRDefault="00916B79" w:rsidP="00916B79">
      <w:pPr>
        <w:jc w:val="center"/>
        <w:rPr>
          <w:rFonts w:eastAsiaTheme="minorHAnsi" w:cstheme="minorBidi"/>
          <w:b/>
          <w:szCs w:val="24"/>
          <w:lang w:val="fr-CA" w:eastAsia="en-US"/>
        </w:rPr>
      </w:pPr>
      <w:r>
        <w:rPr>
          <w:rFonts w:eastAsiaTheme="minorHAnsi" w:cstheme="minorBidi"/>
          <w:b/>
          <w:szCs w:val="24"/>
          <w:lang w:val="fr-CA" w:eastAsia="en-US"/>
        </w:rPr>
        <w:t>COUR SUPRÊME DU CANADA</w:t>
      </w:r>
    </w:p>
    <w:p w:rsidR="00916B79" w:rsidRDefault="00916B79" w:rsidP="00916B79">
      <w:pPr>
        <w:rPr>
          <w:rFonts w:eastAsiaTheme="minorHAnsi" w:cstheme="minorBidi"/>
          <w:szCs w:val="24"/>
          <w:lang w:val="fr-CA" w:eastAsia="en-US"/>
        </w:rPr>
      </w:pPr>
    </w:p>
    <w:tbl>
      <w:tblPr>
        <w:tblStyle w:val="TableGrid2"/>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5670"/>
        <w:gridCol w:w="3906"/>
      </w:tblGrid>
      <w:tr w:rsidR="00916B79" w:rsidTr="00916B79">
        <w:trPr>
          <w:cantSplit/>
        </w:trPr>
        <w:tc>
          <w:tcPr>
            <w:tcW w:w="5670" w:type="dxa"/>
            <w:hideMark/>
          </w:tcPr>
          <w:p w:rsidR="00916B79" w:rsidRDefault="00916B79">
            <w:pPr>
              <w:rPr>
                <w:lang w:val="fr-CA"/>
              </w:rPr>
            </w:pPr>
            <w:r>
              <w:rPr>
                <w:b/>
                <w:smallCaps/>
                <w:lang w:val="fr-CA"/>
              </w:rPr>
              <w:t>Référence :</w:t>
            </w:r>
            <w:r>
              <w:rPr>
                <w:lang w:val="fr-CA"/>
              </w:rPr>
              <w:t xml:space="preserve"> Québec (Procureure générale) </w:t>
            </w:r>
            <w:r>
              <w:rPr>
                <w:i/>
                <w:lang w:val="fr-CA"/>
              </w:rPr>
              <w:t>c.</w:t>
            </w:r>
            <w:r>
              <w:rPr>
                <w:lang w:val="fr-CA"/>
              </w:rPr>
              <w:t xml:space="preserve"> 9147-0732 Québec inc., 2020 CSC 32, [2020] 3 R.C.S. 426</w:t>
            </w:r>
          </w:p>
        </w:tc>
        <w:tc>
          <w:tcPr>
            <w:tcW w:w="3906" w:type="dxa"/>
            <w:hideMark/>
          </w:tcPr>
          <w:p w:rsidR="00916B79" w:rsidRDefault="00916B79">
            <w:pPr>
              <w:rPr>
                <w:lang w:val="fr-CA"/>
              </w:rPr>
            </w:pPr>
            <w:r>
              <w:rPr>
                <w:b/>
                <w:smallCaps/>
                <w:lang w:val="fr-CA"/>
              </w:rPr>
              <w:t>Appel entendu :</w:t>
            </w:r>
            <w:r>
              <w:rPr>
                <w:lang w:val="fr-CA"/>
              </w:rPr>
              <w:t xml:space="preserve"> 22 janvier 2020</w:t>
            </w:r>
          </w:p>
          <w:p w:rsidR="00916B79" w:rsidRDefault="00916B79">
            <w:pPr>
              <w:rPr>
                <w:b/>
                <w:smallCaps/>
                <w:lang w:val="fr-CA"/>
              </w:rPr>
            </w:pPr>
            <w:r>
              <w:rPr>
                <w:b/>
                <w:smallCaps/>
                <w:lang w:val="fr-CA"/>
              </w:rPr>
              <w:t xml:space="preserve">Jugement rendu : </w:t>
            </w:r>
            <w:r>
              <w:rPr>
                <w:lang w:val="fr-CA"/>
              </w:rPr>
              <w:t>5 novembre 2020</w:t>
            </w:r>
          </w:p>
          <w:p w:rsidR="00916B79" w:rsidRDefault="00916B79">
            <w:pPr>
              <w:rPr>
                <w:lang w:val="fr-CA"/>
              </w:rPr>
            </w:pPr>
            <w:r>
              <w:rPr>
                <w:b/>
                <w:smallCaps/>
                <w:lang w:val="fr-CA"/>
              </w:rPr>
              <w:t>Dossier :</w:t>
            </w:r>
            <w:r>
              <w:rPr>
                <w:lang w:val="fr-CA"/>
              </w:rPr>
              <w:t xml:space="preserve"> 38613</w:t>
            </w:r>
          </w:p>
        </w:tc>
      </w:tr>
    </w:tbl>
    <w:p w:rsidR="00916B79" w:rsidRDefault="00916B79" w:rsidP="00916B79">
      <w:pPr>
        <w:rPr>
          <w:rFonts w:eastAsiaTheme="minorHAnsi" w:cstheme="minorBidi"/>
          <w:szCs w:val="24"/>
          <w:lang w:val="fr-CA" w:eastAsia="en-US"/>
        </w:rPr>
      </w:pPr>
    </w:p>
    <w:p w:rsidR="00916B79" w:rsidRDefault="00916B79" w:rsidP="00916B79">
      <w:pPr>
        <w:rPr>
          <w:rFonts w:eastAsiaTheme="minorHAnsi" w:cstheme="minorBidi"/>
          <w:b/>
          <w:smallCaps/>
          <w:szCs w:val="24"/>
          <w:lang w:val="fr-CA" w:eastAsia="en-US"/>
        </w:rPr>
      </w:pPr>
      <w:r>
        <w:rPr>
          <w:rFonts w:eastAsiaTheme="minorHAnsi" w:cstheme="minorBidi"/>
          <w:b/>
          <w:smallCaps/>
          <w:szCs w:val="24"/>
          <w:lang w:val="fr-CA" w:eastAsia="en-US"/>
        </w:rPr>
        <w:t>Entre :</w:t>
      </w:r>
    </w:p>
    <w:p w:rsidR="00B871E1" w:rsidRDefault="00B871E1" w:rsidP="00916B79">
      <w:pPr>
        <w:rPr>
          <w:rFonts w:eastAsiaTheme="minorHAnsi" w:cstheme="minorBidi"/>
          <w:b/>
          <w:smallCaps/>
          <w:szCs w:val="24"/>
          <w:lang w:val="fr-CA" w:eastAsia="en-US"/>
        </w:rPr>
      </w:pPr>
    </w:p>
    <w:p w:rsidR="00916B79" w:rsidRDefault="00916B79" w:rsidP="00916B79">
      <w:pPr>
        <w:jc w:val="center"/>
        <w:rPr>
          <w:rFonts w:eastAsiaTheme="minorHAnsi" w:cstheme="minorBidi"/>
          <w:b/>
          <w:szCs w:val="24"/>
          <w:lang w:val="fr-CA" w:eastAsia="en-US"/>
        </w:rPr>
      </w:pPr>
      <w:r>
        <w:rPr>
          <w:rFonts w:eastAsiaTheme="minorHAnsi" w:cstheme="minorBidi"/>
          <w:b/>
          <w:szCs w:val="24"/>
          <w:lang w:val="fr-CA" w:eastAsia="en-US"/>
        </w:rPr>
        <w:t>Procureure générale du Québec et directeur des poursuites criminelles et pénales</w:t>
      </w:r>
    </w:p>
    <w:p w:rsidR="00916B79" w:rsidRDefault="00916B79" w:rsidP="00916B79">
      <w:pPr>
        <w:jc w:val="center"/>
        <w:rPr>
          <w:rFonts w:eastAsiaTheme="minorHAnsi" w:cstheme="minorBidi"/>
          <w:szCs w:val="24"/>
          <w:lang w:val="fr-CA" w:eastAsia="en-US"/>
        </w:rPr>
      </w:pPr>
      <w:r>
        <w:rPr>
          <w:rFonts w:eastAsiaTheme="minorHAnsi" w:cstheme="minorBidi"/>
          <w:szCs w:val="24"/>
          <w:lang w:val="fr-CA" w:eastAsia="en-US"/>
        </w:rPr>
        <w:t>Appelants</w:t>
      </w:r>
    </w:p>
    <w:p w:rsidR="00916B79" w:rsidRDefault="00916B79" w:rsidP="00916B79">
      <w:pPr>
        <w:jc w:val="center"/>
        <w:rPr>
          <w:rFonts w:eastAsiaTheme="minorHAnsi" w:cstheme="minorBidi"/>
          <w:szCs w:val="24"/>
          <w:lang w:val="fr-CA" w:eastAsia="en-US"/>
        </w:rPr>
      </w:pPr>
    </w:p>
    <w:p w:rsidR="00916B79" w:rsidRDefault="00916B79" w:rsidP="00916B79">
      <w:pPr>
        <w:jc w:val="center"/>
        <w:rPr>
          <w:rFonts w:eastAsiaTheme="minorHAnsi" w:cstheme="minorBidi"/>
          <w:szCs w:val="24"/>
          <w:lang w:val="fr-CA" w:eastAsia="en-US"/>
        </w:rPr>
      </w:pPr>
      <w:r>
        <w:rPr>
          <w:rFonts w:eastAsiaTheme="minorHAnsi" w:cstheme="minorBidi"/>
          <w:szCs w:val="24"/>
          <w:lang w:val="fr-CA" w:eastAsia="en-US"/>
        </w:rPr>
        <w:t>et</w:t>
      </w:r>
    </w:p>
    <w:p w:rsidR="00916B79" w:rsidRDefault="00916B79" w:rsidP="00916B79">
      <w:pPr>
        <w:jc w:val="center"/>
        <w:rPr>
          <w:rFonts w:eastAsiaTheme="minorHAnsi" w:cstheme="minorBidi"/>
          <w:b/>
          <w:szCs w:val="24"/>
          <w:lang w:val="fr-CA" w:eastAsia="en-US"/>
        </w:rPr>
      </w:pPr>
    </w:p>
    <w:p w:rsidR="00916B79" w:rsidRDefault="00916B79" w:rsidP="00916B79">
      <w:pPr>
        <w:jc w:val="center"/>
        <w:rPr>
          <w:rFonts w:eastAsiaTheme="minorHAnsi" w:cstheme="minorBidi"/>
          <w:b/>
          <w:szCs w:val="24"/>
          <w:lang w:val="fr-CA" w:eastAsia="en-US"/>
        </w:rPr>
      </w:pPr>
      <w:r>
        <w:rPr>
          <w:rFonts w:eastAsiaTheme="minorHAnsi" w:cstheme="minorBidi"/>
          <w:b/>
          <w:szCs w:val="24"/>
          <w:lang w:val="fr-CA" w:eastAsia="en-US"/>
        </w:rPr>
        <w:t>9147-0732 Québec inc.</w:t>
      </w:r>
    </w:p>
    <w:p w:rsidR="00916B79" w:rsidRDefault="00916B79" w:rsidP="00916B79">
      <w:pPr>
        <w:jc w:val="center"/>
        <w:rPr>
          <w:rFonts w:eastAsiaTheme="minorHAnsi" w:cstheme="minorBidi"/>
          <w:szCs w:val="24"/>
          <w:lang w:val="fr-CA" w:eastAsia="en-US"/>
        </w:rPr>
      </w:pPr>
      <w:r>
        <w:rPr>
          <w:rFonts w:eastAsiaTheme="minorHAnsi" w:cstheme="minorBidi"/>
          <w:szCs w:val="24"/>
          <w:lang w:val="fr-CA" w:eastAsia="en-US"/>
        </w:rPr>
        <w:t>Intimée</w:t>
      </w:r>
    </w:p>
    <w:p w:rsidR="00916B79" w:rsidRDefault="00916B79" w:rsidP="00916B79">
      <w:pPr>
        <w:jc w:val="center"/>
        <w:rPr>
          <w:rFonts w:eastAsiaTheme="minorHAnsi" w:cstheme="minorBidi"/>
          <w:szCs w:val="24"/>
          <w:lang w:val="fr-CA" w:eastAsia="en-US"/>
        </w:rPr>
      </w:pPr>
    </w:p>
    <w:p w:rsidR="00916B79" w:rsidRDefault="00916B79" w:rsidP="00916B79">
      <w:pPr>
        <w:jc w:val="center"/>
        <w:rPr>
          <w:rFonts w:eastAsiaTheme="minorHAnsi" w:cstheme="minorBidi"/>
          <w:szCs w:val="24"/>
          <w:lang w:val="fr-CA" w:eastAsia="en-US"/>
        </w:rPr>
      </w:pPr>
      <w:r>
        <w:rPr>
          <w:rFonts w:eastAsiaTheme="minorHAnsi" w:cstheme="minorBidi"/>
          <w:szCs w:val="24"/>
          <w:lang w:val="fr-CA" w:eastAsia="en-US"/>
        </w:rPr>
        <w:t>- et -</w:t>
      </w:r>
    </w:p>
    <w:p w:rsidR="00916B79" w:rsidRDefault="00916B79" w:rsidP="00916B79">
      <w:pPr>
        <w:jc w:val="center"/>
        <w:rPr>
          <w:rFonts w:eastAsiaTheme="minorHAnsi" w:cstheme="minorBidi"/>
          <w:b/>
          <w:szCs w:val="24"/>
          <w:lang w:val="fr-CA" w:eastAsia="en-US"/>
        </w:rPr>
      </w:pPr>
    </w:p>
    <w:p w:rsidR="00916B79" w:rsidRDefault="00916B79" w:rsidP="00916B79">
      <w:pPr>
        <w:jc w:val="center"/>
        <w:rPr>
          <w:rFonts w:eastAsiaTheme="minorHAnsi" w:cstheme="minorBidi"/>
          <w:b/>
          <w:szCs w:val="24"/>
          <w:lang w:val="fr-CA" w:eastAsia="en-US"/>
        </w:rPr>
      </w:pPr>
      <w:r>
        <w:rPr>
          <w:rFonts w:eastAsiaTheme="minorHAnsi" w:cstheme="minorBidi"/>
          <w:b/>
          <w:szCs w:val="24"/>
          <w:lang w:val="fr-CA" w:eastAsia="en-US"/>
        </w:rPr>
        <w:t>Directrice des poursuites pénales, procureur général de l’Ontario, Association des avocats de la défense de Montréal, British Columbia Civil Liberties Association, Association canadienne des libertés civiles et Canadian Constitution Foundation</w:t>
      </w:r>
    </w:p>
    <w:p w:rsidR="00916B79" w:rsidRDefault="00916B79" w:rsidP="00916B79">
      <w:pPr>
        <w:jc w:val="center"/>
        <w:rPr>
          <w:rFonts w:eastAsiaTheme="minorHAnsi" w:cstheme="minorBidi"/>
          <w:szCs w:val="24"/>
          <w:lang w:val="fr-CA" w:eastAsia="en-US"/>
        </w:rPr>
      </w:pPr>
      <w:r>
        <w:rPr>
          <w:rFonts w:eastAsiaTheme="minorHAnsi" w:cstheme="minorBidi"/>
          <w:szCs w:val="24"/>
          <w:lang w:val="fr-CA" w:eastAsia="en-US"/>
        </w:rPr>
        <w:t>Intervenants</w:t>
      </w:r>
    </w:p>
    <w:p w:rsidR="00916B79" w:rsidRDefault="00916B79" w:rsidP="00916B79">
      <w:pPr>
        <w:rPr>
          <w:rFonts w:eastAsiaTheme="minorHAnsi" w:cstheme="minorBidi"/>
          <w:szCs w:val="24"/>
          <w:lang w:val="fr-CA" w:eastAsia="en-US"/>
        </w:rPr>
      </w:pPr>
    </w:p>
    <w:p w:rsidR="00916B79" w:rsidRDefault="00916B79" w:rsidP="00916B79">
      <w:pPr>
        <w:rPr>
          <w:rFonts w:eastAsiaTheme="minorHAnsi" w:cstheme="minorBidi"/>
          <w:szCs w:val="24"/>
          <w:lang w:val="fr-CA" w:eastAsia="en-US"/>
        </w:rPr>
      </w:pPr>
    </w:p>
    <w:p w:rsidR="00916B79" w:rsidRDefault="00916B79" w:rsidP="00916B79">
      <w:pPr>
        <w:jc w:val="center"/>
        <w:rPr>
          <w:rFonts w:eastAsiaTheme="minorHAnsi" w:cstheme="minorBidi"/>
          <w:b/>
          <w:smallCaps/>
          <w:szCs w:val="24"/>
          <w:lang w:val="fr-CA" w:eastAsia="en-US"/>
        </w:rPr>
      </w:pPr>
      <w:r>
        <w:rPr>
          <w:rFonts w:eastAsiaTheme="minorHAnsi" w:cstheme="minorBidi"/>
          <w:b/>
          <w:smallCaps/>
          <w:szCs w:val="24"/>
          <w:lang w:val="fr-CA" w:eastAsia="en-US"/>
        </w:rPr>
        <w:t xml:space="preserve">Traduction française officielle : </w:t>
      </w:r>
      <w:r>
        <w:rPr>
          <w:rFonts w:eastAsiaTheme="minorHAnsi" w:cstheme="minorBidi"/>
          <w:szCs w:val="24"/>
          <w:lang w:val="fr-CA" w:eastAsia="en-US"/>
        </w:rPr>
        <w:t>Motifs des juges Brown et Rowe et motifs de la juge Abella</w:t>
      </w:r>
    </w:p>
    <w:p w:rsidR="00916B79" w:rsidRDefault="00916B79" w:rsidP="00916B79">
      <w:pPr>
        <w:rPr>
          <w:rFonts w:eastAsiaTheme="minorHAnsi" w:cstheme="minorBidi"/>
          <w:szCs w:val="24"/>
          <w:lang w:val="fr-CA" w:eastAsia="en-US"/>
        </w:rPr>
      </w:pPr>
    </w:p>
    <w:p w:rsidR="00916B79" w:rsidRDefault="00916B79" w:rsidP="00916B79">
      <w:pPr>
        <w:rPr>
          <w:rFonts w:eastAsiaTheme="minorHAnsi" w:cstheme="minorBidi"/>
          <w:szCs w:val="24"/>
          <w:lang w:val="fr-CA" w:eastAsia="en-US"/>
        </w:rPr>
      </w:pPr>
      <w:r>
        <w:rPr>
          <w:rFonts w:eastAsiaTheme="minorHAnsi" w:cstheme="minorBidi"/>
          <w:b/>
          <w:smallCaps/>
          <w:szCs w:val="24"/>
          <w:lang w:val="fr-CA" w:eastAsia="en-US"/>
        </w:rPr>
        <w:t>Coram :</w:t>
      </w:r>
      <w:r>
        <w:rPr>
          <w:rFonts w:eastAsiaTheme="minorHAnsi" w:cstheme="minorBidi"/>
          <w:szCs w:val="24"/>
          <w:lang w:val="fr-CA" w:eastAsia="en-US"/>
        </w:rPr>
        <w:t xml:space="preserve"> Le juge en chef Wagner et les juges Abella, Moldaver, Karakatsanis, Côté, Brown, Rowe, Martin et Kasirer</w:t>
      </w:r>
    </w:p>
    <w:p w:rsidR="00916B79" w:rsidRDefault="00916B79" w:rsidP="00916B79">
      <w:pPr>
        <w:rPr>
          <w:rFonts w:eastAsiaTheme="minorHAnsi" w:cstheme="minorBidi"/>
          <w:szCs w:val="24"/>
          <w:lang w:val="fr-CA" w:eastAsia="en-US"/>
        </w:rPr>
      </w:pPr>
    </w:p>
    <w:tbl>
      <w:tblPr>
        <w:tblStyle w:val="TableGrid2"/>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Pr>
      <w:tblGrid>
        <w:gridCol w:w="3686"/>
        <w:gridCol w:w="5890"/>
      </w:tblGrid>
      <w:tr w:rsidR="00916B79" w:rsidRPr="00B871E1" w:rsidTr="00916B79">
        <w:trPr>
          <w:cantSplit/>
        </w:trPr>
        <w:tc>
          <w:tcPr>
            <w:tcW w:w="3686" w:type="dxa"/>
            <w:hideMark/>
          </w:tcPr>
          <w:p w:rsidR="00916B79" w:rsidRDefault="00916B79">
            <w:pPr>
              <w:rPr>
                <w:lang w:val="fr-CA"/>
              </w:rPr>
            </w:pPr>
            <w:r>
              <w:rPr>
                <w:b/>
                <w:smallCaps/>
                <w:lang w:val="fr-CA"/>
              </w:rPr>
              <w:t>Motifs de jugement conjoints :</w:t>
            </w:r>
          </w:p>
          <w:p w:rsidR="00916B79" w:rsidRDefault="00916B79">
            <w:pPr>
              <w:rPr>
                <w:lang w:val="fr-CA"/>
              </w:rPr>
            </w:pPr>
            <w:r>
              <w:rPr>
                <w:lang w:val="fr-CA"/>
              </w:rPr>
              <w:t>(par. 1 à 48)</w:t>
            </w:r>
          </w:p>
        </w:tc>
        <w:tc>
          <w:tcPr>
            <w:tcW w:w="5890" w:type="dxa"/>
          </w:tcPr>
          <w:p w:rsidR="00916B79" w:rsidRDefault="00916B79">
            <w:pPr>
              <w:rPr>
                <w:lang w:val="fr-CA"/>
              </w:rPr>
            </w:pPr>
            <w:r>
              <w:rPr>
                <w:lang w:val="fr-CA"/>
              </w:rPr>
              <w:t>Les juges Brown et Rowe (avec l’accord du juge en chef Wagner et des juges Moldaver et Côté)</w:t>
            </w:r>
          </w:p>
          <w:p w:rsidR="00916B79" w:rsidRDefault="00916B79">
            <w:pPr>
              <w:rPr>
                <w:lang w:val="fr-CA"/>
              </w:rPr>
            </w:pPr>
          </w:p>
        </w:tc>
      </w:tr>
      <w:tr w:rsidR="00916B79" w:rsidRPr="00B871E1" w:rsidTr="00916B79">
        <w:trPr>
          <w:cantSplit/>
        </w:trPr>
        <w:tc>
          <w:tcPr>
            <w:tcW w:w="3686" w:type="dxa"/>
            <w:hideMark/>
          </w:tcPr>
          <w:p w:rsidR="00916B79" w:rsidRDefault="00916B79">
            <w:pPr>
              <w:rPr>
                <w:lang w:val="fr-CA"/>
              </w:rPr>
            </w:pPr>
            <w:r>
              <w:rPr>
                <w:b/>
                <w:smallCaps/>
                <w:lang w:val="fr-CA"/>
              </w:rPr>
              <w:t>Motifs concordants :</w:t>
            </w:r>
          </w:p>
          <w:p w:rsidR="00916B79" w:rsidRDefault="00916B79">
            <w:pPr>
              <w:rPr>
                <w:lang w:val="fr-CA"/>
              </w:rPr>
            </w:pPr>
            <w:r>
              <w:rPr>
                <w:lang w:val="fr-CA"/>
              </w:rPr>
              <w:t>(par. 49 à 137)</w:t>
            </w:r>
          </w:p>
        </w:tc>
        <w:tc>
          <w:tcPr>
            <w:tcW w:w="5890" w:type="dxa"/>
          </w:tcPr>
          <w:p w:rsidR="00916B79" w:rsidRDefault="00916B79">
            <w:pPr>
              <w:rPr>
                <w:lang w:val="fr-CA"/>
              </w:rPr>
            </w:pPr>
            <w:r>
              <w:rPr>
                <w:lang w:val="fr-CA"/>
              </w:rPr>
              <w:t>La juge Abella (avec l’accord des juges Karakatsanis et Martin)</w:t>
            </w:r>
          </w:p>
          <w:p w:rsidR="00916B79" w:rsidRDefault="00916B79">
            <w:pPr>
              <w:rPr>
                <w:lang w:val="fr-CA"/>
              </w:rPr>
            </w:pPr>
          </w:p>
        </w:tc>
      </w:tr>
      <w:tr w:rsidR="00916B79" w:rsidTr="00916B79">
        <w:trPr>
          <w:cantSplit/>
        </w:trPr>
        <w:tc>
          <w:tcPr>
            <w:tcW w:w="3686" w:type="dxa"/>
            <w:hideMark/>
          </w:tcPr>
          <w:p w:rsidR="00916B79" w:rsidRDefault="00916B79">
            <w:pPr>
              <w:rPr>
                <w:lang w:val="fr-CA"/>
              </w:rPr>
            </w:pPr>
            <w:r>
              <w:rPr>
                <w:b/>
                <w:smallCaps/>
                <w:lang w:val="fr-CA"/>
              </w:rPr>
              <w:lastRenderedPageBreak/>
              <w:t>Motifs concordants :</w:t>
            </w:r>
          </w:p>
          <w:p w:rsidR="00916B79" w:rsidRDefault="00916B79">
            <w:pPr>
              <w:rPr>
                <w:lang w:val="fr-CA"/>
              </w:rPr>
            </w:pPr>
            <w:r>
              <w:rPr>
                <w:lang w:val="fr-CA"/>
              </w:rPr>
              <w:t>(par. 138 à 142)</w:t>
            </w:r>
          </w:p>
        </w:tc>
        <w:tc>
          <w:tcPr>
            <w:tcW w:w="5890" w:type="dxa"/>
          </w:tcPr>
          <w:p w:rsidR="00916B79" w:rsidRDefault="00916B79">
            <w:pPr>
              <w:rPr>
                <w:lang w:val="fr-CA"/>
              </w:rPr>
            </w:pPr>
            <w:r>
              <w:rPr>
                <w:lang w:val="fr-CA"/>
              </w:rPr>
              <w:t>Le juge Kasirer</w:t>
            </w:r>
          </w:p>
          <w:p w:rsidR="00916B79" w:rsidRDefault="00916B79">
            <w:pPr>
              <w:rPr>
                <w:lang w:val="fr-CA"/>
              </w:rPr>
            </w:pPr>
          </w:p>
          <w:p w:rsidR="00916B79" w:rsidRDefault="00916B79">
            <w:pPr>
              <w:rPr>
                <w:lang w:val="fr-CA"/>
              </w:rPr>
            </w:pPr>
          </w:p>
        </w:tc>
      </w:tr>
    </w:tbl>
    <w:p w:rsidR="00916B79" w:rsidRDefault="00916B79" w:rsidP="00916B79">
      <w:pPr>
        <w:rPr>
          <w:rFonts w:eastAsiaTheme="minorHAnsi" w:cstheme="minorBidi"/>
          <w:szCs w:val="24"/>
          <w:lang w:val="fr-CA" w:eastAsia="en-US"/>
        </w:rPr>
      </w:pPr>
    </w:p>
    <w:p w:rsidR="00916B79" w:rsidRDefault="00916B79" w:rsidP="00916B79">
      <w:pPr>
        <w:rPr>
          <w:rFonts w:eastAsiaTheme="minorHAnsi" w:cstheme="minorBidi"/>
          <w:szCs w:val="24"/>
          <w:lang w:val="fr-CA" w:eastAsia="en-US"/>
        </w:rPr>
      </w:pPr>
      <w:r>
        <w:rPr>
          <w:noProof/>
          <w:lang w:val="fr-CA" w:eastAsia="fr-CA"/>
        </w:rPr>
        <mc:AlternateContent>
          <mc:Choice Requires="wps">
            <w:drawing>
              <wp:anchor distT="0" distB="0" distL="114300" distR="114300" simplePos="0" relativeHeight="251659264" behindDoc="0" locked="0" layoutInCell="1" allowOverlap="1">
                <wp:simplePos x="0" y="0"/>
                <wp:positionH relativeFrom="column">
                  <wp:posOffset>1609725</wp:posOffset>
                </wp:positionH>
                <wp:positionV relativeFrom="paragraph">
                  <wp:posOffset>184150</wp:posOffset>
                </wp:positionV>
                <wp:extent cx="25050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F56CE" id="_x0000_t32" coordsize="21600,21600" o:spt="32" o:oned="t" path="m,l21600,21600e" filled="f">
                <v:path arrowok="t" fillok="f" o:connecttype="none"/>
                <o:lock v:ext="edit" shapetype="t"/>
              </v:shapetype>
              <v:shape id="Straight Arrow Connector 1" o:spid="_x0000_s1026" type="#_x0000_t32" style="position:absolute;margin-left:126.75pt;margin-top:14.5pt;width:1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"/>
            </w:pict>
          </mc:Fallback>
        </mc:AlternateContent>
      </w:r>
    </w:p>
    <w:p w:rsidR="00B871E1" w:rsidRDefault="00B871E1" w:rsidP="00916B79">
      <w:pPr>
        <w:rPr>
          <w:rStyle w:val="SCCAppellantForRunningHeadChar"/>
          <w:rFonts w:eastAsiaTheme="majorEastAsia"/>
          <w:lang w:val="fr-CA"/>
        </w:rPr>
      </w:pPr>
    </w:p>
    <w:p w:rsidR="00916B79" w:rsidRPr="00916B79" w:rsidRDefault="00916B79" w:rsidP="00916B79">
      <w:pPr>
        <w:rPr>
          <w:rStyle w:val="SCCAppellantForRunningHeadChar"/>
          <w:lang w:val="fr-CA"/>
        </w:rPr>
      </w:pPr>
      <w:bookmarkStart w:id="0" w:name="_GoBack"/>
      <w:bookmarkEnd w:id="0"/>
    </w:p>
    <w:p w:rsidR="004D7D95" w:rsidRPr="00EA7953" w:rsidRDefault="0044220B" w:rsidP="00653396">
      <w:pPr>
        <w:spacing w:after="720"/>
        <w:jc w:val="both"/>
        <w:rPr>
          <w:lang w:val="fr-CA"/>
        </w:rPr>
      </w:pPr>
      <w:r>
        <w:rPr>
          <w:rStyle w:val="SCCAppellantForRunningHeadChar"/>
          <w:lang w:val="fr-CA"/>
        </w:rPr>
        <w:t>q</w:t>
      </w:r>
      <w:r w:rsidR="004D7D95" w:rsidRPr="00EA7953">
        <w:rPr>
          <w:rStyle w:val="SCCAppellantForRunningHeadChar"/>
          <w:lang w:val="fr-CA"/>
        </w:rPr>
        <w:t xml:space="preserve">uébec </w:t>
      </w:r>
      <w:r w:rsidR="00EA7953">
        <w:rPr>
          <w:rStyle w:val="SCCAppellantForRunningHeadChar"/>
          <w:lang w:val="fr-CA"/>
        </w:rPr>
        <w:t>(</w:t>
      </w:r>
      <w:r>
        <w:rPr>
          <w:rStyle w:val="SCCAppellantForRunningHeadChar"/>
          <w:lang w:val="fr-CA"/>
        </w:rPr>
        <w:t>p.g.</w:t>
      </w:r>
      <w:r w:rsidR="00EA7953">
        <w:rPr>
          <w:rStyle w:val="SCCAppellantForRunningHeadChar"/>
          <w:lang w:val="fr-CA"/>
        </w:rPr>
        <w:t>)</w:t>
      </w:r>
      <w:r w:rsidR="00EA7953" w:rsidRPr="00EA7953">
        <w:rPr>
          <w:rStyle w:val="SCCAppellantForRunningHeadChar"/>
          <w:lang w:val="fr-CA"/>
        </w:rPr>
        <w:t xml:space="preserve"> </w:t>
      </w:r>
      <w:r w:rsidR="004D7D95" w:rsidRPr="00EA7953">
        <w:rPr>
          <w:i/>
          <w:lang w:val="fr-CA"/>
        </w:rPr>
        <w:t>c.</w:t>
      </w:r>
      <w:r w:rsidR="004D7D95" w:rsidRPr="00EA7953">
        <w:rPr>
          <w:lang w:val="fr-CA"/>
        </w:rPr>
        <w:t xml:space="preserve"> </w:t>
      </w:r>
      <w:r>
        <w:rPr>
          <w:rStyle w:val="SCCRespondentForRunningHeadChar"/>
          <w:lang w:val="fr-CA"/>
        </w:rPr>
        <w:t>9147-0732 q</w:t>
      </w:r>
      <w:r w:rsidR="004D7D95" w:rsidRPr="00EA7953">
        <w:rPr>
          <w:rStyle w:val="SCCRespondentForRunningHeadChar"/>
          <w:lang w:val="fr-CA"/>
        </w:rPr>
        <w:t>uébec inc.</w:t>
      </w:r>
    </w:p>
    <w:p w:rsidR="003C7145" w:rsidRPr="00EA7953" w:rsidRDefault="00641B19">
      <w:pPr>
        <w:pStyle w:val="SCCLsocParty"/>
        <w:rPr>
          <w:lang w:val="fr-CA"/>
        </w:rPr>
      </w:pPr>
      <w:r>
        <w:rPr>
          <w:lang w:val="fr-CA"/>
        </w:rPr>
        <w:t>Procureure générale du Québec</w:t>
      </w:r>
      <w:r w:rsidR="00EA7953">
        <w:rPr>
          <w:lang w:val="fr-CA"/>
        </w:rPr>
        <w:t xml:space="preserve"> et</w:t>
      </w:r>
    </w:p>
    <w:p w:rsidR="003C7145" w:rsidRPr="00EA7953" w:rsidRDefault="002172DE" w:rsidP="00653396">
      <w:pPr>
        <w:pStyle w:val="SCCLsocLastPartyInRole"/>
        <w:rPr>
          <w:lang w:val="fr-CA"/>
        </w:rPr>
      </w:pPr>
      <w:r>
        <w:rPr>
          <w:lang w:val="fr-CA"/>
        </w:rPr>
        <w:t>d</w:t>
      </w:r>
      <w:r w:rsidR="00416A08" w:rsidRPr="00EA7953">
        <w:rPr>
          <w:lang w:val="fr-CA"/>
        </w:rPr>
        <w:t xml:space="preserve">irecteur </w:t>
      </w:r>
      <w:r w:rsidR="005515C0">
        <w:rPr>
          <w:lang w:val="fr-CA"/>
        </w:rPr>
        <w:t xml:space="preserve">des </w:t>
      </w:r>
      <w:r w:rsidR="00416A08" w:rsidRPr="00EA7953">
        <w:rPr>
          <w:lang w:val="fr-CA"/>
        </w:rPr>
        <w:t>poursuites criminelles et pénales</w:t>
      </w:r>
      <w:r w:rsidR="00EA7953">
        <w:rPr>
          <w:rStyle w:val="SCCLsocPartyRole"/>
          <w:lang w:val="fr-CA"/>
        </w:rPr>
        <w:tab/>
        <w:t>Appelant</w:t>
      </w:r>
      <w:r w:rsidR="00416A08" w:rsidRPr="00EA7953">
        <w:rPr>
          <w:rStyle w:val="SCCLsocPartyRole"/>
          <w:lang w:val="fr-CA"/>
        </w:rPr>
        <w:t>s</w:t>
      </w:r>
    </w:p>
    <w:p w:rsidR="003C7145" w:rsidRPr="00EA7953" w:rsidRDefault="00416A08" w:rsidP="00653396">
      <w:pPr>
        <w:pStyle w:val="SCCLsocVersus"/>
        <w:rPr>
          <w:lang w:val="fr-CA"/>
        </w:rPr>
      </w:pPr>
      <w:r w:rsidRPr="00EA7953">
        <w:rPr>
          <w:lang w:val="fr-CA"/>
        </w:rPr>
        <w:t>c.</w:t>
      </w:r>
    </w:p>
    <w:p w:rsidR="003C7145" w:rsidRPr="00EA7953" w:rsidRDefault="00416A08" w:rsidP="00653396">
      <w:pPr>
        <w:pStyle w:val="SCCLsocLastPartyInRole"/>
        <w:rPr>
          <w:lang w:val="fr-CA"/>
        </w:rPr>
      </w:pPr>
      <w:r w:rsidRPr="00EA7953">
        <w:rPr>
          <w:lang w:val="fr-CA"/>
        </w:rPr>
        <w:t>9147-0732 Québec inc.</w:t>
      </w:r>
      <w:r w:rsidR="00EA7953">
        <w:rPr>
          <w:rStyle w:val="SCCLsocPartyRole"/>
          <w:lang w:val="fr-CA"/>
        </w:rPr>
        <w:tab/>
        <w:t>Intimée</w:t>
      </w:r>
    </w:p>
    <w:p w:rsidR="003C7145" w:rsidRPr="00EA7953" w:rsidRDefault="00416A08" w:rsidP="00653396">
      <w:pPr>
        <w:pStyle w:val="SCCLsocOtherPartySeparator"/>
        <w:rPr>
          <w:lang w:val="fr-CA"/>
        </w:rPr>
      </w:pPr>
      <w:r w:rsidRPr="00EA7953">
        <w:rPr>
          <w:lang w:val="fr-CA"/>
        </w:rPr>
        <w:t>et</w:t>
      </w:r>
    </w:p>
    <w:p w:rsidR="003C7145" w:rsidRPr="00EA7953" w:rsidRDefault="00416A08">
      <w:pPr>
        <w:pStyle w:val="SCCLsocParty"/>
        <w:rPr>
          <w:lang w:val="fr-CA"/>
        </w:rPr>
      </w:pPr>
      <w:r w:rsidRPr="00EA7953">
        <w:rPr>
          <w:lang w:val="fr-CA"/>
        </w:rPr>
        <w:t>Directrice des poursuites pénales,</w:t>
      </w:r>
    </w:p>
    <w:p w:rsidR="003C7145" w:rsidRPr="00EA7953" w:rsidRDefault="00394BAF">
      <w:pPr>
        <w:pStyle w:val="SCCLsocParty"/>
        <w:rPr>
          <w:lang w:val="fr-CA"/>
        </w:rPr>
      </w:pPr>
      <w:r>
        <w:rPr>
          <w:lang w:val="fr-CA"/>
        </w:rPr>
        <w:t>p</w:t>
      </w:r>
      <w:r w:rsidR="00416A08" w:rsidRPr="00EA7953">
        <w:rPr>
          <w:lang w:val="fr-CA"/>
        </w:rPr>
        <w:t>rocureur général de l</w:t>
      </w:r>
      <w:r w:rsidR="00EA7953">
        <w:rPr>
          <w:lang w:val="fr-CA"/>
        </w:rPr>
        <w:t>’</w:t>
      </w:r>
      <w:r w:rsidR="00416A08" w:rsidRPr="00EA7953">
        <w:rPr>
          <w:lang w:val="fr-CA"/>
        </w:rPr>
        <w:t>Ontario,</w:t>
      </w:r>
    </w:p>
    <w:p w:rsidR="003C7145" w:rsidRPr="00EA7953" w:rsidRDefault="00416A08">
      <w:pPr>
        <w:pStyle w:val="SCCLsocParty"/>
        <w:rPr>
          <w:lang w:val="fr-CA"/>
        </w:rPr>
      </w:pPr>
      <w:r w:rsidRPr="00EA7953">
        <w:rPr>
          <w:lang w:val="fr-CA"/>
        </w:rPr>
        <w:t>Association des avocats de la défense de Montréal,</w:t>
      </w:r>
    </w:p>
    <w:p w:rsidR="003C7145" w:rsidRDefault="00416A08">
      <w:pPr>
        <w:pStyle w:val="SCCLsocParty"/>
      </w:pPr>
      <w:r>
        <w:t>British Columbia Civil Liberties Association,</w:t>
      </w:r>
    </w:p>
    <w:p w:rsidR="003C7145" w:rsidRPr="00EA7953" w:rsidRDefault="00416A08">
      <w:pPr>
        <w:pStyle w:val="SCCLsocParty"/>
        <w:rPr>
          <w:lang w:val="fr-CA"/>
        </w:rPr>
      </w:pPr>
      <w:r w:rsidRPr="00EA7953">
        <w:rPr>
          <w:lang w:val="fr-CA"/>
        </w:rPr>
        <w:t xml:space="preserve">Association </w:t>
      </w:r>
      <w:r w:rsidR="00641B19">
        <w:rPr>
          <w:lang w:val="fr-CA"/>
        </w:rPr>
        <w:t>canadienne des libertés civiles</w:t>
      </w:r>
      <w:r w:rsidR="00EA7953">
        <w:rPr>
          <w:lang w:val="fr-CA"/>
        </w:rPr>
        <w:t xml:space="preserve"> et</w:t>
      </w:r>
    </w:p>
    <w:p w:rsidR="003C7145" w:rsidRPr="00EA7953" w:rsidRDefault="00416A08" w:rsidP="00653396">
      <w:pPr>
        <w:pStyle w:val="SCCLsocLastPartyInRole"/>
        <w:rPr>
          <w:lang w:val="fr-CA"/>
        </w:rPr>
      </w:pPr>
      <w:r w:rsidRPr="00EA7953">
        <w:rPr>
          <w:lang w:val="fr-CA"/>
        </w:rPr>
        <w:t>Canadian Constitution Foundation</w:t>
      </w:r>
      <w:r w:rsidR="00EA7953">
        <w:rPr>
          <w:rStyle w:val="SCCLsocPartyRole"/>
          <w:lang w:val="fr-CA"/>
        </w:rPr>
        <w:tab/>
        <w:t>Intervenant</w:t>
      </w:r>
      <w:r w:rsidRPr="00EA7953">
        <w:rPr>
          <w:rStyle w:val="SCCLsocPartyRole"/>
          <w:lang w:val="fr-CA"/>
        </w:rPr>
        <w:t>s</w:t>
      </w:r>
    </w:p>
    <w:p w:rsidR="004D7D95" w:rsidRPr="00EA7953" w:rsidRDefault="00EA7953" w:rsidP="00653396">
      <w:pPr>
        <w:spacing w:after="720"/>
        <w:jc w:val="both"/>
        <w:rPr>
          <w:b/>
          <w:lang w:val="fr-CA"/>
        </w:rPr>
      </w:pPr>
      <w:r>
        <w:rPr>
          <w:b/>
          <w:lang w:val="fr-CA"/>
        </w:rPr>
        <w:t>Répertorié : </w:t>
      </w:r>
      <w:r w:rsidR="004D7D95" w:rsidRPr="00EA7953">
        <w:rPr>
          <w:rStyle w:val="SCCAppellantForIndexChar"/>
          <w:lang w:val="fr-CA"/>
        </w:rPr>
        <w:t>Québec</w:t>
      </w:r>
      <w:r>
        <w:rPr>
          <w:rStyle w:val="SCCAppellantForIndexChar"/>
          <w:lang w:val="fr-CA"/>
        </w:rPr>
        <w:t xml:space="preserve"> (</w:t>
      </w:r>
      <w:r w:rsidRPr="00EA7953">
        <w:rPr>
          <w:rStyle w:val="SCCAppellantForIndexChar"/>
          <w:lang w:val="fr-CA"/>
        </w:rPr>
        <w:t>Procureure générale</w:t>
      </w:r>
      <w:r>
        <w:rPr>
          <w:rStyle w:val="SCCAppellantForIndexChar"/>
          <w:lang w:val="fr-CA"/>
        </w:rPr>
        <w:t>)</w:t>
      </w:r>
      <w:r w:rsidR="004D7D95" w:rsidRPr="00BB4C92">
        <w:rPr>
          <w:b/>
          <w:lang w:val="fr-CA"/>
        </w:rPr>
        <w:t xml:space="preserve"> </w:t>
      </w:r>
      <w:r w:rsidR="004D7D95" w:rsidRPr="00BB4C92">
        <w:rPr>
          <w:b/>
          <w:i/>
          <w:lang w:val="fr-CA"/>
        </w:rPr>
        <w:t>c.</w:t>
      </w:r>
      <w:r w:rsidR="004D7D95" w:rsidRPr="00BB4C92">
        <w:rPr>
          <w:b/>
          <w:lang w:val="fr-CA"/>
        </w:rPr>
        <w:t xml:space="preserve"> </w:t>
      </w:r>
      <w:r>
        <w:rPr>
          <w:rStyle w:val="SCCRespondentForIndexChar"/>
          <w:lang w:val="fr-CA"/>
        </w:rPr>
        <w:t>9147-0732 Québec inc.</w:t>
      </w:r>
    </w:p>
    <w:p w:rsidR="004D7D95" w:rsidRPr="00EA7953" w:rsidRDefault="00D17B0E" w:rsidP="00653396">
      <w:pPr>
        <w:pStyle w:val="SCCSystemYear"/>
        <w:spacing w:after="720"/>
        <w:jc w:val="both"/>
        <w:rPr>
          <w:lang w:val="fr-CA"/>
        </w:rPr>
      </w:pPr>
      <w:r w:rsidRPr="00EA7953">
        <w:rPr>
          <w:lang w:val="fr-CA"/>
        </w:rPr>
        <w:t>2020</w:t>
      </w:r>
      <w:r w:rsidR="004D7D95" w:rsidRPr="00EA7953">
        <w:rPr>
          <w:lang w:val="fr-CA"/>
        </w:rPr>
        <w:t xml:space="preserve"> CSC </w:t>
      </w:r>
      <w:r w:rsidR="00CF6BEA" w:rsidRPr="00CF6BEA">
        <w:rPr>
          <w:lang w:val="fr-CA"/>
        </w:rPr>
        <w:t>32</w:t>
      </w:r>
    </w:p>
    <w:p w:rsidR="004D7D95" w:rsidRPr="00EA7953" w:rsidRDefault="004D7D95" w:rsidP="00653396">
      <w:pPr>
        <w:spacing w:after="720"/>
        <w:jc w:val="both"/>
        <w:rPr>
          <w:lang w:val="fr-CA"/>
        </w:rPr>
      </w:pPr>
      <w:r w:rsidRPr="00EA7953">
        <w:rPr>
          <w:lang w:val="fr-CA"/>
        </w:rPr>
        <w:t>N</w:t>
      </w:r>
      <w:r w:rsidRPr="00EA7953">
        <w:rPr>
          <w:vertAlign w:val="superscript"/>
          <w:lang w:val="fr-CA"/>
        </w:rPr>
        <w:t>o</w:t>
      </w:r>
      <w:r w:rsidRPr="00EA7953">
        <w:rPr>
          <w:lang w:val="fr-CA"/>
        </w:rPr>
        <w:t xml:space="preserve"> du greffe : 38613.</w:t>
      </w:r>
    </w:p>
    <w:p w:rsidR="004D7D95" w:rsidRPr="00EA7953" w:rsidRDefault="00653396" w:rsidP="00653396">
      <w:pPr>
        <w:spacing w:after="720"/>
        <w:jc w:val="both"/>
        <w:rPr>
          <w:lang w:val="fr-CA"/>
        </w:rPr>
      </w:pPr>
      <w:r>
        <w:rPr>
          <w:lang w:val="fr-CA"/>
        </w:rPr>
        <w:lastRenderedPageBreak/>
        <w:t>2020 : 22 </w:t>
      </w:r>
      <w:r w:rsidR="00D17B0E" w:rsidRPr="00EA7953">
        <w:rPr>
          <w:lang w:val="fr-CA"/>
        </w:rPr>
        <w:t>janvier</w:t>
      </w:r>
      <w:r>
        <w:rPr>
          <w:lang w:val="fr-CA"/>
        </w:rPr>
        <w:t>; 2020 : 5 </w:t>
      </w:r>
      <w:r w:rsidR="003453E5">
        <w:rPr>
          <w:lang w:val="fr-CA"/>
        </w:rPr>
        <w:t>novembre.</w:t>
      </w:r>
    </w:p>
    <w:p w:rsidR="004D7D95" w:rsidRPr="00EA7953" w:rsidRDefault="004D7D95" w:rsidP="00653396">
      <w:pPr>
        <w:spacing w:after="720"/>
        <w:jc w:val="both"/>
        <w:rPr>
          <w:lang w:val="fr-CA"/>
        </w:rPr>
      </w:pPr>
      <w:r w:rsidRPr="00EA7953">
        <w:rPr>
          <w:lang w:val="fr-CA"/>
        </w:rPr>
        <w:t>Présents : Le juge en chef Wagner et les juges Abella, Moldaver, Karakatsanis, Côté, Brown, Rowe, Martin et Kasirer.</w:t>
      </w:r>
    </w:p>
    <w:p w:rsidR="004D7D95" w:rsidRPr="00EA7953" w:rsidRDefault="004D7D95" w:rsidP="00653396">
      <w:pPr>
        <w:spacing w:after="480" w:line="480" w:lineRule="auto"/>
        <w:jc w:val="both"/>
        <w:rPr>
          <w:smallCaps/>
          <w:lang w:val="fr-CA"/>
        </w:rPr>
      </w:pPr>
      <w:r w:rsidRPr="00EA7953">
        <w:rPr>
          <w:smallCaps/>
          <w:lang w:val="fr-CA"/>
        </w:rPr>
        <w:t>en appel de la cour d</w:t>
      </w:r>
      <w:r w:rsidR="00EA7953" w:rsidRPr="00EA7953">
        <w:rPr>
          <w:smallCaps/>
          <w:lang w:val="fr-CA"/>
        </w:rPr>
        <w:t>’</w:t>
      </w:r>
      <w:r w:rsidRPr="00EA7953">
        <w:rPr>
          <w:smallCaps/>
          <w:lang w:val="fr-CA"/>
        </w:rPr>
        <w:t xml:space="preserve">appel du québec </w:t>
      </w:r>
    </w:p>
    <w:p w:rsidR="0083293C" w:rsidRPr="00E20BA7" w:rsidRDefault="0083293C" w:rsidP="008160A8">
      <w:pPr>
        <w:pStyle w:val="SCCNormalDoubleSpacing"/>
        <w:spacing w:after="480"/>
        <w:rPr>
          <w:i/>
          <w:iCs/>
          <w:lang w:val="fr-CA"/>
        </w:rPr>
      </w:pPr>
      <w:r>
        <w:rPr>
          <w:lang w:val="fr-CA"/>
        </w:rPr>
        <w:tab/>
      </w:r>
      <w:r w:rsidRPr="00E20BA7">
        <w:rPr>
          <w:i/>
          <w:iCs/>
          <w:lang w:val="fr-CA"/>
        </w:rPr>
        <w:t xml:space="preserve">Droit constitutionnel — Charte des droits — Traitements ou peines cruels et inusités — </w:t>
      </w:r>
      <w:r w:rsidR="00663D98">
        <w:rPr>
          <w:i/>
          <w:iCs/>
          <w:lang w:val="fr-CA"/>
        </w:rPr>
        <w:t>Champ d’application et</w:t>
      </w:r>
      <w:r w:rsidRPr="00E20BA7">
        <w:rPr>
          <w:i/>
          <w:iCs/>
          <w:lang w:val="fr-CA"/>
        </w:rPr>
        <w:t xml:space="preserve"> objet d</w:t>
      </w:r>
      <w:r>
        <w:rPr>
          <w:i/>
          <w:iCs/>
          <w:lang w:val="fr-CA"/>
        </w:rPr>
        <w:t>e la garantie</w:t>
      </w:r>
      <w:r w:rsidRPr="00E20BA7">
        <w:rPr>
          <w:i/>
          <w:iCs/>
          <w:lang w:val="fr-CA"/>
        </w:rPr>
        <w:t xml:space="preserve"> — </w:t>
      </w:r>
      <w:r w:rsidR="0012681A">
        <w:rPr>
          <w:i/>
          <w:iCs/>
          <w:lang w:val="fr-CA"/>
        </w:rPr>
        <w:t>L’article</w:t>
      </w:r>
      <w:r>
        <w:rPr>
          <w:i/>
          <w:iCs/>
          <w:lang w:val="fr-CA"/>
        </w:rPr>
        <w:t> 12 de la Charte canadienne des droits et libertés protège</w:t>
      </w:r>
      <w:r>
        <w:rPr>
          <w:i/>
          <w:iCs/>
          <w:lang w:val="fr-CA"/>
        </w:rPr>
        <w:noBreakHyphen/>
        <w:t>t</w:t>
      </w:r>
      <w:r>
        <w:rPr>
          <w:i/>
          <w:iCs/>
          <w:lang w:val="fr-CA"/>
        </w:rPr>
        <w:noBreakHyphen/>
        <w:t xml:space="preserve">il les personnes morales contre les traitements ou peines cruels et inusités? </w:t>
      </w:r>
    </w:p>
    <w:p w:rsidR="0083293C" w:rsidRPr="006A261C" w:rsidRDefault="004D7D95" w:rsidP="008160A8">
      <w:pPr>
        <w:pStyle w:val="SCCNormalDoubleSpacing"/>
        <w:spacing w:after="480"/>
        <w:rPr>
          <w:lang w:val="fr-CA"/>
        </w:rPr>
      </w:pPr>
      <w:r w:rsidRPr="004D7D95">
        <w:rPr>
          <w:lang w:val="fr-CA"/>
        </w:rPr>
        <w:tab/>
      </w:r>
      <w:r w:rsidR="0083293C">
        <w:rPr>
          <w:lang w:val="fr-CA"/>
        </w:rPr>
        <w:t xml:space="preserve">Une </w:t>
      </w:r>
      <w:r w:rsidR="0083293C" w:rsidRPr="005B0CC9">
        <w:rPr>
          <w:lang w:val="fr-CA"/>
        </w:rPr>
        <w:t>personne morale a été déclarée coupable d</w:t>
      </w:r>
      <w:r w:rsidR="0083293C">
        <w:rPr>
          <w:lang w:val="fr-CA"/>
        </w:rPr>
        <w:t>’</w:t>
      </w:r>
      <w:r w:rsidR="0083293C" w:rsidRPr="005B0CC9">
        <w:rPr>
          <w:lang w:val="fr-CA"/>
        </w:rPr>
        <w:t xml:space="preserve">avoir exécuté des travaux de construction en tant </w:t>
      </w:r>
      <w:r w:rsidR="0083293C" w:rsidRPr="00663D98">
        <w:rPr>
          <w:lang w:val="fr-CA"/>
        </w:rPr>
        <w:t>qu’entrepreneure</w:t>
      </w:r>
      <w:r w:rsidR="0083293C" w:rsidRPr="005B0CC9">
        <w:rPr>
          <w:lang w:val="fr-CA"/>
        </w:rPr>
        <w:t xml:space="preserve"> sans être titulaire d</w:t>
      </w:r>
      <w:r w:rsidR="0083293C">
        <w:rPr>
          <w:lang w:val="fr-CA"/>
        </w:rPr>
        <w:t>’</w:t>
      </w:r>
      <w:r w:rsidR="0083293C" w:rsidRPr="005B0CC9">
        <w:rPr>
          <w:lang w:val="fr-CA"/>
        </w:rPr>
        <w:t>une lice</w:t>
      </w:r>
      <w:r w:rsidR="0083293C">
        <w:rPr>
          <w:lang w:val="fr-CA"/>
        </w:rPr>
        <w:t>nce en vigueur à cette fin, infraction prévue à l’art. </w:t>
      </w:r>
      <w:r w:rsidR="0083293C" w:rsidRPr="005B0CC9">
        <w:rPr>
          <w:lang w:val="fr-CA"/>
        </w:rPr>
        <w:t xml:space="preserve">46 de la </w:t>
      </w:r>
      <w:r w:rsidR="0083293C" w:rsidRPr="005B0CC9">
        <w:rPr>
          <w:i/>
          <w:lang w:val="fr-CA"/>
        </w:rPr>
        <w:t>Loi sur le bâtiment</w:t>
      </w:r>
      <w:r w:rsidR="0083293C">
        <w:rPr>
          <w:lang w:val="fr-CA"/>
        </w:rPr>
        <w:t xml:space="preserve"> du Québec</w:t>
      </w:r>
      <w:r w:rsidR="0083293C" w:rsidRPr="0014134B">
        <w:rPr>
          <w:lang w:val="fr-CA"/>
        </w:rPr>
        <w:t xml:space="preserve">. </w:t>
      </w:r>
      <w:r w:rsidR="0083293C">
        <w:rPr>
          <w:lang w:val="fr-CA"/>
        </w:rPr>
        <w:t xml:space="preserve">Aux termes de </w:t>
      </w:r>
      <w:r w:rsidR="0083293C" w:rsidRPr="005B0CC9">
        <w:rPr>
          <w:lang w:val="fr-CA"/>
        </w:rPr>
        <w:t>l</w:t>
      </w:r>
      <w:r w:rsidR="0083293C">
        <w:rPr>
          <w:lang w:val="fr-CA"/>
        </w:rPr>
        <w:t>’</w:t>
      </w:r>
      <w:r w:rsidR="0083293C" w:rsidRPr="005B0CC9">
        <w:rPr>
          <w:lang w:val="fr-CA"/>
        </w:rPr>
        <w:t>art.</w:t>
      </w:r>
      <w:r w:rsidR="0083293C">
        <w:rPr>
          <w:lang w:val="fr-CA"/>
        </w:rPr>
        <w:t> </w:t>
      </w:r>
      <w:r w:rsidR="0083293C" w:rsidRPr="005B0CC9">
        <w:rPr>
          <w:lang w:val="fr-CA"/>
        </w:rPr>
        <w:t>197.1 de</w:t>
      </w:r>
      <w:r w:rsidR="0083293C">
        <w:rPr>
          <w:lang w:val="fr-CA"/>
        </w:rPr>
        <w:t xml:space="preserve"> cette loi</w:t>
      </w:r>
      <w:r w:rsidR="0083293C" w:rsidRPr="005B0CC9">
        <w:rPr>
          <w:lang w:val="fr-CA"/>
        </w:rPr>
        <w:t xml:space="preserve">, </w:t>
      </w:r>
      <w:r w:rsidR="0083293C">
        <w:rPr>
          <w:lang w:val="fr-CA"/>
        </w:rPr>
        <w:t xml:space="preserve">quiconque contrevient </w:t>
      </w:r>
      <w:r w:rsidR="0083293C" w:rsidRPr="005B0CC9">
        <w:rPr>
          <w:lang w:val="fr-CA"/>
        </w:rPr>
        <w:t>à l</w:t>
      </w:r>
      <w:r w:rsidR="0083293C">
        <w:rPr>
          <w:lang w:val="fr-CA"/>
        </w:rPr>
        <w:t>’</w:t>
      </w:r>
      <w:r w:rsidR="0083293C" w:rsidRPr="005B0CC9">
        <w:rPr>
          <w:lang w:val="fr-CA"/>
        </w:rPr>
        <w:t>art.</w:t>
      </w:r>
      <w:r w:rsidR="0083293C">
        <w:rPr>
          <w:lang w:val="fr-CA"/>
        </w:rPr>
        <w:t> </w:t>
      </w:r>
      <w:r w:rsidR="0083293C" w:rsidRPr="005B0CC9">
        <w:rPr>
          <w:lang w:val="fr-CA"/>
        </w:rPr>
        <w:t xml:space="preserve">46 </w:t>
      </w:r>
      <w:r w:rsidR="0083293C">
        <w:rPr>
          <w:lang w:val="fr-CA"/>
        </w:rPr>
        <w:t>est passible d’</w:t>
      </w:r>
      <w:r w:rsidR="0083293C" w:rsidRPr="005B0CC9">
        <w:rPr>
          <w:lang w:val="fr-CA"/>
        </w:rPr>
        <w:t>une amende minimale obligatoire</w:t>
      </w:r>
      <w:r w:rsidR="0083293C">
        <w:rPr>
          <w:lang w:val="fr-CA"/>
        </w:rPr>
        <w:t>, dont le montant</w:t>
      </w:r>
      <w:r w:rsidR="0083293C" w:rsidRPr="005B0CC9">
        <w:rPr>
          <w:lang w:val="fr-CA"/>
        </w:rPr>
        <w:t xml:space="preserve"> varie selon que le contrevenant est un individu ou une personne morale</w:t>
      </w:r>
      <w:r w:rsidR="0083293C">
        <w:rPr>
          <w:lang w:val="fr-CA"/>
        </w:rPr>
        <w:t xml:space="preserve">. </w:t>
      </w:r>
      <w:r w:rsidR="0083293C" w:rsidRPr="005B0CC9">
        <w:rPr>
          <w:lang w:val="fr-CA"/>
        </w:rPr>
        <w:t xml:space="preserve">Appliquant cette disposition, la Cour du Québec a </w:t>
      </w:r>
      <w:r w:rsidR="0083293C">
        <w:rPr>
          <w:lang w:val="fr-CA"/>
        </w:rPr>
        <w:t xml:space="preserve">infligé </w:t>
      </w:r>
      <w:r w:rsidR="0083293C" w:rsidRPr="005B0CC9">
        <w:rPr>
          <w:lang w:val="fr-CA"/>
        </w:rPr>
        <w:t>une amende de 30</w:t>
      </w:r>
      <w:r w:rsidR="0083293C">
        <w:rPr>
          <w:lang w:val="fr-CA"/>
        </w:rPr>
        <w:t> 843 </w:t>
      </w:r>
      <w:r w:rsidR="0083293C" w:rsidRPr="005B0CC9">
        <w:rPr>
          <w:lang w:val="fr-CA"/>
        </w:rPr>
        <w:t>$, soit le montant minimal dont était passible une personne morale à l</w:t>
      </w:r>
      <w:r w:rsidR="0083293C">
        <w:rPr>
          <w:lang w:val="fr-CA"/>
        </w:rPr>
        <w:t>’</w:t>
      </w:r>
      <w:r w:rsidR="0083293C" w:rsidRPr="005B0CC9">
        <w:rPr>
          <w:lang w:val="fr-CA"/>
        </w:rPr>
        <w:t>époque</w:t>
      </w:r>
      <w:r w:rsidR="0083293C">
        <w:rPr>
          <w:lang w:val="fr-CA"/>
        </w:rPr>
        <w:t>.</w:t>
      </w:r>
      <w:r w:rsidR="0083293C" w:rsidRPr="0026734E">
        <w:rPr>
          <w:lang w:val="fr-CA"/>
        </w:rPr>
        <w:t xml:space="preserve"> </w:t>
      </w:r>
      <w:r w:rsidR="0083293C" w:rsidRPr="005B0CC9">
        <w:rPr>
          <w:lang w:val="fr-CA"/>
        </w:rPr>
        <w:t>La personne morale a contesté la constitutionnalité de l</w:t>
      </w:r>
      <w:r w:rsidR="0083293C">
        <w:rPr>
          <w:lang w:val="fr-CA"/>
        </w:rPr>
        <w:t>’</w:t>
      </w:r>
      <w:r w:rsidR="0083293C" w:rsidRPr="005B0CC9">
        <w:rPr>
          <w:lang w:val="fr-CA"/>
        </w:rPr>
        <w:t>am</w:t>
      </w:r>
      <w:r w:rsidR="0083293C">
        <w:rPr>
          <w:lang w:val="fr-CA"/>
        </w:rPr>
        <w:t>ende minimale obligatoire, au motif</w:t>
      </w:r>
      <w:r w:rsidR="0083293C" w:rsidRPr="005B0CC9">
        <w:rPr>
          <w:lang w:val="fr-CA"/>
        </w:rPr>
        <w:t xml:space="preserve"> qu</w:t>
      </w:r>
      <w:r w:rsidR="0083293C">
        <w:rPr>
          <w:lang w:val="fr-CA"/>
        </w:rPr>
        <w:t>’</w:t>
      </w:r>
      <w:r w:rsidR="0083293C" w:rsidRPr="005B0CC9">
        <w:rPr>
          <w:lang w:val="fr-CA"/>
        </w:rPr>
        <w:t>elle portait atteinte au droit que lui garantit l</w:t>
      </w:r>
      <w:r w:rsidR="0083293C">
        <w:rPr>
          <w:lang w:val="fr-CA"/>
        </w:rPr>
        <w:t>’</w:t>
      </w:r>
      <w:r w:rsidR="0083293C" w:rsidRPr="005B0CC9">
        <w:rPr>
          <w:lang w:val="fr-CA"/>
        </w:rPr>
        <w:t>art.</w:t>
      </w:r>
      <w:r w:rsidR="0083293C">
        <w:rPr>
          <w:lang w:val="fr-CA"/>
        </w:rPr>
        <w:t> </w:t>
      </w:r>
      <w:r w:rsidR="0083293C" w:rsidRPr="005B0CC9">
        <w:rPr>
          <w:lang w:val="fr-CA"/>
        </w:rPr>
        <w:t xml:space="preserve">12 de la </w:t>
      </w:r>
      <w:r w:rsidR="0083293C" w:rsidRPr="005B0CC9">
        <w:rPr>
          <w:i/>
          <w:lang w:val="fr-CA"/>
        </w:rPr>
        <w:t>Charte</w:t>
      </w:r>
      <w:r w:rsidR="0083293C" w:rsidRPr="005B0CC9">
        <w:rPr>
          <w:lang w:val="fr-CA"/>
        </w:rPr>
        <w:t xml:space="preserve"> à la protection contre tous traitements ou peines cruels et inusités</w:t>
      </w:r>
      <w:r w:rsidR="0083293C">
        <w:rPr>
          <w:lang w:val="fr-CA"/>
        </w:rPr>
        <w:t>. La</w:t>
      </w:r>
      <w:r w:rsidR="0083293C" w:rsidRPr="005B0CC9">
        <w:rPr>
          <w:lang w:val="fr-CA"/>
        </w:rPr>
        <w:t xml:space="preserve"> Cour du Québec</w:t>
      </w:r>
      <w:r w:rsidR="0083293C">
        <w:rPr>
          <w:lang w:val="fr-CA"/>
        </w:rPr>
        <w:t xml:space="preserve"> a rejeté la contestation,</w:t>
      </w:r>
      <w:r w:rsidR="0083293C" w:rsidRPr="005B0CC9">
        <w:rPr>
          <w:lang w:val="fr-CA"/>
        </w:rPr>
        <w:t xml:space="preserve"> conclu</w:t>
      </w:r>
      <w:r w:rsidR="0083293C">
        <w:rPr>
          <w:lang w:val="fr-CA"/>
        </w:rPr>
        <w:t>ant</w:t>
      </w:r>
      <w:r w:rsidR="0083293C" w:rsidRPr="005B0CC9">
        <w:rPr>
          <w:lang w:val="fr-CA"/>
        </w:rPr>
        <w:t xml:space="preserve"> </w:t>
      </w:r>
      <w:r w:rsidR="0083293C">
        <w:rPr>
          <w:lang w:val="fr-CA"/>
        </w:rPr>
        <w:t>que le fait d’étendre la protection de droits intrinsèquement liés aux personnes physiques à des droits appartenant aux</w:t>
      </w:r>
      <w:r w:rsidR="0083293C" w:rsidRPr="005B0CC9">
        <w:rPr>
          <w:lang w:val="fr-CA"/>
        </w:rPr>
        <w:t xml:space="preserve"> personne</w:t>
      </w:r>
      <w:r w:rsidR="0083293C">
        <w:rPr>
          <w:lang w:val="fr-CA"/>
        </w:rPr>
        <w:t>s</w:t>
      </w:r>
      <w:r w:rsidR="0083293C" w:rsidRPr="005B0CC9">
        <w:rPr>
          <w:lang w:val="fr-CA"/>
        </w:rPr>
        <w:t xml:space="preserve"> </w:t>
      </w:r>
      <w:r w:rsidR="0083293C" w:rsidRPr="005B0CC9">
        <w:rPr>
          <w:lang w:val="fr-CA"/>
        </w:rPr>
        <w:lastRenderedPageBreak/>
        <w:t>morale</w:t>
      </w:r>
      <w:r w:rsidR="0083293C">
        <w:rPr>
          <w:lang w:val="fr-CA"/>
        </w:rPr>
        <w:t>s</w:t>
      </w:r>
      <w:r w:rsidR="0083293C" w:rsidRPr="005B0CC9">
        <w:rPr>
          <w:lang w:val="fr-CA"/>
        </w:rPr>
        <w:t xml:space="preserve"> banaliserait la protection prévue à l</w:t>
      </w:r>
      <w:r w:rsidR="0083293C">
        <w:rPr>
          <w:lang w:val="fr-CA"/>
        </w:rPr>
        <w:t>’</w:t>
      </w:r>
      <w:r w:rsidR="0083293C" w:rsidRPr="005B0CC9">
        <w:rPr>
          <w:lang w:val="fr-CA"/>
        </w:rPr>
        <w:t>art.</w:t>
      </w:r>
      <w:r w:rsidR="0083293C">
        <w:rPr>
          <w:lang w:val="fr-CA"/>
        </w:rPr>
        <w:t> </w:t>
      </w:r>
      <w:r w:rsidR="0083293C" w:rsidRPr="005B0CC9">
        <w:rPr>
          <w:lang w:val="fr-CA"/>
        </w:rPr>
        <w:t>12</w:t>
      </w:r>
      <w:r w:rsidR="0083293C" w:rsidRPr="0026734E">
        <w:rPr>
          <w:lang w:val="fr-CA"/>
        </w:rPr>
        <w:t>.</w:t>
      </w:r>
      <w:r w:rsidR="0083293C">
        <w:rPr>
          <w:lang w:val="fr-CA"/>
        </w:rPr>
        <w:t xml:space="preserve"> À la suite de l’appel </w:t>
      </w:r>
      <w:r w:rsidR="0083293C" w:rsidRPr="0026734E">
        <w:rPr>
          <w:lang w:val="fr-CA"/>
        </w:rPr>
        <w:t xml:space="preserve">interjeté par la personne morale, </w:t>
      </w:r>
      <w:r w:rsidR="0083293C">
        <w:rPr>
          <w:lang w:val="fr-CA"/>
        </w:rPr>
        <w:t xml:space="preserve">la </w:t>
      </w:r>
      <w:r w:rsidR="0083293C" w:rsidRPr="005B0CC9">
        <w:rPr>
          <w:lang w:val="fr-CA"/>
        </w:rPr>
        <w:t xml:space="preserve">Cour supérieure du Québec a </w:t>
      </w:r>
      <w:r w:rsidR="0083293C">
        <w:rPr>
          <w:lang w:val="fr-CA"/>
        </w:rPr>
        <w:t xml:space="preserve">elle aussi statué </w:t>
      </w:r>
      <w:r w:rsidR="0083293C" w:rsidRPr="005B0CC9">
        <w:rPr>
          <w:lang w:val="fr-CA"/>
        </w:rPr>
        <w:t>que les personnes morales n</w:t>
      </w:r>
      <w:r w:rsidR="0083293C">
        <w:rPr>
          <w:lang w:val="fr-CA"/>
        </w:rPr>
        <w:t xml:space="preserve">e sont </w:t>
      </w:r>
      <w:r w:rsidR="0083293C" w:rsidRPr="005B0CC9">
        <w:rPr>
          <w:lang w:val="fr-CA"/>
        </w:rPr>
        <w:t>pas visées par l</w:t>
      </w:r>
      <w:r w:rsidR="0083293C">
        <w:rPr>
          <w:lang w:val="fr-CA"/>
        </w:rPr>
        <w:t>’</w:t>
      </w:r>
      <w:r w:rsidR="0083293C" w:rsidRPr="005B0CC9">
        <w:rPr>
          <w:lang w:val="fr-CA"/>
        </w:rPr>
        <w:t>art.</w:t>
      </w:r>
      <w:r w:rsidR="0083293C">
        <w:rPr>
          <w:lang w:val="fr-CA"/>
        </w:rPr>
        <w:t> </w:t>
      </w:r>
      <w:r w:rsidR="0083293C" w:rsidRPr="005B0CC9">
        <w:rPr>
          <w:lang w:val="fr-CA"/>
        </w:rPr>
        <w:t>12</w:t>
      </w:r>
      <w:r w:rsidR="0083293C">
        <w:rPr>
          <w:lang w:val="fr-CA"/>
        </w:rPr>
        <w:t xml:space="preserve">, car l’objet de la disposition est </w:t>
      </w:r>
      <w:r w:rsidR="0083293C" w:rsidRPr="005B0CC9">
        <w:rPr>
          <w:lang w:val="fr-CA"/>
        </w:rPr>
        <w:t xml:space="preserve">la protection de la dignité humaine, </w:t>
      </w:r>
      <w:r w:rsidR="0083293C">
        <w:rPr>
          <w:lang w:val="fr-CA"/>
        </w:rPr>
        <w:t>une notion</w:t>
      </w:r>
      <w:r w:rsidR="0083293C" w:rsidRPr="005B0CC9">
        <w:rPr>
          <w:lang w:val="fr-CA"/>
        </w:rPr>
        <w:t xml:space="preserve"> qui</w:t>
      </w:r>
      <w:r w:rsidR="0083293C">
        <w:rPr>
          <w:lang w:val="fr-CA"/>
        </w:rPr>
        <w:t xml:space="preserve"> s’applique de toute évidence exclusivement aux personnes physiques. </w:t>
      </w:r>
      <w:r w:rsidR="0083293C" w:rsidRPr="005B0CC9">
        <w:rPr>
          <w:lang w:val="fr-CA"/>
        </w:rPr>
        <w:t>Les juges majoritaires de la Cour d</w:t>
      </w:r>
      <w:r w:rsidR="0083293C">
        <w:rPr>
          <w:lang w:val="fr-CA"/>
        </w:rPr>
        <w:t>’</w:t>
      </w:r>
      <w:r w:rsidR="0083293C" w:rsidRPr="005B0CC9">
        <w:rPr>
          <w:lang w:val="fr-CA"/>
        </w:rPr>
        <w:t>appel du Québec</w:t>
      </w:r>
      <w:r w:rsidR="0083293C">
        <w:rPr>
          <w:lang w:val="fr-CA"/>
        </w:rPr>
        <w:t xml:space="preserve"> ont toutefois accueilli l’appel </w:t>
      </w:r>
      <w:r w:rsidR="00663D98">
        <w:rPr>
          <w:lang w:val="fr-CA"/>
        </w:rPr>
        <w:t xml:space="preserve">de la personne morale, </w:t>
      </w:r>
      <w:r w:rsidR="0083293C">
        <w:rPr>
          <w:lang w:val="fr-CA"/>
        </w:rPr>
        <w:t xml:space="preserve">concluant que, comme </w:t>
      </w:r>
      <w:r w:rsidR="0083293C" w:rsidRPr="005B0CC9">
        <w:rPr>
          <w:lang w:val="fr-CA"/>
        </w:rPr>
        <w:t xml:space="preserve">les personnes morales </w:t>
      </w:r>
      <w:r w:rsidR="0083293C">
        <w:rPr>
          <w:lang w:val="fr-CA"/>
        </w:rPr>
        <w:t xml:space="preserve">pouvaient être exposées à </w:t>
      </w:r>
      <w:r w:rsidR="0083293C" w:rsidRPr="005B0CC9">
        <w:rPr>
          <w:lang w:val="fr-CA"/>
        </w:rPr>
        <w:t>des traitements ou peines cruels sous forme d</w:t>
      </w:r>
      <w:r w:rsidR="0083293C">
        <w:rPr>
          <w:lang w:val="fr-CA"/>
        </w:rPr>
        <w:t>’</w:t>
      </w:r>
      <w:r w:rsidR="0083293C" w:rsidRPr="005B0CC9">
        <w:rPr>
          <w:lang w:val="fr-CA"/>
        </w:rPr>
        <w:t xml:space="preserve">amendes </w:t>
      </w:r>
      <w:r w:rsidR="0083293C">
        <w:rPr>
          <w:lang w:val="fr-CA"/>
        </w:rPr>
        <w:t>lourdes ou sévères</w:t>
      </w:r>
      <w:r w:rsidR="0083293C" w:rsidRPr="005B0CC9">
        <w:rPr>
          <w:lang w:val="fr-CA"/>
        </w:rPr>
        <w:t>, l</w:t>
      </w:r>
      <w:r w:rsidR="0083293C">
        <w:rPr>
          <w:lang w:val="fr-CA"/>
        </w:rPr>
        <w:t>’</w:t>
      </w:r>
      <w:r w:rsidR="0083293C" w:rsidRPr="005B0CC9">
        <w:rPr>
          <w:lang w:val="fr-CA"/>
        </w:rPr>
        <w:t>art</w:t>
      </w:r>
      <w:r w:rsidR="0083293C">
        <w:rPr>
          <w:lang w:val="fr-CA"/>
        </w:rPr>
        <w:t>. 12 pouvait s’appliquer à elles</w:t>
      </w:r>
      <w:r w:rsidR="0083293C" w:rsidRPr="005B0CC9">
        <w:rPr>
          <w:lang w:val="fr-CA"/>
        </w:rPr>
        <w:t xml:space="preserve">. </w:t>
      </w:r>
      <w:r w:rsidR="0083293C" w:rsidRPr="006A261C">
        <w:rPr>
          <w:lang w:val="fr-CA"/>
        </w:rPr>
        <w:t xml:space="preserve">Le juge dissident a estimé que l’art. 12 </w:t>
      </w:r>
      <w:r w:rsidR="0083293C">
        <w:rPr>
          <w:lang w:val="fr-CA"/>
        </w:rPr>
        <w:t xml:space="preserve">ne s’applique pas </w:t>
      </w:r>
      <w:r w:rsidR="0083293C" w:rsidRPr="006A261C">
        <w:rPr>
          <w:lang w:val="fr-CA"/>
        </w:rPr>
        <w:t>aux personnes morales.</w:t>
      </w:r>
    </w:p>
    <w:p w:rsidR="0083293C" w:rsidRDefault="004D7D95" w:rsidP="008160A8">
      <w:pPr>
        <w:pStyle w:val="SCCNormalDoubleSpacing"/>
        <w:spacing w:after="480"/>
        <w:rPr>
          <w:lang w:val="fr-CA"/>
        </w:rPr>
      </w:pPr>
      <w:r w:rsidRPr="004D7D95">
        <w:rPr>
          <w:lang w:val="fr-CA"/>
        </w:rPr>
        <w:tab/>
      </w:r>
      <w:r w:rsidR="0083293C" w:rsidRPr="0048467D">
        <w:rPr>
          <w:rStyle w:val="QuoteChar"/>
          <w:color w:val="auto"/>
          <w:lang w:val="fr-CA"/>
        </w:rPr>
        <w:t>Arrêt </w:t>
      </w:r>
      <w:r w:rsidR="0083293C" w:rsidRPr="0048467D">
        <w:rPr>
          <w:rStyle w:val="QuoteChar"/>
          <w:i w:val="0"/>
          <w:color w:val="auto"/>
          <w:lang w:val="fr-CA"/>
        </w:rPr>
        <w:t>:</w:t>
      </w:r>
      <w:r w:rsidR="0083293C" w:rsidRPr="0048467D">
        <w:rPr>
          <w:lang w:val="fr-CA"/>
        </w:rPr>
        <w:t xml:space="preserve"> </w:t>
      </w:r>
      <w:r w:rsidR="0083293C">
        <w:rPr>
          <w:lang w:val="fr-CA"/>
        </w:rPr>
        <w:t>Le pourvoi est</w:t>
      </w:r>
      <w:r w:rsidR="0083293C" w:rsidRPr="0048467D">
        <w:rPr>
          <w:lang w:val="fr-CA"/>
        </w:rPr>
        <w:t xml:space="preserve"> accueilli et l’arrêt de la </w:t>
      </w:r>
      <w:r w:rsidR="0083293C">
        <w:rPr>
          <w:lang w:val="fr-CA"/>
        </w:rPr>
        <w:t>C</w:t>
      </w:r>
      <w:r w:rsidR="0083293C" w:rsidRPr="0048467D">
        <w:rPr>
          <w:lang w:val="fr-CA"/>
        </w:rPr>
        <w:t>our d’</w:t>
      </w:r>
      <w:r w:rsidR="0083293C">
        <w:rPr>
          <w:lang w:val="fr-CA"/>
        </w:rPr>
        <w:t>appel est annulé</w:t>
      </w:r>
      <w:r w:rsidR="0083293C" w:rsidRPr="0048467D">
        <w:rPr>
          <w:lang w:val="fr-CA"/>
        </w:rPr>
        <w:t xml:space="preserve">. </w:t>
      </w:r>
    </w:p>
    <w:p w:rsidR="0083293C" w:rsidRPr="005E68A3" w:rsidRDefault="0083293C" w:rsidP="008160A8">
      <w:pPr>
        <w:pStyle w:val="SCCNormalDoubleSpacing"/>
        <w:spacing w:after="480"/>
        <w:rPr>
          <w:lang w:val="fr-CA"/>
        </w:rPr>
      </w:pPr>
      <w:r>
        <w:rPr>
          <w:i/>
          <w:lang w:val="fr-CA"/>
        </w:rPr>
        <w:tab/>
      </w:r>
      <w:r w:rsidRPr="005B736C">
        <w:rPr>
          <w:i/>
          <w:lang w:val="fr-CA"/>
        </w:rPr>
        <w:t>Le</w:t>
      </w:r>
      <w:r w:rsidRPr="005B736C">
        <w:rPr>
          <w:lang w:val="fr-CA"/>
        </w:rPr>
        <w:t xml:space="preserve"> juge en chef Wagner et les juges Moldaver, Côté, </w:t>
      </w:r>
      <w:r w:rsidRPr="0012681A">
        <w:rPr>
          <w:lang w:val="fr-CA"/>
        </w:rPr>
        <w:t>Brown</w:t>
      </w:r>
      <w:r w:rsidRPr="005B736C">
        <w:rPr>
          <w:lang w:val="fr-CA"/>
        </w:rPr>
        <w:t xml:space="preserve"> et </w:t>
      </w:r>
      <w:r w:rsidRPr="0012681A">
        <w:rPr>
          <w:lang w:val="fr-CA"/>
        </w:rPr>
        <w:t>Rowe</w:t>
      </w:r>
      <w:r w:rsidRPr="005B736C">
        <w:rPr>
          <w:lang w:val="fr-CA"/>
        </w:rPr>
        <w:t xml:space="preserve"> : </w:t>
      </w:r>
      <w:r>
        <w:rPr>
          <w:lang w:val="fr-CA"/>
        </w:rPr>
        <w:t>L</w:t>
      </w:r>
      <w:r w:rsidRPr="005B736C">
        <w:rPr>
          <w:lang w:val="fr-CA"/>
        </w:rPr>
        <w:t>’art</w:t>
      </w:r>
      <w:r>
        <w:rPr>
          <w:lang w:val="fr-CA"/>
        </w:rPr>
        <w:t>icle</w:t>
      </w:r>
      <w:r w:rsidRPr="005B736C">
        <w:rPr>
          <w:lang w:val="fr-CA"/>
        </w:rPr>
        <w:t xml:space="preserve"> 12 de la </w:t>
      </w:r>
      <w:r w:rsidRPr="005B736C">
        <w:rPr>
          <w:i/>
          <w:iCs/>
          <w:lang w:val="fr-CA"/>
        </w:rPr>
        <w:t>Charte</w:t>
      </w:r>
      <w:r>
        <w:rPr>
          <w:i/>
          <w:iCs/>
          <w:lang w:val="fr-CA"/>
        </w:rPr>
        <w:t xml:space="preserve"> </w:t>
      </w:r>
      <w:r>
        <w:rPr>
          <w:iCs/>
          <w:lang w:val="fr-CA"/>
        </w:rPr>
        <w:t xml:space="preserve">ne </w:t>
      </w:r>
      <w:r w:rsidRPr="005B736C">
        <w:rPr>
          <w:lang w:val="fr-CA"/>
        </w:rPr>
        <w:t xml:space="preserve">protège </w:t>
      </w:r>
      <w:r>
        <w:rPr>
          <w:lang w:val="fr-CA"/>
        </w:rPr>
        <w:t xml:space="preserve">pas </w:t>
      </w:r>
      <w:r w:rsidRPr="005B736C">
        <w:rPr>
          <w:lang w:val="fr-CA"/>
        </w:rPr>
        <w:t>les personnes morales contre les traitements ou peines cruels et inusités</w:t>
      </w:r>
      <w:r>
        <w:rPr>
          <w:lang w:val="fr-CA"/>
        </w:rPr>
        <w:t xml:space="preserve">, parce que </w:t>
      </w:r>
      <w:r w:rsidRPr="005B736C">
        <w:rPr>
          <w:lang w:val="fr-CA"/>
        </w:rPr>
        <w:t xml:space="preserve">l’expression « cruels et inusités » dénote une </w:t>
      </w:r>
      <w:r>
        <w:rPr>
          <w:lang w:val="fr-CA"/>
        </w:rPr>
        <w:t>protection que seul un être humain peut avoir.</w:t>
      </w:r>
      <w:r w:rsidRPr="005B736C">
        <w:rPr>
          <w:lang w:val="fr-CA"/>
        </w:rPr>
        <w:t xml:space="preserve"> En conséquence, </w:t>
      </w:r>
      <w:r>
        <w:rPr>
          <w:lang w:val="fr-CA"/>
        </w:rPr>
        <w:t xml:space="preserve">la </w:t>
      </w:r>
      <w:r w:rsidRPr="005B736C">
        <w:rPr>
          <w:lang w:val="fr-CA"/>
        </w:rPr>
        <w:t>protection de l’art.</w:t>
      </w:r>
      <w:r>
        <w:rPr>
          <w:lang w:val="fr-CA"/>
        </w:rPr>
        <w:t> </w:t>
      </w:r>
      <w:r w:rsidRPr="005B736C">
        <w:rPr>
          <w:lang w:val="fr-CA"/>
        </w:rPr>
        <w:t>12 se limite aux êtres humains</w:t>
      </w:r>
      <w:r>
        <w:rPr>
          <w:lang w:val="fr-CA"/>
        </w:rPr>
        <w:t>.</w:t>
      </w:r>
      <w:r w:rsidRPr="004C6819">
        <w:rPr>
          <w:lang w:val="fr-CA"/>
        </w:rPr>
        <w:t xml:space="preserve"> </w:t>
      </w:r>
      <w:r>
        <w:rPr>
          <w:lang w:val="fr-CA"/>
        </w:rPr>
        <w:t>L</w:t>
      </w:r>
      <w:r w:rsidRPr="004C6819">
        <w:rPr>
          <w:lang w:val="fr-CA"/>
        </w:rPr>
        <w:t>a jurisprudence de notre Cour su</w:t>
      </w:r>
      <w:r w:rsidR="00496997">
        <w:rPr>
          <w:lang w:val="fr-CA"/>
        </w:rPr>
        <w:t>r l’art. </w:t>
      </w:r>
      <w:r w:rsidRPr="004C6819">
        <w:rPr>
          <w:lang w:val="fr-CA"/>
        </w:rPr>
        <w:t>12, tant en français qu’en anglais, est caractérisée par la notion de la dignité humaine et</w:t>
      </w:r>
      <w:r>
        <w:rPr>
          <w:lang w:val="fr-CA"/>
        </w:rPr>
        <w:t xml:space="preserve"> </w:t>
      </w:r>
      <w:r w:rsidRPr="004C6819">
        <w:rPr>
          <w:lang w:val="fr-CA"/>
        </w:rPr>
        <w:t xml:space="preserve">le fait qu’il y ait des êtres humains derrière la personnalité morale est insuffisant pour justifier la revendication du droit garanti à l’art. 12 </w:t>
      </w:r>
      <w:r>
        <w:rPr>
          <w:lang w:val="fr-CA"/>
        </w:rPr>
        <w:t xml:space="preserve">en faveur d’une personne morale, </w:t>
      </w:r>
      <w:r w:rsidRPr="004C6819">
        <w:rPr>
          <w:lang w:val="fr-CA"/>
        </w:rPr>
        <w:t>vu la personnalité juridique distincte de celle</w:t>
      </w:r>
      <w:r w:rsidRPr="004C6819">
        <w:rPr>
          <w:lang w:val="fr-CA"/>
        </w:rPr>
        <w:noBreakHyphen/>
        <w:t>ci</w:t>
      </w:r>
      <w:r>
        <w:rPr>
          <w:lang w:val="fr-CA"/>
        </w:rPr>
        <w:t>.</w:t>
      </w:r>
      <w:r w:rsidRPr="004C6819">
        <w:rPr>
          <w:lang w:val="fr-CA"/>
        </w:rPr>
        <w:t xml:space="preserve"> </w:t>
      </w:r>
    </w:p>
    <w:p w:rsidR="0083293C" w:rsidRPr="00E34BCD" w:rsidRDefault="0083293C" w:rsidP="008160A8">
      <w:pPr>
        <w:pStyle w:val="SCCNormalDoubleSpacing"/>
        <w:spacing w:after="480"/>
        <w:rPr>
          <w:lang w:val="fr-CA"/>
        </w:rPr>
      </w:pPr>
      <w:r w:rsidRPr="005E68A3">
        <w:rPr>
          <w:lang w:val="fr-CA"/>
        </w:rPr>
        <w:tab/>
      </w:r>
      <w:r w:rsidRPr="00AC3BDE">
        <w:rPr>
          <w:lang w:val="fr-CA"/>
        </w:rPr>
        <w:t xml:space="preserve">Une personne morale qui revendique la protection de la </w:t>
      </w:r>
      <w:r w:rsidRPr="00AC3BDE">
        <w:rPr>
          <w:i/>
          <w:lang w:val="fr-CA"/>
        </w:rPr>
        <w:t>Charte</w:t>
      </w:r>
      <w:r w:rsidRPr="00AC3BDE">
        <w:rPr>
          <w:lang w:val="fr-CA"/>
        </w:rPr>
        <w:t xml:space="preserve"> doit établir qu’elle a un intérêt qui est compris dans la portée de la garantie et qui s’accorde </w:t>
      </w:r>
      <w:r>
        <w:rPr>
          <w:lang w:val="fr-CA"/>
        </w:rPr>
        <w:t xml:space="preserve">avec </w:t>
      </w:r>
      <w:r>
        <w:rPr>
          <w:lang w:val="fr-CA"/>
        </w:rPr>
        <w:lastRenderedPageBreak/>
        <w:t>l’objet de la disposition. L</w:t>
      </w:r>
      <w:r w:rsidRPr="00AC3BDE">
        <w:rPr>
          <w:lang w:val="fr-CA"/>
        </w:rPr>
        <w:t xml:space="preserve">e tribunal doit s’efforcer de dégager l’objet et le champ d’application du droit en question en procédant à une interprétation téléologique, c’est-à-dire en fonction de la nature et des objectifs plus larges de la </w:t>
      </w:r>
      <w:r w:rsidRPr="00AC3BDE">
        <w:rPr>
          <w:i/>
          <w:iCs/>
          <w:lang w:val="fr-CA"/>
        </w:rPr>
        <w:t>Charte</w:t>
      </w:r>
      <w:r w:rsidRPr="00AC3BDE">
        <w:rPr>
          <w:lang w:val="fr-CA"/>
        </w:rPr>
        <w:t xml:space="preserve"> elle</w:t>
      </w:r>
      <w:r w:rsidRPr="00AC3BDE">
        <w:rPr>
          <w:lang w:val="fr-CA"/>
        </w:rPr>
        <w:noBreakHyphen/>
        <w:t xml:space="preserve">même, des termes choisis pour énoncer ce droit ou cette liberté, des origines historiques des concepts enchâssés et, s’il y a lieu, en fonction du sens et de l’objet des autres libertés et droits particuliers qui s’y rattachent selon le texte de la </w:t>
      </w:r>
      <w:r w:rsidRPr="00AC3BDE">
        <w:rPr>
          <w:i/>
          <w:iCs/>
          <w:lang w:val="fr-CA"/>
        </w:rPr>
        <w:t>Charte</w:t>
      </w:r>
      <w:r>
        <w:rPr>
          <w:lang w:val="fr-CA"/>
        </w:rPr>
        <w:t xml:space="preserve">. Il s’agit d’une </w:t>
      </w:r>
      <w:r w:rsidRPr="00AC3BDE">
        <w:rPr>
          <w:lang w:val="fr-CA"/>
        </w:rPr>
        <w:t>approche li</w:t>
      </w:r>
      <w:r>
        <w:rPr>
          <w:lang w:val="fr-CA"/>
        </w:rPr>
        <w:t>bérale,</w:t>
      </w:r>
      <w:r w:rsidRPr="002326E5">
        <w:rPr>
          <w:lang w:val="fr-CA"/>
        </w:rPr>
        <w:t xml:space="preserve"> </w:t>
      </w:r>
      <w:r>
        <w:rPr>
          <w:lang w:val="fr-CA"/>
        </w:rPr>
        <w:t>téléologique et contextuelle, qui doit être appliquée de façon large et libérale. Suivant l’</w:t>
      </w:r>
      <w:r w:rsidRPr="00AC3BDE">
        <w:rPr>
          <w:lang w:val="fr-CA"/>
        </w:rPr>
        <w:t>interprétation téléologique, l’analyse doit commencer par l’examen du texte de la disposition</w:t>
      </w:r>
      <w:r>
        <w:rPr>
          <w:lang w:val="fr-CA"/>
        </w:rPr>
        <w:t>.</w:t>
      </w:r>
      <w:r w:rsidRPr="00AC3BDE">
        <w:rPr>
          <w:lang w:val="fr-CA"/>
        </w:rPr>
        <w:t xml:space="preserve"> </w:t>
      </w:r>
      <w:r>
        <w:rPr>
          <w:lang w:val="fr-CA"/>
        </w:rPr>
        <w:t>B</w:t>
      </w:r>
      <w:r w:rsidRPr="00AC3BDE">
        <w:rPr>
          <w:lang w:val="fr-CA"/>
        </w:rPr>
        <w:t xml:space="preserve">ien que les normes constitutionnelles soient délibérément exprimées en termes généraux, les mots utilisés demeurent la principale contrainte en cas d’examen </w:t>
      </w:r>
      <w:r>
        <w:rPr>
          <w:lang w:val="fr-CA"/>
        </w:rPr>
        <w:t xml:space="preserve">judiciaire et constituent </w:t>
      </w:r>
      <w:r w:rsidRPr="00AC3BDE">
        <w:rPr>
          <w:lang w:val="fr-CA"/>
        </w:rPr>
        <w:t>les limites externes de l’</w:t>
      </w:r>
      <w:r>
        <w:rPr>
          <w:lang w:val="fr-CA"/>
        </w:rPr>
        <w:t xml:space="preserve">analyse téléologique. </w:t>
      </w:r>
      <w:r w:rsidRPr="00E34BCD">
        <w:rPr>
          <w:lang w:val="fr-CA"/>
        </w:rPr>
        <w:t>Le fait de donner préséance au texte</w:t>
      </w:r>
      <w:r w:rsidRPr="00E34BCD">
        <w:rPr>
          <w:szCs w:val="24"/>
          <w:lang w:val="fr-CA"/>
        </w:rPr>
        <w:t xml:space="preserve"> </w:t>
      </w:r>
      <w:r w:rsidRPr="00E34BCD">
        <w:rPr>
          <w:lang w:val="fr-CA"/>
        </w:rPr>
        <w:t>permet d’éviter d’aller au</w:t>
      </w:r>
      <w:r w:rsidRPr="00E34BCD">
        <w:rPr>
          <w:lang w:val="fr-CA"/>
        </w:rPr>
        <w:noBreakHyphen/>
        <w:t>delà</w:t>
      </w:r>
      <w:r>
        <w:rPr>
          <w:lang w:val="fr-CA"/>
        </w:rPr>
        <w:t xml:space="preserve"> (ou de </w:t>
      </w:r>
      <w:r w:rsidRPr="00E34BCD">
        <w:rPr>
          <w:lang w:val="fr-CA"/>
        </w:rPr>
        <w:t xml:space="preserve">rester en deçà) </w:t>
      </w:r>
      <w:r>
        <w:rPr>
          <w:lang w:val="fr-CA"/>
        </w:rPr>
        <w:t xml:space="preserve">du véritable </w:t>
      </w:r>
      <w:r w:rsidRPr="00E34BCD">
        <w:rPr>
          <w:lang w:val="fr-CA"/>
        </w:rPr>
        <w:t>objet du droit</w:t>
      </w:r>
      <w:r w:rsidRPr="00E34BCD">
        <w:rPr>
          <w:szCs w:val="24"/>
          <w:lang w:val="fr-CA"/>
        </w:rPr>
        <w:t xml:space="preserve">. </w:t>
      </w:r>
      <w:r>
        <w:rPr>
          <w:szCs w:val="24"/>
          <w:lang w:val="fr-CA"/>
        </w:rPr>
        <w:t xml:space="preserve">Le texte </w:t>
      </w:r>
      <w:r>
        <w:rPr>
          <w:lang w:val="fr-CA"/>
        </w:rPr>
        <w:t xml:space="preserve">n’est </w:t>
      </w:r>
      <w:r w:rsidRPr="00E34BCD">
        <w:rPr>
          <w:lang w:val="fr-CA"/>
        </w:rPr>
        <w:t xml:space="preserve">pas la seule et unique considération, mais le fait de le traiter comme l’indice premier de l’objet est compatible avec les principes d’interprétation de la </w:t>
      </w:r>
      <w:r w:rsidRPr="00E34BCD">
        <w:rPr>
          <w:i/>
          <w:iCs/>
          <w:lang w:val="fr-CA"/>
        </w:rPr>
        <w:t>Charte</w:t>
      </w:r>
      <w:r w:rsidRPr="00E34BCD">
        <w:rPr>
          <w:szCs w:val="24"/>
          <w:lang w:val="fr-CA"/>
        </w:rPr>
        <w:t>.</w:t>
      </w:r>
      <w:r w:rsidRPr="00E34BCD">
        <w:rPr>
          <w:strike/>
          <w:szCs w:val="24"/>
          <w:lang w:val="fr-CA"/>
        </w:rPr>
        <w:t xml:space="preserve"> </w:t>
      </w:r>
    </w:p>
    <w:p w:rsidR="0083293C" w:rsidRPr="00384D25" w:rsidRDefault="0083293C" w:rsidP="008160A8">
      <w:pPr>
        <w:pStyle w:val="SCCNormalDoubleSpacing"/>
        <w:spacing w:after="480"/>
        <w:rPr>
          <w:highlight w:val="yellow"/>
          <w:lang w:val="fr-CA"/>
        </w:rPr>
      </w:pPr>
      <w:r>
        <w:rPr>
          <w:lang w:val="fr-CA"/>
        </w:rPr>
        <w:tab/>
      </w:r>
      <w:r w:rsidRPr="00E34BCD">
        <w:rPr>
          <w:lang w:val="fr-CA"/>
        </w:rPr>
        <w:t>Le texte de l’art. 12, en particulier la présence du mot « cruel</w:t>
      </w:r>
      <w:r w:rsidR="0014065D">
        <w:rPr>
          <w:lang w:val="fr-CA"/>
        </w:rPr>
        <w:t>s</w:t>
      </w:r>
      <w:r w:rsidRPr="00E34BCD">
        <w:rPr>
          <w:lang w:val="fr-CA"/>
        </w:rPr>
        <w:t> » dans celui-ci, suggère fortement que cette disposition s’applique uniquement aux êtres humains</w:t>
      </w:r>
      <w:r>
        <w:rPr>
          <w:lang w:val="fr-CA"/>
        </w:rPr>
        <w:t>.</w:t>
      </w:r>
      <w:r w:rsidRPr="00E34BCD">
        <w:rPr>
          <w:lang w:val="fr-CA"/>
        </w:rPr>
        <w:t xml:space="preserve"> </w:t>
      </w:r>
      <w:r>
        <w:rPr>
          <w:lang w:val="fr-CA"/>
        </w:rPr>
        <w:t>L</w:t>
      </w:r>
      <w:r w:rsidRPr="00E34BCD">
        <w:rPr>
          <w:lang w:val="fr-CA"/>
        </w:rPr>
        <w:t>e sens courant du mot « cruel » ne permet pas de l’appliquer à des objets inanimés ou à des entités juridiques telles les personnes morales</w:t>
      </w:r>
      <w:r>
        <w:rPr>
          <w:lang w:val="fr-CA"/>
        </w:rPr>
        <w:t>.</w:t>
      </w:r>
      <w:r w:rsidRPr="00E34BCD">
        <w:rPr>
          <w:szCs w:val="24"/>
          <w:lang w:val="fr-CA"/>
        </w:rPr>
        <w:t xml:space="preserve"> </w:t>
      </w:r>
      <w:r>
        <w:rPr>
          <w:lang w:val="fr-CA"/>
        </w:rPr>
        <w:t>L</w:t>
      </w:r>
      <w:r w:rsidRPr="00E34BCD">
        <w:rPr>
          <w:lang w:val="fr-CA"/>
        </w:rPr>
        <w:t>es mots « traitements ou peines cruels et inusités » s’entendent de la douleur et de la souffrance humaines, tant physiques que mentales</w:t>
      </w:r>
      <w:r>
        <w:rPr>
          <w:lang w:val="fr-CA"/>
        </w:rPr>
        <w:t>.</w:t>
      </w:r>
      <w:r w:rsidRPr="00E34BCD">
        <w:rPr>
          <w:szCs w:val="24"/>
          <w:lang w:val="fr-CA"/>
        </w:rPr>
        <w:t xml:space="preserve"> </w:t>
      </w:r>
      <w:r>
        <w:rPr>
          <w:lang w:val="fr-CA"/>
        </w:rPr>
        <w:t>U</w:t>
      </w:r>
      <w:r w:rsidRPr="00FD1379">
        <w:rPr>
          <w:lang w:val="fr-CA"/>
        </w:rPr>
        <w:t>n examen des origines historiques de l’art.</w:t>
      </w:r>
      <w:r>
        <w:rPr>
          <w:lang w:val="fr-CA"/>
        </w:rPr>
        <w:t> </w:t>
      </w:r>
      <w:r w:rsidRPr="00FD1379">
        <w:rPr>
          <w:lang w:val="fr-CA"/>
        </w:rPr>
        <w:t>12</w:t>
      </w:r>
      <w:r>
        <w:rPr>
          <w:lang w:val="fr-CA"/>
        </w:rPr>
        <w:t xml:space="preserve"> démontre </w:t>
      </w:r>
      <w:r w:rsidRPr="00FD1379">
        <w:rPr>
          <w:lang w:val="fr-CA"/>
        </w:rPr>
        <w:t xml:space="preserve">que la </w:t>
      </w:r>
      <w:r w:rsidRPr="00FD1379">
        <w:rPr>
          <w:i/>
          <w:iCs/>
          <w:lang w:val="fr-CA"/>
        </w:rPr>
        <w:t>Charte</w:t>
      </w:r>
      <w:r w:rsidRPr="00FD1379">
        <w:rPr>
          <w:lang w:val="fr-CA"/>
        </w:rPr>
        <w:t xml:space="preserve"> a emprunté</w:t>
      </w:r>
      <w:r w:rsidRPr="00FD1379">
        <w:rPr>
          <w:i/>
          <w:szCs w:val="24"/>
          <w:lang w:val="fr-CA"/>
        </w:rPr>
        <w:t xml:space="preserve"> </w:t>
      </w:r>
      <w:r w:rsidRPr="00FD1379">
        <w:rPr>
          <w:lang w:val="fr-CA"/>
        </w:rPr>
        <w:t>une voie différente de celle des textes qui l’ont précédée</w:t>
      </w:r>
      <w:r>
        <w:rPr>
          <w:lang w:val="fr-CA"/>
        </w:rPr>
        <w:t>, le</w:t>
      </w:r>
      <w:r w:rsidRPr="00FD1379">
        <w:rPr>
          <w:lang w:val="fr-CA"/>
        </w:rPr>
        <w:t xml:space="preserve"> </w:t>
      </w:r>
      <w:r w:rsidRPr="00FD1379">
        <w:rPr>
          <w:i/>
          <w:iCs/>
          <w:lang w:val="fr-CA"/>
        </w:rPr>
        <w:t xml:space="preserve">Bill </w:t>
      </w:r>
      <w:r w:rsidRPr="00FD1379">
        <w:rPr>
          <w:i/>
          <w:iCs/>
          <w:lang w:val="fr-CA"/>
        </w:rPr>
        <w:lastRenderedPageBreak/>
        <w:t>of Rights</w:t>
      </w:r>
      <w:r w:rsidRPr="00FD1379">
        <w:rPr>
          <w:lang w:val="fr-CA"/>
        </w:rPr>
        <w:t xml:space="preserve"> anglais </w:t>
      </w:r>
      <w:r>
        <w:rPr>
          <w:lang w:val="fr-CA"/>
        </w:rPr>
        <w:t xml:space="preserve">et le </w:t>
      </w:r>
      <w:r w:rsidRPr="00FD1379">
        <w:rPr>
          <w:lang w:val="fr-CA"/>
        </w:rPr>
        <w:t xml:space="preserve">Huitième amendement de la </w:t>
      </w:r>
      <w:r w:rsidRPr="00FD1379">
        <w:rPr>
          <w:iCs/>
          <w:lang w:val="fr-CA"/>
        </w:rPr>
        <w:t>Constitution des États</w:t>
      </w:r>
      <w:r w:rsidRPr="00FD1379">
        <w:rPr>
          <w:iCs/>
          <w:lang w:val="fr-CA"/>
        </w:rPr>
        <w:noBreakHyphen/>
        <w:t>Unis</w:t>
      </w:r>
      <w:r>
        <w:rPr>
          <w:iCs/>
          <w:lang w:val="fr-CA"/>
        </w:rPr>
        <w:t xml:space="preserve">, en dissociant </w:t>
      </w:r>
      <w:r w:rsidRPr="0012090B">
        <w:rPr>
          <w:lang w:val="fr-CA"/>
        </w:rPr>
        <w:t>le droit de ne pas être privé sans juste cause d’une mise en liberté assortie d’un cautionnement raisonnable</w:t>
      </w:r>
      <w:r>
        <w:rPr>
          <w:lang w:val="fr-CA"/>
        </w:rPr>
        <w:t xml:space="preserve"> du droit à la protection contre les peines cruelles et inusitées,</w:t>
      </w:r>
      <w:r w:rsidRPr="0012090B">
        <w:rPr>
          <w:lang w:val="fr-CA"/>
        </w:rPr>
        <w:t xml:space="preserve"> </w:t>
      </w:r>
      <w:r>
        <w:rPr>
          <w:lang w:val="fr-CA"/>
        </w:rPr>
        <w:t xml:space="preserve">et en omettant la protection contre les </w:t>
      </w:r>
      <w:r w:rsidRPr="0012090B">
        <w:rPr>
          <w:lang w:val="fr-CA"/>
        </w:rPr>
        <w:t>amendes excessives</w:t>
      </w:r>
      <w:r w:rsidRPr="0012090B">
        <w:rPr>
          <w:szCs w:val="24"/>
          <w:lang w:val="fr-CA"/>
        </w:rPr>
        <w:t xml:space="preserve">. </w:t>
      </w:r>
      <w:r>
        <w:rPr>
          <w:szCs w:val="24"/>
          <w:lang w:val="fr-CA"/>
        </w:rPr>
        <w:t>Par conséquent, l</w:t>
      </w:r>
      <w:r>
        <w:rPr>
          <w:lang w:val="fr-CA"/>
        </w:rPr>
        <w:t>a protection contre les peines cruelles et inusitées</w:t>
      </w:r>
      <w:r w:rsidRPr="0012090B">
        <w:rPr>
          <w:lang w:val="fr-CA"/>
        </w:rPr>
        <w:t xml:space="preserve"> prévue par l’art.</w:t>
      </w:r>
      <w:r>
        <w:rPr>
          <w:lang w:val="fr-CA"/>
        </w:rPr>
        <w:t> 12</w:t>
      </w:r>
      <w:r w:rsidRPr="0012090B">
        <w:rPr>
          <w:lang w:val="fr-CA"/>
        </w:rPr>
        <w:t xml:space="preserve"> constitue une garantie autonome</w:t>
      </w:r>
      <w:r>
        <w:rPr>
          <w:lang w:val="fr-CA"/>
        </w:rPr>
        <w:t>.</w:t>
      </w:r>
      <w:r w:rsidRPr="0012090B">
        <w:rPr>
          <w:szCs w:val="24"/>
          <w:lang w:val="fr-CA"/>
        </w:rPr>
        <w:t xml:space="preserve"> </w:t>
      </w:r>
      <w:r>
        <w:rPr>
          <w:szCs w:val="24"/>
          <w:lang w:val="fr-CA"/>
        </w:rPr>
        <w:t>Il s’agit d’un facteur e</w:t>
      </w:r>
      <w:r w:rsidRPr="0012090B">
        <w:rPr>
          <w:lang w:val="fr-CA"/>
        </w:rPr>
        <w:t xml:space="preserve">xtrêmement </w:t>
      </w:r>
      <w:r>
        <w:rPr>
          <w:lang w:val="fr-CA"/>
        </w:rPr>
        <w:t>important :</w:t>
      </w:r>
      <w:r w:rsidRPr="0012090B">
        <w:rPr>
          <w:lang w:val="fr-CA"/>
        </w:rPr>
        <w:t xml:space="preserve"> une amende excessive (qu’une personne morale </w:t>
      </w:r>
      <w:r w:rsidRPr="0012090B">
        <w:rPr>
          <w:iCs/>
          <w:lang w:val="fr-CA"/>
        </w:rPr>
        <w:t>peut</w:t>
      </w:r>
      <w:r w:rsidRPr="0012090B">
        <w:rPr>
          <w:lang w:val="fr-CA"/>
        </w:rPr>
        <w:t xml:space="preserve"> se voir infliger), sans plus, n’est pas inconstitutionnelle</w:t>
      </w:r>
      <w:r>
        <w:rPr>
          <w:lang w:val="fr-CA"/>
        </w:rPr>
        <w:t>.</w:t>
      </w:r>
      <w:r w:rsidRPr="0012090B">
        <w:rPr>
          <w:szCs w:val="24"/>
          <w:lang w:val="fr-CA"/>
        </w:rPr>
        <w:t xml:space="preserve"> </w:t>
      </w:r>
      <w:r>
        <w:rPr>
          <w:lang w:val="fr-CA"/>
        </w:rPr>
        <w:t>P</w:t>
      </w:r>
      <w:r w:rsidRPr="00384D25">
        <w:rPr>
          <w:lang w:val="fr-CA"/>
        </w:rPr>
        <w:t>our qu’une amende soit incons</w:t>
      </w:r>
      <w:r>
        <w:rPr>
          <w:lang w:val="fr-CA"/>
        </w:rPr>
        <w:t xml:space="preserve">titutionnelle, elle doit être </w:t>
      </w:r>
      <w:r w:rsidRPr="00384D25">
        <w:rPr>
          <w:lang w:val="fr-CA"/>
        </w:rPr>
        <w:t>excessive au point de ne pas être comp</w:t>
      </w:r>
      <w:r>
        <w:rPr>
          <w:lang w:val="fr-CA"/>
        </w:rPr>
        <w:t xml:space="preserve">atible avec la dignité humaine, en plus d’être </w:t>
      </w:r>
      <w:r w:rsidRPr="00384D25">
        <w:rPr>
          <w:lang w:val="fr-CA"/>
        </w:rPr>
        <w:t>odieuse ou intol</w:t>
      </w:r>
      <w:r>
        <w:rPr>
          <w:lang w:val="fr-CA"/>
        </w:rPr>
        <w:t>érable</w:t>
      </w:r>
      <w:r w:rsidRPr="00384D25">
        <w:rPr>
          <w:lang w:val="fr-CA"/>
        </w:rPr>
        <w:t xml:space="preserve"> pour la société</w:t>
      </w:r>
      <w:r w:rsidRPr="00384D25">
        <w:rPr>
          <w:szCs w:val="24"/>
          <w:lang w:val="fr-CA"/>
        </w:rPr>
        <w:t xml:space="preserve">. </w:t>
      </w:r>
      <w:r>
        <w:rPr>
          <w:lang w:val="fr-CA"/>
        </w:rPr>
        <w:t>E</w:t>
      </w:r>
      <w:r w:rsidRPr="00384D25">
        <w:rPr>
          <w:lang w:val="fr-CA"/>
        </w:rPr>
        <w:t>u égard à l’objet de l’art. 12</w:t>
      </w:r>
      <w:r>
        <w:rPr>
          <w:lang w:val="fr-CA"/>
        </w:rPr>
        <w:t>, c</w:t>
      </w:r>
      <w:r w:rsidRPr="00384D25">
        <w:rPr>
          <w:lang w:val="fr-CA"/>
        </w:rPr>
        <w:t>e critère est inextricablemen</w:t>
      </w:r>
      <w:r>
        <w:rPr>
          <w:lang w:val="fr-CA"/>
        </w:rPr>
        <w:t>t ancré dans la dignité humaine</w:t>
      </w:r>
      <w:r w:rsidRPr="00384D25">
        <w:rPr>
          <w:lang w:val="fr-CA"/>
        </w:rPr>
        <w:t xml:space="preserve"> et ne saurait s’appliquer aux traitements ou peines infligés aux personnes morales</w:t>
      </w:r>
      <w:r>
        <w:rPr>
          <w:lang w:val="fr-CA"/>
        </w:rPr>
        <w:t>.</w:t>
      </w:r>
      <w:r w:rsidRPr="00384D25">
        <w:rPr>
          <w:szCs w:val="24"/>
          <w:lang w:val="fr-CA"/>
        </w:rPr>
        <w:t xml:space="preserve"> </w:t>
      </w:r>
    </w:p>
    <w:p w:rsidR="0083293C" w:rsidRPr="005E68A3" w:rsidRDefault="0083293C" w:rsidP="008160A8">
      <w:pPr>
        <w:pStyle w:val="SCCNormalDoubleSpacing"/>
        <w:spacing w:after="480"/>
        <w:rPr>
          <w:lang w:val="fr-CA"/>
        </w:rPr>
      </w:pPr>
      <w:r w:rsidRPr="00384D25">
        <w:rPr>
          <w:lang w:val="fr-CA"/>
        </w:rPr>
        <w:tab/>
      </w:r>
      <w:r w:rsidRPr="00D33B65">
        <w:rPr>
          <w:szCs w:val="24"/>
          <w:lang w:val="fr-CA"/>
        </w:rPr>
        <w:t xml:space="preserve">Il y a accord avec l’analyse de la juge Abella concernant les droits </w:t>
      </w:r>
      <w:r w:rsidR="0014065D">
        <w:rPr>
          <w:szCs w:val="24"/>
          <w:lang w:val="fr-CA"/>
        </w:rPr>
        <w:t xml:space="preserve">connexes </w:t>
      </w:r>
      <w:r w:rsidRPr="00D33B65">
        <w:rPr>
          <w:szCs w:val="24"/>
          <w:lang w:val="fr-CA"/>
        </w:rPr>
        <w:t xml:space="preserve">garantis par la </w:t>
      </w:r>
      <w:r w:rsidRPr="00D33B65">
        <w:rPr>
          <w:i/>
          <w:szCs w:val="24"/>
          <w:lang w:val="fr-CA"/>
        </w:rPr>
        <w:t>Charte</w:t>
      </w:r>
      <w:r w:rsidRPr="00D33B65">
        <w:rPr>
          <w:szCs w:val="24"/>
          <w:lang w:val="fr-CA"/>
        </w:rPr>
        <w:t>.</w:t>
      </w:r>
      <w:r w:rsidRPr="00D33B65">
        <w:rPr>
          <w:lang w:val="fr-CA"/>
        </w:rPr>
        <w:t xml:space="preserve"> Toutefois, il y a désaccord </w:t>
      </w:r>
      <w:r>
        <w:rPr>
          <w:lang w:val="fr-CA"/>
        </w:rPr>
        <w:t xml:space="preserve">avec celle-ci </w:t>
      </w:r>
      <w:r w:rsidRPr="00D33B65">
        <w:rPr>
          <w:lang w:val="fr-CA"/>
        </w:rPr>
        <w:t>quant à l’importance qu’elle accorde au droit intern</w:t>
      </w:r>
      <w:r w:rsidRPr="00AA3F7F">
        <w:rPr>
          <w:lang w:val="fr-CA"/>
        </w:rPr>
        <w:t>ational et au droit comparé dans le processus d’interprétation</w:t>
      </w:r>
      <w:r w:rsidRPr="00AA3F7F">
        <w:rPr>
          <w:szCs w:val="24"/>
          <w:lang w:val="fr-CA"/>
        </w:rPr>
        <w:t xml:space="preserve">. </w:t>
      </w:r>
      <w:r w:rsidRPr="00F325D1">
        <w:rPr>
          <w:lang w:val="fr-CA"/>
        </w:rPr>
        <w:t xml:space="preserve">Les sources de droit international et de droit comparé jouent un rôle limité consistant à </w:t>
      </w:r>
      <w:r w:rsidRPr="00F325D1">
        <w:rPr>
          <w:iCs/>
          <w:lang w:val="fr-CA"/>
        </w:rPr>
        <w:t>appuyer</w:t>
      </w:r>
      <w:r w:rsidRPr="00F325D1">
        <w:rPr>
          <w:lang w:val="fr-CA"/>
        </w:rPr>
        <w:t xml:space="preserve"> ou à </w:t>
      </w:r>
      <w:r w:rsidRPr="00F325D1">
        <w:rPr>
          <w:iCs/>
          <w:lang w:val="fr-CA"/>
        </w:rPr>
        <w:t>confirmer</w:t>
      </w:r>
      <w:r w:rsidRPr="00F325D1">
        <w:rPr>
          <w:lang w:val="fr-CA"/>
        </w:rPr>
        <w:t xml:space="preserve"> le résultat auquel arrive le tribunal au moyen d’une interprétation téléologique</w:t>
      </w:r>
      <w:r>
        <w:rPr>
          <w:lang w:val="fr-CA"/>
        </w:rPr>
        <w:t xml:space="preserve"> des droits garantis par la </w:t>
      </w:r>
      <w:r w:rsidRPr="00F325D1">
        <w:rPr>
          <w:i/>
          <w:lang w:val="fr-CA"/>
        </w:rPr>
        <w:t>Charte</w:t>
      </w:r>
      <w:r w:rsidRPr="00F325D1">
        <w:rPr>
          <w:lang w:val="fr-CA"/>
        </w:rPr>
        <w:t xml:space="preserve">. </w:t>
      </w:r>
      <w:r>
        <w:rPr>
          <w:lang w:val="fr-CA"/>
        </w:rPr>
        <w:t>L</w:t>
      </w:r>
      <w:r w:rsidRPr="00F325D1">
        <w:rPr>
          <w:lang w:val="fr-CA"/>
        </w:rPr>
        <w:t>e</w:t>
      </w:r>
      <w:r>
        <w:rPr>
          <w:lang w:val="fr-CA"/>
        </w:rPr>
        <w:t>ur</w:t>
      </w:r>
      <w:r w:rsidRPr="00F325D1">
        <w:rPr>
          <w:lang w:val="fr-CA"/>
        </w:rPr>
        <w:t xml:space="preserve"> poids et l</w:t>
      </w:r>
      <w:r>
        <w:rPr>
          <w:lang w:val="fr-CA"/>
        </w:rPr>
        <w:t>eur</w:t>
      </w:r>
      <w:r w:rsidRPr="00F325D1">
        <w:rPr>
          <w:lang w:val="fr-CA"/>
        </w:rPr>
        <w:t xml:space="preserve"> valeur persuasive dépendent de la nature de la source et de </w:t>
      </w:r>
      <w:r>
        <w:rPr>
          <w:lang w:val="fr-CA"/>
        </w:rPr>
        <w:t xml:space="preserve">son </w:t>
      </w:r>
      <w:r w:rsidRPr="00F325D1">
        <w:rPr>
          <w:lang w:val="fr-CA"/>
        </w:rPr>
        <w:t>rapport</w:t>
      </w:r>
      <w:r>
        <w:rPr>
          <w:lang w:val="fr-CA"/>
        </w:rPr>
        <w:t xml:space="preserve"> avec la </w:t>
      </w:r>
      <w:r w:rsidRPr="00F325D1">
        <w:rPr>
          <w:i/>
          <w:lang w:val="fr-CA"/>
        </w:rPr>
        <w:t>Charte</w:t>
      </w:r>
      <w:r>
        <w:rPr>
          <w:lang w:val="fr-CA"/>
        </w:rPr>
        <w:t xml:space="preserve">. </w:t>
      </w:r>
      <w:r w:rsidRPr="00F325D1">
        <w:rPr>
          <w:lang w:val="fr-CA"/>
        </w:rPr>
        <w:t xml:space="preserve">Un cadre raisonné d’analyse et une méthodologie de prise en compte des sources de droit </w:t>
      </w:r>
      <w:r>
        <w:rPr>
          <w:lang w:val="fr-CA"/>
        </w:rPr>
        <w:t>international</w:t>
      </w:r>
      <w:r w:rsidRPr="00F325D1">
        <w:rPr>
          <w:lang w:val="fr-CA"/>
        </w:rPr>
        <w:t xml:space="preserve"> et de droit comparé </w:t>
      </w:r>
      <w:r>
        <w:rPr>
          <w:lang w:val="fr-CA"/>
        </w:rPr>
        <w:t>sont nécessaires</w:t>
      </w:r>
      <w:r w:rsidR="0014065D">
        <w:rPr>
          <w:lang w:val="fr-CA"/>
        </w:rPr>
        <w:t>,</w:t>
      </w:r>
      <w:r>
        <w:rPr>
          <w:lang w:val="fr-CA"/>
        </w:rPr>
        <w:t xml:space="preserve"> à la fois pour </w:t>
      </w:r>
      <w:r w:rsidRPr="005B01D2">
        <w:rPr>
          <w:lang w:val="fr-CA"/>
        </w:rPr>
        <w:lastRenderedPageBreak/>
        <w:t xml:space="preserve">reconnaître adéquatement les obligations internationales du Canada et pour fournir des indications claires et cohérentes aux tribunaux et aux plaideurs. </w:t>
      </w:r>
    </w:p>
    <w:p w:rsidR="0083293C" w:rsidRDefault="0083293C" w:rsidP="008160A8">
      <w:pPr>
        <w:pStyle w:val="SCCNormalDoubleSpacing"/>
        <w:spacing w:after="480"/>
        <w:rPr>
          <w:lang w:val="fr-CA"/>
        </w:rPr>
      </w:pPr>
      <w:r w:rsidRPr="005E68A3">
        <w:rPr>
          <w:lang w:val="fr-CA"/>
        </w:rPr>
        <w:tab/>
      </w:r>
      <w:r w:rsidRPr="005B01D2">
        <w:rPr>
          <w:lang w:val="fr-CA"/>
        </w:rPr>
        <w:t>La présomption de conformité est</w:t>
      </w:r>
      <w:r>
        <w:rPr>
          <w:lang w:val="fr-CA"/>
        </w:rPr>
        <w:t xml:space="preserve"> le </w:t>
      </w:r>
      <w:r w:rsidRPr="005B01D2">
        <w:rPr>
          <w:lang w:val="fr-CA"/>
        </w:rPr>
        <w:t xml:space="preserve">principe solidement établi en matière d’interprétation </w:t>
      </w:r>
      <w:r>
        <w:rPr>
          <w:lang w:val="fr-CA"/>
        </w:rPr>
        <w:t>selon lequel la</w:t>
      </w:r>
      <w:r w:rsidRPr="005B01D2">
        <w:rPr>
          <w:lang w:val="fr-CA"/>
        </w:rPr>
        <w:t xml:space="preserve"> </w:t>
      </w:r>
      <w:r w:rsidRPr="005B01D2">
        <w:rPr>
          <w:i/>
          <w:iCs/>
          <w:lang w:val="fr-CA"/>
        </w:rPr>
        <w:t>Charte</w:t>
      </w:r>
      <w:r>
        <w:rPr>
          <w:lang w:val="fr-CA"/>
        </w:rPr>
        <w:t xml:space="preserve"> est présumée </w:t>
      </w:r>
      <w:r w:rsidRPr="005B01D2">
        <w:rPr>
          <w:lang w:val="fr-CA"/>
        </w:rPr>
        <w:t>accorde</w:t>
      </w:r>
      <w:r>
        <w:rPr>
          <w:lang w:val="fr-CA"/>
        </w:rPr>
        <w:t>r</w:t>
      </w:r>
      <w:r w:rsidRPr="005B01D2">
        <w:rPr>
          <w:lang w:val="fr-CA"/>
        </w:rPr>
        <w:t xml:space="preserve"> une protection à tout le moins aussi grande que celle qu’offrent les dispositions similaires des instruments internationaux que le Canada a ratifiés. </w:t>
      </w:r>
      <w:r w:rsidRPr="000E5CE4">
        <w:rPr>
          <w:lang w:val="fr-CA"/>
        </w:rPr>
        <w:t>Les instruments internationaux contraignants ont plus de poids dans l’analyse que les instruments non contraignants, lesquels devraient être traités comme des outils d’interprétation pertinents et persuasifs, mais non déterminants</w:t>
      </w:r>
      <w:r>
        <w:rPr>
          <w:lang w:val="fr-CA"/>
        </w:rPr>
        <w:t>, et</w:t>
      </w:r>
      <w:r w:rsidRPr="000E5CE4">
        <w:rPr>
          <w:lang w:val="fr-CA"/>
        </w:rPr>
        <w:t xml:space="preserve"> les tribunaux qui se fondent sur les instruments non contraignants doivent veiller à expliquer </w:t>
      </w:r>
      <w:r w:rsidRPr="000E5CE4">
        <w:rPr>
          <w:iCs/>
          <w:lang w:val="fr-CA"/>
        </w:rPr>
        <w:t>pourquoi</w:t>
      </w:r>
      <w:r w:rsidRPr="000E5CE4">
        <w:rPr>
          <w:lang w:val="fr-CA"/>
        </w:rPr>
        <w:t xml:space="preserve"> ils le font et </w:t>
      </w:r>
      <w:r w:rsidRPr="000E5CE4">
        <w:rPr>
          <w:iCs/>
          <w:lang w:val="fr-CA"/>
        </w:rPr>
        <w:t>comment</w:t>
      </w:r>
      <w:r w:rsidRPr="000E5CE4">
        <w:rPr>
          <w:lang w:val="fr-CA"/>
        </w:rPr>
        <w:t xml:space="preserve"> ils utilisent ces instruments</w:t>
      </w:r>
      <w:r>
        <w:rPr>
          <w:lang w:val="fr-CA"/>
        </w:rPr>
        <w:t>.</w:t>
      </w:r>
      <w:r w:rsidRPr="000E5CE4">
        <w:rPr>
          <w:lang w:val="fr-CA"/>
        </w:rPr>
        <w:t xml:space="preserve"> </w:t>
      </w:r>
      <w:r w:rsidRPr="00CD4142">
        <w:rPr>
          <w:lang w:val="fr-CA"/>
        </w:rPr>
        <w:t xml:space="preserve">En l’espèce, la </w:t>
      </w:r>
      <w:r w:rsidRPr="00CD4142">
        <w:rPr>
          <w:i/>
          <w:iCs/>
          <w:lang w:val="fr-CA"/>
        </w:rPr>
        <w:t>Convention contre la torture</w:t>
      </w:r>
      <w:r w:rsidRPr="00CD4142">
        <w:rPr>
          <w:i/>
          <w:lang w:val="fr-CA"/>
        </w:rPr>
        <w:t xml:space="preserve"> et autres peines ou traitements cruels, inhumains ou dégradants</w:t>
      </w:r>
      <w:r w:rsidRPr="00CD4142">
        <w:rPr>
          <w:lang w:val="fr-CA"/>
        </w:rPr>
        <w:t xml:space="preserve"> et le </w:t>
      </w:r>
      <w:r w:rsidRPr="00CD4142">
        <w:rPr>
          <w:i/>
          <w:iCs/>
          <w:lang w:val="fr-CA"/>
        </w:rPr>
        <w:t>Pacte international relatif aux droits civils et politiques</w:t>
      </w:r>
      <w:r>
        <w:rPr>
          <w:i/>
          <w:iCs/>
          <w:lang w:val="fr-CA"/>
        </w:rPr>
        <w:t xml:space="preserve"> </w:t>
      </w:r>
      <w:r w:rsidRPr="00CD4142">
        <w:rPr>
          <w:lang w:val="fr-CA"/>
        </w:rPr>
        <w:t>lient tous deux le Canada, faisant donc intervenir la présomption de conformité</w:t>
      </w:r>
      <w:r>
        <w:rPr>
          <w:lang w:val="fr-CA"/>
        </w:rPr>
        <w:t>. Cependant</w:t>
      </w:r>
      <w:r w:rsidRPr="00CD4142">
        <w:rPr>
          <w:lang w:val="fr-CA"/>
        </w:rPr>
        <w:t>, ni l’un ni l’autre n’élargit aux personnes morales</w:t>
      </w:r>
      <w:r w:rsidR="00496997">
        <w:rPr>
          <w:lang w:val="fr-CA"/>
        </w:rPr>
        <w:t xml:space="preserve"> </w:t>
      </w:r>
      <w:r w:rsidRPr="00CD4142">
        <w:rPr>
          <w:lang w:val="fr-CA"/>
        </w:rPr>
        <w:t>la protection contre les peines cruelles et inusitées</w:t>
      </w:r>
      <w:r>
        <w:rPr>
          <w:lang w:val="fr-CA"/>
        </w:rPr>
        <w:t>.</w:t>
      </w:r>
      <w:r w:rsidRPr="00CD4142">
        <w:rPr>
          <w:lang w:val="fr-CA"/>
        </w:rPr>
        <w:t xml:space="preserve"> </w:t>
      </w:r>
      <w:r w:rsidR="00965983">
        <w:rPr>
          <w:lang w:val="fr-CA"/>
        </w:rPr>
        <w:t>Bien qu’il ait été jugé que tant</w:t>
      </w:r>
      <w:r>
        <w:rPr>
          <w:lang w:val="fr-CA"/>
        </w:rPr>
        <w:t xml:space="preserve"> </w:t>
      </w:r>
      <w:r w:rsidRPr="00CD4142">
        <w:rPr>
          <w:lang w:val="fr-CA"/>
        </w:rPr>
        <w:t xml:space="preserve">la </w:t>
      </w:r>
      <w:r w:rsidRPr="00CD4142">
        <w:rPr>
          <w:i/>
          <w:iCs/>
          <w:lang w:val="fr-CA"/>
        </w:rPr>
        <w:t>Convention américaine relative aux droits de l’homme</w:t>
      </w:r>
      <w:r>
        <w:rPr>
          <w:lang w:val="fr-CA"/>
        </w:rPr>
        <w:t xml:space="preserve"> </w:t>
      </w:r>
      <w:r w:rsidR="00965983">
        <w:rPr>
          <w:lang w:val="fr-CA"/>
        </w:rPr>
        <w:t>que</w:t>
      </w:r>
      <w:r>
        <w:rPr>
          <w:lang w:val="fr-CA"/>
        </w:rPr>
        <w:t xml:space="preserve"> la</w:t>
      </w:r>
      <w:r w:rsidR="008160A8">
        <w:rPr>
          <w:lang w:val="fr-CA"/>
        </w:rPr>
        <w:t xml:space="preserve"> </w:t>
      </w:r>
      <w:r w:rsidRPr="00CD4142">
        <w:rPr>
          <w:i/>
          <w:iCs/>
          <w:lang w:val="fr-CA"/>
        </w:rPr>
        <w:t>Convention de sauvegarde des droits de l’homme et des libertés fondamentales</w:t>
      </w:r>
      <w:r>
        <w:rPr>
          <w:i/>
          <w:iCs/>
          <w:lang w:val="fr-CA"/>
        </w:rPr>
        <w:t xml:space="preserve"> </w:t>
      </w:r>
      <w:r w:rsidRPr="00CD4142">
        <w:rPr>
          <w:lang w:val="fr-CA"/>
        </w:rPr>
        <w:t>n’accorde</w:t>
      </w:r>
      <w:r>
        <w:rPr>
          <w:lang w:val="fr-CA"/>
        </w:rPr>
        <w:t>nt</w:t>
      </w:r>
      <w:r w:rsidRPr="00CD4142">
        <w:rPr>
          <w:lang w:val="fr-CA"/>
        </w:rPr>
        <w:t xml:space="preserve"> </w:t>
      </w:r>
      <w:r>
        <w:rPr>
          <w:lang w:val="fr-CA"/>
        </w:rPr>
        <w:t>pas</w:t>
      </w:r>
      <w:r w:rsidR="002D5442">
        <w:rPr>
          <w:lang w:val="fr-CA"/>
        </w:rPr>
        <w:t xml:space="preserve"> non plus</w:t>
      </w:r>
      <w:r>
        <w:rPr>
          <w:lang w:val="fr-CA"/>
        </w:rPr>
        <w:t xml:space="preserve"> </w:t>
      </w:r>
      <w:r w:rsidRPr="00CD4142">
        <w:rPr>
          <w:lang w:val="fr-CA"/>
        </w:rPr>
        <w:t>aux personnes morales la protection contre les peines cruelles et inusitées,</w:t>
      </w:r>
      <w:r>
        <w:rPr>
          <w:lang w:val="fr-CA"/>
        </w:rPr>
        <w:t xml:space="preserve"> </w:t>
      </w:r>
      <w:r w:rsidRPr="00CD4142">
        <w:rPr>
          <w:lang w:val="fr-CA"/>
        </w:rPr>
        <w:t xml:space="preserve">ces instruments n’ont qu’une valeur persuasive </w:t>
      </w:r>
      <w:r>
        <w:rPr>
          <w:lang w:val="fr-CA"/>
        </w:rPr>
        <w:t>dans le présent cas</w:t>
      </w:r>
      <w:r w:rsidRPr="00CD4142">
        <w:rPr>
          <w:lang w:val="fr-CA"/>
        </w:rPr>
        <w:t xml:space="preserve">. Les instruments internationaux antérieurs à la </w:t>
      </w:r>
      <w:r w:rsidRPr="00CD4142">
        <w:rPr>
          <w:i/>
          <w:iCs/>
          <w:lang w:val="fr-CA"/>
        </w:rPr>
        <w:t>Charte</w:t>
      </w:r>
      <w:r w:rsidRPr="00CD4142">
        <w:rPr>
          <w:lang w:val="fr-CA"/>
        </w:rPr>
        <w:t xml:space="preserve"> peuvent </w:t>
      </w:r>
      <w:r>
        <w:rPr>
          <w:lang w:val="fr-CA"/>
        </w:rPr>
        <w:t xml:space="preserve">eux aussi nettement </w:t>
      </w:r>
      <w:r w:rsidRPr="00CD4142">
        <w:rPr>
          <w:lang w:val="fr-CA"/>
        </w:rPr>
        <w:t xml:space="preserve">faire partie du contexte historique d’un droit garanti par la </w:t>
      </w:r>
      <w:r w:rsidRPr="00CD4142">
        <w:rPr>
          <w:i/>
          <w:iCs/>
          <w:lang w:val="fr-CA"/>
        </w:rPr>
        <w:t>Charte</w:t>
      </w:r>
      <w:r>
        <w:rPr>
          <w:iCs/>
          <w:lang w:val="fr-CA"/>
        </w:rPr>
        <w:t xml:space="preserve">, </w:t>
      </w:r>
      <w:r w:rsidRPr="00C8714B">
        <w:rPr>
          <w:lang w:val="fr-CA"/>
        </w:rPr>
        <w:t>que le Canada</w:t>
      </w:r>
      <w:r>
        <w:rPr>
          <w:lang w:val="fr-CA"/>
        </w:rPr>
        <w:t xml:space="preserve"> soit </w:t>
      </w:r>
      <w:r w:rsidRPr="00C8714B">
        <w:rPr>
          <w:lang w:val="fr-CA"/>
        </w:rPr>
        <w:t xml:space="preserve">ou non partie à de tels instruments. En l’espèce, le contexte du </w:t>
      </w:r>
      <w:r w:rsidRPr="00C8714B">
        <w:rPr>
          <w:i/>
          <w:iCs/>
          <w:lang w:val="fr-CA"/>
        </w:rPr>
        <w:t>Bill of Rights</w:t>
      </w:r>
      <w:r w:rsidRPr="00C8714B">
        <w:rPr>
          <w:lang w:val="fr-CA"/>
        </w:rPr>
        <w:t xml:space="preserve"> anglais et du Huitième amendement est très pertinent, car ces </w:t>
      </w:r>
      <w:r w:rsidRPr="00C8714B">
        <w:rPr>
          <w:lang w:val="fr-CA"/>
        </w:rPr>
        <w:lastRenderedPageBreak/>
        <w:t xml:space="preserve">deux instruments contiennent chacun des protections </w:t>
      </w:r>
      <w:r>
        <w:rPr>
          <w:lang w:val="fr-CA"/>
        </w:rPr>
        <w:t>similaires,</w:t>
      </w:r>
      <w:r w:rsidRPr="00C8714B">
        <w:rPr>
          <w:lang w:val="fr-CA"/>
        </w:rPr>
        <w:t xml:space="preserve"> mais pas identiques, à la protection prévue à l’art. 12</w:t>
      </w:r>
      <w:r>
        <w:rPr>
          <w:lang w:val="fr-CA"/>
        </w:rPr>
        <w:t>. E</w:t>
      </w:r>
      <w:r w:rsidRPr="00C8714B">
        <w:rPr>
          <w:lang w:val="fr-CA"/>
        </w:rPr>
        <w:t xml:space="preserve">n ce qui concerne les instruments postérieurs à la </w:t>
      </w:r>
      <w:r w:rsidRPr="00C8714B">
        <w:rPr>
          <w:i/>
          <w:iCs/>
          <w:lang w:val="fr-CA"/>
        </w:rPr>
        <w:t>Charte</w:t>
      </w:r>
      <w:r w:rsidRPr="00C8714B">
        <w:rPr>
          <w:lang w:val="fr-CA"/>
        </w:rPr>
        <w:t xml:space="preserve">, </w:t>
      </w:r>
      <w:r>
        <w:rPr>
          <w:lang w:val="fr-CA"/>
        </w:rPr>
        <w:t xml:space="preserve">ceux </w:t>
      </w:r>
      <w:r w:rsidRPr="00C8714B">
        <w:rPr>
          <w:lang w:val="fr-CA"/>
        </w:rPr>
        <w:t>qui ne lie</w:t>
      </w:r>
      <w:r>
        <w:rPr>
          <w:lang w:val="fr-CA"/>
        </w:rPr>
        <w:t>nt</w:t>
      </w:r>
      <w:r w:rsidRPr="00C8714B">
        <w:rPr>
          <w:lang w:val="fr-CA"/>
        </w:rPr>
        <w:t xml:space="preserve"> pas le Canada </w:t>
      </w:r>
      <w:r>
        <w:rPr>
          <w:lang w:val="fr-CA"/>
        </w:rPr>
        <w:t>ont</w:t>
      </w:r>
      <w:r w:rsidRPr="00C8714B">
        <w:rPr>
          <w:lang w:val="fr-CA"/>
        </w:rPr>
        <w:t xml:space="preserve"> une valeur interprétative beaucoup moins grande qu</w:t>
      </w:r>
      <w:r>
        <w:rPr>
          <w:lang w:val="fr-CA"/>
        </w:rPr>
        <w:t xml:space="preserve">e ceux </w:t>
      </w:r>
      <w:r w:rsidRPr="00C8714B">
        <w:rPr>
          <w:lang w:val="fr-CA"/>
        </w:rPr>
        <w:t>qui lie</w:t>
      </w:r>
      <w:r>
        <w:rPr>
          <w:lang w:val="fr-CA"/>
        </w:rPr>
        <w:t>nt</w:t>
      </w:r>
      <w:r w:rsidRPr="00C8714B">
        <w:rPr>
          <w:lang w:val="fr-CA"/>
        </w:rPr>
        <w:t xml:space="preserve"> le Canada</w:t>
      </w:r>
      <w:r>
        <w:rPr>
          <w:lang w:val="fr-CA"/>
        </w:rPr>
        <w:t>.</w:t>
      </w:r>
      <w:r w:rsidRPr="00C8714B">
        <w:rPr>
          <w:lang w:val="fr-CA"/>
        </w:rPr>
        <w:t xml:space="preserve"> Enfin, les décisions des tribunaux étrangers et internationaux</w:t>
      </w:r>
      <w:r>
        <w:rPr>
          <w:lang w:val="fr-CA"/>
        </w:rPr>
        <w:t xml:space="preserve"> sont</w:t>
      </w:r>
      <w:r w:rsidRPr="00C8714B">
        <w:rPr>
          <w:lang w:val="fr-CA"/>
        </w:rPr>
        <w:t xml:space="preserve"> incluses dans la catégorie des inst</w:t>
      </w:r>
      <w:r>
        <w:rPr>
          <w:lang w:val="fr-CA"/>
        </w:rPr>
        <w:t xml:space="preserve">ruments non contraignants qui </w:t>
      </w:r>
      <w:r w:rsidRPr="00C8714B">
        <w:rPr>
          <w:lang w:val="fr-CA"/>
        </w:rPr>
        <w:t>sont pertinents et peuvent être persuasifs</w:t>
      </w:r>
      <w:r>
        <w:rPr>
          <w:lang w:val="fr-CA"/>
        </w:rPr>
        <w:t>.</w:t>
      </w:r>
      <w:r w:rsidRPr="00C8714B">
        <w:rPr>
          <w:lang w:val="fr-CA"/>
        </w:rPr>
        <w:t xml:space="preserve"> </w:t>
      </w:r>
      <w:r w:rsidRPr="00B30593">
        <w:rPr>
          <w:lang w:val="fr-CA"/>
        </w:rPr>
        <w:t xml:space="preserve">Toutefois, </w:t>
      </w:r>
      <w:r>
        <w:rPr>
          <w:lang w:val="fr-CA"/>
        </w:rPr>
        <w:t>u</w:t>
      </w:r>
      <w:r w:rsidRPr="00B30593">
        <w:rPr>
          <w:lang w:val="fr-CA"/>
        </w:rPr>
        <w:t xml:space="preserve">ne prudence particulière </w:t>
      </w:r>
      <w:r>
        <w:rPr>
          <w:lang w:val="fr-CA"/>
        </w:rPr>
        <w:t>s’impose</w:t>
      </w:r>
      <w:r w:rsidRPr="00B30593">
        <w:rPr>
          <w:lang w:val="fr-CA"/>
        </w:rPr>
        <w:t>, car les mesures en vigueur</w:t>
      </w:r>
      <w:r>
        <w:rPr>
          <w:lang w:val="fr-CA"/>
        </w:rPr>
        <w:t xml:space="preserve"> dans d’autres pays nous renseignent peu</w:t>
      </w:r>
      <w:r w:rsidRPr="00B30593">
        <w:rPr>
          <w:lang w:val="fr-CA"/>
        </w:rPr>
        <w:t xml:space="preserve"> sur la portée des droits inscrits dans la </w:t>
      </w:r>
      <w:r w:rsidRPr="00B30593">
        <w:rPr>
          <w:i/>
          <w:iCs/>
          <w:lang w:val="fr-CA"/>
        </w:rPr>
        <w:t>Charte</w:t>
      </w:r>
      <w:r w:rsidRPr="00B30593">
        <w:rPr>
          <w:lang w:val="fr-CA"/>
        </w:rPr>
        <w:t xml:space="preserve"> </w:t>
      </w:r>
      <w:r>
        <w:rPr>
          <w:lang w:val="fr-CA"/>
        </w:rPr>
        <w:t xml:space="preserve">canadienne. </w:t>
      </w:r>
    </w:p>
    <w:p w:rsidR="0083293C" w:rsidRPr="006F3AE9" w:rsidRDefault="0083293C" w:rsidP="008160A8">
      <w:pPr>
        <w:pStyle w:val="SCCNormalDoubleSpacing"/>
        <w:spacing w:after="480"/>
        <w:rPr>
          <w:lang w:val="fr-CA"/>
        </w:rPr>
      </w:pPr>
      <w:r>
        <w:rPr>
          <w:i/>
          <w:lang w:val="fr-CA"/>
        </w:rPr>
        <w:tab/>
      </w:r>
      <w:r w:rsidRPr="006F3AE9">
        <w:rPr>
          <w:i/>
          <w:lang w:val="fr-CA"/>
        </w:rPr>
        <w:t>Les</w:t>
      </w:r>
      <w:r w:rsidRPr="00CD25D7">
        <w:rPr>
          <w:lang w:val="fr-CA"/>
        </w:rPr>
        <w:t xml:space="preserve"> juges </w:t>
      </w:r>
      <w:r w:rsidRPr="00222C40">
        <w:rPr>
          <w:lang w:val="fr-CA"/>
        </w:rPr>
        <w:t>Abella</w:t>
      </w:r>
      <w:r w:rsidRPr="006F3AE9">
        <w:rPr>
          <w:lang w:val="fr-CA"/>
        </w:rPr>
        <w:t xml:space="preserve">, Karakatsanis et Martin : </w:t>
      </w:r>
      <w:r>
        <w:rPr>
          <w:lang w:val="fr-CA"/>
        </w:rPr>
        <w:t xml:space="preserve">L’article 12 de la </w:t>
      </w:r>
      <w:r w:rsidRPr="006F3AE9">
        <w:rPr>
          <w:i/>
          <w:lang w:val="fr-CA"/>
        </w:rPr>
        <w:t>Charte</w:t>
      </w:r>
      <w:r>
        <w:rPr>
          <w:lang w:val="fr-CA"/>
        </w:rPr>
        <w:t xml:space="preserve"> </w:t>
      </w:r>
      <w:r w:rsidRPr="006F3AE9">
        <w:rPr>
          <w:lang w:val="fr-CA"/>
        </w:rPr>
        <w:t>a pour objet d’interdire à l’État d’infliger des douleurs et des souffrances physiques ou psychologiques par des traitements ou peines dégradants et déshumanisants.</w:t>
      </w:r>
      <w:r>
        <w:rPr>
          <w:lang w:val="fr-CA"/>
        </w:rPr>
        <w:t xml:space="preserve"> Il </w:t>
      </w:r>
      <w:r w:rsidRPr="005B0CC9">
        <w:rPr>
          <w:lang w:val="fr-CA"/>
        </w:rPr>
        <w:t xml:space="preserve">vise à protéger la dignité humaine </w:t>
      </w:r>
      <w:r>
        <w:rPr>
          <w:lang w:val="fr-CA"/>
        </w:rPr>
        <w:t xml:space="preserve">et à assurer le respect de </w:t>
      </w:r>
      <w:r w:rsidRPr="005B0CC9">
        <w:rPr>
          <w:lang w:val="fr-CA"/>
        </w:rPr>
        <w:t>la valeur inhérente</w:t>
      </w:r>
      <w:r>
        <w:rPr>
          <w:lang w:val="fr-CA"/>
        </w:rPr>
        <w:t xml:space="preserve"> de chaque personne</w:t>
      </w:r>
      <w:r w:rsidRPr="006F3AE9">
        <w:rPr>
          <w:lang w:val="fr-CA"/>
        </w:rPr>
        <w:t xml:space="preserve">. </w:t>
      </w:r>
      <w:r>
        <w:rPr>
          <w:lang w:val="fr-CA"/>
        </w:rPr>
        <w:t>Les personnes censées en bénéficier sont les personnes physiques, et non pas les personnes morales</w:t>
      </w:r>
      <w:r w:rsidRPr="006F3AE9">
        <w:rPr>
          <w:lang w:val="fr-CA"/>
        </w:rPr>
        <w:t>.</w:t>
      </w:r>
    </w:p>
    <w:p w:rsidR="0083293C" w:rsidRPr="00DC2A98" w:rsidRDefault="0083293C" w:rsidP="008160A8">
      <w:pPr>
        <w:pStyle w:val="SCCNormalDoubleSpacing"/>
        <w:spacing w:after="480"/>
        <w:rPr>
          <w:lang w:val="fr-CA"/>
        </w:rPr>
      </w:pPr>
      <w:r w:rsidRPr="006F3AE9">
        <w:rPr>
          <w:lang w:val="fr-CA"/>
        </w:rPr>
        <w:tab/>
      </w:r>
      <w:r w:rsidRPr="006A1B79">
        <w:rPr>
          <w:lang w:val="fr-CA"/>
        </w:rPr>
        <w:t>La détermination de la portée</w:t>
      </w:r>
      <w:r>
        <w:rPr>
          <w:lang w:val="fr-CA"/>
        </w:rPr>
        <w:t xml:space="preserve"> de l’art. 12 </w:t>
      </w:r>
      <w:r w:rsidRPr="006A1B79">
        <w:rPr>
          <w:lang w:val="fr-CA"/>
        </w:rPr>
        <w:t>passe d’abord par l’établissement de l’</w:t>
      </w:r>
      <w:r w:rsidRPr="0014065D">
        <w:rPr>
          <w:lang w:val="fr-CA"/>
        </w:rPr>
        <w:t xml:space="preserve">objet </w:t>
      </w:r>
      <w:r w:rsidRPr="006A1B79">
        <w:rPr>
          <w:lang w:val="fr-CA"/>
        </w:rPr>
        <w:t xml:space="preserve">du droit, </w:t>
      </w:r>
      <w:r>
        <w:rPr>
          <w:lang w:val="fr-CA"/>
        </w:rPr>
        <w:t>qui</w:t>
      </w:r>
      <w:r w:rsidRPr="006A1B79">
        <w:rPr>
          <w:lang w:val="fr-CA"/>
        </w:rPr>
        <w:t xml:space="preserve"> doit être déterminé en fonction de la nature et des objectifs de la </w:t>
      </w:r>
      <w:r w:rsidRPr="005F7B27">
        <w:rPr>
          <w:i/>
          <w:iCs/>
          <w:lang w:val="fr-CA"/>
        </w:rPr>
        <w:t>Charte</w:t>
      </w:r>
      <w:r w:rsidRPr="006A1B79">
        <w:rPr>
          <w:iCs/>
          <w:lang w:val="fr-CA"/>
        </w:rPr>
        <w:t> </w:t>
      </w:r>
      <w:r w:rsidRPr="006A1B79">
        <w:rPr>
          <w:lang w:val="fr-CA"/>
        </w:rPr>
        <w:t>elle</w:t>
      </w:r>
      <w:r w:rsidRPr="006A1B79">
        <w:rPr>
          <w:lang w:val="fr-CA"/>
        </w:rPr>
        <w:noBreakHyphen/>
        <w:t>même, des termes choisis pour énoncer ce droit ou cette liberté, des origines historiques des concepts enchâssés et en fonction des principes et des valeurs qui sous-tendent le droit</w:t>
      </w:r>
      <w:r w:rsidRPr="00CD25D7">
        <w:rPr>
          <w:lang w:val="fr-CA"/>
        </w:rPr>
        <w:t>.</w:t>
      </w:r>
      <w:r w:rsidRPr="006A1B79">
        <w:rPr>
          <w:lang w:val="fr-CA"/>
        </w:rPr>
        <w:t xml:space="preserve"> </w:t>
      </w:r>
      <w:r>
        <w:rPr>
          <w:lang w:val="fr-CA"/>
        </w:rPr>
        <w:t>L’</w:t>
      </w:r>
      <w:r w:rsidRPr="005B0CC9">
        <w:rPr>
          <w:lang w:val="fr-CA"/>
        </w:rPr>
        <w:t xml:space="preserve">examen du texte de la </w:t>
      </w:r>
      <w:r w:rsidRPr="005B0CC9">
        <w:rPr>
          <w:i/>
          <w:lang w:val="fr-CA"/>
        </w:rPr>
        <w:t>Charte</w:t>
      </w:r>
      <w:r w:rsidRPr="005B0CC9">
        <w:rPr>
          <w:lang w:val="fr-CA"/>
        </w:rPr>
        <w:t xml:space="preserve"> n</w:t>
      </w:r>
      <w:r>
        <w:rPr>
          <w:lang w:val="fr-CA"/>
        </w:rPr>
        <w:t xml:space="preserve">’est </w:t>
      </w:r>
      <w:r w:rsidRPr="005B0CC9">
        <w:rPr>
          <w:lang w:val="fr-CA"/>
        </w:rPr>
        <w:t xml:space="preserve">que le </w:t>
      </w:r>
      <w:r>
        <w:rPr>
          <w:lang w:val="fr-CA"/>
        </w:rPr>
        <w:t>début</w:t>
      </w:r>
      <w:r w:rsidRPr="005B0CC9">
        <w:rPr>
          <w:lang w:val="fr-CA"/>
        </w:rPr>
        <w:t xml:space="preserve"> de l</w:t>
      </w:r>
      <w:r>
        <w:rPr>
          <w:lang w:val="fr-CA"/>
        </w:rPr>
        <w:t xml:space="preserve">’opération </w:t>
      </w:r>
      <w:r w:rsidRPr="005B0CC9">
        <w:rPr>
          <w:lang w:val="fr-CA"/>
        </w:rPr>
        <w:t>d</w:t>
      </w:r>
      <w:r>
        <w:rPr>
          <w:lang w:val="fr-CA"/>
        </w:rPr>
        <w:t>’</w:t>
      </w:r>
      <w:r w:rsidRPr="005B0CC9">
        <w:rPr>
          <w:lang w:val="fr-CA"/>
        </w:rPr>
        <w:t xml:space="preserve">interprétation, </w:t>
      </w:r>
      <w:r>
        <w:rPr>
          <w:lang w:val="fr-CA"/>
        </w:rPr>
        <w:t xml:space="preserve">opération </w:t>
      </w:r>
      <w:r w:rsidRPr="005B0CC9">
        <w:rPr>
          <w:lang w:val="fr-CA"/>
        </w:rPr>
        <w:t xml:space="preserve">qui </w:t>
      </w:r>
      <w:r>
        <w:rPr>
          <w:lang w:val="fr-CA"/>
        </w:rPr>
        <w:t xml:space="preserve">diffère </w:t>
      </w:r>
      <w:r w:rsidRPr="005B0CC9">
        <w:rPr>
          <w:lang w:val="fr-CA"/>
        </w:rPr>
        <w:t xml:space="preserve">fondamentalement </w:t>
      </w:r>
      <w:r>
        <w:rPr>
          <w:lang w:val="fr-CA"/>
        </w:rPr>
        <w:t>de l’interprétation</w:t>
      </w:r>
      <w:r w:rsidRPr="005B0CC9">
        <w:rPr>
          <w:lang w:val="fr-CA"/>
        </w:rPr>
        <w:t xml:space="preserve"> </w:t>
      </w:r>
      <w:r>
        <w:rPr>
          <w:lang w:val="fr-CA"/>
        </w:rPr>
        <w:t>du texte d’une l</w:t>
      </w:r>
      <w:r w:rsidRPr="005B0CC9">
        <w:rPr>
          <w:lang w:val="fr-CA"/>
        </w:rPr>
        <w:t>oi.</w:t>
      </w:r>
      <w:r>
        <w:rPr>
          <w:lang w:val="fr-CA"/>
        </w:rPr>
        <w:t xml:space="preserve"> </w:t>
      </w:r>
      <w:r w:rsidRPr="006A1B79">
        <w:rPr>
          <w:lang w:val="fr-CA"/>
        </w:rPr>
        <w:t xml:space="preserve">Une méthode </w:t>
      </w:r>
      <w:r>
        <w:rPr>
          <w:lang w:val="fr-CA"/>
        </w:rPr>
        <w:t>téléologique,</w:t>
      </w:r>
      <w:r w:rsidRPr="00240A02">
        <w:rPr>
          <w:lang w:val="fr-CA"/>
        </w:rPr>
        <w:t xml:space="preserve"> </w:t>
      </w:r>
      <w:r w:rsidRPr="006A1B79">
        <w:rPr>
          <w:lang w:val="fr-CA"/>
        </w:rPr>
        <w:t>libérale</w:t>
      </w:r>
      <w:r>
        <w:rPr>
          <w:lang w:val="fr-CA"/>
        </w:rPr>
        <w:t xml:space="preserve"> </w:t>
      </w:r>
      <w:r w:rsidRPr="006A1B79">
        <w:rPr>
          <w:lang w:val="fr-CA"/>
        </w:rPr>
        <w:t>et conte</w:t>
      </w:r>
      <w:r>
        <w:rPr>
          <w:lang w:val="fr-CA"/>
        </w:rPr>
        <w:t xml:space="preserve">xtuelle doit être </w:t>
      </w:r>
      <w:r>
        <w:rPr>
          <w:lang w:val="fr-CA"/>
        </w:rPr>
        <w:lastRenderedPageBreak/>
        <w:t xml:space="preserve">appliquée </w:t>
      </w:r>
      <w:r w:rsidRPr="006A1B79">
        <w:rPr>
          <w:lang w:val="fr-CA"/>
        </w:rPr>
        <w:t xml:space="preserve">de sorte que les droits garantis par la </w:t>
      </w:r>
      <w:r w:rsidRPr="006A1B79">
        <w:rPr>
          <w:i/>
          <w:lang w:val="fr-CA"/>
        </w:rPr>
        <w:t>Charte</w:t>
      </w:r>
      <w:r>
        <w:rPr>
          <w:lang w:val="fr-CA"/>
        </w:rPr>
        <w:t xml:space="preserve"> puissent croître et s’adapter à l’évolution des réalités sociales.</w:t>
      </w:r>
      <w:r w:rsidRPr="006A1B79">
        <w:rPr>
          <w:lang w:val="fr-CA"/>
        </w:rPr>
        <w:t xml:space="preserve"> </w:t>
      </w:r>
      <w:r>
        <w:rPr>
          <w:lang w:val="fr-CA"/>
        </w:rPr>
        <w:t>A</w:t>
      </w:r>
      <w:r w:rsidRPr="005B0CC9">
        <w:rPr>
          <w:lang w:val="fr-CA"/>
        </w:rPr>
        <w:t>ccord</w:t>
      </w:r>
      <w:r>
        <w:rPr>
          <w:lang w:val="fr-CA"/>
        </w:rPr>
        <w:t>er</w:t>
      </w:r>
      <w:r w:rsidRPr="005B0CC9">
        <w:rPr>
          <w:lang w:val="fr-CA"/>
        </w:rPr>
        <w:t xml:space="preserve"> une </w:t>
      </w:r>
      <w:r w:rsidRPr="006736D4">
        <w:rPr>
          <w:lang w:val="fr-CA"/>
        </w:rPr>
        <w:t xml:space="preserve">importance excessive au libellé clair des droits garantis par la </w:t>
      </w:r>
      <w:r w:rsidRPr="006736D4">
        <w:rPr>
          <w:i/>
          <w:lang w:val="fr-CA"/>
        </w:rPr>
        <w:t>Charte</w:t>
      </w:r>
      <w:r w:rsidRPr="006736D4">
        <w:rPr>
          <w:lang w:val="fr-CA"/>
        </w:rPr>
        <w:t xml:space="preserve"> </w:t>
      </w:r>
      <w:r>
        <w:rPr>
          <w:lang w:val="fr-CA"/>
        </w:rPr>
        <w:t xml:space="preserve">aurait </w:t>
      </w:r>
      <w:r w:rsidRPr="005B0CC9">
        <w:rPr>
          <w:lang w:val="fr-CA"/>
        </w:rPr>
        <w:t xml:space="preserve">pour effet </w:t>
      </w:r>
      <w:r>
        <w:rPr>
          <w:lang w:val="fr-CA"/>
        </w:rPr>
        <w:t xml:space="preserve">d’isoler </w:t>
      </w:r>
      <w:r w:rsidRPr="005B0CC9">
        <w:rPr>
          <w:lang w:val="fr-CA"/>
        </w:rPr>
        <w:t>le droit constitutionnel canadien</w:t>
      </w:r>
      <w:r>
        <w:rPr>
          <w:lang w:val="fr-CA"/>
        </w:rPr>
        <w:t xml:space="preserve"> et </w:t>
      </w:r>
      <w:r w:rsidRPr="006736D4">
        <w:rPr>
          <w:lang w:val="fr-CA"/>
        </w:rPr>
        <w:t>crée</w:t>
      </w:r>
      <w:r>
        <w:rPr>
          <w:lang w:val="fr-CA"/>
        </w:rPr>
        <w:t>rait</w:t>
      </w:r>
      <w:r w:rsidRPr="006736D4">
        <w:rPr>
          <w:lang w:val="fr-CA"/>
        </w:rPr>
        <w:t xml:space="preserve"> le risque qu’avec l’écoulement du temps, ces droits ne représentent plus les valeurs fondamentales de la société canadienne et les objectifs qu’ils sont censés réaliser.</w:t>
      </w:r>
      <w:r>
        <w:rPr>
          <w:lang w:val="fr-CA"/>
        </w:rPr>
        <w:t xml:space="preserve"> L’objet demeure la considération essentielle</w:t>
      </w:r>
      <w:r w:rsidRPr="005B0CC9">
        <w:rPr>
          <w:lang w:val="fr-CA"/>
        </w:rPr>
        <w:t xml:space="preserve"> lorsqu</w:t>
      </w:r>
      <w:r>
        <w:rPr>
          <w:lang w:val="fr-CA"/>
        </w:rPr>
        <w:t>’</w:t>
      </w:r>
      <w:r w:rsidRPr="005B0CC9">
        <w:rPr>
          <w:lang w:val="fr-CA"/>
        </w:rPr>
        <w:t>il s</w:t>
      </w:r>
      <w:r>
        <w:rPr>
          <w:lang w:val="fr-CA"/>
        </w:rPr>
        <w:t>’</w:t>
      </w:r>
      <w:r w:rsidRPr="005B0CC9">
        <w:rPr>
          <w:lang w:val="fr-CA"/>
        </w:rPr>
        <w:t>agit d</w:t>
      </w:r>
      <w:r>
        <w:rPr>
          <w:lang w:val="fr-CA"/>
        </w:rPr>
        <w:t>’</w:t>
      </w:r>
      <w:r w:rsidRPr="005B0CC9">
        <w:rPr>
          <w:lang w:val="fr-CA"/>
        </w:rPr>
        <w:t xml:space="preserve">interpréter </w:t>
      </w:r>
      <w:r>
        <w:rPr>
          <w:lang w:val="fr-CA"/>
        </w:rPr>
        <w:t>l</w:t>
      </w:r>
      <w:r w:rsidRPr="005B0CC9">
        <w:rPr>
          <w:lang w:val="fr-CA"/>
        </w:rPr>
        <w:t>a portée et le c</w:t>
      </w:r>
      <w:r>
        <w:rPr>
          <w:lang w:val="fr-CA"/>
        </w:rPr>
        <w:t>ontenu d’un droit garanti par la</w:t>
      </w:r>
      <w:r w:rsidRPr="005B0CC9">
        <w:rPr>
          <w:lang w:val="fr-CA"/>
        </w:rPr>
        <w:t xml:space="preserve"> </w:t>
      </w:r>
      <w:r w:rsidRPr="005B0CC9">
        <w:rPr>
          <w:i/>
          <w:lang w:val="fr-CA"/>
        </w:rPr>
        <w:t>Charte</w:t>
      </w:r>
      <w:r>
        <w:rPr>
          <w:lang w:val="fr-CA"/>
        </w:rPr>
        <w:t>.</w:t>
      </w:r>
      <w:r w:rsidRPr="00222D55">
        <w:rPr>
          <w:lang w:val="fr-CA"/>
        </w:rPr>
        <w:t xml:space="preserve"> </w:t>
      </w:r>
      <w:r>
        <w:rPr>
          <w:lang w:val="fr-CA"/>
        </w:rPr>
        <w:t>Bien que p</w:t>
      </w:r>
      <w:r w:rsidRPr="005B0CC9">
        <w:rPr>
          <w:lang w:val="fr-CA"/>
        </w:rPr>
        <w:t xml:space="preserve">lusieurs facteurs </w:t>
      </w:r>
      <w:r w:rsidR="00496997">
        <w:rPr>
          <w:lang w:val="fr-CA"/>
        </w:rPr>
        <w:t>—</w:t>
      </w:r>
      <w:r>
        <w:rPr>
          <w:lang w:val="fr-CA"/>
        </w:rPr>
        <w:t xml:space="preserve"> y compris le texte</w:t>
      </w:r>
      <w:r w:rsidRPr="005B0CC9">
        <w:rPr>
          <w:lang w:val="fr-CA"/>
        </w:rPr>
        <w:t xml:space="preserve"> </w:t>
      </w:r>
      <w:r w:rsidR="00496997">
        <w:rPr>
          <w:lang w:val="fr-CA"/>
        </w:rPr>
        <w:t>—</w:t>
      </w:r>
      <w:r>
        <w:rPr>
          <w:lang w:val="fr-CA"/>
        </w:rPr>
        <w:t xml:space="preserve"> puissent aider à guider l’analyse</w:t>
      </w:r>
      <w:r w:rsidRPr="005B0CC9">
        <w:rPr>
          <w:lang w:val="fr-CA"/>
        </w:rPr>
        <w:t xml:space="preserve">, </w:t>
      </w:r>
      <w:r>
        <w:rPr>
          <w:lang w:val="fr-CA"/>
        </w:rPr>
        <w:t xml:space="preserve">la </w:t>
      </w:r>
      <w:r w:rsidRPr="005B0CC9">
        <w:rPr>
          <w:lang w:val="fr-CA"/>
        </w:rPr>
        <w:t>Cour n</w:t>
      </w:r>
      <w:r>
        <w:rPr>
          <w:lang w:val="fr-CA"/>
        </w:rPr>
        <w:t>’</w:t>
      </w:r>
      <w:r w:rsidRPr="005B0CC9">
        <w:rPr>
          <w:lang w:val="fr-CA"/>
        </w:rPr>
        <w:t>a jamais</w:t>
      </w:r>
      <w:r>
        <w:rPr>
          <w:lang w:val="fr-CA"/>
        </w:rPr>
        <w:t xml:space="preserve"> souscrit à une hiérarchie stricte</w:t>
      </w:r>
      <w:r w:rsidRPr="005B0CC9">
        <w:rPr>
          <w:lang w:val="fr-CA"/>
        </w:rPr>
        <w:t xml:space="preserve"> entre ces </w:t>
      </w:r>
      <w:r>
        <w:rPr>
          <w:lang w:val="fr-CA"/>
        </w:rPr>
        <w:t xml:space="preserve">guides d’interprétation. </w:t>
      </w:r>
    </w:p>
    <w:p w:rsidR="0083293C" w:rsidRPr="00DC2A98" w:rsidRDefault="0083293C" w:rsidP="008160A8">
      <w:pPr>
        <w:pStyle w:val="SCCNormalDoubleSpacing"/>
        <w:spacing w:after="480"/>
        <w:rPr>
          <w:lang w:val="fr-CA"/>
        </w:rPr>
      </w:pPr>
      <w:r w:rsidRPr="00DC2A98">
        <w:rPr>
          <w:lang w:val="fr-CA"/>
        </w:rPr>
        <w:tab/>
      </w:r>
      <w:r>
        <w:rPr>
          <w:lang w:val="fr-CA"/>
        </w:rPr>
        <w:t>Il ressort d’un examen</w:t>
      </w:r>
      <w:r w:rsidRPr="005B0CC9">
        <w:rPr>
          <w:lang w:val="fr-CA"/>
        </w:rPr>
        <w:t xml:space="preserve"> des </w:t>
      </w:r>
      <w:r>
        <w:rPr>
          <w:lang w:val="fr-CA"/>
        </w:rPr>
        <w:t xml:space="preserve">diverses </w:t>
      </w:r>
      <w:r w:rsidRPr="005B0CC9">
        <w:rPr>
          <w:lang w:val="fr-CA"/>
        </w:rPr>
        <w:t xml:space="preserve">formulations </w:t>
      </w:r>
      <w:r>
        <w:rPr>
          <w:lang w:val="fr-CA"/>
        </w:rPr>
        <w:t xml:space="preserve">utilisées </w:t>
      </w:r>
      <w:r w:rsidRPr="005B0CC9">
        <w:rPr>
          <w:lang w:val="fr-CA"/>
        </w:rPr>
        <w:t xml:space="preserve">dans </w:t>
      </w:r>
      <w:r>
        <w:rPr>
          <w:lang w:val="fr-CA"/>
        </w:rPr>
        <w:t xml:space="preserve">la jurisprudence de la Cour </w:t>
      </w:r>
      <w:r w:rsidRPr="005B0CC9">
        <w:rPr>
          <w:lang w:val="fr-CA"/>
        </w:rPr>
        <w:t>sur l</w:t>
      </w:r>
      <w:r>
        <w:rPr>
          <w:lang w:val="fr-CA"/>
        </w:rPr>
        <w:t>’</w:t>
      </w:r>
      <w:r w:rsidRPr="005B0CC9">
        <w:rPr>
          <w:lang w:val="fr-CA"/>
        </w:rPr>
        <w:t>art.</w:t>
      </w:r>
      <w:r w:rsidR="0014065D">
        <w:rPr>
          <w:lang w:val="fr-CA"/>
        </w:rPr>
        <w:t> 12 que tant</w:t>
      </w:r>
      <w:r>
        <w:rPr>
          <w:lang w:val="fr-CA"/>
        </w:rPr>
        <w:t xml:space="preserve"> </w:t>
      </w:r>
      <w:r w:rsidRPr="005B0CC9">
        <w:rPr>
          <w:lang w:val="fr-CA"/>
        </w:rPr>
        <w:t xml:space="preserve">les versions anglaise </w:t>
      </w:r>
      <w:r>
        <w:rPr>
          <w:lang w:val="fr-CA"/>
        </w:rPr>
        <w:t xml:space="preserve">que </w:t>
      </w:r>
      <w:r w:rsidRPr="005B0CC9">
        <w:rPr>
          <w:lang w:val="fr-CA"/>
        </w:rPr>
        <w:t xml:space="preserve">française </w:t>
      </w:r>
      <w:r>
        <w:rPr>
          <w:lang w:val="fr-CA"/>
        </w:rPr>
        <w:t>de ses arrêts expriment</w:t>
      </w:r>
      <w:r w:rsidRPr="005B0CC9">
        <w:rPr>
          <w:lang w:val="fr-CA"/>
        </w:rPr>
        <w:t xml:space="preserve"> la même idée, à savoir que l</w:t>
      </w:r>
      <w:r>
        <w:rPr>
          <w:lang w:val="fr-CA"/>
        </w:rPr>
        <w:t>’</w:t>
      </w:r>
      <w:r w:rsidRPr="005B0CC9">
        <w:rPr>
          <w:lang w:val="fr-CA"/>
        </w:rPr>
        <w:t>art.</w:t>
      </w:r>
      <w:r>
        <w:rPr>
          <w:lang w:val="fr-CA"/>
        </w:rPr>
        <w:t> </w:t>
      </w:r>
      <w:r w:rsidRPr="005B0CC9">
        <w:rPr>
          <w:lang w:val="fr-CA"/>
        </w:rPr>
        <w:t>12 interdit le</w:t>
      </w:r>
      <w:r>
        <w:rPr>
          <w:lang w:val="fr-CA"/>
        </w:rPr>
        <w:t>s traitements ou peines</w:t>
      </w:r>
      <w:r w:rsidRPr="005B0CC9">
        <w:rPr>
          <w:lang w:val="fr-CA"/>
        </w:rPr>
        <w:t xml:space="preserve"> incompatibles avec la dignité humaine</w:t>
      </w:r>
      <w:r>
        <w:rPr>
          <w:lang w:val="fr-CA"/>
        </w:rPr>
        <w:t>.</w:t>
      </w:r>
      <w:r w:rsidRPr="008569C8">
        <w:rPr>
          <w:lang w:val="fr-CA"/>
        </w:rPr>
        <w:t xml:space="preserve"> </w:t>
      </w:r>
      <w:r>
        <w:rPr>
          <w:lang w:val="fr-CA"/>
        </w:rPr>
        <w:t>D</w:t>
      </w:r>
      <w:r w:rsidRPr="008569C8">
        <w:rPr>
          <w:lang w:val="fr-CA"/>
        </w:rPr>
        <w:t>ans les dictionnaires</w:t>
      </w:r>
      <w:r>
        <w:rPr>
          <w:lang w:val="fr-CA"/>
        </w:rPr>
        <w:t>,</w:t>
      </w:r>
      <w:r w:rsidRPr="008569C8">
        <w:rPr>
          <w:lang w:val="fr-CA"/>
        </w:rPr>
        <w:t xml:space="preserve"> </w:t>
      </w:r>
      <w:r>
        <w:rPr>
          <w:lang w:val="fr-CA"/>
        </w:rPr>
        <w:t>l</w:t>
      </w:r>
      <w:r w:rsidRPr="008569C8">
        <w:rPr>
          <w:lang w:val="fr-CA"/>
        </w:rPr>
        <w:t xml:space="preserve">es définitions des termes </w:t>
      </w:r>
      <w:r w:rsidR="008160A8">
        <w:rPr>
          <w:lang w:val="fr-CA"/>
        </w:rPr>
        <w:t>anglais « </w:t>
      </w:r>
      <w:r>
        <w:rPr>
          <w:i/>
          <w:lang w:val="fr-CA"/>
        </w:rPr>
        <w:t>cruel</w:t>
      </w:r>
      <w:r w:rsidR="008160A8">
        <w:rPr>
          <w:lang w:val="fr-CA"/>
        </w:rPr>
        <w:t> </w:t>
      </w:r>
      <w:r w:rsidRPr="00710FDF">
        <w:rPr>
          <w:lang w:val="fr-CA"/>
        </w:rPr>
        <w:t>»</w:t>
      </w:r>
      <w:r w:rsidRPr="008569C8">
        <w:rPr>
          <w:lang w:val="fr-CA"/>
        </w:rPr>
        <w:t xml:space="preserve">, </w:t>
      </w:r>
      <w:r w:rsidR="008160A8">
        <w:rPr>
          <w:lang w:val="fr-CA"/>
        </w:rPr>
        <w:t>« </w:t>
      </w:r>
      <w:r w:rsidRPr="005B0CC9">
        <w:rPr>
          <w:i/>
          <w:lang w:val="fr-CA"/>
        </w:rPr>
        <w:t>cruelty</w:t>
      </w:r>
      <w:r w:rsidR="008160A8">
        <w:rPr>
          <w:lang w:val="fr-CA"/>
        </w:rPr>
        <w:t> </w:t>
      </w:r>
      <w:r w:rsidRPr="00710FDF">
        <w:rPr>
          <w:lang w:val="fr-CA"/>
        </w:rPr>
        <w:t>»</w:t>
      </w:r>
      <w:r w:rsidRPr="005B0CC9">
        <w:rPr>
          <w:lang w:val="fr-CA"/>
        </w:rPr>
        <w:t xml:space="preserve"> </w:t>
      </w:r>
      <w:r>
        <w:rPr>
          <w:lang w:val="fr-CA"/>
        </w:rPr>
        <w:t>(cruauté)</w:t>
      </w:r>
      <w:r w:rsidRPr="008569C8">
        <w:rPr>
          <w:lang w:val="fr-CA"/>
        </w:rPr>
        <w:t xml:space="preserve">, </w:t>
      </w:r>
      <w:r>
        <w:rPr>
          <w:lang w:val="fr-CA"/>
        </w:rPr>
        <w:t>«</w:t>
      </w:r>
      <w:r w:rsidR="008160A8">
        <w:rPr>
          <w:lang w:val="fr-CA"/>
        </w:rPr>
        <w:t> </w:t>
      </w:r>
      <w:r>
        <w:rPr>
          <w:i/>
          <w:lang w:val="fr-CA"/>
        </w:rPr>
        <w:t>cruel and unusual punishment</w:t>
      </w:r>
      <w:r w:rsidR="008160A8">
        <w:rPr>
          <w:lang w:val="fr-CA"/>
        </w:rPr>
        <w:t> </w:t>
      </w:r>
      <w:r w:rsidRPr="00710FDF">
        <w:rPr>
          <w:lang w:val="fr-CA"/>
        </w:rPr>
        <w:t>»</w:t>
      </w:r>
      <w:r>
        <w:rPr>
          <w:lang w:val="fr-CA"/>
        </w:rPr>
        <w:t xml:space="preserve"> (</w:t>
      </w:r>
      <w:r w:rsidRPr="008569C8">
        <w:rPr>
          <w:lang w:val="fr-CA"/>
        </w:rPr>
        <w:t>peine cruelle et inusitée</w:t>
      </w:r>
      <w:r>
        <w:rPr>
          <w:lang w:val="fr-CA"/>
        </w:rPr>
        <w:t>), ainsi que du terme français « </w:t>
      </w:r>
      <w:r w:rsidRPr="008569C8">
        <w:rPr>
          <w:lang w:val="fr-CA"/>
        </w:rPr>
        <w:t>cruel </w:t>
      </w:r>
      <w:r>
        <w:rPr>
          <w:lang w:val="fr-CA"/>
        </w:rPr>
        <w:t>», révèlent</w:t>
      </w:r>
      <w:r w:rsidRPr="008569C8">
        <w:rPr>
          <w:lang w:val="fr-CA"/>
        </w:rPr>
        <w:t xml:space="preserve"> </w:t>
      </w:r>
      <w:r>
        <w:rPr>
          <w:lang w:val="fr-CA"/>
        </w:rPr>
        <w:t>que le</w:t>
      </w:r>
      <w:r w:rsidRPr="005B0CC9">
        <w:rPr>
          <w:lang w:val="fr-CA"/>
        </w:rPr>
        <w:t xml:space="preserve"> se</w:t>
      </w:r>
      <w:r w:rsidRPr="003D1C15">
        <w:rPr>
          <w:lang w:val="fr-CA"/>
        </w:rPr>
        <w:t xml:space="preserve">ns </w:t>
      </w:r>
      <w:r>
        <w:rPr>
          <w:lang w:val="fr-CA"/>
        </w:rPr>
        <w:t>ordinaire d</w:t>
      </w:r>
      <w:r w:rsidRPr="005B0CC9">
        <w:rPr>
          <w:lang w:val="fr-CA"/>
        </w:rPr>
        <w:t>es mots traitements ou peines cruels et inusités</w:t>
      </w:r>
      <w:r>
        <w:rPr>
          <w:lang w:val="fr-CA"/>
        </w:rPr>
        <w:t xml:space="preserve"> utilisés à l’art. 12 renvoie à </w:t>
      </w:r>
      <w:r w:rsidRPr="005B0CC9">
        <w:rPr>
          <w:lang w:val="fr-CA"/>
        </w:rPr>
        <w:t>la douleur et</w:t>
      </w:r>
      <w:r>
        <w:rPr>
          <w:lang w:val="fr-CA"/>
        </w:rPr>
        <w:t xml:space="preserve"> à</w:t>
      </w:r>
      <w:r w:rsidRPr="005B0CC9">
        <w:rPr>
          <w:lang w:val="fr-CA"/>
        </w:rPr>
        <w:t xml:space="preserve"> la souffrance</w:t>
      </w:r>
      <w:r>
        <w:rPr>
          <w:lang w:val="fr-CA"/>
        </w:rPr>
        <w:t xml:space="preserve"> </w:t>
      </w:r>
      <w:r w:rsidRPr="00412BFE">
        <w:rPr>
          <w:lang w:val="fr-CA"/>
        </w:rPr>
        <w:t>humaines</w:t>
      </w:r>
      <w:r>
        <w:rPr>
          <w:lang w:val="fr-CA"/>
        </w:rPr>
        <w:t>.</w:t>
      </w:r>
      <w:r w:rsidRPr="00412BFE">
        <w:rPr>
          <w:lang w:val="fr-CA"/>
        </w:rPr>
        <w:t xml:space="preserve"> </w:t>
      </w:r>
      <w:r w:rsidRPr="00DF29EC">
        <w:rPr>
          <w:lang w:val="fr-CA"/>
        </w:rPr>
        <w:t>Le fait que</w:t>
      </w:r>
      <w:r>
        <w:rPr>
          <w:lang w:val="fr-CA"/>
        </w:rPr>
        <w:t xml:space="preserve"> le mot </w:t>
      </w:r>
      <w:r w:rsidRPr="005B0CC9">
        <w:rPr>
          <w:lang w:val="fr-CA"/>
        </w:rPr>
        <w:t xml:space="preserve">« chacun » </w:t>
      </w:r>
      <w:r>
        <w:rPr>
          <w:lang w:val="fr-CA"/>
        </w:rPr>
        <w:t>figure dans le texte</w:t>
      </w:r>
      <w:r w:rsidRPr="005B0CC9">
        <w:rPr>
          <w:lang w:val="fr-CA"/>
        </w:rPr>
        <w:t xml:space="preserve"> de l</w:t>
      </w:r>
      <w:r>
        <w:rPr>
          <w:lang w:val="fr-CA"/>
        </w:rPr>
        <w:t>’</w:t>
      </w:r>
      <w:r w:rsidRPr="005B0CC9">
        <w:rPr>
          <w:lang w:val="fr-CA"/>
        </w:rPr>
        <w:t>art.</w:t>
      </w:r>
      <w:r>
        <w:rPr>
          <w:lang w:val="fr-CA"/>
        </w:rPr>
        <w:t> </w:t>
      </w:r>
      <w:r w:rsidRPr="005B0CC9">
        <w:rPr>
          <w:lang w:val="fr-CA"/>
        </w:rPr>
        <w:t xml:space="preserve">12 ne saurait, </w:t>
      </w:r>
      <w:r>
        <w:rPr>
          <w:lang w:val="fr-CA"/>
        </w:rPr>
        <w:t>sur la base de</w:t>
      </w:r>
      <w:r w:rsidRPr="005B0CC9">
        <w:rPr>
          <w:lang w:val="fr-CA"/>
        </w:rPr>
        <w:t xml:space="preserve"> son sens littéral, </w:t>
      </w:r>
      <w:r>
        <w:rPr>
          <w:lang w:val="fr-CA"/>
        </w:rPr>
        <w:t>étendre</w:t>
      </w:r>
      <w:r w:rsidRPr="005B0CC9">
        <w:rPr>
          <w:lang w:val="fr-CA"/>
        </w:rPr>
        <w:t xml:space="preserve"> la protection </w:t>
      </w:r>
      <w:r>
        <w:rPr>
          <w:lang w:val="fr-CA"/>
        </w:rPr>
        <w:t xml:space="preserve">de cette disposition </w:t>
      </w:r>
      <w:r w:rsidRPr="005B0CC9">
        <w:rPr>
          <w:lang w:val="fr-CA"/>
        </w:rPr>
        <w:t>aux personnes morales, sans égard à l</w:t>
      </w:r>
      <w:r>
        <w:rPr>
          <w:lang w:val="fr-CA"/>
        </w:rPr>
        <w:t>’</w:t>
      </w:r>
      <w:r w:rsidRPr="005B0CC9">
        <w:rPr>
          <w:lang w:val="fr-CA"/>
        </w:rPr>
        <w:t>objet du droit</w:t>
      </w:r>
      <w:r>
        <w:rPr>
          <w:lang w:val="fr-CA"/>
        </w:rPr>
        <w:t xml:space="preserve"> concerné</w:t>
      </w:r>
      <w:r w:rsidRPr="005B0CC9">
        <w:rPr>
          <w:lang w:val="fr-CA"/>
        </w:rPr>
        <w:t xml:space="preserve">, </w:t>
      </w:r>
      <w:r>
        <w:rPr>
          <w:lang w:val="fr-CA"/>
        </w:rPr>
        <w:t>à savoir</w:t>
      </w:r>
      <w:r w:rsidRPr="005B0CC9">
        <w:rPr>
          <w:lang w:val="fr-CA"/>
        </w:rPr>
        <w:t xml:space="preserve"> la protection de la dignité </w:t>
      </w:r>
      <w:r w:rsidRPr="00412BFE">
        <w:rPr>
          <w:lang w:val="fr-CA"/>
        </w:rPr>
        <w:t>humaine</w:t>
      </w:r>
      <w:r>
        <w:rPr>
          <w:lang w:val="fr-CA"/>
        </w:rPr>
        <w:t xml:space="preserve">. </w:t>
      </w:r>
    </w:p>
    <w:p w:rsidR="0083293C" w:rsidRPr="00DC2A98" w:rsidRDefault="0083293C" w:rsidP="008160A8">
      <w:pPr>
        <w:pStyle w:val="SCCNormalDoubleSpacing"/>
        <w:spacing w:after="480"/>
        <w:rPr>
          <w:lang w:val="fr-CA"/>
        </w:rPr>
      </w:pPr>
      <w:r w:rsidRPr="00DC2A98">
        <w:rPr>
          <w:lang w:val="fr-CA"/>
        </w:rPr>
        <w:lastRenderedPageBreak/>
        <w:tab/>
      </w:r>
      <w:r>
        <w:rPr>
          <w:lang w:val="fr-CA"/>
        </w:rPr>
        <w:t>Les origines historiques de</w:t>
      </w:r>
      <w:r w:rsidRPr="005B0CC9">
        <w:rPr>
          <w:lang w:val="fr-CA"/>
        </w:rPr>
        <w:t xml:space="preserve"> l</w:t>
      </w:r>
      <w:r>
        <w:rPr>
          <w:lang w:val="fr-CA"/>
        </w:rPr>
        <w:t>’</w:t>
      </w:r>
      <w:r w:rsidRPr="005B0CC9">
        <w:rPr>
          <w:lang w:val="fr-CA"/>
        </w:rPr>
        <w:t>art.</w:t>
      </w:r>
      <w:r>
        <w:rPr>
          <w:lang w:val="fr-CA"/>
        </w:rPr>
        <w:t> </w:t>
      </w:r>
      <w:r w:rsidRPr="005B0CC9">
        <w:rPr>
          <w:lang w:val="fr-CA"/>
        </w:rPr>
        <w:t>12</w:t>
      </w:r>
      <w:r>
        <w:rPr>
          <w:lang w:val="fr-CA"/>
        </w:rPr>
        <w:t xml:space="preserve"> de la </w:t>
      </w:r>
      <w:r w:rsidRPr="00643E53">
        <w:rPr>
          <w:i/>
          <w:lang w:val="fr-CA"/>
        </w:rPr>
        <w:t>Charte</w:t>
      </w:r>
      <w:r>
        <w:rPr>
          <w:lang w:val="fr-CA"/>
        </w:rPr>
        <w:t xml:space="preserve"> et l</w:t>
      </w:r>
      <w:r w:rsidRPr="005B0CC9">
        <w:rPr>
          <w:lang w:val="fr-CA"/>
        </w:rPr>
        <w:t xml:space="preserve">es valeurs </w:t>
      </w:r>
      <w:r>
        <w:rPr>
          <w:lang w:val="fr-CA"/>
        </w:rPr>
        <w:t>qui le sous-tendent peuvent remonter</w:t>
      </w:r>
      <w:r w:rsidRPr="005B0CC9">
        <w:rPr>
          <w:lang w:val="fr-CA"/>
        </w:rPr>
        <w:t xml:space="preserve"> </w:t>
      </w:r>
      <w:r>
        <w:rPr>
          <w:lang w:val="fr-CA"/>
        </w:rPr>
        <w:t>à l’art. 1</w:t>
      </w:r>
      <w:r w:rsidRPr="005B0CC9">
        <w:rPr>
          <w:lang w:val="fr-CA"/>
        </w:rPr>
        <w:t>0</w:t>
      </w:r>
      <w:r>
        <w:rPr>
          <w:lang w:val="fr-CA"/>
        </w:rPr>
        <w:t xml:space="preserve"> d</w:t>
      </w:r>
      <w:r w:rsidRPr="005B0CC9">
        <w:rPr>
          <w:lang w:val="fr-CA"/>
        </w:rPr>
        <w:t xml:space="preserve">u </w:t>
      </w:r>
      <w:r w:rsidRPr="005B0CC9">
        <w:rPr>
          <w:i/>
          <w:lang w:val="fr-CA"/>
        </w:rPr>
        <w:t>Bill of Rights</w:t>
      </w:r>
      <w:r>
        <w:rPr>
          <w:lang w:val="fr-CA"/>
        </w:rPr>
        <w:t xml:space="preserve"> anglais, qui précisait qu’il ne devrait pas être exigé de cautionnements excessifs, imposé d’</w:t>
      </w:r>
      <w:r w:rsidRPr="005B0CC9">
        <w:rPr>
          <w:lang w:val="fr-CA"/>
        </w:rPr>
        <w:t xml:space="preserve">amendes excessives </w:t>
      </w:r>
      <w:r>
        <w:rPr>
          <w:lang w:val="fr-CA"/>
        </w:rPr>
        <w:t>ou infligé de peines cruelles et inusitées.</w:t>
      </w:r>
      <w:r w:rsidRPr="00643E53">
        <w:rPr>
          <w:lang w:val="fr-CA"/>
        </w:rPr>
        <w:t xml:space="preserve"> </w:t>
      </w:r>
      <w:r>
        <w:rPr>
          <w:lang w:val="fr-CA"/>
        </w:rPr>
        <w:t>Cette d</w:t>
      </w:r>
      <w:r w:rsidRPr="005B0CC9">
        <w:rPr>
          <w:lang w:val="fr-CA"/>
        </w:rPr>
        <w:t xml:space="preserve">isposition a été </w:t>
      </w:r>
      <w:r>
        <w:rPr>
          <w:lang w:val="fr-CA"/>
        </w:rPr>
        <w:t>intégrée</w:t>
      </w:r>
      <w:r w:rsidRPr="005B0CC9">
        <w:rPr>
          <w:lang w:val="fr-CA"/>
        </w:rPr>
        <w:t xml:space="preserve"> presque </w:t>
      </w:r>
      <w:r>
        <w:rPr>
          <w:lang w:val="fr-CA"/>
        </w:rPr>
        <w:t>mot pour mot</w:t>
      </w:r>
      <w:r w:rsidRPr="005B0CC9">
        <w:rPr>
          <w:lang w:val="fr-CA"/>
        </w:rPr>
        <w:t xml:space="preserve"> dans le Huitième amendement de la Constitution des États</w:t>
      </w:r>
      <w:r>
        <w:rPr>
          <w:lang w:val="fr-CA"/>
        </w:rPr>
        <w:noBreakHyphen/>
      </w:r>
      <w:r w:rsidRPr="005B0CC9">
        <w:rPr>
          <w:lang w:val="fr-CA"/>
        </w:rPr>
        <w:t>Unis</w:t>
      </w:r>
      <w:r>
        <w:rPr>
          <w:lang w:val="fr-CA"/>
        </w:rPr>
        <w:t>.</w:t>
      </w:r>
      <w:r w:rsidRPr="00643E53">
        <w:rPr>
          <w:lang w:val="fr-CA"/>
        </w:rPr>
        <w:t xml:space="preserve"> </w:t>
      </w:r>
      <w:r>
        <w:rPr>
          <w:lang w:val="fr-CA"/>
        </w:rPr>
        <w:t xml:space="preserve">Tant </w:t>
      </w:r>
      <w:r w:rsidRPr="005B0CC9">
        <w:rPr>
          <w:lang w:val="fr-CA"/>
        </w:rPr>
        <w:t>dans le contexte</w:t>
      </w:r>
      <w:r>
        <w:rPr>
          <w:lang w:val="fr-CA"/>
        </w:rPr>
        <w:t xml:space="preserve"> anglais que dans le contexte </w:t>
      </w:r>
      <w:r w:rsidRPr="005B0CC9">
        <w:rPr>
          <w:lang w:val="fr-CA"/>
        </w:rPr>
        <w:t>américain, la protection des personnes morales n</w:t>
      </w:r>
      <w:r>
        <w:rPr>
          <w:lang w:val="fr-CA"/>
        </w:rPr>
        <w:t>’était pas envisagée.</w:t>
      </w:r>
      <w:r w:rsidRPr="00643E53">
        <w:rPr>
          <w:lang w:val="fr-CA"/>
        </w:rPr>
        <w:t xml:space="preserve"> </w:t>
      </w:r>
      <w:r>
        <w:rPr>
          <w:lang w:val="fr-CA"/>
        </w:rPr>
        <w:t>A</w:t>
      </w:r>
      <w:r w:rsidRPr="005B0CC9">
        <w:rPr>
          <w:lang w:val="fr-CA"/>
        </w:rPr>
        <w:t>ux États</w:t>
      </w:r>
      <w:r>
        <w:rPr>
          <w:lang w:val="fr-CA"/>
        </w:rPr>
        <w:noBreakHyphen/>
      </w:r>
      <w:r w:rsidRPr="005B0CC9">
        <w:rPr>
          <w:lang w:val="fr-CA"/>
        </w:rPr>
        <w:t>Unis</w:t>
      </w:r>
      <w:r>
        <w:rPr>
          <w:lang w:val="fr-CA"/>
        </w:rPr>
        <w:t>, l’objectif</w:t>
      </w:r>
      <w:r w:rsidRPr="005B0CC9">
        <w:rPr>
          <w:lang w:val="fr-CA"/>
        </w:rPr>
        <w:t xml:space="preserve"> de l</w:t>
      </w:r>
      <w:r>
        <w:rPr>
          <w:lang w:val="fr-CA"/>
        </w:rPr>
        <w:t>’</w:t>
      </w:r>
      <w:r w:rsidRPr="005B0CC9">
        <w:rPr>
          <w:lang w:val="fr-CA"/>
        </w:rPr>
        <w:t xml:space="preserve">interdiction </w:t>
      </w:r>
      <w:r>
        <w:rPr>
          <w:lang w:val="fr-CA"/>
        </w:rPr>
        <w:t>des</w:t>
      </w:r>
      <w:r w:rsidRPr="005B0CC9">
        <w:rPr>
          <w:lang w:val="fr-CA"/>
        </w:rPr>
        <w:t xml:space="preserve"> peines cruelles et inusitées </w:t>
      </w:r>
      <w:r>
        <w:rPr>
          <w:lang w:val="fr-CA"/>
        </w:rPr>
        <w:t xml:space="preserve">est </w:t>
      </w:r>
      <w:r w:rsidRPr="005B0CC9">
        <w:rPr>
          <w:lang w:val="fr-CA"/>
        </w:rPr>
        <w:t>historique</w:t>
      </w:r>
      <w:r>
        <w:rPr>
          <w:lang w:val="fr-CA"/>
        </w:rPr>
        <w:t>ment</w:t>
      </w:r>
      <w:r w:rsidRPr="005B0CC9">
        <w:rPr>
          <w:lang w:val="fr-CA"/>
        </w:rPr>
        <w:t xml:space="preserve"> la protection de la valeur et de la dignité inhérentes</w:t>
      </w:r>
      <w:r>
        <w:rPr>
          <w:lang w:val="fr-CA"/>
        </w:rPr>
        <w:t xml:space="preserve"> aux</w:t>
      </w:r>
      <w:r w:rsidRPr="005B0CC9">
        <w:rPr>
          <w:lang w:val="fr-CA"/>
        </w:rPr>
        <w:t xml:space="preserve"> </w:t>
      </w:r>
      <w:r w:rsidRPr="00643E53">
        <w:rPr>
          <w:lang w:val="fr-CA"/>
        </w:rPr>
        <w:t xml:space="preserve">êtres humains. </w:t>
      </w:r>
      <w:r w:rsidRPr="005B0CC9">
        <w:rPr>
          <w:lang w:val="fr-CA"/>
        </w:rPr>
        <w:t xml:space="preserve">Au Canada, </w:t>
      </w:r>
      <w:r>
        <w:rPr>
          <w:lang w:val="fr-CA"/>
        </w:rPr>
        <w:t xml:space="preserve">le premier texte incorporant </w:t>
      </w:r>
      <w:r w:rsidRPr="005B0CC9">
        <w:rPr>
          <w:lang w:val="fr-CA"/>
        </w:rPr>
        <w:t>un libellé s</w:t>
      </w:r>
      <w:r>
        <w:rPr>
          <w:lang w:val="fr-CA"/>
        </w:rPr>
        <w:t xml:space="preserve">imilaire </w:t>
      </w:r>
      <w:r w:rsidRPr="005B0CC9">
        <w:rPr>
          <w:lang w:val="fr-CA"/>
        </w:rPr>
        <w:t>est l</w:t>
      </w:r>
      <w:r>
        <w:rPr>
          <w:lang w:val="fr-CA"/>
        </w:rPr>
        <w:t>’</w:t>
      </w:r>
      <w:r w:rsidRPr="005B0CC9">
        <w:rPr>
          <w:lang w:val="fr-CA"/>
        </w:rPr>
        <w:t>al.</w:t>
      </w:r>
      <w:r>
        <w:rPr>
          <w:lang w:val="fr-CA"/>
        </w:rPr>
        <w:t> </w:t>
      </w:r>
      <w:r w:rsidRPr="005B0CC9">
        <w:rPr>
          <w:lang w:val="fr-CA"/>
        </w:rPr>
        <w:t>2</w:t>
      </w:r>
      <w:r w:rsidRPr="0009523D">
        <w:rPr>
          <w:i/>
          <w:lang w:val="fr-CA"/>
        </w:rPr>
        <w:t>b</w:t>
      </w:r>
      <w:r w:rsidRPr="00243107">
        <w:rPr>
          <w:lang w:val="fr-CA"/>
        </w:rPr>
        <w:t xml:space="preserve">) </w:t>
      </w:r>
      <w:r w:rsidRPr="005B0CC9">
        <w:rPr>
          <w:lang w:val="fr-CA"/>
        </w:rPr>
        <w:t xml:space="preserve">de la </w:t>
      </w:r>
      <w:r w:rsidRPr="005B0CC9">
        <w:rPr>
          <w:i/>
          <w:lang w:val="fr-CA"/>
        </w:rPr>
        <w:t>Déclaration canadienne des droits</w:t>
      </w:r>
      <w:r>
        <w:rPr>
          <w:lang w:val="fr-CA"/>
        </w:rPr>
        <w:t>.</w:t>
      </w:r>
      <w:r w:rsidRPr="00643E53">
        <w:rPr>
          <w:lang w:val="fr-CA"/>
        </w:rPr>
        <w:t xml:space="preserve"> </w:t>
      </w:r>
      <w:r w:rsidRPr="005B0CC9">
        <w:rPr>
          <w:lang w:val="fr-CA"/>
        </w:rPr>
        <w:t xml:space="preserve">Le </w:t>
      </w:r>
      <w:r>
        <w:rPr>
          <w:lang w:val="fr-CA"/>
        </w:rPr>
        <w:t xml:space="preserve">texte </w:t>
      </w:r>
      <w:r w:rsidRPr="005B0CC9">
        <w:rPr>
          <w:lang w:val="fr-CA"/>
        </w:rPr>
        <w:t xml:space="preserve">de </w:t>
      </w:r>
      <w:r>
        <w:rPr>
          <w:lang w:val="fr-CA"/>
        </w:rPr>
        <w:t xml:space="preserve">cette disposition </w:t>
      </w:r>
      <w:r w:rsidRPr="005B0CC9">
        <w:rPr>
          <w:lang w:val="fr-CA"/>
        </w:rPr>
        <w:t>et celui de l</w:t>
      </w:r>
      <w:r>
        <w:rPr>
          <w:lang w:val="fr-CA"/>
        </w:rPr>
        <w:t>’</w:t>
      </w:r>
      <w:r w:rsidRPr="005B0CC9">
        <w:rPr>
          <w:lang w:val="fr-CA"/>
        </w:rPr>
        <w:t>art.</w:t>
      </w:r>
      <w:r>
        <w:rPr>
          <w:lang w:val="fr-CA"/>
        </w:rPr>
        <w:t> </w:t>
      </w:r>
      <w:r w:rsidRPr="005B0CC9">
        <w:rPr>
          <w:lang w:val="fr-CA"/>
        </w:rPr>
        <w:t xml:space="preserve">12 de la </w:t>
      </w:r>
      <w:r w:rsidRPr="005B0CC9">
        <w:rPr>
          <w:i/>
          <w:lang w:val="fr-CA"/>
        </w:rPr>
        <w:t>Charte</w:t>
      </w:r>
      <w:r w:rsidRPr="005B0CC9">
        <w:rPr>
          <w:lang w:val="fr-CA"/>
        </w:rPr>
        <w:t xml:space="preserve"> sont presque identiques.</w:t>
      </w:r>
      <w:r w:rsidRPr="00643E53">
        <w:rPr>
          <w:lang w:val="fr-CA"/>
        </w:rPr>
        <w:t xml:space="preserve"> À l’instar de la </w:t>
      </w:r>
      <w:r w:rsidRPr="00643E53">
        <w:rPr>
          <w:i/>
          <w:lang w:val="fr-CA"/>
        </w:rPr>
        <w:t>Déclaration canadienne des droits</w:t>
      </w:r>
      <w:r w:rsidRPr="00643E53">
        <w:rPr>
          <w:lang w:val="fr-CA"/>
        </w:rPr>
        <w:t xml:space="preserve">, l’adoption de la </w:t>
      </w:r>
      <w:r w:rsidRPr="00643E53">
        <w:rPr>
          <w:i/>
          <w:lang w:val="fr-CA"/>
        </w:rPr>
        <w:t xml:space="preserve">Charte </w:t>
      </w:r>
      <w:r w:rsidRPr="00643E53">
        <w:rPr>
          <w:lang w:val="fr-CA"/>
        </w:rPr>
        <w:t>a été influencée par les événements de la Deuxième Guerre mondiale</w:t>
      </w:r>
      <w:r>
        <w:rPr>
          <w:lang w:val="fr-CA"/>
        </w:rPr>
        <w:t xml:space="preserve">. </w:t>
      </w:r>
      <w:r w:rsidRPr="006736D4">
        <w:rPr>
          <w:lang w:val="fr-CA"/>
        </w:rPr>
        <w:t>L’indifférence</w:t>
      </w:r>
      <w:r>
        <w:rPr>
          <w:lang w:val="fr-CA"/>
        </w:rPr>
        <w:t xml:space="preserve"> choquante à </w:t>
      </w:r>
      <w:r w:rsidRPr="006736D4">
        <w:rPr>
          <w:lang w:val="fr-CA"/>
        </w:rPr>
        <w:t xml:space="preserve">l’égard de la dignité humaine </w:t>
      </w:r>
      <w:r>
        <w:rPr>
          <w:lang w:val="fr-CA"/>
        </w:rPr>
        <w:t xml:space="preserve">et </w:t>
      </w:r>
      <w:r w:rsidRPr="006736D4">
        <w:rPr>
          <w:lang w:val="fr-CA"/>
        </w:rPr>
        <w:t xml:space="preserve">les atteintes </w:t>
      </w:r>
      <w:r>
        <w:rPr>
          <w:lang w:val="fr-CA"/>
        </w:rPr>
        <w:t xml:space="preserve">dévastatrices </w:t>
      </w:r>
      <w:r w:rsidRPr="006736D4">
        <w:rPr>
          <w:lang w:val="fr-CA"/>
        </w:rPr>
        <w:t xml:space="preserve">aux droits de la personne pendant </w:t>
      </w:r>
      <w:r>
        <w:rPr>
          <w:lang w:val="fr-CA"/>
        </w:rPr>
        <w:t xml:space="preserve">ce conflit ont entraîné l’adoption de mesures de </w:t>
      </w:r>
      <w:r w:rsidRPr="005B0CC9">
        <w:rPr>
          <w:lang w:val="fr-CA"/>
        </w:rPr>
        <w:t>protection</w:t>
      </w:r>
      <w:r>
        <w:rPr>
          <w:lang w:val="fr-CA"/>
        </w:rPr>
        <w:t xml:space="preserve"> prévues par des instruments internationaux en matière de </w:t>
      </w:r>
      <w:r w:rsidRPr="005B0CC9">
        <w:rPr>
          <w:lang w:val="fr-CA"/>
        </w:rPr>
        <w:t>droits de l</w:t>
      </w:r>
      <w:r>
        <w:rPr>
          <w:lang w:val="fr-CA"/>
        </w:rPr>
        <w:t xml:space="preserve">a personne, et de </w:t>
      </w:r>
      <w:r w:rsidRPr="005B0CC9">
        <w:rPr>
          <w:lang w:val="fr-CA"/>
        </w:rPr>
        <w:t xml:space="preserve">garanties </w:t>
      </w:r>
      <w:r>
        <w:rPr>
          <w:lang w:val="fr-CA"/>
        </w:rPr>
        <w:t xml:space="preserve">internes </w:t>
      </w:r>
      <w:r w:rsidRPr="005B0CC9">
        <w:rPr>
          <w:lang w:val="fr-CA"/>
        </w:rPr>
        <w:t xml:space="preserve">de </w:t>
      </w:r>
      <w:r>
        <w:rPr>
          <w:lang w:val="fr-CA"/>
        </w:rPr>
        <w:t xml:space="preserve">protection des </w:t>
      </w:r>
      <w:r w:rsidRPr="005B0CC9">
        <w:rPr>
          <w:lang w:val="fr-CA"/>
        </w:rPr>
        <w:t xml:space="preserve">droits </w:t>
      </w:r>
      <w:r>
        <w:rPr>
          <w:lang w:val="fr-CA"/>
        </w:rPr>
        <w:t xml:space="preserve">telle </w:t>
      </w:r>
      <w:r w:rsidRPr="005B0CC9">
        <w:rPr>
          <w:lang w:val="fr-CA"/>
        </w:rPr>
        <w:t xml:space="preserve">la </w:t>
      </w:r>
      <w:r w:rsidRPr="00643E53">
        <w:rPr>
          <w:i/>
          <w:lang w:val="fr-CA"/>
        </w:rPr>
        <w:t>Charte</w:t>
      </w:r>
      <w:r>
        <w:rPr>
          <w:lang w:val="fr-CA"/>
        </w:rPr>
        <w:t xml:space="preserve">. </w:t>
      </w:r>
    </w:p>
    <w:p w:rsidR="0083293C" w:rsidRPr="00A60977" w:rsidRDefault="0083293C" w:rsidP="008160A8">
      <w:pPr>
        <w:pStyle w:val="SCCNormalDoubleSpacing"/>
        <w:spacing w:after="480"/>
        <w:rPr>
          <w:lang w:val="fr-CA"/>
        </w:rPr>
      </w:pPr>
      <w:r w:rsidRPr="00DC2A98">
        <w:rPr>
          <w:lang w:val="fr-CA"/>
        </w:rPr>
        <w:tab/>
      </w:r>
      <w:r>
        <w:rPr>
          <w:lang w:val="fr-CA"/>
        </w:rPr>
        <w:t>Comme</w:t>
      </w:r>
      <w:r w:rsidRPr="005B0CC9">
        <w:rPr>
          <w:lang w:val="fr-CA"/>
        </w:rPr>
        <w:t xml:space="preserve"> les </w:t>
      </w:r>
      <w:r>
        <w:rPr>
          <w:lang w:val="fr-CA"/>
        </w:rPr>
        <w:t xml:space="preserve">mesures </w:t>
      </w:r>
      <w:r w:rsidRPr="005B0CC9">
        <w:rPr>
          <w:lang w:val="fr-CA"/>
        </w:rPr>
        <w:t xml:space="preserve">canadiennes </w:t>
      </w:r>
      <w:r>
        <w:rPr>
          <w:lang w:val="fr-CA"/>
        </w:rPr>
        <w:t xml:space="preserve">de </w:t>
      </w:r>
      <w:r w:rsidRPr="005B0CC9">
        <w:rPr>
          <w:lang w:val="fr-CA"/>
        </w:rPr>
        <w:t>protection des droits ont émergé de la même</w:t>
      </w:r>
      <w:r>
        <w:rPr>
          <w:lang w:val="fr-CA"/>
        </w:rPr>
        <w:t xml:space="preserve"> </w:t>
      </w:r>
      <w:r w:rsidRPr="009072E8">
        <w:rPr>
          <w:lang w:val="fr-CA"/>
        </w:rPr>
        <w:t>chrysalide d’outrances que celles adoptées par d’autres pays dans</w:t>
      </w:r>
      <w:r>
        <w:rPr>
          <w:lang w:val="fr-CA"/>
        </w:rPr>
        <w:t xml:space="preserve"> le monde</w:t>
      </w:r>
      <w:r w:rsidRPr="005B0CC9">
        <w:rPr>
          <w:lang w:val="fr-CA"/>
        </w:rPr>
        <w:t xml:space="preserve">, il </w:t>
      </w:r>
      <w:r>
        <w:rPr>
          <w:lang w:val="fr-CA"/>
        </w:rPr>
        <w:t>est utile</w:t>
      </w:r>
      <w:r w:rsidRPr="005B0CC9">
        <w:rPr>
          <w:lang w:val="fr-CA"/>
        </w:rPr>
        <w:t xml:space="preserve"> d</w:t>
      </w:r>
      <w:r>
        <w:rPr>
          <w:lang w:val="fr-CA"/>
        </w:rPr>
        <w:t>e comparer la prohibition</w:t>
      </w:r>
      <w:r w:rsidRPr="00A60977">
        <w:rPr>
          <w:lang w:val="fr-CA"/>
        </w:rPr>
        <w:t xml:space="preserve"> </w:t>
      </w:r>
      <w:r>
        <w:rPr>
          <w:lang w:val="fr-CA"/>
        </w:rPr>
        <w:t xml:space="preserve">édictée au Canada à </w:t>
      </w:r>
      <w:r w:rsidRPr="005B0CC9">
        <w:rPr>
          <w:lang w:val="fr-CA"/>
        </w:rPr>
        <w:t>l</w:t>
      </w:r>
      <w:r>
        <w:rPr>
          <w:lang w:val="fr-CA"/>
        </w:rPr>
        <w:t>’</w:t>
      </w:r>
      <w:r w:rsidRPr="005B0CC9">
        <w:rPr>
          <w:lang w:val="fr-CA"/>
        </w:rPr>
        <w:t>art</w:t>
      </w:r>
      <w:r>
        <w:rPr>
          <w:lang w:val="fr-CA"/>
        </w:rPr>
        <w:t>. </w:t>
      </w:r>
      <w:r w:rsidRPr="005B0CC9">
        <w:rPr>
          <w:lang w:val="fr-CA"/>
        </w:rPr>
        <w:t>12</w:t>
      </w:r>
      <w:r>
        <w:rPr>
          <w:lang w:val="fr-CA"/>
        </w:rPr>
        <w:t xml:space="preserve"> à l’égard des</w:t>
      </w:r>
      <w:r w:rsidRPr="005B0CC9">
        <w:rPr>
          <w:lang w:val="fr-CA"/>
        </w:rPr>
        <w:t xml:space="preserve"> traitements ou peines cruels et inusités à la manière dont les tribunaux </w:t>
      </w:r>
      <w:r>
        <w:rPr>
          <w:lang w:val="fr-CA"/>
        </w:rPr>
        <w:t>ont interprété</w:t>
      </w:r>
      <w:r w:rsidRPr="005B0CC9">
        <w:rPr>
          <w:lang w:val="fr-CA"/>
        </w:rPr>
        <w:t xml:space="preserve"> les nombreux instruments internationaux </w:t>
      </w:r>
      <w:r>
        <w:rPr>
          <w:lang w:val="fr-CA"/>
        </w:rPr>
        <w:t xml:space="preserve">contenant </w:t>
      </w:r>
      <w:r w:rsidRPr="005B0CC9">
        <w:rPr>
          <w:lang w:val="fr-CA"/>
        </w:rPr>
        <w:t>des dispositions</w:t>
      </w:r>
      <w:r>
        <w:rPr>
          <w:lang w:val="fr-CA"/>
        </w:rPr>
        <w:t xml:space="preserve"> similaires. </w:t>
      </w:r>
      <w:r w:rsidRPr="00A60977">
        <w:rPr>
          <w:lang w:val="fr-CA"/>
        </w:rPr>
        <w:t xml:space="preserve">La Cour </w:t>
      </w:r>
      <w:r w:rsidRPr="00A60977">
        <w:rPr>
          <w:lang w:val="fr-CA"/>
        </w:rPr>
        <w:lastRenderedPageBreak/>
        <w:t xml:space="preserve">s’est </w:t>
      </w:r>
      <w:r>
        <w:rPr>
          <w:lang w:val="fr-CA"/>
        </w:rPr>
        <w:t xml:space="preserve">fréquemment </w:t>
      </w:r>
      <w:r w:rsidRPr="00A60977">
        <w:rPr>
          <w:lang w:val="fr-CA"/>
        </w:rPr>
        <w:t xml:space="preserve">appuyée sur des sources de droit international et de droit comparé </w:t>
      </w:r>
      <w:r>
        <w:rPr>
          <w:lang w:val="fr-CA"/>
        </w:rPr>
        <w:t>pour l’</w:t>
      </w:r>
      <w:r w:rsidRPr="005B0CC9">
        <w:rPr>
          <w:lang w:val="fr-CA"/>
        </w:rPr>
        <w:t>aider à</w:t>
      </w:r>
      <w:r>
        <w:rPr>
          <w:lang w:val="fr-CA"/>
        </w:rPr>
        <w:t xml:space="preserve"> délimiter </w:t>
      </w:r>
      <w:r w:rsidRPr="005B0CC9">
        <w:rPr>
          <w:lang w:val="fr-CA"/>
        </w:rPr>
        <w:t>la portée et</w:t>
      </w:r>
      <w:r>
        <w:rPr>
          <w:lang w:val="fr-CA"/>
        </w:rPr>
        <w:t xml:space="preserve"> le </w:t>
      </w:r>
      <w:r w:rsidRPr="005B0CC9">
        <w:rPr>
          <w:lang w:val="fr-CA"/>
        </w:rPr>
        <w:t xml:space="preserve">contenu de droits garantis par la </w:t>
      </w:r>
      <w:r w:rsidRPr="005B0CC9">
        <w:rPr>
          <w:i/>
          <w:lang w:val="fr-CA"/>
        </w:rPr>
        <w:t>Charte</w:t>
      </w:r>
      <w:r>
        <w:rPr>
          <w:lang w:val="fr-CA"/>
        </w:rPr>
        <w:t xml:space="preserve">; c’est </w:t>
      </w:r>
      <w:r w:rsidRPr="006736D4">
        <w:rPr>
          <w:lang w:val="fr-CA"/>
        </w:rPr>
        <w:t>une pratique courante et acceptée</w:t>
      </w:r>
      <w:r w:rsidRPr="00542934">
        <w:rPr>
          <w:lang w:val="fr-CA"/>
        </w:rPr>
        <w:t xml:space="preserve">. </w:t>
      </w:r>
      <w:r>
        <w:rPr>
          <w:lang w:val="fr-CA"/>
        </w:rPr>
        <w:t>T</w:t>
      </w:r>
      <w:r w:rsidRPr="005B0CC9">
        <w:rPr>
          <w:lang w:val="fr-CA"/>
        </w:rPr>
        <w:t xml:space="preserve">ant les sources </w:t>
      </w:r>
      <w:r>
        <w:rPr>
          <w:lang w:val="fr-CA"/>
        </w:rPr>
        <w:t>contraignantes</w:t>
      </w:r>
      <w:r w:rsidRPr="005B0CC9">
        <w:rPr>
          <w:lang w:val="fr-CA"/>
        </w:rPr>
        <w:t xml:space="preserve"> que celles qui </w:t>
      </w:r>
      <w:r>
        <w:rPr>
          <w:lang w:val="fr-CA"/>
        </w:rPr>
        <w:t>ne le sont</w:t>
      </w:r>
      <w:r w:rsidRPr="005B0CC9">
        <w:rPr>
          <w:lang w:val="fr-CA"/>
        </w:rPr>
        <w:t xml:space="preserve"> pas se sont révélées </w:t>
      </w:r>
      <w:r w:rsidRPr="006736D4">
        <w:rPr>
          <w:lang w:val="fr-CA"/>
        </w:rPr>
        <w:t>être indispensables dans pratiquement tous les domaines du droit</w:t>
      </w:r>
      <w:r>
        <w:rPr>
          <w:lang w:val="fr-CA"/>
        </w:rPr>
        <w:t xml:space="preserve">. La </w:t>
      </w:r>
      <w:r w:rsidRPr="005B0CC9">
        <w:rPr>
          <w:lang w:val="fr-CA"/>
        </w:rPr>
        <w:t>Cour n</w:t>
      </w:r>
      <w:r>
        <w:rPr>
          <w:lang w:val="fr-CA"/>
        </w:rPr>
        <w:t>’</w:t>
      </w:r>
      <w:r w:rsidRPr="005B0CC9">
        <w:rPr>
          <w:lang w:val="fr-CA"/>
        </w:rPr>
        <w:t xml:space="preserve">a jamais exigé que ces sources soient </w:t>
      </w:r>
      <w:r>
        <w:rPr>
          <w:lang w:val="fr-CA"/>
        </w:rPr>
        <w:t>triées en fonction de leur poids respectif</w:t>
      </w:r>
      <w:r w:rsidRPr="005B0CC9">
        <w:rPr>
          <w:lang w:val="fr-CA"/>
        </w:rPr>
        <w:t xml:space="preserve">; </w:t>
      </w:r>
      <w:r>
        <w:rPr>
          <w:lang w:val="fr-CA"/>
        </w:rPr>
        <w:t>elle</w:t>
      </w:r>
      <w:r w:rsidRPr="005B0CC9">
        <w:rPr>
          <w:lang w:val="fr-CA"/>
        </w:rPr>
        <w:t xml:space="preserve"> n</w:t>
      </w:r>
      <w:r>
        <w:rPr>
          <w:lang w:val="fr-CA"/>
        </w:rPr>
        <w:t>’</w:t>
      </w:r>
      <w:r w:rsidRPr="005B0CC9">
        <w:rPr>
          <w:lang w:val="fr-CA"/>
        </w:rPr>
        <w:t>a jamais non plus appliqué le type d</w:t>
      </w:r>
      <w:r>
        <w:rPr>
          <w:lang w:val="fr-CA"/>
        </w:rPr>
        <w:t xml:space="preserve">e hiérarchisation du caractère persuasif qui </w:t>
      </w:r>
      <w:r w:rsidRPr="005B0CC9">
        <w:rPr>
          <w:lang w:val="fr-CA"/>
        </w:rPr>
        <w:t>segment</w:t>
      </w:r>
      <w:r>
        <w:rPr>
          <w:lang w:val="fr-CA"/>
        </w:rPr>
        <w:t>e</w:t>
      </w:r>
      <w:r w:rsidRPr="005B0CC9">
        <w:rPr>
          <w:lang w:val="fr-CA"/>
        </w:rPr>
        <w:t xml:space="preserve"> les sources de droit international et </w:t>
      </w:r>
      <w:r>
        <w:rPr>
          <w:lang w:val="fr-CA"/>
        </w:rPr>
        <w:t xml:space="preserve">de droit </w:t>
      </w:r>
      <w:r w:rsidRPr="005B0CC9">
        <w:rPr>
          <w:lang w:val="fr-CA"/>
        </w:rPr>
        <w:t xml:space="preserve">comparé </w:t>
      </w:r>
      <w:r>
        <w:rPr>
          <w:lang w:val="fr-CA"/>
        </w:rPr>
        <w:t>non contraignantes</w:t>
      </w:r>
      <w:r w:rsidRPr="005B0CC9">
        <w:rPr>
          <w:lang w:val="fr-CA"/>
        </w:rPr>
        <w:t xml:space="preserve"> en catégories </w:t>
      </w:r>
      <w:r>
        <w:rPr>
          <w:lang w:val="fr-CA"/>
        </w:rPr>
        <w:t xml:space="preserve">se voyant </w:t>
      </w:r>
      <w:r w:rsidRPr="005B0CC9">
        <w:rPr>
          <w:lang w:val="fr-CA"/>
        </w:rPr>
        <w:t xml:space="preserve">accorder plus ou moins </w:t>
      </w:r>
      <w:r>
        <w:rPr>
          <w:lang w:val="fr-CA"/>
        </w:rPr>
        <w:t>d’influence</w:t>
      </w:r>
      <w:r w:rsidRPr="005C4B6B">
        <w:rPr>
          <w:lang w:val="fr-CA"/>
        </w:rPr>
        <w:t xml:space="preserve">. </w:t>
      </w:r>
      <w:r>
        <w:rPr>
          <w:lang w:val="fr-CA"/>
        </w:rPr>
        <w:t xml:space="preserve">La prise en compte des lois et de la jurisprudence </w:t>
      </w:r>
      <w:r w:rsidRPr="00854A0A">
        <w:rPr>
          <w:lang w:val="fr-CA"/>
        </w:rPr>
        <w:t xml:space="preserve">appliquées </w:t>
      </w:r>
      <w:r>
        <w:rPr>
          <w:lang w:val="fr-CA"/>
        </w:rPr>
        <w:t xml:space="preserve">à </w:t>
      </w:r>
      <w:r w:rsidRPr="00854A0A">
        <w:rPr>
          <w:lang w:val="fr-CA"/>
        </w:rPr>
        <w:t>des questions connexes par d’autres pays et institutions</w:t>
      </w:r>
      <w:r>
        <w:rPr>
          <w:lang w:val="fr-CA"/>
        </w:rPr>
        <w:t xml:space="preserve">, et de la façon dont elles le sont, constitue non seulement un aspect d’une conversation juridique constante à l’échelle mondiale, mais aussi du </w:t>
      </w:r>
      <w:r w:rsidRPr="009072E8">
        <w:rPr>
          <w:lang w:val="fr-CA"/>
        </w:rPr>
        <w:t>vaste contenu épistémologique qu’invoquent couramment les cours constitutionnel</w:t>
      </w:r>
      <w:r>
        <w:rPr>
          <w:lang w:val="fr-CA"/>
        </w:rPr>
        <w:t xml:space="preserve">les. Restreindre notre approche </w:t>
      </w:r>
      <w:r w:rsidRPr="005B0CC9">
        <w:rPr>
          <w:lang w:val="fr-CA"/>
        </w:rPr>
        <w:t xml:space="preserve">en </w:t>
      </w:r>
      <w:r>
        <w:rPr>
          <w:lang w:val="fr-CA"/>
        </w:rPr>
        <w:t>érigeant</w:t>
      </w:r>
      <w:r w:rsidRPr="005B0CC9">
        <w:rPr>
          <w:lang w:val="fr-CA"/>
        </w:rPr>
        <w:t xml:space="preserve"> des obstacles inutiles </w:t>
      </w:r>
      <w:r>
        <w:rPr>
          <w:lang w:val="fr-CA"/>
        </w:rPr>
        <w:t xml:space="preserve">au recours à des </w:t>
      </w:r>
      <w:r w:rsidRPr="005B0CC9">
        <w:rPr>
          <w:lang w:val="fr-CA"/>
        </w:rPr>
        <w:t xml:space="preserve">sources de droit international et </w:t>
      </w:r>
      <w:r>
        <w:rPr>
          <w:lang w:val="fr-CA"/>
        </w:rPr>
        <w:t xml:space="preserve">de droit </w:t>
      </w:r>
      <w:r w:rsidRPr="005B0CC9">
        <w:rPr>
          <w:lang w:val="fr-CA"/>
        </w:rPr>
        <w:t>comparé</w:t>
      </w:r>
      <w:r w:rsidRPr="003B158A">
        <w:rPr>
          <w:lang w:val="fr-CA"/>
        </w:rPr>
        <w:t xml:space="preserve"> </w:t>
      </w:r>
      <w:r>
        <w:rPr>
          <w:lang w:val="fr-CA"/>
        </w:rPr>
        <w:t>est un recul inquiétant</w:t>
      </w:r>
      <w:r w:rsidRPr="003B158A">
        <w:rPr>
          <w:lang w:val="fr-CA"/>
        </w:rPr>
        <w:t>.</w:t>
      </w:r>
    </w:p>
    <w:p w:rsidR="0083293C" w:rsidRPr="006E5A11" w:rsidRDefault="0083293C" w:rsidP="008160A8">
      <w:pPr>
        <w:pStyle w:val="SCCNormalDoubleSpacing"/>
        <w:spacing w:after="480"/>
        <w:rPr>
          <w:lang w:val="fr-CA"/>
        </w:rPr>
      </w:pPr>
      <w:r w:rsidRPr="003B158A">
        <w:rPr>
          <w:lang w:val="fr-CA"/>
        </w:rPr>
        <w:tab/>
      </w:r>
      <w:r>
        <w:rPr>
          <w:lang w:val="fr-CA"/>
        </w:rPr>
        <w:t xml:space="preserve">Bien que le libellé des équivalents </w:t>
      </w:r>
      <w:r w:rsidRPr="005B0CC9">
        <w:rPr>
          <w:lang w:val="fr-CA"/>
        </w:rPr>
        <w:t>internationaux de l</w:t>
      </w:r>
      <w:r>
        <w:rPr>
          <w:lang w:val="fr-CA"/>
        </w:rPr>
        <w:t>’art. 12 varie</w:t>
      </w:r>
      <w:r w:rsidRPr="005B0CC9">
        <w:rPr>
          <w:lang w:val="fr-CA"/>
        </w:rPr>
        <w:t xml:space="preserve">, un sens commun </w:t>
      </w:r>
      <w:r>
        <w:rPr>
          <w:lang w:val="fr-CA"/>
        </w:rPr>
        <w:t xml:space="preserve">peut être donné </w:t>
      </w:r>
      <w:r w:rsidRPr="005B0CC9">
        <w:rPr>
          <w:lang w:val="fr-CA"/>
        </w:rPr>
        <w:t>à leurs diverses formulations</w:t>
      </w:r>
      <w:r>
        <w:rPr>
          <w:lang w:val="fr-CA"/>
        </w:rPr>
        <w:t>, car</w:t>
      </w:r>
      <w:r w:rsidRPr="00726B22">
        <w:rPr>
          <w:lang w:val="fr-CA"/>
        </w:rPr>
        <w:t xml:space="preserve"> </w:t>
      </w:r>
      <w:r>
        <w:rPr>
          <w:lang w:val="fr-CA"/>
        </w:rPr>
        <w:t xml:space="preserve">l’expression </w:t>
      </w:r>
      <w:r w:rsidRPr="005B0CC9">
        <w:rPr>
          <w:lang w:val="fr-CA"/>
        </w:rPr>
        <w:t xml:space="preserve">« cruels et inusités » </w:t>
      </w:r>
      <w:r>
        <w:rPr>
          <w:lang w:val="fr-CA"/>
        </w:rPr>
        <w:t xml:space="preserve">est </w:t>
      </w:r>
      <w:r w:rsidRPr="005B0CC9">
        <w:rPr>
          <w:lang w:val="fr-CA"/>
        </w:rPr>
        <w:t>la</w:t>
      </w:r>
      <w:r>
        <w:rPr>
          <w:lang w:val="fr-CA"/>
        </w:rPr>
        <w:t xml:space="preserve"> </w:t>
      </w:r>
      <w:r w:rsidRPr="005B0CC9">
        <w:rPr>
          <w:lang w:val="fr-CA"/>
        </w:rPr>
        <w:t>formulation concise d</w:t>
      </w:r>
      <w:r>
        <w:rPr>
          <w:lang w:val="fr-CA"/>
        </w:rPr>
        <w:t>’une norme</w:t>
      </w:r>
      <w:r w:rsidRPr="00726B22">
        <w:rPr>
          <w:lang w:val="fr-CA"/>
        </w:rPr>
        <w:t xml:space="preserve">. </w:t>
      </w:r>
      <w:r w:rsidRPr="005B0CC9">
        <w:rPr>
          <w:lang w:val="fr-CA"/>
        </w:rPr>
        <w:t>Le critère appliqué pour déterminer si une peine est cruelle et inusitée</w:t>
      </w:r>
      <w:r w:rsidRPr="005B0CC9">
        <w:rPr>
          <w:i/>
          <w:iCs/>
          <w:lang w:val="fr-CA"/>
        </w:rPr>
        <w:t> </w:t>
      </w:r>
      <w:r>
        <w:rPr>
          <w:lang w:val="fr-CA"/>
        </w:rPr>
        <w:t>consiste</w:t>
      </w:r>
      <w:r w:rsidRPr="005B0CC9">
        <w:rPr>
          <w:lang w:val="fr-CA"/>
        </w:rPr>
        <w:t xml:space="preserve"> à se </w:t>
      </w:r>
      <w:r>
        <w:rPr>
          <w:lang w:val="fr-CA"/>
        </w:rPr>
        <w:t xml:space="preserve">demander </w:t>
      </w:r>
      <w:r w:rsidRPr="005B0CC9">
        <w:rPr>
          <w:lang w:val="fr-CA"/>
        </w:rPr>
        <w:t xml:space="preserve">si la peine </w:t>
      </w:r>
      <w:r>
        <w:rPr>
          <w:lang w:val="fr-CA"/>
        </w:rPr>
        <w:t>infligée</w:t>
      </w:r>
      <w:r w:rsidRPr="005B0CC9">
        <w:rPr>
          <w:lang w:val="fr-CA"/>
        </w:rPr>
        <w:t xml:space="preserve"> est excessive au point de ne pas être comp</w:t>
      </w:r>
      <w:r>
        <w:rPr>
          <w:lang w:val="fr-CA"/>
        </w:rPr>
        <w:t xml:space="preserve">atible avec la dignité humaine. </w:t>
      </w:r>
      <w:r w:rsidRPr="006E5A11">
        <w:rPr>
          <w:lang w:val="fr-CA"/>
        </w:rPr>
        <w:t>Toutes les sources internationales pertinentes mènent à l’inférence irréfutable que</w:t>
      </w:r>
      <w:r>
        <w:rPr>
          <w:lang w:val="fr-CA"/>
        </w:rPr>
        <w:t xml:space="preserve"> </w:t>
      </w:r>
      <w:r w:rsidRPr="006E5A11">
        <w:rPr>
          <w:lang w:val="fr-CA"/>
        </w:rPr>
        <w:t xml:space="preserve">le droit </w:t>
      </w:r>
      <w:r>
        <w:rPr>
          <w:lang w:val="fr-CA"/>
        </w:rPr>
        <w:t xml:space="preserve">à la protection contre les peines </w:t>
      </w:r>
      <w:r w:rsidRPr="006E5A11">
        <w:rPr>
          <w:lang w:val="fr-CA"/>
        </w:rPr>
        <w:t>cruel</w:t>
      </w:r>
      <w:r>
        <w:rPr>
          <w:lang w:val="fr-CA"/>
        </w:rPr>
        <w:t>le</w:t>
      </w:r>
      <w:r w:rsidRPr="006E5A11">
        <w:rPr>
          <w:lang w:val="fr-CA"/>
        </w:rPr>
        <w:t>s et inusité</w:t>
      </w:r>
      <w:r>
        <w:rPr>
          <w:lang w:val="fr-CA"/>
        </w:rPr>
        <w:t>e</w:t>
      </w:r>
      <w:r w:rsidRPr="006E5A11">
        <w:rPr>
          <w:lang w:val="fr-CA"/>
        </w:rPr>
        <w:t xml:space="preserve">s </w:t>
      </w:r>
      <w:r w:rsidRPr="005B0CC9">
        <w:rPr>
          <w:lang w:val="fr-CA"/>
        </w:rPr>
        <w:t xml:space="preserve">vise à protéger la dignité humaine </w:t>
      </w:r>
      <w:r>
        <w:rPr>
          <w:lang w:val="fr-CA"/>
        </w:rPr>
        <w:t xml:space="preserve">en prohibant l’infliction de peines ou traitements </w:t>
      </w:r>
      <w:r w:rsidRPr="005B0CC9">
        <w:rPr>
          <w:lang w:val="fr-CA"/>
        </w:rPr>
        <w:t xml:space="preserve">dégradants, inhumains ou déshumanisants qui </w:t>
      </w:r>
      <w:r>
        <w:rPr>
          <w:lang w:val="fr-CA"/>
        </w:rPr>
        <w:lastRenderedPageBreak/>
        <w:t xml:space="preserve">causent </w:t>
      </w:r>
      <w:r w:rsidRPr="005B0CC9">
        <w:rPr>
          <w:lang w:val="fr-CA"/>
        </w:rPr>
        <w:t>des douleurs et des souffrances physiques ou morales.</w:t>
      </w:r>
      <w:r>
        <w:rPr>
          <w:lang w:val="fr-CA"/>
        </w:rPr>
        <w:t xml:space="preserve"> </w:t>
      </w:r>
      <w:r w:rsidRPr="005B0CC9">
        <w:rPr>
          <w:lang w:val="fr-CA"/>
        </w:rPr>
        <w:t>Aucune d</w:t>
      </w:r>
      <w:r>
        <w:rPr>
          <w:lang w:val="fr-CA"/>
        </w:rPr>
        <w:t>e ces sources</w:t>
      </w:r>
      <w:r w:rsidRPr="005B0CC9">
        <w:rPr>
          <w:lang w:val="fr-CA"/>
        </w:rPr>
        <w:t xml:space="preserve"> </w:t>
      </w:r>
      <w:r>
        <w:rPr>
          <w:lang w:val="fr-CA"/>
        </w:rPr>
        <w:t xml:space="preserve">ne prévoit </w:t>
      </w:r>
      <w:r w:rsidRPr="005B0CC9">
        <w:rPr>
          <w:lang w:val="fr-CA"/>
        </w:rPr>
        <w:t xml:space="preserve">de protection </w:t>
      </w:r>
      <w:r>
        <w:rPr>
          <w:lang w:val="fr-CA"/>
        </w:rPr>
        <w:t>en faveur des</w:t>
      </w:r>
      <w:r w:rsidRPr="005B0CC9">
        <w:rPr>
          <w:lang w:val="fr-CA"/>
        </w:rPr>
        <w:t xml:space="preserve"> personnes morales</w:t>
      </w:r>
      <w:r>
        <w:rPr>
          <w:lang w:val="fr-CA"/>
        </w:rPr>
        <w:t>.</w:t>
      </w:r>
      <w:r w:rsidRPr="006E5A11">
        <w:rPr>
          <w:lang w:val="fr-CA"/>
        </w:rPr>
        <w:t xml:space="preserve"> </w:t>
      </w:r>
      <w:r>
        <w:rPr>
          <w:lang w:val="fr-CA"/>
        </w:rPr>
        <w:t>Quoiqu’un tel</w:t>
      </w:r>
      <w:r w:rsidRPr="005B0CC9">
        <w:rPr>
          <w:lang w:val="fr-CA"/>
        </w:rPr>
        <w:t xml:space="preserve"> consensus international </w:t>
      </w:r>
      <w:r>
        <w:rPr>
          <w:lang w:val="fr-CA"/>
        </w:rPr>
        <w:t>ne soit pas</w:t>
      </w:r>
      <w:r w:rsidRPr="005B0CC9">
        <w:rPr>
          <w:lang w:val="fr-CA"/>
        </w:rPr>
        <w:t xml:space="preserve"> déterminant</w:t>
      </w:r>
      <w:r>
        <w:rPr>
          <w:lang w:val="fr-CA"/>
        </w:rPr>
        <w:t xml:space="preserve"> quant au résultat, </w:t>
      </w:r>
      <w:r w:rsidRPr="005B0CC9">
        <w:rPr>
          <w:lang w:val="fr-CA"/>
        </w:rPr>
        <w:t xml:space="preserve">il </w:t>
      </w:r>
      <w:r>
        <w:rPr>
          <w:lang w:val="fr-CA"/>
        </w:rPr>
        <w:t xml:space="preserve">apporte néanmoins </w:t>
      </w:r>
      <w:r w:rsidRPr="005B0CC9">
        <w:rPr>
          <w:lang w:val="fr-CA"/>
        </w:rPr>
        <w:t xml:space="preserve">un appui </w:t>
      </w:r>
      <w:r>
        <w:rPr>
          <w:lang w:val="fr-CA"/>
        </w:rPr>
        <w:t>convaincant et pertinent</w:t>
      </w:r>
      <w:r w:rsidRPr="005B0CC9">
        <w:rPr>
          <w:lang w:val="fr-CA"/>
        </w:rPr>
        <w:t xml:space="preserve"> </w:t>
      </w:r>
      <w:r>
        <w:rPr>
          <w:lang w:val="fr-CA"/>
        </w:rPr>
        <w:t>sur le plan de l’</w:t>
      </w:r>
      <w:r w:rsidRPr="005B0CC9">
        <w:rPr>
          <w:lang w:val="fr-CA"/>
        </w:rPr>
        <w:t>interprétation.</w:t>
      </w:r>
      <w:r w:rsidRPr="006E5A11">
        <w:rPr>
          <w:lang w:val="fr-CA"/>
        </w:rPr>
        <w:t xml:space="preserve"> </w:t>
      </w:r>
      <w:r>
        <w:rPr>
          <w:lang w:val="fr-CA"/>
        </w:rPr>
        <w:t>L’examen du droit interne étranger, bien qu’il ne soit pas déterminant, appuie aussi</w:t>
      </w:r>
      <w:r w:rsidRPr="005B0CC9">
        <w:rPr>
          <w:lang w:val="fr-CA"/>
        </w:rPr>
        <w:t xml:space="preserve"> une interprétation de l</w:t>
      </w:r>
      <w:r>
        <w:rPr>
          <w:lang w:val="fr-CA"/>
        </w:rPr>
        <w:t>’</w:t>
      </w:r>
      <w:r w:rsidRPr="005B0CC9">
        <w:rPr>
          <w:lang w:val="fr-CA"/>
        </w:rPr>
        <w:t>art.</w:t>
      </w:r>
      <w:r>
        <w:rPr>
          <w:lang w:val="fr-CA"/>
        </w:rPr>
        <w:t> </w:t>
      </w:r>
      <w:r w:rsidRPr="005B0CC9">
        <w:rPr>
          <w:lang w:val="fr-CA"/>
        </w:rPr>
        <w:t xml:space="preserve">12 de la </w:t>
      </w:r>
      <w:r w:rsidRPr="005B0CC9">
        <w:rPr>
          <w:i/>
          <w:lang w:val="fr-CA"/>
        </w:rPr>
        <w:t>Charte</w:t>
      </w:r>
      <w:r w:rsidRPr="005B0CC9">
        <w:rPr>
          <w:lang w:val="fr-CA"/>
        </w:rPr>
        <w:t xml:space="preserve"> qui </w:t>
      </w:r>
      <w:r>
        <w:rPr>
          <w:lang w:val="fr-CA"/>
        </w:rPr>
        <w:t>a pour effet d’exclure</w:t>
      </w:r>
      <w:r w:rsidRPr="005B0CC9">
        <w:rPr>
          <w:lang w:val="fr-CA"/>
        </w:rPr>
        <w:t xml:space="preserve"> l</w:t>
      </w:r>
      <w:r>
        <w:rPr>
          <w:lang w:val="fr-CA"/>
        </w:rPr>
        <w:t>’existence d’une protection</w:t>
      </w:r>
      <w:r w:rsidRPr="005B0CC9">
        <w:rPr>
          <w:lang w:val="fr-CA"/>
        </w:rPr>
        <w:t xml:space="preserve"> </w:t>
      </w:r>
      <w:r>
        <w:rPr>
          <w:lang w:val="fr-CA"/>
        </w:rPr>
        <w:t>en faveur des</w:t>
      </w:r>
      <w:r w:rsidRPr="005B0CC9">
        <w:rPr>
          <w:lang w:val="fr-CA"/>
        </w:rPr>
        <w:t xml:space="preserve"> personnes morales.</w:t>
      </w:r>
      <w:r>
        <w:rPr>
          <w:lang w:val="fr-CA"/>
        </w:rPr>
        <w:t xml:space="preserve"> </w:t>
      </w:r>
      <w:r w:rsidRPr="005B0CC9">
        <w:rPr>
          <w:lang w:val="fr-CA"/>
        </w:rPr>
        <w:t xml:space="preserve">Sur le plan international, il </w:t>
      </w:r>
      <w:r>
        <w:rPr>
          <w:lang w:val="fr-CA"/>
        </w:rPr>
        <w:t xml:space="preserve">est largement </w:t>
      </w:r>
      <w:r w:rsidRPr="005B0CC9">
        <w:rPr>
          <w:lang w:val="fr-CA"/>
        </w:rPr>
        <w:t xml:space="preserve">reconnu que le droit à la protection contre les peines cruelles et inusitées vise à protéger la dignité humaine </w:t>
      </w:r>
      <w:r>
        <w:rPr>
          <w:lang w:val="fr-CA"/>
        </w:rPr>
        <w:t xml:space="preserve">en prohibant l’infliction de peines ou traitements </w:t>
      </w:r>
      <w:r w:rsidRPr="005B0CC9">
        <w:rPr>
          <w:lang w:val="fr-CA"/>
        </w:rPr>
        <w:t xml:space="preserve">dégradants, inhumains ou déshumanisants qui </w:t>
      </w:r>
      <w:r>
        <w:rPr>
          <w:lang w:val="fr-CA"/>
        </w:rPr>
        <w:t xml:space="preserve">causent </w:t>
      </w:r>
      <w:r w:rsidRPr="005B0CC9">
        <w:rPr>
          <w:lang w:val="fr-CA"/>
        </w:rPr>
        <w:t>des douleurs et des souffrances physiques ou morales</w:t>
      </w:r>
      <w:r w:rsidRPr="006E5A11">
        <w:rPr>
          <w:lang w:val="fr-CA"/>
        </w:rPr>
        <w:t xml:space="preserve">. </w:t>
      </w:r>
    </w:p>
    <w:p w:rsidR="0083293C" w:rsidRPr="003B3281" w:rsidRDefault="0083293C" w:rsidP="008160A8">
      <w:pPr>
        <w:pStyle w:val="SCCNormalDoubleSpacing"/>
        <w:spacing w:after="480"/>
        <w:rPr>
          <w:lang w:val="fr-CA"/>
        </w:rPr>
      </w:pPr>
      <w:r w:rsidRPr="006E5A11">
        <w:rPr>
          <w:lang w:val="fr-CA"/>
        </w:rPr>
        <w:tab/>
      </w:r>
      <w:r>
        <w:rPr>
          <w:lang w:val="fr-CA"/>
        </w:rPr>
        <w:t xml:space="preserve">Si l’on examine le sens et l’objet </w:t>
      </w:r>
      <w:r w:rsidRPr="005B0CC9">
        <w:rPr>
          <w:lang w:val="fr-CA"/>
        </w:rPr>
        <w:t>des autres libertés et droits particuliers</w:t>
      </w:r>
      <w:r>
        <w:rPr>
          <w:lang w:val="fr-CA"/>
        </w:rPr>
        <w:t xml:space="preserve"> auxquels </w:t>
      </w:r>
      <w:r w:rsidRPr="005B0CC9">
        <w:rPr>
          <w:lang w:val="fr-CA"/>
        </w:rPr>
        <w:t>s</w:t>
      </w:r>
      <w:r>
        <w:rPr>
          <w:lang w:val="fr-CA"/>
        </w:rPr>
        <w:t>e</w:t>
      </w:r>
      <w:r w:rsidRPr="005B0CC9">
        <w:rPr>
          <w:lang w:val="fr-CA"/>
        </w:rPr>
        <w:t xml:space="preserve"> rattachent</w:t>
      </w:r>
      <w:r>
        <w:rPr>
          <w:lang w:val="fr-CA"/>
        </w:rPr>
        <w:t xml:space="preserve"> l’art. 12,</w:t>
      </w:r>
      <w:r w:rsidRPr="005B0CC9">
        <w:rPr>
          <w:lang w:val="fr-CA"/>
        </w:rPr>
        <w:t xml:space="preserve"> </w:t>
      </w:r>
      <w:r>
        <w:rPr>
          <w:lang w:val="fr-CA"/>
        </w:rPr>
        <w:t>les art. </w:t>
      </w:r>
      <w:r w:rsidRPr="005B0CC9">
        <w:rPr>
          <w:lang w:val="fr-CA"/>
        </w:rPr>
        <w:t>7 à 14</w:t>
      </w:r>
      <w:r>
        <w:rPr>
          <w:lang w:val="fr-CA"/>
        </w:rPr>
        <w:t xml:space="preserve"> de la </w:t>
      </w:r>
      <w:r w:rsidRPr="005A74AA">
        <w:rPr>
          <w:i/>
          <w:lang w:val="fr-CA"/>
        </w:rPr>
        <w:t>Charte</w:t>
      </w:r>
      <w:r>
        <w:rPr>
          <w:lang w:val="fr-CA"/>
        </w:rPr>
        <w:t xml:space="preserve"> sont regroupés </w:t>
      </w:r>
      <w:r w:rsidRPr="005B0CC9">
        <w:rPr>
          <w:lang w:val="fr-CA"/>
        </w:rPr>
        <w:t xml:space="preserve">sous </w:t>
      </w:r>
      <w:r>
        <w:rPr>
          <w:lang w:val="fr-CA"/>
        </w:rPr>
        <w:t>l’intertitre</w:t>
      </w:r>
      <w:r w:rsidRPr="005B0CC9">
        <w:rPr>
          <w:lang w:val="fr-CA"/>
        </w:rPr>
        <w:t xml:space="preserve"> « Garanties juridiques »</w:t>
      </w:r>
      <w:r>
        <w:rPr>
          <w:lang w:val="fr-CA"/>
        </w:rPr>
        <w:t xml:space="preserve">. De façon générale, </w:t>
      </w:r>
      <w:r w:rsidRPr="00AA4AFE">
        <w:rPr>
          <w:lang w:val="fr-CA"/>
        </w:rPr>
        <w:t xml:space="preserve">ces garanties juridiques ont </w:t>
      </w:r>
      <w:r>
        <w:rPr>
          <w:lang w:val="fr-CA"/>
        </w:rPr>
        <w:t xml:space="preserve">pour objectifs </w:t>
      </w:r>
      <w:r w:rsidRPr="00AA4AFE">
        <w:rPr>
          <w:lang w:val="fr-CA"/>
        </w:rPr>
        <w:t>de pr</w:t>
      </w:r>
      <w:r>
        <w:rPr>
          <w:lang w:val="fr-CA"/>
        </w:rPr>
        <w:t xml:space="preserve">otéger </w:t>
      </w:r>
      <w:r w:rsidRPr="00AA4AFE">
        <w:rPr>
          <w:lang w:val="fr-CA"/>
        </w:rPr>
        <w:t>les droits des personnes détenues</w:t>
      </w:r>
      <w:r>
        <w:rPr>
          <w:lang w:val="fr-CA"/>
        </w:rPr>
        <w:t xml:space="preserve">, </w:t>
      </w:r>
      <w:r w:rsidRPr="00AA4AFE">
        <w:rPr>
          <w:lang w:val="fr-CA"/>
        </w:rPr>
        <w:t>en faisant en sorte qu’elle</w:t>
      </w:r>
      <w:r>
        <w:rPr>
          <w:lang w:val="fr-CA"/>
        </w:rPr>
        <w:t>s</w:t>
      </w:r>
      <w:r w:rsidRPr="00AA4AFE">
        <w:rPr>
          <w:lang w:val="fr-CA"/>
        </w:rPr>
        <w:t xml:space="preserve"> </w:t>
      </w:r>
      <w:r w:rsidRPr="005B0CC9">
        <w:rPr>
          <w:lang w:val="fr-CA"/>
        </w:rPr>
        <w:t>soient traitées équitablement et avec humanit</w:t>
      </w:r>
      <w:r w:rsidRPr="003558EA">
        <w:rPr>
          <w:lang w:val="fr-CA"/>
        </w:rPr>
        <w:t>é, et de préserver l’intégrité du système de justice et la considération dont il jouit. Fait important, il a été jugé que les personnes morales ne sont pas visées tant à l’art. 7 qu’à l</w:t>
      </w:r>
      <w:r>
        <w:rPr>
          <w:lang w:val="fr-CA"/>
        </w:rPr>
        <w:t>’al. </w:t>
      </w:r>
      <w:r w:rsidRPr="005B0CC9">
        <w:rPr>
          <w:lang w:val="fr-CA"/>
        </w:rPr>
        <w:t>11</w:t>
      </w:r>
      <w:r w:rsidRPr="008458D0">
        <w:rPr>
          <w:i/>
          <w:lang w:val="fr-CA"/>
        </w:rPr>
        <w:t>c</w:t>
      </w:r>
      <w:r w:rsidRPr="005B0CC9">
        <w:rPr>
          <w:lang w:val="fr-CA"/>
        </w:rPr>
        <w:t>).</w:t>
      </w:r>
      <w:r w:rsidR="008160A8">
        <w:rPr>
          <w:lang w:val="fr-CA"/>
        </w:rPr>
        <w:t xml:space="preserve"> </w:t>
      </w:r>
    </w:p>
    <w:p w:rsidR="0083293C" w:rsidRPr="00DC2A98" w:rsidRDefault="0083293C" w:rsidP="008160A8">
      <w:pPr>
        <w:pStyle w:val="SCCNormalDoubleSpacing"/>
        <w:spacing w:after="480"/>
        <w:rPr>
          <w:lang w:val="fr-CA"/>
        </w:rPr>
      </w:pPr>
      <w:r w:rsidRPr="003B3281">
        <w:rPr>
          <w:lang w:val="fr-CA"/>
        </w:rPr>
        <w:tab/>
      </w:r>
      <w:r>
        <w:rPr>
          <w:lang w:val="fr-CA"/>
        </w:rPr>
        <w:t>L’ar</w:t>
      </w:r>
      <w:r w:rsidRPr="005B0CC9">
        <w:rPr>
          <w:lang w:val="fr-CA"/>
        </w:rPr>
        <w:t>t</w:t>
      </w:r>
      <w:r>
        <w:rPr>
          <w:lang w:val="fr-CA"/>
        </w:rPr>
        <w:t xml:space="preserve">icle </w:t>
      </w:r>
      <w:r w:rsidRPr="005B0CC9">
        <w:rPr>
          <w:lang w:val="fr-CA"/>
        </w:rPr>
        <w:t xml:space="preserve">12 </w:t>
      </w:r>
      <w:r>
        <w:rPr>
          <w:lang w:val="fr-CA"/>
        </w:rPr>
        <w:t xml:space="preserve">a pour objet </w:t>
      </w:r>
      <w:r w:rsidRPr="005B0CC9">
        <w:rPr>
          <w:lang w:val="fr-CA"/>
        </w:rPr>
        <w:t>d</w:t>
      </w:r>
      <w:r>
        <w:rPr>
          <w:lang w:val="fr-CA"/>
        </w:rPr>
        <w:t xml:space="preserve">’accorder une protection à un niveau individuel seulement. Il </w:t>
      </w:r>
      <w:r w:rsidRPr="005B0CC9">
        <w:rPr>
          <w:lang w:val="fr-CA"/>
        </w:rPr>
        <w:t>vise à protéger la dignité humaine et à respecter la valeur inhérente des individus.</w:t>
      </w:r>
      <w:r w:rsidRPr="006A5AA7">
        <w:rPr>
          <w:lang w:val="fr-CA"/>
        </w:rPr>
        <w:t xml:space="preserve"> </w:t>
      </w:r>
      <w:r w:rsidRPr="005B0CC9">
        <w:rPr>
          <w:lang w:val="fr-CA"/>
        </w:rPr>
        <w:t>Tout comme les personnes morales ne peuvent pas éprouver de réactions humaines comme la tension ou l</w:t>
      </w:r>
      <w:r>
        <w:rPr>
          <w:lang w:val="fr-CA"/>
        </w:rPr>
        <w:t>’</w:t>
      </w:r>
      <w:r w:rsidRPr="005B0CC9">
        <w:rPr>
          <w:lang w:val="fr-CA"/>
        </w:rPr>
        <w:t>angoisse, elles ne peuvent pas n</w:t>
      </w:r>
      <w:r>
        <w:rPr>
          <w:lang w:val="fr-CA"/>
        </w:rPr>
        <w:t xml:space="preserve">on plus éprouver de </w:t>
      </w:r>
      <w:r>
        <w:rPr>
          <w:lang w:val="fr-CA"/>
        </w:rPr>
        <w:lastRenderedPageBreak/>
        <w:t>souffrances.</w:t>
      </w:r>
      <w:r w:rsidRPr="006A5AA7">
        <w:rPr>
          <w:lang w:val="fr-CA"/>
        </w:rPr>
        <w:t xml:space="preserve"> </w:t>
      </w:r>
      <w:r>
        <w:rPr>
          <w:lang w:val="fr-CA"/>
        </w:rPr>
        <w:t>C</w:t>
      </w:r>
      <w:r w:rsidRPr="005B0CC9">
        <w:rPr>
          <w:lang w:val="fr-CA"/>
        </w:rPr>
        <w:t>e serait forcer l</w:t>
      </w:r>
      <w:r>
        <w:rPr>
          <w:lang w:val="fr-CA"/>
        </w:rPr>
        <w:t>’</w:t>
      </w:r>
      <w:r w:rsidRPr="005B0CC9">
        <w:rPr>
          <w:lang w:val="fr-CA"/>
        </w:rPr>
        <w:t>interprétation </w:t>
      </w:r>
      <w:r>
        <w:rPr>
          <w:lang w:val="fr-CA"/>
        </w:rPr>
        <w:t xml:space="preserve">de la notion de </w:t>
      </w:r>
      <w:r w:rsidRPr="005B0CC9">
        <w:rPr>
          <w:lang w:val="fr-CA"/>
        </w:rPr>
        <w:t>traitements ou peines cruels et inusités </w:t>
      </w:r>
      <w:r>
        <w:rPr>
          <w:lang w:val="fr-CA"/>
        </w:rPr>
        <w:t xml:space="preserve">visée </w:t>
      </w:r>
      <w:r w:rsidRPr="005B0CC9">
        <w:rPr>
          <w:lang w:val="fr-CA"/>
        </w:rPr>
        <w:t>à l</w:t>
      </w:r>
      <w:r>
        <w:rPr>
          <w:lang w:val="fr-CA"/>
        </w:rPr>
        <w:t>’</w:t>
      </w:r>
      <w:r w:rsidRPr="005B0CC9">
        <w:rPr>
          <w:lang w:val="fr-CA"/>
        </w:rPr>
        <w:t>art.</w:t>
      </w:r>
      <w:r>
        <w:rPr>
          <w:lang w:val="fr-CA"/>
        </w:rPr>
        <w:t> </w:t>
      </w:r>
      <w:r w:rsidRPr="005B0CC9">
        <w:rPr>
          <w:lang w:val="fr-CA"/>
        </w:rPr>
        <w:t xml:space="preserve">12 </w:t>
      </w:r>
      <w:r>
        <w:rPr>
          <w:lang w:val="fr-CA"/>
        </w:rPr>
        <w:t xml:space="preserve">si </w:t>
      </w:r>
      <w:r w:rsidRPr="005B0CC9">
        <w:rPr>
          <w:lang w:val="fr-CA"/>
        </w:rPr>
        <w:t>une personne morale, une entité artificielle</w:t>
      </w:r>
      <w:r>
        <w:rPr>
          <w:lang w:val="fr-CA"/>
        </w:rPr>
        <w:t>, pouvait subir de tels traitement ou peines</w:t>
      </w:r>
      <w:r w:rsidRPr="006A5AA7">
        <w:rPr>
          <w:lang w:val="fr-CA"/>
        </w:rPr>
        <w:t xml:space="preserve">. </w:t>
      </w:r>
      <w:r w:rsidRPr="009072E8">
        <w:rPr>
          <w:lang w:val="fr-CA"/>
        </w:rPr>
        <w:t xml:space="preserve">Comme les personnes morales </w:t>
      </w:r>
      <w:r>
        <w:rPr>
          <w:lang w:val="fr-CA"/>
        </w:rPr>
        <w:t xml:space="preserve">ne font pas partie </w:t>
      </w:r>
      <w:r w:rsidRPr="009072E8">
        <w:rPr>
          <w:lang w:val="fr-CA"/>
        </w:rPr>
        <w:t>de l’objet</w:t>
      </w:r>
      <w:r w:rsidR="00496997">
        <w:rPr>
          <w:lang w:val="fr-CA"/>
        </w:rPr>
        <w:t xml:space="preserve"> de la garantie prévue à l’art. </w:t>
      </w:r>
      <w:r w:rsidRPr="009072E8">
        <w:rPr>
          <w:lang w:val="fr-CA"/>
        </w:rPr>
        <w:t>12, elles ne relèvent pas</w:t>
      </w:r>
      <w:r>
        <w:rPr>
          <w:lang w:val="fr-CA"/>
        </w:rPr>
        <w:t xml:space="preserve"> de son </w:t>
      </w:r>
      <w:r w:rsidRPr="009072E8">
        <w:rPr>
          <w:lang w:val="fr-CA"/>
        </w:rPr>
        <w:t>champ d’application</w:t>
      </w:r>
      <w:r>
        <w:rPr>
          <w:lang w:val="fr-CA"/>
        </w:rPr>
        <w:t>.</w:t>
      </w:r>
    </w:p>
    <w:p w:rsidR="004D7D95" w:rsidRPr="004D7D95" w:rsidRDefault="004D7D95" w:rsidP="00653396">
      <w:pPr>
        <w:pStyle w:val="SCCNormalDoubleSpacing"/>
        <w:spacing w:after="480"/>
        <w:rPr>
          <w:lang w:val="fr-CA"/>
        </w:rPr>
      </w:pPr>
      <w:r w:rsidRPr="004D7D95">
        <w:rPr>
          <w:lang w:val="fr-CA"/>
        </w:rPr>
        <w:tab/>
      </w:r>
      <w:r w:rsidR="00E33897" w:rsidRPr="00A02616">
        <w:rPr>
          <w:i/>
          <w:lang w:val="fr-CA"/>
        </w:rPr>
        <w:t>Le</w:t>
      </w:r>
      <w:r w:rsidR="00E33897" w:rsidRPr="00A02616">
        <w:rPr>
          <w:lang w:val="fr-CA"/>
        </w:rPr>
        <w:t xml:space="preserve"> juge </w:t>
      </w:r>
      <w:r w:rsidR="00E33897" w:rsidRPr="004E5E32">
        <w:rPr>
          <w:lang w:val="fr-CA"/>
        </w:rPr>
        <w:t>Kasirer</w:t>
      </w:r>
      <w:r w:rsidR="004E5E32">
        <w:rPr>
          <w:lang w:val="fr-CA"/>
        </w:rPr>
        <w:t> </w:t>
      </w:r>
      <w:r w:rsidR="00E33897" w:rsidRPr="00A02616">
        <w:rPr>
          <w:lang w:val="fr-CA"/>
        </w:rPr>
        <w:t>: Il y a accord avec les juges Abella,</w:t>
      </w:r>
      <w:r w:rsidR="008160A8">
        <w:rPr>
          <w:lang w:val="fr-CA"/>
        </w:rPr>
        <w:t xml:space="preserve"> </w:t>
      </w:r>
      <w:r w:rsidR="00E33897" w:rsidRPr="00A02616">
        <w:rPr>
          <w:lang w:val="fr-CA"/>
        </w:rPr>
        <w:t xml:space="preserve">Brown et Rowe que </w:t>
      </w:r>
      <w:r w:rsidR="00E33897" w:rsidRPr="00A02616">
        <w:rPr>
          <w:szCs w:val="24"/>
          <w:lang w:val="fr-CA"/>
        </w:rPr>
        <w:t>l</w:t>
      </w:r>
      <w:r w:rsidR="008160A8">
        <w:rPr>
          <w:szCs w:val="24"/>
          <w:lang w:val="fr-CA"/>
        </w:rPr>
        <w:t>a protection offerte par l’art. </w:t>
      </w:r>
      <w:r w:rsidR="00E33897" w:rsidRPr="00A02616">
        <w:rPr>
          <w:szCs w:val="24"/>
          <w:lang w:val="fr-CA"/>
        </w:rPr>
        <w:t xml:space="preserve">12 de la </w:t>
      </w:r>
      <w:r w:rsidR="00E33897" w:rsidRPr="00A02616">
        <w:rPr>
          <w:i/>
          <w:szCs w:val="24"/>
          <w:lang w:val="fr-CA"/>
        </w:rPr>
        <w:t>Charte</w:t>
      </w:r>
      <w:r w:rsidR="00E33897" w:rsidRPr="00A02616">
        <w:rPr>
          <w:szCs w:val="24"/>
          <w:lang w:val="fr-CA"/>
        </w:rPr>
        <w:t xml:space="preserve"> ne s’étend pas aux personnes morales.</w:t>
      </w:r>
      <w:r w:rsidR="00E33897" w:rsidRPr="00A02616">
        <w:rPr>
          <w:lang w:val="fr-CA"/>
        </w:rPr>
        <w:t xml:space="preserve"> Les droits conférés par la </w:t>
      </w:r>
      <w:r w:rsidR="00E33897" w:rsidRPr="00A02616">
        <w:rPr>
          <w:i/>
          <w:lang w:val="fr-CA"/>
        </w:rPr>
        <w:t>Charte</w:t>
      </w:r>
      <w:r w:rsidR="00E33897" w:rsidRPr="00A02616">
        <w:rPr>
          <w:lang w:val="fr-CA"/>
        </w:rPr>
        <w:t xml:space="preserve"> doivent être interprétés de façon large et libérale en fonction de l’objectif visé. </w:t>
      </w:r>
      <w:r w:rsidR="00730302">
        <w:rPr>
          <w:lang w:val="fr-CA"/>
        </w:rPr>
        <w:t>Partant du libellé de l’art. </w:t>
      </w:r>
      <w:r w:rsidR="00E33897" w:rsidRPr="00A02616">
        <w:rPr>
          <w:lang w:val="fr-CA"/>
        </w:rPr>
        <w:t>12, notamment le mot « cruels », le juge dissident à la Cour d’appel avait raison de conclure que ce serait dénaturer le sens commun des mots que de dire que l’on peut faire preuve de cruauté envers une entité corporative. Malgré un élargissement de la portée de l’art.</w:t>
      </w:r>
      <w:r w:rsidR="00730302">
        <w:rPr>
          <w:lang w:val="fr-CA"/>
        </w:rPr>
        <w:t> </w:t>
      </w:r>
      <w:r w:rsidR="00E33897" w:rsidRPr="00A02616">
        <w:rPr>
          <w:lang w:val="fr-CA"/>
        </w:rPr>
        <w:t xml:space="preserve">12 au fil des ans, son évolution ne s’intéresse toujours qu’à l’être humain. L’analyse du juge dissident s’appuie sur des sources tirées du droit interne, du droit international, du droit anglais, ainsi que sur le </w:t>
      </w:r>
      <w:r w:rsidR="00E33897" w:rsidRPr="00A02616">
        <w:rPr>
          <w:i/>
          <w:lang w:val="fr-CA"/>
        </w:rPr>
        <w:t>Code civil du Québec</w:t>
      </w:r>
      <w:r w:rsidR="00E33897" w:rsidRPr="00A02616">
        <w:rPr>
          <w:lang w:val="fr-CA"/>
        </w:rPr>
        <w:t>. En l’espèce, il n’est pas nécessaire de s’attarder davantage sur des questions liées à la démarche appropriée pour l’interprétation constitutionnelle ou sur la place du droit international et du droit comparé dans cette démarche.</w:t>
      </w:r>
    </w:p>
    <w:p w:rsidR="00500032" w:rsidRPr="00725AC4" w:rsidRDefault="004D7D95" w:rsidP="00653396">
      <w:pPr>
        <w:pStyle w:val="SCCNormalDoubleSpacing"/>
        <w:spacing w:after="720" w:line="240" w:lineRule="auto"/>
        <w:rPr>
          <w:b/>
          <w:lang w:val="fr-CA"/>
        </w:rPr>
      </w:pPr>
      <w:r w:rsidRPr="004D7D95">
        <w:rPr>
          <w:b/>
          <w:lang w:val="fr-CA"/>
        </w:rPr>
        <w:t>Jurisprudence</w:t>
      </w:r>
    </w:p>
    <w:p w:rsidR="00895C88" w:rsidRPr="00500032" w:rsidRDefault="00895C88" w:rsidP="00653396">
      <w:pPr>
        <w:pStyle w:val="SCCNormalDoubleSpacing"/>
        <w:spacing w:after="720" w:line="240" w:lineRule="auto"/>
        <w:rPr>
          <w:lang w:val="fr-CA"/>
        </w:rPr>
      </w:pPr>
      <w:r w:rsidRPr="00895C88">
        <w:rPr>
          <w:lang w:val="fr-CA"/>
        </w:rPr>
        <w:t>Cit</w:t>
      </w:r>
      <w:r>
        <w:rPr>
          <w:lang w:val="fr-CA"/>
        </w:rPr>
        <w:t>ée par les juges Brown et Rowe</w:t>
      </w:r>
    </w:p>
    <w:p w:rsidR="00725AC4" w:rsidRDefault="00895C88" w:rsidP="00653396">
      <w:pPr>
        <w:pStyle w:val="SCCNormalDoubleSpacing"/>
        <w:spacing w:after="480"/>
        <w:rPr>
          <w:lang w:val="fr-CA"/>
        </w:rPr>
      </w:pPr>
      <w:r w:rsidRPr="004D7D95">
        <w:rPr>
          <w:lang w:val="fr-CA"/>
        </w:rPr>
        <w:lastRenderedPageBreak/>
        <w:tab/>
      </w:r>
      <w:r w:rsidR="007E6D86" w:rsidRPr="007E6D86">
        <w:rPr>
          <w:b/>
          <w:lang w:val="fr-CA"/>
        </w:rPr>
        <w:t>Arrêt appliqué :</w:t>
      </w:r>
      <w:r w:rsidR="007E6D86">
        <w:rPr>
          <w:lang w:val="fr-CA"/>
        </w:rPr>
        <w:t xml:space="preserve"> </w:t>
      </w:r>
      <w:r w:rsidR="007E6D86" w:rsidRPr="0072663E">
        <w:rPr>
          <w:i/>
          <w:iCs/>
          <w:lang w:val="fr-CA"/>
        </w:rPr>
        <w:t>R</w:t>
      </w:r>
      <w:r w:rsidR="007E6D86" w:rsidRPr="00E567A0">
        <w:rPr>
          <w:i/>
          <w:iCs/>
          <w:lang w:val="fr-CA"/>
        </w:rPr>
        <w:t>. c. Big M Drug Mart Ltd.</w:t>
      </w:r>
      <w:r w:rsidR="007E6D86" w:rsidRPr="00E567A0">
        <w:rPr>
          <w:lang w:val="fr-CA"/>
        </w:rPr>
        <w:t>, [1985] 1 R.C.S. 295</w:t>
      </w:r>
      <w:r w:rsidR="007E6D86">
        <w:rPr>
          <w:lang w:val="fr-CA"/>
        </w:rPr>
        <w:t xml:space="preserve">; </w:t>
      </w:r>
      <w:r w:rsidR="007E6D86" w:rsidRPr="007E6D86">
        <w:rPr>
          <w:b/>
          <w:lang w:val="fr-CA"/>
        </w:rPr>
        <w:t>a</w:t>
      </w:r>
      <w:r w:rsidR="007E6D86" w:rsidRPr="0072663E">
        <w:rPr>
          <w:b/>
          <w:lang w:val="fr-CA"/>
        </w:rPr>
        <w:t>rrêt</w:t>
      </w:r>
      <w:r w:rsidR="007E6D86">
        <w:rPr>
          <w:b/>
          <w:lang w:val="fr-CA"/>
        </w:rPr>
        <w:t xml:space="preserve"> examiné : </w:t>
      </w:r>
      <w:r w:rsidR="007E6D86" w:rsidRPr="00D20278">
        <w:rPr>
          <w:i/>
          <w:iCs/>
          <w:lang w:val="fr-CA"/>
        </w:rPr>
        <w:t>Renvoi relatif à la Public Service Employee Relations Act (Alb.)</w:t>
      </w:r>
      <w:r w:rsidR="00EC5574">
        <w:rPr>
          <w:lang w:val="fr-CA"/>
        </w:rPr>
        <w:t>, [1987] 1 </w:t>
      </w:r>
      <w:r w:rsidR="007E6D86" w:rsidRPr="00D20278">
        <w:rPr>
          <w:lang w:val="fr-CA"/>
        </w:rPr>
        <w:t>R.C.S. 313;</w:t>
      </w:r>
      <w:r w:rsidR="007E6D86" w:rsidRPr="007E6D86">
        <w:rPr>
          <w:lang w:val="fr-CA"/>
        </w:rPr>
        <w:t xml:space="preserve"> </w:t>
      </w:r>
      <w:r w:rsidR="007E6D86">
        <w:rPr>
          <w:b/>
          <w:lang w:val="fr-CA"/>
        </w:rPr>
        <w:t>a</w:t>
      </w:r>
      <w:r w:rsidRPr="0072663E">
        <w:rPr>
          <w:b/>
          <w:lang w:val="fr-CA"/>
        </w:rPr>
        <w:t>rrêts mentionnés :</w:t>
      </w:r>
      <w:r w:rsidRPr="0072663E">
        <w:rPr>
          <w:lang w:val="fr-CA"/>
        </w:rPr>
        <w:t xml:space="preserve"> </w:t>
      </w:r>
      <w:r w:rsidR="005273CF" w:rsidRPr="0072663E">
        <w:rPr>
          <w:i/>
          <w:lang w:val="fr-CA"/>
        </w:rPr>
        <w:t>Irwin Toy Ltd. c. Québec (Procureur général)</w:t>
      </w:r>
      <w:r w:rsidR="005273CF" w:rsidRPr="0072663E">
        <w:rPr>
          <w:lang w:val="fr-CA"/>
        </w:rPr>
        <w:t>, [1989] 1 R.C.S. 927;</w:t>
      </w:r>
      <w:r w:rsidR="00E567A0" w:rsidRPr="0072663E">
        <w:rPr>
          <w:i/>
          <w:iCs/>
          <w:color w:val="000000"/>
          <w:lang w:val="fr-CA"/>
        </w:rPr>
        <w:t xml:space="preserve"> </w:t>
      </w:r>
      <w:r w:rsidR="00FB53AD">
        <w:rPr>
          <w:i/>
          <w:lang w:val="fr-CA"/>
        </w:rPr>
        <w:t>R. c</w:t>
      </w:r>
      <w:r w:rsidR="00FB53AD" w:rsidRPr="00FB53AD">
        <w:rPr>
          <w:i/>
          <w:lang w:val="fr-CA"/>
        </w:rPr>
        <w:t>. Poulin</w:t>
      </w:r>
      <w:r w:rsidR="00FB53AD" w:rsidRPr="00FB53AD">
        <w:rPr>
          <w:lang w:val="fr-CA"/>
        </w:rPr>
        <w:t>,</w:t>
      </w:r>
      <w:r w:rsidR="00FB53AD" w:rsidRPr="00FB53AD">
        <w:rPr>
          <w:i/>
          <w:lang w:val="fr-CA"/>
        </w:rPr>
        <w:t xml:space="preserve"> </w:t>
      </w:r>
      <w:r w:rsidR="00FB53AD">
        <w:rPr>
          <w:lang w:val="fr-CA"/>
        </w:rPr>
        <w:t xml:space="preserve">2019 </w:t>
      </w:r>
      <w:r w:rsidR="00FB53AD" w:rsidRPr="00FB53AD">
        <w:rPr>
          <w:lang w:val="fr-CA"/>
        </w:rPr>
        <w:t>C</w:t>
      </w:r>
      <w:r w:rsidR="00FB53AD">
        <w:rPr>
          <w:lang w:val="fr-CA"/>
        </w:rPr>
        <w:t>S</w:t>
      </w:r>
      <w:r w:rsidR="00FB53AD" w:rsidRPr="00FB53AD">
        <w:rPr>
          <w:lang w:val="fr-CA"/>
        </w:rPr>
        <w:t>C 47</w:t>
      </w:r>
      <w:r w:rsidR="00BD62BD">
        <w:rPr>
          <w:lang w:val="fr-CA"/>
        </w:rPr>
        <w:t>, [2019] 3 R.C.S. 566</w:t>
      </w:r>
      <w:r w:rsidR="00FB53AD" w:rsidRPr="00FB53AD">
        <w:rPr>
          <w:lang w:val="fr-CA"/>
        </w:rPr>
        <w:t>;</w:t>
      </w:r>
      <w:r w:rsidR="007913B8" w:rsidRPr="007913B8">
        <w:rPr>
          <w:i/>
          <w:lang w:val="fr-CA"/>
        </w:rPr>
        <w:t xml:space="preserve"> </w:t>
      </w:r>
      <w:r w:rsidR="007913B8">
        <w:rPr>
          <w:i/>
          <w:lang w:val="fr-CA"/>
        </w:rPr>
        <w:t>R. c</w:t>
      </w:r>
      <w:r w:rsidR="007913B8" w:rsidRPr="007913B8">
        <w:rPr>
          <w:i/>
          <w:lang w:val="fr-CA"/>
        </w:rPr>
        <w:t>. CIP Inc.</w:t>
      </w:r>
      <w:r w:rsidR="007913B8">
        <w:rPr>
          <w:lang w:val="fr-CA"/>
        </w:rPr>
        <w:t>, [1992] 1 R</w:t>
      </w:r>
      <w:r w:rsidR="007913B8" w:rsidRPr="007913B8">
        <w:rPr>
          <w:lang w:val="fr-CA"/>
        </w:rPr>
        <w:t>.C.</w:t>
      </w:r>
      <w:r w:rsidR="007913B8">
        <w:rPr>
          <w:lang w:val="fr-CA"/>
        </w:rPr>
        <w:t>S</w:t>
      </w:r>
      <w:r w:rsidR="007913B8" w:rsidRPr="007913B8">
        <w:rPr>
          <w:lang w:val="fr-CA"/>
        </w:rPr>
        <w:t>. 843;</w:t>
      </w:r>
      <w:r w:rsidR="007F4230" w:rsidRPr="007F4230">
        <w:rPr>
          <w:i/>
          <w:lang w:val="fr-CA"/>
        </w:rPr>
        <w:t xml:space="preserve"> </w:t>
      </w:r>
      <w:r w:rsidR="007F4230">
        <w:rPr>
          <w:i/>
          <w:lang w:val="fr-CA"/>
        </w:rPr>
        <w:t>R. c</w:t>
      </w:r>
      <w:r w:rsidR="007F4230" w:rsidRPr="007F4230">
        <w:rPr>
          <w:i/>
          <w:lang w:val="fr-CA"/>
        </w:rPr>
        <w:t>. Grant</w:t>
      </w:r>
      <w:r w:rsidR="007F4230">
        <w:rPr>
          <w:lang w:val="fr-CA"/>
        </w:rPr>
        <w:t xml:space="preserve">, 2009 </w:t>
      </w:r>
      <w:r w:rsidR="007F4230" w:rsidRPr="007F4230">
        <w:rPr>
          <w:lang w:val="fr-CA"/>
        </w:rPr>
        <w:t>C</w:t>
      </w:r>
      <w:r w:rsidR="007F4230">
        <w:rPr>
          <w:lang w:val="fr-CA"/>
        </w:rPr>
        <w:t>SC 32, [2009] 2 R.C.S</w:t>
      </w:r>
      <w:r w:rsidR="007F4230" w:rsidRPr="007F4230">
        <w:rPr>
          <w:lang w:val="fr-CA"/>
        </w:rPr>
        <w:t>. 353;</w:t>
      </w:r>
      <w:r w:rsidR="00773AF9" w:rsidRPr="00773AF9">
        <w:rPr>
          <w:i/>
          <w:lang w:val="fr-CA"/>
        </w:rPr>
        <w:t xml:space="preserve"> </w:t>
      </w:r>
      <w:r w:rsidR="00773AF9">
        <w:rPr>
          <w:i/>
          <w:lang w:val="fr-CA"/>
        </w:rPr>
        <w:t>Caron c</w:t>
      </w:r>
      <w:r w:rsidR="00773AF9" w:rsidRPr="00773AF9">
        <w:rPr>
          <w:i/>
          <w:lang w:val="fr-CA"/>
        </w:rPr>
        <w:t>. Alberta</w:t>
      </w:r>
      <w:r w:rsidR="00773AF9" w:rsidRPr="00773AF9">
        <w:rPr>
          <w:lang w:val="fr-CA"/>
        </w:rPr>
        <w:t>,</w:t>
      </w:r>
      <w:r w:rsidR="00773AF9" w:rsidRPr="00773AF9">
        <w:rPr>
          <w:i/>
          <w:lang w:val="fr-CA"/>
        </w:rPr>
        <w:t xml:space="preserve"> </w:t>
      </w:r>
      <w:r w:rsidR="00773AF9">
        <w:rPr>
          <w:lang w:val="fr-CA"/>
        </w:rPr>
        <w:t xml:space="preserve">2015 </w:t>
      </w:r>
      <w:r w:rsidR="00773AF9" w:rsidRPr="00773AF9">
        <w:rPr>
          <w:lang w:val="fr-CA"/>
        </w:rPr>
        <w:t>C</w:t>
      </w:r>
      <w:r w:rsidR="00773AF9">
        <w:rPr>
          <w:lang w:val="fr-CA"/>
        </w:rPr>
        <w:t xml:space="preserve">SC 56, [2015] </w:t>
      </w:r>
      <w:r w:rsidR="00EC5574">
        <w:rPr>
          <w:lang w:val="fr-CA"/>
        </w:rPr>
        <w:t>3 </w:t>
      </w:r>
      <w:r w:rsidR="00773AF9">
        <w:rPr>
          <w:lang w:val="fr-CA"/>
        </w:rPr>
        <w:t>R.C.S</w:t>
      </w:r>
      <w:r w:rsidR="00773AF9" w:rsidRPr="00773AF9">
        <w:rPr>
          <w:lang w:val="fr-CA"/>
        </w:rPr>
        <w:t>. 511;</w:t>
      </w:r>
      <w:r w:rsidR="0095532B" w:rsidRPr="0095532B">
        <w:rPr>
          <w:i/>
          <w:iCs/>
          <w:color w:val="000000"/>
          <w:lang w:val="fr-CA"/>
        </w:rPr>
        <w:t xml:space="preserve"> </w:t>
      </w:r>
      <w:r w:rsidR="0095532B" w:rsidRPr="0095532B">
        <w:rPr>
          <w:i/>
          <w:iCs/>
          <w:lang w:val="fr-CA"/>
        </w:rPr>
        <w:t>Colombie</w:t>
      </w:r>
      <w:r w:rsidR="0095532B" w:rsidRPr="0095532B">
        <w:rPr>
          <w:i/>
          <w:iCs/>
          <w:lang w:val="fr-CA"/>
        </w:rPr>
        <w:noBreakHyphen/>
        <w:t>Britannique (Procureur général) c. Canada (Procureur général)</w:t>
      </w:r>
      <w:r w:rsidR="0095532B" w:rsidRPr="0095532B">
        <w:rPr>
          <w:lang w:val="fr-CA"/>
        </w:rPr>
        <w:t>, [1994] 2 R.C.S. 41;</w:t>
      </w:r>
      <w:r w:rsidR="00D20278" w:rsidRPr="00D20278">
        <w:rPr>
          <w:i/>
          <w:iCs/>
          <w:color w:val="000000"/>
          <w:lang w:val="fr-CA"/>
        </w:rPr>
        <w:t xml:space="preserve"> </w:t>
      </w:r>
      <w:r w:rsidR="00A051CB">
        <w:rPr>
          <w:i/>
          <w:lang w:val="fr-CA"/>
        </w:rPr>
        <w:t>R. c</w:t>
      </w:r>
      <w:r w:rsidR="00A051CB" w:rsidRPr="00A051CB">
        <w:rPr>
          <w:i/>
          <w:lang w:val="fr-CA"/>
        </w:rPr>
        <w:t>. Stillman</w:t>
      </w:r>
      <w:r w:rsidR="00A051CB">
        <w:rPr>
          <w:lang w:val="fr-CA"/>
        </w:rPr>
        <w:t xml:space="preserve">, 2019 </w:t>
      </w:r>
      <w:r w:rsidR="00A051CB" w:rsidRPr="00A051CB">
        <w:rPr>
          <w:lang w:val="fr-CA"/>
        </w:rPr>
        <w:t>C</w:t>
      </w:r>
      <w:r w:rsidR="00A051CB">
        <w:rPr>
          <w:lang w:val="fr-CA"/>
        </w:rPr>
        <w:t>S</w:t>
      </w:r>
      <w:r w:rsidR="00A051CB" w:rsidRPr="00A051CB">
        <w:rPr>
          <w:lang w:val="fr-CA"/>
        </w:rPr>
        <w:t>C 40</w:t>
      </w:r>
      <w:r w:rsidR="0049599D">
        <w:rPr>
          <w:lang w:val="fr-CA"/>
        </w:rPr>
        <w:t>, [2019] 3 R.C.S. 144</w:t>
      </w:r>
      <w:r w:rsidR="00A051CB" w:rsidRPr="00A051CB">
        <w:rPr>
          <w:lang w:val="fr-CA"/>
        </w:rPr>
        <w:t>;</w:t>
      </w:r>
      <w:r w:rsidR="00617662" w:rsidRPr="00617662">
        <w:rPr>
          <w:i/>
          <w:szCs w:val="24"/>
          <w:lang w:val="fr-CA"/>
        </w:rPr>
        <w:t xml:space="preserve"> </w:t>
      </w:r>
      <w:r w:rsidR="00617662">
        <w:rPr>
          <w:i/>
          <w:lang w:val="fr-CA"/>
        </w:rPr>
        <w:t>R. c</w:t>
      </w:r>
      <w:r w:rsidR="00617662" w:rsidRPr="00617662">
        <w:rPr>
          <w:i/>
          <w:lang w:val="fr-CA"/>
        </w:rPr>
        <w:t>. Blais</w:t>
      </w:r>
      <w:r w:rsidR="00617662">
        <w:rPr>
          <w:lang w:val="fr-CA"/>
        </w:rPr>
        <w:t xml:space="preserve">, 2003 </w:t>
      </w:r>
      <w:r w:rsidR="00617662" w:rsidRPr="00617662">
        <w:rPr>
          <w:lang w:val="fr-CA"/>
        </w:rPr>
        <w:t>C</w:t>
      </w:r>
      <w:r w:rsidR="00617662">
        <w:rPr>
          <w:lang w:val="fr-CA"/>
        </w:rPr>
        <w:t>SC 44, [2003] 2 R.C.S</w:t>
      </w:r>
      <w:r w:rsidR="00617662" w:rsidRPr="00617662">
        <w:rPr>
          <w:lang w:val="fr-CA"/>
        </w:rPr>
        <w:t>. 236;</w:t>
      </w:r>
      <w:r w:rsidR="00681D93" w:rsidRPr="00681D93">
        <w:rPr>
          <w:i/>
          <w:iCs/>
          <w:color w:val="000000"/>
          <w:lang w:val="fr-CA"/>
        </w:rPr>
        <w:t xml:space="preserve"> </w:t>
      </w:r>
      <w:r w:rsidR="00681D93" w:rsidRPr="00681D93">
        <w:rPr>
          <w:i/>
          <w:iCs/>
          <w:lang w:val="fr-CA"/>
        </w:rPr>
        <w:t>Hunter c. Southam Inc.</w:t>
      </w:r>
      <w:r w:rsidR="00681D93">
        <w:rPr>
          <w:lang w:val="fr-CA"/>
        </w:rPr>
        <w:t>, [1984] 2 R.C.S. 145;</w:t>
      </w:r>
      <w:r w:rsidR="000849CD">
        <w:rPr>
          <w:lang w:val="fr-CA"/>
        </w:rPr>
        <w:t xml:space="preserve"> </w:t>
      </w:r>
      <w:r w:rsidR="000849CD">
        <w:rPr>
          <w:i/>
          <w:lang w:val="fr-CA"/>
        </w:rPr>
        <w:t>R. c. Boudreault</w:t>
      </w:r>
      <w:r w:rsidR="000849CD">
        <w:rPr>
          <w:lang w:val="fr-CA"/>
        </w:rPr>
        <w:t xml:space="preserve">, 2018 CSC 58, [2018] 3 R.C.S. 599; </w:t>
      </w:r>
      <w:r w:rsidR="000849CD" w:rsidRPr="008A0A5A">
        <w:rPr>
          <w:i/>
          <w:lang w:val="fr-CA"/>
        </w:rPr>
        <w:t xml:space="preserve">Kazemi (Succession) c. République </w:t>
      </w:r>
      <w:r w:rsidR="000849CD" w:rsidRPr="0010152D">
        <w:rPr>
          <w:i/>
          <w:lang w:val="fr-CA"/>
        </w:rPr>
        <w:t>islamique d’Iran</w:t>
      </w:r>
      <w:r w:rsidR="000849CD" w:rsidRPr="0010152D">
        <w:rPr>
          <w:lang w:val="fr-CA"/>
        </w:rPr>
        <w:t>, 2014 CSC 62, [2014] 3 R.C.S. 176</w:t>
      </w:r>
      <w:r w:rsidR="000849CD">
        <w:rPr>
          <w:lang w:val="fr-CA"/>
        </w:rPr>
        <w:t xml:space="preserve">; </w:t>
      </w:r>
      <w:r w:rsidR="000849CD" w:rsidRPr="0010152D">
        <w:rPr>
          <w:i/>
          <w:lang w:val="fr-CA"/>
        </w:rPr>
        <w:t>Ktunaxa Nation c. Colombie-Britannique (Forests, Lands and Natural Resource Operations)</w:t>
      </w:r>
      <w:r w:rsidR="000849CD" w:rsidRPr="0010152D">
        <w:rPr>
          <w:lang w:val="fr-CA"/>
        </w:rPr>
        <w:t>, 2017 CSC 54, [2017] 2 R.C.S. 386</w:t>
      </w:r>
      <w:r w:rsidR="000849CD">
        <w:rPr>
          <w:lang w:val="fr-CA"/>
        </w:rPr>
        <w:t xml:space="preserve">; </w:t>
      </w:r>
      <w:r w:rsidR="000849CD">
        <w:rPr>
          <w:i/>
          <w:lang w:val="fr-CA"/>
        </w:rPr>
        <w:t>Inde c. Badesha</w:t>
      </w:r>
      <w:r w:rsidR="000849CD">
        <w:rPr>
          <w:lang w:val="fr-CA"/>
        </w:rPr>
        <w:t xml:space="preserve">, 2017 CSC 44, [2017] 2 R.C.S. 127; </w:t>
      </w:r>
      <w:r w:rsidR="000849CD" w:rsidRPr="000849CD">
        <w:rPr>
          <w:i/>
          <w:iCs/>
          <w:szCs w:val="24"/>
          <w:lang w:val="fr-CA"/>
        </w:rPr>
        <w:t>Sas</w:t>
      </w:r>
      <w:r w:rsidR="000849CD">
        <w:rPr>
          <w:i/>
          <w:iCs/>
          <w:szCs w:val="24"/>
          <w:lang w:val="fr-CA"/>
        </w:rPr>
        <w:t>katchewan Federation of Labour c</w:t>
      </w:r>
      <w:r w:rsidR="000849CD" w:rsidRPr="000849CD">
        <w:rPr>
          <w:i/>
          <w:iCs/>
          <w:szCs w:val="24"/>
          <w:lang w:val="fr-CA"/>
        </w:rPr>
        <w:t>. Saskatchewan</w:t>
      </w:r>
      <w:r w:rsidR="000849CD">
        <w:rPr>
          <w:szCs w:val="24"/>
          <w:lang w:val="fr-CA"/>
        </w:rPr>
        <w:t>, 2015 CSC 4, [2015] 1 R.C.S.</w:t>
      </w:r>
      <w:r w:rsidR="000849CD" w:rsidRPr="000849CD">
        <w:rPr>
          <w:szCs w:val="24"/>
          <w:lang w:val="fr-CA"/>
        </w:rPr>
        <w:t> 245</w:t>
      </w:r>
      <w:r w:rsidR="000849CD">
        <w:rPr>
          <w:szCs w:val="24"/>
          <w:lang w:val="fr-CA"/>
        </w:rPr>
        <w:t xml:space="preserve">; </w:t>
      </w:r>
      <w:r w:rsidR="000849CD" w:rsidRPr="001A610F">
        <w:rPr>
          <w:i/>
          <w:lang w:val="fr-CA"/>
        </w:rPr>
        <w:t>Divito c. Canada (Sécurité publique et Protection civile)</w:t>
      </w:r>
      <w:r w:rsidR="000849CD" w:rsidRPr="001A610F">
        <w:rPr>
          <w:lang w:val="fr-CA"/>
        </w:rPr>
        <w:t>, 2013 CSC 47, [2013] 3 R.C.S. 157</w:t>
      </w:r>
      <w:r w:rsidR="000849CD">
        <w:rPr>
          <w:lang w:val="fr-CA"/>
        </w:rPr>
        <w:t xml:space="preserve">; </w:t>
      </w:r>
      <w:r w:rsidR="000849CD">
        <w:rPr>
          <w:i/>
          <w:lang w:val="fr-CA"/>
        </w:rPr>
        <w:t xml:space="preserve">Health Services and Support — Facilities Subsector Bargaining Assn. </w:t>
      </w:r>
      <w:r w:rsidR="000849CD" w:rsidRPr="008A0A5A">
        <w:rPr>
          <w:i/>
          <w:lang w:val="fr-CA"/>
        </w:rPr>
        <w:t>c. Colombie-Britannique</w:t>
      </w:r>
      <w:r w:rsidR="000849CD" w:rsidRPr="008A0A5A">
        <w:rPr>
          <w:lang w:val="fr-CA"/>
        </w:rPr>
        <w:t>, 2007 CSC 27, [2007] 2 R.C.S. 391</w:t>
      </w:r>
      <w:r w:rsidR="000849CD">
        <w:rPr>
          <w:lang w:val="fr-CA"/>
        </w:rPr>
        <w:t xml:space="preserve">; </w:t>
      </w:r>
      <w:r w:rsidR="000849CD" w:rsidRPr="001A610F">
        <w:rPr>
          <w:i/>
          <w:lang w:val="fr-CA"/>
        </w:rPr>
        <w:t>États-Unis c. Burns</w:t>
      </w:r>
      <w:r w:rsidR="000849CD" w:rsidRPr="001A610F">
        <w:rPr>
          <w:lang w:val="fr-CA"/>
        </w:rPr>
        <w:t>, 2001 CSC 7, [2001]</w:t>
      </w:r>
      <w:r w:rsidR="00137535">
        <w:rPr>
          <w:lang w:val="fr-CA"/>
        </w:rPr>
        <w:t xml:space="preserve"> 1</w:t>
      </w:r>
      <w:r w:rsidR="000849CD" w:rsidRPr="001A610F">
        <w:rPr>
          <w:lang w:val="fr-CA"/>
        </w:rPr>
        <w:t xml:space="preserve"> R.C.S. 283; </w:t>
      </w:r>
      <w:r w:rsidR="000849CD" w:rsidRPr="001A610F">
        <w:rPr>
          <w:i/>
          <w:lang w:val="fr-CA"/>
        </w:rPr>
        <w:t xml:space="preserve">Slaight Communications Inc. </w:t>
      </w:r>
      <w:r w:rsidR="000849CD">
        <w:rPr>
          <w:i/>
          <w:lang w:val="fr-CA"/>
        </w:rPr>
        <w:t>c. Davidson</w:t>
      </w:r>
      <w:r w:rsidR="000849CD">
        <w:rPr>
          <w:lang w:val="fr-CA"/>
        </w:rPr>
        <w:t>, [1989] 1 R.C.S. 1038;</w:t>
      </w:r>
      <w:r w:rsidR="00620712">
        <w:rPr>
          <w:lang w:val="fr-CA"/>
        </w:rPr>
        <w:t xml:space="preserve"> </w:t>
      </w:r>
      <w:r w:rsidR="00620712">
        <w:rPr>
          <w:i/>
          <w:lang w:val="fr-CA"/>
        </w:rPr>
        <w:t xml:space="preserve">Renvoi </w:t>
      </w:r>
      <w:r w:rsidR="003D0874">
        <w:rPr>
          <w:i/>
          <w:lang w:val="fr-CA"/>
        </w:rPr>
        <w:t>relatif à</w:t>
      </w:r>
      <w:r w:rsidR="0021012D">
        <w:rPr>
          <w:i/>
          <w:lang w:val="fr-CA"/>
        </w:rPr>
        <w:t xml:space="preserve"> la Motor Vehicle Act de la C.-B.</w:t>
      </w:r>
      <w:r w:rsidR="00620712">
        <w:rPr>
          <w:lang w:val="fr-CA"/>
        </w:rPr>
        <w:t>, [1985] 2 R.C.S. 486;</w:t>
      </w:r>
      <w:r w:rsidR="000849CD">
        <w:rPr>
          <w:lang w:val="fr-CA"/>
        </w:rPr>
        <w:t xml:space="preserve"> </w:t>
      </w:r>
      <w:r w:rsidR="000849CD">
        <w:rPr>
          <w:i/>
          <w:lang w:val="fr-CA"/>
        </w:rPr>
        <w:t>Frank c. Canada (Procureur général)</w:t>
      </w:r>
      <w:r w:rsidR="000849CD">
        <w:rPr>
          <w:lang w:val="fr-CA"/>
        </w:rPr>
        <w:t xml:space="preserve">, 2019 CSC 1, [2019] 1 R.C.S. 3; </w:t>
      </w:r>
      <w:r w:rsidR="000849CD">
        <w:rPr>
          <w:i/>
          <w:lang w:val="fr-CA"/>
        </w:rPr>
        <w:t>Office canadien de commercialisation des œufs c. Richardson</w:t>
      </w:r>
      <w:r w:rsidR="000849CD">
        <w:rPr>
          <w:lang w:val="fr-CA"/>
        </w:rPr>
        <w:t xml:space="preserve">, [1998] 3 R.C.S. 157; </w:t>
      </w:r>
      <w:r w:rsidR="000849CD">
        <w:rPr>
          <w:i/>
          <w:lang w:val="fr-CA"/>
        </w:rPr>
        <w:t>R. c. Oakes</w:t>
      </w:r>
      <w:r w:rsidR="000849CD">
        <w:rPr>
          <w:lang w:val="fr-CA"/>
        </w:rPr>
        <w:t xml:space="preserve">, [1986] 1 R.C.S. 103; </w:t>
      </w:r>
      <w:r w:rsidR="00150278">
        <w:rPr>
          <w:i/>
          <w:lang w:val="fr-CA"/>
        </w:rPr>
        <w:t>R. c. Smith</w:t>
      </w:r>
      <w:r w:rsidR="000849CD">
        <w:rPr>
          <w:lang w:val="fr-CA"/>
        </w:rPr>
        <w:t xml:space="preserve">, [1987] 1 R.C.S. 1045; </w:t>
      </w:r>
      <w:r w:rsidR="000849CD">
        <w:rPr>
          <w:i/>
          <w:lang w:val="fr-CA"/>
        </w:rPr>
        <w:t>Suresh c. Canada (Ministre de la Citoyenneté et de l’Immigration)</w:t>
      </w:r>
      <w:r w:rsidR="00725AC4">
        <w:rPr>
          <w:lang w:val="fr-CA"/>
        </w:rPr>
        <w:t>, 2002 CSC 1, [2002] 1 R.C.S. 3.</w:t>
      </w:r>
    </w:p>
    <w:p w:rsidR="00725AC4" w:rsidRPr="006777CC" w:rsidRDefault="00725AC4" w:rsidP="00653396">
      <w:pPr>
        <w:pStyle w:val="SCCNormalDoubleSpacing"/>
        <w:spacing w:after="720" w:line="240" w:lineRule="auto"/>
        <w:rPr>
          <w:lang w:val="fr-CA"/>
        </w:rPr>
      </w:pPr>
      <w:r w:rsidRPr="00895C88">
        <w:rPr>
          <w:lang w:val="fr-CA"/>
        </w:rPr>
        <w:lastRenderedPageBreak/>
        <w:t>Cit</w:t>
      </w:r>
      <w:r>
        <w:rPr>
          <w:lang w:val="fr-CA"/>
        </w:rPr>
        <w:t>ée par la juge Abella</w:t>
      </w:r>
    </w:p>
    <w:p w:rsidR="004D7D95" w:rsidRDefault="00725AC4" w:rsidP="00653396">
      <w:pPr>
        <w:pStyle w:val="SCCNormalDoubleSpacing"/>
        <w:spacing w:after="480"/>
        <w:rPr>
          <w:lang w:val="fr-CA"/>
        </w:rPr>
      </w:pPr>
      <w:r w:rsidRPr="004D7D95">
        <w:rPr>
          <w:lang w:val="fr-CA"/>
        </w:rPr>
        <w:tab/>
      </w:r>
      <w:r w:rsidR="008D48E8" w:rsidRPr="008D48E8">
        <w:rPr>
          <w:b/>
          <w:lang w:val="fr-CA"/>
        </w:rPr>
        <w:t>Arrêt appliqué :</w:t>
      </w:r>
      <w:r w:rsidR="008D48E8">
        <w:rPr>
          <w:lang w:val="fr-CA"/>
        </w:rPr>
        <w:t xml:space="preserve"> </w:t>
      </w:r>
      <w:r w:rsidR="008D48E8" w:rsidRPr="00E567A0">
        <w:rPr>
          <w:i/>
          <w:iCs/>
          <w:lang w:val="fr-CA"/>
        </w:rPr>
        <w:t>R. c. Big M Drug Mart Ltd.</w:t>
      </w:r>
      <w:r w:rsidR="008D48E8" w:rsidRPr="00E567A0">
        <w:rPr>
          <w:lang w:val="fr-CA"/>
        </w:rPr>
        <w:t>, [1985] 1 R.C.S. 295</w:t>
      </w:r>
      <w:r w:rsidR="008D48E8">
        <w:rPr>
          <w:lang w:val="fr-CA"/>
        </w:rPr>
        <w:t>;</w:t>
      </w:r>
      <w:r w:rsidR="007E6D86">
        <w:rPr>
          <w:lang w:val="fr-CA"/>
        </w:rPr>
        <w:t xml:space="preserve"> </w:t>
      </w:r>
      <w:r w:rsidR="007E6D86" w:rsidRPr="007E6D86">
        <w:rPr>
          <w:b/>
          <w:lang w:val="fr-CA"/>
        </w:rPr>
        <w:t>a</w:t>
      </w:r>
      <w:r w:rsidRPr="0072663E">
        <w:rPr>
          <w:b/>
          <w:lang w:val="fr-CA"/>
        </w:rPr>
        <w:t>rrêts mentionnés :</w:t>
      </w:r>
      <w:r w:rsidRPr="0072663E">
        <w:rPr>
          <w:lang w:val="fr-CA"/>
        </w:rPr>
        <w:t xml:space="preserve"> </w:t>
      </w:r>
      <w:r w:rsidR="003314FF">
        <w:rPr>
          <w:i/>
          <w:lang w:val="fr-CA"/>
        </w:rPr>
        <w:t>R. c. Smith</w:t>
      </w:r>
      <w:r w:rsidRPr="0072663E">
        <w:rPr>
          <w:lang w:val="fr-CA"/>
        </w:rPr>
        <w:t xml:space="preserve">, [1987] 1 R.C.S. 1045; </w:t>
      </w:r>
      <w:r w:rsidRPr="0072663E">
        <w:rPr>
          <w:i/>
          <w:lang w:val="fr-CA"/>
        </w:rPr>
        <w:t>R. c. Lyons</w:t>
      </w:r>
      <w:r w:rsidRPr="0072663E">
        <w:rPr>
          <w:lang w:val="fr-CA"/>
        </w:rPr>
        <w:t>, [1987</w:t>
      </w:r>
      <w:r w:rsidR="00EC5574">
        <w:rPr>
          <w:lang w:val="fr-CA"/>
        </w:rPr>
        <w:t>] 2 </w:t>
      </w:r>
      <w:r>
        <w:rPr>
          <w:lang w:val="fr-CA"/>
        </w:rPr>
        <w:t xml:space="preserve">R.C.S. 309; </w:t>
      </w:r>
      <w:r w:rsidRPr="006B4C83">
        <w:rPr>
          <w:i/>
          <w:lang w:val="fr-CA"/>
        </w:rPr>
        <w:t xml:space="preserve">R. </w:t>
      </w:r>
      <w:r>
        <w:rPr>
          <w:i/>
          <w:lang w:val="fr-CA"/>
        </w:rPr>
        <w:t>c</w:t>
      </w:r>
      <w:r w:rsidRPr="006B4C83">
        <w:rPr>
          <w:i/>
          <w:lang w:val="fr-CA"/>
        </w:rPr>
        <w:t>. Luxton</w:t>
      </w:r>
      <w:r w:rsidRPr="006B4C83">
        <w:rPr>
          <w:lang w:val="fr-CA"/>
        </w:rPr>
        <w:t xml:space="preserve">, [1990] 2 </w:t>
      </w:r>
      <w:r>
        <w:rPr>
          <w:lang w:val="fr-CA"/>
        </w:rPr>
        <w:t>R.C.S.</w:t>
      </w:r>
      <w:r w:rsidRPr="006B4C83">
        <w:rPr>
          <w:lang w:val="fr-CA"/>
        </w:rPr>
        <w:t xml:space="preserve"> 711</w:t>
      </w:r>
      <w:r>
        <w:rPr>
          <w:lang w:val="fr-CA"/>
        </w:rPr>
        <w:t xml:space="preserve">; </w:t>
      </w:r>
      <w:r w:rsidRPr="002E3F22">
        <w:rPr>
          <w:i/>
          <w:lang w:val="fr-CA"/>
        </w:rPr>
        <w:t>S</w:t>
      </w:r>
      <w:r>
        <w:rPr>
          <w:i/>
          <w:lang w:val="fr-CA"/>
        </w:rPr>
        <w:t>teele c</w:t>
      </w:r>
      <w:r w:rsidRPr="002E3F22">
        <w:rPr>
          <w:i/>
          <w:lang w:val="fr-CA"/>
        </w:rPr>
        <w:t xml:space="preserve">. </w:t>
      </w:r>
      <w:r>
        <w:rPr>
          <w:i/>
          <w:lang w:val="fr-CA"/>
        </w:rPr>
        <w:t>Établissement Mountain</w:t>
      </w:r>
      <w:r w:rsidRPr="002E3F22">
        <w:rPr>
          <w:lang w:val="fr-CA"/>
        </w:rPr>
        <w:t xml:space="preserve">, [1990] </w:t>
      </w:r>
      <w:r>
        <w:rPr>
          <w:lang w:val="fr-CA"/>
        </w:rPr>
        <w:t>2 R.C.S.</w:t>
      </w:r>
      <w:r w:rsidRPr="002E3F22">
        <w:rPr>
          <w:lang w:val="fr-CA"/>
        </w:rPr>
        <w:t xml:space="preserve"> 1385</w:t>
      </w:r>
      <w:r>
        <w:rPr>
          <w:lang w:val="fr-CA"/>
        </w:rPr>
        <w:t xml:space="preserve">; </w:t>
      </w:r>
      <w:r w:rsidRPr="002E3F22">
        <w:rPr>
          <w:i/>
          <w:lang w:val="fr-CA"/>
        </w:rPr>
        <w:t xml:space="preserve">R. </w:t>
      </w:r>
      <w:r>
        <w:rPr>
          <w:i/>
          <w:lang w:val="fr-CA"/>
        </w:rPr>
        <w:t>c</w:t>
      </w:r>
      <w:r w:rsidRPr="002E3F22">
        <w:rPr>
          <w:i/>
          <w:lang w:val="fr-CA"/>
        </w:rPr>
        <w:t>. Goltz</w:t>
      </w:r>
      <w:r w:rsidRPr="002E3F22">
        <w:rPr>
          <w:lang w:val="fr-CA"/>
        </w:rPr>
        <w:t xml:space="preserve">, [1991] 3 </w:t>
      </w:r>
      <w:r>
        <w:rPr>
          <w:lang w:val="fr-CA"/>
        </w:rPr>
        <w:t>R.C.S.</w:t>
      </w:r>
      <w:r w:rsidRPr="002E3F22">
        <w:rPr>
          <w:lang w:val="fr-CA"/>
        </w:rPr>
        <w:t xml:space="preserve"> 485</w:t>
      </w:r>
      <w:r>
        <w:rPr>
          <w:lang w:val="fr-CA"/>
        </w:rPr>
        <w:t xml:space="preserve">; </w:t>
      </w:r>
      <w:r>
        <w:rPr>
          <w:i/>
          <w:lang w:val="fr-CA"/>
        </w:rPr>
        <w:t>R. c. Morrisey</w:t>
      </w:r>
      <w:r>
        <w:rPr>
          <w:lang w:val="fr-CA"/>
        </w:rPr>
        <w:t xml:space="preserve">, 2000 CSC 39, [2000] 2 R.C.S. 90; </w:t>
      </w:r>
      <w:r>
        <w:rPr>
          <w:i/>
          <w:lang w:val="fr-CA"/>
        </w:rPr>
        <w:t>R. c. Latimer</w:t>
      </w:r>
      <w:r w:rsidRPr="0014065D">
        <w:rPr>
          <w:lang w:val="fr-CA"/>
        </w:rPr>
        <w:t>,</w:t>
      </w:r>
      <w:r>
        <w:rPr>
          <w:i/>
          <w:lang w:val="fr-CA"/>
        </w:rPr>
        <w:t xml:space="preserve"> </w:t>
      </w:r>
      <w:r>
        <w:rPr>
          <w:lang w:val="fr-CA"/>
        </w:rPr>
        <w:t xml:space="preserve">2001 CSC 1, [2001] 1 R.C.S. 3; </w:t>
      </w:r>
      <w:r>
        <w:rPr>
          <w:i/>
          <w:lang w:val="fr-CA"/>
        </w:rPr>
        <w:t>R. c. Ferguson</w:t>
      </w:r>
      <w:r>
        <w:rPr>
          <w:lang w:val="fr-CA"/>
        </w:rPr>
        <w:t xml:space="preserve">, 2008 CSC 6, [2008] 1 R.C.S. 96; </w:t>
      </w:r>
      <w:r>
        <w:rPr>
          <w:i/>
          <w:lang w:val="fr-CA"/>
        </w:rPr>
        <w:t>R. c. Nur</w:t>
      </w:r>
      <w:r>
        <w:rPr>
          <w:lang w:val="fr-CA"/>
        </w:rPr>
        <w:t xml:space="preserve">, 2015 CSC 15, [2015] 1 R.C.S. 773; </w:t>
      </w:r>
      <w:r>
        <w:rPr>
          <w:i/>
          <w:lang w:val="fr-CA"/>
        </w:rPr>
        <w:t>R. c. Lloyd</w:t>
      </w:r>
      <w:r>
        <w:rPr>
          <w:lang w:val="fr-CA"/>
        </w:rPr>
        <w:t xml:space="preserve">, 2016 CSC 13, [2016] 1 R.C.S. 130; </w:t>
      </w:r>
      <w:r>
        <w:rPr>
          <w:i/>
          <w:lang w:val="fr-CA"/>
        </w:rPr>
        <w:t>R. c. Boudreault</w:t>
      </w:r>
      <w:r>
        <w:rPr>
          <w:lang w:val="fr-CA"/>
        </w:rPr>
        <w:t xml:space="preserve">, 2018 CSC 58, [2018] 3 R.C.S. 599; </w:t>
      </w:r>
      <w:r>
        <w:rPr>
          <w:i/>
          <w:lang w:val="fr-CA"/>
        </w:rPr>
        <w:t>Kindler c. Canada (Ministre de la Justice)</w:t>
      </w:r>
      <w:r>
        <w:rPr>
          <w:lang w:val="fr-CA"/>
        </w:rPr>
        <w:t xml:space="preserve">, [1991] 2 R.C.S. 779; </w:t>
      </w:r>
      <w:r>
        <w:rPr>
          <w:i/>
          <w:lang w:val="fr-CA"/>
        </w:rPr>
        <w:t>R. c. CIP Inc.</w:t>
      </w:r>
      <w:r>
        <w:rPr>
          <w:lang w:val="fr-CA"/>
        </w:rPr>
        <w:t xml:space="preserve">, [1992] 1 R.C.S. 843; </w:t>
      </w:r>
      <w:r w:rsidRPr="00681D93">
        <w:rPr>
          <w:i/>
          <w:iCs/>
          <w:lang w:val="fr-CA"/>
        </w:rPr>
        <w:t>Hunter c. Southam Inc.</w:t>
      </w:r>
      <w:r>
        <w:rPr>
          <w:lang w:val="fr-CA"/>
        </w:rPr>
        <w:t xml:space="preserve">, [1984] 2 R.C.S. 145; </w:t>
      </w:r>
      <w:r w:rsidRPr="00E41B66">
        <w:rPr>
          <w:i/>
          <w:szCs w:val="24"/>
          <w:lang w:val="fr-CA"/>
        </w:rPr>
        <w:t xml:space="preserve">Conseil scolaire francophone de la Colombie-Britannique </w:t>
      </w:r>
      <w:r>
        <w:rPr>
          <w:i/>
          <w:szCs w:val="24"/>
          <w:lang w:val="fr-CA"/>
        </w:rPr>
        <w:t>c</w:t>
      </w:r>
      <w:r w:rsidRPr="00E41B66">
        <w:rPr>
          <w:i/>
          <w:szCs w:val="24"/>
          <w:lang w:val="fr-CA"/>
        </w:rPr>
        <w:t xml:space="preserve">. </w:t>
      </w:r>
      <w:r>
        <w:rPr>
          <w:i/>
          <w:szCs w:val="24"/>
          <w:lang w:val="fr-CA"/>
        </w:rPr>
        <w:t>Colombie-Britannique</w:t>
      </w:r>
      <w:r>
        <w:rPr>
          <w:szCs w:val="24"/>
          <w:lang w:val="fr-CA"/>
        </w:rPr>
        <w:t>, 2020 CSC</w:t>
      </w:r>
      <w:r w:rsidRPr="00E41B66">
        <w:rPr>
          <w:szCs w:val="24"/>
          <w:lang w:val="fr-CA"/>
        </w:rPr>
        <w:t xml:space="preserve"> 13</w:t>
      </w:r>
      <w:r w:rsidR="00505851">
        <w:rPr>
          <w:szCs w:val="24"/>
          <w:lang w:val="fr-CA"/>
        </w:rPr>
        <w:t xml:space="preserve">, </w:t>
      </w:r>
      <w:r w:rsidR="00951C33">
        <w:rPr>
          <w:lang w:val="fr-CA"/>
        </w:rPr>
        <w:t>[2020] 1</w:t>
      </w:r>
      <w:r w:rsidR="00505851">
        <w:rPr>
          <w:lang w:val="fr-CA"/>
        </w:rPr>
        <w:t xml:space="preserve"> R.C.S. </w:t>
      </w:r>
      <w:r w:rsidR="00951C33">
        <w:rPr>
          <w:lang w:val="fr-CA"/>
        </w:rPr>
        <w:t>678</w:t>
      </w:r>
      <w:r>
        <w:rPr>
          <w:szCs w:val="24"/>
          <w:lang w:val="fr-CA"/>
        </w:rPr>
        <w:t>;</w:t>
      </w:r>
      <w:r>
        <w:rPr>
          <w:lang w:val="fr-CA"/>
        </w:rPr>
        <w:t xml:space="preserve"> </w:t>
      </w:r>
      <w:r>
        <w:rPr>
          <w:i/>
          <w:lang w:val="fr-CA"/>
        </w:rPr>
        <w:t>Syndicat Northcrest c. Amselem</w:t>
      </w:r>
      <w:r w:rsidRPr="00505851">
        <w:rPr>
          <w:lang w:val="fr-CA"/>
        </w:rPr>
        <w:t>,</w:t>
      </w:r>
      <w:r>
        <w:rPr>
          <w:i/>
          <w:lang w:val="fr-CA"/>
        </w:rPr>
        <w:t xml:space="preserve"> </w:t>
      </w:r>
      <w:r>
        <w:rPr>
          <w:lang w:val="fr-CA"/>
        </w:rPr>
        <w:t xml:space="preserve">2004 CSC 47, [2004] 2 R.C.S. 551; </w:t>
      </w:r>
      <w:r>
        <w:rPr>
          <w:i/>
          <w:lang w:val="fr-CA"/>
        </w:rPr>
        <w:t>R. c. Oakes</w:t>
      </w:r>
      <w:r>
        <w:rPr>
          <w:lang w:val="fr-CA"/>
        </w:rPr>
        <w:t xml:space="preserve">, [1986] 1 R.C.S. 103; </w:t>
      </w:r>
      <w:r w:rsidRPr="005273CF">
        <w:rPr>
          <w:i/>
          <w:lang w:val="fr-CA"/>
        </w:rPr>
        <w:t>Irwin Toy Ltd. c. Québec (Procureur général)</w:t>
      </w:r>
      <w:r w:rsidRPr="005273CF">
        <w:rPr>
          <w:lang w:val="fr-CA"/>
        </w:rPr>
        <w:t>, [1989] 1 R.C.</w:t>
      </w:r>
      <w:r>
        <w:rPr>
          <w:lang w:val="fr-CA"/>
        </w:rPr>
        <w:t>S</w:t>
      </w:r>
      <w:r w:rsidRPr="005273CF">
        <w:rPr>
          <w:lang w:val="fr-CA"/>
        </w:rPr>
        <w:t xml:space="preserve">. </w:t>
      </w:r>
      <w:r w:rsidRPr="005D00BA">
        <w:rPr>
          <w:lang w:val="fr-CA"/>
        </w:rPr>
        <w:t>927</w:t>
      </w:r>
      <w:r>
        <w:rPr>
          <w:lang w:val="fr-CA"/>
        </w:rPr>
        <w:t xml:space="preserve">; </w:t>
      </w:r>
      <w:r>
        <w:rPr>
          <w:i/>
          <w:lang w:val="fr-CA"/>
        </w:rPr>
        <w:t>Ford c. Québec (Procureur général)</w:t>
      </w:r>
      <w:r>
        <w:rPr>
          <w:lang w:val="fr-CA"/>
        </w:rPr>
        <w:t xml:space="preserve">, [1988] 2 R.C.S. 712; </w:t>
      </w:r>
      <w:r>
        <w:rPr>
          <w:i/>
          <w:lang w:val="fr-CA"/>
        </w:rPr>
        <w:t>R. c. Keegstra</w:t>
      </w:r>
      <w:r w:rsidR="00EC5574">
        <w:rPr>
          <w:lang w:val="fr-CA"/>
        </w:rPr>
        <w:t>, [1990] 3 </w:t>
      </w:r>
      <w:r>
        <w:rPr>
          <w:lang w:val="fr-CA"/>
        </w:rPr>
        <w:t xml:space="preserve">R.C.S. 697; </w:t>
      </w:r>
      <w:r>
        <w:rPr>
          <w:i/>
          <w:lang w:val="fr-CA"/>
        </w:rPr>
        <w:t xml:space="preserve">Renvoi </w:t>
      </w:r>
      <w:r w:rsidR="00505851">
        <w:rPr>
          <w:i/>
          <w:lang w:val="fr-CA"/>
        </w:rPr>
        <w:t>relatif à la Motor Vehicle Act de la C.-B.</w:t>
      </w:r>
      <w:r>
        <w:rPr>
          <w:lang w:val="fr-CA"/>
        </w:rPr>
        <w:t xml:space="preserve">, [1985] 2 R.C.S. 486; </w:t>
      </w:r>
      <w:r>
        <w:rPr>
          <w:i/>
          <w:lang w:val="fr-CA"/>
        </w:rPr>
        <w:t>Eldridge c. Colombie-Britannique (Procureur général)</w:t>
      </w:r>
      <w:r>
        <w:rPr>
          <w:lang w:val="fr-CA"/>
        </w:rPr>
        <w:t xml:space="preserve">, [1997] 3 R.C.S. 624; </w:t>
      </w:r>
      <w:r>
        <w:rPr>
          <w:i/>
          <w:lang w:val="fr-CA"/>
        </w:rPr>
        <w:t>R. c. K.R.J.</w:t>
      </w:r>
      <w:r>
        <w:rPr>
          <w:lang w:val="fr-CA"/>
        </w:rPr>
        <w:t xml:space="preserve">, 2016 CSC 31, [2016] 1 R.C.S. 906; </w:t>
      </w:r>
      <w:r>
        <w:rPr>
          <w:i/>
          <w:lang w:val="fr-CA"/>
        </w:rPr>
        <w:t>R. c. Grant</w:t>
      </w:r>
      <w:r>
        <w:rPr>
          <w:lang w:val="fr-CA"/>
        </w:rPr>
        <w:t xml:space="preserve">, 2009 CSC 32, [2009] 2 R.C.S. </w:t>
      </w:r>
      <w:r w:rsidRPr="001A610F">
        <w:rPr>
          <w:lang w:val="fr-CA"/>
        </w:rPr>
        <w:t xml:space="preserve">353; </w:t>
      </w:r>
      <w:r w:rsidRPr="001A610F">
        <w:rPr>
          <w:i/>
          <w:lang w:val="fr-CA"/>
        </w:rPr>
        <w:t>R. c. Stillman</w:t>
      </w:r>
      <w:r w:rsidRPr="002B6D5B">
        <w:rPr>
          <w:lang w:val="fr-CA"/>
        </w:rPr>
        <w:t>,</w:t>
      </w:r>
      <w:r w:rsidRPr="001A610F">
        <w:rPr>
          <w:i/>
          <w:lang w:val="fr-CA"/>
        </w:rPr>
        <w:t xml:space="preserve"> </w:t>
      </w:r>
      <w:r w:rsidRPr="001A610F">
        <w:rPr>
          <w:lang w:val="fr-CA"/>
        </w:rPr>
        <w:t>2019 CSC 40</w:t>
      </w:r>
      <w:r w:rsidR="002B6D5B">
        <w:rPr>
          <w:lang w:val="fr-CA"/>
        </w:rPr>
        <w:t>, [20</w:t>
      </w:r>
      <w:r w:rsidR="00A977CA">
        <w:rPr>
          <w:lang w:val="fr-CA"/>
        </w:rPr>
        <w:t>19</w:t>
      </w:r>
      <w:r w:rsidR="002B6D5B">
        <w:rPr>
          <w:lang w:val="fr-CA"/>
        </w:rPr>
        <w:t>] 3 R.C.S. 144</w:t>
      </w:r>
      <w:r w:rsidRPr="001A610F">
        <w:rPr>
          <w:lang w:val="fr-CA"/>
        </w:rPr>
        <w:t xml:space="preserve">; </w:t>
      </w:r>
      <w:r w:rsidRPr="001A610F">
        <w:rPr>
          <w:i/>
          <w:lang w:val="fr-CA"/>
        </w:rPr>
        <w:t>R. c. Poulin</w:t>
      </w:r>
      <w:r w:rsidRPr="001A610F">
        <w:rPr>
          <w:lang w:val="fr-CA"/>
        </w:rPr>
        <w:t>, 2019 CSC 47</w:t>
      </w:r>
      <w:r w:rsidR="00A977CA">
        <w:rPr>
          <w:lang w:val="fr-CA"/>
        </w:rPr>
        <w:t>, [2019] 3 R.C.S. 566</w:t>
      </w:r>
      <w:r w:rsidRPr="001A610F">
        <w:rPr>
          <w:lang w:val="fr-CA"/>
        </w:rPr>
        <w:t xml:space="preserve">; </w:t>
      </w:r>
      <w:r w:rsidRPr="001A610F">
        <w:rPr>
          <w:i/>
          <w:lang w:val="fr-CA"/>
        </w:rPr>
        <w:t>Law Society of Upper Canada c. Skapinker</w:t>
      </w:r>
      <w:r w:rsidRPr="001A610F">
        <w:rPr>
          <w:lang w:val="fr-CA"/>
        </w:rPr>
        <w:t xml:space="preserve">, [1984] 1 R.C.S. 357; </w:t>
      </w:r>
      <w:r w:rsidRPr="001A610F">
        <w:rPr>
          <w:i/>
          <w:lang w:val="fr-CA"/>
        </w:rPr>
        <w:t>Renvoi : Circ. électorales provinciales (Sask.)</w:t>
      </w:r>
      <w:r w:rsidR="00EC5574">
        <w:rPr>
          <w:lang w:val="fr-CA"/>
        </w:rPr>
        <w:t>, [1991] 2 </w:t>
      </w:r>
      <w:r w:rsidRPr="001A610F">
        <w:rPr>
          <w:lang w:val="fr-CA"/>
        </w:rPr>
        <w:t xml:space="preserve">R.C.S. 158; </w:t>
      </w:r>
      <w:r w:rsidRPr="001A610F">
        <w:rPr>
          <w:i/>
          <w:lang w:val="fr-CA"/>
        </w:rPr>
        <w:t>District of Columbia c. Heller</w:t>
      </w:r>
      <w:r w:rsidRPr="001A610F">
        <w:rPr>
          <w:lang w:val="fr-CA"/>
        </w:rPr>
        <w:t xml:space="preserve">, 554 U.S. 570 (2008); </w:t>
      </w:r>
      <w:r w:rsidRPr="001A610F">
        <w:rPr>
          <w:i/>
          <w:lang w:val="fr-CA"/>
        </w:rPr>
        <w:t>Furman c. Georgia</w:t>
      </w:r>
      <w:r w:rsidRPr="001A610F">
        <w:rPr>
          <w:lang w:val="fr-CA"/>
        </w:rPr>
        <w:t xml:space="preserve">, 408 U.S. 238 (1972); </w:t>
      </w:r>
      <w:r w:rsidRPr="001A610F">
        <w:rPr>
          <w:i/>
          <w:lang w:val="fr-CA"/>
        </w:rPr>
        <w:t>R. c. Therens</w:t>
      </w:r>
      <w:r w:rsidRPr="001A610F">
        <w:rPr>
          <w:lang w:val="fr-CA"/>
        </w:rPr>
        <w:t xml:space="preserve">, [1985] 1 R.C.S. 613; </w:t>
      </w:r>
      <w:r w:rsidRPr="001A610F">
        <w:rPr>
          <w:i/>
          <w:lang w:val="fr-CA"/>
        </w:rPr>
        <w:t xml:space="preserve">Divito c. Canada (Sécurité publique et Protection </w:t>
      </w:r>
      <w:r w:rsidRPr="001A610F">
        <w:rPr>
          <w:i/>
          <w:lang w:val="fr-CA"/>
        </w:rPr>
        <w:lastRenderedPageBreak/>
        <w:t>civile)</w:t>
      </w:r>
      <w:r w:rsidRPr="001A610F">
        <w:rPr>
          <w:lang w:val="fr-CA"/>
        </w:rPr>
        <w:t xml:space="preserve">, 2013 CSC 47, [2013] 3 R.C.S. 157; </w:t>
      </w:r>
      <w:r w:rsidRPr="001A610F">
        <w:rPr>
          <w:i/>
          <w:lang w:val="fr-CA"/>
        </w:rPr>
        <w:t>États-Unis c. Burns</w:t>
      </w:r>
      <w:r w:rsidRPr="001A610F">
        <w:rPr>
          <w:lang w:val="fr-CA"/>
        </w:rPr>
        <w:t>, 2001 CSC 7, [2001]</w:t>
      </w:r>
      <w:r w:rsidR="00137535">
        <w:rPr>
          <w:lang w:val="fr-CA"/>
        </w:rPr>
        <w:t xml:space="preserve"> 1</w:t>
      </w:r>
      <w:r w:rsidRPr="001A610F">
        <w:rPr>
          <w:lang w:val="fr-CA"/>
        </w:rPr>
        <w:t xml:space="preserve"> R.C.S. 283; </w:t>
      </w:r>
      <w:r w:rsidRPr="001A610F">
        <w:rPr>
          <w:i/>
          <w:lang w:val="fr-CA"/>
        </w:rPr>
        <w:t xml:space="preserve">Slaight Communications Inc. </w:t>
      </w:r>
      <w:r>
        <w:rPr>
          <w:i/>
          <w:lang w:val="fr-CA"/>
        </w:rPr>
        <w:t>c. Davidson</w:t>
      </w:r>
      <w:r w:rsidR="00EC5574">
        <w:rPr>
          <w:lang w:val="fr-CA"/>
        </w:rPr>
        <w:t>, [1989] 1 </w:t>
      </w:r>
      <w:r>
        <w:rPr>
          <w:lang w:val="fr-CA"/>
        </w:rPr>
        <w:t xml:space="preserve">R.C.S. 1038; </w:t>
      </w:r>
      <w:r>
        <w:rPr>
          <w:i/>
          <w:lang w:val="fr-CA"/>
        </w:rPr>
        <w:t>Renvoi relatif à la Public Service Employee Relations Act (Alb.)</w:t>
      </w:r>
      <w:r w:rsidR="00EC5574">
        <w:rPr>
          <w:lang w:val="fr-CA"/>
        </w:rPr>
        <w:t>, [1987] 1 </w:t>
      </w:r>
      <w:r>
        <w:rPr>
          <w:lang w:val="fr-CA"/>
        </w:rPr>
        <w:t xml:space="preserve">R.C.S. 313; </w:t>
      </w:r>
      <w:r>
        <w:rPr>
          <w:i/>
          <w:lang w:val="fr-CA"/>
        </w:rPr>
        <w:t>Baker c. Canada (Ministre de la Citoyenneté et de l’Immigration)</w:t>
      </w:r>
      <w:r w:rsidR="00EC5574">
        <w:rPr>
          <w:lang w:val="fr-CA"/>
        </w:rPr>
        <w:t>, [1999] 2 </w:t>
      </w:r>
      <w:r>
        <w:rPr>
          <w:lang w:val="fr-CA"/>
        </w:rPr>
        <w:t xml:space="preserve">R.C.S. 817; </w:t>
      </w:r>
      <w:r>
        <w:rPr>
          <w:i/>
          <w:lang w:val="fr-CA"/>
        </w:rPr>
        <w:t>Office canadien de commercialisation des œufs c. Richardson</w:t>
      </w:r>
      <w:r w:rsidR="00EC5574">
        <w:rPr>
          <w:lang w:val="fr-CA"/>
        </w:rPr>
        <w:t>, [1998] 3 </w:t>
      </w:r>
      <w:r>
        <w:rPr>
          <w:lang w:val="fr-CA"/>
        </w:rPr>
        <w:t xml:space="preserve">R.C.S. 157; </w:t>
      </w:r>
      <w:r>
        <w:rPr>
          <w:i/>
          <w:lang w:val="fr-CA"/>
        </w:rPr>
        <w:t>Suresh c. Canada (Ministre de la Citoyenneté et de l’Immigration)</w:t>
      </w:r>
      <w:r>
        <w:rPr>
          <w:lang w:val="fr-CA"/>
        </w:rPr>
        <w:t xml:space="preserve">, 2002 CSC 1, [2002] 1 R.C.S. 3; </w:t>
      </w:r>
      <w:r>
        <w:rPr>
          <w:i/>
          <w:lang w:val="fr-CA"/>
        </w:rPr>
        <w:t xml:space="preserve">Health Services and Support — Facilities Subsector Bargaining Assn. </w:t>
      </w:r>
      <w:r w:rsidRPr="008A0A5A">
        <w:rPr>
          <w:i/>
          <w:lang w:val="fr-CA"/>
        </w:rPr>
        <w:t>c. Colombie-Britannique</w:t>
      </w:r>
      <w:r w:rsidRPr="008A0A5A">
        <w:rPr>
          <w:lang w:val="fr-CA"/>
        </w:rPr>
        <w:t xml:space="preserve">, 2007 CSC 27, [2007] 2 R.C.S. 391; </w:t>
      </w:r>
      <w:r w:rsidRPr="008A0A5A">
        <w:rPr>
          <w:i/>
          <w:lang w:val="fr-CA"/>
        </w:rPr>
        <w:t xml:space="preserve">Kazemi (Succession) c. République </w:t>
      </w:r>
      <w:r w:rsidRPr="0010152D">
        <w:rPr>
          <w:i/>
          <w:lang w:val="fr-CA"/>
        </w:rPr>
        <w:t>islamique d’Iran</w:t>
      </w:r>
      <w:r w:rsidRPr="0010152D">
        <w:rPr>
          <w:lang w:val="fr-CA"/>
        </w:rPr>
        <w:t xml:space="preserve">, 2014 CSC 62, [2014] 3 R.C.S. 176; </w:t>
      </w:r>
      <w:r w:rsidRPr="0010152D">
        <w:rPr>
          <w:i/>
          <w:lang w:val="fr-CA"/>
        </w:rPr>
        <w:t>Saskatchewan Federation of Labour c. Saskatchewan</w:t>
      </w:r>
      <w:r w:rsidRPr="0010152D">
        <w:rPr>
          <w:lang w:val="fr-CA"/>
        </w:rPr>
        <w:t xml:space="preserve">, 2015 CSC 4, [2015] 1 R.C.S. 245; </w:t>
      </w:r>
      <w:r w:rsidRPr="0010152D">
        <w:rPr>
          <w:i/>
          <w:lang w:val="fr-CA"/>
        </w:rPr>
        <w:t>Ktunaxa Nation c. Colombie-Britannique (Forests, Lands and Natural Resource Operations)</w:t>
      </w:r>
      <w:r w:rsidRPr="0010152D">
        <w:rPr>
          <w:lang w:val="fr-CA"/>
        </w:rPr>
        <w:t xml:space="preserve">, 2017 CSC 54, [2017] 2 R.C.S. 386; </w:t>
      </w:r>
      <w:r w:rsidRPr="0010152D">
        <w:rPr>
          <w:i/>
          <w:lang w:val="fr-CA"/>
        </w:rPr>
        <w:t>Roper c. Simmons</w:t>
      </w:r>
      <w:r w:rsidRPr="0010152D">
        <w:rPr>
          <w:lang w:val="fr-CA"/>
        </w:rPr>
        <w:t xml:space="preserve">, 543 U.S. 551 (2005); </w:t>
      </w:r>
      <w:r w:rsidRPr="0010152D">
        <w:rPr>
          <w:i/>
          <w:lang w:val="fr-CA"/>
        </w:rPr>
        <w:t>Reyes c. The Queen</w:t>
      </w:r>
      <w:r w:rsidRPr="0010152D">
        <w:rPr>
          <w:lang w:val="fr-CA"/>
        </w:rPr>
        <w:t xml:space="preserve">, [2002] UKPC 11, [2002] 2 A.C. 235; </w:t>
      </w:r>
      <w:r w:rsidRPr="0010152D">
        <w:rPr>
          <w:i/>
          <w:lang w:val="fr-CA"/>
        </w:rPr>
        <w:t>S. c. Williams</w:t>
      </w:r>
      <w:r w:rsidR="00EC5574">
        <w:rPr>
          <w:lang w:val="fr-CA"/>
        </w:rPr>
        <w:t xml:space="preserve">, 1995 </w:t>
      </w:r>
      <w:r w:rsidRPr="0010152D">
        <w:rPr>
          <w:lang w:val="fr-CA"/>
        </w:rPr>
        <w:t xml:space="preserve">(3) S.A. 632; </w:t>
      </w:r>
      <w:r w:rsidRPr="0010152D">
        <w:rPr>
          <w:i/>
          <w:lang w:val="fr-CA"/>
        </w:rPr>
        <w:t>Une société d’édition c. Trinité-et-Tobago</w:t>
      </w:r>
      <w:r w:rsidRPr="0010152D">
        <w:rPr>
          <w:lang w:val="fr-CA"/>
        </w:rPr>
        <w:t>, Communication n</w:t>
      </w:r>
      <w:r w:rsidRPr="0010152D">
        <w:rPr>
          <w:vertAlign w:val="superscript"/>
          <w:lang w:val="fr-CA"/>
        </w:rPr>
        <w:t>o</w:t>
      </w:r>
      <w:r w:rsidR="00EC5574">
        <w:rPr>
          <w:lang w:val="fr-CA"/>
        </w:rPr>
        <w:t> </w:t>
      </w:r>
      <w:r w:rsidRPr="0010152D">
        <w:rPr>
          <w:lang w:val="fr-CA"/>
        </w:rPr>
        <w:t>360/1989, Doc. N.U. Supp. n</w:t>
      </w:r>
      <w:r w:rsidRPr="0010152D">
        <w:rPr>
          <w:vertAlign w:val="superscript"/>
          <w:lang w:val="fr-CA"/>
        </w:rPr>
        <w:t>o</w:t>
      </w:r>
      <w:r w:rsidR="00EC5574">
        <w:rPr>
          <w:lang w:val="fr-CA"/>
        </w:rPr>
        <w:t> </w:t>
      </w:r>
      <w:r w:rsidRPr="0010152D">
        <w:rPr>
          <w:lang w:val="fr-CA"/>
        </w:rPr>
        <w:t>40 (A/44/40);</w:t>
      </w:r>
      <w:r>
        <w:rPr>
          <w:lang w:val="fr-CA"/>
        </w:rPr>
        <w:t xml:space="preserve"> </w:t>
      </w:r>
      <w:r>
        <w:rPr>
          <w:i/>
          <w:lang w:val="fr-CA"/>
        </w:rPr>
        <w:t>Une société d’édition et une société d’impression</w:t>
      </w:r>
      <w:r w:rsidRPr="0010152D">
        <w:rPr>
          <w:i/>
          <w:lang w:val="fr-CA"/>
        </w:rPr>
        <w:t xml:space="preserve"> c. Trinité-et-Tobago</w:t>
      </w:r>
      <w:r w:rsidRPr="0010152D">
        <w:rPr>
          <w:lang w:val="fr-CA"/>
        </w:rPr>
        <w:t>, Communication n</w:t>
      </w:r>
      <w:r w:rsidRPr="0010152D">
        <w:rPr>
          <w:vertAlign w:val="superscript"/>
          <w:lang w:val="fr-CA"/>
        </w:rPr>
        <w:t>o</w:t>
      </w:r>
      <w:r w:rsidR="00EC5574">
        <w:rPr>
          <w:lang w:val="fr-CA"/>
        </w:rPr>
        <w:t> </w:t>
      </w:r>
      <w:r>
        <w:rPr>
          <w:lang w:val="fr-CA"/>
        </w:rPr>
        <w:t>361</w:t>
      </w:r>
      <w:r w:rsidRPr="0010152D">
        <w:rPr>
          <w:lang w:val="fr-CA"/>
        </w:rPr>
        <w:t>/1989, Doc. N.U. Supp. n</w:t>
      </w:r>
      <w:r w:rsidRPr="0010152D">
        <w:rPr>
          <w:vertAlign w:val="superscript"/>
          <w:lang w:val="fr-CA"/>
        </w:rPr>
        <w:t>o</w:t>
      </w:r>
      <w:r w:rsidR="00EC5574">
        <w:rPr>
          <w:lang w:val="fr-CA"/>
        </w:rPr>
        <w:t> </w:t>
      </w:r>
      <w:r w:rsidRPr="0010152D">
        <w:rPr>
          <w:lang w:val="fr-CA"/>
        </w:rPr>
        <w:t>40 (A/44/40)</w:t>
      </w:r>
      <w:r>
        <w:rPr>
          <w:lang w:val="fr-CA"/>
        </w:rPr>
        <w:t xml:space="preserve">; </w:t>
      </w:r>
      <w:r w:rsidRPr="0010152D">
        <w:rPr>
          <w:i/>
          <w:lang w:val="fr-CA"/>
        </w:rPr>
        <w:t>V.S</w:t>
      </w:r>
      <w:r w:rsidR="00137535">
        <w:rPr>
          <w:i/>
          <w:lang w:val="fr-CA"/>
        </w:rPr>
        <w:t>.</w:t>
      </w:r>
      <w:r w:rsidRPr="0010152D">
        <w:rPr>
          <w:i/>
          <w:lang w:val="fr-CA"/>
        </w:rPr>
        <w:t xml:space="preserve"> c. </w:t>
      </w:r>
      <w:r w:rsidRPr="0072663E">
        <w:rPr>
          <w:i/>
          <w:lang w:val="fr-CA"/>
        </w:rPr>
        <w:t>Bélarus</w:t>
      </w:r>
      <w:r w:rsidRPr="0072663E">
        <w:rPr>
          <w:lang w:val="fr-CA"/>
        </w:rPr>
        <w:t>, Communication n</w:t>
      </w:r>
      <w:r w:rsidRPr="0072663E">
        <w:rPr>
          <w:vertAlign w:val="superscript"/>
          <w:lang w:val="fr-CA"/>
        </w:rPr>
        <w:t>o</w:t>
      </w:r>
      <w:r w:rsidR="00EC5574">
        <w:rPr>
          <w:lang w:val="fr-CA"/>
        </w:rPr>
        <w:t> </w:t>
      </w:r>
      <w:r w:rsidRPr="0072663E">
        <w:rPr>
          <w:lang w:val="fr-CA"/>
        </w:rPr>
        <w:t xml:space="preserve">1749/2008, Doc. N.U. CCPR/C/103/D (2011); </w:t>
      </w:r>
      <w:r w:rsidRPr="0072663E">
        <w:rPr>
          <w:i/>
          <w:lang w:val="fr-CA"/>
        </w:rPr>
        <w:t>Titularidad de Derechos de las Personas Jurídicas en el Sistema Interamericano de Derechos Humanos</w:t>
      </w:r>
      <w:r w:rsidRPr="0072663E">
        <w:rPr>
          <w:lang w:val="fr-CA"/>
        </w:rPr>
        <w:t>, Advisory Opinion OC-22/16, February</w:t>
      </w:r>
      <w:r w:rsidR="00730302">
        <w:rPr>
          <w:lang w:val="fr-CA"/>
        </w:rPr>
        <w:t> </w:t>
      </w:r>
      <w:r w:rsidRPr="0072663E">
        <w:rPr>
          <w:lang w:val="fr-CA"/>
        </w:rPr>
        <w:t xml:space="preserve">26, 2016; </w:t>
      </w:r>
      <w:r w:rsidRPr="0072663E">
        <w:rPr>
          <w:i/>
          <w:lang w:val="fr-CA"/>
        </w:rPr>
        <w:t>Kontakt-Information-Therapie</w:t>
      </w:r>
      <w:r>
        <w:rPr>
          <w:i/>
          <w:lang w:val="fr-CA"/>
        </w:rPr>
        <w:t xml:space="preserve"> c. Autriche</w:t>
      </w:r>
      <w:r>
        <w:rPr>
          <w:lang w:val="fr-CA"/>
        </w:rPr>
        <w:t>, requête n</w:t>
      </w:r>
      <w:r>
        <w:rPr>
          <w:vertAlign w:val="superscript"/>
          <w:lang w:val="fr-CA"/>
        </w:rPr>
        <w:t>o</w:t>
      </w:r>
      <w:r w:rsidR="00EC5574">
        <w:rPr>
          <w:lang w:val="fr-CA"/>
        </w:rPr>
        <w:t> </w:t>
      </w:r>
      <w:r w:rsidR="00730302">
        <w:rPr>
          <w:lang w:val="fr-CA"/>
        </w:rPr>
        <w:t>11921/86, 12 </w:t>
      </w:r>
      <w:r w:rsidR="00EC5574">
        <w:rPr>
          <w:lang w:val="fr-CA"/>
        </w:rPr>
        <w:t>octobre 1988, D.R. </w:t>
      </w:r>
      <w:r w:rsidR="009A1433">
        <w:rPr>
          <w:lang w:val="fr-CA"/>
        </w:rPr>
        <w:t>57, p.</w:t>
      </w:r>
      <w:r w:rsidR="00EC5574">
        <w:rPr>
          <w:lang w:val="fr-CA"/>
        </w:rPr>
        <w:t> </w:t>
      </w:r>
      <w:r>
        <w:rPr>
          <w:lang w:val="fr-CA"/>
        </w:rPr>
        <w:t xml:space="preserve">81; </w:t>
      </w:r>
      <w:r>
        <w:rPr>
          <w:i/>
          <w:lang w:val="fr-CA"/>
        </w:rPr>
        <w:t>Identoba c. Georgia</w:t>
      </w:r>
      <w:r>
        <w:rPr>
          <w:lang w:val="fr-CA"/>
        </w:rPr>
        <w:t xml:space="preserve">, </w:t>
      </w:r>
      <w:r w:rsidR="00EC5574">
        <w:rPr>
          <w:lang w:val="fr-CA"/>
        </w:rPr>
        <w:t>Application No. </w:t>
      </w:r>
      <w:r w:rsidRPr="003D7D8D">
        <w:rPr>
          <w:lang w:val="fr-CA"/>
        </w:rPr>
        <w:t>73235/12, May</w:t>
      </w:r>
      <w:r w:rsidR="00730302">
        <w:rPr>
          <w:lang w:val="fr-CA"/>
        </w:rPr>
        <w:t> </w:t>
      </w:r>
      <w:r w:rsidRPr="003D7D8D">
        <w:rPr>
          <w:lang w:val="fr-CA"/>
        </w:rPr>
        <w:t>12, 2015 (HUDOC)</w:t>
      </w:r>
      <w:r>
        <w:rPr>
          <w:lang w:val="fr-CA"/>
        </w:rPr>
        <w:t>;</w:t>
      </w:r>
      <w:r w:rsidRPr="0010152D">
        <w:rPr>
          <w:lang w:val="fr-CA"/>
        </w:rPr>
        <w:t xml:space="preserve"> </w:t>
      </w:r>
      <w:r w:rsidRPr="0010152D">
        <w:rPr>
          <w:i/>
          <w:lang w:val="fr-CA"/>
        </w:rPr>
        <w:t>S. c. Makwanyane</w:t>
      </w:r>
      <w:r w:rsidRPr="0010152D">
        <w:rPr>
          <w:lang w:val="fr-CA"/>
        </w:rPr>
        <w:t xml:space="preserve">, 1995 (3) S.A. 391; </w:t>
      </w:r>
      <w:r w:rsidRPr="0010152D">
        <w:rPr>
          <w:i/>
          <w:lang w:val="fr-CA"/>
        </w:rPr>
        <w:t>S. c. Dodo</w:t>
      </w:r>
      <w:r w:rsidRPr="0010152D">
        <w:rPr>
          <w:lang w:val="fr-CA"/>
        </w:rPr>
        <w:t xml:space="preserve">, 2001 (3) S.A. 382; </w:t>
      </w:r>
      <w:r w:rsidRPr="0010152D">
        <w:rPr>
          <w:i/>
          <w:lang w:val="fr-CA"/>
        </w:rPr>
        <w:t>Taunoa c. Attorney-General</w:t>
      </w:r>
      <w:r w:rsidRPr="0010152D">
        <w:rPr>
          <w:lang w:val="fr-CA"/>
        </w:rPr>
        <w:t xml:space="preserve">, [2007] NZSC 70, [2008] 1 N.Z.L.R. 429; </w:t>
      </w:r>
      <w:r w:rsidRPr="0010152D">
        <w:rPr>
          <w:i/>
          <w:lang w:val="fr-CA"/>
        </w:rPr>
        <w:t>R. c. Kapp</w:t>
      </w:r>
      <w:r w:rsidR="00EC5574">
        <w:rPr>
          <w:lang w:val="fr-CA"/>
        </w:rPr>
        <w:t>, 2008 CSC 41, [2008] 2 </w:t>
      </w:r>
      <w:r w:rsidRPr="0010152D">
        <w:rPr>
          <w:lang w:val="fr-CA"/>
        </w:rPr>
        <w:t>R.C.S. 483;</w:t>
      </w:r>
      <w:r>
        <w:rPr>
          <w:lang w:val="fr-CA"/>
        </w:rPr>
        <w:t xml:space="preserve"> </w:t>
      </w:r>
      <w:r>
        <w:rPr>
          <w:i/>
          <w:lang w:val="fr-CA"/>
        </w:rPr>
        <w:t xml:space="preserve">R. </w:t>
      </w:r>
      <w:r>
        <w:rPr>
          <w:i/>
          <w:lang w:val="fr-CA"/>
        </w:rPr>
        <w:lastRenderedPageBreak/>
        <w:t>c. Hebert</w:t>
      </w:r>
      <w:r>
        <w:rPr>
          <w:lang w:val="fr-CA"/>
        </w:rPr>
        <w:t xml:space="preserve">, [1990] 2 R.C.S. 151; </w:t>
      </w:r>
      <w:r>
        <w:rPr>
          <w:i/>
          <w:lang w:val="fr-CA"/>
        </w:rPr>
        <w:t>Thomson Newspapers Ltd. c. Canada (Directeu</w:t>
      </w:r>
      <w:r w:rsidR="00951C33">
        <w:rPr>
          <w:i/>
          <w:lang w:val="fr-CA"/>
        </w:rPr>
        <w:t>r des enquêtes et recherches, Co</w:t>
      </w:r>
      <w:r>
        <w:rPr>
          <w:i/>
          <w:lang w:val="fr-CA"/>
        </w:rPr>
        <w:t>mmission sur les pratiques restrictives du commerce)</w:t>
      </w:r>
      <w:r>
        <w:rPr>
          <w:lang w:val="fr-CA"/>
        </w:rPr>
        <w:t xml:space="preserve">, [1990] 1 R.C.S. 425; </w:t>
      </w:r>
      <w:r w:rsidRPr="008372D9">
        <w:rPr>
          <w:i/>
          <w:lang w:val="fr-CA"/>
        </w:rPr>
        <w:t xml:space="preserve">R. </w:t>
      </w:r>
      <w:r>
        <w:rPr>
          <w:i/>
          <w:lang w:val="fr-CA"/>
        </w:rPr>
        <w:t>c</w:t>
      </w:r>
      <w:r w:rsidRPr="008372D9">
        <w:rPr>
          <w:i/>
          <w:lang w:val="fr-CA"/>
        </w:rPr>
        <w:t>. Wholesale Travel Group Inc.</w:t>
      </w:r>
      <w:r w:rsidRPr="008372D9">
        <w:rPr>
          <w:lang w:val="fr-CA"/>
        </w:rPr>
        <w:t>, [1991]</w:t>
      </w:r>
      <w:r>
        <w:rPr>
          <w:lang w:val="fr-CA"/>
        </w:rPr>
        <w:t xml:space="preserve"> 3 R.C.S.</w:t>
      </w:r>
      <w:r w:rsidRPr="008372D9">
        <w:rPr>
          <w:lang w:val="fr-CA"/>
        </w:rPr>
        <w:t xml:space="preserve"> 154</w:t>
      </w:r>
      <w:r>
        <w:rPr>
          <w:lang w:val="fr-CA"/>
        </w:rPr>
        <w:t xml:space="preserve">; </w:t>
      </w:r>
      <w:r>
        <w:rPr>
          <w:i/>
          <w:lang w:val="fr-CA"/>
        </w:rPr>
        <w:t>Mills c. La Reine</w:t>
      </w:r>
      <w:r>
        <w:rPr>
          <w:lang w:val="fr-CA"/>
        </w:rPr>
        <w:t xml:space="preserve">, </w:t>
      </w:r>
      <w:r w:rsidRPr="008372D9">
        <w:rPr>
          <w:lang w:val="fr-CA"/>
        </w:rPr>
        <w:t>[1986]</w:t>
      </w:r>
      <w:r>
        <w:rPr>
          <w:lang w:val="fr-CA"/>
        </w:rPr>
        <w:t xml:space="preserve"> 1 R.C.S. 863; </w:t>
      </w:r>
      <w:r>
        <w:rPr>
          <w:i/>
          <w:lang w:val="fr-CA"/>
        </w:rPr>
        <w:t>R. c. Amway Corp.</w:t>
      </w:r>
      <w:r>
        <w:rPr>
          <w:lang w:val="fr-CA"/>
        </w:rPr>
        <w:t xml:space="preserve">, </w:t>
      </w:r>
      <w:r w:rsidRPr="00F23410">
        <w:rPr>
          <w:lang w:val="fr-CA"/>
        </w:rPr>
        <w:t>[</w:t>
      </w:r>
      <w:r>
        <w:rPr>
          <w:lang w:val="fr-CA"/>
        </w:rPr>
        <w:t>1989</w:t>
      </w:r>
      <w:r w:rsidRPr="00F23410">
        <w:rPr>
          <w:lang w:val="fr-CA"/>
        </w:rPr>
        <w:t>]</w:t>
      </w:r>
      <w:r>
        <w:rPr>
          <w:lang w:val="fr-CA"/>
        </w:rPr>
        <w:t xml:space="preserve"> 1 R.C.S. 21.</w:t>
      </w:r>
    </w:p>
    <w:p w:rsidR="005B46D7" w:rsidRPr="004D7D95" w:rsidRDefault="005B46D7" w:rsidP="00653396">
      <w:pPr>
        <w:pStyle w:val="SCCNormalDoubleSpacing"/>
        <w:spacing w:after="720" w:line="240" w:lineRule="auto"/>
        <w:rPr>
          <w:lang w:val="fr-CA"/>
        </w:rPr>
      </w:pPr>
      <w:r w:rsidRPr="00895C88">
        <w:rPr>
          <w:lang w:val="fr-CA"/>
        </w:rPr>
        <w:t>Cit</w:t>
      </w:r>
      <w:r w:rsidR="000849CD">
        <w:rPr>
          <w:lang w:val="fr-CA"/>
        </w:rPr>
        <w:t>ée par le juge Kasirer</w:t>
      </w:r>
    </w:p>
    <w:p w:rsidR="005B46D7" w:rsidRDefault="005B46D7" w:rsidP="00653396">
      <w:pPr>
        <w:pStyle w:val="SCCNormalDoubleSpacing"/>
        <w:spacing w:after="480"/>
        <w:rPr>
          <w:b/>
          <w:lang w:val="fr-CA"/>
        </w:rPr>
      </w:pPr>
      <w:r w:rsidRPr="004D7D95">
        <w:rPr>
          <w:lang w:val="fr-CA"/>
        </w:rPr>
        <w:tab/>
      </w:r>
      <w:r w:rsidRPr="0072663E">
        <w:rPr>
          <w:b/>
          <w:lang w:val="fr-CA"/>
        </w:rPr>
        <w:t>Arrêts mentionnés</w:t>
      </w:r>
      <w:r w:rsidR="00267D90" w:rsidRPr="0072663E">
        <w:rPr>
          <w:b/>
          <w:lang w:val="fr-CA"/>
        </w:rPr>
        <w:t xml:space="preserve"> : </w:t>
      </w:r>
      <w:r w:rsidR="00267D90" w:rsidRPr="0072663E">
        <w:rPr>
          <w:i/>
          <w:szCs w:val="24"/>
          <w:lang w:val="fr-CA"/>
        </w:rPr>
        <w:t>Conseil scolaire francophone de la Colombie-Britannique c. Colombie</w:t>
      </w:r>
      <w:r w:rsidR="00267D90">
        <w:rPr>
          <w:i/>
          <w:szCs w:val="24"/>
          <w:lang w:val="fr-CA"/>
        </w:rPr>
        <w:t>-Britannique</w:t>
      </w:r>
      <w:r w:rsidR="00267D90">
        <w:rPr>
          <w:szCs w:val="24"/>
          <w:lang w:val="fr-CA"/>
        </w:rPr>
        <w:t>, 2020 CSC</w:t>
      </w:r>
      <w:r w:rsidR="00267D90" w:rsidRPr="00E41B66">
        <w:rPr>
          <w:szCs w:val="24"/>
          <w:lang w:val="fr-CA"/>
        </w:rPr>
        <w:t xml:space="preserve"> 13</w:t>
      </w:r>
      <w:r w:rsidR="00AC7A42">
        <w:rPr>
          <w:szCs w:val="24"/>
          <w:lang w:val="fr-CA"/>
        </w:rPr>
        <w:t xml:space="preserve">, </w:t>
      </w:r>
      <w:r w:rsidR="00704D85">
        <w:rPr>
          <w:lang w:val="fr-CA"/>
        </w:rPr>
        <w:t>[2020] 1</w:t>
      </w:r>
      <w:r w:rsidR="00AC7A42">
        <w:rPr>
          <w:lang w:val="fr-CA"/>
        </w:rPr>
        <w:t xml:space="preserve"> R.C.S. </w:t>
      </w:r>
      <w:r w:rsidR="00704D85">
        <w:rPr>
          <w:lang w:val="fr-CA"/>
        </w:rPr>
        <w:t>678</w:t>
      </w:r>
      <w:r w:rsidR="00267D90">
        <w:rPr>
          <w:szCs w:val="24"/>
          <w:lang w:val="fr-CA"/>
        </w:rPr>
        <w:t xml:space="preserve">; </w:t>
      </w:r>
      <w:r w:rsidR="003F74EC">
        <w:rPr>
          <w:i/>
          <w:lang w:val="fr-CA"/>
        </w:rPr>
        <w:t>R. c. Smith</w:t>
      </w:r>
      <w:r w:rsidR="00267D90">
        <w:rPr>
          <w:lang w:val="fr-CA"/>
        </w:rPr>
        <w:t>, [1987] 1 R.C.S. 1045.</w:t>
      </w:r>
    </w:p>
    <w:p w:rsidR="004D7D95" w:rsidRPr="000849CD" w:rsidRDefault="004D7D95" w:rsidP="00653396">
      <w:pPr>
        <w:pStyle w:val="SCCNormalDoubleSpacing"/>
        <w:spacing w:after="720" w:line="240" w:lineRule="auto"/>
        <w:rPr>
          <w:b/>
          <w:lang w:val="en-US"/>
        </w:rPr>
      </w:pPr>
      <w:r w:rsidRPr="000849CD">
        <w:rPr>
          <w:b/>
          <w:lang w:val="en-US"/>
        </w:rPr>
        <w:t>Lois et règlements cités</w:t>
      </w:r>
    </w:p>
    <w:p w:rsidR="00684900" w:rsidRPr="00684900" w:rsidRDefault="00684900" w:rsidP="00653396">
      <w:pPr>
        <w:pStyle w:val="SCCNormalDoubleSpacing"/>
        <w:spacing w:after="240" w:line="240" w:lineRule="auto"/>
        <w:ind w:left="539" w:hanging="539"/>
        <w:rPr>
          <w:lang w:val="fr-CA"/>
        </w:rPr>
      </w:pPr>
      <w:r w:rsidRPr="000849CD">
        <w:rPr>
          <w:i/>
          <w:lang w:val="en-US"/>
        </w:rPr>
        <w:t>Bill of Rights</w:t>
      </w:r>
      <w:r w:rsidR="009D2654" w:rsidRPr="000849CD">
        <w:rPr>
          <w:lang w:val="en-US"/>
        </w:rPr>
        <w:t xml:space="preserve"> (Angl</w:t>
      </w:r>
      <w:r w:rsidRPr="000849CD">
        <w:rPr>
          <w:lang w:val="en-US"/>
        </w:rPr>
        <w:t xml:space="preserve">.), 1688, 1 Will. </w:t>
      </w:r>
      <w:r w:rsidRPr="00684900">
        <w:rPr>
          <w:lang w:val="fr-CA"/>
        </w:rPr>
        <w:t xml:space="preserve">&amp; Mar. </w:t>
      </w:r>
      <w:r w:rsidR="00730302">
        <w:rPr>
          <w:lang w:val="fr-CA"/>
        </w:rPr>
        <w:t>sess. 2, c. </w:t>
      </w:r>
      <w:r w:rsidRPr="00684900">
        <w:rPr>
          <w:lang w:val="fr-CA"/>
        </w:rPr>
        <w:t>2</w:t>
      </w:r>
      <w:r w:rsidR="00730302">
        <w:rPr>
          <w:lang w:val="fr-CA"/>
        </w:rPr>
        <w:t>, art. </w:t>
      </w:r>
      <w:r w:rsidR="009D2654">
        <w:rPr>
          <w:lang w:val="fr-CA"/>
        </w:rPr>
        <w:t>10.</w:t>
      </w:r>
    </w:p>
    <w:p w:rsidR="004D7D95" w:rsidRPr="004D7D95" w:rsidRDefault="008A7687" w:rsidP="00653396">
      <w:pPr>
        <w:pStyle w:val="SCCNormalDoubleSpacing"/>
        <w:spacing w:after="240" w:line="240" w:lineRule="auto"/>
        <w:ind w:left="539" w:hanging="539"/>
        <w:rPr>
          <w:lang w:val="fr-CA"/>
        </w:rPr>
      </w:pPr>
      <w:r w:rsidRPr="008A7687">
        <w:rPr>
          <w:i/>
          <w:lang w:val="fr-CA"/>
        </w:rPr>
        <w:t>Charte canadienne des droits et libertés</w:t>
      </w:r>
      <w:r w:rsidRPr="008A7687">
        <w:rPr>
          <w:lang w:val="fr-CA"/>
        </w:rPr>
        <w:t xml:space="preserve">, </w:t>
      </w:r>
      <w:r w:rsidR="006777CC" w:rsidRPr="00786734">
        <w:rPr>
          <w:lang w:val="fr-CA"/>
        </w:rPr>
        <w:t>art.</w:t>
      </w:r>
      <w:r w:rsidR="00786734">
        <w:rPr>
          <w:lang w:val="fr-CA"/>
        </w:rPr>
        <w:t> </w:t>
      </w:r>
      <w:r w:rsidR="006777CC" w:rsidRPr="00786734">
        <w:rPr>
          <w:lang w:val="fr-CA"/>
        </w:rPr>
        <w:t>7,</w:t>
      </w:r>
      <w:r w:rsidR="0060679A" w:rsidRPr="00786734">
        <w:rPr>
          <w:lang w:val="fr-CA"/>
        </w:rPr>
        <w:t xml:space="preserve"> 7 à 14,</w:t>
      </w:r>
      <w:r w:rsidR="006777CC" w:rsidRPr="00786734">
        <w:rPr>
          <w:lang w:val="fr-CA"/>
        </w:rPr>
        <w:t xml:space="preserve"> 8, 11</w:t>
      </w:r>
      <w:r w:rsidR="006777CC" w:rsidRPr="00786734">
        <w:rPr>
          <w:i/>
          <w:lang w:val="fr-CA"/>
        </w:rPr>
        <w:t>b</w:t>
      </w:r>
      <w:r w:rsidR="006777CC" w:rsidRPr="00786734">
        <w:rPr>
          <w:lang w:val="fr-CA"/>
        </w:rPr>
        <w:t xml:space="preserve">), </w:t>
      </w:r>
      <w:r w:rsidR="006777CC" w:rsidRPr="00786734">
        <w:rPr>
          <w:i/>
          <w:lang w:val="fr-CA"/>
        </w:rPr>
        <w:t>c</w:t>
      </w:r>
      <w:r w:rsidR="0072663E" w:rsidRPr="00786734">
        <w:rPr>
          <w:lang w:val="fr-CA"/>
        </w:rPr>
        <w:t>),</w:t>
      </w:r>
      <w:r w:rsidR="006777CC">
        <w:rPr>
          <w:lang w:val="fr-CA"/>
        </w:rPr>
        <w:t xml:space="preserve"> </w:t>
      </w:r>
      <w:r w:rsidR="006777CC" w:rsidRPr="00FE47D4">
        <w:rPr>
          <w:i/>
          <w:lang w:val="fr-CA"/>
        </w:rPr>
        <w:t>e</w:t>
      </w:r>
      <w:r w:rsidR="006777CC">
        <w:rPr>
          <w:lang w:val="fr-CA"/>
        </w:rPr>
        <w:t xml:space="preserve">), </w:t>
      </w:r>
      <w:r w:rsidR="006777CC" w:rsidRPr="00FE47D4">
        <w:rPr>
          <w:lang w:val="fr-CA"/>
        </w:rPr>
        <w:t>12</w:t>
      </w:r>
      <w:r w:rsidR="0060679A">
        <w:rPr>
          <w:lang w:val="fr-CA"/>
        </w:rPr>
        <w:t>.</w:t>
      </w:r>
    </w:p>
    <w:p w:rsidR="00267D90" w:rsidRPr="00653396" w:rsidRDefault="00267D90" w:rsidP="00653396">
      <w:pPr>
        <w:pStyle w:val="SCCNormalDoubleSpacing"/>
        <w:spacing w:after="240" w:line="240" w:lineRule="auto"/>
        <w:ind w:left="539" w:hanging="539"/>
        <w:rPr>
          <w:lang w:val="fr-CA"/>
        </w:rPr>
      </w:pPr>
      <w:r w:rsidRPr="00653396">
        <w:rPr>
          <w:i/>
          <w:lang w:val="fr-CA"/>
        </w:rPr>
        <w:t>Code civil du Québec</w:t>
      </w:r>
      <w:r w:rsidRPr="00653396">
        <w:rPr>
          <w:lang w:val="fr-CA"/>
        </w:rPr>
        <w:t>.</w:t>
      </w:r>
    </w:p>
    <w:p w:rsidR="006777CC" w:rsidRDefault="006777CC" w:rsidP="00653396">
      <w:pPr>
        <w:pStyle w:val="SCCNormalDoubleSpacing"/>
        <w:spacing w:after="240" w:line="240" w:lineRule="auto"/>
        <w:ind w:left="539" w:hanging="539"/>
        <w:rPr>
          <w:lang w:val="fr-CA"/>
        </w:rPr>
      </w:pPr>
      <w:r>
        <w:rPr>
          <w:lang w:val="fr-CA"/>
        </w:rPr>
        <w:t>Constit</w:t>
      </w:r>
      <w:r w:rsidR="00730302">
        <w:rPr>
          <w:lang w:val="fr-CA"/>
        </w:rPr>
        <w:t>ution de l’Afrique du Sud, art. </w:t>
      </w:r>
      <w:r>
        <w:rPr>
          <w:lang w:val="fr-CA"/>
        </w:rPr>
        <w:t>12(1)(e).</w:t>
      </w:r>
    </w:p>
    <w:p w:rsidR="004D7D95" w:rsidRPr="0072663E" w:rsidRDefault="00E82471" w:rsidP="00653396">
      <w:pPr>
        <w:pStyle w:val="SCCNormalDoubleSpacing"/>
        <w:spacing w:after="240" w:line="240" w:lineRule="auto"/>
        <w:ind w:left="539" w:hanging="539"/>
        <w:rPr>
          <w:lang w:val="fr-CA"/>
        </w:rPr>
      </w:pPr>
      <w:r w:rsidRPr="0072663E">
        <w:rPr>
          <w:lang w:val="fr-CA"/>
        </w:rPr>
        <w:t>Constitution des États</w:t>
      </w:r>
      <w:r w:rsidRPr="0072663E">
        <w:rPr>
          <w:lang w:val="fr-CA"/>
        </w:rPr>
        <w:noBreakHyphen/>
      </w:r>
      <w:r w:rsidR="0072663E" w:rsidRPr="0072663E">
        <w:rPr>
          <w:lang w:val="fr-CA"/>
        </w:rPr>
        <w:t xml:space="preserve">Unis, </w:t>
      </w:r>
      <w:r w:rsidR="006777CC" w:rsidRPr="0072663E">
        <w:rPr>
          <w:lang w:val="fr-CA"/>
        </w:rPr>
        <w:t>Huitième amendement.</w:t>
      </w:r>
    </w:p>
    <w:p w:rsidR="004B301A" w:rsidRDefault="004B301A" w:rsidP="00653396">
      <w:pPr>
        <w:pStyle w:val="SCCNormalDoubleSpacing"/>
        <w:spacing w:after="240" w:line="240" w:lineRule="auto"/>
        <w:ind w:left="539" w:hanging="539"/>
        <w:rPr>
          <w:lang w:val="fr-CA"/>
        </w:rPr>
      </w:pPr>
      <w:r w:rsidRPr="0072663E">
        <w:rPr>
          <w:i/>
          <w:lang w:val="fr-CA"/>
        </w:rPr>
        <w:t>Déclaration canadienne des droits</w:t>
      </w:r>
      <w:r w:rsidRPr="0072663E">
        <w:rPr>
          <w:lang w:val="fr-CA"/>
        </w:rPr>
        <w:t xml:space="preserve">, </w:t>
      </w:r>
      <w:r w:rsidR="00D639EA" w:rsidRPr="0072663E">
        <w:rPr>
          <w:lang w:val="fr-CA"/>
        </w:rPr>
        <w:t>S.C.</w:t>
      </w:r>
      <w:r w:rsidR="00730302">
        <w:rPr>
          <w:lang w:val="fr-CA"/>
        </w:rPr>
        <w:t xml:space="preserve"> 1960, c. </w:t>
      </w:r>
      <w:r w:rsidR="006777CC" w:rsidRPr="0072663E">
        <w:rPr>
          <w:lang w:val="fr-CA"/>
        </w:rPr>
        <w:t>44,</w:t>
      </w:r>
      <w:r w:rsidR="0072663E" w:rsidRPr="0072663E">
        <w:rPr>
          <w:lang w:val="fr-CA"/>
        </w:rPr>
        <w:t xml:space="preserve"> préambule,</w:t>
      </w:r>
      <w:r w:rsidR="00730302">
        <w:rPr>
          <w:lang w:val="fr-CA"/>
        </w:rPr>
        <w:t xml:space="preserve"> art. </w:t>
      </w:r>
      <w:r w:rsidR="006777CC" w:rsidRPr="0072663E">
        <w:rPr>
          <w:lang w:val="fr-CA"/>
        </w:rPr>
        <w:t>2</w:t>
      </w:r>
      <w:r w:rsidR="006777CC" w:rsidRPr="0072663E">
        <w:rPr>
          <w:i/>
          <w:lang w:val="fr-CA"/>
        </w:rPr>
        <w:t>b</w:t>
      </w:r>
      <w:r w:rsidR="006777CC" w:rsidRPr="0072663E">
        <w:rPr>
          <w:lang w:val="fr-CA"/>
        </w:rPr>
        <w:t>).</w:t>
      </w:r>
    </w:p>
    <w:p w:rsidR="006777CC" w:rsidRPr="004B301A" w:rsidRDefault="006777CC" w:rsidP="00653396">
      <w:pPr>
        <w:pStyle w:val="SCCNormalDoubleSpacing"/>
        <w:spacing w:after="240" w:line="240" w:lineRule="auto"/>
        <w:ind w:left="539" w:hanging="539"/>
        <w:rPr>
          <w:lang w:val="fr-CA"/>
        </w:rPr>
      </w:pPr>
      <w:r w:rsidRPr="000F5550">
        <w:rPr>
          <w:i/>
          <w:lang w:val="fr-CA"/>
        </w:rPr>
        <w:t xml:space="preserve">Loi sur le </w:t>
      </w:r>
      <w:r>
        <w:rPr>
          <w:i/>
          <w:lang w:val="fr-CA"/>
        </w:rPr>
        <w:t>bâtiment</w:t>
      </w:r>
      <w:r>
        <w:rPr>
          <w:lang w:val="fr-CA"/>
        </w:rPr>
        <w:t>, RLRQ,</w:t>
      </w:r>
      <w:r w:rsidR="00730302">
        <w:rPr>
          <w:lang w:val="fr-CA"/>
        </w:rPr>
        <w:t xml:space="preserve"> c. </w:t>
      </w:r>
      <w:r w:rsidRPr="000F5550">
        <w:rPr>
          <w:lang w:val="fr-CA"/>
        </w:rPr>
        <w:t>B-1.1</w:t>
      </w:r>
      <w:r w:rsidR="00730302">
        <w:rPr>
          <w:lang w:val="fr-CA"/>
        </w:rPr>
        <w:t>, art. </w:t>
      </w:r>
      <w:r>
        <w:rPr>
          <w:lang w:val="fr-CA"/>
        </w:rPr>
        <w:t>46, 197.1.</w:t>
      </w:r>
    </w:p>
    <w:p w:rsidR="002600C9" w:rsidRPr="005B46D7" w:rsidRDefault="002600C9" w:rsidP="00653396">
      <w:pPr>
        <w:pStyle w:val="SCCNormalDoubleSpacing"/>
        <w:spacing w:after="240" w:line="240" w:lineRule="auto"/>
        <w:ind w:left="539" w:hanging="539"/>
        <w:rPr>
          <w:lang w:val="en-US"/>
        </w:rPr>
      </w:pPr>
      <w:r w:rsidRPr="005B46D7">
        <w:rPr>
          <w:i/>
          <w:lang w:val="en-US"/>
        </w:rPr>
        <w:t>Magna Carta</w:t>
      </w:r>
      <w:r w:rsidRPr="005B46D7">
        <w:rPr>
          <w:lang w:val="en-US"/>
        </w:rPr>
        <w:t xml:space="preserve"> (1215).</w:t>
      </w:r>
    </w:p>
    <w:p w:rsidR="006777CC" w:rsidRPr="006777CC" w:rsidRDefault="006777CC" w:rsidP="00653396">
      <w:pPr>
        <w:pStyle w:val="SCCNormalDoubleSpacing"/>
        <w:spacing w:after="720" w:line="240" w:lineRule="auto"/>
        <w:ind w:left="540" w:hanging="540"/>
        <w:rPr>
          <w:lang w:val="en-US"/>
        </w:rPr>
      </w:pPr>
      <w:r w:rsidRPr="006777CC">
        <w:rPr>
          <w:i/>
          <w:lang w:val="en-US"/>
        </w:rPr>
        <w:t>New Zealand Bill of Rights Act 1990</w:t>
      </w:r>
      <w:r w:rsidRPr="006777CC">
        <w:rPr>
          <w:lang w:val="en-US"/>
        </w:rPr>
        <w:t>, art.</w:t>
      </w:r>
      <w:r w:rsidR="00730302">
        <w:rPr>
          <w:lang w:val="en-US"/>
        </w:rPr>
        <w:t> </w:t>
      </w:r>
      <w:r w:rsidRPr="006777CC">
        <w:rPr>
          <w:lang w:val="en-US"/>
        </w:rPr>
        <w:t>9.</w:t>
      </w:r>
    </w:p>
    <w:p w:rsidR="006777CC" w:rsidRPr="00555A87" w:rsidRDefault="006777CC" w:rsidP="00653396">
      <w:pPr>
        <w:pStyle w:val="SCCNormalDoubleSpacing"/>
        <w:spacing w:after="720" w:line="240" w:lineRule="auto"/>
        <w:rPr>
          <w:b/>
          <w:lang w:val="fr-CA"/>
        </w:rPr>
      </w:pPr>
      <w:r>
        <w:rPr>
          <w:b/>
          <w:lang w:val="fr-CA"/>
        </w:rPr>
        <w:t>Traités et autres instruments internationaux</w:t>
      </w:r>
    </w:p>
    <w:p w:rsidR="006777CC" w:rsidRPr="00787801" w:rsidRDefault="006777CC" w:rsidP="00653396">
      <w:pPr>
        <w:pStyle w:val="SCCNormalDoubleSpacing"/>
        <w:spacing w:after="240" w:line="240" w:lineRule="auto"/>
        <w:ind w:left="539" w:hanging="539"/>
        <w:rPr>
          <w:lang w:val="fr-CA"/>
        </w:rPr>
      </w:pPr>
      <w:r>
        <w:rPr>
          <w:i/>
          <w:lang w:val="fr-CA"/>
        </w:rPr>
        <w:lastRenderedPageBreak/>
        <w:t>Convention américaine relative aux droits de l’homme</w:t>
      </w:r>
      <w:r w:rsidR="00730302">
        <w:rPr>
          <w:lang w:val="fr-CA"/>
        </w:rPr>
        <w:t>, 1144 R.T.N.U. 123, art. </w:t>
      </w:r>
      <w:r>
        <w:rPr>
          <w:lang w:val="fr-CA"/>
        </w:rPr>
        <w:t>1(2), 5(2).</w:t>
      </w:r>
    </w:p>
    <w:p w:rsidR="006777CC" w:rsidRPr="00C657E9" w:rsidRDefault="006777CC" w:rsidP="00653396">
      <w:pPr>
        <w:pStyle w:val="SCCNormalDoubleSpacing"/>
        <w:spacing w:after="240" w:line="240" w:lineRule="auto"/>
        <w:ind w:left="539" w:hanging="539"/>
        <w:rPr>
          <w:lang w:val="fr-CA"/>
        </w:rPr>
      </w:pPr>
      <w:r>
        <w:rPr>
          <w:i/>
          <w:lang w:val="fr-CA"/>
        </w:rPr>
        <w:t>Convention contre la torture et autres peines ou traitements cruels, inhumains ou dégradants</w:t>
      </w:r>
      <w:r>
        <w:rPr>
          <w:lang w:val="fr-CA"/>
        </w:rPr>
        <w:t>, R.T. Can. 1987 n</w:t>
      </w:r>
      <w:r>
        <w:rPr>
          <w:vertAlign w:val="superscript"/>
          <w:lang w:val="fr-CA"/>
        </w:rPr>
        <w:t>o</w:t>
      </w:r>
      <w:r w:rsidR="00730302">
        <w:rPr>
          <w:lang w:val="fr-CA"/>
        </w:rPr>
        <w:t> 36, préambule, art. </w:t>
      </w:r>
      <w:r>
        <w:rPr>
          <w:lang w:val="fr-CA"/>
        </w:rPr>
        <w:t>1, 16(1).</w:t>
      </w:r>
    </w:p>
    <w:p w:rsidR="006777CC" w:rsidRPr="006832EF" w:rsidRDefault="006777CC" w:rsidP="00653396">
      <w:pPr>
        <w:pStyle w:val="SCCNormalDoubleSpacing"/>
        <w:spacing w:after="240" w:line="240" w:lineRule="auto"/>
        <w:ind w:left="539" w:hanging="539"/>
        <w:rPr>
          <w:lang w:val="fr-CA"/>
        </w:rPr>
      </w:pPr>
      <w:r>
        <w:rPr>
          <w:i/>
          <w:lang w:val="fr-CA"/>
        </w:rPr>
        <w:t>Convention de sauvegarde des droits de l’homme et des libertés fondamentales</w:t>
      </w:r>
      <w:r w:rsidR="00935507">
        <w:rPr>
          <w:lang w:val="fr-CA"/>
        </w:rPr>
        <w:t>, 213 R.T.N.U. 221</w:t>
      </w:r>
      <w:r>
        <w:rPr>
          <w:lang w:val="fr-CA"/>
        </w:rPr>
        <w:t>, art.</w:t>
      </w:r>
      <w:r w:rsidR="00730302">
        <w:rPr>
          <w:lang w:val="fr-CA"/>
        </w:rPr>
        <w:t> </w:t>
      </w:r>
      <w:r>
        <w:rPr>
          <w:lang w:val="fr-CA"/>
        </w:rPr>
        <w:t>3.</w:t>
      </w:r>
    </w:p>
    <w:p w:rsidR="006777CC" w:rsidRDefault="006777CC" w:rsidP="00653396">
      <w:pPr>
        <w:pStyle w:val="SCCNormalDoubleSpacing"/>
        <w:spacing w:after="240" w:line="240" w:lineRule="auto"/>
        <w:ind w:left="539" w:hanging="539"/>
        <w:rPr>
          <w:lang w:val="fr-CA"/>
        </w:rPr>
      </w:pPr>
      <w:r>
        <w:rPr>
          <w:i/>
          <w:lang w:val="fr-CA"/>
        </w:rPr>
        <w:t>Déclaration universelle des droits de l’homme</w:t>
      </w:r>
      <w:r>
        <w:rPr>
          <w:lang w:val="fr-CA"/>
        </w:rPr>
        <w:t xml:space="preserve">, A.G. Rés. 217 </w:t>
      </w:r>
      <w:r w:rsidR="00730302">
        <w:rPr>
          <w:lang w:val="fr-CA"/>
        </w:rPr>
        <w:t xml:space="preserve">A (III), Doc. </w:t>
      </w:r>
      <w:r w:rsidR="001861C6">
        <w:rPr>
          <w:lang w:val="fr-CA"/>
        </w:rPr>
        <w:t xml:space="preserve">N.U. </w:t>
      </w:r>
      <w:r w:rsidR="00730302">
        <w:rPr>
          <w:lang w:val="fr-CA"/>
        </w:rPr>
        <w:t>A/810, p. </w:t>
      </w:r>
      <w:r w:rsidR="00935507">
        <w:rPr>
          <w:lang w:val="fr-CA"/>
        </w:rPr>
        <w:t xml:space="preserve">71 </w:t>
      </w:r>
      <w:r>
        <w:rPr>
          <w:lang w:val="fr-CA"/>
        </w:rPr>
        <w:t>(1948),</w:t>
      </w:r>
      <w:r w:rsidR="00C42B6A">
        <w:rPr>
          <w:lang w:val="fr-CA"/>
        </w:rPr>
        <w:t xml:space="preserve"> préambule,</w:t>
      </w:r>
      <w:r w:rsidR="00730302">
        <w:rPr>
          <w:lang w:val="fr-CA"/>
        </w:rPr>
        <w:t xml:space="preserve"> art. </w:t>
      </w:r>
      <w:r>
        <w:rPr>
          <w:lang w:val="fr-CA"/>
        </w:rPr>
        <w:t>5</w:t>
      </w:r>
      <w:r w:rsidR="00C42B6A">
        <w:rPr>
          <w:lang w:val="fr-CA"/>
        </w:rPr>
        <w:t>.</w:t>
      </w:r>
    </w:p>
    <w:p w:rsidR="006777CC" w:rsidRDefault="006777CC" w:rsidP="00653396">
      <w:pPr>
        <w:pStyle w:val="SCCNormalDoubleSpacing"/>
        <w:spacing w:after="240" w:line="240" w:lineRule="auto"/>
        <w:ind w:left="539" w:hanging="539"/>
        <w:rPr>
          <w:lang w:val="fr-CA"/>
        </w:rPr>
      </w:pPr>
      <w:r>
        <w:rPr>
          <w:i/>
          <w:lang w:val="fr-CA"/>
        </w:rPr>
        <w:t>Pacte international relatif aux droits civils et politiques</w:t>
      </w:r>
      <w:r>
        <w:rPr>
          <w:lang w:val="fr-CA"/>
        </w:rPr>
        <w:t>, R.T. Can. 1976 n</w:t>
      </w:r>
      <w:r>
        <w:rPr>
          <w:vertAlign w:val="superscript"/>
          <w:lang w:val="fr-CA"/>
        </w:rPr>
        <w:t>o</w:t>
      </w:r>
      <w:r>
        <w:rPr>
          <w:lang w:val="fr-CA"/>
        </w:rPr>
        <w:t xml:space="preserve"> 47, préambule, </w:t>
      </w:r>
      <w:r w:rsidR="00730302">
        <w:rPr>
          <w:lang w:val="fr-CA"/>
        </w:rPr>
        <w:t>art. </w:t>
      </w:r>
      <w:r>
        <w:rPr>
          <w:lang w:val="fr-CA"/>
        </w:rPr>
        <w:t>7.</w:t>
      </w:r>
    </w:p>
    <w:p w:rsidR="00761521" w:rsidRPr="00761521" w:rsidRDefault="00761521" w:rsidP="00653396">
      <w:pPr>
        <w:pStyle w:val="SCCNormalDoubleSpacing"/>
        <w:spacing w:after="720" w:line="240" w:lineRule="auto"/>
        <w:ind w:left="540" w:hanging="540"/>
        <w:rPr>
          <w:lang w:val="fr-CA"/>
        </w:rPr>
      </w:pPr>
      <w:r>
        <w:rPr>
          <w:i/>
          <w:lang w:val="fr-CA"/>
        </w:rPr>
        <w:t>Pacte international relatif aux droits économiques, sociaux et culturels</w:t>
      </w:r>
      <w:r>
        <w:rPr>
          <w:lang w:val="fr-CA"/>
        </w:rPr>
        <w:t>, R.T. Can. 1976 n</w:t>
      </w:r>
      <w:r>
        <w:rPr>
          <w:vertAlign w:val="superscript"/>
          <w:lang w:val="fr-CA"/>
        </w:rPr>
        <w:t>o</w:t>
      </w:r>
      <w:r>
        <w:rPr>
          <w:lang w:val="fr-CA"/>
        </w:rPr>
        <w:t> 46.</w:t>
      </w:r>
    </w:p>
    <w:p w:rsidR="004D7D95" w:rsidRPr="004D7D95" w:rsidRDefault="004D7D95" w:rsidP="00653396">
      <w:pPr>
        <w:pStyle w:val="SCCNormalDoubleSpacing"/>
        <w:spacing w:after="720" w:line="240" w:lineRule="auto"/>
        <w:rPr>
          <w:b/>
          <w:lang w:val="fr-CA"/>
        </w:rPr>
      </w:pPr>
      <w:r w:rsidRPr="004D7D95">
        <w:rPr>
          <w:b/>
          <w:lang w:val="fr-CA"/>
        </w:rPr>
        <w:t>Doctrine et autres documents cités</w:t>
      </w:r>
    </w:p>
    <w:p w:rsidR="006777CC" w:rsidRPr="00C022E9" w:rsidRDefault="006777CC" w:rsidP="00653396">
      <w:pPr>
        <w:pStyle w:val="SCCNormalDoubleSpacing"/>
        <w:spacing w:after="240" w:line="240" w:lineRule="auto"/>
        <w:ind w:left="540" w:hanging="540"/>
        <w:rPr>
          <w:lang w:val="en-US"/>
        </w:rPr>
      </w:pPr>
      <w:r w:rsidRPr="00B871E1">
        <w:rPr>
          <w:lang w:val="en-US"/>
        </w:rPr>
        <w:t xml:space="preserve">Baer, Susanne. </w:t>
      </w:r>
      <w:r w:rsidRPr="00F15B1C">
        <w:rPr>
          <w:lang w:val="en-US"/>
        </w:rPr>
        <w:t>« </w:t>
      </w:r>
      <w:r w:rsidR="001D7A09">
        <w:rPr>
          <w:lang w:val="en-US"/>
        </w:rPr>
        <w:t>Dignity, liberty, equality </w:t>
      </w:r>
      <w:r w:rsidR="001D7A09" w:rsidRPr="001D7A09">
        <w:rPr>
          <w:lang w:val="en-US"/>
        </w:rPr>
        <w:t>:</w:t>
      </w:r>
      <w:r>
        <w:rPr>
          <w:lang w:val="en-US"/>
        </w:rPr>
        <w:t xml:space="preserve"> A fundamental rights triangle of constitutionalism</w:t>
      </w:r>
      <w:r w:rsidRPr="00F15B1C">
        <w:rPr>
          <w:lang w:val="en-US"/>
        </w:rPr>
        <w:t> »</w:t>
      </w:r>
      <w:r>
        <w:rPr>
          <w:lang w:val="en-US"/>
        </w:rPr>
        <w:t xml:space="preserve"> (2009), 59 </w:t>
      </w:r>
      <w:r>
        <w:rPr>
          <w:i/>
          <w:lang w:val="en-US"/>
        </w:rPr>
        <w:t xml:space="preserve">U.T.L.J. </w:t>
      </w:r>
      <w:r>
        <w:rPr>
          <w:lang w:val="en-US"/>
        </w:rPr>
        <w:t>417.</w:t>
      </w:r>
    </w:p>
    <w:p w:rsidR="005825C3" w:rsidRPr="00412236" w:rsidRDefault="005825C3" w:rsidP="00653396">
      <w:pPr>
        <w:pStyle w:val="SCCNormalDoubleSpacing"/>
        <w:spacing w:after="240" w:line="240" w:lineRule="auto"/>
        <w:ind w:left="540" w:hanging="540"/>
        <w:rPr>
          <w:lang w:val="en-US"/>
        </w:rPr>
      </w:pPr>
      <w:r w:rsidRPr="003D347D">
        <w:rPr>
          <w:lang w:val="en-US"/>
        </w:rPr>
        <w:t>Barak</w:t>
      </w:r>
      <w:r w:rsidRPr="00412236">
        <w:rPr>
          <w:lang w:val="en-US"/>
        </w:rPr>
        <w:t xml:space="preserve">, Aharon. </w:t>
      </w:r>
      <w:r w:rsidRPr="005825C3">
        <w:rPr>
          <w:lang w:val="en-US"/>
        </w:rPr>
        <w:t>« </w:t>
      </w:r>
      <w:r w:rsidRPr="00FE45B4">
        <w:t>A Judge on Judging</w:t>
      </w:r>
      <w:r w:rsidRPr="005825C3">
        <w:rPr>
          <w:lang w:val="en-US"/>
        </w:rPr>
        <w:t> </w:t>
      </w:r>
      <w:r w:rsidRPr="00FE45B4">
        <w:t>: The Role of a Supreme Court in a Democracy</w:t>
      </w:r>
      <w:r w:rsidRPr="005825C3">
        <w:rPr>
          <w:lang w:val="en-US"/>
        </w:rPr>
        <w:t> »</w:t>
      </w:r>
      <w:r w:rsidRPr="00FE45B4">
        <w:t xml:space="preserve"> (2002), 116 </w:t>
      </w:r>
      <w:r w:rsidRPr="00FE45B4">
        <w:rPr>
          <w:i/>
        </w:rPr>
        <w:t>Harv. L.</w:t>
      </w:r>
      <w:r>
        <w:rPr>
          <w:i/>
        </w:rPr>
        <w:t xml:space="preserve"> Rev.</w:t>
      </w:r>
      <w:r w:rsidRPr="00FE45B4">
        <w:t xml:space="preserve"> 1</w:t>
      </w:r>
      <w:r w:rsidR="003D347D">
        <w:t>9</w:t>
      </w:r>
      <w:r>
        <w:t>.</w:t>
      </w:r>
    </w:p>
    <w:p w:rsidR="004814C2" w:rsidRPr="00412236" w:rsidRDefault="004814C2" w:rsidP="00653396">
      <w:pPr>
        <w:pStyle w:val="SCCNormalDoubleSpacing"/>
        <w:spacing w:after="240" w:line="240" w:lineRule="auto"/>
        <w:ind w:left="540" w:hanging="540"/>
        <w:rPr>
          <w:lang w:val="en-US"/>
        </w:rPr>
      </w:pPr>
      <w:r>
        <w:t xml:space="preserve">Bastarache, Michel. </w:t>
      </w:r>
      <w:r w:rsidRPr="004814C2">
        <w:rPr>
          <w:lang w:val="en-US"/>
        </w:rPr>
        <w:t>« </w:t>
      </w:r>
      <w:r w:rsidRPr="00FE45B4">
        <w:t xml:space="preserve">How Internationalization of the Law </w:t>
      </w:r>
      <w:r>
        <w:t>has Materialized in Canada</w:t>
      </w:r>
      <w:r w:rsidRPr="004814C2">
        <w:rPr>
          <w:lang w:val="en-US"/>
        </w:rPr>
        <w:t> »</w:t>
      </w:r>
      <w:r w:rsidRPr="00FE45B4">
        <w:t xml:space="preserve"> (2009)</w:t>
      </w:r>
      <w:r>
        <w:t>,</w:t>
      </w:r>
      <w:r w:rsidRPr="00FE45B4">
        <w:t xml:space="preserve"> 59 </w:t>
      </w:r>
      <w:r>
        <w:rPr>
          <w:i/>
        </w:rPr>
        <w:t>R.D. U.N</w:t>
      </w:r>
      <w:r w:rsidR="00D850DC">
        <w:rPr>
          <w:i/>
        </w:rPr>
        <w:t>.-B.</w:t>
      </w:r>
      <w:r w:rsidRPr="00FE45B4">
        <w:t xml:space="preserve"> 190</w:t>
      </w:r>
      <w:r>
        <w:t>.</w:t>
      </w:r>
    </w:p>
    <w:p w:rsidR="006777CC" w:rsidRPr="00472573" w:rsidRDefault="006777CC" w:rsidP="00653396">
      <w:pPr>
        <w:pStyle w:val="SCCNormalDoubleSpacing"/>
        <w:spacing w:after="240" w:line="240" w:lineRule="auto"/>
        <w:ind w:left="540" w:hanging="540"/>
        <w:rPr>
          <w:lang w:val="fr-CA"/>
        </w:rPr>
      </w:pPr>
      <w:r w:rsidRPr="00C20283">
        <w:rPr>
          <w:lang w:val="en-US"/>
        </w:rPr>
        <w:t xml:space="preserve">Beaulac, Stéphane. </w:t>
      </w:r>
      <w:r w:rsidRPr="00347344">
        <w:rPr>
          <w:lang w:val="en-US"/>
        </w:rPr>
        <w:t>« </w:t>
      </w:r>
      <w:r>
        <w:t>Parliamentary Debates in Statutory Interpretation</w:t>
      </w:r>
      <w:r w:rsidR="00730302">
        <w:t> </w:t>
      </w:r>
      <w:r>
        <w:t>: A Question of Admissibility or of Weight</w:t>
      </w:r>
      <w:r w:rsidR="00935507">
        <w:t>?</w:t>
      </w:r>
      <w:r w:rsidRPr="00347344">
        <w:rPr>
          <w:lang w:val="en-US"/>
        </w:rPr>
        <w:t> »</w:t>
      </w:r>
      <w:r>
        <w:t xml:space="preserve"> </w:t>
      </w:r>
      <w:r w:rsidRPr="00472573">
        <w:rPr>
          <w:lang w:val="fr-CA"/>
        </w:rPr>
        <w:t xml:space="preserve">(1998), 43 </w:t>
      </w:r>
      <w:r w:rsidRPr="00472573">
        <w:rPr>
          <w:i/>
          <w:lang w:val="fr-CA"/>
        </w:rPr>
        <w:t xml:space="preserve">R.D. McGill </w:t>
      </w:r>
      <w:r w:rsidRPr="00472573">
        <w:rPr>
          <w:lang w:val="fr-CA"/>
        </w:rPr>
        <w:t>287.</w:t>
      </w:r>
    </w:p>
    <w:p w:rsidR="00106A70" w:rsidRPr="00574F66" w:rsidRDefault="00106A70" w:rsidP="00653396">
      <w:pPr>
        <w:pStyle w:val="SCCNormalDoubleSpacing"/>
        <w:spacing w:after="240" w:line="240" w:lineRule="auto"/>
        <w:ind w:left="540" w:hanging="540"/>
        <w:rPr>
          <w:lang w:val="fr-CA"/>
        </w:rPr>
      </w:pPr>
      <w:r w:rsidRPr="00574F66">
        <w:rPr>
          <w:lang w:val="fr-CA"/>
        </w:rPr>
        <w:t xml:space="preserve">Beaulac, </w:t>
      </w:r>
      <w:r>
        <w:rPr>
          <w:lang w:val="fr-CA"/>
        </w:rPr>
        <w:t>Stéphane. « “Texture ouverte</w:t>
      </w:r>
      <w:r w:rsidRPr="00106A70">
        <w:rPr>
          <w:lang w:val="fr-CA"/>
        </w:rPr>
        <w:t>”</w:t>
      </w:r>
      <w:r w:rsidRPr="00574F66">
        <w:rPr>
          <w:lang w:val="fr-CA"/>
        </w:rPr>
        <w:t>, droit international et interprétation de la Charte</w:t>
      </w:r>
      <w:r>
        <w:rPr>
          <w:lang w:val="fr-CA"/>
        </w:rPr>
        <w:t xml:space="preserve"> canadienne »</w:t>
      </w:r>
      <w:r w:rsidRPr="00574F66">
        <w:rPr>
          <w:lang w:val="fr-CA"/>
        </w:rPr>
        <w:t xml:space="preserve"> (</w:t>
      </w:r>
      <w:r w:rsidRPr="00FE45B4">
        <w:rPr>
          <w:lang w:val="x-none"/>
        </w:rPr>
        <w:t xml:space="preserve">2013), 61 </w:t>
      </w:r>
      <w:r w:rsidRPr="00FE45B4">
        <w:rPr>
          <w:i/>
          <w:lang w:val="x-none"/>
        </w:rPr>
        <w:t>S.C.L.R.</w:t>
      </w:r>
      <w:r w:rsidRPr="00FE45B4">
        <w:rPr>
          <w:lang w:val="x-none"/>
        </w:rPr>
        <w:t xml:space="preserve"> (2d) 191</w:t>
      </w:r>
      <w:r>
        <w:rPr>
          <w:lang w:val="fr-CA"/>
        </w:rPr>
        <w:t>.</w:t>
      </w:r>
    </w:p>
    <w:p w:rsidR="00A831BA" w:rsidRPr="005F3429" w:rsidRDefault="00A831BA" w:rsidP="00653396">
      <w:pPr>
        <w:pStyle w:val="SCCNormalDoubleSpacing"/>
        <w:spacing w:after="240" w:line="240" w:lineRule="auto"/>
        <w:ind w:left="540" w:hanging="540"/>
        <w:rPr>
          <w:lang w:val="fr-CA"/>
        </w:rPr>
      </w:pPr>
      <w:r>
        <w:rPr>
          <w:lang w:val="fr-CA"/>
        </w:rPr>
        <w:t xml:space="preserve">Beaulac, Stéphane, et Frédéric Bérard. </w:t>
      </w:r>
      <w:r>
        <w:rPr>
          <w:i/>
          <w:lang w:val="fr-CA"/>
        </w:rPr>
        <w:t>Précis d’interprétation législative</w:t>
      </w:r>
      <w:r>
        <w:rPr>
          <w:lang w:val="fr-CA"/>
        </w:rPr>
        <w:t xml:space="preserve">, </w:t>
      </w:r>
      <w:r w:rsidRPr="00B75BBA">
        <w:rPr>
          <w:lang w:val="fr-CA"/>
        </w:rPr>
        <w:t>2</w:t>
      </w:r>
      <w:r w:rsidRPr="00B75BBA">
        <w:rPr>
          <w:vertAlign w:val="superscript"/>
          <w:lang w:val="fr-CA"/>
        </w:rPr>
        <w:t>e</w:t>
      </w:r>
      <w:r>
        <w:rPr>
          <w:i/>
          <w:lang w:val="fr-CA"/>
        </w:rPr>
        <w:t xml:space="preserve"> </w:t>
      </w:r>
      <w:r>
        <w:rPr>
          <w:lang w:val="fr-CA"/>
        </w:rPr>
        <w:t>éd.</w:t>
      </w:r>
      <w:r w:rsidR="005F3429">
        <w:rPr>
          <w:lang w:val="fr-CA"/>
        </w:rPr>
        <w:t>, Montréal, LexisNexis, 2014.</w:t>
      </w:r>
    </w:p>
    <w:p w:rsidR="006777CC" w:rsidRPr="005132C9" w:rsidRDefault="006777CC" w:rsidP="00653396">
      <w:pPr>
        <w:pStyle w:val="SCCNormalDoubleSpacing"/>
        <w:spacing w:after="240" w:line="240" w:lineRule="auto"/>
        <w:ind w:left="540" w:hanging="540"/>
      </w:pPr>
      <w:r w:rsidRPr="00935507">
        <w:rPr>
          <w:lang w:val="fr-CA"/>
        </w:rPr>
        <w:t>Black, Ryan C.</w:t>
      </w:r>
      <w:r w:rsidR="00935507" w:rsidRPr="00935507">
        <w:rPr>
          <w:lang w:val="fr-CA"/>
        </w:rPr>
        <w:t>, et al.</w:t>
      </w:r>
      <w:r w:rsidRPr="00935507">
        <w:rPr>
          <w:lang w:val="fr-CA"/>
        </w:rPr>
        <w:t xml:space="preserve"> </w:t>
      </w:r>
      <w:r w:rsidRPr="008A1E8A">
        <w:rPr>
          <w:lang w:val="en-US"/>
        </w:rPr>
        <w:t>« </w:t>
      </w:r>
      <w:r>
        <w:rPr>
          <w:lang w:val="en-US"/>
        </w:rPr>
        <w:t>Upending a Global Debate </w:t>
      </w:r>
      <w:r w:rsidRPr="008A1E8A">
        <w:rPr>
          <w:lang w:val="en-US"/>
        </w:rPr>
        <w:t>:</w:t>
      </w:r>
      <w:r>
        <w:rPr>
          <w:lang w:val="en-US"/>
        </w:rPr>
        <w:t xml:space="preserve"> An Empirical Analysis of the U.S. Supreme Court’s Use of Transnational Law to Interpret Domestic Doctrine</w:t>
      </w:r>
      <w:r w:rsidRPr="008A1E8A">
        <w:rPr>
          <w:lang w:val="en-US"/>
        </w:rPr>
        <w:t> »</w:t>
      </w:r>
      <w:r>
        <w:rPr>
          <w:lang w:val="en-US"/>
        </w:rPr>
        <w:t xml:space="preserve"> (2014), 103 </w:t>
      </w:r>
      <w:r>
        <w:rPr>
          <w:i/>
          <w:lang w:val="en-US"/>
        </w:rPr>
        <w:t>Geo. L.J.</w:t>
      </w:r>
      <w:r>
        <w:rPr>
          <w:lang w:val="en-US"/>
        </w:rPr>
        <w:t xml:space="preserve"> 1.</w:t>
      </w:r>
    </w:p>
    <w:p w:rsidR="006777CC" w:rsidRPr="00450C60" w:rsidRDefault="006777CC" w:rsidP="00653396">
      <w:pPr>
        <w:pStyle w:val="SCCNormalDoubleSpacing"/>
        <w:spacing w:after="240" w:line="240" w:lineRule="auto"/>
        <w:ind w:left="540" w:hanging="540"/>
        <w:rPr>
          <w:lang w:val="en-US"/>
        </w:rPr>
      </w:pPr>
      <w:r>
        <w:rPr>
          <w:i/>
          <w:lang w:val="en-US"/>
        </w:rPr>
        <w:t>Black’s Law Dictionary</w:t>
      </w:r>
      <w:r w:rsidR="00730302">
        <w:rPr>
          <w:lang w:val="en-US"/>
        </w:rPr>
        <w:t>, 11th ed., by Bryan </w:t>
      </w:r>
      <w:r>
        <w:rPr>
          <w:lang w:val="en-US"/>
        </w:rPr>
        <w:t xml:space="preserve">A. Garner, St. Paul (Minn.), Thomson Reuters, 2019, </w:t>
      </w:r>
      <w:r w:rsidRPr="00450C60">
        <w:rPr>
          <w:lang w:val="en-US"/>
        </w:rPr>
        <w:t>« </w:t>
      </w:r>
      <w:r w:rsidRPr="00450C60">
        <w:rPr>
          <w:i/>
          <w:lang w:val="en-US"/>
        </w:rPr>
        <w:t xml:space="preserve">cruel and unusual </w:t>
      </w:r>
      <w:r>
        <w:rPr>
          <w:i/>
          <w:lang w:val="en-US"/>
        </w:rPr>
        <w:t>punishment</w:t>
      </w:r>
      <w:r w:rsidRPr="00450C60">
        <w:rPr>
          <w:lang w:val="en-US"/>
        </w:rPr>
        <w:t> »</w:t>
      </w:r>
      <w:r>
        <w:rPr>
          <w:lang w:val="en-US"/>
        </w:rPr>
        <w:t xml:space="preserve">, </w:t>
      </w:r>
      <w:r w:rsidRPr="00450C60">
        <w:rPr>
          <w:lang w:val="en-US"/>
        </w:rPr>
        <w:t>« </w:t>
      </w:r>
      <w:r>
        <w:rPr>
          <w:i/>
          <w:lang w:val="en-US"/>
        </w:rPr>
        <w:t>cruelty</w:t>
      </w:r>
      <w:r w:rsidRPr="00450C60">
        <w:rPr>
          <w:lang w:val="en-US"/>
        </w:rPr>
        <w:t> »</w:t>
      </w:r>
      <w:r>
        <w:rPr>
          <w:lang w:val="en-US"/>
        </w:rPr>
        <w:t xml:space="preserve">, </w:t>
      </w:r>
      <w:r w:rsidRPr="00450C60">
        <w:rPr>
          <w:lang w:val="en-US"/>
        </w:rPr>
        <w:t>« </w:t>
      </w:r>
      <w:r>
        <w:rPr>
          <w:i/>
          <w:lang w:val="en-US"/>
        </w:rPr>
        <w:t>unusual</w:t>
      </w:r>
      <w:r w:rsidRPr="00450C60">
        <w:rPr>
          <w:lang w:val="en-US"/>
        </w:rPr>
        <w:t> »</w:t>
      </w:r>
      <w:r>
        <w:rPr>
          <w:lang w:val="en-US"/>
        </w:rPr>
        <w:t>.</w:t>
      </w:r>
    </w:p>
    <w:p w:rsidR="00D24F22" w:rsidRDefault="00D24F22" w:rsidP="00653396">
      <w:pPr>
        <w:pStyle w:val="SCCNormalDoubleSpacing"/>
        <w:spacing w:after="240" w:line="240" w:lineRule="auto"/>
        <w:ind w:left="540" w:hanging="540"/>
        <w:rPr>
          <w:lang w:val="en-US"/>
        </w:rPr>
      </w:pPr>
      <w:r w:rsidRPr="002D1811">
        <w:rPr>
          <w:lang w:val="en-US"/>
        </w:rPr>
        <w:lastRenderedPageBreak/>
        <w:t>Brunnée</w:t>
      </w:r>
      <w:r>
        <w:rPr>
          <w:lang w:val="en-US"/>
        </w:rPr>
        <w:t>,</w:t>
      </w:r>
      <w:r w:rsidRPr="002D1811">
        <w:rPr>
          <w:lang w:val="en-US"/>
        </w:rPr>
        <w:t xml:space="preserve"> J</w:t>
      </w:r>
      <w:r>
        <w:rPr>
          <w:lang w:val="en-US"/>
        </w:rPr>
        <w:t>utta, and</w:t>
      </w:r>
      <w:r w:rsidRPr="00FE45B4">
        <w:rPr>
          <w:lang w:val="en-US"/>
        </w:rPr>
        <w:t xml:space="preserve"> S</w:t>
      </w:r>
      <w:r w:rsidR="00730302">
        <w:rPr>
          <w:lang w:val="en-US"/>
        </w:rPr>
        <w:t>tephen </w:t>
      </w:r>
      <w:r>
        <w:rPr>
          <w:lang w:val="en-US"/>
        </w:rPr>
        <w:t>J</w:t>
      </w:r>
      <w:r w:rsidR="00B3116D">
        <w:rPr>
          <w:lang w:val="en-US"/>
        </w:rPr>
        <w:t xml:space="preserve">. </w:t>
      </w:r>
      <w:r>
        <w:rPr>
          <w:lang w:val="en-US"/>
        </w:rPr>
        <w:t xml:space="preserve">Toope. </w:t>
      </w:r>
      <w:r w:rsidRPr="00D24F22">
        <w:rPr>
          <w:lang w:val="en-US"/>
        </w:rPr>
        <w:t>« </w:t>
      </w:r>
      <w:r>
        <w:rPr>
          <w:lang w:val="en-US"/>
        </w:rPr>
        <w:t>A Hesitant Embrace </w:t>
      </w:r>
      <w:r w:rsidR="00B3116D">
        <w:rPr>
          <w:lang w:val="en-US"/>
        </w:rPr>
        <w:t>:</w:t>
      </w:r>
      <w:r w:rsidRPr="00FE45B4">
        <w:rPr>
          <w:lang w:val="en-US"/>
        </w:rPr>
        <w:t xml:space="preserve"> </w:t>
      </w:r>
      <w:r w:rsidRPr="00FE45B4">
        <w:rPr>
          <w:rFonts w:hint="eastAsia"/>
          <w:lang w:val="en-US"/>
        </w:rPr>
        <w:t>Th</w:t>
      </w:r>
      <w:r w:rsidRPr="00FE45B4">
        <w:rPr>
          <w:lang w:val="en-US"/>
        </w:rPr>
        <w:t>e Application of Inter</w:t>
      </w:r>
      <w:r>
        <w:rPr>
          <w:lang w:val="en-US"/>
        </w:rPr>
        <w:t>national Law by Canadian Courts</w:t>
      </w:r>
      <w:r w:rsidRPr="00D24F22">
        <w:rPr>
          <w:lang w:val="en-US"/>
        </w:rPr>
        <w:t> »</w:t>
      </w:r>
      <w:r w:rsidRPr="00FE45B4">
        <w:rPr>
          <w:lang w:val="en-US"/>
        </w:rPr>
        <w:t xml:space="preserve"> (2002)</w:t>
      </w:r>
      <w:r>
        <w:rPr>
          <w:lang w:val="en-US"/>
        </w:rPr>
        <w:t>,</w:t>
      </w:r>
      <w:r w:rsidRPr="00FE45B4">
        <w:rPr>
          <w:lang w:val="en-US"/>
        </w:rPr>
        <w:t xml:space="preserve"> 40 </w:t>
      </w:r>
      <w:r w:rsidRPr="00FE45B4">
        <w:rPr>
          <w:i/>
          <w:lang w:val="en-US"/>
        </w:rPr>
        <w:t>Can</w:t>
      </w:r>
      <w:r>
        <w:rPr>
          <w:i/>
          <w:lang w:val="en-US"/>
        </w:rPr>
        <w:t>.</w:t>
      </w:r>
      <w:r w:rsidRPr="00FE45B4">
        <w:rPr>
          <w:i/>
          <w:lang w:val="en-US"/>
        </w:rPr>
        <w:t xml:space="preserve"> Y</w:t>
      </w:r>
      <w:r>
        <w:rPr>
          <w:i/>
          <w:lang w:val="en-US"/>
        </w:rPr>
        <w:t>.</w:t>
      </w:r>
      <w:r w:rsidRPr="00FE45B4">
        <w:rPr>
          <w:i/>
          <w:lang w:val="en-US"/>
        </w:rPr>
        <w:t>B</w:t>
      </w:r>
      <w:r>
        <w:rPr>
          <w:i/>
          <w:lang w:val="en-US"/>
        </w:rPr>
        <w:t>.</w:t>
      </w:r>
      <w:r w:rsidRPr="00FE45B4">
        <w:rPr>
          <w:i/>
          <w:lang w:val="en-US"/>
        </w:rPr>
        <w:t xml:space="preserve"> Intl Law</w:t>
      </w:r>
      <w:r>
        <w:rPr>
          <w:i/>
          <w:lang w:val="en-US"/>
        </w:rPr>
        <w:t xml:space="preserve"> </w:t>
      </w:r>
      <w:r>
        <w:rPr>
          <w:lang w:val="en-US"/>
        </w:rPr>
        <w:t>3.</w:t>
      </w:r>
    </w:p>
    <w:p w:rsidR="006777CC" w:rsidRPr="00F606D3" w:rsidRDefault="00730302" w:rsidP="00653396">
      <w:pPr>
        <w:pStyle w:val="SCCNormalDoubleSpacing"/>
        <w:spacing w:after="240" w:line="240" w:lineRule="auto"/>
        <w:ind w:left="540" w:hanging="540"/>
      </w:pPr>
      <w:r>
        <w:rPr>
          <w:lang w:val="en-US"/>
        </w:rPr>
        <w:t>Buys, Cindy </w:t>
      </w:r>
      <w:r w:rsidR="006777CC">
        <w:rPr>
          <w:lang w:val="en-US"/>
        </w:rPr>
        <w:t xml:space="preserve">G. </w:t>
      </w:r>
      <w:r w:rsidR="006777CC" w:rsidRPr="008A1E8A">
        <w:rPr>
          <w:lang w:val="en-US"/>
        </w:rPr>
        <w:t>« </w:t>
      </w:r>
      <w:r w:rsidR="00C93B47">
        <w:rPr>
          <w:lang w:val="en-US"/>
        </w:rPr>
        <w:t>Burying O</w:t>
      </w:r>
      <w:r w:rsidR="006777CC">
        <w:rPr>
          <w:lang w:val="en-US"/>
        </w:rPr>
        <w:t>ur Constitution in the Sand? Evaluating the Ostrich Response to the Use of International and Foreign Law in U.S. Constitutional Interpretation</w:t>
      </w:r>
      <w:r w:rsidR="006777CC" w:rsidRPr="008A1E8A">
        <w:rPr>
          <w:lang w:val="en-US"/>
        </w:rPr>
        <w:t> »</w:t>
      </w:r>
      <w:r w:rsidR="006777CC">
        <w:rPr>
          <w:lang w:val="en-US"/>
        </w:rPr>
        <w:t xml:space="preserve"> (2007), 21 </w:t>
      </w:r>
      <w:r w:rsidR="006777CC">
        <w:rPr>
          <w:i/>
          <w:lang w:val="en-US"/>
        </w:rPr>
        <w:t>B.Y.U. J. Pub. L.</w:t>
      </w:r>
      <w:r w:rsidR="006777CC">
        <w:rPr>
          <w:lang w:val="en-US"/>
        </w:rPr>
        <w:t xml:space="preserve"> 1.</w:t>
      </w:r>
    </w:p>
    <w:p w:rsidR="006911D4" w:rsidRPr="006911D4" w:rsidRDefault="006911D4" w:rsidP="00653396">
      <w:pPr>
        <w:pStyle w:val="SCCNormalDoubleSpacing"/>
        <w:spacing w:after="240" w:line="240" w:lineRule="auto"/>
        <w:ind w:left="540" w:hanging="540"/>
        <w:rPr>
          <w:lang w:val="fr-CA"/>
        </w:rPr>
      </w:pPr>
      <w:r w:rsidRPr="00137535">
        <w:rPr>
          <w:lang w:val="fr-CA"/>
        </w:rPr>
        <w:t xml:space="preserve">Canada. </w:t>
      </w:r>
      <w:r w:rsidRPr="00137535">
        <w:rPr>
          <w:i/>
          <w:lang w:val="fr-CA"/>
        </w:rPr>
        <w:t>Conférence</w:t>
      </w:r>
      <w:r w:rsidRPr="006911D4">
        <w:rPr>
          <w:i/>
          <w:lang w:val="fr-CA"/>
        </w:rPr>
        <w:t xml:space="preserve"> Fédérale-Provinciale des P</w:t>
      </w:r>
      <w:r>
        <w:rPr>
          <w:i/>
          <w:lang w:val="fr-CA"/>
        </w:rPr>
        <w:t>remiers Ministres sur la Constitution</w:t>
      </w:r>
      <w:r w:rsidR="00730302">
        <w:rPr>
          <w:lang w:val="fr-CA"/>
        </w:rPr>
        <w:t>, Ottawa, 2 au 5 </w:t>
      </w:r>
      <w:r>
        <w:rPr>
          <w:lang w:val="fr-CA"/>
        </w:rPr>
        <w:t>novembre 1981.</w:t>
      </w:r>
    </w:p>
    <w:p w:rsidR="006777CC" w:rsidRDefault="006777CC" w:rsidP="00653396">
      <w:pPr>
        <w:pStyle w:val="SCCNormalDoubleSpacing"/>
        <w:spacing w:after="240" w:line="240" w:lineRule="auto"/>
        <w:ind w:left="540" w:hanging="540"/>
        <w:rPr>
          <w:lang w:val="en-US"/>
        </w:rPr>
      </w:pPr>
      <w:r>
        <w:rPr>
          <w:lang w:val="en-US"/>
        </w:rPr>
        <w:t>Cor</w:t>
      </w:r>
      <w:r w:rsidR="00730302">
        <w:rPr>
          <w:lang w:val="en-US"/>
        </w:rPr>
        <w:t>nell, Angela </w:t>
      </w:r>
      <w:r>
        <w:rPr>
          <w:lang w:val="en-US"/>
        </w:rPr>
        <w:t xml:space="preserve">B. </w:t>
      </w:r>
      <w:r w:rsidRPr="001E0537">
        <w:rPr>
          <w:lang w:val="en-US"/>
        </w:rPr>
        <w:t>« </w:t>
      </w:r>
      <w:r>
        <w:rPr>
          <w:lang w:val="en-US"/>
        </w:rPr>
        <w:t>Inter-American Court Recognizes Elevated Status of Trade Unions, Rejects Standing of Corporations</w:t>
      </w:r>
      <w:r w:rsidRPr="001E0537">
        <w:rPr>
          <w:lang w:val="en-US"/>
        </w:rPr>
        <w:t> »</w:t>
      </w:r>
      <w:r>
        <w:rPr>
          <w:lang w:val="en-US"/>
        </w:rPr>
        <w:t xml:space="preserve"> (2017</w:t>
      </w:r>
      <w:r w:rsidRPr="00B3116D">
        <w:rPr>
          <w:lang w:val="en-US"/>
        </w:rPr>
        <w:t xml:space="preserve">), 3 </w:t>
      </w:r>
      <w:r w:rsidRPr="00B3116D">
        <w:rPr>
          <w:i/>
          <w:lang w:val="en-US"/>
        </w:rPr>
        <w:t>Intl Labor</w:t>
      </w:r>
      <w:r>
        <w:rPr>
          <w:i/>
          <w:lang w:val="en-US"/>
        </w:rPr>
        <w:t xml:space="preserve"> Rights Case L.</w:t>
      </w:r>
      <w:r>
        <w:rPr>
          <w:lang w:val="en-US"/>
        </w:rPr>
        <w:t xml:space="preserve"> 39.</w:t>
      </w:r>
    </w:p>
    <w:p w:rsidR="00B3116D" w:rsidRDefault="00B3116D" w:rsidP="00653396">
      <w:pPr>
        <w:pStyle w:val="SCCNormalDoubleSpacing"/>
        <w:spacing w:after="240" w:line="240" w:lineRule="auto"/>
        <w:ind w:left="540" w:hanging="540"/>
      </w:pPr>
      <w:r w:rsidRPr="00FE45B4">
        <w:t>Currie, J</w:t>
      </w:r>
      <w:r>
        <w:t>ohn</w:t>
      </w:r>
      <w:r w:rsidR="00730302">
        <w:t> </w:t>
      </w:r>
      <w:r w:rsidRPr="00FE45B4">
        <w:t xml:space="preserve">H. </w:t>
      </w:r>
      <w:r w:rsidRPr="00FE45B4">
        <w:rPr>
          <w:i/>
        </w:rPr>
        <w:t>Public International Law</w:t>
      </w:r>
      <w:r>
        <w:t>, 2nd ed.,</w:t>
      </w:r>
      <w:r w:rsidRPr="00FE45B4">
        <w:t xml:space="preserve"> </w:t>
      </w:r>
      <w:r>
        <w:t>Toronto, Irwin Law, 2008.</w:t>
      </w:r>
    </w:p>
    <w:p w:rsidR="00C93B47" w:rsidRDefault="00C93B47" w:rsidP="00653396">
      <w:pPr>
        <w:pStyle w:val="SCCNormalDoubleSpacing"/>
        <w:spacing w:after="240" w:line="240" w:lineRule="auto"/>
        <w:ind w:left="540" w:hanging="540"/>
        <w:rPr>
          <w:lang w:val="en-US"/>
        </w:rPr>
      </w:pPr>
      <w:r w:rsidRPr="00D33FE9">
        <w:rPr>
          <w:lang w:val="en-US"/>
        </w:rPr>
        <w:t>Dodek</w:t>
      </w:r>
      <w:r w:rsidR="00730302">
        <w:rPr>
          <w:lang w:val="en-US"/>
        </w:rPr>
        <w:t>, Adam </w:t>
      </w:r>
      <w:r w:rsidRPr="00D33FE9">
        <w:rPr>
          <w:lang w:val="en-US"/>
        </w:rPr>
        <w:t xml:space="preserve">M. « The Protea and the </w:t>
      </w:r>
      <w:r w:rsidR="001D7A09">
        <w:rPr>
          <w:lang w:val="en-US"/>
        </w:rPr>
        <w:t>Maple Leaf </w:t>
      </w:r>
      <w:r w:rsidR="001D7A09" w:rsidRPr="001D7A09">
        <w:rPr>
          <w:lang w:val="en-US"/>
        </w:rPr>
        <w:t>:</w:t>
      </w:r>
      <w:r>
        <w:rPr>
          <w:lang w:val="en-US"/>
        </w:rPr>
        <w:t xml:space="preserve"> The Impact of the </w:t>
      </w:r>
      <w:r>
        <w:rPr>
          <w:i/>
          <w:lang w:val="en-US"/>
        </w:rPr>
        <w:t xml:space="preserve">Charter </w:t>
      </w:r>
      <w:r>
        <w:rPr>
          <w:lang w:val="en-US"/>
        </w:rPr>
        <w:t>on South African Constitutionalism</w:t>
      </w:r>
      <w:r w:rsidRPr="00D33FE9">
        <w:rPr>
          <w:lang w:val="en-US"/>
        </w:rPr>
        <w:t> »</w:t>
      </w:r>
      <w:r>
        <w:rPr>
          <w:lang w:val="en-US"/>
        </w:rPr>
        <w:t xml:space="preserve"> (2004), 17 </w:t>
      </w:r>
      <w:r>
        <w:rPr>
          <w:i/>
          <w:lang w:val="en-US"/>
        </w:rPr>
        <w:t xml:space="preserve">R.N.D.C. </w:t>
      </w:r>
      <w:r w:rsidRPr="00AC5CF5">
        <w:rPr>
          <w:lang w:val="en-US"/>
        </w:rPr>
        <w:t>353.</w:t>
      </w:r>
    </w:p>
    <w:p w:rsidR="006777CC" w:rsidRPr="006912DA" w:rsidRDefault="00730302" w:rsidP="00653396">
      <w:pPr>
        <w:pStyle w:val="SCCNormalDoubleSpacing"/>
        <w:spacing w:after="240" w:line="240" w:lineRule="auto"/>
        <w:ind w:left="540" w:hanging="540"/>
        <w:rPr>
          <w:lang w:val="en-US"/>
        </w:rPr>
      </w:pPr>
      <w:r>
        <w:rPr>
          <w:lang w:val="en-US"/>
        </w:rPr>
        <w:t>Dodek, Adam </w:t>
      </w:r>
      <w:r w:rsidR="006777CC" w:rsidRPr="006912DA">
        <w:rPr>
          <w:lang w:val="en-US"/>
        </w:rPr>
        <w:t xml:space="preserve">M. « Canada as </w:t>
      </w:r>
      <w:r w:rsidR="006777CC" w:rsidRPr="00C708F8">
        <w:rPr>
          <w:lang w:val="en-US"/>
        </w:rPr>
        <w:t>Constitutional</w:t>
      </w:r>
      <w:r w:rsidR="006777CC" w:rsidRPr="006912DA">
        <w:rPr>
          <w:lang w:val="en-US"/>
        </w:rPr>
        <w:t xml:space="preserve"> Exporter : The Rise of the </w:t>
      </w:r>
      <w:r w:rsidR="006777CC">
        <w:rPr>
          <w:lang w:val="en-US"/>
        </w:rPr>
        <w:t>“Canadian Model” of Constitutionalism</w:t>
      </w:r>
      <w:r w:rsidR="006777CC" w:rsidRPr="006912DA">
        <w:rPr>
          <w:lang w:val="en-US"/>
        </w:rPr>
        <w:t xml:space="preserve"> » (</w:t>
      </w:r>
      <w:r w:rsidR="006777CC">
        <w:rPr>
          <w:lang w:val="en-US"/>
        </w:rPr>
        <w:t>2007</w:t>
      </w:r>
      <w:r w:rsidR="006777CC" w:rsidRPr="006912DA">
        <w:rPr>
          <w:lang w:val="en-US"/>
        </w:rPr>
        <w:t xml:space="preserve">), </w:t>
      </w:r>
      <w:r w:rsidR="006777CC">
        <w:rPr>
          <w:lang w:val="en-US"/>
        </w:rPr>
        <w:t xml:space="preserve">36 </w:t>
      </w:r>
      <w:r w:rsidR="006777CC">
        <w:rPr>
          <w:i/>
          <w:lang w:val="en-US"/>
        </w:rPr>
        <w:t xml:space="preserve">S.C.L.R. </w:t>
      </w:r>
      <w:r w:rsidR="006777CC">
        <w:rPr>
          <w:lang w:val="en-US"/>
        </w:rPr>
        <w:t>(2d) 309.</w:t>
      </w:r>
    </w:p>
    <w:p w:rsidR="006777CC" w:rsidRPr="006912DA" w:rsidRDefault="00730302" w:rsidP="00653396">
      <w:pPr>
        <w:pStyle w:val="SCCNormalDoubleSpacing"/>
        <w:spacing w:after="240" w:line="240" w:lineRule="auto"/>
        <w:ind w:left="540" w:hanging="540"/>
        <w:rPr>
          <w:lang w:val="en-US"/>
        </w:rPr>
      </w:pPr>
      <w:r>
        <w:rPr>
          <w:lang w:val="en-US"/>
        </w:rPr>
        <w:t>Dodek, Adam </w:t>
      </w:r>
      <w:r w:rsidR="006777CC" w:rsidRPr="006912DA">
        <w:rPr>
          <w:lang w:val="en-US"/>
        </w:rPr>
        <w:t>M. « </w:t>
      </w:r>
      <w:r w:rsidR="006777CC">
        <w:rPr>
          <w:lang w:val="en-US"/>
        </w:rPr>
        <w:t xml:space="preserve">Comparative Law at the </w:t>
      </w:r>
      <w:r w:rsidR="001D7A09">
        <w:rPr>
          <w:lang w:val="en-US"/>
        </w:rPr>
        <w:t>Supreme Court of Canada in 2008 </w:t>
      </w:r>
      <w:r w:rsidR="001D7A09" w:rsidRPr="001D7A09">
        <w:rPr>
          <w:lang w:val="en-US"/>
        </w:rPr>
        <w:t>:</w:t>
      </w:r>
      <w:r w:rsidR="006777CC">
        <w:rPr>
          <w:lang w:val="en-US"/>
        </w:rPr>
        <w:t xml:space="preserve"> Limited Engagement and Missed Opportunities</w:t>
      </w:r>
      <w:r w:rsidR="006777CC" w:rsidRPr="00042E7E">
        <w:rPr>
          <w:lang w:val="en-US"/>
        </w:rPr>
        <w:t> »</w:t>
      </w:r>
      <w:r w:rsidR="006777CC">
        <w:rPr>
          <w:lang w:val="en-US"/>
        </w:rPr>
        <w:t xml:space="preserve">, (2009) 47 </w:t>
      </w:r>
      <w:r w:rsidR="006777CC">
        <w:rPr>
          <w:i/>
          <w:lang w:val="en-US"/>
        </w:rPr>
        <w:t>S.C.L.R.</w:t>
      </w:r>
      <w:r w:rsidR="006777CC">
        <w:rPr>
          <w:lang w:val="en-US"/>
        </w:rPr>
        <w:t xml:space="preserve"> (2d) 445.</w:t>
      </w:r>
    </w:p>
    <w:p w:rsidR="006777CC" w:rsidRPr="00790769" w:rsidRDefault="006777CC" w:rsidP="00653396">
      <w:pPr>
        <w:pStyle w:val="SCCNormalDoubleSpacing"/>
        <w:spacing w:after="240" w:line="240" w:lineRule="auto"/>
        <w:ind w:left="540" w:hanging="540"/>
        <w:rPr>
          <w:lang w:val="fr-CA"/>
        </w:rPr>
      </w:pPr>
      <w:r w:rsidRPr="00AC5CF5">
        <w:rPr>
          <w:lang w:val="fr-CA"/>
        </w:rPr>
        <w:t xml:space="preserve">Doucet, Michel. </w:t>
      </w:r>
      <w:r>
        <w:rPr>
          <w:lang w:val="fr-CA"/>
        </w:rPr>
        <w:t xml:space="preserve">« Le bilinguisme législatif », dans Michel Bastarache et Michel Doucet, dir., </w:t>
      </w:r>
      <w:r>
        <w:rPr>
          <w:i/>
          <w:lang w:val="fr-CA"/>
        </w:rPr>
        <w:t>Les droits linguistiques au Canada</w:t>
      </w:r>
      <w:r>
        <w:rPr>
          <w:lang w:val="fr-CA"/>
        </w:rPr>
        <w:t>, 3</w:t>
      </w:r>
      <w:r w:rsidRPr="00790769">
        <w:rPr>
          <w:vertAlign w:val="superscript"/>
          <w:lang w:val="fr-CA"/>
        </w:rPr>
        <w:t>e</w:t>
      </w:r>
      <w:r>
        <w:rPr>
          <w:lang w:val="fr-CA"/>
        </w:rPr>
        <w:t xml:space="preserve"> éd., Cowansville (Qc), Yvon Blais, 2013, 179.</w:t>
      </w:r>
    </w:p>
    <w:p w:rsidR="006777CC" w:rsidRDefault="006777CC" w:rsidP="00653396">
      <w:pPr>
        <w:pStyle w:val="SCCNormalDoubleSpacing"/>
        <w:spacing w:after="240" w:line="240" w:lineRule="auto"/>
        <w:ind w:left="540" w:hanging="540"/>
        <w:rPr>
          <w:lang w:val="en-US"/>
        </w:rPr>
      </w:pPr>
      <w:r>
        <w:rPr>
          <w:lang w:val="en-US"/>
        </w:rPr>
        <w:t xml:space="preserve">Eltis, Karen. </w:t>
      </w:r>
      <w:r w:rsidRPr="00D21A11">
        <w:rPr>
          <w:lang w:val="en-US"/>
        </w:rPr>
        <w:t xml:space="preserve">« Comparative Constitutional Law and the </w:t>
      </w:r>
      <w:r>
        <w:rPr>
          <w:lang w:val="en-US"/>
        </w:rPr>
        <w:t>“Judicial Role in Times of Terror”</w:t>
      </w:r>
      <w:r w:rsidRPr="00D21A11">
        <w:rPr>
          <w:lang w:val="en-US"/>
        </w:rPr>
        <w:t> »</w:t>
      </w:r>
      <w:r w:rsidR="00951C33">
        <w:rPr>
          <w:lang w:val="en-US"/>
        </w:rPr>
        <w:t xml:space="preserve"> (</w:t>
      </w:r>
      <w:r>
        <w:rPr>
          <w:lang w:val="en-US"/>
        </w:rPr>
        <w:t xml:space="preserve">2011), 28 </w:t>
      </w:r>
      <w:r>
        <w:rPr>
          <w:i/>
          <w:lang w:val="en-US"/>
        </w:rPr>
        <w:t>R.N.D.C.</w:t>
      </w:r>
      <w:r>
        <w:rPr>
          <w:lang w:val="en-US"/>
        </w:rPr>
        <w:t xml:space="preserve"> 61.</w:t>
      </w:r>
    </w:p>
    <w:p w:rsidR="006777CC" w:rsidRPr="00B80287" w:rsidRDefault="006777CC" w:rsidP="00653396">
      <w:pPr>
        <w:pStyle w:val="SCCNormalDoubleSpacing"/>
        <w:spacing w:after="240" w:line="240" w:lineRule="auto"/>
        <w:ind w:left="540" w:hanging="540"/>
        <w:rPr>
          <w:lang w:val="fr-CA"/>
        </w:rPr>
      </w:pPr>
      <w:r w:rsidRPr="00B80287">
        <w:rPr>
          <w:i/>
          <w:lang w:val="fr-CA"/>
        </w:rPr>
        <w:t>Grand Robert de la langue française</w:t>
      </w:r>
      <w:r>
        <w:rPr>
          <w:lang w:val="fr-CA"/>
        </w:rPr>
        <w:t>, 2</w:t>
      </w:r>
      <w:r w:rsidRPr="00B80287">
        <w:rPr>
          <w:vertAlign w:val="superscript"/>
          <w:lang w:val="fr-CA"/>
        </w:rPr>
        <w:t>e</w:t>
      </w:r>
      <w:r>
        <w:rPr>
          <w:lang w:val="fr-CA"/>
        </w:rPr>
        <w:t xml:space="preserve"> éd. par Alain Rey, dir., Paris, Le Robert, 2001, « cruel ».</w:t>
      </w:r>
    </w:p>
    <w:p w:rsidR="006777CC" w:rsidRPr="003264AA" w:rsidRDefault="006777CC" w:rsidP="00653396">
      <w:pPr>
        <w:pStyle w:val="SCCNormalDoubleSpacing"/>
        <w:spacing w:after="240" w:line="240" w:lineRule="auto"/>
        <w:ind w:left="540" w:hanging="540"/>
        <w:rPr>
          <w:lang w:val="en-US"/>
        </w:rPr>
      </w:pPr>
      <w:r>
        <w:rPr>
          <w:lang w:val="en-US"/>
        </w:rPr>
        <w:t xml:space="preserve">Grear, Anna. </w:t>
      </w:r>
      <w:r w:rsidRPr="003C4450">
        <w:rPr>
          <w:lang w:val="en-US"/>
        </w:rPr>
        <w:t>« </w:t>
      </w:r>
      <w:r>
        <w:rPr>
          <w:lang w:val="en-US"/>
        </w:rPr>
        <w:t>Human Rights — Human Bodies? Some Reflections on Corporate Human Rights Distortion, the Legal Subject, Embodiment and Human Rights Theory</w:t>
      </w:r>
      <w:r w:rsidRPr="003C4450">
        <w:rPr>
          <w:lang w:val="en-US"/>
        </w:rPr>
        <w:t> »</w:t>
      </w:r>
      <w:r>
        <w:rPr>
          <w:lang w:val="en-US"/>
        </w:rPr>
        <w:t xml:space="preserve"> (2006), 17 </w:t>
      </w:r>
      <w:r>
        <w:rPr>
          <w:i/>
          <w:lang w:val="en-US"/>
        </w:rPr>
        <w:t>Law Critique</w:t>
      </w:r>
      <w:r w:rsidR="003264AA">
        <w:rPr>
          <w:lang w:val="en-US"/>
        </w:rPr>
        <w:t xml:space="preserve"> </w:t>
      </w:r>
      <w:r w:rsidR="003264AA" w:rsidRPr="001C706E">
        <w:rPr>
          <w:lang w:val="en-US"/>
        </w:rPr>
        <w:t>171 (</w:t>
      </w:r>
      <w:r w:rsidR="003264AA" w:rsidRPr="008160A8">
        <w:t xml:space="preserve">en ligne : https://papers.ssrn.com/sol3/papers.cfm?abstract_id=1825128; version archivée : </w:t>
      </w:r>
      <w:r w:rsidR="001B683F" w:rsidRPr="000859AD">
        <w:rPr>
          <w:rStyle w:val="Hyperlink"/>
          <w:color w:val="auto"/>
          <w:u w:val="none"/>
        </w:rPr>
        <w:t>https://www.scc-csc.ca/cso-dce/2020SCC-CSC32_1_eng.pdf</w:t>
      </w:r>
      <w:r w:rsidR="003264AA">
        <w:t>)</w:t>
      </w:r>
      <w:r w:rsidR="003264AA" w:rsidRPr="000838E4">
        <w:rPr>
          <w:lang w:val="en-US"/>
        </w:rPr>
        <w:t>.</w:t>
      </w:r>
    </w:p>
    <w:p w:rsidR="006777CC" w:rsidRPr="002D42BC" w:rsidRDefault="006777CC" w:rsidP="00653396">
      <w:pPr>
        <w:pStyle w:val="SCCNormalDoubleSpacing"/>
        <w:spacing w:after="240" w:line="240" w:lineRule="auto"/>
        <w:ind w:left="540" w:hanging="540"/>
        <w:rPr>
          <w:lang w:val="en-US"/>
        </w:rPr>
      </w:pPr>
      <w:r>
        <w:rPr>
          <w:lang w:val="en-US"/>
        </w:rPr>
        <w:t xml:space="preserve">Hirschl, Ran. </w:t>
      </w:r>
      <w:r w:rsidRPr="000F0CF2">
        <w:rPr>
          <w:lang w:val="en-US"/>
        </w:rPr>
        <w:t>« </w:t>
      </w:r>
      <w:r>
        <w:rPr>
          <w:lang w:val="en-US"/>
        </w:rPr>
        <w:t>Going Global? Canada as Importer and Exporter of Constitutional Thought</w:t>
      </w:r>
      <w:r w:rsidRPr="000F0CF2">
        <w:rPr>
          <w:lang w:val="en-US"/>
        </w:rPr>
        <w:t> »</w:t>
      </w:r>
      <w:r>
        <w:rPr>
          <w:lang w:val="en-US"/>
        </w:rPr>
        <w:t xml:space="preserve">, in Richard Albert and David R. Cameron, eds., </w:t>
      </w:r>
      <w:r>
        <w:rPr>
          <w:i/>
          <w:lang w:val="en-US"/>
        </w:rPr>
        <w:t>Canada in the World </w:t>
      </w:r>
      <w:r w:rsidRPr="000F0CF2">
        <w:rPr>
          <w:i/>
          <w:lang w:val="en-US"/>
        </w:rPr>
        <w:t>:</w:t>
      </w:r>
      <w:r>
        <w:rPr>
          <w:i/>
          <w:lang w:val="en-US"/>
        </w:rPr>
        <w:t xml:space="preserve"> Comparative Perspectives on the Canadian Constitution</w:t>
      </w:r>
      <w:r>
        <w:rPr>
          <w:lang w:val="en-US"/>
        </w:rPr>
        <w:t>, Cambridge, Cambridge University Press, 2018, 305.</w:t>
      </w:r>
    </w:p>
    <w:p w:rsidR="006777CC" w:rsidRPr="00286E55" w:rsidRDefault="006777CC" w:rsidP="00653396">
      <w:pPr>
        <w:pStyle w:val="SCCNormalDoubleSpacing"/>
        <w:spacing w:after="240" w:line="240" w:lineRule="auto"/>
        <w:ind w:left="540" w:hanging="540"/>
        <w:rPr>
          <w:lang w:val="en-US"/>
        </w:rPr>
      </w:pPr>
      <w:r w:rsidRPr="00286E55">
        <w:rPr>
          <w:lang w:val="en-US"/>
        </w:rPr>
        <w:lastRenderedPageBreak/>
        <w:t xml:space="preserve">Hogg, Peter W. </w:t>
      </w:r>
      <w:r w:rsidRPr="00286E55">
        <w:rPr>
          <w:i/>
          <w:lang w:val="en-US"/>
        </w:rPr>
        <w:t>Constitutional Law of</w:t>
      </w:r>
      <w:r>
        <w:rPr>
          <w:i/>
          <w:lang w:val="en-US"/>
        </w:rPr>
        <w:t xml:space="preserve"> Canada</w:t>
      </w:r>
      <w:r>
        <w:rPr>
          <w:lang w:val="en-US"/>
        </w:rPr>
        <w:t xml:space="preserve">, </w:t>
      </w:r>
      <w:r w:rsidRPr="00875C31">
        <w:rPr>
          <w:lang w:val="en-US"/>
        </w:rPr>
        <w:t>5th</w:t>
      </w:r>
      <w:r>
        <w:rPr>
          <w:vertAlign w:val="superscript"/>
          <w:lang w:val="en-US"/>
        </w:rPr>
        <w:t xml:space="preserve"> </w:t>
      </w:r>
      <w:r>
        <w:rPr>
          <w:lang w:val="en-US"/>
        </w:rPr>
        <w:t>ed. Supp., Scarborough (Ont.), Thomson/Carswell, 2007 (updated 2019, release 1).</w:t>
      </w:r>
    </w:p>
    <w:p w:rsidR="00B43439" w:rsidRPr="00B75BBA" w:rsidRDefault="00730302" w:rsidP="00653396">
      <w:pPr>
        <w:pStyle w:val="SCCNormalDoubleSpacing"/>
        <w:spacing w:after="240" w:line="240" w:lineRule="auto"/>
        <w:ind w:left="540" w:hanging="540"/>
        <w:rPr>
          <w:lang w:val="en-US"/>
        </w:rPr>
      </w:pPr>
      <w:r>
        <w:t>Juriansz, Russell </w:t>
      </w:r>
      <w:r w:rsidR="00B43439" w:rsidRPr="009D086E">
        <w:t>G.</w:t>
      </w:r>
      <w:r w:rsidR="009D086E">
        <w:t xml:space="preserve"> </w:t>
      </w:r>
      <w:r w:rsidR="009D086E" w:rsidRPr="009D086E">
        <w:rPr>
          <w:lang w:val="en-US"/>
        </w:rPr>
        <w:t>« </w:t>
      </w:r>
      <w:r w:rsidR="00B43439" w:rsidRPr="009D086E">
        <w:t>International</w:t>
      </w:r>
      <w:r w:rsidR="00B43439" w:rsidRPr="00FE45B4">
        <w:t xml:space="preserve"> Law and Cana</w:t>
      </w:r>
      <w:r w:rsidR="009D086E">
        <w:t>dian Courts </w:t>
      </w:r>
      <w:r w:rsidR="009D086E" w:rsidRPr="009D086E">
        <w:rPr>
          <w:lang w:val="en-US"/>
        </w:rPr>
        <w:t>:</w:t>
      </w:r>
      <w:r w:rsidR="009D086E">
        <w:t xml:space="preserve"> A Work in Progress</w:t>
      </w:r>
      <w:r w:rsidR="009D086E" w:rsidRPr="009D086E">
        <w:rPr>
          <w:lang w:val="en-US"/>
        </w:rPr>
        <w:t> »</w:t>
      </w:r>
      <w:r w:rsidR="00B43439" w:rsidRPr="00FE45B4">
        <w:t xml:space="preserve"> (2008)</w:t>
      </w:r>
      <w:r w:rsidR="00B43439">
        <w:t>,</w:t>
      </w:r>
      <w:r w:rsidR="00B43439" w:rsidRPr="00FE45B4">
        <w:t xml:space="preserve"> 25 </w:t>
      </w:r>
      <w:r w:rsidR="00B43439">
        <w:rPr>
          <w:i/>
        </w:rPr>
        <w:t>R.N.D.C.</w:t>
      </w:r>
      <w:r w:rsidR="00B43439" w:rsidRPr="003829F1">
        <w:rPr>
          <w:i/>
        </w:rPr>
        <w:t xml:space="preserve"> </w:t>
      </w:r>
      <w:r w:rsidR="00B43439" w:rsidRPr="00FE45B4">
        <w:t>171</w:t>
      </w:r>
      <w:r w:rsidR="00B43439">
        <w:t>.</w:t>
      </w:r>
    </w:p>
    <w:p w:rsidR="006777CC" w:rsidRPr="00BB7E14" w:rsidRDefault="006777CC" w:rsidP="00653396">
      <w:pPr>
        <w:pStyle w:val="SCCNormalDoubleSpacing"/>
        <w:spacing w:after="240" w:line="240" w:lineRule="auto"/>
        <w:ind w:left="540" w:hanging="540"/>
        <w:rPr>
          <w:lang w:val="en-US"/>
        </w:rPr>
      </w:pPr>
      <w:r>
        <w:t xml:space="preserve">Ku, Julian G. </w:t>
      </w:r>
      <w:r w:rsidRPr="001E0537">
        <w:rPr>
          <w:lang w:val="en-US"/>
        </w:rPr>
        <w:t>« </w:t>
      </w:r>
      <w:r>
        <w:t>The Limits of Corporate Rights Under International Law</w:t>
      </w:r>
      <w:r w:rsidRPr="001E0537">
        <w:rPr>
          <w:lang w:val="en-US"/>
        </w:rPr>
        <w:t> »</w:t>
      </w:r>
      <w:r>
        <w:t xml:space="preserve"> (2012), 12 </w:t>
      </w:r>
      <w:r>
        <w:rPr>
          <w:i/>
        </w:rPr>
        <w:t xml:space="preserve">Chi. </w:t>
      </w:r>
      <w:r w:rsidRPr="009D086E">
        <w:rPr>
          <w:i/>
        </w:rPr>
        <w:t>J. Int’l L.</w:t>
      </w:r>
      <w:r>
        <w:t xml:space="preserve"> 729.</w:t>
      </w:r>
    </w:p>
    <w:p w:rsidR="006777CC" w:rsidRPr="00994CDB" w:rsidRDefault="006777CC" w:rsidP="00653396">
      <w:pPr>
        <w:pStyle w:val="SCCNormalDoubleSpacing"/>
        <w:spacing w:after="240" w:line="240" w:lineRule="auto"/>
        <w:ind w:left="540" w:hanging="540"/>
        <w:rPr>
          <w:lang w:val="en-US"/>
        </w:rPr>
      </w:pPr>
      <w:r>
        <w:t xml:space="preserve">Landau, David. </w:t>
      </w:r>
      <w:r w:rsidRPr="00E52842">
        <w:rPr>
          <w:lang w:val="en-US"/>
        </w:rPr>
        <w:t>« </w:t>
      </w:r>
      <w:r>
        <w:t>Legal pragmatism and comparative constitutional law</w:t>
      </w:r>
      <w:r w:rsidRPr="00E52842">
        <w:rPr>
          <w:lang w:val="en-US"/>
        </w:rPr>
        <w:t> »</w:t>
      </w:r>
      <w:r>
        <w:t xml:space="preserve">, in Gary Jacobsohn and Miguel Schor, eds., </w:t>
      </w:r>
      <w:r>
        <w:rPr>
          <w:i/>
        </w:rPr>
        <w:t>Comparative Constitutional Theory</w:t>
      </w:r>
      <w:r>
        <w:t>, Cheltenham (U.K.), Edward Elgar, 2018, 208.</w:t>
      </w:r>
    </w:p>
    <w:p w:rsidR="006777CC" w:rsidRPr="003264AA" w:rsidRDefault="006777CC" w:rsidP="00653396">
      <w:pPr>
        <w:pStyle w:val="SCCNormalDoubleSpacing"/>
        <w:spacing w:after="240" w:line="240" w:lineRule="auto"/>
        <w:ind w:left="540" w:hanging="540"/>
        <w:rPr>
          <w:lang w:val="en-US"/>
        </w:rPr>
      </w:pPr>
      <w:r w:rsidRPr="001C706E">
        <w:t>Max Planck Instit</w:t>
      </w:r>
      <w:r w:rsidR="008156D1" w:rsidRPr="001C706E">
        <w:t>ute for Comparative Public Law and International Law</w:t>
      </w:r>
      <w:r w:rsidR="009E3A20" w:rsidRPr="001C706E">
        <w:t>.</w:t>
      </w:r>
      <w:r w:rsidRPr="001C706E">
        <w:t xml:space="preserve"> </w:t>
      </w:r>
      <w:r w:rsidRPr="001C706E">
        <w:rPr>
          <w:i/>
        </w:rPr>
        <w:t>Who Turned Multinational</w:t>
      </w:r>
      <w:r>
        <w:rPr>
          <w:i/>
        </w:rPr>
        <w:t xml:space="preserve"> Corporations into Bearers of Human Rights? On the Creation of </w:t>
      </w:r>
      <w:r w:rsidRPr="009E3A20">
        <w:rPr>
          <w:i/>
        </w:rPr>
        <w:t xml:space="preserve">Corporate </w:t>
      </w:r>
      <w:r w:rsidRPr="009E3A20">
        <w:rPr>
          <w:i/>
          <w:lang w:val="en-US"/>
        </w:rPr>
        <w:t>« </w:t>
      </w:r>
      <w:r w:rsidRPr="009E3A20">
        <w:rPr>
          <w:i/>
        </w:rPr>
        <w:t>Human</w:t>
      </w:r>
      <w:r w:rsidRPr="009E3A20">
        <w:rPr>
          <w:i/>
          <w:lang w:val="en-US"/>
        </w:rPr>
        <w:t> »</w:t>
      </w:r>
      <w:r w:rsidRPr="009E3A20">
        <w:rPr>
          <w:i/>
        </w:rPr>
        <w:t xml:space="preserve"> Rights</w:t>
      </w:r>
      <w:r>
        <w:rPr>
          <w:i/>
        </w:rPr>
        <w:t xml:space="preserve"> in International Law</w:t>
      </w:r>
      <w:r>
        <w:t xml:space="preserve">, by Silvia </w:t>
      </w:r>
      <w:r w:rsidRPr="001C706E">
        <w:t xml:space="preserve">Steininger and Jochen von Bernstorff, </w:t>
      </w:r>
      <w:r w:rsidR="004270CE">
        <w:t xml:space="preserve">25 </w:t>
      </w:r>
      <w:r w:rsidR="00F01F7A">
        <w:t>septembre</w:t>
      </w:r>
      <w:r w:rsidR="004270CE">
        <w:t xml:space="preserve"> </w:t>
      </w:r>
      <w:r w:rsidR="003264AA" w:rsidRPr="001C706E">
        <w:t>2018 (</w:t>
      </w:r>
      <w:r w:rsidR="003264AA" w:rsidRPr="008160A8">
        <w:t xml:space="preserve">en ligne : https://papers.ssrn.com/sol3/papers.cfm?abstract_id=3254823; version archivée : </w:t>
      </w:r>
      <w:r w:rsidR="001B683F" w:rsidRPr="0019165D">
        <w:rPr>
          <w:rStyle w:val="Hyperlink"/>
          <w:color w:val="auto"/>
          <w:u w:val="none"/>
        </w:rPr>
        <w:t>https://www.scc-csc.ca/cso-dce/2020SCC-CSC32_2_eng.pdf</w:t>
      </w:r>
      <w:r w:rsidR="003264AA">
        <w:t>).</w:t>
      </w:r>
    </w:p>
    <w:p w:rsidR="006777CC" w:rsidRDefault="006777CC" w:rsidP="00653396">
      <w:pPr>
        <w:pStyle w:val="SCCNormalDoubleSpacing"/>
        <w:spacing w:after="240" w:line="240" w:lineRule="auto"/>
        <w:ind w:left="540" w:hanging="540"/>
        <w:rPr>
          <w:lang w:val="fr-CA"/>
        </w:rPr>
      </w:pPr>
      <w:r w:rsidRPr="008156D1">
        <w:rPr>
          <w:lang w:val="fr-CA"/>
        </w:rPr>
        <w:t xml:space="preserve">Nations Unies. Comité des droits de l’homme. </w:t>
      </w:r>
      <w:r w:rsidRPr="008156D1">
        <w:rPr>
          <w:i/>
          <w:lang w:val="fr-CA"/>
        </w:rPr>
        <w:t>Observation générale n</w:t>
      </w:r>
      <w:r w:rsidRPr="008156D1">
        <w:rPr>
          <w:i/>
          <w:vertAlign w:val="superscript"/>
          <w:lang w:val="fr-CA"/>
        </w:rPr>
        <w:t>o</w:t>
      </w:r>
      <w:r w:rsidRPr="008156D1">
        <w:rPr>
          <w:i/>
          <w:lang w:val="fr-CA"/>
        </w:rPr>
        <w:t xml:space="preserve"> 20 : Article</w:t>
      </w:r>
      <w:r w:rsidR="008156D1" w:rsidRPr="008156D1">
        <w:rPr>
          <w:i/>
          <w:lang w:val="fr-CA"/>
        </w:rPr>
        <w:t xml:space="preserve"> 7 (Interdiction de la</w:t>
      </w:r>
      <w:r w:rsidR="008156D1">
        <w:rPr>
          <w:i/>
          <w:lang w:val="fr-CA"/>
        </w:rPr>
        <w:t xml:space="preserve"> torture et des peines ou traitements cruels, inhumains ou dégradants) (</w:t>
      </w:r>
      <w:r>
        <w:rPr>
          <w:i/>
          <w:lang w:val="fr-CA"/>
        </w:rPr>
        <w:t>1992)</w:t>
      </w:r>
      <w:r>
        <w:rPr>
          <w:lang w:val="fr-CA"/>
        </w:rPr>
        <w:t xml:space="preserve">, Doc. N.U. </w:t>
      </w:r>
      <w:r w:rsidR="008156D1">
        <w:rPr>
          <w:lang w:val="fr-CA"/>
        </w:rPr>
        <w:t>HRI/GEN/1/Rev.</w:t>
      </w:r>
      <w:r w:rsidRPr="0081468E">
        <w:rPr>
          <w:lang w:val="fr-CA"/>
        </w:rPr>
        <w:t>9</w:t>
      </w:r>
      <w:r w:rsidR="00730302">
        <w:rPr>
          <w:lang w:val="fr-CA"/>
        </w:rPr>
        <w:t>, vol. </w:t>
      </w:r>
      <w:r w:rsidR="008156D1">
        <w:rPr>
          <w:lang w:val="fr-CA"/>
        </w:rPr>
        <w:t>1,</w:t>
      </w:r>
      <w:r w:rsidRPr="0081468E">
        <w:rPr>
          <w:lang w:val="fr-CA"/>
        </w:rPr>
        <w:t xml:space="preserve"> </w:t>
      </w:r>
      <w:r>
        <w:rPr>
          <w:lang w:val="fr-CA"/>
        </w:rPr>
        <w:t>p. 200</w:t>
      </w:r>
      <w:r w:rsidRPr="0081468E">
        <w:rPr>
          <w:lang w:val="fr-CA"/>
        </w:rPr>
        <w:t xml:space="preserve"> (2008).</w:t>
      </w:r>
    </w:p>
    <w:p w:rsidR="006777CC" w:rsidRPr="008156D1" w:rsidRDefault="006777CC" w:rsidP="00653396">
      <w:pPr>
        <w:pStyle w:val="SCCNormalDoubleSpacing"/>
        <w:spacing w:after="240" w:line="240" w:lineRule="auto"/>
        <w:ind w:left="540" w:hanging="540"/>
        <w:rPr>
          <w:lang w:val="fr-CA"/>
        </w:rPr>
      </w:pPr>
      <w:r w:rsidRPr="008156D1">
        <w:rPr>
          <w:lang w:val="fr-CA"/>
        </w:rPr>
        <w:t xml:space="preserve">Nations Unies. Comité des droits de l’homme. </w:t>
      </w:r>
      <w:r w:rsidRPr="008156D1">
        <w:rPr>
          <w:i/>
          <w:lang w:val="fr-CA"/>
        </w:rPr>
        <w:t>Observation générale n</w:t>
      </w:r>
      <w:r w:rsidRPr="008156D1">
        <w:rPr>
          <w:i/>
          <w:vertAlign w:val="superscript"/>
          <w:lang w:val="fr-CA"/>
        </w:rPr>
        <w:t>o</w:t>
      </w:r>
      <w:r w:rsidR="00730302">
        <w:rPr>
          <w:i/>
          <w:lang w:val="fr-CA"/>
        </w:rPr>
        <w:t> </w:t>
      </w:r>
      <w:r w:rsidR="008156D1" w:rsidRPr="008156D1">
        <w:rPr>
          <w:i/>
          <w:lang w:val="fr-CA"/>
        </w:rPr>
        <w:t>31 : La nature et l’obligation juridique générale imposée aux États parties au Pacte</w:t>
      </w:r>
      <w:r w:rsidR="008156D1" w:rsidRPr="008156D1">
        <w:rPr>
          <w:lang w:val="fr-CA"/>
        </w:rPr>
        <w:t>, Doc. N.U. CCPR/C/21/Rev.1/Add.13,</w:t>
      </w:r>
      <w:r w:rsidR="00730302">
        <w:rPr>
          <w:lang w:val="fr-CA"/>
        </w:rPr>
        <w:t xml:space="preserve"> 26 </w:t>
      </w:r>
      <w:r w:rsidR="008156D1">
        <w:rPr>
          <w:lang w:val="fr-CA"/>
        </w:rPr>
        <w:t>mai 2004.</w:t>
      </w:r>
    </w:p>
    <w:p w:rsidR="00CE7A40" w:rsidRPr="00E53D2C" w:rsidRDefault="00CE7A40" w:rsidP="00653396">
      <w:pPr>
        <w:pStyle w:val="SCCNormalDoubleSpacing"/>
        <w:spacing w:after="240" w:line="240" w:lineRule="auto"/>
        <w:ind w:left="540" w:hanging="540"/>
        <w:rPr>
          <w:lang w:val="en-US"/>
        </w:rPr>
      </w:pPr>
      <w:r w:rsidRPr="003264AA">
        <w:rPr>
          <w:lang w:val="en-US"/>
        </w:rPr>
        <w:t xml:space="preserve">Neudorf, Lorne. </w:t>
      </w:r>
      <w:r w:rsidRPr="00550A55">
        <w:rPr>
          <w:lang w:val="en-US"/>
        </w:rPr>
        <w:t>« </w:t>
      </w:r>
      <w:r w:rsidRPr="00E53D2C">
        <w:t>Reassessing the Constitutional Foundation of Delegated Legislation in Canada</w:t>
      </w:r>
      <w:r w:rsidRPr="00550A55">
        <w:rPr>
          <w:lang w:val="en-US"/>
        </w:rPr>
        <w:t> »</w:t>
      </w:r>
      <w:r w:rsidRPr="00E53D2C">
        <w:t xml:space="preserve"> (2018), 41 </w:t>
      </w:r>
      <w:r w:rsidRPr="00E53D2C">
        <w:rPr>
          <w:i/>
        </w:rPr>
        <w:t>Dal. L.J.</w:t>
      </w:r>
      <w:r w:rsidRPr="00E53D2C">
        <w:t xml:space="preserve"> 519</w:t>
      </w:r>
      <w:r>
        <w:t>.</w:t>
      </w:r>
    </w:p>
    <w:p w:rsidR="006777CC" w:rsidRPr="0060036A" w:rsidRDefault="006777CC" w:rsidP="00653396">
      <w:pPr>
        <w:pStyle w:val="SCCNormalDoubleSpacing"/>
        <w:spacing w:after="240" w:line="240" w:lineRule="auto"/>
        <w:ind w:left="540" w:hanging="540"/>
        <w:rPr>
          <w:lang w:val="en-US"/>
        </w:rPr>
      </w:pPr>
      <w:r>
        <w:t xml:space="preserve">Occhipinti, Brittany. </w:t>
      </w:r>
      <w:r w:rsidRPr="00CA62A2">
        <w:rPr>
          <w:lang w:val="en-US"/>
        </w:rPr>
        <w:t>« </w:t>
      </w:r>
      <w:r>
        <w:t xml:space="preserve">We the Militia </w:t>
      </w:r>
      <w:r w:rsidR="00730302">
        <w:t>of the United States of America </w:t>
      </w:r>
      <w:r>
        <w:t>: A Reanalysis of the Second Amendment</w:t>
      </w:r>
      <w:r w:rsidRPr="00CA62A2">
        <w:rPr>
          <w:lang w:val="en-US"/>
        </w:rPr>
        <w:t> »</w:t>
      </w:r>
      <w:r>
        <w:t xml:space="preserve"> (2017), 53 </w:t>
      </w:r>
      <w:r>
        <w:rPr>
          <w:i/>
        </w:rPr>
        <w:t xml:space="preserve">Willamette L. Rev. </w:t>
      </w:r>
      <w:r>
        <w:t>431.</w:t>
      </w:r>
    </w:p>
    <w:p w:rsidR="00550A55" w:rsidRPr="00040555" w:rsidRDefault="00550A55" w:rsidP="00653396">
      <w:pPr>
        <w:pStyle w:val="SCCNormalDoubleSpacing"/>
        <w:spacing w:after="240" w:line="240" w:lineRule="auto"/>
        <w:ind w:left="540" w:hanging="540"/>
        <w:rPr>
          <w:lang w:val="en-US"/>
        </w:rPr>
      </w:pPr>
      <w:r w:rsidRPr="00040555">
        <w:t xml:space="preserve">Oliphant, </w:t>
      </w:r>
      <w:r w:rsidR="00730302">
        <w:t>Benjamin </w:t>
      </w:r>
      <w:r>
        <w:t xml:space="preserve">J. </w:t>
      </w:r>
      <w:r w:rsidRPr="00550A55">
        <w:rPr>
          <w:lang w:val="en-US"/>
        </w:rPr>
        <w:t>« </w:t>
      </w:r>
      <w:r w:rsidRPr="00040555">
        <w:t>Taking purposes seriously</w:t>
      </w:r>
      <w:r w:rsidRPr="00550A55">
        <w:rPr>
          <w:lang w:val="en-US"/>
        </w:rPr>
        <w:t> </w:t>
      </w:r>
      <w:r w:rsidRPr="00040555">
        <w:t>: The purposive scope and textual bounds of interpretation under the Canadian Charter of Rights and Freedoms</w:t>
      </w:r>
      <w:r w:rsidRPr="00550A55">
        <w:rPr>
          <w:lang w:val="en-US"/>
        </w:rPr>
        <w:t> »</w:t>
      </w:r>
      <w:r w:rsidRPr="00040555">
        <w:t xml:space="preserve"> (2015), 65 </w:t>
      </w:r>
      <w:r w:rsidRPr="00040555">
        <w:rPr>
          <w:i/>
        </w:rPr>
        <w:t>U.T.L.J.</w:t>
      </w:r>
      <w:r w:rsidRPr="00040555">
        <w:t xml:space="preserve"> 239</w:t>
      </w:r>
      <w:r>
        <w:t>.</w:t>
      </w:r>
    </w:p>
    <w:p w:rsidR="006777CC" w:rsidRDefault="006777CC" w:rsidP="00653396">
      <w:pPr>
        <w:pStyle w:val="SCCNormalDoubleSpacing"/>
        <w:spacing w:after="240" w:line="240" w:lineRule="auto"/>
        <w:ind w:left="540" w:hanging="540"/>
        <w:rPr>
          <w:lang w:val="en-US"/>
        </w:rPr>
      </w:pPr>
      <w:r>
        <w:rPr>
          <w:i/>
          <w:lang w:val="en-US"/>
        </w:rPr>
        <w:t>Oxford English Dictionary</w:t>
      </w:r>
      <w:r>
        <w:rPr>
          <w:lang w:val="en-US"/>
        </w:rPr>
        <w:t xml:space="preserve">, 2nd ed., Oxford, Clarendon Press, 1989, </w:t>
      </w:r>
      <w:r w:rsidRPr="00450C60">
        <w:rPr>
          <w:lang w:val="en-US"/>
        </w:rPr>
        <w:t>« </w:t>
      </w:r>
      <w:r w:rsidRPr="00450C60">
        <w:rPr>
          <w:i/>
          <w:lang w:val="en-US"/>
        </w:rPr>
        <w:t>cruel</w:t>
      </w:r>
      <w:r w:rsidRPr="00450C60">
        <w:rPr>
          <w:lang w:val="en-US"/>
        </w:rPr>
        <w:t> »</w:t>
      </w:r>
      <w:r>
        <w:rPr>
          <w:lang w:val="en-US"/>
        </w:rPr>
        <w:t xml:space="preserve">, </w:t>
      </w:r>
      <w:r w:rsidRPr="00450C60">
        <w:rPr>
          <w:lang w:val="en-US"/>
        </w:rPr>
        <w:t>« </w:t>
      </w:r>
      <w:r>
        <w:rPr>
          <w:i/>
          <w:lang w:val="en-US"/>
        </w:rPr>
        <w:t>cruelty</w:t>
      </w:r>
      <w:r w:rsidRPr="00450C60">
        <w:rPr>
          <w:lang w:val="en-US"/>
        </w:rPr>
        <w:t> »</w:t>
      </w:r>
      <w:r>
        <w:rPr>
          <w:lang w:val="en-US"/>
        </w:rPr>
        <w:t>.</w:t>
      </w:r>
    </w:p>
    <w:p w:rsidR="00951C33" w:rsidRPr="00951C33" w:rsidRDefault="00951C33" w:rsidP="00653396">
      <w:pPr>
        <w:pStyle w:val="SCCNormalDoubleSpacing"/>
        <w:spacing w:after="240" w:line="240" w:lineRule="auto"/>
        <w:ind w:left="540" w:hanging="540"/>
        <w:rPr>
          <w:lang w:val="fr-CA"/>
        </w:rPr>
      </w:pPr>
      <w:r w:rsidRPr="00951C33">
        <w:rPr>
          <w:lang w:val="fr-CA"/>
        </w:rPr>
        <w:t xml:space="preserve">Pearson, Lester B. </w:t>
      </w:r>
      <w:r w:rsidRPr="00951C33">
        <w:rPr>
          <w:i/>
          <w:lang w:val="fr-CA"/>
        </w:rPr>
        <w:t>Le fédéralisme et l'a</w:t>
      </w:r>
      <w:r>
        <w:rPr>
          <w:i/>
          <w:lang w:val="fr-CA"/>
        </w:rPr>
        <w:t>venir : Déclaration de principe</w:t>
      </w:r>
      <w:r w:rsidRPr="00951C33">
        <w:rPr>
          <w:i/>
          <w:lang w:val="fr-CA"/>
        </w:rPr>
        <w:t xml:space="preserve"> et exposé de politique du gouvernement du Canada</w:t>
      </w:r>
      <w:r w:rsidRPr="00951C33">
        <w:rPr>
          <w:lang w:val="fr-CA"/>
        </w:rPr>
        <w:t>. Ottawa : Imprimeur de la Reine, 1968.</w:t>
      </w:r>
    </w:p>
    <w:p w:rsidR="006777CC" w:rsidRPr="003264AA" w:rsidRDefault="006777CC" w:rsidP="00653396">
      <w:pPr>
        <w:pStyle w:val="SCCNormalDoubleSpacing"/>
        <w:spacing w:after="240" w:line="240" w:lineRule="auto"/>
        <w:ind w:left="540" w:hanging="540"/>
        <w:rPr>
          <w:lang w:val="fr-CA"/>
        </w:rPr>
      </w:pPr>
      <w:r w:rsidRPr="00B871E1">
        <w:rPr>
          <w:lang w:val="en-US"/>
        </w:rPr>
        <w:t xml:space="preserve">Rado, Klodian. </w:t>
      </w:r>
      <w:r w:rsidRPr="00C6189D">
        <w:rPr>
          <w:lang w:val="en-US"/>
        </w:rPr>
        <w:t>« </w:t>
      </w:r>
      <w:r>
        <w:t>The use of non-domestic legal sources in Supreme Court of Canada judgments </w:t>
      </w:r>
      <w:r w:rsidRPr="00C6189D">
        <w:rPr>
          <w:lang w:val="en-US"/>
        </w:rPr>
        <w:t>:</w:t>
      </w:r>
      <w:r>
        <w:t xml:space="preserve"> Is this the </w:t>
      </w:r>
      <w:r>
        <w:rPr>
          <w:i/>
        </w:rPr>
        <w:t>judicial slowbalization</w:t>
      </w:r>
      <w:r>
        <w:t xml:space="preserve"> of </w:t>
      </w:r>
      <w:r w:rsidRPr="001C706E">
        <w:t>the court?</w:t>
      </w:r>
      <w:r w:rsidRPr="001C706E">
        <w:rPr>
          <w:lang w:val="en-US"/>
        </w:rPr>
        <w:t> »</w:t>
      </w:r>
      <w:r w:rsidRPr="001C706E">
        <w:t xml:space="preserve"> </w:t>
      </w:r>
      <w:r w:rsidR="00EE08A9">
        <w:rPr>
          <w:lang w:val="fr-CA"/>
        </w:rPr>
        <w:t xml:space="preserve">(2020), 16 </w:t>
      </w:r>
      <w:r w:rsidR="00EE08A9">
        <w:rPr>
          <w:i/>
          <w:lang w:val="fr-CA"/>
        </w:rPr>
        <w:t xml:space="preserve">Utrecht L. </w:t>
      </w:r>
      <w:r w:rsidRPr="001C706E">
        <w:rPr>
          <w:i/>
          <w:lang w:val="fr-CA"/>
        </w:rPr>
        <w:t>Rev.</w:t>
      </w:r>
      <w:r w:rsidR="00EE08A9">
        <w:rPr>
          <w:lang w:val="fr-CA"/>
        </w:rPr>
        <w:t xml:space="preserve"> </w:t>
      </w:r>
      <w:r w:rsidR="003264AA" w:rsidRPr="001C706E">
        <w:rPr>
          <w:lang w:val="fr-CA"/>
        </w:rPr>
        <w:t xml:space="preserve">57 (en ligne : </w:t>
      </w:r>
      <w:r w:rsidR="003264AA" w:rsidRPr="001C706E">
        <w:rPr>
          <w:lang w:val="fr-CA"/>
        </w:rPr>
        <w:lastRenderedPageBreak/>
        <w:t>https://www.utrechtlawreview.org/articles/10.36633/ulr.584/; version archivée</w:t>
      </w:r>
      <w:r w:rsidR="003264AA">
        <w:rPr>
          <w:lang w:val="fr-CA"/>
        </w:rPr>
        <w:t xml:space="preserve"> : </w:t>
      </w:r>
      <w:r w:rsidR="001B683F" w:rsidRPr="006F0084">
        <w:rPr>
          <w:rStyle w:val="Hyperlink"/>
          <w:color w:val="auto"/>
          <w:u w:val="none"/>
          <w:lang w:val="fr-CA"/>
        </w:rPr>
        <w:t>https://www.scc-csc.ca/cso-dce/2020SCC-CSC32_3_eng.pdf</w:t>
      </w:r>
      <w:r w:rsidR="003264AA" w:rsidRPr="003264AA">
        <w:rPr>
          <w:lang w:val="fr-CA"/>
        </w:rPr>
        <w:t>)</w:t>
      </w:r>
      <w:r w:rsidR="003264AA">
        <w:rPr>
          <w:lang w:val="fr-CA"/>
        </w:rPr>
        <w:t>.</w:t>
      </w:r>
    </w:p>
    <w:p w:rsidR="006777CC" w:rsidRPr="00375B93" w:rsidRDefault="006777CC" w:rsidP="00653396">
      <w:pPr>
        <w:pStyle w:val="SCCNormalDoubleSpacing"/>
        <w:spacing w:after="240" w:line="240" w:lineRule="auto"/>
        <w:ind w:left="540" w:hanging="540"/>
        <w:rPr>
          <w:i/>
          <w:lang w:val="en-US"/>
        </w:rPr>
      </w:pPr>
      <w:r>
        <w:t xml:space="preserve">Scalia, Antonin. </w:t>
      </w:r>
      <w:r w:rsidR="00730302">
        <w:rPr>
          <w:lang w:val="en-US"/>
        </w:rPr>
        <w:t>« </w:t>
      </w:r>
      <w:r w:rsidRPr="00375B93">
        <w:rPr>
          <w:lang w:val="en-US"/>
        </w:rPr>
        <w:t>Keynote Address : Fo</w:t>
      </w:r>
      <w:r>
        <w:rPr>
          <w:lang w:val="en-US"/>
        </w:rPr>
        <w:t>reign Legal Authority in the Federal Courts</w:t>
      </w:r>
      <w:r w:rsidRPr="00375B93">
        <w:rPr>
          <w:lang w:val="en-US"/>
        </w:rPr>
        <w:t> »</w:t>
      </w:r>
      <w:r>
        <w:rPr>
          <w:lang w:val="en-US"/>
        </w:rPr>
        <w:t xml:space="preserve"> (2004), 98 </w:t>
      </w:r>
      <w:r>
        <w:rPr>
          <w:i/>
          <w:lang w:val="en-US"/>
        </w:rPr>
        <w:t>A.S.I.L. Proc. 305.</w:t>
      </w:r>
    </w:p>
    <w:p w:rsidR="006777CC" w:rsidRPr="00EB1400" w:rsidRDefault="00730302" w:rsidP="00653396">
      <w:pPr>
        <w:pStyle w:val="SCCNormalDoubleSpacing"/>
        <w:spacing w:after="240" w:line="240" w:lineRule="auto"/>
        <w:ind w:left="540" w:hanging="540"/>
        <w:rPr>
          <w:lang w:val="en-US"/>
        </w:rPr>
      </w:pPr>
      <w:r>
        <w:t>Sharpe, Robert </w:t>
      </w:r>
      <w:r w:rsidR="006777CC">
        <w:t xml:space="preserve">J., and Kent Roach. </w:t>
      </w:r>
      <w:r w:rsidR="006777CC">
        <w:rPr>
          <w:i/>
        </w:rPr>
        <w:t>The Charter of Rights and Freedoms</w:t>
      </w:r>
      <w:r w:rsidR="006777CC">
        <w:t>, 6th ed., Toronto, Irwin Law, 2017.</w:t>
      </w:r>
    </w:p>
    <w:p w:rsidR="006777CC" w:rsidRPr="00CF0730" w:rsidRDefault="00730302" w:rsidP="00653396">
      <w:pPr>
        <w:pStyle w:val="SCCNormalDoubleSpacing"/>
        <w:spacing w:after="240" w:line="240" w:lineRule="auto"/>
        <w:ind w:left="540" w:hanging="540"/>
        <w:rPr>
          <w:lang w:val="en-US"/>
        </w:rPr>
      </w:pPr>
      <w:r>
        <w:t>Siegel, Jonathan </w:t>
      </w:r>
      <w:r w:rsidR="006777CC">
        <w:t xml:space="preserve">R. </w:t>
      </w:r>
      <w:r w:rsidR="006777CC" w:rsidRPr="00CF0730">
        <w:rPr>
          <w:lang w:val="en-US"/>
        </w:rPr>
        <w:t>« The Inexorable R</w:t>
      </w:r>
      <w:r w:rsidR="006777CC">
        <w:rPr>
          <w:lang w:val="en-US"/>
        </w:rPr>
        <w:t>adicalization of Textualism</w:t>
      </w:r>
      <w:r w:rsidR="006777CC" w:rsidRPr="00CF0730">
        <w:rPr>
          <w:lang w:val="en-US"/>
        </w:rPr>
        <w:t> »</w:t>
      </w:r>
      <w:r w:rsidR="006777CC">
        <w:rPr>
          <w:lang w:val="en-US"/>
        </w:rPr>
        <w:t xml:space="preserve"> (2009), 158 </w:t>
      </w:r>
      <w:r w:rsidR="00137535">
        <w:rPr>
          <w:i/>
          <w:lang w:val="en-US"/>
        </w:rPr>
        <w:t>U. </w:t>
      </w:r>
      <w:r w:rsidR="00000A92">
        <w:rPr>
          <w:i/>
          <w:lang w:val="en-US"/>
        </w:rPr>
        <w:t>Pa. L. </w:t>
      </w:r>
      <w:r w:rsidR="006777CC">
        <w:rPr>
          <w:i/>
          <w:lang w:val="en-US"/>
        </w:rPr>
        <w:t xml:space="preserve">Rev. </w:t>
      </w:r>
      <w:r w:rsidR="006777CC">
        <w:rPr>
          <w:lang w:val="en-US"/>
        </w:rPr>
        <w:t>117.</w:t>
      </w:r>
    </w:p>
    <w:p w:rsidR="006777CC" w:rsidRPr="006E62AC" w:rsidRDefault="006777CC" w:rsidP="00653396">
      <w:pPr>
        <w:pStyle w:val="SCCNormalDoubleSpacing"/>
        <w:spacing w:after="240" w:line="240" w:lineRule="auto"/>
        <w:ind w:left="540" w:hanging="540"/>
        <w:rPr>
          <w:lang w:val="en-US"/>
        </w:rPr>
      </w:pPr>
      <w:r>
        <w:t>Tarnopolsky</w:t>
      </w:r>
      <w:r w:rsidRPr="001C706E">
        <w:t>, Walter S</w:t>
      </w:r>
      <w:r w:rsidR="00A057C0" w:rsidRPr="001C706E">
        <w:t>urma</w:t>
      </w:r>
      <w:r w:rsidRPr="001C706E">
        <w:t xml:space="preserve">. </w:t>
      </w:r>
      <w:r w:rsidRPr="001C706E">
        <w:rPr>
          <w:i/>
        </w:rPr>
        <w:t>Th</w:t>
      </w:r>
      <w:r>
        <w:rPr>
          <w:i/>
        </w:rPr>
        <w:t xml:space="preserve">e Canadian Bill of </w:t>
      </w:r>
      <w:r w:rsidRPr="00EF58C3">
        <w:rPr>
          <w:i/>
        </w:rPr>
        <w:t>Rights</w:t>
      </w:r>
      <w:r w:rsidRPr="00EF58C3">
        <w:t>, 2nd rev. ed., Toronto</w:t>
      </w:r>
      <w:r w:rsidR="00A057C0">
        <w:t>, McClelland and</w:t>
      </w:r>
      <w:r>
        <w:t xml:space="preserve"> Stewart, 1975.</w:t>
      </w:r>
    </w:p>
    <w:p w:rsidR="006777CC" w:rsidRPr="00550A55" w:rsidRDefault="006777CC" w:rsidP="00653396">
      <w:pPr>
        <w:pStyle w:val="SCCNormalDoubleSpacing"/>
        <w:spacing w:after="240" w:line="240" w:lineRule="auto"/>
        <w:ind w:left="540" w:hanging="540"/>
        <w:rPr>
          <w:lang w:val="en-US"/>
        </w:rPr>
      </w:pPr>
      <w:r w:rsidRPr="00C708F8">
        <w:rPr>
          <w:lang w:val="en-US"/>
        </w:rPr>
        <w:t xml:space="preserve">Trudeau, Pierre Elliott. </w:t>
      </w:r>
      <w:r w:rsidRPr="001B1AFD">
        <w:rPr>
          <w:i/>
          <w:lang w:val="en-US"/>
        </w:rPr>
        <w:t>A Canadian Charter of H</w:t>
      </w:r>
      <w:r>
        <w:rPr>
          <w:i/>
          <w:lang w:val="en-US"/>
        </w:rPr>
        <w:t>uman Rights</w:t>
      </w:r>
      <w:r>
        <w:rPr>
          <w:lang w:val="en-US"/>
        </w:rPr>
        <w:t>, Ottawa, Government of Canada, 1968.</w:t>
      </w:r>
    </w:p>
    <w:p w:rsidR="00EF58C3" w:rsidRDefault="00EF58C3" w:rsidP="00653396">
      <w:pPr>
        <w:pStyle w:val="SCCNormalDoubleSpacing"/>
        <w:spacing w:after="240" w:line="240" w:lineRule="auto"/>
        <w:ind w:left="540" w:hanging="540"/>
      </w:pPr>
      <w:r w:rsidRPr="00FE45B4">
        <w:t>van Ert, G</w:t>
      </w:r>
      <w:r>
        <w:t>ib</w:t>
      </w:r>
      <w:r w:rsidRPr="00FE45B4">
        <w:t xml:space="preserve">. </w:t>
      </w:r>
      <w:r w:rsidRPr="00FE45B4">
        <w:rPr>
          <w:i/>
        </w:rPr>
        <w:t>Using International Law in Canadian Courts</w:t>
      </w:r>
      <w:r>
        <w:t>, 2nd ed., Toronto, Irwin Law, 2008.</w:t>
      </w:r>
    </w:p>
    <w:p w:rsidR="00EF58C3" w:rsidRPr="00040555" w:rsidRDefault="00EF58C3" w:rsidP="00653396">
      <w:pPr>
        <w:pStyle w:val="SCCNormalDoubleSpacing"/>
        <w:spacing w:after="720" w:line="240" w:lineRule="auto"/>
        <w:ind w:left="540" w:hanging="540"/>
        <w:rPr>
          <w:lang w:val="en-US"/>
        </w:rPr>
      </w:pPr>
      <w:r w:rsidRPr="00FE45B4">
        <w:t xml:space="preserve">Weinrib, </w:t>
      </w:r>
      <w:r w:rsidR="00730302">
        <w:t>Lorraine </w:t>
      </w:r>
      <w:r>
        <w:t xml:space="preserve">E. </w:t>
      </w:r>
      <w:r w:rsidRPr="00EF58C3">
        <w:rPr>
          <w:lang w:val="en-US"/>
        </w:rPr>
        <w:t>« </w:t>
      </w:r>
      <w:r w:rsidRPr="00FE45B4">
        <w:t>A Primer on Internation</w:t>
      </w:r>
      <w:r>
        <w:t>al Law and the Canadian Charter</w:t>
      </w:r>
      <w:r w:rsidRPr="00EF58C3">
        <w:rPr>
          <w:lang w:val="en-US"/>
        </w:rPr>
        <w:t> »</w:t>
      </w:r>
      <w:r w:rsidRPr="00FE45B4">
        <w:t xml:space="preserve"> (2006)</w:t>
      </w:r>
      <w:r>
        <w:t>,</w:t>
      </w:r>
      <w:r w:rsidRPr="00FE45B4">
        <w:t xml:space="preserve"> 21 </w:t>
      </w:r>
      <w:r>
        <w:rPr>
          <w:i/>
        </w:rPr>
        <w:t>R.N.D.C.</w:t>
      </w:r>
      <w:r w:rsidRPr="00FE45B4">
        <w:t xml:space="preserve"> 313</w:t>
      </w:r>
      <w:r w:rsidR="005803D0">
        <w:t>.</w:t>
      </w:r>
    </w:p>
    <w:p w:rsidR="004D7D95" w:rsidRPr="004D7D95" w:rsidRDefault="00EA7953" w:rsidP="00653396">
      <w:pPr>
        <w:pStyle w:val="SCCNormalDoubleSpacing"/>
        <w:spacing w:after="480"/>
        <w:rPr>
          <w:lang w:val="fr-CA"/>
        </w:rPr>
      </w:pPr>
      <w:r w:rsidRPr="00550A55">
        <w:rPr>
          <w:lang w:val="en-US"/>
        </w:rPr>
        <w:tab/>
      </w:r>
      <w:r w:rsidR="004D7D95" w:rsidRPr="004D7D95">
        <w:rPr>
          <w:lang w:val="fr-CA"/>
        </w:rPr>
        <w:t xml:space="preserve">POURVOI contre un arrêt de la </w:t>
      </w:r>
      <w:r w:rsidR="004D7D95" w:rsidRPr="00EA7953">
        <w:rPr>
          <w:lang w:val="fr-CA"/>
        </w:rPr>
        <w:t>Cour d</w:t>
      </w:r>
      <w:r>
        <w:rPr>
          <w:lang w:val="fr-CA"/>
        </w:rPr>
        <w:t>’</w:t>
      </w:r>
      <w:r w:rsidR="004D7D95" w:rsidRPr="00EA7953">
        <w:rPr>
          <w:lang w:val="fr-CA"/>
        </w:rPr>
        <w:t>appel du Québec (</w:t>
      </w:r>
      <w:r>
        <w:rPr>
          <w:lang w:val="fr-CA"/>
        </w:rPr>
        <w:t xml:space="preserve">les juges Chamberland, Bélanger et Rancourt), 2019 QCCA 373, </w:t>
      </w:r>
      <w:r w:rsidR="00F20800">
        <w:rPr>
          <w:lang w:val="fr-CA"/>
        </w:rPr>
        <w:t>[2019] AZ-51573754, [2019] J.Q. </w:t>
      </w:r>
      <w:r>
        <w:rPr>
          <w:lang w:val="fr-CA"/>
        </w:rPr>
        <w:t>n</w:t>
      </w:r>
      <w:r w:rsidRPr="00EA7953">
        <w:rPr>
          <w:vertAlign w:val="superscript"/>
          <w:lang w:val="fr-CA"/>
        </w:rPr>
        <w:t>o</w:t>
      </w:r>
      <w:r w:rsidR="00730302">
        <w:rPr>
          <w:lang w:val="fr-CA"/>
        </w:rPr>
        <w:t> </w:t>
      </w:r>
      <w:r>
        <w:rPr>
          <w:lang w:val="fr-CA"/>
        </w:rPr>
        <w:t xml:space="preserve">1443 (QL), 2019 CarswellQue 1425 (WL Can.), qui a infirmé une décision du juge Dionne, 2017 QCCS 5240, </w:t>
      </w:r>
      <w:r w:rsidR="005B0371">
        <w:rPr>
          <w:lang w:val="fr-CA"/>
        </w:rPr>
        <w:t xml:space="preserve">[2017] AZ-51443312, </w:t>
      </w:r>
      <w:r w:rsidR="00F20800">
        <w:rPr>
          <w:lang w:val="fr-CA"/>
        </w:rPr>
        <w:t>[2017] J.Q. </w:t>
      </w:r>
      <w:r>
        <w:rPr>
          <w:lang w:val="fr-CA"/>
        </w:rPr>
        <w:t>n</w:t>
      </w:r>
      <w:r w:rsidRPr="005B0371">
        <w:rPr>
          <w:vertAlign w:val="superscript"/>
          <w:lang w:val="fr-CA"/>
        </w:rPr>
        <w:t>o</w:t>
      </w:r>
      <w:r w:rsidR="00F20800">
        <w:rPr>
          <w:lang w:val="fr-CA"/>
        </w:rPr>
        <w:t> </w:t>
      </w:r>
      <w:r>
        <w:rPr>
          <w:lang w:val="fr-CA"/>
        </w:rPr>
        <w:t>16310 (QL)</w:t>
      </w:r>
      <w:r w:rsidR="00137535">
        <w:rPr>
          <w:lang w:val="fr-CA"/>
        </w:rPr>
        <w:t>,</w:t>
      </w:r>
      <w:r w:rsidR="005B0371">
        <w:rPr>
          <w:lang w:val="fr-CA"/>
        </w:rPr>
        <w:t xml:space="preserve"> 2017 CarswellQue 10451 (WL Can</w:t>
      </w:r>
      <w:r w:rsidR="005B0371" w:rsidRPr="0089094A">
        <w:rPr>
          <w:lang w:val="fr-CA"/>
        </w:rPr>
        <w:t>.)</w:t>
      </w:r>
      <w:r w:rsidRPr="0089094A">
        <w:rPr>
          <w:lang w:val="fr-CA"/>
        </w:rPr>
        <w:t xml:space="preserve">, </w:t>
      </w:r>
      <w:r w:rsidR="00B357FD" w:rsidRPr="0089094A">
        <w:rPr>
          <w:lang w:val="fr-CA"/>
        </w:rPr>
        <w:t xml:space="preserve">laquelle avait confirmé </w:t>
      </w:r>
      <w:r w:rsidR="005B0371" w:rsidRPr="0089094A">
        <w:rPr>
          <w:lang w:val="fr-CA"/>
        </w:rPr>
        <w:t>une décision du juge Ratté</w:t>
      </w:r>
      <w:r>
        <w:rPr>
          <w:lang w:val="fr-CA"/>
        </w:rPr>
        <w:t>,</w:t>
      </w:r>
      <w:r w:rsidR="005B0371">
        <w:rPr>
          <w:lang w:val="fr-CA"/>
        </w:rPr>
        <w:t xml:space="preserve"> 2017 QCCQ 1632, </w:t>
      </w:r>
      <w:r w:rsidR="00F20800">
        <w:rPr>
          <w:lang w:val="fr-CA"/>
        </w:rPr>
        <w:t>[2017] AZ-51373092, [2017] J.Q. </w:t>
      </w:r>
      <w:r w:rsidR="005B0371">
        <w:rPr>
          <w:lang w:val="fr-CA"/>
        </w:rPr>
        <w:t>n</w:t>
      </w:r>
      <w:r w:rsidR="005B0371" w:rsidRPr="005B0371">
        <w:rPr>
          <w:vertAlign w:val="superscript"/>
          <w:lang w:val="fr-CA"/>
        </w:rPr>
        <w:t>o</w:t>
      </w:r>
      <w:r w:rsidR="00F20800">
        <w:rPr>
          <w:lang w:val="fr-CA"/>
        </w:rPr>
        <w:t> </w:t>
      </w:r>
      <w:r w:rsidR="005B0371">
        <w:rPr>
          <w:lang w:val="fr-CA"/>
        </w:rPr>
        <w:t>2085 (QL), 2017 Car</w:t>
      </w:r>
      <w:r w:rsidR="00CB36F9">
        <w:rPr>
          <w:lang w:val="fr-CA"/>
        </w:rPr>
        <w:t xml:space="preserve">swellQue 1930 (WL </w:t>
      </w:r>
      <w:r w:rsidR="00CB36F9" w:rsidRPr="0089094A">
        <w:rPr>
          <w:lang w:val="fr-CA"/>
        </w:rPr>
        <w:t>Can.). Pourvoi accueilli.</w:t>
      </w:r>
    </w:p>
    <w:p w:rsidR="005B0371" w:rsidRPr="00EA7953" w:rsidRDefault="005B0371" w:rsidP="00653396">
      <w:pPr>
        <w:pStyle w:val="SCCNormalDoubleSpacing"/>
        <w:spacing w:after="480"/>
        <w:rPr>
          <w:lang w:val="fr-CA"/>
        </w:rPr>
      </w:pPr>
      <w:r w:rsidRPr="00EA7953">
        <w:rPr>
          <w:rStyle w:val="SCCCounselNameChar"/>
          <w:lang w:val="fr-CA"/>
        </w:rPr>
        <w:tab/>
        <w:t>Stéphanie Quirion-Cantin</w:t>
      </w:r>
      <w:r w:rsidRPr="00EA7953">
        <w:rPr>
          <w:rStyle w:val="SCCCounselSeparatorChar"/>
          <w:lang w:val="fr-CA"/>
        </w:rPr>
        <w:t xml:space="preserve">, </w:t>
      </w:r>
      <w:r w:rsidR="00117506" w:rsidRPr="00EA7953">
        <w:rPr>
          <w:rStyle w:val="SCCCounselNameChar"/>
          <w:lang w:val="fr-CA"/>
        </w:rPr>
        <w:t>Sylvain Leboeuf</w:t>
      </w:r>
      <w:r w:rsidR="00117506">
        <w:rPr>
          <w:rStyle w:val="SCCCounselSeparatorChar"/>
          <w:lang w:val="fr-CA"/>
        </w:rPr>
        <w:t>,</w:t>
      </w:r>
      <w:r w:rsidR="00117506" w:rsidRPr="00EA7953">
        <w:rPr>
          <w:rStyle w:val="SCCCounselSeparatorChar"/>
          <w:lang w:val="fr-CA"/>
        </w:rPr>
        <w:t xml:space="preserve"> </w:t>
      </w:r>
      <w:r w:rsidR="00117506" w:rsidRPr="00EA7953">
        <w:rPr>
          <w:rStyle w:val="SCCCounselNameChar"/>
          <w:lang w:val="fr-CA"/>
        </w:rPr>
        <w:t>Julie Dassylva</w:t>
      </w:r>
      <w:r w:rsidR="00117506" w:rsidRPr="00117506">
        <w:rPr>
          <w:rStyle w:val="SCCCounselSeparatorChar"/>
          <w:lang w:val="fr-CA"/>
        </w:rPr>
        <w:t xml:space="preserve"> </w:t>
      </w:r>
      <w:r w:rsidR="00117506" w:rsidRPr="00EA7953">
        <w:rPr>
          <w:rStyle w:val="SCCCounselSeparatorChar"/>
          <w:lang w:val="fr-CA"/>
        </w:rPr>
        <w:t>et</w:t>
      </w:r>
      <w:r w:rsidR="00117506">
        <w:rPr>
          <w:rStyle w:val="SCCCounselNameChar"/>
          <w:lang w:val="fr-CA"/>
        </w:rPr>
        <w:t xml:space="preserve"> Anne-Sophie Blanchet-Gravel</w:t>
      </w:r>
      <w:r w:rsidRPr="00EA7953">
        <w:rPr>
          <w:rStyle w:val="SCCCounselPartyRoleChar"/>
          <w:lang w:val="fr-CA"/>
        </w:rPr>
        <w:t>, pour l</w:t>
      </w:r>
      <w:r>
        <w:rPr>
          <w:rStyle w:val="SCCCounselPartyRoleChar"/>
          <w:lang w:val="fr-CA"/>
        </w:rPr>
        <w:t>’</w:t>
      </w:r>
      <w:r w:rsidR="00F16F87">
        <w:rPr>
          <w:rStyle w:val="SCCCounselPartyRoleChar"/>
          <w:lang w:val="fr-CA"/>
        </w:rPr>
        <w:t>appelante la p</w:t>
      </w:r>
      <w:r w:rsidR="00117506">
        <w:rPr>
          <w:rStyle w:val="SCCCounselPartyRoleChar"/>
          <w:lang w:val="fr-CA"/>
        </w:rPr>
        <w:t>rocureure générale du Québec</w:t>
      </w:r>
      <w:r w:rsidRPr="00EA7953">
        <w:rPr>
          <w:rStyle w:val="SCCCounselPartyRoleChar"/>
          <w:lang w:val="fr-CA"/>
        </w:rPr>
        <w:t>.</w:t>
      </w:r>
    </w:p>
    <w:p w:rsidR="003C7145" w:rsidRPr="00EA7953" w:rsidRDefault="00416A08" w:rsidP="00653396">
      <w:pPr>
        <w:pStyle w:val="SCCNormalDoubleSpacing"/>
        <w:spacing w:after="480"/>
        <w:rPr>
          <w:lang w:val="fr-CA"/>
        </w:rPr>
      </w:pPr>
      <w:r w:rsidRPr="00EA7953">
        <w:rPr>
          <w:rStyle w:val="SCCCounselNameChar"/>
          <w:lang w:val="fr-CA"/>
        </w:rPr>
        <w:lastRenderedPageBreak/>
        <w:tab/>
        <w:t>Laura Élisabeth Trempe</w:t>
      </w:r>
      <w:r w:rsidR="005B0371">
        <w:rPr>
          <w:rStyle w:val="SCCCounselNameChar"/>
          <w:lang w:val="fr-CA"/>
        </w:rPr>
        <w:t xml:space="preserve"> </w:t>
      </w:r>
      <w:r w:rsidR="005B0371" w:rsidRPr="005B0371">
        <w:rPr>
          <w:rStyle w:val="SCCCounselNameChar"/>
          <w:i w:val="0"/>
          <w:lang w:val="fr-CA"/>
        </w:rPr>
        <w:t>et</w:t>
      </w:r>
      <w:r w:rsidR="005B0371">
        <w:rPr>
          <w:rStyle w:val="SCCCounselNameChar"/>
          <w:lang w:val="fr-CA"/>
        </w:rPr>
        <w:t xml:space="preserve"> Marie-Pier Champagne</w:t>
      </w:r>
      <w:r w:rsidRPr="00EA7953">
        <w:rPr>
          <w:rStyle w:val="SCCCounselPartyRoleChar"/>
          <w:lang w:val="fr-CA"/>
        </w:rPr>
        <w:t>, pour l</w:t>
      </w:r>
      <w:r w:rsidR="00EA7953">
        <w:rPr>
          <w:rStyle w:val="SCCCounselPartyRoleChar"/>
          <w:lang w:val="fr-CA"/>
        </w:rPr>
        <w:t>’</w:t>
      </w:r>
      <w:r w:rsidR="00AB5DF7">
        <w:rPr>
          <w:rStyle w:val="SCCCounselPartyRoleChar"/>
          <w:lang w:val="fr-CA"/>
        </w:rPr>
        <w:t>appelant le d</w:t>
      </w:r>
      <w:r w:rsidR="005B0371">
        <w:rPr>
          <w:rStyle w:val="SCCCounselPartyRoleChar"/>
          <w:lang w:val="fr-CA"/>
        </w:rPr>
        <w:t>irecteur des poursuites criminelles et pénales</w:t>
      </w:r>
      <w:r w:rsidRPr="00EA7953">
        <w:rPr>
          <w:rStyle w:val="SCCCounselPartyRoleChar"/>
          <w:lang w:val="fr-CA"/>
        </w:rPr>
        <w:t>.</w:t>
      </w:r>
    </w:p>
    <w:p w:rsidR="003C7145" w:rsidRPr="00EA7953" w:rsidRDefault="00416A08" w:rsidP="00653396">
      <w:pPr>
        <w:pStyle w:val="SCCNormalDoubleSpacing"/>
        <w:spacing w:after="480"/>
        <w:rPr>
          <w:lang w:val="fr-CA"/>
        </w:rPr>
      </w:pPr>
      <w:r w:rsidRPr="00EA7953">
        <w:rPr>
          <w:rStyle w:val="SCCCounselNameChar"/>
          <w:lang w:val="fr-CA"/>
        </w:rPr>
        <w:tab/>
        <w:t>Martin Villa</w:t>
      </w:r>
      <w:r w:rsidR="00117506">
        <w:rPr>
          <w:rStyle w:val="SCCCounselNameChar"/>
          <w:lang w:val="fr-CA"/>
        </w:rPr>
        <w:t xml:space="preserve"> </w:t>
      </w:r>
      <w:r w:rsidR="00117506">
        <w:rPr>
          <w:rStyle w:val="SCCCounselNameChar"/>
          <w:i w:val="0"/>
          <w:lang w:val="fr-CA"/>
        </w:rPr>
        <w:t xml:space="preserve">et </w:t>
      </w:r>
      <w:r w:rsidR="00117506">
        <w:rPr>
          <w:rStyle w:val="SCCCounselNameChar"/>
          <w:lang w:val="fr-CA"/>
        </w:rPr>
        <w:t>Niki Galanopoulos</w:t>
      </w:r>
      <w:r w:rsidRPr="00EA7953">
        <w:rPr>
          <w:rStyle w:val="SCCCounselPartyRoleChar"/>
          <w:lang w:val="fr-CA"/>
        </w:rPr>
        <w:t>, pour l</w:t>
      </w:r>
      <w:r w:rsidR="00EA7953">
        <w:rPr>
          <w:rStyle w:val="SCCCounselPartyRoleChar"/>
          <w:lang w:val="fr-CA"/>
        </w:rPr>
        <w:t>’</w:t>
      </w:r>
      <w:r w:rsidR="00117506">
        <w:rPr>
          <w:rStyle w:val="SCCCounselPartyRoleChar"/>
          <w:lang w:val="fr-CA"/>
        </w:rPr>
        <w:t>intimée</w:t>
      </w:r>
      <w:r w:rsidRPr="00EA7953">
        <w:rPr>
          <w:rStyle w:val="SCCCounselPartyRoleChar"/>
          <w:lang w:val="fr-CA"/>
        </w:rPr>
        <w:t>.</w:t>
      </w:r>
    </w:p>
    <w:p w:rsidR="003C7145" w:rsidRPr="00117506" w:rsidRDefault="00416A08" w:rsidP="00653396">
      <w:pPr>
        <w:pStyle w:val="SCCNormalDoubleSpacing"/>
        <w:spacing w:after="480"/>
        <w:rPr>
          <w:lang w:val="fr-CA"/>
        </w:rPr>
      </w:pPr>
      <w:r w:rsidRPr="00EA7953">
        <w:rPr>
          <w:rStyle w:val="SCCCounselNameChar"/>
          <w:lang w:val="fr-CA"/>
        </w:rPr>
        <w:tab/>
      </w:r>
      <w:r w:rsidRPr="00117506">
        <w:rPr>
          <w:rStyle w:val="SCCCounselNameChar"/>
          <w:lang w:val="fr-CA"/>
        </w:rPr>
        <w:t>François Lacasse</w:t>
      </w:r>
      <w:r w:rsidR="00117506" w:rsidRPr="00117506">
        <w:rPr>
          <w:rStyle w:val="SCCCounselNameChar"/>
          <w:lang w:val="fr-CA"/>
        </w:rPr>
        <w:t xml:space="preserve"> </w:t>
      </w:r>
      <w:r w:rsidR="00117506" w:rsidRPr="00117506">
        <w:rPr>
          <w:rStyle w:val="SCCCounselNameChar"/>
          <w:i w:val="0"/>
          <w:lang w:val="fr-CA"/>
        </w:rPr>
        <w:t xml:space="preserve">et </w:t>
      </w:r>
      <w:r w:rsidR="00117506" w:rsidRPr="00117506">
        <w:rPr>
          <w:rStyle w:val="SCCCounselNameChar"/>
          <w:lang w:val="fr-CA"/>
        </w:rPr>
        <w:t>Mathieu Stanton</w:t>
      </w:r>
      <w:r w:rsidRPr="00117506">
        <w:rPr>
          <w:rStyle w:val="SCCCounselPartyRoleChar"/>
          <w:lang w:val="fr-CA"/>
        </w:rPr>
        <w:t>, pour l</w:t>
      </w:r>
      <w:r w:rsidR="00EA7953" w:rsidRPr="00117506">
        <w:rPr>
          <w:rStyle w:val="SCCCounselPartyRoleChar"/>
          <w:lang w:val="fr-CA"/>
        </w:rPr>
        <w:t>’</w:t>
      </w:r>
      <w:r w:rsidR="00117506" w:rsidRPr="00117506">
        <w:rPr>
          <w:rStyle w:val="SCCCounselPartyRoleChar"/>
          <w:lang w:val="fr-CA"/>
        </w:rPr>
        <w:t>intervenante la</w:t>
      </w:r>
      <w:r w:rsidR="00AB5DF7">
        <w:rPr>
          <w:rStyle w:val="SCCCounselPartyRoleChar"/>
          <w:lang w:val="fr-CA"/>
        </w:rPr>
        <w:t xml:space="preserve"> d</w:t>
      </w:r>
      <w:r w:rsidRPr="00117506">
        <w:rPr>
          <w:rStyle w:val="SCCCounselPartyRoleChar"/>
          <w:lang w:val="fr-CA"/>
        </w:rPr>
        <w:t>irectrice des poursuites pénales.</w:t>
      </w:r>
    </w:p>
    <w:p w:rsidR="003C7145" w:rsidRPr="00117506" w:rsidRDefault="00416A08" w:rsidP="00653396">
      <w:pPr>
        <w:pStyle w:val="SCCNormalDoubleSpacing"/>
        <w:spacing w:after="480"/>
        <w:rPr>
          <w:lang w:val="fr-CA"/>
        </w:rPr>
      </w:pPr>
      <w:r w:rsidRPr="00117506">
        <w:rPr>
          <w:rStyle w:val="SCCCounselNameChar"/>
          <w:lang w:val="fr-CA"/>
        </w:rPr>
        <w:tab/>
        <w:t>Courtney Harris</w:t>
      </w:r>
      <w:r w:rsidRPr="00117506">
        <w:rPr>
          <w:rStyle w:val="SCCCounselSeparatorChar"/>
          <w:lang w:val="fr-CA"/>
        </w:rPr>
        <w:t xml:space="preserve">, </w:t>
      </w:r>
      <w:r w:rsidR="00117506" w:rsidRPr="00117506">
        <w:rPr>
          <w:rStyle w:val="SCCCounselNameChar"/>
          <w:lang w:val="fr-CA"/>
        </w:rPr>
        <w:t>Ellen Weis</w:t>
      </w:r>
      <w:r w:rsidR="00117506" w:rsidRPr="00117506">
        <w:rPr>
          <w:rStyle w:val="SCCCounselSeparatorChar"/>
          <w:lang w:val="fr-CA"/>
        </w:rPr>
        <w:t xml:space="preserve"> </w:t>
      </w:r>
      <w:r w:rsidRPr="00117506">
        <w:rPr>
          <w:rStyle w:val="SCCCounselSeparatorChar"/>
          <w:lang w:val="fr-CA"/>
        </w:rPr>
        <w:t xml:space="preserve">et </w:t>
      </w:r>
      <w:r w:rsidR="00117506" w:rsidRPr="00117506">
        <w:rPr>
          <w:rStyle w:val="SCCCounselNameChar"/>
          <w:lang w:val="fr-CA"/>
        </w:rPr>
        <w:t>Ravi Amarnath</w:t>
      </w:r>
      <w:r w:rsidRPr="00117506">
        <w:rPr>
          <w:rStyle w:val="SCCCounselPartyRoleChar"/>
          <w:lang w:val="fr-CA"/>
        </w:rPr>
        <w:t>, pour l</w:t>
      </w:r>
      <w:r w:rsidR="00EA7953" w:rsidRPr="00117506">
        <w:rPr>
          <w:rStyle w:val="SCCCounselPartyRoleChar"/>
          <w:lang w:val="fr-CA"/>
        </w:rPr>
        <w:t>’</w:t>
      </w:r>
      <w:r w:rsidRPr="00117506">
        <w:rPr>
          <w:rStyle w:val="SCCCounselPartyRoleChar"/>
          <w:lang w:val="fr-CA"/>
        </w:rPr>
        <w:t>interv</w:t>
      </w:r>
      <w:r w:rsidR="00117506" w:rsidRPr="00117506">
        <w:rPr>
          <w:rStyle w:val="SCCCounselPartyRoleChar"/>
          <w:lang w:val="fr-CA"/>
        </w:rPr>
        <w:t>enant le</w:t>
      </w:r>
      <w:r w:rsidR="00F81071">
        <w:rPr>
          <w:rStyle w:val="SCCCounselPartyRoleChar"/>
          <w:lang w:val="fr-CA"/>
        </w:rPr>
        <w:t xml:space="preserve"> p</w:t>
      </w:r>
      <w:r w:rsidRPr="00117506">
        <w:rPr>
          <w:rStyle w:val="SCCCounselPartyRoleChar"/>
          <w:lang w:val="fr-CA"/>
        </w:rPr>
        <w:t>rocureur général de l</w:t>
      </w:r>
      <w:r w:rsidR="00EA7953" w:rsidRPr="00117506">
        <w:rPr>
          <w:rStyle w:val="SCCCounselPartyRoleChar"/>
          <w:lang w:val="fr-CA"/>
        </w:rPr>
        <w:t>’</w:t>
      </w:r>
      <w:r w:rsidRPr="00117506">
        <w:rPr>
          <w:rStyle w:val="SCCCounselPartyRoleChar"/>
          <w:lang w:val="fr-CA"/>
        </w:rPr>
        <w:t>Ontario.</w:t>
      </w:r>
    </w:p>
    <w:p w:rsidR="003C7145" w:rsidRPr="00F84610" w:rsidRDefault="00C357A3" w:rsidP="00653396">
      <w:pPr>
        <w:pStyle w:val="SCCNormalDoubleSpacing"/>
        <w:spacing w:after="480"/>
        <w:rPr>
          <w:lang w:val="fr-CA"/>
        </w:rPr>
      </w:pPr>
      <w:r>
        <w:rPr>
          <w:rStyle w:val="SCCCounselNameChar"/>
          <w:lang w:val="fr-CA"/>
        </w:rPr>
        <w:tab/>
        <w:t>Léon </w:t>
      </w:r>
      <w:r w:rsidR="00416A08" w:rsidRPr="00F84610">
        <w:rPr>
          <w:rStyle w:val="SCCCounselNameChar"/>
          <w:lang w:val="fr-CA"/>
        </w:rPr>
        <w:t>H. Moubayed</w:t>
      </w:r>
      <w:r w:rsidR="00416A08" w:rsidRPr="00F84610">
        <w:rPr>
          <w:rStyle w:val="SCCCounselSeparatorChar"/>
          <w:lang w:val="fr-CA"/>
        </w:rPr>
        <w:t xml:space="preserve">, </w:t>
      </w:r>
      <w:r w:rsidR="00416A08" w:rsidRPr="00F84610">
        <w:rPr>
          <w:rStyle w:val="SCCCounselNameChar"/>
          <w:lang w:val="fr-CA"/>
        </w:rPr>
        <w:t>Sarah Gorguos</w:t>
      </w:r>
      <w:r w:rsidR="00416A08" w:rsidRPr="00F84610">
        <w:rPr>
          <w:rStyle w:val="SCCCounselSeparatorChar"/>
          <w:lang w:val="fr-CA"/>
        </w:rPr>
        <w:t xml:space="preserve"> et </w:t>
      </w:r>
      <w:r w:rsidR="00416A08" w:rsidRPr="00F84610">
        <w:rPr>
          <w:rStyle w:val="SCCCounselNameChar"/>
          <w:lang w:val="fr-CA"/>
        </w:rPr>
        <w:t>Guillaume Charlebois</w:t>
      </w:r>
      <w:r w:rsidR="00416A08" w:rsidRPr="00F84610">
        <w:rPr>
          <w:rStyle w:val="SCCCounselPartyRoleChar"/>
          <w:lang w:val="fr-CA"/>
        </w:rPr>
        <w:t>, pour l</w:t>
      </w:r>
      <w:r w:rsidR="00EA7953" w:rsidRPr="00F84610">
        <w:rPr>
          <w:rStyle w:val="SCCCounselPartyRoleChar"/>
          <w:lang w:val="fr-CA"/>
        </w:rPr>
        <w:t>’</w:t>
      </w:r>
      <w:r w:rsidR="00F84610" w:rsidRPr="00F84610">
        <w:rPr>
          <w:rStyle w:val="SCCCounselPartyRoleChar"/>
          <w:lang w:val="fr-CA"/>
        </w:rPr>
        <w:t>intervenante l’</w:t>
      </w:r>
      <w:r w:rsidR="00416A08" w:rsidRPr="00F84610">
        <w:rPr>
          <w:rStyle w:val="SCCCounselPartyRoleChar"/>
          <w:lang w:val="fr-CA"/>
        </w:rPr>
        <w:t>Association des avocats de la défense de Montréal.</w:t>
      </w:r>
    </w:p>
    <w:p w:rsidR="003C7145" w:rsidRPr="00394BAF" w:rsidRDefault="00416A08" w:rsidP="00653396">
      <w:pPr>
        <w:pStyle w:val="SCCNormalDoubleSpacing"/>
        <w:spacing w:after="480"/>
        <w:rPr>
          <w:lang w:val="fr-CA"/>
        </w:rPr>
      </w:pPr>
      <w:r w:rsidRPr="00394BAF">
        <w:rPr>
          <w:rStyle w:val="SCCCounselNameChar"/>
          <w:lang w:val="fr-CA"/>
        </w:rPr>
        <w:tab/>
        <w:t>Gib van Ert</w:t>
      </w:r>
      <w:r w:rsidRPr="00394BAF">
        <w:rPr>
          <w:rStyle w:val="SCCCounselSeparatorChar"/>
          <w:lang w:val="fr-CA"/>
        </w:rPr>
        <w:t xml:space="preserve"> et </w:t>
      </w:r>
      <w:r w:rsidRPr="00394BAF">
        <w:rPr>
          <w:rStyle w:val="SCCCounselNameChar"/>
          <w:lang w:val="fr-CA"/>
        </w:rPr>
        <w:t>Jessica Magonet</w:t>
      </w:r>
      <w:r w:rsidRPr="00394BAF">
        <w:rPr>
          <w:rStyle w:val="SCCCounselPartyRoleChar"/>
          <w:lang w:val="fr-CA"/>
        </w:rPr>
        <w:t>, pour l</w:t>
      </w:r>
      <w:r w:rsidR="00EA7953" w:rsidRPr="00394BAF">
        <w:rPr>
          <w:rStyle w:val="SCCCounselPartyRoleChar"/>
          <w:lang w:val="fr-CA"/>
        </w:rPr>
        <w:t>’</w:t>
      </w:r>
      <w:r w:rsidR="00394BAF" w:rsidRPr="00394BAF">
        <w:rPr>
          <w:rStyle w:val="SCCCounselPartyRoleChar"/>
          <w:lang w:val="fr-CA"/>
        </w:rPr>
        <w:t>intervenante</w:t>
      </w:r>
      <w:r w:rsidRPr="00394BAF">
        <w:rPr>
          <w:rStyle w:val="SCCCounselPartyRoleChar"/>
          <w:lang w:val="fr-CA"/>
        </w:rPr>
        <w:t xml:space="preserve"> British Columbia Civil Liberties Association.</w:t>
      </w:r>
    </w:p>
    <w:p w:rsidR="003C7145" w:rsidRPr="00117506" w:rsidRDefault="00416A08" w:rsidP="00653396">
      <w:pPr>
        <w:pStyle w:val="SCCNormalDoubleSpacing"/>
        <w:spacing w:after="480"/>
        <w:rPr>
          <w:lang w:val="fr-CA"/>
        </w:rPr>
      </w:pPr>
      <w:r w:rsidRPr="00117506">
        <w:rPr>
          <w:rStyle w:val="SCCCounselNameChar"/>
          <w:lang w:val="fr-CA"/>
        </w:rPr>
        <w:tab/>
        <w:t>Alyssa Tomkins</w:t>
      </w:r>
      <w:r w:rsidRPr="00117506">
        <w:rPr>
          <w:rStyle w:val="SCCCounselSeparatorChar"/>
          <w:lang w:val="fr-CA"/>
        </w:rPr>
        <w:t xml:space="preserve">, </w:t>
      </w:r>
      <w:r w:rsidRPr="00117506">
        <w:rPr>
          <w:rStyle w:val="SCCCounselNameChar"/>
          <w:lang w:val="fr-CA"/>
        </w:rPr>
        <w:t>Albert Brunet</w:t>
      </w:r>
      <w:r w:rsidRPr="00117506">
        <w:rPr>
          <w:rStyle w:val="SCCCounselSeparatorChar"/>
          <w:lang w:val="fr-CA"/>
        </w:rPr>
        <w:t xml:space="preserve"> et </w:t>
      </w:r>
      <w:r w:rsidRPr="00117506">
        <w:rPr>
          <w:rStyle w:val="SCCCounselNameChar"/>
          <w:lang w:val="fr-CA"/>
        </w:rPr>
        <w:t>Penelope Simons</w:t>
      </w:r>
      <w:r w:rsidRPr="00117506">
        <w:rPr>
          <w:rStyle w:val="SCCCounselPartyRoleChar"/>
          <w:lang w:val="fr-CA"/>
        </w:rPr>
        <w:t>, pour l</w:t>
      </w:r>
      <w:r w:rsidR="00EA7953" w:rsidRPr="00117506">
        <w:rPr>
          <w:rStyle w:val="SCCCounselPartyRoleChar"/>
          <w:lang w:val="fr-CA"/>
        </w:rPr>
        <w:t>’</w:t>
      </w:r>
      <w:r w:rsidR="00117506" w:rsidRPr="00117506">
        <w:rPr>
          <w:rStyle w:val="SCCCounselPartyRoleChar"/>
          <w:lang w:val="fr-CA"/>
        </w:rPr>
        <w:t>intervenante l’</w:t>
      </w:r>
      <w:r w:rsidRPr="00117506">
        <w:rPr>
          <w:rStyle w:val="SCCCounselPartyRoleChar"/>
          <w:lang w:val="fr-CA"/>
        </w:rPr>
        <w:t>Association canadienne des libertés civiles.</w:t>
      </w:r>
    </w:p>
    <w:p w:rsidR="00CB161E" w:rsidRDefault="00416A08" w:rsidP="00CB161E">
      <w:pPr>
        <w:pStyle w:val="SCCNormalDoubleSpacing"/>
        <w:spacing w:after="480"/>
        <w:rPr>
          <w:rStyle w:val="SCCCounselPartyRoleChar"/>
          <w:lang w:val="fr-CA"/>
        </w:rPr>
      </w:pPr>
      <w:r w:rsidRPr="00F84610">
        <w:rPr>
          <w:rStyle w:val="SCCCounselNameChar"/>
          <w:lang w:val="fr-CA"/>
        </w:rPr>
        <w:tab/>
        <w:t>Brandon Kain</w:t>
      </w:r>
      <w:r w:rsidRPr="00F84610">
        <w:rPr>
          <w:rStyle w:val="SCCCounselSeparatorChar"/>
          <w:lang w:val="fr-CA"/>
        </w:rPr>
        <w:t xml:space="preserve">, </w:t>
      </w:r>
      <w:r w:rsidRPr="00F84610">
        <w:rPr>
          <w:rStyle w:val="SCCCounselNameChar"/>
          <w:lang w:val="fr-CA"/>
        </w:rPr>
        <w:t>Adam Goldenberg</w:t>
      </w:r>
      <w:r w:rsidRPr="00F84610">
        <w:rPr>
          <w:rStyle w:val="SCCCounselSeparatorChar"/>
          <w:lang w:val="fr-CA"/>
        </w:rPr>
        <w:t xml:space="preserve"> et </w:t>
      </w:r>
      <w:r w:rsidRPr="00F84610">
        <w:rPr>
          <w:rStyle w:val="SCCCounselNameChar"/>
          <w:lang w:val="fr-CA"/>
        </w:rPr>
        <w:t>Sébastien Cusson</w:t>
      </w:r>
      <w:r w:rsidRPr="00F84610">
        <w:rPr>
          <w:rStyle w:val="SCCCounselPartyRoleChar"/>
          <w:lang w:val="fr-CA"/>
        </w:rPr>
        <w:t>, pour l</w:t>
      </w:r>
      <w:r w:rsidR="00EA7953" w:rsidRPr="00F84610">
        <w:rPr>
          <w:rStyle w:val="SCCCounselPartyRoleChar"/>
          <w:lang w:val="fr-CA"/>
        </w:rPr>
        <w:t>’</w:t>
      </w:r>
      <w:r w:rsidR="00F84610" w:rsidRPr="00F84610">
        <w:rPr>
          <w:rStyle w:val="SCCCounselPartyRoleChar"/>
          <w:lang w:val="fr-CA"/>
        </w:rPr>
        <w:t>intervenante</w:t>
      </w:r>
      <w:r w:rsidRPr="00F84610">
        <w:rPr>
          <w:rStyle w:val="SCCCounselPartyRoleChar"/>
          <w:lang w:val="fr-CA"/>
        </w:rPr>
        <w:t xml:space="preserve"> Canadian Constitution Foundation.</w:t>
      </w:r>
    </w:p>
    <w:p w:rsidR="00CB161E" w:rsidRPr="00682666" w:rsidRDefault="00CB161E" w:rsidP="00FB3954">
      <w:pPr>
        <w:spacing w:after="480" w:line="480" w:lineRule="auto"/>
        <w:ind w:firstLine="1170"/>
        <w:jc w:val="both"/>
        <w:rPr>
          <w:szCs w:val="24"/>
          <w:lang w:val="fr-CA"/>
        </w:rPr>
      </w:pPr>
      <w:r w:rsidRPr="00682666">
        <w:rPr>
          <w:szCs w:val="24"/>
          <w:lang w:val="fr-CA"/>
        </w:rPr>
        <w:lastRenderedPageBreak/>
        <w:t>Version française du jugement du j</w:t>
      </w:r>
      <w:r>
        <w:rPr>
          <w:szCs w:val="24"/>
          <w:lang w:val="fr-CA"/>
        </w:rPr>
        <w:t>uge en chef Wagner et des juges Moldaver, Côté, Brown et Rowe</w:t>
      </w:r>
      <w:r w:rsidRPr="00682666">
        <w:rPr>
          <w:szCs w:val="24"/>
          <w:lang w:val="fr-CA"/>
        </w:rPr>
        <w:t xml:space="preserve"> rendu par</w:t>
      </w:r>
    </w:p>
    <w:p w:rsidR="00CB161E" w:rsidRPr="007E76AD" w:rsidRDefault="00CB161E" w:rsidP="00CB161E">
      <w:pPr>
        <w:pStyle w:val="JudgeJuge"/>
        <w:spacing w:before="240"/>
      </w:pPr>
      <w:r w:rsidRPr="007E76AD">
        <w:tab/>
        <w:t xml:space="preserve">Les juges Brown et Rowe — </w:t>
      </w:r>
    </w:p>
    <w:p w:rsidR="00CB161E" w:rsidRPr="007E76AD" w:rsidRDefault="00CB161E" w:rsidP="00CB161E">
      <w:pPr>
        <w:pStyle w:val="Title1LevelTitre1Niveau-AltL"/>
        <w:spacing w:before="0"/>
        <w:rPr>
          <w:rFonts w:cs="Times New Roman"/>
        </w:rPr>
      </w:pPr>
      <w:r w:rsidRPr="007E76AD">
        <w:rPr>
          <w:rFonts w:cs="Times New Roman"/>
        </w:rPr>
        <w:t>Aperçu</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Dans le présent pourvoi, la Cour doit décider si l’art. 12 de la </w:t>
      </w:r>
      <w:r w:rsidRPr="00CB161E">
        <w:rPr>
          <w:rFonts w:cs="Times New Roman"/>
          <w:i/>
          <w:iCs/>
          <w:lang w:val="fr-CA"/>
        </w:rPr>
        <w:t>Charte canadienne</w:t>
      </w:r>
      <w:r w:rsidRPr="00CB161E">
        <w:rPr>
          <w:rFonts w:cs="Times New Roman"/>
          <w:lang w:val="fr-CA"/>
        </w:rPr>
        <w:t xml:space="preserve"> </w:t>
      </w:r>
      <w:r w:rsidRPr="00CB161E">
        <w:rPr>
          <w:rFonts w:cs="Times New Roman"/>
          <w:i/>
          <w:lang w:val="fr-CA"/>
        </w:rPr>
        <w:t>des droits et des libertés</w:t>
      </w:r>
      <w:r w:rsidRPr="00CB161E">
        <w:rPr>
          <w:rFonts w:cs="Times New Roman"/>
          <w:lang w:val="fr-CA"/>
        </w:rPr>
        <w:t xml:space="preserve"> protège les personnes morales contre les traitements ou peines cruels et inusités. À l’instar de nos collègues, nous concluons que non, parce que les personnes morales sont exclues du champ d’application de la protection de l’art. 12. En termes simples, l’expression « cruels et inusités » dénote une protection que « seul un être humain peut avoir » : </w:t>
      </w:r>
      <w:r w:rsidRPr="00CB161E">
        <w:rPr>
          <w:rFonts w:cs="Times New Roman"/>
          <w:i/>
          <w:lang w:val="fr-CA"/>
        </w:rPr>
        <w:t>Irwin Toy Ltd. c. Québec (Procureur général)</w:t>
      </w:r>
      <w:r w:rsidRPr="00CB161E">
        <w:rPr>
          <w:rFonts w:cs="Times New Roman"/>
          <w:lang w:val="fr-CA"/>
        </w:rPr>
        <w:t>, [1989] 1 R.C.S. 927, p. 1004. En conséquence, le champ d’application de la protection de l’art. 12 se limite aux êtres humains.</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La jurisprudence de notre Cour sur l’art. 12, tant en français qu’en anglais, est caractérisée par la notion de dignité humaine, comme l’ont souligné nos collègues. Qui plus est, le fait qu’il y ait des êtres humains derrière la personnalité morale est insuffisant pour justifier la revendication du droit garanti à l’art. 12 en faveur d’une personne morale, vu la personnalité juridique distincte de celle</w:t>
      </w:r>
      <w:r w:rsidRPr="00CB161E">
        <w:rPr>
          <w:rFonts w:cs="Times New Roman"/>
          <w:lang w:val="fr-CA"/>
        </w:rPr>
        <w:noBreakHyphen/>
        <w:t xml:space="preserve">ci. Comme nos collègues, et contrairement aux juges majoritaires de la Cour d’appel, nous rejetons donc la proposition voulant que les répercussions de la faillite d’une personne morale </w:t>
      </w:r>
      <w:r w:rsidRPr="00CB161E">
        <w:rPr>
          <w:rFonts w:cs="Times New Roman"/>
          <w:lang w:val="fr-CA"/>
        </w:rPr>
        <w:lastRenderedPageBreak/>
        <w:t>sur ses parties prenantes doivent être prises en compte dans la détermination du champ d’application de l’art. 12.</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Bien que nous souscrivions au résultat du présent pourvoi, nous estimons qu’il est nécessaire de rédiger des motifs distincts pour préciser le rôle approprié, en matière d’interprétation constitutionnelle, des sources étrangères et internationales du genre de celles sur lesquelles notre collègue la juge Abella appuie son analyse. Si de telles sources doivent se voir accorder une valeur persuasive, cela doit se faire en suivant une méthodologie cohérente et uniforme. Il est important qu’un tribunal fasse montre de cohérence et d’uniformité dans les motifs qu’il expose, parce que les motifs constituent un moyen essentiel pour rendre compte au public de la façon dont il exerce ses pouvoirs. C’est particulièrement le cas pour un sujet aussi fondamental que l’interprétation constitutionnelle. Comme le souligne le professeur Stéphane Beaulac, une méthodologie d’interprétation bien définie et cohérente est nécessaire, car elle est un moyen de promouvoir la primauté du droit, particulièrement grâce à la prévisibilité juridique : « “Texture ouverte”, droit international et interprétation de la Charte canadienne » (2013), 61 </w:t>
      </w:r>
      <w:r w:rsidRPr="00CB161E">
        <w:rPr>
          <w:rFonts w:cs="Times New Roman"/>
          <w:i/>
          <w:lang w:val="fr-CA"/>
        </w:rPr>
        <w:t>S.C.L.R.</w:t>
      </w:r>
      <w:r w:rsidRPr="00CB161E">
        <w:rPr>
          <w:rFonts w:cs="Times New Roman"/>
          <w:lang w:val="fr-CA"/>
        </w:rPr>
        <w:t xml:space="preserve"> (2d) 191, p. 192</w:t>
      </w:r>
      <w:r w:rsidRPr="00CB161E">
        <w:rPr>
          <w:rFonts w:cs="Times New Roman"/>
          <w:lang w:val="fr-CA"/>
        </w:rPr>
        <w:noBreakHyphen/>
        <w:t>193.</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Nous tenons également à formuler une observation préliminaire et générale sur l’interprétation constitutionnelle. Notre collègue la juge Abella applique le principe de la préséance du texte de la Constitution ainsi que des considérations liées à l’objet, conformément à la méthode d’interprétation téléologique qui a été adoptée dans </w:t>
      </w:r>
      <w:r w:rsidRPr="00CB161E">
        <w:rPr>
          <w:rFonts w:cs="Times New Roman"/>
          <w:i/>
          <w:lang w:val="fr-CA"/>
        </w:rPr>
        <w:t>R. c. Big M Drug Mart Ltd.</w:t>
      </w:r>
      <w:r w:rsidRPr="00CB161E">
        <w:rPr>
          <w:rFonts w:cs="Times New Roman"/>
          <w:lang w:val="fr-CA"/>
        </w:rPr>
        <w:t>,</w:t>
      </w:r>
      <w:r w:rsidRPr="00CB161E">
        <w:rPr>
          <w:rFonts w:cs="Times New Roman"/>
          <w:i/>
          <w:lang w:val="fr-CA"/>
        </w:rPr>
        <w:t xml:space="preserve"> </w:t>
      </w:r>
      <w:r w:rsidRPr="00CB161E">
        <w:rPr>
          <w:rFonts w:cs="Times New Roman"/>
          <w:lang w:val="fr-CA"/>
        </w:rPr>
        <w:t xml:space="preserve">[1985] 1 R.C.S. 295, p. 344, et confirmée récemment dans </w:t>
      </w:r>
      <w:r w:rsidRPr="00CB161E">
        <w:rPr>
          <w:rFonts w:cs="Times New Roman"/>
          <w:i/>
          <w:lang w:val="fr-CA"/>
        </w:rPr>
        <w:lastRenderedPageBreak/>
        <w:t>R. c. Poulin</w:t>
      </w:r>
      <w:r w:rsidRPr="00CB161E">
        <w:rPr>
          <w:rFonts w:cs="Times New Roman"/>
          <w:lang w:val="fr-CA"/>
        </w:rPr>
        <w:t>,</w:t>
      </w:r>
      <w:r w:rsidRPr="00CB161E">
        <w:rPr>
          <w:rFonts w:cs="Times New Roman"/>
          <w:i/>
          <w:lang w:val="fr-CA"/>
        </w:rPr>
        <w:t xml:space="preserve"> </w:t>
      </w:r>
      <w:r w:rsidRPr="00CB161E">
        <w:rPr>
          <w:rFonts w:cs="Times New Roman"/>
          <w:lang w:val="fr-CA"/>
        </w:rPr>
        <w:t>2019 CSC 47,</w:t>
      </w:r>
      <w:r w:rsidR="006D1D3E">
        <w:rPr>
          <w:rFonts w:cs="Times New Roman"/>
          <w:lang w:val="fr-CA"/>
        </w:rPr>
        <w:t xml:space="preserve"> </w:t>
      </w:r>
      <w:r w:rsidR="006D1D3E">
        <w:rPr>
          <w:lang w:val="fr-CA"/>
        </w:rPr>
        <w:t xml:space="preserve">[2019] 3 R.C.S. 566, </w:t>
      </w:r>
      <w:r w:rsidRPr="00CB161E">
        <w:rPr>
          <w:rFonts w:cs="Times New Roman"/>
          <w:lang w:val="fr-CA"/>
        </w:rPr>
        <w:t>par. 32. Ce faisant, toutefois, elle fait plusieurs remarques qui risquent de minimiser l’importance primordiale accordée par la jurisprudence de la Cour au texte de la Constitution dans l’interprétation téléologique.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En ce qui concerne la décision visée par le présent pourvoi, c’est</w:t>
      </w:r>
      <w:r w:rsidRPr="00CB161E">
        <w:rPr>
          <w:rFonts w:cs="Times New Roman"/>
          <w:lang w:val="fr-CA"/>
        </w:rPr>
        <w:noBreakHyphen/>
        <w:t>à</w:t>
      </w:r>
      <w:r w:rsidRPr="00CB161E">
        <w:rPr>
          <w:rFonts w:cs="Times New Roman"/>
          <w:lang w:val="fr-CA"/>
        </w:rPr>
        <w:noBreakHyphen/>
        <w:t>dire l’arrêt de la Cour d’appel du Québec, nous concluons qu’il serait difficile d’améliorer les motifs de dissidence qu’a rédigés le juge Chamberland. L’analyse réalisée par ce dernier écarte tout besoin de décider l’affaire en se référant abondamment au droit international et au droit comparé. En outre, son analyse textuelle — notamment quant au sens du mot « cruel » — est convaincante. Ainsi qu’il l’explique, « [c]e serait de dénaturer totalement le sens commun des mots [. . .] de dire que l’on peut faire preuve de cruauté envers une entité corporative, une société par actions » : 2019 QCCA 373, par. 53 (CanLII). Ses propos sur les autres facteurs énoncés dans l’arrêt </w:t>
      </w:r>
      <w:r w:rsidRPr="00CB161E">
        <w:rPr>
          <w:rFonts w:cs="Times New Roman"/>
          <w:i/>
          <w:lang w:val="fr-CA"/>
        </w:rPr>
        <w:t>Big M Drug Mart</w:t>
      </w:r>
      <w:r w:rsidRPr="00CB161E">
        <w:rPr>
          <w:rFonts w:cs="Times New Roman"/>
          <w:lang w:val="fr-CA"/>
        </w:rPr>
        <w:t xml:space="preserve"> sont également conformes à la directive de notre Cour quant à la méthodologie qu’il convient d’appliquer pour</w:t>
      </w:r>
      <w:r w:rsidRPr="00CB161E">
        <w:rPr>
          <w:rFonts w:cs="Times New Roman"/>
          <w:i/>
          <w:lang w:val="fr-CA"/>
        </w:rPr>
        <w:t xml:space="preserve"> </w:t>
      </w:r>
      <w:r w:rsidRPr="00CB161E">
        <w:rPr>
          <w:rFonts w:cs="Times New Roman"/>
          <w:lang w:val="fr-CA"/>
        </w:rPr>
        <w:t xml:space="preserve">l’interprétation de la </w:t>
      </w:r>
      <w:r w:rsidRPr="00CB161E">
        <w:rPr>
          <w:rFonts w:cs="Times New Roman"/>
          <w:i/>
          <w:iCs/>
          <w:lang w:val="fr-CA"/>
        </w:rPr>
        <w:t>Charte</w:t>
      </w:r>
      <w:r w:rsidRPr="00CB161E">
        <w:rPr>
          <w:rFonts w:cs="Times New Roman"/>
          <w:lang w:val="fr-CA"/>
        </w:rPr>
        <w:t>.</w:t>
      </w:r>
    </w:p>
    <w:p w:rsidR="00CB161E" w:rsidRPr="007E76AD" w:rsidRDefault="00CB161E" w:rsidP="00CB161E">
      <w:pPr>
        <w:pStyle w:val="Title1LevelTitre1Niveau-AltL"/>
        <w:spacing w:before="0"/>
        <w:rPr>
          <w:rFonts w:cs="Times New Roman"/>
        </w:rPr>
      </w:pPr>
      <w:r w:rsidRPr="007E76AD">
        <w:rPr>
          <w:rFonts w:cs="Times New Roman"/>
        </w:rPr>
        <w:t>Analyse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Les motifs de la juge Abella comportent un résumé des faits et de l’historique procédural auquel nous allons volontiers nous référer.</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Une personne morale — de fait toute partie — qui revendique la protection de la </w:t>
      </w:r>
      <w:r w:rsidRPr="00CB161E">
        <w:rPr>
          <w:rFonts w:cs="Times New Roman"/>
          <w:i/>
          <w:lang w:val="fr-CA"/>
        </w:rPr>
        <w:t>Charte</w:t>
      </w:r>
      <w:r w:rsidRPr="00CB161E">
        <w:rPr>
          <w:rFonts w:cs="Times New Roman"/>
          <w:lang w:val="fr-CA"/>
        </w:rPr>
        <w:t xml:space="preserve"> doit établir « qu’elle a un intérêt qui est compris dans la portée de la </w:t>
      </w:r>
      <w:r w:rsidRPr="00CB161E">
        <w:rPr>
          <w:rFonts w:cs="Times New Roman"/>
          <w:lang w:val="fr-CA"/>
        </w:rPr>
        <w:lastRenderedPageBreak/>
        <w:t xml:space="preserve">garantie et qui s’accorde avec l’objet de la disposition » : </w:t>
      </w:r>
      <w:r w:rsidRPr="00CB161E">
        <w:rPr>
          <w:rFonts w:cs="Times New Roman"/>
          <w:i/>
          <w:lang w:val="fr-CA"/>
        </w:rPr>
        <w:t>R. c. CIP Inc.</w:t>
      </w:r>
      <w:r w:rsidRPr="00CB161E">
        <w:rPr>
          <w:rFonts w:cs="Times New Roman"/>
          <w:lang w:val="fr-CA"/>
        </w:rPr>
        <w:t>, [1992] 1 R.C.S. 843, p. 852. Afin de décider si c’est bien le cas, le tribunal doit s’efforcer de dégager l’objet et le champ d’application du droit en question en procédant à une interprétation téléologique, c’est</w:t>
      </w:r>
      <w:r w:rsidRPr="00CB161E">
        <w:rPr>
          <w:rFonts w:cs="Times New Roman"/>
          <w:lang w:val="fr-CA"/>
        </w:rPr>
        <w:noBreakHyphen/>
        <w:t>à</w:t>
      </w:r>
      <w:r w:rsidRPr="00CB161E">
        <w:rPr>
          <w:rFonts w:cs="Times New Roman"/>
          <w:lang w:val="fr-CA"/>
        </w:rPr>
        <w:noBreakHyphen/>
        <w:t xml:space="preserve">dire « en fonction de la nature et des objectifs plus larges de la </w:t>
      </w:r>
      <w:r w:rsidRPr="00CB161E">
        <w:rPr>
          <w:rFonts w:cs="Times New Roman"/>
          <w:i/>
          <w:iCs/>
          <w:lang w:val="fr-CA"/>
        </w:rPr>
        <w:t>Charte</w:t>
      </w:r>
      <w:r w:rsidRPr="00CB161E">
        <w:rPr>
          <w:rFonts w:cs="Times New Roman"/>
          <w:lang w:val="fr-CA"/>
        </w:rPr>
        <w:t xml:space="preserve"> elle</w:t>
      </w:r>
      <w:r w:rsidRPr="00CB161E">
        <w:rPr>
          <w:rFonts w:cs="Times New Roman"/>
          <w:lang w:val="fr-CA"/>
        </w:rPr>
        <w:noBreakHyphen/>
        <w:t xml:space="preserve">même, des termes choisis pour énoncer ce droit ou cette liberté, des origines historiques des concepts enchâssés et, s’il y a lieu, en fonction du sens et de l’objet des autres libertés et droits particuliers qui s’y rattachent selon le texte de la </w:t>
      </w:r>
      <w:r w:rsidRPr="00CB161E">
        <w:rPr>
          <w:rFonts w:cs="Times New Roman"/>
          <w:i/>
          <w:iCs/>
          <w:lang w:val="fr-CA"/>
        </w:rPr>
        <w:t>Charte</w:t>
      </w:r>
      <w:r w:rsidRPr="00CB161E">
        <w:rPr>
          <w:rFonts w:cs="Times New Roman"/>
          <w:lang w:val="fr-CA"/>
        </w:rPr>
        <w:t xml:space="preserve"> » : </w:t>
      </w:r>
      <w:r w:rsidRPr="00CB161E">
        <w:rPr>
          <w:rFonts w:cs="Times New Roman"/>
          <w:i/>
          <w:lang w:val="fr-CA"/>
        </w:rPr>
        <w:t>Big M Drug Mart</w:t>
      </w:r>
      <w:r w:rsidRPr="00CB161E">
        <w:rPr>
          <w:rFonts w:cs="Times New Roman"/>
          <w:lang w:val="fr-CA"/>
        </w:rPr>
        <w:t xml:space="preserve">, p. 344; voir aussi </w:t>
      </w:r>
      <w:r w:rsidRPr="00CB161E">
        <w:rPr>
          <w:rFonts w:cs="Times New Roman"/>
          <w:i/>
          <w:lang w:val="fr-CA"/>
        </w:rPr>
        <w:t>Poulin</w:t>
      </w:r>
      <w:r w:rsidRPr="00CB161E">
        <w:rPr>
          <w:rFonts w:cs="Times New Roman"/>
          <w:lang w:val="fr-CA"/>
        </w:rPr>
        <w:t xml:space="preserve">, par. 32. Il s’agit d’une approche « téléologique, libérale et contextuelle », qui doit être appliquée de façon « large et libérale » : </w:t>
      </w:r>
      <w:r w:rsidRPr="00CB161E">
        <w:rPr>
          <w:rFonts w:cs="Times New Roman"/>
          <w:i/>
          <w:lang w:val="fr-CA"/>
        </w:rPr>
        <w:t>R. c. Grant</w:t>
      </w:r>
      <w:r w:rsidRPr="00CB161E">
        <w:rPr>
          <w:rFonts w:cs="Times New Roman"/>
          <w:lang w:val="fr-CA"/>
        </w:rPr>
        <w:t xml:space="preserve">, 2009 CSC 32, [2009] 2 R.C.S. 353, par. 15; </w:t>
      </w:r>
      <w:r w:rsidRPr="00CB161E">
        <w:rPr>
          <w:rFonts w:cs="Times New Roman"/>
          <w:i/>
          <w:lang w:val="fr-CA"/>
        </w:rPr>
        <w:t>Caron c. Alberta</w:t>
      </w:r>
      <w:r w:rsidRPr="00CB161E">
        <w:rPr>
          <w:rFonts w:cs="Times New Roman"/>
          <w:lang w:val="fr-CA"/>
        </w:rPr>
        <w:t>,</w:t>
      </w:r>
      <w:r w:rsidRPr="00CB161E">
        <w:rPr>
          <w:rFonts w:cs="Times New Roman"/>
          <w:i/>
          <w:lang w:val="fr-CA"/>
        </w:rPr>
        <w:t xml:space="preserve"> </w:t>
      </w:r>
      <w:r w:rsidRPr="00CB161E">
        <w:rPr>
          <w:rFonts w:cs="Times New Roman"/>
          <w:lang w:val="fr-CA"/>
        </w:rPr>
        <w:t>2015 CSC 56, [2015] 3 R.C.S. 511, par. 35.</w:t>
      </w:r>
    </w:p>
    <w:p w:rsidR="00CB161E" w:rsidRPr="007E76AD" w:rsidRDefault="00CB161E" w:rsidP="00CB161E">
      <w:pPr>
        <w:pStyle w:val="Title2LevelTitre2Niveau"/>
        <w:spacing w:before="0"/>
        <w:rPr>
          <w:rFonts w:cs="Times New Roman"/>
        </w:rPr>
      </w:pPr>
      <w:r w:rsidRPr="007E76AD">
        <w:rPr>
          <w:rFonts w:cs="Times New Roman"/>
        </w:rPr>
        <w:t>Observations préliminaires sur l’interprétation téléologique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La Cour a toujours insisté sur le fait que, suivant une interprétation téléologique, l’analyse </w:t>
      </w:r>
      <w:r w:rsidRPr="00CB161E">
        <w:rPr>
          <w:rFonts w:cs="Times New Roman"/>
          <w:i/>
          <w:lang w:val="fr-CA"/>
        </w:rPr>
        <w:t>doit commencer</w:t>
      </w:r>
      <w:r w:rsidRPr="00CB161E">
        <w:rPr>
          <w:rFonts w:cs="Times New Roman"/>
          <w:lang w:val="fr-CA"/>
        </w:rPr>
        <w:t xml:space="preserve"> par l’examen du texte de la disposition. Comme elle l’a clairement indiqué dans l’arrêt</w:t>
      </w:r>
      <w:r w:rsidRPr="00CB161E">
        <w:rPr>
          <w:rFonts w:cs="Times New Roman"/>
          <w:i/>
          <w:iCs/>
          <w:lang w:val="fr-CA"/>
        </w:rPr>
        <w:t xml:space="preserve"> Colombie</w:t>
      </w:r>
      <w:r w:rsidRPr="00CB161E">
        <w:rPr>
          <w:rFonts w:cs="Times New Roman"/>
          <w:i/>
          <w:iCs/>
          <w:lang w:val="fr-CA"/>
        </w:rPr>
        <w:noBreakHyphen/>
        <w:t>Britannique (Procureur général) c. Canada (Procureur général)</w:t>
      </w:r>
      <w:r w:rsidRPr="00CB161E">
        <w:rPr>
          <w:rFonts w:cs="Times New Roman"/>
          <w:lang w:val="fr-CA"/>
        </w:rPr>
        <w:t>, [1994] 2 R.C.S. 41 (« </w:t>
      </w:r>
      <w:r w:rsidRPr="00CB161E">
        <w:rPr>
          <w:rFonts w:cs="Times New Roman"/>
          <w:i/>
          <w:iCs/>
          <w:lang w:val="fr-CA"/>
        </w:rPr>
        <w:t>Chemin de fer de l’Île de Vancouver </w:t>
      </w:r>
      <w:r w:rsidRPr="005C11A2">
        <w:rPr>
          <w:rFonts w:cs="Times New Roman"/>
          <w:iCs/>
          <w:lang w:val="fr-CA"/>
        </w:rPr>
        <w:t>»)</w:t>
      </w:r>
      <w:r w:rsidRPr="00CB161E">
        <w:rPr>
          <w:rFonts w:cs="Times New Roman"/>
          <w:lang w:val="fr-CA"/>
        </w:rPr>
        <w:t>, « [b]ien que les dispositions constitutionnelles doivent être susceptibles d’évoluer, l’interprétation en la matière doit néanmoins commencer par l’examen du texte de la loi ou de la disposition constitutionnelle en cause » : p. 88. Ce principe a été réitéré dans l’arrêt </w:t>
      </w:r>
      <w:r w:rsidRPr="00CB161E">
        <w:rPr>
          <w:rFonts w:cs="Times New Roman"/>
          <w:i/>
          <w:lang w:val="fr-CA"/>
        </w:rPr>
        <w:t>Grant</w:t>
      </w:r>
      <w:r w:rsidRPr="00CB161E">
        <w:rPr>
          <w:rFonts w:cs="Times New Roman"/>
          <w:lang w:val="fr-CA"/>
        </w:rPr>
        <w:t xml:space="preserve">, où la Cour a déclaré que, « [c]omme chaque fois qu’il s’agit d’analyser une disposition constitutionnelle, il </w:t>
      </w:r>
      <w:r w:rsidRPr="00CB161E">
        <w:rPr>
          <w:rFonts w:cs="Times New Roman"/>
          <w:u w:val="single"/>
          <w:lang w:val="fr-CA"/>
        </w:rPr>
        <w:t>faut</w:t>
      </w:r>
      <w:r w:rsidRPr="00CB161E">
        <w:rPr>
          <w:rFonts w:cs="Times New Roman"/>
          <w:lang w:val="fr-CA"/>
        </w:rPr>
        <w:t xml:space="preserve"> tout d’abord se pencher sur son </w:t>
      </w:r>
      <w:r w:rsidRPr="00CB161E">
        <w:rPr>
          <w:rFonts w:cs="Times New Roman"/>
          <w:lang w:val="fr-CA"/>
        </w:rPr>
        <w:lastRenderedPageBreak/>
        <w:t>libellé » : par. 15 (nous soulignons). Récemment, dans l’arrêt </w:t>
      </w:r>
      <w:r w:rsidRPr="00CB161E">
        <w:rPr>
          <w:rFonts w:cs="Times New Roman"/>
          <w:i/>
          <w:lang w:val="fr-CA"/>
        </w:rPr>
        <w:t>Poulin</w:t>
      </w:r>
      <w:r w:rsidRPr="00CB161E">
        <w:rPr>
          <w:rFonts w:cs="Times New Roman"/>
          <w:lang w:val="fr-CA"/>
        </w:rPr>
        <w:t xml:space="preserve">, la Cour a une fois de plus confirmé que la première étape de l’interprétation d’un droit garanti par la </w:t>
      </w:r>
      <w:r w:rsidRPr="00CB161E">
        <w:rPr>
          <w:rFonts w:cs="Times New Roman"/>
          <w:i/>
          <w:iCs/>
          <w:lang w:val="fr-CA"/>
        </w:rPr>
        <w:t>Charte</w:t>
      </w:r>
      <w:r w:rsidRPr="00CB161E">
        <w:rPr>
          <w:rFonts w:cs="Times New Roman"/>
          <w:lang w:val="fr-CA"/>
        </w:rPr>
        <w:t xml:space="preserve"> consiste à analyser le texte de la disposition : par. 64.</w:t>
      </w:r>
    </w:p>
    <w:p w:rsidR="00CB161E" w:rsidRPr="00CB161E" w:rsidRDefault="00CB161E" w:rsidP="00CB161E">
      <w:pPr>
        <w:pStyle w:val="ParaNoNdepar-AltN"/>
        <w:tabs>
          <w:tab w:val="clear" w:pos="1152"/>
          <w:tab w:val="left" w:pos="1166"/>
        </w:tabs>
        <w:spacing w:before="0"/>
        <w:rPr>
          <w:rFonts w:cs="Times New Roman"/>
          <w:szCs w:val="24"/>
          <w:lang w:val="fr-CA"/>
        </w:rPr>
      </w:pPr>
      <w:r w:rsidRPr="00CB161E">
        <w:rPr>
          <w:rFonts w:cs="Times New Roman"/>
          <w:lang w:val="fr-CA"/>
        </w:rPr>
        <w:t>Il en est ainsi parce que l’interprétation constitutionnelle, c’est</w:t>
      </w:r>
      <w:r w:rsidRPr="00CB161E">
        <w:rPr>
          <w:rFonts w:cs="Times New Roman"/>
          <w:lang w:val="fr-CA"/>
        </w:rPr>
        <w:noBreakHyphen/>
        <w:t>à</w:t>
      </w:r>
      <w:r w:rsidRPr="00CB161E">
        <w:rPr>
          <w:rFonts w:cs="Times New Roman"/>
          <w:lang w:val="fr-CA"/>
        </w:rPr>
        <w:noBreakHyphen/>
        <w:t xml:space="preserve">dire l’interprétation </w:t>
      </w:r>
      <w:r w:rsidRPr="00CB161E">
        <w:rPr>
          <w:rFonts w:cs="Times New Roman"/>
          <w:i/>
          <w:lang w:val="fr-CA"/>
        </w:rPr>
        <w:t xml:space="preserve">du texte de la </w:t>
      </w:r>
      <w:r w:rsidRPr="00CB161E">
        <w:rPr>
          <w:rFonts w:cs="Times New Roman"/>
          <w:i/>
          <w:iCs/>
          <w:lang w:val="fr-CA"/>
        </w:rPr>
        <w:t>Constitution</w:t>
      </w:r>
      <w:r w:rsidRPr="00CB161E">
        <w:rPr>
          <w:rFonts w:cs="Times New Roman"/>
          <w:lang w:val="fr-CA"/>
        </w:rPr>
        <w:t>, doit être réalisée d’abord et avant tout par référence à ce texte, et être circonscrite par celui</w:t>
      </w:r>
      <w:r w:rsidRPr="00CB161E">
        <w:rPr>
          <w:rFonts w:cs="Times New Roman"/>
          <w:lang w:val="fr-CA"/>
        </w:rPr>
        <w:noBreakHyphen/>
        <w:t>ci. En fait, bien que les normes constitutionnelles soient délibérément exprimées en termes généraux, les mots utilisés demeurent [</w:t>
      </w:r>
      <w:r w:rsidRPr="00CB161E">
        <w:rPr>
          <w:rFonts w:cs="Times New Roman"/>
          <w:smallCaps/>
          <w:lang w:val="fr-CA"/>
        </w:rPr>
        <w:t>traduction</w:t>
      </w:r>
      <w:r w:rsidRPr="00CB161E">
        <w:rPr>
          <w:rFonts w:cs="Times New Roman"/>
          <w:lang w:val="fr-CA"/>
        </w:rPr>
        <w:t>] « la principale contrainte en cas d’examen judiciaire » et constituent « les limites externes de l’analyse téléologique » : B. J. Oliphant, « Taking purposes seriously</w:t>
      </w:r>
      <w:r w:rsidR="00473AC0">
        <w:rPr>
          <w:rFonts w:cs="Times New Roman"/>
          <w:lang w:val="fr-CA"/>
        </w:rPr>
        <w:t> </w:t>
      </w:r>
      <w:r w:rsidRPr="00CB161E">
        <w:rPr>
          <w:rFonts w:cs="Times New Roman"/>
          <w:lang w:val="fr-CA"/>
        </w:rPr>
        <w:t>: The purposive scope and textual bounds of interpretation under the Canadian Charter of Rights and Freedoms » (2015), 65 </w:t>
      </w:r>
      <w:r w:rsidRPr="00CB161E">
        <w:rPr>
          <w:rFonts w:cs="Times New Roman"/>
          <w:i/>
          <w:iCs/>
          <w:lang w:val="fr-CA"/>
        </w:rPr>
        <w:t>U.T.L.J.</w:t>
      </w:r>
      <w:r w:rsidRPr="00CB161E">
        <w:rPr>
          <w:rFonts w:cs="Times New Roman"/>
          <w:lang w:val="fr-CA"/>
        </w:rPr>
        <w:t xml:space="preserve"> 239, p. 243. La Constitution « ne saurait être considérée comme un simple contenant, à même de recevoir n’importe quelle interprétation qu’on pourrait vouloir lui donner » : </w:t>
      </w:r>
      <w:r w:rsidRPr="00CB161E">
        <w:rPr>
          <w:rFonts w:cs="Times New Roman"/>
          <w:i/>
          <w:iCs/>
          <w:lang w:val="fr-CA"/>
        </w:rPr>
        <w:t>Renvoi relatif à la Public Service Employee Relations Act (Alb.)</w:t>
      </w:r>
      <w:r w:rsidRPr="00CB161E">
        <w:rPr>
          <w:rFonts w:cs="Times New Roman"/>
          <w:lang w:val="fr-CA"/>
        </w:rPr>
        <w:t>, [1987] 1 R.C.S. 313, (« </w:t>
      </w:r>
      <w:r w:rsidRPr="00CB161E">
        <w:rPr>
          <w:rFonts w:cs="Times New Roman"/>
          <w:i/>
          <w:iCs/>
          <w:lang w:val="fr-CA"/>
        </w:rPr>
        <w:t>Re PSERA</w:t>
      </w:r>
      <w:r w:rsidRPr="00CB161E">
        <w:rPr>
          <w:rFonts w:cs="Times New Roman"/>
          <w:iCs/>
          <w:lang w:val="fr-CA"/>
        </w:rPr>
        <w:t> »</w:t>
      </w:r>
      <w:r w:rsidRPr="00CB161E">
        <w:rPr>
          <w:rFonts w:cs="Times New Roman"/>
          <w:lang w:val="fr-CA"/>
        </w:rPr>
        <w:t xml:space="preserve">), p. 394; </w:t>
      </w:r>
      <w:r w:rsidRPr="00CB161E">
        <w:rPr>
          <w:rFonts w:cs="Times New Roman"/>
          <w:i/>
          <w:lang w:val="fr-CA"/>
        </w:rPr>
        <w:t>Caron</w:t>
      </w:r>
      <w:r w:rsidRPr="00CB161E">
        <w:rPr>
          <w:rFonts w:cs="Times New Roman"/>
          <w:lang w:val="fr-CA"/>
        </w:rPr>
        <w:t xml:space="preserve">, par. 36. Fait important, dans </w:t>
      </w:r>
      <w:r w:rsidRPr="00CB161E">
        <w:rPr>
          <w:rFonts w:cs="Times New Roman"/>
          <w:i/>
          <w:szCs w:val="24"/>
          <w:lang w:val="fr-CA"/>
        </w:rPr>
        <w:t>Caron</w:t>
      </w:r>
      <w:r w:rsidRPr="00CB161E">
        <w:rPr>
          <w:rFonts w:cs="Times New Roman"/>
          <w:lang w:val="fr-CA"/>
        </w:rPr>
        <w:t>, la Cour a repris ce dernier passage et réaffirmé la « préséance [du] texte écrit de la Constitution » : par. 36; voir aussi le par. 37.</w:t>
      </w:r>
    </w:p>
    <w:p w:rsidR="00CB161E" w:rsidRPr="00CB161E" w:rsidRDefault="00CB161E" w:rsidP="00CB161E">
      <w:pPr>
        <w:pStyle w:val="ParaNoNdepar-AltN"/>
        <w:tabs>
          <w:tab w:val="clear" w:pos="1152"/>
          <w:tab w:val="left" w:pos="1166"/>
        </w:tabs>
        <w:spacing w:before="0"/>
        <w:rPr>
          <w:rFonts w:cs="Times New Roman"/>
          <w:szCs w:val="24"/>
          <w:lang w:val="fr-CA"/>
        </w:rPr>
      </w:pPr>
      <w:r w:rsidRPr="00CB161E">
        <w:rPr>
          <w:rFonts w:cs="Times New Roman"/>
          <w:lang w:val="fr-CA"/>
        </w:rPr>
        <w:t xml:space="preserve">Qui plus est, bien que les droits garantis par la </w:t>
      </w:r>
      <w:r w:rsidRPr="00CB161E">
        <w:rPr>
          <w:rFonts w:cs="Times New Roman"/>
          <w:i/>
          <w:iCs/>
          <w:lang w:val="fr-CA"/>
        </w:rPr>
        <w:t>Charte</w:t>
      </w:r>
      <w:r w:rsidRPr="00CB161E">
        <w:rPr>
          <w:rFonts w:cs="Times New Roman"/>
          <w:lang w:val="fr-CA"/>
        </w:rPr>
        <w:t xml:space="preserve"> doivent être interprétés selon la méthode téléologique, pareille interprétation ne doit pas aller au</w:t>
      </w:r>
      <w:r w:rsidRPr="00CB161E">
        <w:rPr>
          <w:rFonts w:cs="Times New Roman"/>
          <w:lang w:val="fr-CA"/>
        </w:rPr>
        <w:noBreakHyphen/>
        <w:t xml:space="preserve">delà (ni, d’ailleurs, rester en deçà) de l’objet véritable du droit : </w:t>
      </w:r>
      <w:r w:rsidRPr="00CB161E">
        <w:rPr>
          <w:rFonts w:cs="Times New Roman"/>
          <w:i/>
          <w:szCs w:val="24"/>
          <w:lang w:val="fr-CA"/>
        </w:rPr>
        <w:t>Poulin</w:t>
      </w:r>
      <w:r w:rsidRPr="00CB161E">
        <w:rPr>
          <w:rFonts w:cs="Times New Roman"/>
          <w:lang w:val="fr-CA"/>
        </w:rPr>
        <w:t xml:space="preserve">, par. 53 et 55; </w:t>
      </w:r>
      <w:r w:rsidRPr="00CB161E">
        <w:rPr>
          <w:rFonts w:cs="Times New Roman"/>
          <w:i/>
          <w:szCs w:val="24"/>
          <w:lang w:val="fr-CA"/>
        </w:rPr>
        <w:t>R. c. Stillman</w:t>
      </w:r>
      <w:r w:rsidRPr="00CB161E">
        <w:rPr>
          <w:rFonts w:cs="Times New Roman"/>
          <w:lang w:val="fr-CA"/>
        </w:rPr>
        <w:t xml:space="preserve">, 2019 CSC 40, </w:t>
      </w:r>
      <w:r w:rsidR="00473AC0">
        <w:rPr>
          <w:lang w:val="fr-CA"/>
        </w:rPr>
        <w:t xml:space="preserve">[2019] 3 </w:t>
      </w:r>
      <w:r w:rsidR="00494ADC">
        <w:rPr>
          <w:lang w:val="fr-CA"/>
        </w:rPr>
        <w:t xml:space="preserve">R.C.S. 144, </w:t>
      </w:r>
      <w:r w:rsidRPr="00CB161E">
        <w:rPr>
          <w:rFonts w:cs="Times New Roman"/>
          <w:lang w:val="fr-CA"/>
        </w:rPr>
        <w:t xml:space="preserve">par. 21 et 126; </w:t>
      </w:r>
      <w:r w:rsidRPr="00CB161E">
        <w:rPr>
          <w:rFonts w:cs="Times New Roman"/>
          <w:i/>
          <w:szCs w:val="24"/>
          <w:lang w:val="fr-CA"/>
        </w:rPr>
        <w:t>R. c. Blais</w:t>
      </w:r>
      <w:r w:rsidRPr="00CB161E">
        <w:rPr>
          <w:rFonts w:cs="Times New Roman"/>
          <w:lang w:val="fr-CA"/>
        </w:rPr>
        <w:t xml:space="preserve">, </w:t>
      </w:r>
      <w:r w:rsidRPr="00CB161E">
        <w:rPr>
          <w:rFonts w:cs="Times New Roman"/>
          <w:lang w:val="fr-CA"/>
        </w:rPr>
        <w:lastRenderedPageBreak/>
        <w:t>2003 CSC 44, [2003] 2 R.C.S. 236, par. 17</w:t>
      </w:r>
      <w:r w:rsidRPr="00CB161E">
        <w:rPr>
          <w:rFonts w:cs="Times New Roman"/>
          <w:lang w:val="fr-CA"/>
        </w:rPr>
        <w:noBreakHyphen/>
        <w:t xml:space="preserve">18 et 40; </w:t>
      </w:r>
      <w:r w:rsidRPr="00CB161E">
        <w:rPr>
          <w:rFonts w:cs="Times New Roman"/>
          <w:i/>
          <w:szCs w:val="24"/>
          <w:lang w:val="fr-CA"/>
        </w:rPr>
        <w:t>Big M Drug Mart</w:t>
      </w:r>
      <w:r w:rsidRPr="00CB161E">
        <w:rPr>
          <w:rFonts w:cs="Times New Roman"/>
          <w:lang w:val="fr-CA"/>
        </w:rPr>
        <w:t>, p. 344. Le fait de donner préséance au texte — c’est</w:t>
      </w:r>
      <w:r w:rsidRPr="00CB161E">
        <w:rPr>
          <w:rFonts w:cs="Times New Roman"/>
          <w:lang w:val="fr-CA"/>
        </w:rPr>
        <w:noBreakHyphen/>
        <w:t>à</w:t>
      </w:r>
      <w:r w:rsidRPr="00CB161E">
        <w:rPr>
          <w:rFonts w:cs="Times New Roman"/>
          <w:lang w:val="fr-CA"/>
        </w:rPr>
        <w:noBreakHyphen/>
        <w:t>dire respecter l’importance qui lui est reconnue comme premier facteur à prendre en compte dans une interprétation téléologique — permet d’éviter d’aller au</w:t>
      </w:r>
      <w:r w:rsidRPr="00CB161E">
        <w:rPr>
          <w:rFonts w:cs="Times New Roman"/>
          <w:lang w:val="fr-CA"/>
        </w:rPr>
        <w:noBreakHyphen/>
        <w:t>delà de l’objet du droit.</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Bien qu’elle reconnaisse, au par. 71, que le libellé fait partie de l’analyse et que « le texte de la </w:t>
      </w:r>
      <w:r w:rsidRPr="00CB161E">
        <w:rPr>
          <w:rFonts w:cs="Times New Roman"/>
          <w:i/>
          <w:lang w:val="fr-CA"/>
        </w:rPr>
        <w:t>Charte</w:t>
      </w:r>
      <w:r w:rsidRPr="00CB161E">
        <w:rPr>
          <w:rFonts w:cs="Times New Roman"/>
          <w:lang w:val="fr-CA"/>
        </w:rPr>
        <w:t xml:space="preserve"> est important », notre collègue la juge Abella insiste sur la directive donnée dans </w:t>
      </w:r>
      <w:r w:rsidRPr="00CB161E">
        <w:rPr>
          <w:rFonts w:cs="Times New Roman"/>
          <w:i/>
          <w:szCs w:val="24"/>
          <w:lang w:val="fr-CA"/>
        </w:rPr>
        <w:t>Hunter c. Southam Inc.</w:t>
      </w:r>
      <w:r w:rsidRPr="00CB161E">
        <w:rPr>
          <w:rFonts w:cs="Times New Roman"/>
          <w:szCs w:val="24"/>
          <w:lang w:val="fr-CA"/>
        </w:rPr>
        <w:t>,</w:t>
      </w:r>
      <w:r w:rsidRPr="00CB161E">
        <w:rPr>
          <w:rFonts w:cs="Times New Roman"/>
          <w:i/>
          <w:szCs w:val="24"/>
          <w:lang w:val="fr-CA"/>
        </w:rPr>
        <w:t xml:space="preserve"> </w:t>
      </w:r>
      <w:r w:rsidRPr="00CB161E">
        <w:rPr>
          <w:rFonts w:cs="Times New Roman"/>
          <w:lang w:val="fr-CA"/>
        </w:rPr>
        <w:t>[1984] 2 R.C.S. 145, selon laquelle l’interprétation d’une constitution diffère fondamentalement de l’interprétation d’une loi, et que les tribunaux ne doivent pas « interpréter les dispositions de la Constitution comme un testament de peur qu’elle ne le devienne » : p. 155. Malgré son à</w:t>
      </w:r>
      <w:r w:rsidRPr="00CB161E">
        <w:rPr>
          <w:rFonts w:cs="Times New Roman"/>
          <w:lang w:val="fr-CA"/>
        </w:rPr>
        <w:noBreakHyphen/>
        <w:t>propos, le passage cité ne saurait cependant être considéré comme ayant pour effet de réduire l’importance primordiale du texte de la Constitution, importance qui a — depuis, et de façon répétée — été reconnue dans la jurisprudence de la Cour : voir, p</w:t>
      </w:r>
      <w:r w:rsidR="00951C33">
        <w:rPr>
          <w:rFonts w:cs="Times New Roman"/>
          <w:lang w:val="fr-CA"/>
        </w:rPr>
        <w:t>. ex.</w:t>
      </w:r>
      <w:r w:rsidRPr="00CB161E">
        <w:rPr>
          <w:rFonts w:cs="Times New Roman"/>
          <w:lang w:val="fr-CA"/>
        </w:rPr>
        <w:t xml:space="preserve">, </w:t>
      </w:r>
      <w:r w:rsidRPr="00CB161E">
        <w:rPr>
          <w:rFonts w:cs="Times New Roman"/>
          <w:i/>
          <w:szCs w:val="24"/>
          <w:lang w:val="fr-CA"/>
        </w:rPr>
        <w:t>Caron</w:t>
      </w:r>
      <w:r w:rsidRPr="00CB161E">
        <w:rPr>
          <w:rFonts w:cs="Times New Roman"/>
          <w:lang w:val="fr-CA"/>
        </w:rPr>
        <w:t xml:space="preserve">, par. 36; </w:t>
      </w:r>
      <w:r w:rsidRPr="00CB161E">
        <w:rPr>
          <w:rFonts w:cs="Times New Roman"/>
          <w:i/>
          <w:iCs/>
          <w:lang w:val="fr-CA"/>
        </w:rPr>
        <w:t>Chemin de fer de l’Île de Vancouver</w:t>
      </w:r>
      <w:r w:rsidRPr="00CB161E">
        <w:rPr>
          <w:rFonts w:cs="Times New Roman"/>
          <w:lang w:val="fr-CA"/>
        </w:rPr>
        <w:t xml:space="preserve">, p. 88. Le texte ne constitue pas la seule et unique considération, mais le fait de le traiter comme l’indice premier de l’objet n’est d’aucune façon incompatible avec les principes d’interprétation de la </w:t>
      </w:r>
      <w:r w:rsidRPr="00CB161E">
        <w:rPr>
          <w:rFonts w:cs="Times New Roman"/>
          <w:i/>
          <w:iCs/>
          <w:lang w:val="fr-CA"/>
        </w:rPr>
        <w:t>Charte</w:t>
      </w:r>
      <w:r w:rsidRPr="00CB161E">
        <w:rPr>
          <w:rFonts w:cs="Times New Roman"/>
          <w:iCs/>
          <w:lang w:val="fr-CA"/>
        </w:rPr>
        <w:t>,</w:t>
      </w:r>
      <w:r w:rsidRPr="00CB161E">
        <w:rPr>
          <w:rFonts w:cs="Times New Roman"/>
          <w:lang w:val="fr-CA"/>
        </w:rPr>
        <w:t xml:space="preserve"> puisqu’il fait en réalité partie de ceux</w:t>
      </w:r>
      <w:r w:rsidRPr="00CB161E">
        <w:rPr>
          <w:rFonts w:cs="Times New Roman"/>
          <w:lang w:val="fr-CA"/>
        </w:rPr>
        <w:noBreakHyphen/>
        <w:t>ci.</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Avant de poursuivre, nous tenons à souligner que la reconnaissance de l’importance du texte dans le cadre de l’interprétation téléologique d’un droit garanti par la </w:t>
      </w:r>
      <w:r w:rsidRPr="00CB161E">
        <w:rPr>
          <w:rFonts w:cs="Times New Roman"/>
          <w:i/>
          <w:iCs/>
          <w:lang w:val="fr-CA"/>
        </w:rPr>
        <w:t>Charte</w:t>
      </w:r>
      <w:r w:rsidRPr="00CB161E">
        <w:rPr>
          <w:rFonts w:cs="Times New Roman"/>
          <w:lang w:val="fr-CA"/>
        </w:rPr>
        <w:t xml:space="preserve"> </w:t>
      </w:r>
      <w:r w:rsidRPr="00CB161E">
        <w:rPr>
          <w:rFonts w:cs="Times New Roman"/>
          <w:i/>
          <w:lang w:val="fr-CA"/>
        </w:rPr>
        <w:t>ne</w:t>
      </w:r>
      <w:r w:rsidRPr="00CB161E">
        <w:rPr>
          <w:rFonts w:cs="Times New Roman"/>
          <w:lang w:val="fr-CA"/>
        </w:rPr>
        <w:t xml:space="preserve"> constitue </w:t>
      </w:r>
      <w:r w:rsidRPr="00CB161E">
        <w:rPr>
          <w:rFonts w:cs="Times New Roman"/>
          <w:i/>
          <w:iCs/>
          <w:lang w:val="fr-CA"/>
        </w:rPr>
        <w:t>pas</w:t>
      </w:r>
      <w:r w:rsidRPr="00CB161E">
        <w:rPr>
          <w:rFonts w:cs="Times New Roman"/>
          <w:lang w:val="fr-CA"/>
        </w:rPr>
        <w:t xml:space="preserve"> un plaidoyer en faveur de ce que notre collègue la juge Abella appelle une « interprétation purement textuelle » de la Constitution : </w:t>
      </w:r>
      <w:r w:rsidRPr="00CB161E">
        <w:rPr>
          <w:rFonts w:cs="Times New Roman"/>
          <w:lang w:val="fr-CA"/>
        </w:rPr>
        <w:lastRenderedPageBreak/>
        <w:t>par. 76, citant A. Barak, « A Judge on Judging</w:t>
      </w:r>
      <w:r w:rsidR="001D4C22">
        <w:rPr>
          <w:rFonts w:cs="Times New Roman"/>
          <w:lang w:val="fr-CA"/>
        </w:rPr>
        <w:t> </w:t>
      </w:r>
      <w:r w:rsidRPr="00CB161E">
        <w:rPr>
          <w:rFonts w:cs="Times New Roman"/>
          <w:lang w:val="fr-CA"/>
        </w:rPr>
        <w:t xml:space="preserve">: The Role of a Supreme Court in a Democracy » (2002), 116 </w:t>
      </w:r>
      <w:r w:rsidRPr="00CB161E">
        <w:rPr>
          <w:rFonts w:cs="Times New Roman"/>
          <w:i/>
          <w:lang w:val="fr-CA"/>
        </w:rPr>
        <w:t>Harv. L. Rev.</w:t>
      </w:r>
      <w:r w:rsidRPr="00CB161E">
        <w:rPr>
          <w:rFonts w:cs="Times New Roman"/>
          <w:lang w:val="fr-CA"/>
        </w:rPr>
        <w:t xml:space="preserve"> 19, p. 83. La notion de « textualisme » qu’elle invoque pour étayer son propos diverge considérablement de l’idée — intégrée dans la jurisprudence de la Cour et dans nos motifs — suivant laquelle l’analyse téléologique doit commencer par l’examen du texte. À titre d’exemple, le [</w:t>
      </w:r>
      <w:r w:rsidRPr="00CB161E">
        <w:rPr>
          <w:rFonts w:cs="Times New Roman"/>
          <w:smallCaps/>
          <w:lang w:val="fr-CA"/>
        </w:rPr>
        <w:t>traduction</w:t>
      </w:r>
      <w:r w:rsidRPr="00CB161E">
        <w:rPr>
          <w:rFonts w:cs="Times New Roman"/>
          <w:lang w:val="fr-CA"/>
        </w:rPr>
        <w:t>] « nouveau textualisme » dénoncé par Aharon Barak est un « système voulant que la Constitution et toutes les lois doivent être interprétées en fonction de la lecture qu’en faisait un lecteur raisonnable au moment de leur édiction » et dans lequel « </w:t>
      </w:r>
      <w:r w:rsidR="001D4C22">
        <w:rPr>
          <w:lang w:val="fr-CA"/>
        </w:rPr>
        <w:t>[t]</w:t>
      </w:r>
      <w:r w:rsidRPr="00CB161E">
        <w:rPr>
          <w:rFonts w:cs="Times New Roman"/>
          <w:lang w:val="fr-CA"/>
        </w:rPr>
        <w:t>oute référence à l’historique de la création du texte [. . .] n’est pas autorisée » : p. 82</w:t>
      </w:r>
      <w:r w:rsidRPr="00CB161E">
        <w:rPr>
          <w:rFonts w:cs="Times New Roman"/>
          <w:lang w:val="fr-CA"/>
        </w:rPr>
        <w:noBreakHyphen/>
        <w:t>83. De même, le type d’interprétation que Lorne Neudorf qualifie de [</w:t>
      </w:r>
      <w:r w:rsidRPr="00CB161E">
        <w:rPr>
          <w:rFonts w:cs="Times New Roman"/>
          <w:smallCaps/>
          <w:lang w:val="fr-CA"/>
        </w:rPr>
        <w:t>traduction</w:t>
      </w:r>
      <w:r w:rsidRPr="00CB161E">
        <w:rPr>
          <w:rFonts w:cs="Times New Roman"/>
          <w:lang w:val="fr-CA"/>
        </w:rPr>
        <w:t>] « lecture purement textuelle » en est une dans laquelle l’analyse est strictement limitée au texte de la Constitution : « Reassessing the Constitutional Foundation of Delegated Legislation in Canada » (2018), 41 </w:t>
      </w:r>
      <w:r w:rsidRPr="00CB161E">
        <w:rPr>
          <w:rFonts w:cs="Times New Roman"/>
          <w:i/>
          <w:lang w:val="fr-CA"/>
        </w:rPr>
        <w:t>Dal. L.J. </w:t>
      </w:r>
      <w:r w:rsidRPr="00CB161E">
        <w:rPr>
          <w:rFonts w:cs="Times New Roman"/>
          <w:lang w:val="fr-CA"/>
        </w:rPr>
        <w:t>519, p. 544. Ces conceptions de l’interprétation constitutionnelle n’ont absolument rien en commun avec celles que nous appliquons et que notre droit requiert.</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Qui plus est, notre collègue la juge Abella établit une fausse dichotomie entre l’interprétation téléologique et le fait d’amorcer cette analyse par l’examen du texte de la disposition. De fait, commencer par l’examen du texte est précisément</w:t>
      </w:r>
      <w:r w:rsidRPr="00CB161E">
        <w:rPr>
          <w:rFonts w:cs="Times New Roman"/>
          <w:i/>
          <w:lang w:val="fr-CA"/>
        </w:rPr>
        <w:t xml:space="preserve"> </w:t>
      </w:r>
      <w:r w:rsidRPr="00CB161E">
        <w:rPr>
          <w:rFonts w:cs="Times New Roman"/>
          <w:lang w:val="fr-CA"/>
        </w:rPr>
        <w:t>ce que les précédents de la Cour nous instruisent de faire. L’affirmation de la juge Abella selon laquelle « </w:t>
      </w:r>
      <w:r w:rsidRPr="00CB161E">
        <w:rPr>
          <w:rFonts w:eastAsia="Times New Roman" w:cs="Times New Roman"/>
          <w:lang w:val="fr-CA"/>
        </w:rPr>
        <w:t>le fait de considérer que le texte prime est peu utile dans l’interprétation des garanties constitutionnelles</w:t>
      </w:r>
      <w:r w:rsidRPr="00CB161E">
        <w:rPr>
          <w:rFonts w:cs="Times New Roman"/>
          <w:lang w:val="fr-CA"/>
        </w:rPr>
        <w:t xml:space="preserve"> » (par. 75) écarte ces précédents et le rôle qu’ils attribuent au texte dans la délimitation de l’analyse qui, nous le répétons, doit aussi être </w:t>
      </w:r>
      <w:r w:rsidRPr="00CB161E">
        <w:rPr>
          <w:rFonts w:cs="Times New Roman"/>
          <w:lang w:val="fr-CA"/>
        </w:rPr>
        <w:lastRenderedPageBreak/>
        <w:t xml:space="preserve">réalisée en tenant compte du contexte historique, des vastes objectifs de la </w:t>
      </w:r>
      <w:r w:rsidRPr="00CB161E">
        <w:rPr>
          <w:rFonts w:cs="Times New Roman"/>
          <w:i/>
          <w:iCs/>
          <w:lang w:val="fr-CA"/>
        </w:rPr>
        <w:t>Charte</w:t>
      </w:r>
      <w:r w:rsidRPr="00CB161E">
        <w:rPr>
          <w:rFonts w:cs="Times New Roman"/>
          <w:lang w:val="fr-CA"/>
        </w:rPr>
        <w:t xml:space="preserve"> et, s’il y a lieu, du sens et de l’objet des droits connexes garantis par la </w:t>
      </w:r>
      <w:r w:rsidRPr="00CB161E">
        <w:rPr>
          <w:rFonts w:cs="Times New Roman"/>
          <w:i/>
          <w:iCs/>
          <w:lang w:val="fr-CA"/>
        </w:rPr>
        <w:t>Charte</w:t>
      </w:r>
      <w:r w:rsidRPr="00CB161E">
        <w:rPr>
          <w:rFonts w:cs="Times New Roman"/>
          <w:lang w:val="fr-CA"/>
        </w:rPr>
        <w:t>.</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Revenons maintenant à l’affaire qui nous occupe. Le texte de l’art. 12, en particulier la présence du mot « cruels » dans celui</w:t>
      </w:r>
      <w:r w:rsidRPr="00CB161E">
        <w:rPr>
          <w:rFonts w:cs="Times New Roman"/>
          <w:lang w:val="fr-CA"/>
        </w:rPr>
        <w:noBreakHyphen/>
        <w:t>ci, suggère fortement que cette disposition s’applique uniquement aux êtres humains. Le juge Chamberland a à juste titre souligné que le sens courant du mot « cruel » ne permet pas de l’appliquer à des objets inanimés ou à des entités juridiques telles les personnes morales. Ainsi qu’il l’a expliqué, « [o]n ne dirait pas, me semble</w:t>
      </w:r>
      <w:r w:rsidRPr="00CB161E">
        <w:rPr>
          <w:rFonts w:cs="Times New Roman"/>
          <w:lang w:val="fr-CA"/>
        </w:rPr>
        <w:noBreakHyphen/>
        <w:t>t</w:t>
      </w:r>
      <w:r w:rsidRPr="00CB161E">
        <w:rPr>
          <w:rFonts w:cs="Times New Roman"/>
          <w:lang w:val="fr-CA"/>
        </w:rPr>
        <w:noBreakHyphen/>
        <w:t>il, d’un groupe d’ouvriers qui démolissent une bâtisse à coups d’explosifs (plutôt que d’y aller plus doucement, brique par brique, planche par planche) qu’ils traitent la bâtisse cruellement. Pas plus qu’on ne dirait d’un groupe de consommateurs qui boycottent les produits d’une entreprise, au risque réel de l’entraîner vers la faillite, qu’ils font preuve de cruauté envers la société propriétaire de l’entreprise » : par. 56, note 32. Nous sommes par conséquent d’accord avec le juge Chamberland (par. 51</w:t>
      </w:r>
      <w:r w:rsidRPr="00CB161E">
        <w:rPr>
          <w:rFonts w:cs="Times New Roman"/>
          <w:lang w:val="fr-CA"/>
        </w:rPr>
        <w:noBreakHyphen/>
        <w:t xml:space="preserve">56) et avec notre collègue (motifs de la juge Abella, par. 86) pour dire que les mots « traitements ou peines cruels et inusités » s’entendent de la douleur et de la souffrance </w:t>
      </w:r>
      <w:r w:rsidRPr="00CB161E">
        <w:rPr>
          <w:rFonts w:cs="Times New Roman"/>
          <w:i/>
          <w:lang w:val="fr-CA"/>
        </w:rPr>
        <w:t>humaines</w:t>
      </w:r>
      <w:r w:rsidRPr="00CB161E">
        <w:rPr>
          <w:rFonts w:cs="Times New Roman"/>
          <w:lang w:val="fr-CA"/>
        </w:rPr>
        <w:t>, tant physiques que mentales.</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Nous constatons que, lorsqu’ils ont refusé d’appliquer l’art. 7 de la </w:t>
      </w:r>
      <w:r w:rsidRPr="00CB161E">
        <w:rPr>
          <w:rFonts w:cs="Times New Roman"/>
          <w:i/>
          <w:iCs/>
          <w:lang w:val="fr-CA"/>
        </w:rPr>
        <w:t>Charte</w:t>
      </w:r>
      <w:r w:rsidRPr="00CB161E">
        <w:rPr>
          <w:rFonts w:cs="Times New Roman"/>
          <w:lang w:val="fr-CA"/>
        </w:rPr>
        <w:t xml:space="preserve"> aux personnes morales dans l’arrêt </w:t>
      </w:r>
      <w:r w:rsidRPr="00CB161E">
        <w:rPr>
          <w:rFonts w:cs="Times New Roman"/>
          <w:i/>
          <w:iCs/>
          <w:lang w:val="fr-CA"/>
        </w:rPr>
        <w:t>Irwin Toy</w:t>
      </w:r>
      <w:r w:rsidRPr="00CB161E">
        <w:rPr>
          <w:rFonts w:cs="Times New Roman"/>
          <w:lang w:val="fr-CA"/>
        </w:rPr>
        <w:t>, le juge en chef Dickson ainsi que les juges Lamer et Wilson ont adopté un raisonnement similaire, faisant observer que le texte de cette disposition ne permettait pas d’inclure les personnes morales dans le champ d’application de sa protection :</w:t>
      </w:r>
    </w:p>
    <w:p w:rsidR="00CB161E" w:rsidRPr="007E76AD" w:rsidRDefault="00CB161E" w:rsidP="00CB161E">
      <w:pPr>
        <w:pStyle w:val="Citation-AltC"/>
        <w:spacing w:after="240"/>
        <w:ind w:hanging="356"/>
        <w:contextualSpacing w:val="0"/>
      </w:pPr>
      <w:r w:rsidRPr="007E76AD">
        <w:lastRenderedPageBreak/>
        <w:tab/>
        <w:t xml:space="preserve">À notre avis, une société ne peut invoquer la protection qu’offre l’art. 7 de la </w:t>
      </w:r>
      <w:r w:rsidRPr="007E76AD">
        <w:rPr>
          <w:i/>
          <w:iCs/>
        </w:rPr>
        <w:t>Charte</w:t>
      </w:r>
      <w:r w:rsidRPr="007E76AD">
        <w:t>.</w:t>
      </w:r>
      <w:r w:rsidRPr="007E76AD">
        <w:rPr>
          <w:i/>
        </w:rPr>
        <w:t xml:space="preserve"> </w:t>
      </w:r>
      <w:r w:rsidRPr="007E76AD">
        <w:t>Premièrement, nous aurions à établir de quelle manière une société peut être privée du droit « à la vie, à la liberté et à la sécurité de sa personne ». Nous avons déjà souligné que c’est un non</w:t>
      </w:r>
      <w:r w:rsidRPr="007E76AD">
        <w:noBreakHyphen/>
        <w:t xml:space="preserve">sens de dire d’une société qu’elle est condamnée à l’emprisonnement. Affirmer qu’une procédure de faillite et de liquidation fait intervenir l’art. 7, </w:t>
      </w:r>
      <w:r w:rsidRPr="007E76AD">
        <w:rPr>
          <w:u w:val="single"/>
        </w:rPr>
        <w:t>reviendrait à fausser complètement le sens du droit à la vie</w:t>
      </w:r>
      <w:r w:rsidRPr="007E76AD">
        <w:t>.</w:t>
      </w:r>
    </w:p>
    <w:p w:rsidR="00CB161E" w:rsidRPr="007E76AD" w:rsidRDefault="00CB161E" w:rsidP="00CB161E">
      <w:pPr>
        <w:pStyle w:val="Citation-AltC"/>
        <w:spacing w:after="240"/>
        <w:ind w:left="4320" w:hanging="356"/>
        <w:contextualSpacing w:val="0"/>
      </w:pPr>
      <w:r w:rsidRPr="007E76AD">
        <w:tab/>
        <w:t>. . .</w:t>
      </w:r>
    </w:p>
    <w:p w:rsidR="00CB161E" w:rsidRPr="007E76AD" w:rsidRDefault="00CB161E" w:rsidP="00CB161E">
      <w:pPr>
        <w:pStyle w:val="Citation-AltC"/>
        <w:ind w:hanging="360"/>
        <w:contextualSpacing w:val="0"/>
      </w:pPr>
      <w:r w:rsidRPr="007E76AD">
        <w:tab/>
      </w:r>
      <w:r w:rsidR="00951C33">
        <w:tab/>
      </w:r>
      <w:r>
        <w:t xml:space="preserve">. . . </w:t>
      </w:r>
      <w:r w:rsidRPr="007E76AD">
        <w:rPr>
          <w:u w:val="single"/>
        </w:rPr>
        <w:t>Une lecture ordinaire, conforme au bon</w:t>
      </w:r>
      <w:r>
        <w:rPr>
          <w:u w:val="single"/>
        </w:rPr>
        <w:t xml:space="preserve"> sens, de la phrase « C</w:t>
      </w:r>
      <w:r w:rsidRPr="007E76AD">
        <w:rPr>
          <w:u w:val="single"/>
        </w:rPr>
        <w:t>hacun a droit à la vie, à la liberté et à la sécurité de sa personne » fait ressortir l’élément humain visé</w:t>
      </w:r>
      <w:r w:rsidRPr="007E76AD">
        <w:t>; seul un être humain peut avoir ces droits. Le terme « chacun » doit donc être lu en fonction du reste de l’article et défini de façon à exclure les sociétés et autres entités qui ne peuvent jouir de la vie, de la liberté et de la sécurité de la personne, et de façon à ne comprendre que les êtres humains. [Nous soulignons; p. 1002</w:t>
      </w:r>
      <w:r w:rsidRPr="007E76AD">
        <w:noBreakHyphen/>
        <w:t>1004.]</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Dans le même ordre d’idées, nous souscrivons aussi en grande partie aux propos de notre collègue la juge Abella sur les origines historiques de l’art. 12, sous réserve de l’exposé que nous faisons plus loin quant au rôle du droit international et du droit comparé dans l’analyse. Nous aimerions ajouter qu’il ressort d’un examen des origines historiques de l’art. 12 que, dans le cas de cette disposition, la </w:t>
      </w:r>
      <w:r w:rsidRPr="00CB161E">
        <w:rPr>
          <w:rFonts w:cs="Times New Roman"/>
          <w:i/>
          <w:iCs/>
          <w:lang w:val="fr-CA"/>
        </w:rPr>
        <w:t>Charte</w:t>
      </w:r>
      <w:r w:rsidRPr="00CB161E">
        <w:rPr>
          <w:rFonts w:cs="Times New Roman"/>
          <w:lang w:val="fr-CA"/>
        </w:rPr>
        <w:t xml:space="preserve"> a emprunté</w:t>
      </w:r>
      <w:r w:rsidRPr="00CB161E">
        <w:rPr>
          <w:rFonts w:cs="Times New Roman"/>
          <w:i/>
          <w:szCs w:val="24"/>
          <w:lang w:val="fr-CA"/>
        </w:rPr>
        <w:t xml:space="preserve"> </w:t>
      </w:r>
      <w:r w:rsidRPr="00CB161E">
        <w:rPr>
          <w:rFonts w:cs="Times New Roman"/>
          <w:lang w:val="fr-CA"/>
        </w:rPr>
        <w:t xml:space="preserve">une voie différente de celle des textes qui l’ont précédée. Après l’adoption, dans la </w:t>
      </w:r>
      <w:r w:rsidRPr="00CB161E">
        <w:rPr>
          <w:rFonts w:cs="Times New Roman"/>
          <w:i/>
          <w:szCs w:val="24"/>
          <w:lang w:val="fr-CA"/>
        </w:rPr>
        <w:t>Magna Carta</w:t>
      </w:r>
      <w:r w:rsidRPr="00CB161E">
        <w:rPr>
          <w:rFonts w:cs="Times New Roman"/>
          <w:szCs w:val="24"/>
          <w:lang w:val="fr-CA"/>
        </w:rPr>
        <w:t xml:space="preserve"> (1215), d’</w:t>
      </w:r>
      <w:r w:rsidRPr="00CB161E">
        <w:rPr>
          <w:rFonts w:cs="Times New Roman"/>
          <w:lang w:val="fr-CA"/>
        </w:rPr>
        <w:t xml:space="preserve">une protection analogue, l’article 10 du </w:t>
      </w:r>
      <w:r w:rsidRPr="00CB161E">
        <w:rPr>
          <w:rFonts w:cs="Times New Roman"/>
          <w:i/>
          <w:iCs/>
          <w:lang w:val="fr-CA"/>
        </w:rPr>
        <w:t>Bill of Rights</w:t>
      </w:r>
      <w:r w:rsidR="001D4C22">
        <w:rPr>
          <w:rFonts w:cs="Times New Roman"/>
          <w:lang w:val="fr-CA"/>
        </w:rPr>
        <w:t xml:space="preserve"> (Angl.), </w:t>
      </w:r>
      <w:r w:rsidRPr="00CB161E">
        <w:rPr>
          <w:rFonts w:cs="Times New Roman"/>
          <w:lang w:val="fr-CA"/>
        </w:rPr>
        <w:t>1688</w:t>
      </w:r>
      <w:r w:rsidRPr="00CB161E">
        <w:rPr>
          <w:rFonts w:cs="Times New Roman"/>
          <w:szCs w:val="24"/>
          <w:lang w:val="fr-CA"/>
        </w:rPr>
        <w:t xml:space="preserve">, 1 Will. &amp; Mar. Sess. 2, c. 2, est venu préciser qu’il ne devrait pas être exigé de </w:t>
      </w:r>
      <w:r w:rsidRPr="00CB161E">
        <w:rPr>
          <w:rFonts w:cs="Times New Roman"/>
          <w:lang w:val="fr-CA"/>
        </w:rPr>
        <w:t xml:space="preserve">cautionnements excessifs, imposé d’amendes excessives ou infligé de peines cruelles et inusitées. Rédigé en termes pratiquement identique, le texte du Huitième amendement de la </w:t>
      </w:r>
      <w:r w:rsidRPr="00CB161E">
        <w:rPr>
          <w:rFonts w:cs="Times New Roman"/>
          <w:iCs/>
          <w:lang w:val="fr-CA"/>
        </w:rPr>
        <w:t>Constitution des États</w:t>
      </w:r>
      <w:r w:rsidRPr="00CB161E">
        <w:rPr>
          <w:rFonts w:cs="Times New Roman"/>
          <w:iCs/>
          <w:lang w:val="fr-CA"/>
        </w:rPr>
        <w:noBreakHyphen/>
        <w:t>Unis</w:t>
      </w:r>
      <w:r w:rsidRPr="00CB161E">
        <w:rPr>
          <w:rFonts w:cs="Times New Roman"/>
          <w:lang w:val="fr-CA"/>
        </w:rPr>
        <w:t xml:space="preserve"> précise qu’</w:t>
      </w:r>
      <w:r w:rsidR="00835C02">
        <w:rPr>
          <w:rFonts w:cs="Times New Roman"/>
          <w:lang w:val="fr-CA"/>
        </w:rPr>
        <w:t xml:space="preserve">il </w:t>
      </w:r>
      <w:r w:rsidRPr="00CB161E">
        <w:rPr>
          <w:rFonts w:cs="Times New Roman"/>
          <w:lang w:val="fr-CA"/>
        </w:rPr>
        <w:t>[</w:t>
      </w:r>
      <w:r w:rsidRPr="00CB161E">
        <w:rPr>
          <w:rFonts w:cs="Times New Roman"/>
          <w:smallCaps/>
          <w:lang w:val="fr-CA"/>
        </w:rPr>
        <w:t>traduction</w:t>
      </w:r>
      <w:r w:rsidR="00835C02">
        <w:rPr>
          <w:rFonts w:cs="Times New Roman"/>
          <w:lang w:val="fr-CA"/>
        </w:rPr>
        <w:t>] « </w:t>
      </w:r>
      <w:r w:rsidRPr="00CB161E">
        <w:rPr>
          <w:rFonts w:cs="Times New Roman"/>
          <w:lang w:val="fr-CA"/>
        </w:rPr>
        <w:t xml:space="preserve">ne pourra être exigé de cautionnements excessifs, imposé d’amendes excessives ou infligé de peines cruelles et inusitées ». Toutefois, au Canada, le droit de ne pas être </w:t>
      </w:r>
      <w:r w:rsidRPr="00CB161E">
        <w:rPr>
          <w:rFonts w:cs="Times New Roman"/>
          <w:lang w:val="fr-CA"/>
        </w:rPr>
        <w:lastRenderedPageBreak/>
        <w:t>privé sans juste cause d’une mise en liberté assortie d’un cautionnement raisonnable a été dissocié du droit à la protection contre les peines cruelles et inusitées, et constitue désormais l’al. 11</w:t>
      </w:r>
      <w:r w:rsidRPr="00CB161E">
        <w:rPr>
          <w:rFonts w:cs="Times New Roman"/>
          <w:i/>
          <w:szCs w:val="24"/>
          <w:lang w:val="fr-CA"/>
        </w:rPr>
        <w:t>e</w:t>
      </w:r>
      <w:r w:rsidRPr="00CB161E">
        <w:rPr>
          <w:rFonts w:cs="Times New Roman"/>
          <w:lang w:val="fr-CA"/>
        </w:rPr>
        <w:t xml:space="preserve">) de la </w:t>
      </w:r>
      <w:r w:rsidRPr="00CB161E">
        <w:rPr>
          <w:rFonts w:cs="Times New Roman"/>
          <w:i/>
          <w:szCs w:val="24"/>
          <w:lang w:val="fr-CA"/>
        </w:rPr>
        <w:t>Charte</w:t>
      </w:r>
      <w:r w:rsidRPr="00CB161E">
        <w:rPr>
          <w:rFonts w:cs="Times New Roman"/>
          <w:lang w:val="fr-CA"/>
        </w:rPr>
        <w:t xml:space="preserve">. Fait plus significatif encore, la protection contre les « amendes excessives » n’a pas du tout été reprise dans la </w:t>
      </w:r>
      <w:r w:rsidRPr="00CB161E">
        <w:rPr>
          <w:rFonts w:cs="Times New Roman"/>
          <w:i/>
          <w:iCs/>
          <w:lang w:val="fr-CA"/>
        </w:rPr>
        <w:t>Charte</w:t>
      </w:r>
      <w:r w:rsidRPr="00CB161E">
        <w:rPr>
          <w:rFonts w:cs="Times New Roman"/>
          <w:lang w:val="fr-CA"/>
        </w:rPr>
        <w:t xml:space="preserve"> ni dans la </w:t>
      </w:r>
      <w:r w:rsidRPr="00CB161E">
        <w:rPr>
          <w:rFonts w:cs="Times New Roman"/>
          <w:i/>
          <w:iCs/>
          <w:lang w:val="fr-CA"/>
        </w:rPr>
        <w:t>Déclaration canadienne des droits</w:t>
      </w:r>
      <w:r w:rsidRPr="00CB161E">
        <w:rPr>
          <w:rFonts w:cs="Times New Roman"/>
          <w:lang w:val="fr-CA"/>
        </w:rPr>
        <w:t xml:space="preserve">, </w:t>
      </w:r>
      <w:r w:rsidRPr="00CB161E">
        <w:rPr>
          <w:rFonts w:cs="Times New Roman"/>
          <w:szCs w:val="24"/>
          <w:lang w:val="fr-CA"/>
        </w:rPr>
        <w:t xml:space="preserve">S.C. 1960, c. 44, </w:t>
      </w:r>
      <w:r w:rsidRPr="00CB161E">
        <w:rPr>
          <w:rFonts w:cs="Times New Roman"/>
          <w:lang w:val="fr-CA"/>
        </w:rPr>
        <w:t>comme l’a souligné le juge Chamberland : par. 66.</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Par conséquent, la protection contre les peines cruelles et inusitées prévue par l’art. 12 de la </w:t>
      </w:r>
      <w:r w:rsidRPr="00CB161E">
        <w:rPr>
          <w:rFonts w:cs="Times New Roman"/>
          <w:i/>
          <w:szCs w:val="24"/>
          <w:lang w:val="fr-CA"/>
        </w:rPr>
        <w:t>Charte</w:t>
      </w:r>
      <w:r w:rsidRPr="00CB161E">
        <w:rPr>
          <w:rFonts w:cs="Times New Roman"/>
          <w:lang w:val="fr-CA"/>
        </w:rPr>
        <w:t xml:space="preserve"> constitue une garantie autonome. Vu le contexte historique exposé ci</w:t>
      </w:r>
      <w:r w:rsidRPr="00CB161E">
        <w:rPr>
          <w:rFonts w:cs="Times New Roman"/>
          <w:lang w:val="fr-CA"/>
        </w:rPr>
        <w:noBreakHyphen/>
        <w:t xml:space="preserve">dessus, il s’agit d’un facteur extrêmement important, voire déterminant : une amende excessive (qu’une personne morale </w:t>
      </w:r>
      <w:r w:rsidRPr="00CB161E">
        <w:rPr>
          <w:rFonts w:cs="Times New Roman"/>
          <w:i/>
          <w:iCs/>
          <w:lang w:val="fr-CA"/>
        </w:rPr>
        <w:t>peut</w:t>
      </w:r>
      <w:r w:rsidRPr="00CB161E">
        <w:rPr>
          <w:rFonts w:cs="Times New Roman"/>
          <w:lang w:val="fr-CA"/>
        </w:rPr>
        <w:t xml:space="preserve"> se voir infliger), sans plus, n’est pas inconstitutionnelle. En effet, pour qu’une amende soit inconstitutionnelle, elle doit être « excessive au point de ne pas être compatible avec la dignité humaine » en plus d’être « odieuse ou intolérable » pour la société : </w:t>
      </w:r>
      <w:r w:rsidRPr="00CB161E">
        <w:rPr>
          <w:rFonts w:cs="Times New Roman"/>
          <w:i/>
          <w:szCs w:val="24"/>
          <w:lang w:val="fr-CA"/>
        </w:rPr>
        <w:t>R. c. Boudreault</w:t>
      </w:r>
      <w:r w:rsidRPr="00CB161E">
        <w:rPr>
          <w:rFonts w:cs="Times New Roman"/>
          <w:lang w:val="fr-CA"/>
        </w:rPr>
        <w:t>, 2018 CSC 58, [2018] 3 R.C.S. 599, par. 45 et 94. Eu égard à l’objet de l’art. 12, ce critère est inextricablement ancré dans la dignité humaine. Il s’agit d’une norme constitutionnelle qui ne saurait s’appliquer aux traitements ou peines infligés aux personnes morales.</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Enfin, nous souscrivons aux propos de notre collègue concernant les droits connexes garantis par la </w:t>
      </w:r>
      <w:r w:rsidRPr="00CB161E">
        <w:rPr>
          <w:rFonts w:cs="Times New Roman"/>
          <w:i/>
          <w:iCs/>
          <w:lang w:val="fr-CA"/>
        </w:rPr>
        <w:t>Charte</w:t>
      </w:r>
      <w:r w:rsidRPr="00CB161E">
        <w:rPr>
          <w:rFonts w:cs="Times New Roman"/>
          <w:lang w:val="fr-CA"/>
        </w:rPr>
        <w:t>.</w:t>
      </w:r>
    </w:p>
    <w:p w:rsidR="00CB161E" w:rsidRPr="007E76AD" w:rsidRDefault="00CB161E" w:rsidP="00CB161E">
      <w:pPr>
        <w:pStyle w:val="Title2LevelTitre2Niveau"/>
        <w:spacing w:before="0"/>
        <w:rPr>
          <w:rFonts w:cs="Times New Roman"/>
        </w:rPr>
      </w:pPr>
      <w:r w:rsidRPr="007E76AD">
        <w:rPr>
          <w:rFonts w:cs="Times New Roman"/>
        </w:rPr>
        <w:t xml:space="preserve">Rôle </w:t>
      </w:r>
      <w:r>
        <w:rPr>
          <w:rFonts w:cs="Times New Roman"/>
        </w:rPr>
        <w:t xml:space="preserve">approprié </w:t>
      </w:r>
      <w:r w:rsidRPr="007E76AD">
        <w:rPr>
          <w:rFonts w:cs="Times New Roman"/>
        </w:rPr>
        <w:t>du droit international et du droit comparé dans l’interprétation de la</w:t>
      </w:r>
      <w:r w:rsidRPr="007E76AD">
        <w:rPr>
          <w:rFonts w:cs="Times New Roman"/>
          <w:i w:val="0"/>
        </w:rPr>
        <w:t xml:space="preserve"> </w:t>
      </w:r>
      <w:r w:rsidRPr="007E76AD">
        <w:rPr>
          <w:rFonts w:cs="Times New Roman"/>
        </w:rPr>
        <w:t>Charte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lastRenderedPageBreak/>
        <w:t>Là où nous divergeons fondamentalement d’opinions avec notre collègue la juge Abella, c’est quant à l’importance qu’elle accorde au droit international et au droit comparé dans le processus d’interprétation. Nous estimons que l’approche qu’elle préconise s’écarte de façon importante et injustifiée de la jurisprudence de la Cour. Plus particulièrement, son affirmation selon laquelle toutes les sources de droit international et de droit comparé se sont révélées être des outils d’interprétation « indispensables » en matière d’interprétation constitutionnelle au Canada (par. 100) ne tient pas la route lorsque l’on considère la jurisprudence de la Cour ainsi que le rôle et le poids variés que cette jurisprudence a accordés à différents types d’instruments.</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En tant que document constitutionnel [</w:t>
      </w:r>
      <w:r w:rsidRPr="00CB161E">
        <w:rPr>
          <w:rFonts w:cs="Times New Roman"/>
          <w:smallCaps/>
          <w:lang w:val="fr-CA"/>
        </w:rPr>
        <w:t>traduction</w:t>
      </w:r>
      <w:r w:rsidRPr="00CB161E">
        <w:rPr>
          <w:rFonts w:cs="Times New Roman"/>
          <w:lang w:val="fr-CA"/>
        </w:rPr>
        <w:t xml:space="preserve">] « fait au Canada » (premier ministre Pierre Elliot Trudeau, </w:t>
      </w:r>
      <w:r w:rsidRPr="00CB161E">
        <w:rPr>
          <w:rFonts w:cs="Times New Roman"/>
          <w:i/>
          <w:szCs w:val="24"/>
          <w:lang w:val="fr-CA"/>
        </w:rPr>
        <w:t>Conférence fédérale</w:t>
      </w:r>
      <w:r w:rsidRPr="00CB161E">
        <w:rPr>
          <w:rFonts w:cs="Times New Roman"/>
          <w:i/>
          <w:szCs w:val="24"/>
          <w:lang w:val="fr-CA"/>
        </w:rPr>
        <w:noBreakHyphen/>
        <w:t>provinciale des premiers ministres sur la Constitution</w:t>
      </w:r>
      <w:r w:rsidRPr="00CB161E">
        <w:rPr>
          <w:rFonts w:cs="Times New Roman"/>
          <w:lang w:val="fr-CA"/>
        </w:rPr>
        <w:t xml:space="preserve"> (séance du matin du 2 novembre 1981), p. 10), la </w:t>
      </w:r>
      <w:r w:rsidRPr="00CB161E">
        <w:rPr>
          <w:rFonts w:cs="Times New Roman"/>
          <w:i/>
          <w:lang w:val="fr-CA"/>
        </w:rPr>
        <w:t>Charte</w:t>
      </w:r>
      <w:r w:rsidRPr="00CB161E">
        <w:rPr>
          <w:rFonts w:cs="Times New Roman"/>
          <w:lang w:val="fr-CA"/>
        </w:rPr>
        <w:t xml:space="preserve"> et ses dispositions sont interprétées avant tout au regard du droit et de l’histoire du Canada.</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L’interprétation téléologique élaborée dans l’arrêt </w:t>
      </w:r>
      <w:r w:rsidRPr="00CB161E">
        <w:rPr>
          <w:rFonts w:cs="Times New Roman"/>
          <w:i/>
          <w:szCs w:val="24"/>
          <w:lang w:val="fr-CA"/>
        </w:rPr>
        <w:t xml:space="preserve">Big M Drug Mart </w:t>
      </w:r>
      <w:r w:rsidRPr="00CB161E">
        <w:rPr>
          <w:rFonts w:cs="Times New Roman"/>
          <w:szCs w:val="24"/>
          <w:lang w:val="fr-CA"/>
        </w:rPr>
        <w:t>n’y a rien changé.</w:t>
      </w:r>
      <w:r w:rsidRPr="00CB161E">
        <w:rPr>
          <w:rFonts w:cs="Times New Roman"/>
          <w:lang w:val="fr-CA"/>
        </w:rPr>
        <w:t xml:space="preserve"> Cet arrêt ne se réfère aucunement au droit international et au droit comparé, si ce n’est lorsqu’il est question des origines historiques des concepts enchâssés dans la </w:t>
      </w:r>
      <w:r w:rsidRPr="00CB161E">
        <w:rPr>
          <w:rFonts w:cs="Times New Roman"/>
          <w:i/>
          <w:szCs w:val="24"/>
          <w:lang w:val="fr-CA"/>
        </w:rPr>
        <w:t>Charte</w:t>
      </w:r>
      <w:r w:rsidRPr="00CB161E">
        <w:rPr>
          <w:rFonts w:cs="Times New Roman"/>
          <w:lang w:val="fr-CA"/>
        </w:rPr>
        <w:t>.</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Bien que la Cour accepte de façon générale que les normes internationales </w:t>
      </w:r>
      <w:r w:rsidRPr="00CB161E">
        <w:rPr>
          <w:rFonts w:cs="Times New Roman"/>
          <w:i/>
          <w:iCs/>
          <w:lang w:val="fr-CA"/>
        </w:rPr>
        <w:t>peuvent</w:t>
      </w:r>
      <w:r w:rsidRPr="00CB161E">
        <w:rPr>
          <w:rFonts w:cs="Times New Roman"/>
          <w:lang w:val="fr-CA"/>
        </w:rPr>
        <w:t xml:space="preserve"> être prises en compte dans l’interprétation de normes nationales, ces normes internationales jouent habituellement un rôle limité consistant à </w:t>
      </w:r>
      <w:r w:rsidRPr="00CB161E">
        <w:rPr>
          <w:rFonts w:cs="Times New Roman"/>
          <w:i/>
          <w:iCs/>
          <w:lang w:val="fr-CA"/>
        </w:rPr>
        <w:t>appuyer</w:t>
      </w:r>
      <w:r w:rsidRPr="00CB161E">
        <w:rPr>
          <w:rFonts w:cs="Times New Roman"/>
          <w:lang w:val="fr-CA"/>
        </w:rPr>
        <w:t xml:space="preserve"> ou à </w:t>
      </w:r>
      <w:r w:rsidRPr="00CB161E">
        <w:rPr>
          <w:rFonts w:cs="Times New Roman"/>
          <w:i/>
          <w:iCs/>
          <w:lang w:val="fr-CA"/>
        </w:rPr>
        <w:t>confirmer</w:t>
      </w:r>
      <w:r w:rsidRPr="00CB161E">
        <w:rPr>
          <w:rFonts w:cs="Times New Roman"/>
          <w:lang w:val="fr-CA"/>
        </w:rPr>
        <w:t xml:space="preserve"> </w:t>
      </w:r>
      <w:r w:rsidRPr="00CB161E">
        <w:rPr>
          <w:rFonts w:cs="Times New Roman"/>
          <w:lang w:val="fr-CA"/>
        </w:rPr>
        <w:lastRenderedPageBreak/>
        <w:t xml:space="preserve">le résultat auquel arrive le tribunal au moyen d’une interprétation téléologique. Cette constatation est logique, car les tribunaux canadiens appelés à interpréter la </w:t>
      </w:r>
      <w:r w:rsidRPr="00CB161E">
        <w:rPr>
          <w:rFonts w:cs="Times New Roman"/>
          <w:i/>
          <w:iCs/>
          <w:lang w:val="fr-CA"/>
        </w:rPr>
        <w:t>Charte</w:t>
      </w:r>
      <w:r w:rsidRPr="00CB161E">
        <w:rPr>
          <w:rFonts w:cs="Times New Roman"/>
          <w:lang w:val="fr-CA"/>
        </w:rPr>
        <w:t xml:space="preserve"> ne sont pas liés par le contenu des normes internationales. C</w:t>
      </w:r>
      <w:r w:rsidR="00951C33">
        <w:rPr>
          <w:rFonts w:cs="Times New Roman"/>
          <w:lang w:val="fr-CA"/>
        </w:rPr>
        <w:t>omme l’expliquent le professeur</w:t>
      </w:r>
      <w:r w:rsidRPr="00CB161E">
        <w:rPr>
          <w:rFonts w:cs="Times New Roman"/>
          <w:lang w:val="fr-CA"/>
        </w:rPr>
        <w:t xml:space="preserve"> Beaulac et le docteur en droit Bérard :</w:t>
      </w:r>
    </w:p>
    <w:p w:rsidR="00CB161E" w:rsidRPr="007E76AD" w:rsidRDefault="00CB161E" w:rsidP="00CB161E">
      <w:pPr>
        <w:pStyle w:val="Citation-AltC"/>
        <w:spacing w:after="240"/>
        <w:ind w:hanging="446"/>
        <w:contextualSpacing w:val="0"/>
      </w:pPr>
      <w:r w:rsidRPr="007E76AD">
        <w:tab/>
        <w:t xml:space="preserve">En plus de dénaturer le lien relationnel entre les ordres juridiques international et interne, </w:t>
      </w:r>
      <w:r w:rsidRPr="007E76AD">
        <w:rPr>
          <w:u w:val="single"/>
        </w:rPr>
        <w:t>la suggestion que les tribunaux nationaux sont liés par la normativité internationale est incompatible avec le mandat constitutionnel et la fonction du pouvoir judiciaire</w:t>
      </w:r>
      <w:r w:rsidRPr="007E76AD">
        <w:t>, qui est d’exercer un pouvoir décisionnel eu égard au droit canadien et québécois applicable. Voir le droit international comme jouissant d’une autorité persuasive s’avère être une approche plus adéquate, conforme et efficace.</w:t>
      </w:r>
    </w:p>
    <w:p w:rsidR="00CB161E" w:rsidRPr="007E76AD" w:rsidRDefault="00CB161E" w:rsidP="00CB161E">
      <w:pPr>
        <w:pStyle w:val="Citation-AltC"/>
        <w:tabs>
          <w:tab w:val="left" w:pos="4144"/>
        </w:tabs>
        <w:spacing w:after="240"/>
        <w:ind w:left="4590" w:hanging="446"/>
        <w:contextualSpacing w:val="0"/>
      </w:pPr>
      <w:r w:rsidRPr="007E76AD">
        <w:tab/>
        <w:t>. . .</w:t>
      </w:r>
    </w:p>
    <w:p w:rsidR="00CB161E" w:rsidRPr="007E76AD" w:rsidRDefault="00CB161E" w:rsidP="005564CA">
      <w:pPr>
        <w:pStyle w:val="Citation-AltC"/>
        <w:tabs>
          <w:tab w:val="left" w:pos="1440"/>
        </w:tabs>
        <w:spacing w:after="480"/>
        <w:contextualSpacing w:val="0"/>
        <w:rPr>
          <w:u w:val="single"/>
        </w:rPr>
      </w:pPr>
      <w:r w:rsidRPr="007E76AD">
        <w:tab/>
        <w:t xml:space="preserve">. . . </w:t>
      </w:r>
      <w:r>
        <w:t>m</w:t>
      </w:r>
      <w:r w:rsidRPr="007E76AD">
        <w:t xml:space="preserve">ême si elle n’est aucunement contraignante en droit interne, ce que la normativité internationale peut faire et, à vrai dire, devrait faire lorsque les circonstances s’y prêtent, est </w:t>
      </w:r>
      <w:r w:rsidRPr="007E76AD">
        <w:rPr>
          <w:u w:val="single"/>
        </w:rPr>
        <w:t>d’influencer l’interprétation et l’application du droit national par nos tribunaux</w:t>
      </w:r>
      <w:r w:rsidRPr="00702690">
        <w:t>.</w:t>
      </w:r>
      <w:r w:rsidRPr="007E76AD">
        <w:t xml:space="preserve"> Sauf pour quelques fervents zélés de la cause internationaliste, on s’entend généralement que, à ce titre, le critère de référence au droit international en droit interne est celui « d’autorité persuasive ».</w:t>
      </w:r>
      <w:r w:rsidR="005564CA">
        <w:t xml:space="preserve"> </w:t>
      </w:r>
      <w:r w:rsidR="005564CA" w:rsidRPr="00CB161E">
        <w:t>[</w:t>
      </w:r>
      <w:r w:rsidR="005564CA">
        <w:t>N</w:t>
      </w:r>
      <w:r w:rsidR="005564CA" w:rsidRPr="007E76AD">
        <w:t>ous soulignons; notes en bas de page omises</w:t>
      </w:r>
      <w:r w:rsidR="005564CA">
        <w:t>.</w:t>
      </w:r>
      <w:r w:rsidR="005564CA" w:rsidRPr="00CB161E">
        <w:t>]</w:t>
      </w:r>
    </w:p>
    <w:p w:rsidR="00CB161E" w:rsidRPr="007E76AD" w:rsidRDefault="005564CA" w:rsidP="005564CA">
      <w:pPr>
        <w:pStyle w:val="Citation-AltC"/>
        <w:ind w:left="0"/>
        <w:contextualSpacing w:val="0"/>
        <w:rPr>
          <w:szCs w:val="22"/>
        </w:rPr>
      </w:pPr>
      <w:r>
        <w:t>(</w:t>
      </w:r>
      <w:r w:rsidR="00CB161E" w:rsidRPr="007E76AD">
        <w:rPr>
          <w:i/>
        </w:rPr>
        <w:t>Précis d’interprétation législative</w:t>
      </w:r>
      <w:r w:rsidR="00CB161E" w:rsidRPr="007E76AD">
        <w:t xml:space="preserve"> (2</w:t>
      </w:r>
      <w:r w:rsidR="00CB161E" w:rsidRPr="007E76AD">
        <w:rPr>
          <w:vertAlign w:val="superscript"/>
        </w:rPr>
        <w:t>e</w:t>
      </w:r>
      <w:r w:rsidR="00CB161E" w:rsidRPr="007E76AD">
        <w:t> éd. 2014), chapitre 5, par. 5 et 36)</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De surcroît, même dans ce rôle limité d’appui ou de confirmation, le poids et la valeur persuasive de chacune de ces normes dans l’analyse dépendent de la nature de la source et de son rapport avec notre Constitution. La raison de cet état de choses est la nécessité de préserver l’intégrité de la structure constitutionnelle canadienne et la souveraineté du Canada. Suivant la mise en garde formulée par la Cour dans l’arrêt </w:t>
      </w:r>
      <w:r w:rsidRPr="00CB161E">
        <w:rPr>
          <w:rFonts w:cs="Times New Roman"/>
          <w:i/>
          <w:iCs/>
          <w:lang w:val="fr-CA"/>
        </w:rPr>
        <w:t>Kazemi (Succession) c. République islamique d’Iran</w:t>
      </w:r>
      <w:r w:rsidRPr="00CB161E">
        <w:rPr>
          <w:rFonts w:cs="Times New Roman"/>
          <w:lang w:val="fr-CA"/>
        </w:rPr>
        <w:t xml:space="preserve">, 2014 CSC 62, [2014] 3 R.C.S. 176, « [l]’interaction entre le droit national et le droit international doit être </w:t>
      </w:r>
      <w:r w:rsidRPr="00CB161E">
        <w:rPr>
          <w:rFonts w:cs="Times New Roman"/>
          <w:lang w:val="fr-CA"/>
        </w:rPr>
        <w:lastRenderedPageBreak/>
        <w:t>gérée avec soin, à la lumière des principes régissant ce qui demeure un système dualiste d’application du droit international et une démocratie constitutionnelle et parlementaire » : par. 150.</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Quoique la Cour prenne soin d’accorder le poids adéquat au droit international et au droit comparé dans l’interprétation de la </w:t>
      </w:r>
      <w:r w:rsidRPr="00CB161E">
        <w:rPr>
          <w:rFonts w:cs="Times New Roman"/>
          <w:i/>
          <w:lang w:val="fr-CA"/>
        </w:rPr>
        <w:t>Charte</w:t>
      </w:r>
      <w:r w:rsidRPr="00CB161E">
        <w:rPr>
          <w:rFonts w:cs="Times New Roman"/>
          <w:lang w:val="fr-CA"/>
        </w:rPr>
        <w:t xml:space="preserve">, elle n’a pas toujours expliqué comment ou pourquoi certaines sources internationales sont examinées ou utilisées, alors que d’autres ne le sont pas. Il en découle une absence de clarté, voire une confusion, auxquelles ajoute selon nous, cela dit avec égards, notre collègue la juge Abella lorsqu’elle puise indistinctement dans différents instruments juridiques contraignants </w:t>
      </w:r>
      <w:r w:rsidRPr="00CB161E">
        <w:rPr>
          <w:rFonts w:cs="Times New Roman"/>
          <w:i/>
          <w:iCs/>
          <w:lang w:val="fr-CA"/>
        </w:rPr>
        <w:t>et</w:t>
      </w:r>
      <w:r w:rsidRPr="00CB161E">
        <w:rPr>
          <w:rFonts w:cs="Times New Roman"/>
          <w:lang w:val="fr-CA"/>
        </w:rPr>
        <w:t xml:space="preserve"> non contraignants, dans des instruments antérieurs </w:t>
      </w:r>
      <w:r w:rsidRPr="00CB161E">
        <w:rPr>
          <w:rFonts w:cs="Times New Roman"/>
          <w:i/>
          <w:iCs/>
          <w:lang w:val="fr-CA"/>
        </w:rPr>
        <w:t>et</w:t>
      </w:r>
      <w:r w:rsidRPr="00CB161E">
        <w:rPr>
          <w:rFonts w:cs="Times New Roman"/>
          <w:lang w:val="fr-CA"/>
        </w:rPr>
        <w:t xml:space="preserve"> postérieurs à la </w:t>
      </w:r>
      <w:r w:rsidRPr="00CB161E">
        <w:rPr>
          <w:rFonts w:cs="Times New Roman"/>
          <w:i/>
          <w:iCs/>
          <w:lang w:val="fr-CA"/>
        </w:rPr>
        <w:t>Charte</w:t>
      </w:r>
      <w:r w:rsidRPr="00CB161E">
        <w:rPr>
          <w:rFonts w:cs="Times New Roman"/>
          <w:lang w:val="fr-CA"/>
        </w:rPr>
        <w:t xml:space="preserve">, ainsi que dans des décisions de tribunaux internationaux </w:t>
      </w:r>
      <w:r w:rsidRPr="00CB161E">
        <w:rPr>
          <w:rFonts w:cs="Times New Roman"/>
          <w:i/>
          <w:lang w:val="fr-CA"/>
        </w:rPr>
        <w:t>et</w:t>
      </w:r>
      <w:r w:rsidRPr="00CB161E">
        <w:rPr>
          <w:rFonts w:cs="Times New Roman"/>
          <w:lang w:val="fr-CA"/>
        </w:rPr>
        <w:t xml:space="preserve"> de tribunaux nationaux étrangers pour conclure que, combinées ensemble, ces sources représentent un « consensus international [qui n’est] pas déterminant quant au résultat, [mais] apporte néanmoins un appui convaincant et pertinent sur le plan de l’interprétation » : par. 107.</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Comme nous le verrons, les divers instruments et la jurisprudence examinés par notre collègue la juge Abella jouent des rôles différents dans l’analyse, et le poids qui leur est accordé est différent. Le fait de traiter tous ces éléments de la même manière — affirmant que chacun est « indispensable » et apporte un « appui convaincant et pertinent sur le plan de l’interprétation » (par. 100 et 107) — risque en fait de </w:t>
      </w:r>
      <w:r w:rsidRPr="00CB161E">
        <w:rPr>
          <w:rFonts w:cs="Times New Roman"/>
          <w:i/>
          <w:iCs/>
          <w:lang w:val="fr-CA"/>
        </w:rPr>
        <w:t>miner</w:t>
      </w:r>
      <w:r w:rsidRPr="00CB161E">
        <w:rPr>
          <w:rFonts w:cs="Times New Roman"/>
          <w:lang w:val="fr-CA"/>
        </w:rPr>
        <w:t xml:space="preserve"> l’importance des obligations internationales du Canada :</w:t>
      </w:r>
    </w:p>
    <w:p w:rsidR="00CB161E" w:rsidRDefault="00CB161E" w:rsidP="00F40F09">
      <w:pPr>
        <w:pStyle w:val="Citation-AltC"/>
        <w:spacing w:after="480"/>
        <w:ind w:hanging="446"/>
        <w:contextualSpacing w:val="0"/>
      </w:pPr>
      <w:r w:rsidRPr="007E76AD">
        <w:lastRenderedPageBreak/>
        <w:tab/>
        <w:t>[</w:t>
      </w:r>
      <w:r w:rsidRPr="007E76AD">
        <w:rPr>
          <w:smallCaps/>
        </w:rPr>
        <w:t>traduction</w:t>
      </w:r>
      <w:r w:rsidRPr="007E76AD">
        <w:t xml:space="preserve">] La tentation peut être grande de traiter toutes les sources de droit international, qu’elles soient contraignantes ou non pour le Canada, comme de l’« information facultative » et de faire abstraction du fardeau d’interprétation particulier que fait peser sur les tribunaux la présomption de conformité aux obligations internationales du Canada. </w:t>
      </w:r>
      <w:r w:rsidRPr="007E76AD">
        <w:rPr>
          <w:u w:val="single"/>
        </w:rPr>
        <w:t>Il y a une grande différence entre les règles de droit international qui lient le Canada et les autres normes internationales. Les premières sont non seulement potentiellement persuasives, mais également obligatoires. Cette distinction a son importance — si nous ne respectons pas nos obligations, nous minons le respect à l’égard du droit à l’échelle internationale</w:t>
      </w:r>
      <w:r w:rsidRPr="00F40F09">
        <w:rPr>
          <w:u w:val="single"/>
        </w:rPr>
        <w:t>.</w:t>
      </w:r>
      <w:r w:rsidRPr="007E76AD">
        <w:t xml:space="preserve"> La distinction permet également de justifier la présomption traditionnelle, en common law, de conformité aux obligations internationales du Canada, ainsi que le traitement différencié de normes internationales qui ne sont pas juridiquement contraignantes pour le Canada.</w:t>
      </w:r>
      <w:r w:rsidR="00F40F09" w:rsidRPr="00F40F09">
        <w:t xml:space="preserve"> </w:t>
      </w:r>
      <w:r w:rsidR="00F40F09" w:rsidRPr="00CB161E">
        <w:t>[</w:t>
      </w:r>
      <w:r w:rsidR="00F40F09">
        <w:t>N</w:t>
      </w:r>
      <w:r w:rsidR="00F40F09" w:rsidRPr="007E76AD">
        <w:t>ous soulignons</w:t>
      </w:r>
      <w:r w:rsidR="00F40F09">
        <w:t>.</w:t>
      </w:r>
      <w:r w:rsidR="00F40F09" w:rsidRPr="00CB161E">
        <w:t>]</w:t>
      </w:r>
    </w:p>
    <w:p w:rsidR="00CB161E" w:rsidRPr="007E76AD" w:rsidRDefault="00CB161E" w:rsidP="00CB161E">
      <w:pPr>
        <w:pStyle w:val="Citation-AltC"/>
        <w:ind w:hanging="446"/>
      </w:pPr>
    </w:p>
    <w:p w:rsidR="00CB161E" w:rsidRPr="00951C33" w:rsidRDefault="00CB161E" w:rsidP="00F40F09">
      <w:pPr>
        <w:pStyle w:val="Citation-AltC"/>
        <w:ind w:left="0"/>
        <w:contextualSpacing w:val="0"/>
        <w:rPr>
          <w:lang w:val="en-CA"/>
        </w:rPr>
      </w:pPr>
      <w:r w:rsidRPr="00951C33">
        <w:rPr>
          <w:lang w:val="en-CA"/>
        </w:rPr>
        <w:t>(J. Brunnée et S. J. Toope, « A Hesitant Embrace</w:t>
      </w:r>
      <w:r w:rsidR="00F40F09" w:rsidRPr="00951C33">
        <w:rPr>
          <w:lang w:val="en-CA"/>
        </w:rPr>
        <w:t> </w:t>
      </w:r>
      <w:r w:rsidRPr="00951C33">
        <w:rPr>
          <w:lang w:val="en-CA"/>
        </w:rPr>
        <w:t xml:space="preserve">: The Application of International Law by Canadian Courts » (2002), 40 </w:t>
      </w:r>
      <w:r w:rsidRPr="00951C33">
        <w:rPr>
          <w:i/>
          <w:lang w:val="en-CA"/>
        </w:rPr>
        <w:t>Can</w:t>
      </w:r>
      <w:r w:rsidR="00951C33" w:rsidRPr="00951C33">
        <w:rPr>
          <w:i/>
          <w:lang w:val="en-CA"/>
        </w:rPr>
        <w:t>.</w:t>
      </w:r>
      <w:r w:rsidRPr="00951C33">
        <w:rPr>
          <w:i/>
          <w:lang w:val="en-CA"/>
        </w:rPr>
        <w:t xml:space="preserve"> Y.B. Intl Law</w:t>
      </w:r>
      <w:r w:rsidR="00F40F09" w:rsidRPr="00951C33">
        <w:rPr>
          <w:lang w:val="en-CA"/>
        </w:rPr>
        <w:t xml:space="preserve"> 3, p. 41</w:t>
      </w:r>
      <w:r w:rsidRPr="00951C33">
        <w:rPr>
          <w:lang w:val="en-CA"/>
        </w:rPr>
        <w:t xml:space="preserve">; voir aussi J. H. Currie, </w:t>
      </w:r>
      <w:r w:rsidRPr="00951C33">
        <w:rPr>
          <w:i/>
          <w:lang w:val="en-CA"/>
        </w:rPr>
        <w:t>Public International Law</w:t>
      </w:r>
      <w:r w:rsidRPr="00951C33">
        <w:rPr>
          <w:lang w:val="en-CA"/>
        </w:rPr>
        <w:t xml:space="preserve"> (2</w:t>
      </w:r>
      <w:r w:rsidRPr="00951C33">
        <w:rPr>
          <w:vertAlign w:val="superscript"/>
          <w:lang w:val="en-CA"/>
        </w:rPr>
        <w:t>e</w:t>
      </w:r>
      <w:r w:rsidRPr="00951C33">
        <w:rPr>
          <w:lang w:val="en-CA"/>
        </w:rPr>
        <w:t> éd. 2008), p. 260.)</w:t>
      </w:r>
    </w:p>
    <w:p w:rsidR="00CB161E" w:rsidRPr="00B72A3F"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Nous ne sommes pas les seuls à exprimer des réserves concernant la nécessité de structurer la façon de se référer aux sources internationales et étrangères. Des commentateurs réclament des éclaircissements à cet égard, soulignant que les tribunaux devraient faire preuve d’une [</w:t>
      </w:r>
      <w:r w:rsidRPr="00CB161E">
        <w:rPr>
          <w:rFonts w:cs="Times New Roman"/>
          <w:smallCaps/>
          <w:lang w:val="fr-CA"/>
        </w:rPr>
        <w:t>traduction</w:t>
      </w:r>
      <w:r w:rsidRPr="00CB161E">
        <w:rPr>
          <w:rFonts w:cs="Times New Roman"/>
          <w:lang w:val="fr-CA"/>
        </w:rPr>
        <w:t>] « plus grande rigueur analytique » et « aborder le droit international d’une manière cohérente et raisonnée, en précisant clairement quel est l’effet accordé au droit international dans une affaire donnée et pourquoi » : Brunnée et Toope, p. 8; voir aussi l’honorable juge R. G. Juriansz, « International Law and Canadian Courts</w:t>
      </w:r>
      <w:r w:rsidR="00B72A3F">
        <w:rPr>
          <w:rFonts w:cs="Times New Roman"/>
          <w:lang w:val="fr-CA"/>
        </w:rPr>
        <w:t> </w:t>
      </w:r>
      <w:r w:rsidRPr="00CB161E">
        <w:rPr>
          <w:rFonts w:cs="Times New Roman"/>
          <w:lang w:val="fr-CA"/>
        </w:rPr>
        <w:t xml:space="preserve">: A Work in Progress » (2008), 25 </w:t>
      </w:r>
      <w:r w:rsidR="00951C33">
        <w:rPr>
          <w:rFonts w:cs="Times New Roman"/>
          <w:i/>
          <w:lang w:val="fr-CA"/>
        </w:rPr>
        <w:t>R.N.D.C.</w:t>
      </w:r>
      <w:r w:rsidRPr="00CB161E">
        <w:rPr>
          <w:rFonts w:cs="Times New Roman"/>
          <w:i/>
          <w:lang w:val="fr-CA"/>
        </w:rPr>
        <w:t xml:space="preserve"> </w:t>
      </w:r>
      <w:r w:rsidRPr="00CB161E">
        <w:rPr>
          <w:rFonts w:cs="Times New Roman"/>
          <w:lang w:val="fr-CA"/>
        </w:rPr>
        <w:t xml:space="preserve">171, p. 176 et 178. </w:t>
      </w:r>
      <w:r w:rsidRPr="00B72A3F">
        <w:rPr>
          <w:rFonts w:cs="Times New Roman"/>
          <w:lang w:val="fr-CA"/>
        </w:rPr>
        <w:t>Les aspects particuliers nécessitant des éclaircissements sont notamment :</w:t>
      </w:r>
    </w:p>
    <w:p w:rsidR="00CB161E" w:rsidRDefault="00CB161E" w:rsidP="00F604C1">
      <w:pPr>
        <w:pStyle w:val="Citation-AltC"/>
        <w:spacing w:after="480"/>
        <w:ind w:hanging="446"/>
        <w:contextualSpacing w:val="0"/>
      </w:pPr>
      <w:r w:rsidRPr="007E76AD">
        <w:tab/>
        <w:t>[</w:t>
      </w:r>
      <w:r w:rsidRPr="007E76AD">
        <w:rPr>
          <w:smallCaps/>
        </w:rPr>
        <w:t>traduction</w:t>
      </w:r>
      <w:r w:rsidRPr="007E76AD">
        <w:t>]</w:t>
      </w:r>
      <w:r>
        <w:t xml:space="preserve"> . . </w:t>
      </w:r>
      <w:r w:rsidRPr="007E76AD">
        <w:t xml:space="preserve">. les normes en fonction desquelles les tribunaux déterminent si les traités ont été mis en œuvre; le rôle que les sources non </w:t>
      </w:r>
      <w:r w:rsidRPr="007E76AD">
        <w:lastRenderedPageBreak/>
        <w:t>contraignantes (par exemple les traités que le Canada a signés, mais n’a pas ratifiés, ceux qu’il n’a ni signés ni ratifiés, ou les instruments de « droit souple ») devraient jouer dans l’interprétation du droit interne; et la question de savoir si ces diverses catégories de sources non contraignantes devraient être traitées différemment les unes des autres ou eu égard aux obligations juridiques internationales contraignantes du Canada.</w:t>
      </w:r>
    </w:p>
    <w:p w:rsidR="00CB161E" w:rsidRPr="007E76AD" w:rsidRDefault="00CB161E" w:rsidP="00F604C1">
      <w:pPr>
        <w:pStyle w:val="Citation-AltC"/>
        <w:ind w:left="0"/>
        <w:contextualSpacing w:val="0"/>
      </w:pPr>
      <w:r w:rsidRPr="007E76AD">
        <w:t>(Currie, p. 262)</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Un cadre raisonné d’analyse est donc nécessaire et souhaitable, à la fois pour reconnaître adéquatement les obligations internationales du Canada et pour fournir des indications claires et cohérentes aux tribunaux et aux plaideurs. L’établissement d’une méthodologie de prise en compte des sources de droit international et de droit comparé permet d’indiquer comment notre Cour a traité ces sources en pratique, en plus de procurer direction et clarté. Étant donné la question soulevée en l’espèce, nous nous concentrons sur le recours au droit international et au droit comparé dans l’interprétation constitutionnelle.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La Cour a reconnu que le droit international et le droit comparé jouent un rôle dans l’interprétation des droits garantis par la </w:t>
      </w:r>
      <w:r w:rsidRPr="00CB161E">
        <w:rPr>
          <w:rFonts w:cs="Times New Roman"/>
          <w:i/>
          <w:iCs/>
          <w:lang w:val="fr-CA"/>
        </w:rPr>
        <w:t>Charte</w:t>
      </w:r>
      <w:r w:rsidRPr="00CB161E">
        <w:rPr>
          <w:rFonts w:cs="Times New Roman"/>
          <w:lang w:val="fr-CA"/>
        </w:rPr>
        <w:t xml:space="preserve">. Cependant, ce rôle a comme il se doit consisté à </w:t>
      </w:r>
      <w:r w:rsidRPr="00CB161E">
        <w:rPr>
          <w:rFonts w:cs="Times New Roman"/>
          <w:i/>
          <w:iCs/>
          <w:lang w:val="fr-CA"/>
        </w:rPr>
        <w:t>appuyer</w:t>
      </w:r>
      <w:r w:rsidRPr="00CB161E">
        <w:rPr>
          <w:rFonts w:cs="Times New Roman"/>
          <w:lang w:val="fr-CA"/>
        </w:rPr>
        <w:t xml:space="preserve"> ou à </w:t>
      </w:r>
      <w:r w:rsidRPr="00CB161E">
        <w:rPr>
          <w:rFonts w:cs="Times New Roman"/>
          <w:i/>
          <w:iCs/>
          <w:lang w:val="fr-CA"/>
        </w:rPr>
        <w:t>confirmer</w:t>
      </w:r>
      <w:r w:rsidRPr="00CB161E">
        <w:rPr>
          <w:rFonts w:cs="Times New Roman"/>
          <w:lang w:val="fr-CA"/>
        </w:rPr>
        <w:t xml:space="preserve"> une interprétation dégagée en appliquant la démarche établie dans l’arrêt </w:t>
      </w:r>
      <w:r w:rsidRPr="00CB161E">
        <w:rPr>
          <w:rFonts w:cs="Times New Roman"/>
          <w:i/>
          <w:iCs/>
          <w:lang w:val="fr-CA"/>
        </w:rPr>
        <w:t>Big M Drug Mart</w:t>
      </w:r>
      <w:r w:rsidRPr="00CB161E">
        <w:rPr>
          <w:rFonts w:cs="Times New Roman"/>
          <w:lang w:val="fr-CA"/>
        </w:rPr>
        <w:t xml:space="preserve">; la Cour n’a jamais eu recours à de tels outils pour définir la portée des droits garantis par la </w:t>
      </w:r>
      <w:r w:rsidRPr="00CB161E">
        <w:rPr>
          <w:rFonts w:cs="Times New Roman"/>
          <w:i/>
          <w:iCs/>
          <w:lang w:val="fr-CA"/>
        </w:rPr>
        <w:t>Charte</w:t>
      </w:r>
      <w:r w:rsidRPr="00CB161E">
        <w:rPr>
          <w:rFonts w:cs="Times New Roman"/>
          <w:lang w:val="fr-CA"/>
        </w:rPr>
        <w:t>. Avec égards, l’approche de notre collègue la juge Abella s’écarte de façon marquée et inquiétante de cette pratique prudente.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lastRenderedPageBreak/>
        <w:t>Notre Cour prend soin (généralement, mais non systématiquement) de préciser la valeur normative et le poids des différents types de sources internationales. L’approche de notre collègue la juge Abella abandonne tout simplement cette importante pratique.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Les indications fournies par le juge en chef Dickson dans </w:t>
      </w:r>
      <w:r w:rsidRPr="00CB161E">
        <w:rPr>
          <w:rFonts w:cs="Times New Roman"/>
          <w:i/>
          <w:lang w:val="fr-CA"/>
        </w:rPr>
        <w:t>Re PSERA</w:t>
      </w:r>
      <w:r w:rsidRPr="00CB161E">
        <w:rPr>
          <w:rFonts w:cs="Times New Roman"/>
          <w:lang w:val="fr-CA"/>
        </w:rPr>
        <w:t xml:space="preserve"> constituent un point de départ utile. Bien qu’exposée dans une opinion dissidente, son approche à l’égard du droit international et du droit comparé façonne depuis lors la manière dont notre Cour traite ces sources. Dans son examen de la portée de l’al. 2</w:t>
      </w:r>
      <w:r w:rsidRPr="00CB161E">
        <w:rPr>
          <w:rFonts w:cs="Times New Roman"/>
          <w:i/>
          <w:lang w:val="fr-CA"/>
        </w:rPr>
        <w:t>d</w:t>
      </w:r>
      <w:r w:rsidRPr="00CB161E">
        <w:rPr>
          <w:rFonts w:cs="Times New Roman"/>
          <w:lang w:val="fr-CA"/>
        </w:rPr>
        <w:t xml:space="preserve">) de la </w:t>
      </w:r>
      <w:r w:rsidRPr="00CB161E">
        <w:rPr>
          <w:rFonts w:cs="Times New Roman"/>
          <w:i/>
          <w:iCs/>
          <w:lang w:val="fr-CA"/>
        </w:rPr>
        <w:t>Charte</w:t>
      </w:r>
      <w:r w:rsidRPr="00CB161E">
        <w:rPr>
          <w:rFonts w:cs="Times New Roman"/>
          <w:lang w:val="fr-CA"/>
        </w:rPr>
        <w:t>, il s’est penché d’abord sur la jurisprudence canadienne et sur celle du Conseil privé, puis sur le droit des États</w:t>
      </w:r>
      <w:r w:rsidRPr="00CB161E">
        <w:rPr>
          <w:rFonts w:cs="Times New Roman"/>
          <w:lang w:val="fr-CA"/>
        </w:rPr>
        <w:noBreakHyphen/>
        <w:t>Unis</w:t>
      </w:r>
      <w:r w:rsidR="001471DA">
        <w:rPr>
          <w:rFonts w:cs="Times New Roman"/>
          <w:lang w:val="fr-CA"/>
        </w:rPr>
        <w:t xml:space="preserve"> et sur le droit international : p. 335</w:t>
      </w:r>
      <w:r w:rsidRPr="00CB161E">
        <w:rPr>
          <w:rFonts w:cs="Times New Roman"/>
          <w:lang w:val="fr-CA"/>
        </w:rPr>
        <w:t>. Relativement aux sources internationales en particulier, il a donné les explications suivantes :</w:t>
      </w:r>
    </w:p>
    <w:p w:rsidR="00CB161E" w:rsidRPr="007E76AD" w:rsidRDefault="00CB161E" w:rsidP="00CB161E">
      <w:pPr>
        <w:pStyle w:val="Citation-AltC"/>
        <w:spacing w:after="240"/>
        <w:ind w:hanging="446"/>
        <w:contextualSpacing w:val="0"/>
      </w:pPr>
      <w:r w:rsidRPr="007E76AD">
        <w:tab/>
        <w:t>Les diverses sources du droit international des droits de la personne — les déclarations, les pactes, les conventions, les décisions judiciaires et quasi judiciaires des tribunaux internationaux, et les règles coutumières —</w:t>
      </w:r>
      <w:r w:rsidRPr="007E76AD">
        <w:rPr>
          <w:u w:val="single"/>
        </w:rPr>
        <w:t xml:space="preserve">doivent, à mon avis, être considérées comme des sources </w:t>
      </w:r>
      <w:r w:rsidRPr="007E76AD">
        <w:rPr>
          <w:i/>
          <w:iCs/>
          <w:u w:val="single"/>
        </w:rPr>
        <w:t>pertinentes et persuasives</w:t>
      </w:r>
      <w:r w:rsidRPr="007E76AD">
        <w:rPr>
          <w:u w:val="single"/>
        </w:rPr>
        <w:t xml:space="preserve"> quand il s’agit d’interpréter les dispositions de la </w:t>
      </w:r>
      <w:r w:rsidRPr="007E76AD">
        <w:rPr>
          <w:i/>
          <w:iCs/>
          <w:u w:val="single"/>
        </w:rPr>
        <w:t>Charte</w:t>
      </w:r>
      <w:r w:rsidRPr="007E76AD">
        <w:t>.</w:t>
      </w:r>
    </w:p>
    <w:p w:rsidR="00CB161E" w:rsidRPr="007E76AD" w:rsidRDefault="00CB161E" w:rsidP="00CB161E">
      <w:pPr>
        <w:pStyle w:val="Citation-AltC"/>
        <w:tabs>
          <w:tab w:val="left" w:pos="1440"/>
        </w:tabs>
        <w:contextualSpacing w:val="0"/>
      </w:pPr>
      <w:r w:rsidRPr="007E76AD">
        <w:tab/>
        <w:t xml:space="preserve">En particulier, la similarité entre les principes généraux et les dispositions de la </w:t>
      </w:r>
      <w:r w:rsidRPr="007E76AD">
        <w:rPr>
          <w:i/>
          <w:iCs/>
        </w:rPr>
        <w:t>Charte</w:t>
      </w:r>
      <w:r w:rsidRPr="007E76AD">
        <w:t xml:space="preserve"> et ceux des instruments internationaux concernant les droits de la personne confère une importance considérable aux interprétations de ces instruments par des organes décisionnels, tout comme les jugements des tribunaux américains portant sur le Bill of Rights ou ceux des tribunaux d’autres ressorts sont pertinents et peuvent être persuasifs. L’importance de ces instruments pour ce qui est d’interpréter la </w:t>
      </w:r>
      <w:r w:rsidRPr="007E76AD">
        <w:rPr>
          <w:i/>
          <w:iCs/>
        </w:rPr>
        <w:t>Charte</w:t>
      </w:r>
      <w:r w:rsidRPr="007E76AD">
        <w:t xml:space="preserve"> va au</w:t>
      </w:r>
      <w:r w:rsidRPr="007E76AD">
        <w:noBreakHyphen/>
        <w:t>delà des normes élaborées par des organes décisionnels en vertu de ces instruments et touche ces instruments mêmes. [Nous soulignons; p. 348</w:t>
      </w:r>
      <w:r w:rsidRPr="007E76AD">
        <w:noBreakHyphen/>
        <w:t>349.]</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lastRenderedPageBreak/>
        <w:t xml:space="preserve">Le juge en chef Dickson a poursuivi et précisé que ces sources </w:t>
      </w:r>
      <w:r w:rsidRPr="00CB161E">
        <w:rPr>
          <w:rFonts w:cs="Times New Roman"/>
          <w:i/>
          <w:lang w:val="fr-CA"/>
        </w:rPr>
        <w:t xml:space="preserve">n’ont pas toutes </w:t>
      </w:r>
      <w:r w:rsidRPr="00CB161E">
        <w:rPr>
          <w:rFonts w:cs="Times New Roman"/>
          <w:lang w:val="fr-CA"/>
        </w:rPr>
        <w:t xml:space="preserve">le même poids dans l’interprétation de la </w:t>
      </w:r>
      <w:r w:rsidRPr="00CB161E">
        <w:rPr>
          <w:rFonts w:cs="Times New Roman"/>
          <w:i/>
          <w:iCs/>
          <w:lang w:val="fr-CA"/>
        </w:rPr>
        <w:t>Charte</w:t>
      </w:r>
      <w:r w:rsidRPr="00CB161E">
        <w:rPr>
          <w:rFonts w:cs="Times New Roman"/>
          <w:lang w:val="fr-CA"/>
        </w:rPr>
        <w:t xml:space="preserve">, déclarant « qu’il faut présumer, en général, que la </w:t>
      </w:r>
      <w:r w:rsidRPr="00CB161E">
        <w:rPr>
          <w:rFonts w:cs="Times New Roman"/>
          <w:i/>
          <w:iCs/>
          <w:lang w:val="fr-CA"/>
        </w:rPr>
        <w:t>Charte</w:t>
      </w:r>
      <w:r w:rsidRPr="00CB161E">
        <w:rPr>
          <w:rFonts w:cs="Times New Roman"/>
          <w:lang w:val="fr-CA"/>
        </w:rPr>
        <w:t xml:space="preserve"> accorde une protection à tout le moins aussi grande que celle qu’offrent les dispositions similaires </w:t>
      </w:r>
      <w:r w:rsidRPr="00CB161E">
        <w:rPr>
          <w:rFonts w:cs="Times New Roman"/>
          <w:u w:val="single"/>
          <w:lang w:val="fr-CA"/>
        </w:rPr>
        <w:t>des instruments internationaux que le Canada a ratifiés en matière de droits de la personne</w:t>
      </w:r>
      <w:r w:rsidRPr="00CB161E">
        <w:rPr>
          <w:rFonts w:cs="Times New Roman"/>
          <w:lang w:val="fr-CA"/>
        </w:rPr>
        <w:t xml:space="preserve"> » : p. 349 (nous soulignons). Cette proposition est devenue depuis un principe solidement établi en matière d’interprétation de la </w:t>
      </w:r>
      <w:r w:rsidRPr="00CB161E">
        <w:rPr>
          <w:rFonts w:cs="Times New Roman"/>
          <w:i/>
          <w:iCs/>
          <w:lang w:val="fr-CA"/>
        </w:rPr>
        <w:t>Charte</w:t>
      </w:r>
      <w:r w:rsidRPr="00CB161E">
        <w:rPr>
          <w:rFonts w:cs="Times New Roman"/>
          <w:lang w:val="fr-CA"/>
        </w:rPr>
        <w:t xml:space="preserve">, à savoir la présomption de conformité : </w:t>
      </w:r>
      <w:r w:rsidRPr="00CB161E">
        <w:rPr>
          <w:rFonts w:cs="Times New Roman"/>
          <w:i/>
          <w:iCs/>
          <w:lang w:val="fr-CA"/>
        </w:rPr>
        <w:t>Ktunaxa Nation c. Colombie</w:t>
      </w:r>
      <w:r w:rsidRPr="00CB161E">
        <w:rPr>
          <w:rFonts w:cs="Times New Roman"/>
          <w:i/>
          <w:iCs/>
          <w:lang w:val="fr-CA"/>
        </w:rPr>
        <w:noBreakHyphen/>
        <w:t xml:space="preserve">Britannique </w:t>
      </w:r>
      <w:r w:rsidRPr="00CB161E">
        <w:rPr>
          <w:rFonts w:cs="Times New Roman"/>
          <w:i/>
          <w:szCs w:val="24"/>
          <w:lang w:val="fr-CA"/>
        </w:rPr>
        <w:t>(Forests, Lands and Natural Resource Operations)</w:t>
      </w:r>
      <w:r w:rsidRPr="00CB161E">
        <w:rPr>
          <w:rFonts w:cs="Times New Roman"/>
          <w:lang w:val="fr-CA"/>
        </w:rPr>
        <w:t xml:space="preserve">, 2017 CSC 54, [2017] 2 R.C.S. 386, par. 65; </w:t>
      </w:r>
      <w:r w:rsidR="00F46F9E">
        <w:rPr>
          <w:rFonts w:cs="Times New Roman"/>
          <w:i/>
          <w:lang w:val="fr-CA"/>
        </w:rPr>
        <w:t>Inde</w:t>
      </w:r>
      <w:r w:rsidRPr="00CB161E">
        <w:rPr>
          <w:rFonts w:cs="Times New Roman"/>
          <w:i/>
          <w:lang w:val="fr-CA"/>
        </w:rPr>
        <w:t xml:space="preserve"> c. Badesha</w:t>
      </w:r>
      <w:r w:rsidRPr="00CB161E">
        <w:rPr>
          <w:rFonts w:cs="Times New Roman"/>
          <w:lang w:val="fr-CA"/>
        </w:rPr>
        <w:t xml:space="preserve">, 2017 CSC 44, [2017] 2 R.C.S. 127, par. 38; </w:t>
      </w:r>
      <w:r w:rsidRPr="00CB161E">
        <w:rPr>
          <w:rFonts w:cs="Times New Roman"/>
          <w:i/>
          <w:iCs/>
          <w:lang w:val="fr-CA"/>
        </w:rPr>
        <w:t>Saskatchewan Federation of Labour c. Saskatchewan</w:t>
      </w:r>
      <w:r w:rsidRPr="00CB161E">
        <w:rPr>
          <w:rFonts w:cs="Times New Roman"/>
          <w:lang w:val="fr-CA"/>
        </w:rPr>
        <w:t xml:space="preserve">, 2015 CSC 4, [2015] 1 R.C.S. 245, par. 64; </w:t>
      </w:r>
      <w:r w:rsidRPr="00CB161E">
        <w:rPr>
          <w:rFonts w:cs="Times New Roman"/>
          <w:i/>
          <w:iCs/>
          <w:szCs w:val="24"/>
          <w:lang w:val="fr-CA"/>
        </w:rPr>
        <w:t>Kazemi</w:t>
      </w:r>
      <w:r w:rsidRPr="00CB161E">
        <w:rPr>
          <w:rFonts w:cs="Times New Roman"/>
          <w:lang w:val="fr-CA"/>
        </w:rPr>
        <w:t xml:space="preserve">, par. 150; </w:t>
      </w:r>
      <w:r w:rsidRPr="00CB161E">
        <w:rPr>
          <w:rFonts w:cs="Times New Roman"/>
          <w:i/>
          <w:iCs/>
          <w:szCs w:val="24"/>
          <w:lang w:val="fr-CA"/>
        </w:rPr>
        <w:t>Divito c. Canada (Sécurité publique et Protection civile)</w:t>
      </w:r>
      <w:r w:rsidRPr="00CB161E">
        <w:rPr>
          <w:rFonts w:cs="Times New Roman"/>
          <w:lang w:val="fr-CA"/>
        </w:rPr>
        <w:t xml:space="preserve">, 2013 CSC 47, [2013] 3 R.C.S. 157, par. 23; </w:t>
      </w:r>
      <w:r w:rsidRPr="00CB161E">
        <w:rPr>
          <w:rFonts w:cs="Times New Roman"/>
          <w:i/>
          <w:lang w:val="fr-CA"/>
        </w:rPr>
        <w:t>Health Services and Support — Facilities Subsector Bargaining Assn. c. Colombie</w:t>
      </w:r>
      <w:r w:rsidRPr="00CB161E">
        <w:rPr>
          <w:rFonts w:cs="Times New Roman"/>
          <w:i/>
          <w:lang w:val="fr-CA"/>
        </w:rPr>
        <w:noBreakHyphen/>
        <w:t>Britannique</w:t>
      </w:r>
      <w:r w:rsidRPr="00CB161E">
        <w:rPr>
          <w:rFonts w:cs="Times New Roman"/>
          <w:lang w:val="fr-CA"/>
        </w:rPr>
        <w:t>, 2007 CSC 27, [2007] 2 R.C.S. 391, par. 70.</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Il importe de souligner que le juge en chef Dickson parlait des instruments que le Canada avait </w:t>
      </w:r>
      <w:r w:rsidRPr="00CB161E">
        <w:rPr>
          <w:rFonts w:cs="Times New Roman"/>
          <w:i/>
          <w:iCs/>
          <w:lang w:val="fr-CA"/>
        </w:rPr>
        <w:t>ratifiés</w:t>
      </w:r>
      <w:r w:rsidRPr="00CB161E">
        <w:rPr>
          <w:rFonts w:cs="Times New Roman"/>
          <w:lang w:val="fr-CA"/>
        </w:rPr>
        <w:t xml:space="preserve">. Autrement dit, lorsqu’il a établi cette présomption, il visait les instruments internationaux </w:t>
      </w:r>
      <w:r w:rsidRPr="00CB161E">
        <w:rPr>
          <w:rFonts w:cs="Times New Roman"/>
          <w:i/>
          <w:iCs/>
          <w:lang w:val="fr-CA"/>
        </w:rPr>
        <w:t>contraignants</w:t>
      </w:r>
      <w:r w:rsidRPr="00CB161E">
        <w:rPr>
          <w:rFonts w:cs="Times New Roman"/>
          <w:lang w:val="fr-CA"/>
        </w:rPr>
        <w:t xml:space="preserve">, car la ratification est la procédure par laquelle ces instruments deviennent contraignants à l’échelle internationale : </w:t>
      </w:r>
      <w:r w:rsidR="00A10354">
        <w:rPr>
          <w:rFonts w:cs="Times New Roman"/>
          <w:lang w:val="fr-CA"/>
        </w:rPr>
        <w:t xml:space="preserve">voir </w:t>
      </w:r>
      <w:r w:rsidRPr="00CB161E">
        <w:rPr>
          <w:rFonts w:cs="Times New Roman"/>
          <w:lang w:val="fr-CA"/>
        </w:rPr>
        <w:t>Currie, p. 153</w:t>
      </w:r>
      <w:r w:rsidRPr="00CB161E">
        <w:rPr>
          <w:rFonts w:cs="Times New Roman"/>
          <w:lang w:val="fr-CA"/>
        </w:rPr>
        <w:noBreakHyphen/>
        <w:t xml:space="preserve">154. Dans la même veine, le juge en chef Dickson a expliqué qu’en devenant partie à des conventions internationales en matière de droits de la personne, « [l]e Canada s’est donc </w:t>
      </w:r>
      <w:r w:rsidRPr="00CB161E">
        <w:rPr>
          <w:rFonts w:cs="Times New Roman"/>
          <w:u w:val="single"/>
          <w:lang w:val="fr-CA"/>
        </w:rPr>
        <w:t>obligé</w:t>
      </w:r>
      <w:r w:rsidRPr="00CB161E">
        <w:rPr>
          <w:rFonts w:cs="Times New Roman"/>
          <w:lang w:val="fr-CA"/>
        </w:rPr>
        <w:t xml:space="preserve"> internationalement à assurer à l’intérieur de ses frontières la protection de certains droits et libertés fondamentaux qui figurent aussi </w:t>
      </w:r>
      <w:r w:rsidRPr="00CB161E">
        <w:rPr>
          <w:rFonts w:cs="Times New Roman"/>
          <w:lang w:val="fr-CA"/>
        </w:rPr>
        <w:lastRenderedPageBreak/>
        <w:t xml:space="preserve">dans la </w:t>
      </w:r>
      <w:r w:rsidRPr="00CB161E">
        <w:rPr>
          <w:rFonts w:cs="Times New Roman"/>
          <w:i/>
          <w:iCs/>
          <w:lang w:val="fr-CA"/>
        </w:rPr>
        <w:t>Charte</w:t>
      </w:r>
      <w:r w:rsidRPr="00CB161E">
        <w:rPr>
          <w:rFonts w:cs="Times New Roman"/>
          <w:lang w:val="fr-CA"/>
        </w:rPr>
        <w:t xml:space="preserve"> » et que « [l]e contenu des </w:t>
      </w:r>
      <w:r w:rsidRPr="00CB161E">
        <w:rPr>
          <w:rFonts w:cs="Times New Roman"/>
          <w:u w:val="single"/>
          <w:lang w:val="fr-CA"/>
        </w:rPr>
        <w:t>obligations</w:t>
      </w:r>
      <w:r w:rsidRPr="00CB161E">
        <w:rPr>
          <w:rFonts w:cs="Times New Roman"/>
          <w:lang w:val="fr-CA"/>
        </w:rPr>
        <w:t xml:space="preserve"> internationales du Canada en matière de droits de la personne est [. . .] un indice important du sens de l’expression “bénéficient pleinement de la protection accordée par la </w:t>
      </w:r>
      <w:r w:rsidRPr="00CB161E">
        <w:rPr>
          <w:rFonts w:cs="Times New Roman"/>
          <w:i/>
          <w:iCs/>
          <w:lang w:val="fr-CA"/>
        </w:rPr>
        <w:t>Charte</w:t>
      </w:r>
      <w:r w:rsidRPr="00CB161E">
        <w:rPr>
          <w:rFonts w:cs="Times New Roman"/>
          <w:iCs/>
          <w:lang w:val="fr-CA"/>
        </w:rPr>
        <w:t>”</w:t>
      </w:r>
      <w:r w:rsidRPr="00CB161E">
        <w:rPr>
          <w:rFonts w:cs="Times New Roman"/>
          <w:lang w:val="fr-CA"/>
        </w:rPr>
        <w:t> » : p. 349 (nous soulignons).</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La jurisprudence subséquente a continué à lier la présomption de conformité au libellé des </w:t>
      </w:r>
      <w:r w:rsidRPr="00CB161E">
        <w:rPr>
          <w:rFonts w:cs="Times New Roman"/>
          <w:i/>
          <w:iCs/>
          <w:lang w:val="fr-CA"/>
        </w:rPr>
        <w:t>obligations</w:t>
      </w:r>
      <w:r w:rsidRPr="00CB161E">
        <w:rPr>
          <w:rFonts w:cs="Times New Roman"/>
          <w:lang w:val="fr-CA"/>
        </w:rPr>
        <w:t xml:space="preserve"> ou </w:t>
      </w:r>
      <w:r w:rsidRPr="00CB161E">
        <w:rPr>
          <w:rFonts w:cs="Times New Roman"/>
          <w:i/>
          <w:iCs/>
          <w:lang w:val="fr-CA"/>
        </w:rPr>
        <w:t>engagements</w:t>
      </w:r>
      <w:r w:rsidRPr="00CB161E">
        <w:rPr>
          <w:rFonts w:cs="Times New Roman"/>
          <w:lang w:val="fr-CA"/>
        </w:rPr>
        <w:t xml:space="preserve"> internationaux du Canada : </w:t>
      </w:r>
      <w:r w:rsidRPr="00CB161E">
        <w:rPr>
          <w:rFonts w:cs="Times New Roman"/>
          <w:i/>
          <w:lang w:val="fr-CA"/>
        </w:rPr>
        <w:t>Ktunaxa</w:t>
      </w:r>
      <w:r w:rsidRPr="00CB161E">
        <w:rPr>
          <w:rFonts w:cs="Times New Roman"/>
          <w:lang w:val="fr-CA"/>
        </w:rPr>
        <w:t xml:space="preserve">, par. 65; </w:t>
      </w:r>
      <w:r w:rsidRPr="00CB161E">
        <w:rPr>
          <w:rFonts w:cs="Times New Roman"/>
          <w:i/>
          <w:lang w:val="fr-CA"/>
        </w:rPr>
        <w:t>Badesha</w:t>
      </w:r>
      <w:r w:rsidRPr="00CB161E">
        <w:rPr>
          <w:rFonts w:cs="Times New Roman"/>
          <w:lang w:val="fr-CA"/>
        </w:rPr>
        <w:t xml:space="preserve">, par. 38; </w:t>
      </w:r>
      <w:r w:rsidRPr="00CB161E">
        <w:rPr>
          <w:rFonts w:cs="Times New Roman"/>
          <w:i/>
          <w:lang w:val="fr-CA"/>
        </w:rPr>
        <w:t>Saskatchewan Federation of Labour</w:t>
      </w:r>
      <w:r w:rsidRPr="00CB161E">
        <w:rPr>
          <w:rFonts w:cs="Times New Roman"/>
          <w:lang w:val="fr-CA"/>
        </w:rPr>
        <w:t>, par. 62 et 64</w:t>
      </w:r>
      <w:r w:rsidRPr="00CB161E">
        <w:rPr>
          <w:rFonts w:cs="Times New Roman"/>
          <w:lang w:val="fr-CA"/>
        </w:rPr>
        <w:noBreakHyphen/>
        <w:t xml:space="preserve">65; </w:t>
      </w:r>
      <w:r w:rsidRPr="00CB161E">
        <w:rPr>
          <w:rFonts w:cs="Times New Roman"/>
          <w:i/>
          <w:lang w:val="fr-CA"/>
        </w:rPr>
        <w:t>Divito</w:t>
      </w:r>
      <w:r w:rsidRPr="00CB161E">
        <w:rPr>
          <w:rFonts w:cs="Times New Roman"/>
          <w:lang w:val="fr-CA"/>
        </w:rPr>
        <w:t xml:space="preserve">, par. 22; </w:t>
      </w:r>
      <w:r w:rsidRPr="00CB161E">
        <w:rPr>
          <w:rFonts w:cs="Times New Roman"/>
          <w:i/>
          <w:lang w:val="fr-CA"/>
        </w:rPr>
        <w:t>Health Services</w:t>
      </w:r>
      <w:r w:rsidRPr="00CB161E">
        <w:rPr>
          <w:rFonts w:cs="Times New Roman"/>
          <w:lang w:val="fr-CA"/>
        </w:rPr>
        <w:t>, par. 69.</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La Cour a expliqué que la présomption de conformité « sert principalement d’outil d’interprétation en vue d’aider les tribunaux à délimiter l’étendue et la portée des droits que garantit la </w:t>
      </w:r>
      <w:r w:rsidRPr="00CB161E">
        <w:rPr>
          <w:rFonts w:cs="Times New Roman"/>
          <w:i/>
          <w:iCs/>
          <w:lang w:val="fr-CA"/>
        </w:rPr>
        <w:t>Charte</w:t>
      </w:r>
      <w:r w:rsidRPr="00CB161E">
        <w:rPr>
          <w:rFonts w:cs="Times New Roman"/>
          <w:lang w:val="fr-CA"/>
        </w:rPr>
        <w:t xml:space="preserve"> » : </w:t>
      </w:r>
      <w:r w:rsidRPr="00CB161E">
        <w:rPr>
          <w:rFonts w:cs="Times New Roman"/>
          <w:i/>
          <w:lang w:val="fr-CA"/>
        </w:rPr>
        <w:t>Kazemi</w:t>
      </w:r>
      <w:r w:rsidRPr="00CB161E">
        <w:rPr>
          <w:rFonts w:cs="Times New Roman"/>
          <w:lang w:val="fr-CA"/>
        </w:rPr>
        <w:t>, par. 150. Cependant, comme il s’agit d’une présomption, elle est aussi réfutable et elle « ne permet pas d’écarter l’intention claire du législateur » : par. 60.</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L’approche du juge en chef Dickson à l’égard des sources </w:t>
      </w:r>
      <w:r w:rsidRPr="00CB161E">
        <w:rPr>
          <w:rFonts w:cs="Times New Roman"/>
          <w:i/>
          <w:iCs/>
          <w:lang w:val="fr-CA"/>
        </w:rPr>
        <w:t>non contraignantes</w:t>
      </w:r>
      <w:r w:rsidRPr="00CB161E">
        <w:rPr>
          <w:rFonts w:cs="Times New Roman"/>
          <w:lang w:val="fr-CA"/>
        </w:rPr>
        <w:t xml:space="preserve"> — qui consiste à les traiter comme des outils d’interprétation pertinents et persuasifs, mais non déterminants — est elle aussi appliquée : </w:t>
      </w:r>
      <w:r w:rsidRPr="00CB161E">
        <w:rPr>
          <w:rFonts w:cs="Times New Roman"/>
          <w:i/>
          <w:lang w:val="fr-CA"/>
        </w:rPr>
        <w:t>États</w:t>
      </w:r>
      <w:r w:rsidRPr="00CB161E">
        <w:rPr>
          <w:rFonts w:cs="Times New Roman"/>
          <w:i/>
          <w:lang w:val="fr-CA"/>
        </w:rPr>
        <w:noBreakHyphen/>
        <w:t>Unis c. Burns</w:t>
      </w:r>
      <w:r w:rsidRPr="00CB161E">
        <w:rPr>
          <w:rFonts w:cs="Times New Roman"/>
          <w:lang w:val="fr-CA"/>
        </w:rPr>
        <w:t xml:space="preserve">, 2001 CSC 7, [2001] 1 R.C.S. 283, par. 80. Parmi les sources non contraignantes, mentionnons particulièrement les instruments internationaux auxquels le Canada </w:t>
      </w:r>
      <w:r w:rsidRPr="00CB161E">
        <w:rPr>
          <w:rFonts w:cs="Times New Roman"/>
          <w:i/>
          <w:iCs/>
          <w:lang w:val="fr-CA"/>
        </w:rPr>
        <w:t>n’</w:t>
      </w:r>
      <w:r w:rsidRPr="00CB161E">
        <w:rPr>
          <w:rFonts w:cs="Times New Roman"/>
          <w:iCs/>
          <w:lang w:val="fr-CA"/>
        </w:rPr>
        <w:t>est</w:t>
      </w:r>
      <w:r w:rsidRPr="00CB161E">
        <w:rPr>
          <w:rFonts w:cs="Times New Roman"/>
          <w:i/>
          <w:iCs/>
          <w:lang w:val="fr-CA"/>
        </w:rPr>
        <w:t xml:space="preserve"> pas</w:t>
      </w:r>
      <w:r w:rsidRPr="00CB161E">
        <w:rPr>
          <w:rFonts w:cs="Times New Roman"/>
          <w:lang w:val="fr-CA"/>
        </w:rPr>
        <w:t xml:space="preserve"> partie. De tels instruments ne donnent pas naissance à la présomption de conformité. Ils n’ont par conséquent qu’une valeur persuasive dans l’interprétation de la </w:t>
      </w:r>
      <w:r w:rsidRPr="00CB161E">
        <w:rPr>
          <w:rFonts w:cs="Times New Roman"/>
          <w:i/>
          <w:iCs/>
          <w:lang w:val="fr-CA"/>
        </w:rPr>
        <w:t>Charte</w:t>
      </w:r>
      <w:r w:rsidRPr="00CB161E">
        <w:rPr>
          <w:rFonts w:cs="Times New Roman"/>
          <w:lang w:val="fr-CA"/>
        </w:rPr>
        <w:t>.</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lastRenderedPageBreak/>
        <w:t>Cela ne signifie pas que de tels instruments ne sont pas pertinents. Comme l’ont fait observer les professeurs Brunnée et Toope, [</w:t>
      </w:r>
      <w:r w:rsidRPr="00CB161E">
        <w:rPr>
          <w:rFonts w:cs="Times New Roman"/>
          <w:smallCaps/>
          <w:lang w:val="fr-CA"/>
        </w:rPr>
        <w:t>traduction</w:t>
      </w:r>
      <w:r w:rsidR="00951C33">
        <w:rPr>
          <w:rFonts w:cs="Times New Roman"/>
          <w:lang w:val="fr-CA"/>
        </w:rPr>
        <w:t>] « [i]</w:t>
      </w:r>
      <w:r w:rsidRPr="00CB161E">
        <w:rPr>
          <w:rFonts w:cs="Times New Roman"/>
          <w:lang w:val="fr-CA"/>
        </w:rPr>
        <w:t xml:space="preserve">l n’y a aucune raison qui empêche les tribunaux canadiens de s’appuyer sur ces normes [non contraignantes], </w:t>
      </w:r>
      <w:r w:rsidRPr="00CB161E">
        <w:rPr>
          <w:rFonts w:cs="Times New Roman"/>
          <w:u w:val="single"/>
          <w:lang w:val="fr-CA"/>
        </w:rPr>
        <w:t>tant qu’ils le font d’une manière qui tient compte de leur caractère non contraignant sur le plan juridique</w:t>
      </w:r>
      <w:r w:rsidRPr="00CB161E">
        <w:rPr>
          <w:rFonts w:cs="Times New Roman"/>
          <w:lang w:val="fr-CA"/>
        </w:rPr>
        <w:t xml:space="preserve"> » : p. 53 (nous soulignons); voir aussi G. van Ert, </w:t>
      </w:r>
      <w:r w:rsidRPr="00CB161E">
        <w:rPr>
          <w:rFonts w:cs="Times New Roman"/>
          <w:i/>
          <w:iCs/>
          <w:lang w:val="fr-CA"/>
        </w:rPr>
        <w:t>Using International Law in Canadian Courts</w:t>
      </w:r>
      <w:r w:rsidRPr="00CB161E">
        <w:rPr>
          <w:rFonts w:cs="Times New Roman"/>
          <w:lang w:val="fr-CA"/>
        </w:rPr>
        <w:t xml:space="preserve"> (2</w:t>
      </w:r>
      <w:r w:rsidRPr="00CB161E">
        <w:rPr>
          <w:rFonts w:cs="Times New Roman"/>
          <w:vertAlign w:val="superscript"/>
          <w:lang w:val="fr-CA"/>
        </w:rPr>
        <w:t>e</w:t>
      </w:r>
      <w:r w:rsidRPr="00CB161E">
        <w:rPr>
          <w:rFonts w:cs="Times New Roman"/>
          <w:lang w:val="fr-CA"/>
        </w:rPr>
        <w:t xml:space="preserve"> éd. 2008), p. 350. Comme le mentionne notre collègue, « [l]a Cour s’est fréquemment appuyée sur des sources de droit international [non contraignantes] pour l’</w:t>
      </w:r>
      <w:r w:rsidRPr="00CB161E">
        <w:rPr>
          <w:rFonts w:cs="Times New Roman"/>
          <w:u w:val="single"/>
          <w:lang w:val="fr-CA"/>
        </w:rPr>
        <w:t>aider</w:t>
      </w:r>
      <w:r w:rsidRPr="00CB161E">
        <w:rPr>
          <w:rFonts w:cs="Times New Roman"/>
          <w:i/>
          <w:lang w:val="fr-CA"/>
        </w:rPr>
        <w:t xml:space="preserve"> </w:t>
      </w:r>
      <w:r w:rsidRPr="00CB161E">
        <w:rPr>
          <w:rFonts w:cs="Times New Roman"/>
          <w:lang w:val="fr-CA"/>
        </w:rPr>
        <w:t xml:space="preserve">à délimiter la portée et le contenu des droits garantis par la </w:t>
      </w:r>
      <w:r w:rsidRPr="00CB161E">
        <w:rPr>
          <w:rFonts w:cs="Times New Roman"/>
          <w:i/>
          <w:lang w:val="fr-CA"/>
        </w:rPr>
        <w:t>Charte</w:t>
      </w:r>
      <w:r w:rsidRPr="00CB161E">
        <w:rPr>
          <w:rFonts w:cs="Times New Roman"/>
          <w:lang w:val="fr-CA"/>
        </w:rPr>
        <w:t xml:space="preserve"> » : motifs de la juge Abella, par. 99 (nous soulignons). Soit dit en tout respect, la tentative qu’elle fait ensuite pour importer au sein de notre juridiction les profonds clivages observés dans la jurisprudence de notre voisin n’a aucun rapport avec la question en litige dans la présente affaire. Fait plus important encore, les décisions qu’elle invoque appuient les distinctions que nous établissons dans les présents motifs. La façon dont le juge en chef Dickson a formulé la présomption de conformité dans </w:t>
      </w:r>
      <w:r w:rsidRPr="00CB161E">
        <w:rPr>
          <w:rFonts w:cs="Times New Roman"/>
          <w:i/>
          <w:lang w:val="fr-CA"/>
        </w:rPr>
        <w:t xml:space="preserve">Re PSERA </w:t>
      </w:r>
      <w:r w:rsidRPr="00CB161E">
        <w:rPr>
          <w:rFonts w:cs="Times New Roman"/>
          <w:lang w:val="fr-CA"/>
        </w:rPr>
        <w:t>a été décrite dans l’arrêt </w:t>
      </w:r>
      <w:r w:rsidRPr="00CB161E">
        <w:rPr>
          <w:rFonts w:cs="Times New Roman"/>
          <w:i/>
          <w:lang w:val="fr-CA"/>
        </w:rPr>
        <w:t>Divito</w:t>
      </w:r>
      <w:r w:rsidRPr="00CB161E">
        <w:rPr>
          <w:rFonts w:cs="Times New Roman"/>
          <w:lang w:val="fr-CA"/>
        </w:rPr>
        <w:t xml:space="preserve"> comme le « cadre d’analyse du contexte juridique international »</w:t>
      </w:r>
      <w:r w:rsidRPr="00CB161E">
        <w:rPr>
          <w:rFonts w:cs="Times New Roman"/>
          <w:i/>
          <w:lang w:val="fr-CA"/>
        </w:rPr>
        <w:t> </w:t>
      </w:r>
      <w:r w:rsidRPr="00CB161E">
        <w:rPr>
          <w:rFonts w:cs="Times New Roman"/>
          <w:lang w:val="fr-CA"/>
        </w:rPr>
        <w:t>: par. 22. Ce passage a également été repris dans l’arrêt </w:t>
      </w:r>
      <w:r w:rsidR="0022670A">
        <w:rPr>
          <w:rFonts w:cs="Times New Roman"/>
          <w:i/>
          <w:lang w:val="fr-CA"/>
        </w:rPr>
        <w:t>Slaight Communications I</w:t>
      </w:r>
      <w:r w:rsidRPr="00CB161E">
        <w:rPr>
          <w:rFonts w:cs="Times New Roman"/>
          <w:i/>
          <w:lang w:val="fr-CA"/>
        </w:rPr>
        <w:t>nc. c. Davidson</w:t>
      </w:r>
      <w:r w:rsidRPr="00CB161E">
        <w:rPr>
          <w:rFonts w:cs="Times New Roman"/>
          <w:lang w:val="fr-CA"/>
        </w:rPr>
        <w:t>, [1989] 1 R.C.S. 1038, p. 1056.</w:t>
      </w:r>
      <w:r w:rsidRPr="00CB161E">
        <w:rPr>
          <w:rFonts w:cs="Times New Roman"/>
          <w:i/>
          <w:lang w:val="fr-CA"/>
        </w:rPr>
        <w:t xml:space="preserve"> </w:t>
      </w:r>
      <w:r w:rsidRPr="00CB161E">
        <w:rPr>
          <w:rFonts w:cs="Times New Roman"/>
          <w:lang w:val="fr-CA"/>
        </w:rPr>
        <w:t xml:space="preserve">Par ailleurs, les affaires </w:t>
      </w:r>
      <w:r w:rsidRPr="00CB161E">
        <w:rPr>
          <w:rFonts w:cs="Times New Roman"/>
          <w:i/>
          <w:lang w:val="fr-CA"/>
        </w:rPr>
        <w:t xml:space="preserve">Burns </w:t>
      </w:r>
      <w:r w:rsidRPr="00CB161E">
        <w:rPr>
          <w:rFonts w:cs="Times New Roman"/>
          <w:lang w:val="fr-CA"/>
        </w:rPr>
        <w:t xml:space="preserve">et </w:t>
      </w:r>
      <w:r w:rsidRPr="00CB161E">
        <w:rPr>
          <w:rFonts w:cs="Times New Roman"/>
          <w:i/>
          <w:iCs/>
          <w:lang w:val="fr-CA"/>
        </w:rPr>
        <w:t xml:space="preserve">Renvoi </w:t>
      </w:r>
      <w:r w:rsidR="0022670A">
        <w:rPr>
          <w:rFonts w:cs="Times New Roman"/>
          <w:i/>
          <w:iCs/>
          <w:lang w:val="fr-CA"/>
        </w:rPr>
        <w:t>relatif à la Motor Vehicle Act de la C.</w:t>
      </w:r>
      <w:r w:rsidR="0022670A">
        <w:rPr>
          <w:rFonts w:cs="Times New Roman"/>
          <w:i/>
          <w:iCs/>
          <w:lang w:val="fr-CA"/>
        </w:rPr>
        <w:noBreakHyphen/>
        <w:t>B.</w:t>
      </w:r>
      <w:r w:rsidRPr="00CB161E">
        <w:rPr>
          <w:rFonts w:cs="Times New Roman"/>
          <w:lang w:val="fr-CA"/>
        </w:rPr>
        <w:t>, [1985] 2 R.C.S. 486, portaient sur la définition des « principes de justice fondamentale », un sujet que nous abordons plus loin au par. 45.</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En plus de caractériser adéquatement leur utilisation, les tribunaux ne doivent pas permettre que la prise en considération de tels instruments remplace la </w:t>
      </w:r>
      <w:r w:rsidRPr="00CB161E">
        <w:rPr>
          <w:rFonts w:cs="Times New Roman"/>
          <w:lang w:val="fr-CA"/>
        </w:rPr>
        <w:lastRenderedPageBreak/>
        <w:t xml:space="preserve">méthodologie de l’interprétation de la </w:t>
      </w:r>
      <w:r w:rsidRPr="00CB161E">
        <w:rPr>
          <w:rFonts w:cs="Times New Roman"/>
          <w:i/>
          <w:iCs/>
          <w:lang w:val="fr-CA"/>
        </w:rPr>
        <w:t>Charte</w:t>
      </w:r>
      <w:r w:rsidRPr="00CB161E">
        <w:rPr>
          <w:rFonts w:cs="Times New Roman"/>
          <w:lang w:val="fr-CA"/>
        </w:rPr>
        <w:t xml:space="preserve"> établie dans l’arrêt </w:t>
      </w:r>
      <w:r w:rsidRPr="00CB161E">
        <w:rPr>
          <w:rFonts w:cs="Times New Roman"/>
          <w:i/>
          <w:iCs/>
          <w:lang w:val="fr-CA"/>
        </w:rPr>
        <w:t>Big M Drug Mart</w:t>
      </w:r>
      <w:r w:rsidRPr="00CB161E">
        <w:rPr>
          <w:rFonts w:cs="Times New Roman"/>
          <w:lang w:val="fr-CA"/>
        </w:rPr>
        <w:t>. La Cour prend soin de procéder ainsi. À titre d’exemple, dans l’arrêt </w:t>
      </w:r>
      <w:r w:rsidRPr="00CB161E">
        <w:rPr>
          <w:rFonts w:cs="Times New Roman"/>
          <w:i/>
          <w:iCs/>
          <w:lang w:val="fr-CA"/>
        </w:rPr>
        <w:t>Ktunaxa</w:t>
      </w:r>
      <w:r w:rsidRPr="00CB161E">
        <w:rPr>
          <w:rFonts w:cs="Times New Roman"/>
          <w:lang w:val="fr-CA"/>
        </w:rPr>
        <w:t>, elle a d’abord examiné la jurisprudence canadienne sur la portée de la liberté de religion avant de confirmer cette portée en faisant référence aux instruments internationaux contraignants : par. 62</w:t>
      </w:r>
      <w:r w:rsidRPr="00CB161E">
        <w:rPr>
          <w:rFonts w:cs="Times New Roman"/>
          <w:lang w:val="fr-CA"/>
        </w:rPr>
        <w:noBreakHyphen/>
        <w:t>65. Elle a ensuite considéré brièvement les instruments non contraignants qui appuyaient eux « aussi » la jurisprudence canadienne, prenant soin de préciser que ces instruments « ne lient pas le Canada et ne font donc pas intervenir la présomption de conformité », mais « constituent des illustrations importantes de la manière dont on conçoit la liberté de religion partout dans le monde » : par. 66. De même, dans l’arrêt </w:t>
      </w:r>
      <w:r w:rsidRPr="00CB161E">
        <w:rPr>
          <w:rFonts w:cs="Times New Roman"/>
          <w:i/>
          <w:iCs/>
          <w:lang w:val="fr-CA"/>
        </w:rPr>
        <w:t>Saskatchewan Federation of Labour</w:t>
      </w:r>
      <w:r w:rsidRPr="00CB161E">
        <w:rPr>
          <w:rFonts w:cs="Times New Roman"/>
          <w:lang w:val="fr-CA"/>
        </w:rPr>
        <w:t>, la Cour s’est d’abord penchée sur la jurisprudenc</w:t>
      </w:r>
      <w:r w:rsidR="00EC0903">
        <w:rPr>
          <w:rFonts w:cs="Times New Roman"/>
          <w:lang w:val="fr-CA"/>
        </w:rPr>
        <w:t>e canadienne relative à l’al.</w:t>
      </w:r>
      <w:r w:rsidRPr="00CB161E">
        <w:rPr>
          <w:rFonts w:cs="Times New Roman"/>
          <w:lang w:val="fr-CA"/>
        </w:rPr>
        <w:t> 2</w:t>
      </w:r>
      <w:r w:rsidRPr="00CB161E">
        <w:rPr>
          <w:rFonts w:cs="Times New Roman"/>
          <w:i/>
          <w:lang w:val="fr-CA"/>
        </w:rPr>
        <w:t>d</w:t>
      </w:r>
      <w:r w:rsidRPr="00CB161E">
        <w:rPr>
          <w:rFonts w:cs="Times New Roman"/>
          <w:lang w:val="fr-CA"/>
        </w:rPr>
        <w:t xml:space="preserve">) de la </w:t>
      </w:r>
      <w:r w:rsidRPr="00CB161E">
        <w:rPr>
          <w:rFonts w:cs="Times New Roman"/>
          <w:i/>
          <w:iCs/>
          <w:lang w:val="fr-CA"/>
        </w:rPr>
        <w:t>Charte</w:t>
      </w:r>
      <w:r w:rsidRPr="00CB161E">
        <w:rPr>
          <w:rFonts w:cs="Times New Roman"/>
          <w:lang w:val="fr-CA"/>
        </w:rPr>
        <w:t xml:space="preserve"> et son historique : par. 28</w:t>
      </w:r>
      <w:r w:rsidRPr="00CB161E">
        <w:rPr>
          <w:rFonts w:cs="Times New Roman"/>
          <w:lang w:val="fr-CA"/>
        </w:rPr>
        <w:noBreakHyphen/>
        <w:t>55. Elle a ensuite expliqué que les obligations internationales du Canada en matière de droits de la personne commandaient « également » la protection du droit de grève, insistant particulièrement sur les instruments contraignants et la présomption de conformité : par. 62</w:t>
      </w:r>
      <w:r w:rsidRPr="00CB161E">
        <w:rPr>
          <w:rFonts w:cs="Times New Roman"/>
          <w:lang w:val="fr-CA"/>
        </w:rPr>
        <w:noBreakHyphen/>
        <w:t>70. Enfin, elle a souligné que sa conclusion était « [p]ar ailleurs » étayée par le droit interne étranger : par. 71</w:t>
      </w:r>
      <w:r w:rsidRPr="00CB161E">
        <w:rPr>
          <w:rFonts w:cs="Times New Roman"/>
          <w:lang w:val="fr-CA"/>
        </w:rPr>
        <w:noBreakHyphen/>
        <w:t>74.</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Il découle de tout cela — et, plus précisément, de la présomption de conformité — que les instruments contraignants ont nécessairement plus de poids dans l’analyse que les instruments non contraignants. Bien qu’il soit possible de recourir aux deux types d’instruments, les tribunaux qui se fondent sur les instruments non contraignants doivent veiller à expliquer </w:t>
      </w:r>
      <w:r w:rsidRPr="00CB161E">
        <w:rPr>
          <w:rFonts w:cs="Times New Roman"/>
          <w:i/>
          <w:iCs/>
          <w:lang w:val="fr-CA"/>
        </w:rPr>
        <w:t>pourquoi</w:t>
      </w:r>
      <w:r w:rsidRPr="00CB161E">
        <w:rPr>
          <w:rFonts w:cs="Times New Roman"/>
          <w:lang w:val="fr-CA"/>
        </w:rPr>
        <w:t xml:space="preserve"> ils le font et </w:t>
      </w:r>
      <w:r w:rsidRPr="00CB161E">
        <w:rPr>
          <w:rFonts w:cs="Times New Roman"/>
          <w:i/>
          <w:iCs/>
          <w:lang w:val="fr-CA"/>
        </w:rPr>
        <w:t>comment</w:t>
      </w:r>
      <w:r w:rsidRPr="00CB161E">
        <w:rPr>
          <w:rFonts w:cs="Times New Roman"/>
          <w:lang w:val="fr-CA"/>
        </w:rPr>
        <w:t xml:space="preserve"> ils utilisent ces instruments. Avec égards pour l’opinion contraire, nous affirmons que les </w:t>
      </w:r>
      <w:r w:rsidRPr="00CB161E">
        <w:rPr>
          <w:rFonts w:cs="Times New Roman"/>
          <w:lang w:val="fr-CA"/>
        </w:rPr>
        <w:lastRenderedPageBreak/>
        <w:t xml:space="preserve">distinctions que nous établissons constituent la raison même pour laquelle « notre Cour n’a pas eu de difficulté à décider quelles sont les sources qu’elle considère plus pertinentes et persuasives que d’autres » (motifs de la juge Abella, par. 104), et que le fait d’énoncer ce cadre d’analyse de façon claire n’a pas pour effet de « nui[re] à la capacité de </w:t>
      </w:r>
      <w:r w:rsidR="00135459">
        <w:rPr>
          <w:rFonts w:cs="Times New Roman"/>
          <w:lang w:val="fr-CA"/>
        </w:rPr>
        <w:t>la</w:t>
      </w:r>
      <w:r w:rsidRPr="00CB161E">
        <w:rPr>
          <w:rFonts w:cs="Times New Roman"/>
          <w:lang w:val="fr-CA"/>
        </w:rPr>
        <w:t xml:space="preserve"> Cour de continuer à considérer ces sources en les choisissant avec discernement » : par. 102. Notre méthode est fermement enracinée dans la jurisprudence de la Cour.</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En l’espèce, la </w:t>
      </w:r>
      <w:r w:rsidRPr="00CB161E">
        <w:rPr>
          <w:rFonts w:cs="Times New Roman"/>
          <w:i/>
          <w:iCs/>
          <w:lang w:val="fr-CA"/>
        </w:rPr>
        <w:t>Convention contre la torture</w:t>
      </w:r>
      <w:r w:rsidRPr="00CB161E">
        <w:rPr>
          <w:rFonts w:cs="Times New Roman"/>
          <w:i/>
          <w:lang w:val="fr-CA"/>
        </w:rPr>
        <w:t xml:space="preserve"> et autres peines ou traitements cruels, inhumains ou dégradants</w:t>
      </w:r>
      <w:r w:rsidRPr="00CB161E">
        <w:rPr>
          <w:rFonts w:cs="Times New Roman"/>
          <w:lang w:val="fr-CA"/>
        </w:rPr>
        <w:t>, R.T. Can. 1987 n</w:t>
      </w:r>
      <w:r w:rsidRPr="00CB161E">
        <w:rPr>
          <w:rFonts w:cs="Times New Roman"/>
          <w:vertAlign w:val="superscript"/>
          <w:lang w:val="fr-CA"/>
        </w:rPr>
        <w:t>o</w:t>
      </w:r>
      <w:r w:rsidRPr="00CB161E">
        <w:rPr>
          <w:rFonts w:cs="Times New Roman"/>
          <w:lang w:val="fr-CA"/>
        </w:rPr>
        <w:t xml:space="preserve"> 36, et le </w:t>
      </w:r>
      <w:r w:rsidRPr="00CB161E">
        <w:rPr>
          <w:rFonts w:cs="Times New Roman"/>
          <w:i/>
          <w:iCs/>
          <w:lang w:val="fr-CA"/>
        </w:rPr>
        <w:t>Pacte international relatif aux droits civils et politiques</w:t>
      </w:r>
      <w:r w:rsidRPr="00CB161E">
        <w:rPr>
          <w:rFonts w:cs="Times New Roman"/>
          <w:iCs/>
          <w:lang w:val="fr-CA"/>
        </w:rPr>
        <w:t>,</w:t>
      </w:r>
      <w:r w:rsidRPr="00CB161E">
        <w:rPr>
          <w:rFonts w:cs="Times New Roman"/>
          <w:lang w:val="fr-CA"/>
        </w:rPr>
        <w:t xml:space="preserve"> R.T. Can. 1976 n</w:t>
      </w:r>
      <w:r w:rsidRPr="00CB161E">
        <w:rPr>
          <w:rFonts w:cs="Times New Roman"/>
          <w:vertAlign w:val="superscript"/>
          <w:lang w:val="fr-CA"/>
        </w:rPr>
        <w:t>o</w:t>
      </w:r>
      <w:r w:rsidRPr="00CB161E">
        <w:rPr>
          <w:rFonts w:cs="Times New Roman"/>
          <w:lang w:val="fr-CA"/>
        </w:rPr>
        <w:t> 47 (« </w:t>
      </w:r>
      <w:r w:rsidRPr="00CB161E">
        <w:rPr>
          <w:rFonts w:cs="Times New Roman"/>
          <w:i/>
          <w:lang w:val="fr-CA"/>
        </w:rPr>
        <w:t>PIRDCP</w:t>
      </w:r>
      <w:r w:rsidRPr="00CB161E">
        <w:rPr>
          <w:rFonts w:cs="Times New Roman"/>
          <w:lang w:val="fr-CA"/>
        </w:rPr>
        <w:t> ») lient tous deux le Canada, faisant donc intervenir la présomption de conformité. Toutefois, à l’instar de de notre collègue, nous sommes d’avis que ni l’un ni l’autre de ces instruments n’élargit aux personnes morales la protection contre les peines cruelles et inusitées.</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Notre collègue poursuit ensuite son analyse en examinant d’abord la </w:t>
      </w:r>
      <w:r w:rsidRPr="00CB161E">
        <w:rPr>
          <w:rFonts w:cs="Times New Roman"/>
          <w:i/>
          <w:iCs/>
          <w:lang w:val="fr-CA"/>
        </w:rPr>
        <w:t>Convention américaine relative aux droits de l’homme</w:t>
      </w:r>
      <w:r w:rsidRPr="00CB161E">
        <w:rPr>
          <w:rFonts w:cs="Times New Roman"/>
          <w:lang w:val="fr-CA"/>
        </w:rPr>
        <w:t xml:space="preserve">, 1144 R.T.N.U. 123, adoptée par le Mexique et certains États des Caraïbes, de l’Amérique centrale et de l’Amérique du Sud, puis l’instrument européen intitulé </w:t>
      </w:r>
      <w:r w:rsidRPr="00CB161E">
        <w:rPr>
          <w:rFonts w:cs="Times New Roman"/>
          <w:i/>
          <w:iCs/>
          <w:lang w:val="fr-CA"/>
        </w:rPr>
        <w:t>Convention de sauvegarde des droits de l’homme et des libertés fondamentales</w:t>
      </w:r>
      <w:r w:rsidRPr="00CB161E">
        <w:rPr>
          <w:rFonts w:cs="Times New Roman"/>
          <w:iCs/>
          <w:lang w:val="fr-CA"/>
        </w:rPr>
        <w:t>,</w:t>
      </w:r>
      <w:r w:rsidRPr="00CB161E">
        <w:rPr>
          <w:rFonts w:cs="Times New Roman"/>
          <w:lang w:val="fr-CA"/>
        </w:rPr>
        <w:t xml:space="preserve"> 213 R.T.N.U. 221. Bien que nous souscrivions à l’opinion selon laquelle aucun de ces instruments n’accorde aux personnes morales la protection contre les peines cruelles et inusitées, nous sommes préoccupés par l’approche de notre collègue la juge Abella, approche qui semble accorder à ces </w:t>
      </w:r>
      <w:r w:rsidRPr="00CB161E">
        <w:rPr>
          <w:rFonts w:cs="Times New Roman"/>
          <w:lang w:val="fr-CA"/>
        </w:rPr>
        <w:lastRenderedPageBreak/>
        <w:t xml:space="preserve">instruments non contraignants le même poids qu’aux instruments contraignants. Nous tenons par conséquent à souligner que ces instruments n’ont qu’une valeur persuasive en l’espèce, et qu’un tribunal qui se fonde sur eux devrait expliquer </w:t>
      </w:r>
      <w:r w:rsidRPr="00CB161E">
        <w:rPr>
          <w:rFonts w:cs="Times New Roman"/>
          <w:i/>
          <w:iCs/>
          <w:lang w:val="fr-CA"/>
        </w:rPr>
        <w:t>pourquoi</w:t>
      </w:r>
      <w:r w:rsidRPr="00CB161E">
        <w:rPr>
          <w:rFonts w:cs="Times New Roman"/>
          <w:lang w:val="fr-CA"/>
        </w:rPr>
        <w:t xml:space="preserve"> il le fait et </w:t>
      </w:r>
      <w:r w:rsidRPr="00CB161E">
        <w:rPr>
          <w:rFonts w:cs="Times New Roman"/>
          <w:i/>
          <w:iCs/>
          <w:lang w:val="fr-CA"/>
        </w:rPr>
        <w:t>comment</w:t>
      </w:r>
      <w:r w:rsidRPr="00CB161E">
        <w:rPr>
          <w:rFonts w:cs="Times New Roman"/>
          <w:lang w:val="fr-CA"/>
        </w:rPr>
        <w:t xml:space="preserve"> il les utilise (c’est</w:t>
      </w:r>
      <w:r w:rsidRPr="00CB161E">
        <w:rPr>
          <w:rFonts w:cs="Times New Roman"/>
          <w:lang w:val="fr-CA"/>
        </w:rPr>
        <w:noBreakHyphen/>
        <w:t>à</w:t>
      </w:r>
      <w:r w:rsidRPr="00CB161E">
        <w:rPr>
          <w:rFonts w:cs="Times New Roman"/>
          <w:lang w:val="fr-CA"/>
        </w:rPr>
        <w:noBreakHyphen/>
        <w:t>dire quel poids il leur accorde).</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Une autre distinction importante est celle entre les instruments antérieurs à la </w:t>
      </w:r>
      <w:r w:rsidRPr="00CB161E">
        <w:rPr>
          <w:rFonts w:cs="Times New Roman"/>
          <w:i/>
          <w:iCs/>
          <w:lang w:val="fr-CA"/>
        </w:rPr>
        <w:t>Charte</w:t>
      </w:r>
      <w:r w:rsidRPr="00CB161E">
        <w:rPr>
          <w:rFonts w:cs="Times New Roman"/>
          <w:lang w:val="fr-CA"/>
        </w:rPr>
        <w:t xml:space="preserve"> et ceux postérieurs à celle</w:t>
      </w:r>
      <w:r w:rsidRPr="00CB161E">
        <w:rPr>
          <w:rFonts w:cs="Times New Roman"/>
          <w:lang w:val="fr-CA"/>
        </w:rPr>
        <w:noBreakHyphen/>
        <w:t>ci. Dans l’application de l’approche établie dans l’arrêt </w:t>
      </w:r>
      <w:r w:rsidRPr="00CB161E">
        <w:rPr>
          <w:rFonts w:cs="Times New Roman"/>
          <w:i/>
          <w:iCs/>
          <w:lang w:val="fr-CA"/>
        </w:rPr>
        <w:t>Big M Drug Mart</w:t>
      </w:r>
      <w:r w:rsidRPr="00CB161E">
        <w:rPr>
          <w:rFonts w:cs="Times New Roman"/>
          <w:lang w:val="fr-CA"/>
        </w:rPr>
        <w:t xml:space="preserve">, les tribunaux doivent considérer les « origines historiques des concepts enchâssés » dans la </w:t>
      </w:r>
      <w:r w:rsidRPr="00CB161E">
        <w:rPr>
          <w:rFonts w:cs="Times New Roman"/>
          <w:i/>
          <w:iCs/>
          <w:lang w:val="fr-CA"/>
        </w:rPr>
        <w:t>Charte</w:t>
      </w:r>
      <w:r w:rsidRPr="00CB161E">
        <w:rPr>
          <w:rFonts w:cs="Times New Roman"/>
          <w:lang w:val="fr-CA"/>
        </w:rPr>
        <w:t xml:space="preserve"> lorsqu’ils déterminent la portée des droits garantis par celle</w:t>
      </w:r>
      <w:r w:rsidRPr="00CB161E">
        <w:rPr>
          <w:rFonts w:cs="Times New Roman"/>
          <w:lang w:val="fr-CA"/>
        </w:rPr>
        <w:noBreakHyphen/>
        <w:t xml:space="preserve">ci : p. 344. Les instruments internationaux antérieurs à la </w:t>
      </w:r>
      <w:r w:rsidRPr="00CB161E">
        <w:rPr>
          <w:rFonts w:cs="Times New Roman"/>
          <w:i/>
          <w:iCs/>
          <w:lang w:val="fr-CA"/>
        </w:rPr>
        <w:t>Charte</w:t>
      </w:r>
      <w:r w:rsidRPr="00CB161E">
        <w:rPr>
          <w:rFonts w:cs="Times New Roman"/>
          <w:lang w:val="fr-CA"/>
        </w:rPr>
        <w:t xml:space="preserve"> peuvent nettement faire partie du contexte historique d’un droit garanti par la </w:t>
      </w:r>
      <w:r w:rsidRPr="00CB161E">
        <w:rPr>
          <w:rFonts w:cs="Times New Roman"/>
          <w:i/>
          <w:iCs/>
          <w:lang w:val="fr-CA"/>
        </w:rPr>
        <w:t>Charte</w:t>
      </w:r>
      <w:r w:rsidRPr="00CB161E">
        <w:rPr>
          <w:rFonts w:cs="Times New Roman"/>
          <w:lang w:val="fr-CA"/>
        </w:rPr>
        <w:t xml:space="preserve"> et éclairer sur la façon dont il a été établi. Dans un tel cas, le fait que le Canada est ou non partie à de tels instruments a moins d’importance, car les [</w:t>
      </w:r>
      <w:r w:rsidRPr="00CB161E">
        <w:rPr>
          <w:rFonts w:cs="Times New Roman"/>
          <w:smallCaps/>
          <w:lang w:val="fr-CA"/>
        </w:rPr>
        <w:t>traduction</w:t>
      </w:r>
      <w:r w:rsidRPr="00CB161E">
        <w:rPr>
          <w:rFonts w:cs="Times New Roman"/>
          <w:lang w:val="fr-CA"/>
        </w:rPr>
        <w:t xml:space="preserve">] « rédacteurs de la </w:t>
      </w:r>
      <w:r w:rsidRPr="00CB161E">
        <w:rPr>
          <w:rFonts w:cs="Times New Roman"/>
          <w:i/>
          <w:iCs/>
          <w:lang w:val="fr-CA"/>
        </w:rPr>
        <w:t>Charte</w:t>
      </w:r>
      <w:r w:rsidRPr="00CB161E">
        <w:rPr>
          <w:rFonts w:cs="Times New Roman"/>
          <w:lang w:val="fr-CA"/>
        </w:rPr>
        <w:t xml:space="preserve"> se sont inspirés des conventions internationales parce qu’elles constituent les meilleurs modèles de protection des droits, et non parce que le Canada les avait ratifiées » : L. E. Weinrib, « A Primer on International Law and the Canadian Charter » (2006), 21 </w:t>
      </w:r>
      <w:r w:rsidR="005C1108">
        <w:rPr>
          <w:rFonts w:cs="Times New Roman"/>
          <w:i/>
          <w:lang w:val="fr-CA"/>
        </w:rPr>
        <w:t>R</w:t>
      </w:r>
      <w:r w:rsidRPr="00CB161E">
        <w:rPr>
          <w:rFonts w:cs="Times New Roman"/>
          <w:i/>
          <w:lang w:val="fr-CA"/>
        </w:rPr>
        <w:t>.</w:t>
      </w:r>
      <w:r w:rsidR="005C1108">
        <w:rPr>
          <w:rFonts w:cs="Times New Roman"/>
          <w:i/>
          <w:lang w:val="fr-CA"/>
        </w:rPr>
        <w:t>N.D.C.</w:t>
      </w:r>
      <w:r w:rsidRPr="00CB161E">
        <w:rPr>
          <w:rFonts w:cs="Times New Roman"/>
          <w:lang w:val="fr-CA"/>
        </w:rPr>
        <w:t xml:space="preserve"> 313, p. 324. En l’espèce, donc, le contexte du </w:t>
      </w:r>
      <w:r w:rsidRPr="00CB161E">
        <w:rPr>
          <w:rFonts w:cs="Times New Roman"/>
          <w:i/>
          <w:iCs/>
          <w:lang w:val="fr-CA"/>
        </w:rPr>
        <w:t>Bill of Rights</w:t>
      </w:r>
      <w:r w:rsidRPr="00CB161E">
        <w:rPr>
          <w:rFonts w:cs="Times New Roman"/>
          <w:lang w:val="fr-CA"/>
        </w:rPr>
        <w:t xml:space="preserve"> anglais et du Huitième amendement est très pertinent, car ces deux instruments contiennent chacun des protections similaires — mais pas identiques, il importe de le mentionner — à la protection prévue à l’art. 12, comme nous l’avons expliqué précédemment. De même, il est tout à fait indiqué et pertinent d’examiner la </w:t>
      </w:r>
      <w:r w:rsidRPr="00CB161E">
        <w:rPr>
          <w:rFonts w:cs="Times New Roman"/>
          <w:i/>
          <w:iCs/>
          <w:lang w:val="fr-CA"/>
        </w:rPr>
        <w:t>Déclaration universelle des droits de l’homme</w:t>
      </w:r>
      <w:r w:rsidRPr="00CB161E">
        <w:rPr>
          <w:rFonts w:cs="Times New Roman"/>
          <w:lang w:val="fr-CA"/>
        </w:rPr>
        <w:t xml:space="preserve">, A.G. Rés. 217 A (III), Doc. N.U. A/810, p. 71 (1948), en faveur de laquelle le Canada a voté et qui a inspiré le </w:t>
      </w:r>
      <w:r w:rsidRPr="00CB161E">
        <w:rPr>
          <w:rFonts w:cs="Times New Roman"/>
          <w:i/>
          <w:lang w:val="fr-CA"/>
        </w:rPr>
        <w:t>PIRDCP</w:t>
      </w:r>
      <w:r w:rsidRPr="00CB161E">
        <w:rPr>
          <w:rFonts w:cs="Times New Roman"/>
          <w:lang w:val="fr-CA"/>
        </w:rPr>
        <w:t xml:space="preserve">, le </w:t>
      </w:r>
      <w:r w:rsidRPr="00CB161E">
        <w:rPr>
          <w:rFonts w:cs="Times New Roman"/>
          <w:i/>
          <w:iCs/>
          <w:lang w:val="fr-CA"/>
        </w:rPr>
        <w:t xml:space="preserve">Pacte international relatif aux </w:t>
      </w:r>
      <w:r w:rsidRPr="00CB161E">
        <w:rPr>
          <w:rFonts w:cs="Times New Roman"/>
          <w:i/>
          <w:iCs/>
          <w:lang w:val="fr-CA"/>
        </w:rPr>
        <w:lastRenderedPageBreak/>
        <w:t>droits économiques, sociaux et culturels</w:t>
      </w:r>
      <w:r w:rsidRPr="00CB161E">
        <w:rPr>
          <w:rFonts w:cs="Times New Roman"/>
          <w:iCs/>
          <w:lang w:val="fr-CA"/>
        </w:rPr>
        <w:t>, R.T. Can. 1976 n</w:t>
      </w:r>
      <w:r w:rsidRPr="00CB161E">
        <w:rPr>
          <w:rFonts w:cs="Times New Roman"/>
          <w:iCs/>
          <w:vertAlign w:val="superscript"/>
          <w:lang w:val="fr-CA"/>
        </w:rPr>
        <w:t xml:space="preserve">o </w:t>
      </w:r>
      <w:r w:rsidRPr="00CB161E">
        <w:rPr>
          <w:rFonts w:cs="Times New Roman"/>
          <w:iCs/>
          <w:lang w:val="fr-CA"/>
        </w:rPr>
        <w:t>46,</w:t>
      </w:r>
      <w:r w:rsidRPr="00CB161E">
        <w:rPr>
          <w:rFonts w:cs="Times New Roman"/>
          <w:lang w:val="fr-CA"/>
        </w:rPr>
        <w:t xml:space="preserve"> et les protocoles connexes que le Canada a ratifiés : Weinrib, p. 317.</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En ce qui concerne les instruments postérieurs à la </w:t>
      </w:r>
      <w:r w:rsidRPr="00CB161E">
        <w:rPr>
          <w:rFonts w:cs="Times New Roman"/>
          <w:i/>
          <w:iCs/>
          <w:lang w:val="fr-CA"/>
        </w:rPr>
        <w:t>Charte</w:t>
      </w:r>
      <w:r w:rsidRPr="00CB161E">
        <w:rPr>
          <w:rFonts w:cs="Times New Roman"/>
          <w:lang w:val="fr-CA"/>
        </w:rPr>
        <w:t xml:space="preserve">, toutefois, une fois de plus la question consiste à se demander si ces instruments lient le Canada et, par extension, s’ils font intervenir la présomption de conformité. Il est aisé de constater qu’un instrument postérieur à la </w:t>
      </w:r>
      <w:r w:rsidRPr="00CB161E">
        <w:rPr>
          <w:rFonts w:cs="Times New Roman"/>
          <w:i/>
          <w:iCs/>
          <w:lang w:val="fr-CA"/>
        </w:rPr>
        <w:t>Charte</w:t>
      </w:r>
      <w:r w:rsidRPr="00CB161E">
        <w:rPr>
          <w:rFonts w:cs="Times New Roman"/>
          <w:lang w:val="fr-CA"/>
        </w:rPr>
        <w:t xml:space="preserve"> qui ne lie pas le Canada a une valeur interprétative beaucoup moins grande qu’un instrument qui lie le Canada, qui a contribué à l’élaboration de la </w:t>
      </w:r>
      <w:r w:rsidRPr="00CB161E">
        <w:rPr>
          <w:rFonts w:cs="Times New Roman"/>
          <w:i/>
          <w:iCs/>
          <w:lang w:val="fr-CA"/>
        </w:rPr>
        <w:t>Charte</w:t>
      </w:r>
      <w:r w:rsidRPr="00CB161E">
        <w:rPr>
          <w:rFonts w:cs="Times New Roman"/>
          <w:lang w:val="fr-CA"/>
        </w:rPr>
        <w:t>, ou les deux.</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Enfin, nous nous penchons sur les décisions des tribunaux étrangers et internationaux. Dans l’arrêt </w:t>
      </w:r>
      <w:r w:rsidRPr="00CB161E">
        <w:rPr>
          <w:rFonts w:cs="Times New Roman"/>
          <w:i/>
          <w:lang w:val="fr-CA"/>
        </w:rPr>
        <w:t>Re PSERA</w:t>
      </w:r>
      <w:r w:rsidRPr="00CB161E">
        <w:rPr>
          <w:rFonts w:cs="Times New Roman"/>
          <w:lang w:val="fr-CA"/>
        </w:rPr>
        <w:t xml:space="preserve">, ces décisions ont été incluses dans la catégorie des instruments non contraignants qui « sont pertinents et peuvent être persuasifs » : p. 348. Une prudence particulière s’impose toutefois lorsqu’on se reporte à ce que les autres pays font dans leur droit interne, car les mesures en vigueur à l’étranger nous renseignent peu (voire pas du tout) sur la portée des droits inscrits dans la </w:t>
      </w:r>
      <w:r w:rsidRPr="00CB161E">
        <w:rPr>
          <w:rFonts w:cs="Times New Roman"/>
          <w:i/>
          <w:iCs/>
          <w:lang w:val="fr-CA"/>
        </w:rPr>
        <w:t>Charte</w:t>
      </w:r>
      <w:r w:rsidRPr="00CB161E">
        <w:rPr>
          <w:rFonts w:cs="Times New Roman"/>
          <w:lang w:val="fr-CA"/>
        </w:rPr>
        <w:t xml:space="preserve"> canadienne </w:t>
      </w:r>
      <w:r w:rsidRPr="007E76AD">
        <w:rPr>
          <w:rFonts w:cs="Times New Roman"/>
          <w:lang w:val="en-US"/>
        </w:rPr>
        <w:t>⸺</w:t>
      </w:r>
      <w:r w:rsidRPr="00CB161E">
        <w:rPr>
          <w:rFonts w:cs="Times New Roman"/>
          <w:lang w:val="fr-CA"/>
        </w:rPr>
        <w:t xml:space="preserve"> un point sur lequel la Cour a insisté dans l’arrêt </w:t>
      </w:r>
      <w:r w:rsidRPr="00CB161E">
        <w:rPr>
          <w:rFonts w:cs="Times New Roman"/>
          <w:i/>
          <w:iCs/>
          <w:lang w:val="fr-CA"/>
        </w:rPr>
        <w:t>Frank c. Canada (Procureur général)</w:t>
      </w:r>
      <w:r w:rsidRPr="00CB161E">
        <w:rPr>
          <w:rFonts w:cs="Times New Roman"/>
          <w:lang w:val="fr-CA"/>
        </w:rPr>
        <w:t>, 2019 CSC 1, [2019] 1 R.C.S. 3, par. 62.</w:t>
      </w:r>
      <w:r w:rsidRPr="00CB161E">
        <w:rPr>
          <w:rFonts w:cs="Times New Roman"/>
          <w:i/>
          <w:lang w:val="fr-CA"/>
        </w:rPr>
        <w:t xml:space="preserve"> </w:t>
      </w:r>
      <w:r w:rsidRPr="00CB161E">
        <w:rPr>
          <w:rFonts w:cs="Times New Roman"/>
          <w:lang w:val="fr-CA"/>
        </w:rPr>
        <w:t>Comme l’a expliqué Michel Bastarache, [</w:t>
      </w:r>
      <w:r w:rsidRPr="00CB161E">
        <w:rPr>
          <w:rFonts w:cs="Times New Roman"/>
          <w:smallCaps/>
          <w:lang w:val="fr-CA"/>
        </w:rPr>
        <w:t>traduction</w:t>
      </w:r>
      <w:r w:rsidRPr="00CB161E">
        <w:rPr>
          <w:rFonts w:cs="Times New Roman"/>
          <w:lang w:val="fr-CA"/>
        </w:rPr>
        <w:t xml:space="preserve">] « [l]a logique utilisée par d’autres tribunaux constitue des indications pour les tribunaux canadiens plutôt que des précédents à suivre » et « il est important de souligner que toutes les décisions des tribunaux étrangers influencent en fin de compte le droit canadien sur la base de leur valeur </w:t>
      </w:r>
      <w:r w:rsidRPr="00CB161E">
        <w:rPr>
          <w:rFonts w:cs="Times New Roman"/>
          <w:lang w:val="fr-CA"/>
        </w:rPr>
        <w:lastRenderedPageBreak/>
        <w:t>persuasive plutôt que de leur valeur contraignante » : « How I</w:t>
      </w:r>
      <w:r w:rsidR="0040446A">
        <w:rPr>
          <w:rFonts w:cs="Times New Roman"/>
          <w:lang w:val="fr-CA"/>
        </w:rPr>
        <w:t>nternationalization of the Law h</w:t>
      </w:r>
      <w:r w:rsidRPr="00CB161E">
        <w:rPr>
          <w:rFonts w:cs="Times New Roman"/>
          <w:lang w:val="fr-CA"/>
        </w:rPr>
        <w:t xml:space="preserve">as Materialized in Canada » (2009), 59 </w:t>
      </w:r>
      <w:r w:rsidRPr="00CB161E">
        <w:rPr>
          <w:rFonts w:cs="Times New Roman"/>
          <w:i/>
          <w:sz w:val="23"/>
          <w:szCs w:val="23"/>
          <w:lang w:val="fr-CA"/>
        </w:rPr>
        <w:t>R.D. U.N.</w:t>
      </w:r>
      <w:r w:rsidRPr="00CB161E">
        <w:rPr>
          <w:rFonts w:cs="Times New Roman"/>
          <w:i/>
          <w:sz w:val="23"/>
          <w:szCs w:val="23"/>
          <w:lang w:val="fr-CA"/>
        </w:rPr>
        <w:noBreakHyphen/>
        <w:t>B.</w:t>
      </w:r>
      <w:r w:rsidRPr="00CB161E">
        <w:rPr>
          <w:rFonts w:cs="Times New Roman"/>
          <w:lang w:val="fr-CA"/>
        </w:rPr>
        <w:t> 190, p. 196.</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Bien que notre collègue mentionne que son examen de la jurisprudence interne étrangère n’est « pas déterminant » et que cet examen « appuie » son analyse (motifs de la juge Abella, par. 118), la jurisprudence des tribunaux étrangers et internationaux semble imprégner son analyse à divers moments sans qu’elle n’explique le rôle de cette jurisprudence dans le processus d’interprétation. Soit dit en tout respect, l’examen qu’elle fait de ces sources ne permet pas réellement d’expliquer de quelle manière celles</w:t>
      </w:r>
      <w:r w:rsidRPr="00CB161E">
        <w:rPr>
          <w:rFonts w:cs="Times New Roman"/>
          <w:lang w:val="fr-CA"/>
        </w:rPr>
        <w:noBreakHyphen/>
        <w:t>ci sont instructives, comment elles sont utilisées ou pourquoi notre collègue s’appuie sur elles en particulier. De fait, la juge Abella examine diverses sources de droit international et de droit comparé et leur accorde une valeur interprétative qu’elle ne précise pas, mais qui semble équivalente. Cela est particul</w:t>
      </w:r>
      <w:r w:rsidR="0040446A">
        <w:rPr>
          <w:rFonts w:cs="Times New Roman"/>
          <w:lang w:val="fr-CA"/>
        </w:rPr>
        <w:t>ièrement évident aux par. 99-</w:t>
      </w:r>
      <w:r w:rsidRPr="00CB161E">
        <w:rPr>
          <w:rFonts w:cs="Times New Roman"/>
          <w:lang w:val="fr-CA"/>
        </w:rPr>
        <w:t xml:space="preserve">100 de ses motifs, où elle affirme que notre Cour « s’est fréquemment appuyée sur des sources de droit international pour l’aider à délimiter la portée et le contenu de droits garantis par la </w:t>
      </w:r>
      <w:r w:rsidRPr="00CB161E">
        <w:rPr>
          <w:rFonts w:cs="Times New Roman"/>
          <w:i/>
          <w:iCs/>
          <w:lang w:val="fr-CA"/>
        </w:rPr>
        <w:t>Charte</w:t>
      </w:r>
      <w:r w:rsidRPr="00CB161E">
        <w:rPr>
          <w:rFonts w:cs="Times New Roman"/>
          <w:lang w:val="fr-CA"/>
        </w:rPr>
        <w:t xml:space="preserve"> » et que « [t]ant les sources contraignantes que celles qui ne le sont pas se sont révélées être indispensables dans pratiquement tous les domaines du droit ». Pourtant, selon les distinctions que nous avons établies, les affaires que notre collègue cite à l’appui de cette déclaration générale portent dans une large mesure sur des instruments </w:t>
      </w:r>
      <w:r w:rsidRPr="00CB161E">
        <w:rPr>
          <w:rFonts w:cs="Times New Roman"/>
          <w:i/>
          <w:iCs/>
          <w:lang w:val="fr-CA"/>
        </w:rPr>
        <w:t>contraignants</w:t>
      </w:r>
      <w:r w:rsidRPr="00CB161E">
        <w:rPr>
          <w:rFonts w:cs="Times New Roman"/>
          <w:lang w:val="fr-CA"/>
        </w:rPr>
        <w:t> :</w:t>
      </w:r>
      <w:r w:rsidRPr="00CB161E">
        <w:rPr>
          <w:rFonts w:cs="Times New Roman"/>
          <w:i/>
          <w:lang w:val="fr-CA"/>
        </w:rPr>
        <w:t xml:space="preserve"> Office canadien de commercialisation des œufs c. Richardson</w:t>
      </w:r>
      <w:r w:rsidRPr="00CB161E">
        <w:rPr>
          <w:rFonts w:cs="Times New Roman"/>
          <w:lang w:val="fr-CA"/>
        </w:rPr>
        <w:t xml:space="preserve">, [1998] 3 R.C.S. 157, par. 58; </w:t>
      </w:r>
      <w:r w:rsidRPr="00CB161E">
        <w:rPr>
          <w:rFonts w:cs="Times New Roman"/>
          <w:i/>
          <w:lang w:val="fr-CA"/>
        </w:rPr>
        <w:t>R. c. Oakes</w:t>
      </w:r>
      <w:r w:rsidRPr="00CB161E">
        <w:rPr>
          <w:rFonts w:cs="Times New Roman"/>
          <w:lang w:val="fr-CA"/>
        </w:rPr>
        <w:t>, [1986] 1 R.C.S. 103, p. 120</w:t>
      </w:r>
      <w:r w:rsidRPr="00CB161E">
        <w:rPr>
          <w:rFonts w:cs="Times New Roman"/>
          <w:lang w:val="fr-CA"/>
        </w:rPr>
        <w:noBreakHyphen/>
        <w:t xml:space="preserve">121; </w:t>
      </w:r>
      <w:r w:rsidRPr="00CB161E">
        <w:rPr>
          <w:rFonts w:cs="Times New Roman"/>
          <w:i/>
          <w:lang w:val="fr-CA"/>
        </w:rPr>
        <w:t xml:space="preserve">Health </w:t>
      </w:r>
      <w:r w:rsidRPr="00DB7216">
        <w:rPr>
          <w:rFonts w:cs="Times New Roman"/>
          <w:i/>
          <w:lang w:val="fr-CA"/>
        </w:rPr>
        <w:t>Services</w:t>
      </w:r>
      <w:r w:rsidRPr="00CB161E">
        <w:rPr>
          <w:rFonts w:cs="Times New Roman"/>
          <w:lang w:val="fr-CA"/>
        </w:rPr>
        <w:t>, par. 70</w:t>
      </w:r>
      <w:r w:rsidRPr="00CB161E">
        <w:rPr>
          <w:rFonts w:cs="Times New Roman"/>
          <w:lang w:val="fr-CA"/>
        </w:rPr>
        <w:noBreakHyphen/>
        <w:t xml:space="preserve">71; </w:t>
      </w:r>
      <w:r w:rsidR="00DB7216">
        <w:rPr>
          <w:rFonts w:cs="Times New Roman"/>
          <w:i/>
          <w:lang w:val="fr-CA"/>
        </w:rPr>
        <w:t>R. c. Smith</w:t>
      </w:r>
      <w:r w:rsidRPr="00CB161E">
        <w:rPr>
          <w:rFonts w:cs="Times New Roman"/>
          <w:lang w:val="fr-CA"/>
        </w:rPr>
        <w:t xml:space="preserve">, [1987] 1 R.C.S. 1045, p. 1061; </w:t>
      </w:r>
      <w:r w:rsidRPr="00CB161E">
        <w:rPr>
          <w:rFonts w:cs="Times New Roman"/>
          <w:i/>
          <w:lang w:val="fr-CA"/>
        </w:rPr>
        <w:t>Ktunaxa</w:t>
      </w:r>
      <w:r w:rsidRPr="00CB161E">
        <w:rPr>
          <w:rFonts w:cs="Times New Roman"/>
          <w:lang w:val="fr-CA"/>
        </w:rPr>
        <w:t>, par. 64</w:t>
      </w:r>
      <w:r w:rsidRPr="00CB161E">
        <w:rPr>
          <w:rFonts w:cs="Times New Roman"/>
          <w:lang w:val="fr-CA"/>
        </w:rPr>
        <w:noBreakHyphen/>
        <w:t xml:space="preserve">65; </w:t>
      </w:r>
      <w:r w:rsidRPr="00CB161E">
        <w:rPr>
          <w:rFonts w:cs="Times New Roman"/>
          <w:i/>
          <w:lang w:val="fr-CA"/>
        </w:rPr>
        <w:t xml:space="preserve">Saskatchewan Federation of </w:t>
      </w:r>
      <w:r w:rsidRPr="00CB161E">
        <w:rPr>
          <w:rFonts w:cs="Times New Roman"/>
          <w:i/>
          <w:lang w:val="fr-CA"/>
        </w:rPr>
        <w:lastRenderedPageBreak/>
        <w:t>Labour</w:t>
      </w:r>
      <w:r w:rsidRPr="00CB161E">
        <w:rPr>
          <w:rFonts w:cs="Times New Roman"/>
          <w:lang w:val="fr-CA"/>
        </w:rPr>
        <w:t>,</w:t>
      </w:r>
      <w:r w:rsidRPr="00CB161E">
        <w:rPr>
          <w:rFonts w:cs="Times New Roman"/>
          <w:i/>
          <w:lang w:val="fr-CA"/>
        </w:rPr>
        <w:t xml:space="preserve"> </w:t>
      </w:r>
      <w:r w:rsidRPr="00CB161E">
        <w:rPr>
          <w:rFonts w:cs="Times New Roman"/>
          <w:lang w:val="fr-CA"/>
        </w:rPr>
        <w:t>par. 65</w:t>
      </w:r>
      <w:r w:rsidRPr="00CB161E">
        <w:rPr>
          <w:rFonts w:cs="Times New Roman"/>
          <w:lang w:val="fr-CA"/>
        </w:rPr>
        <w:noBreakHyphen/>
        <w:t>70. Comme nous l’avons déjà expliqué plus tôt, l’examen des instruments non contraignants dans les arrêts </w:t>
      </w:r>
      <w:r w:rsidRPr="00CB161E">
        <w:rPr>
          <w:rFonts w:cs="Times New Roman"/>
          <w:i/>
          <w:lang w:val="fr-CA"/>
        </w:rPr>
        <w:t xml:space="preserve">Saskatchewan Federation of Labour </w:t>
      </w:r>
      <w:r w:rsidRPr="00CB161E">
        <w:rPr>
          <w:rFonts w:cs="Times New Roman"/>
          <w:lang w:val="fr-CA"/>
        </w:rPr>
        <w:t xml:space="preserve">et </w:t>
      </w:r>
      <w:r w:rsidRPr="00CB161E">
        <w:rPr>
          <w:rFonts w:cs="Times New Roman"/>
          <w:i/>
          <w:lang w:val="fr-CA"/>
        </w:rPr>
        <w:t>Ktunaxa</w:t>
      </w:r>
      <w:r w:rsidRPr="00CB161E">
        <w:rPr>
          <w:rFonts w:cs="Times New Roman"/>
          <w:lang w:val="fr-CA"/>
        </w:rPr>
        <w:t xml:space="preserve"> a eu, comme il se doit, une fonction de </w:t>
      </w:r>
      <w:r w:rsidRPr="00CB161E">
        <w:rPr>
          <w:rFonts w:cs="Times New Roman"/>
          <w:i/>
          <w:iCs/>
          <w:lang w:val="fr-CA"/>
        </w:rPr>
        <w:t>confirmation</w:t>
      </w:r>
      <w:r w:rsidRPr="00CB161E">
        <w:rPr>
          <w:rFonts w:cs="Times New Roman"/>
          <w:lang w:val="fr-CA"/>
        </w:rPr>
        <w:t>.</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Les arrêts </w:t>
      </w:r>
      <w:r w:rsidRPr="00CB161E">
        <w:rPr>
          <w:rFonts w:cs="Times New Roman"/>
          <w:i/>
          <w:iCs/>
          <w:lang w:val="fr-CA"/>
        </w:rPr>
        <w:t>Suresh c. Canada (Ministre de la Citoyenneté et de l’Immigration)</w:t>
      </w:r>
      <w:r w:rsidRPr="00CB161E">
        <w:rPr>
          <w:rFonts w:cs="Times New Roman"/>
          <w:lang w:val="fr-CA"/>
        </w:rPr>
        <w:t xml:space="preserve">, 2002 CSC 1, [2002] 1 R.C.S. 3, </w:t>
      </w:r>
      <w:r w:rsidRPr="00CB161E">
        <w:rPr>
          <w:rFonts w:cs="Times New Roman"/>
          <w:i/>
          <w:iCs/>
          <w:lang w:val="fr-CA"/>
        </w:rPr>
        <w:t xml:space="preserve">Renvoi </w:t>
      </w:r>
      <w:r w:rsidR="00DB7216">
        <w:rPr>
          <w:rFonts w:cs="Times New Roman"/>
          <w:i/>
          <w:iCs/>
          <w:lang w:val="fr-CA"/>
        </w:rPr>
        <w:t>relatif à</w:t>
      </w:r>
      <w:r w:rsidRPr="00CB161E">
        <w:rPr>
          <w:rFonts w:cs="Times New Roman"/>
          <w:i/>
          <w:iCs/>
          <w:lang w:val="fr-CA"/>
        </w:rPr>
        <w:t xml:space="preserve"> la</w:t>
      </w:r>
      <w:r w:rsidRPr="00CB161E">
        <w:rPr>
          <w:rFonts w:cs="Times New Roman"/>
          <w:lang w:val="fr-CA"/>
        </w:rPr>
        <w:t xml:space="preserve"> </w:t>
      </w:r>
      <w:r w:rsidRPr="00CB161E">
        <w:rPr>
          <w:rFonts w:cs="Times New Roman"/>
          <w:i/>
          <w:iCs/>
          <w:lang w:val="fr-CA"/>
        </w:rPr>
        <w:t xml:space="preserve">Motor Vehicle Act </w:t>
      </w:r>
      <w:r w:rsidR="00DB7216">
        <w:rPr>
          <w:rFonts w:cs="Times New Roman"/>
          <w:i/>
          <w:iCs/>
          <w:lang w:val="fr-CA"/>
        </w:rPr>
        <w:t>de la C.</w:t>
      </w:r>
      <w:r w:rsidR="00DB7216">
        <w:rPr>
          <w:rFonts w:cs="Times New Roman"/>
          <w:i/>
          <w:iCs/>
          <w:lang w:val="fr-CA"/>
        </w:rPr>
        <w:noBreakHyphen/>
        <w:t>B.</w:t>
      </w:r>
      <w:r w:rsidRPr="00CB161E">
        <w:rPr>
          <w:rFonts w:cs="Times New Roman"/>
          <w:lang w:val="fr-CA"/>
        </w:rPr>
        <w:t xml:space="preserve">, </w:t>
      </w:r>
      <w:r w:rsidR="00A359DD" w:rsidRPr="00A359DD">
        <w:rPr>
          <w:rFonts w:cs="Times New Roman"/>
          <w:i/>
          <w:lang w:val="fr-CA"/>
        </w:rPr>
        <w:t>Burns</w:t>
      </w:r>
      <w:r w:rsidR="00A359DD">
        <w:rPr>
          <w:rFonts w:cs="Times New Roman"/>
          <w:lang w:val="fr-CA"/>
        </w:rPr>
        <w:t xml:space="preserve"> ou </w:t>
      </w:r>
      <w:r w:rsidR="00A359DD" w:rsidRPr="00A359DD">
        <w:rPr>
          <w:rFonts w:cs="Times New Roman"/>
          <w:i/>
          <w:lang w:val="fr-CA"/>
        </w:rPr>
        <w:t>Kazemi</w:t>
      </w:r>
      <w:r w:rsidR="00A359DD">
        <w:rPr>
          <w:rFonts w:cs="Times New Roman"/>
          <w:lang w:val="fr-CA"/>
        </w:rPr>
        <w:t xml:space="preserve">, </w:t>
      </w:r>
      <w:r w:rsidRPr="00CB161E">
        <w:rPr>
          <w:rFonts w:cs="Times New Roman"/>
          <w:lang w:val="fr-CA"/>
        </w:rPr>
        <w:t xml:space="preserve">ne sauraient eux aussi justifier le recours à des instruments non historiques et non contraignants pour interpréter la </w:t>
      </w:r>
      <w:r w:rsidRPr="00CB161E">
        <w:rPr>
          <w:rFonts w:cs="Times New Roman"/>
          <w:i/>
          <w:iCs/>
          <w:lang w:val="fr-CA"/>
        </w:rPr>
        <w:t>Charte</w:t>
      </w:r>
      <w:r w:rsidRPr="00CB161E">
        <w:rPr>
          <w:rFonts w:cs="Times New Roman"/>
          <w:lang w:val="fr-CA"/>
        </w:rPr>
        <w:t xml:space="preserve"> en l’espèce, car ces affaires requéraient que l’on s’interroge sur l’existence d’un consensus international vu la nature des questions posées. Dans l’arrêt </w:t>
      </w:r>
      <w:r w:rsidRPr="00CB161E">
        <w:rPr>
          <w:rFonts w:cs="Times New Roman"/>
          <w:i/>
          <w:iCs/>
          <w:lang w:val="fr-CA"/>
        </w:rPr>
        <w:t>Suresh</w:t>
      </w:r>
      <w:r w:rsidRPr="00CB161E">
        <w:rPr>
          <w:rFonts w:cs="Times New Roman"/>
          <w:lang w:val="fr-CA"/>
        </w:rPr>
        <w:t>, notre Cour était appelée à décider s’il existait une norme impérative de droit international coutumier, cela l’obligeait nécessairement à considérer des sources internationales : par. 59</w:t>
      </w:r>
      <w:r w:rsidRPr="00CB161E">
        <w:rPr>
          <w:rFonts w:cs="Times New Roman"/>
          <w:lang w:val="fr-CA"/>
        </w:rPr>
        <w:noBreakHyphen/>
        <w:t xml:space="preserve">75. Le </w:t>
      </w:r>
      <w:r w:rsidRPr="00CB161E">
        <w:rPr>
          <w:rFonts w:cs="Times New Roman"/>
          <w:i/>
          <w:iCs/>
          <w:lang w:val="fr-CA"/>
        </w:rPr>
        <w:t xml:space="preserve">Renvoi </w:t>
      </w:r>
      <w:r w:rsidR="007B0C0E">
        <w:rPr>
          <w:rFonts w:cs="Times New Roman"/>
          <w:i/>
          <w:iCs/>
          <w:lang w:val="fr-CA"/>
        </w:rPr>
        <w:t>relatif à</w:t>
      </w:r>
      <w:r w:rsidRPr="00CB161E">
        <w:rPr>
          <w:rFonts w:cs="Times New Roman"/>
          <w:i/>
          <w:iCs/>
          <w:lang w:val="fr-CA"/>
        </w:rPr>
        <w:t xml:space="preserve"> la</w:t>
      </w:r>
      <w:r w:rsidRPr="00CB161E">
        <w:rPr>
          <w:rFonts w:cs="Times New Roman"/>
          <w:lang w:val="fr-CA"/>
        </w:rPr>
        <w:t xml:space="preserve"> </w:t>
      </w:r>
      <w:r w:rsidRPr="00CB161E">
        <w:rPr>
          <w:rFonts w:cs="Times New Roman"/>
          <w:i/>
          <w:iCs/>
          <w:lang w:val="fr-CA"/>
        </w:rPr>
        <w:t>Motor Vehicl</w:t>
      </w:r>
      <w:r w:rsidR="007B0C0E">
        <w:rPr>
          <w:rFonts w:cs="Times New Roman"/>
          <w:i/>
          <w:iCs/>
          <w:lang w:val="fr-CA"/>
        </w:rPr>
        <w:t>e Act de la C.</w:t>
      </w:r>
      <w:r w:rsidR="007B0C0E">
        <w:rPr>
          <w:rFonts w:cs="Times New Roman"/>
          <w:i/>
          <w:iCs/>
          <w:lang w:val="fr-CA"/>
        </w:rPr>
        <w:noBreakHyphen/>
        <w:t>B.</w:t>
      </w:r>
      <w:r w:rsidRPr="00CB161E">
        <w:rPr>
          <w:rFonts w:cs="Times New Roman"/>
          <w:lang w:val="fr-CA"/>
        </w:rPr>
        <w:t xml:space="preserve"> et les arrêts </w:t>
      </w:r>
      <w:r w:rsidRPr="00CB161E">
        <w:rPr>
          <w:rFonts w:cs="Times New Roman"/>
          <w:i/>
          <w:lang w:val="fr-CA"/>
        </w:rPr>
        <w:t xml:space="preserve">Burns </w:t>
      </w:r>
      <w:r w:rsidRPr="00CB161E">
        <w:rPr>
          <w:rFonts w:cs="Times New Roman"/>
          <w:lang w:val="fr-CA"/>
        </w:rPr>
        <w:t>et </w:t>
      </w:r>
      <w:r w:rsidRPr="00CB161E">
        <w:rPr>
          <w:rFonts w:cs="Times New Roman"/>
          <w:i/>
          <w:lang w:val="fr-CA"/>
        </w:rPr>
        <w:t>Kazemi</w:t>
      </w:r>
      <w:r w:rsidRPr="00CB161E">
        <w:rPr>
          <w:rFonts w:cs="Times New Roman"/>
          <w:lang w:val="fr-CA"/>
        </w:rPr>
        <w:t xml:space="preserve">, en revanche, portaient sur les principes de justice fondamentale visés à l’art. 7. La détermination de ces principes peut nécessiter l’examen de sources internationales, puisque l’analyse exige l’établissement d’un « consensus [. . .] dans la société » : </w:t>
      </w:r>
      <w:r w:rsidRPr="00CB161E">
        <w:rPr>
          <w:rFonts w:cs="Times New Roman"/>
          <w:i/>
          <w:lang w:val="fr-CA"/>
        </w:rPr>
        <w:t>Kazemi</w:t>
      </w:r>
      <w:r w:rsidRPr="00CB161E">
        <w:rPr>
          <w:rFonts w:cs="Times New Roman"/>
          <w:lang w:val="fr-CA"/>
        </w:rPr>
        <w:t xml:space="preserve">, par. 139 et 150; </w:t>
      </w:r>
      <w:r w:rsidRPr="00CB161E">
        <w:rPr>
          <w:rFonts w:cs="Times New Roman"/>
          <w:i/>
          <w:iCs/>
          <w:lang w:val="fr-CA"/>
        </w:rPr>
        <w:t xml:space="preserve">Renvoi </w:t>
      </w:r>
      <w:r w:rsidR="005551D8">
        <w:rPr>
          <w:rFonts w:cs="Times New Roman"/>
          <w:i/>
          <w:iCs/>
          <w:lang w:val="fr-CA"/>
        </w:rPr>
        <w:t>relatif à</w:t>
      </w:r>
      <w:r w:rsidRPr="00CB161E">
        <w:rPr>
          <w:rFonts w:cs="Times New Roman"/>
          <w:i/>
          <w:iCs/>
          <w:lang w:val="fr-CA"/>
        </w:rPr>
        <w:t xml:space="preserve"> la</w:t>
      </w:r>
      <w:r w:rsidRPr="00CB161E">
        <w:rPr>
          <w:rFonts w:cs="Times New Roman"/>
          <w:lang w:val="fr-CA"/>
        </w:rPr>
        <w:t xml:space="preserve"> </w:t>
      </w:r>
      <w:r w:rsidR="005551D8">
        <w:rPr>
          <w:rFonts w:cs="Times New Roman"/>
          <w:i/>
          <w:iCs/>
          <w:lang w:val="fr-CA"/>
        </w:rPr>
        <w:t>Motor Vehicle Act de la C.</w:t>
      </w:r>
      <w:r w:rsidR="005551D8">
        <w:rPr>
          <w:rFonts w:cs="Times New Roman"/>
          <w:i/>
          <w:iCs/>
          <w:lang w:val="fr-CA"/>
        </w:rPr>
        <w:noBreakHyphen/>
        <w:t>B.</w:t>
      </w:r>
      <w:r w:rsidRPr="00CB161E">
        <w:rPr>
          <w:rFonts w:cs="Times New Roman"/>
          <w:lang w:val="fr-CA"/>
        </w:rPr>
        <w:t xml:space="preserve">, p. 503; </w:t>
      </w:r>
      <w:r w:rsidRPr="00CB161E">
        <w:rPr>
          <w:rFonts w:cs="Times New Roman"/>
          <w:i/>
          <w:lang w:val="fr-CA"/>
        </w:rPr>
        <w:t>Burns</w:t>
      </w:r>
      <w:r w:rsidRPr="00CB161E">
        <w:rPr>
          <w:rFonts w:cs="Times New Roman"/>
          <w:lang w:val="fr-CA"/>
        </w:rPr>
        <w:t>, par. 79</w:t>
      </w:r>
      <w:r w:rsidRPr="00CB161E">
        <w:rPr>
          <w:rFonts w:cs="Times New Roman"/>
          <w:lang w:val="fr-CA"/>
        </w:rPr>
        <w:noBreakHyphen/>
        <w:t>81.</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 xml:space="preserve">Comme le démontre abondamment la jurisprudence de la Cour, la valeur normative et le poids accordés aux sources de droit international et de droit comparé ont été conçus pour refléter la nature de la source dont il est question et son lien avec notre Constitution. Réaffirmer cette exigence ne saurait raisonnablement être qualifiée </w:t>
      </w:r>
      <w:r w:rsidRPr="00CB161E">
        <w:rPr>
          <w:rFonts w:cs="Times New Roman"/>
          <w:lang w:val="fr-CA"/>
        </w:rPr>
        <w:lastRenderedPageBreak/>
        <w:t>d’exigence « inédite », quelle que soit la vigueur ou l’emphase des dénonciations à cet effet de notre collègue la juge Abella.</w:t>
      </w:r>
    </w:p>
    <w:p w:rsidR="00CB161E" w:rsidRPr="00CB161E" w:rsidRDefault="00CB161E" w:rsidP="00CB161E">
      <w:pPr>
        <w:pStyle w:val="ParaNoNdepar-AltN"/>
        <w:tabs>
          <w:tab w:val="clear" w:pos="1152"/>
          <w:tab w:val="left" w:pos="1166"/>
        </w:tabs>
        <w:spacing w:before="0"/>
        <w:rPr>
          <w:rFonts w:cs="Times New Roman"/>
          <w:lang w:val="fr-CA"/>
        </w:rPr>
      </w:pPr>
      <w:r w:rsidRPr="00CB161E">
        <w:rPr>
          <w:rFonts w:cs="Times New Roman"/>
          <w:lang w:val="fr-CA"/>
        </w:rPr>
        <w:t>En définitive, les tribunaux doivent faire attention de ne pas amalgamer indistinctement les facteurs traditionnels énoncés dans l’arrêt </w:t>
      </w:r>
      <w:r w:rsidRPr="00CB161E">
        <w:rPr>
          <w:rFonts w:cs="Times New Roman"/>
          <w:i/>
          <w:iCs/>
          <w:lang w:val="fr-CA"/>
        </w:rPr>
        <w:t>Big M Drug Mart</w:t>
      </w:r>
      <w:r w:rsidRPr="00CB161E">
        <w:rPr>
          <w:rFonts w:cs="Times New Roman"/>
          <w:lang w:val="fr-CA"/>
        </w:rPr>
        <w:t xml:space="preserve"> avec le droit international et le droit comparé. L’analyse doit reposer principalement sur les facteurs traditionnels et ne faire appel au droit international et au droit comparé que quand il convient de le faire, et être accompagnée d’une explication sur les raisons pour lesquelles une source non contraignante est prise en compte et comment elle est utilisée, notamment quel poids persuasif lui est accordé. Avec égards, les motifs de notre collègue la juge Abella ne respectent pas cette démarche. Il s’ensuit que la jurisprudence et les instruments internationaux et étrangers dominent dans son analyse, contrairement aux enseignements de la Cour sur l’interprétation constitutionnelle. Bien que ce changement d’approche ne soit pas déterminant en l’espèce, il pourrait très bien l’être dans une autre affaire. Par conséquent, nous concluons qu’il est essentiel de réitérer la démarche qu’il convient de suivre en matière d’interprétation de la </w:t>
      </w:r>
      <w:r w:rsidRPr="00CB161E">
        <w:rPr>
          <w:rFonts w:cs="Times New Roman"/>
          <w:i/>
          <w:iCs/>
          <w:lang w:val="fr-CA"/>
        </w:rPr>
        <w:t>Charte</w:t>
      </w:r>
      <w:r w:rsidRPr="00CB161E">
        <w:rPr>
          <w:rFonts w:cs="Times New Roman"/>
          <w:lang w:val="fr-CA"/>
        </w:rPr>
        <w:t>.</w:t>
      </w:r>
    </w:p>
    <w:p w:rsidR="00CB161E" w:rsidRPr="007E76AD" w:rsidRDefault="00CB161E" w:rsidP="00CB161E">
      <w:pPr>
        <w:pStyle w:val="Title1LevelTitre1Niveau-AltL"/>
        <w:spacing w:before="0"/>
        <w:rPr>
          <w:rFonts w:cs="Times New Roman"/>
        </w:rPr>
      </w:pPr>
      <w:r w:rsidRPr="007E76AD">
        <w:rPr>
          <w:rFonts w:cs="Times New Roman"/>
        </w:rPr>
        <w:t>Conclusion</w:t>
      </w:r>
    </w:p>
    <w:p w:rsidR="00CB161E" w:rsidRPr="00D56DE1" w:rsidRDefault="00CB161E" w:rsidP="00CB161E">
      <w:pPr>
        <w:pStyle w:val="ParaNoNdepar-AltN"/>
        <w:tabs>
          <w:tab w:val="clear" w:pos="1152"/>
          <w:tab w:val="left" w:pos="1166"/>
        </w:tabs>
        <w:spacing w:before="0"/>
        <w:rPr>
          <w:rStyle w:val="SCCCounselPartyRoleChar"/>
          <w:rFonts w:cs="Times New Roman"/>
          <w:lang w:val="fr-CA"/>
        </w:rPr>
      </w:pPr>
      <w:r w:rsidRPr="00CB161E">
        <w:rPr>
          <w:rFonts w:cs="Times New Roman"/>
          <w:lang w:val="fr-CA"/>
        </w:rPr>
        <w:t>Nous sommes d’avis d’accueillir le pourvoi et d’annuler l’arrêt de la Cour d’appel.</w:t>
      </w:r>
    </w:p>
    <w:p w:rsidR="00182BDC" w:rsidRPr="00D56DE1" w:rsidRDefault="00CB161E" w:rsidP="00FB3954">
      <w:pPr>
        <w:spacing w:after="480" w:line="480" w:lineRule="auto"/>
        <w:ind w:firstLine="1170"/>
        <w:rPr>
          <w:szCs w:val="24"/>
          <w:lang w:val="fr-CA"/>
        </w:rPr>
      </w:pPr>
      <w:r w:rsidRPr="00527155">
        <w:rPr>
          <w:szCs w:val="24"/>
          <w:lang w:val="fr-CA"/>
        </w:rPr>
        <w:t>Version</w:t>
      </w:r>
      <w:r>
        <w:rPr>
          <w:szCs w:val="24"/>
          <w:lang w:val="fr-CA"/>
        </w:rPr>
        <w:t xml:space="preserve"> française des motifs des juges </w:t>
      </w:r>
      <w:r w:rsidRPr="002E46F5">
        <w:rPr>
          <w:szCs w:val="24"/>
          <w:lang w:val="fr-CA"/>
        </w:rPr>
        <w:t>Abella, Karakatsanis and Martin</w:t>
      </w:r>
      <w:r>
        <w:rPr>
          <w:szCs w:val="24"/>
          <w:lang w:val="fr-CA"/>
        </w:rPr>
        <w:t xml:space="preserve"> rendus par</w:t>
      </w:r>
    </w:p>
    <w:p w:rsidR="00182BDC" w:rsidRPr="008C13CD" w:rsidRDefault="00D56DE1" w:rsidP="00182BDC">
      <w:pPr>
        <w:pStyle w:val="ParaNoNdepar-AltN"/>
        <w:spacing w:before="0"/>
        <w:rPr>
          <w:rFonts w:cs="Times New Roman"/>
          <w:lang w:val="fr-CA"/>
        </w:rPr>
      </w:pPr>
      <w:r w:rsidRPr="00D56DE1">
        <w:rPr>
          <w:smallCaps/>
          <w:lang w:val="fr-CA"/>
        </w:rPr>
        <w:lastRenderedPageBreak/>
        <w:t>La juge Abella</w:t>
      </w:r>
      <w:r w:rsidRPr="00D56DE1">
        <w:rPr>
          <w:lang w:val="fr-CA"/>
        </w:rPr>
        <w:t xml:space="preserve"> — </w:t>
      </w:r>
      <w:r w:rsidR="00182BDC" w:rsidRPr="008C13CD">
        <w:rPr>
          <w:rFonts w:cs="Times New Roman"/>
          <w:lang w:val="fr-CA"/>
        </w:rPr>
        <w:t xml:space="preserve">La </w:t>
      </w:r>
      <w:r w:rsidR="00182BDC" w:rsidRPr="008C13CD">
        <w:rPr>
          <w:rFonts w:cs="Times New Roman"/>
          <w:i/>
          <w:lang w:val="fr-CA"/>
        </w:rPr>
        <w:t>Charte canadienne des droits et libertés</w:t>
      </w:r>
      <w:r w:rsidR="00182BDC" w:rsidRPr="008C13CD">
        <w:rPr>
          <w:rFonts w:cs="Times New Roman"/>
          <w:lang w:val="fr-CA"/>
        </w:rPr>
        <w:t xml:space="preserve"> a constitutionnalisé la protection des droits de la personne et des libertés civiles au Canada, confiant aux tribunaux la responsabilité d’interpréter le sens des dispositions qu’elle contient. Recourant à une approche contextuelle, la Cour a, au fil du temps, décidé qui et quoi entraient dans le champ de la protection offerte par la </w:t>
      </w:r>
      <w:r w:rsidR="00182BDC" w:rsidRPr="008C13CD">
        <w:rPr>
          <w:rFonts w:cs="Times New Roman"/>
          <w:i/>
          <w:lang w:val="fr-CA"/>
        </w:rPr>
        <w:t>Charte</w:t>
      </w:r>
      <w:r w:rsidR="00182BDC" w:rsidRPr="008C13CD">
        <w:rPr>
          <w:rFonts w:cs="Times New Roman"/>
          <w:lang w:val="fr-CA"/>
        </w:rPr>
        <w:t>.</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L’article 12 de la </w:t>
      </w:r>
      <w:r w:rsidRPr="008C13CD">
        <w:rPr>
          <w:rFonts w:cs="Times New Roman"/>
          <w:i/>
          <w:lang w:val="fr-CA"/>
        </w:rPr>
        <w:t xml:space="preserve">Charte </w:t>
      </w:r>
      <w:r w:rsidRPr="008C13CD">
        <w:rPr>
          <w:rFonts w:cs="Times New Roman"/>
          <w:lang w:val="fr-CA"/>
        </w:rPr>
        <w:t>garantit le droit à la protection contre tous traitements ou peines cruels et inusités. L’espèce est la première affaire dans laquelle la Cour est appelée à déterminer la portée de l’art. 12, c’est</w:t>
      </w:r>
      <w:r w:rsidRPr="008C13CD">
        <w:rPr>
          <w:rFonts w:cs="Times New Roman"/>
          <w:lang w:val="fr-CA"/>
        </w:rPr>
        <w:noBreakHyphen/>
        <w:t>à</w:t>
      </w:r>
      <w:r w:rsidRPr="008C13CD">
        <w:rPr>
          <w:rFonts w:cs="Times New Roman"/>
          <w:lang w:val="fr-CA"/>
        </w:rPr>
        <w:noBreakHyphen/>
        <w:t>dire qui et quoi bénéficient de la protection de cet article. Le présent pourvoi soulève la question de savoir si les personnes morales relèvent du champ d’application de cette protection.</w:t>
      </w:r>
    </w:p>
    <w:p w:rsidR="00182BDC" w:rsidRPr="008C13CD" w:rsidRDefault="00182BDC" w:rsidP="00182BDC">
      <w:pPr>
        <w:pStyle w:val="ParaNoNdepar-AltN"/>
        <w:spacing w:before="0"/>
        <w:rPr>
          <w:rFonts w:cs="Times New Roman"/>
          <w:lang w:val="fr-CA"/>
        </w:rPr>
      </w:pPr>
      <w:r w:rsidRPr="008C13CD">
        <w:rPr>
          <w:rFonts w:cs="Times New Roman"/>
          <w:lang w:val="fr-CA"/>
        </w:rPr>
        <w:t>Avec égards, l’art. 12 a pour objet d’interdire à l’État d’infliger des douleurs et des souffrances physiques ou psychologiques par des traitements ou peines dégradants et déshumanisants. Cette disposition vise à protéger la dignité humaine et à assurer le respect de la valeur inhérente de chaque personne. Les personnes censées bénéficier de cette protection sont les personnes physiques, et non pas les personnes morales.</w:t>
      </w:r>
    </w:p>
    <w:p w:rsidR="00182BDC" w:rsidRPr="008C13CD" w:rsidRDefault="00182BDC" w:rsidP="00182BDC">
      <w:pPr>
        <w:pStyle w:val="ParaNoNdepar-AltN"/>
        <w:numPr>
          <w:ilvl w:val="0"/>
          <w:numId w:val="0"/>
        </w:numPr>
        <w:spacing w:before="0"/>
        <w:rPr>
          <w:rFonts w:cs="Times New Roman"/>
          <w:u w:val="single"/>
          <w:lang w:val="fr-CA"/>
        </w:rPr>
      </w:pPr>
      <w:r w:rsidRPr="008C13CD">
        <w:rPr>
          <w:rFonts w:cs="Times New Roman"/>
          <w:u w:val="single"/>
          <w:lang w:val="fr-CA"/>
        </w:rPr>
        <w:t>Contexte</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La personne morale, 9147</w:t>
      </w:r>
      <w:r w:rsidRPr="008C13CD">
        <w:rPr>
          <w:rFonts w:cs="Times New Roman"/>
          <w:lang w:val="fr-CA"/>
        </w:rPr>
        <w:noBreakHyphen/>
        <w:t>0732 Québec inc., a été déclarée coupable d’avoir exécuté des travaux de construction en tant qu’entrepreneur</w:t>
      </w:r>
      <w:r>
        <w:rPr>
          <w:rFonts w:cs="Times New Roman"/>
          <w:lang w:val="fr-CA"/>
        </w:rPr>
        <w:t>e</w:t>
      </w:r>
      <w:r w:rsidRPr="008C13CD">
        <w:rPr>
          <w:rFonts w:cs="Times New Roman"/>
          <w:lang w:val="fr-CA"/>
        </w:rPr>
        <w:t xml:space="preserve"> sans être titulaire </w:t>
      </w:r>
      <w:r w:rsidRPr="008C13CD">
        <w:rPr>
          <w:rFonts w:cs="Times New Roman"/>
          <w:lang w:val="fr-CA"/>
        </w:rPr>
        <w:lastRenderedPageBreak/>
        <w:t xml:space="preserve">d’une licence en vigueur à cette fin, ce qui constitue l’infraction prévue à l’art. 46 de la </w:t>
      </w:r>
      <w:r w:rsidRPr="008C13CD">
        <w:rPr>
          <w:rFonts w:cs="Times New Roman"/>
          <w:i/>
          <w:lang w:val="fr-CA"/>
        </w:rPr>
        <w:t>Loi sur le bâtiment</w:t>
      </w:r>
      <w:r w:rsidRPr="008C13CD">
        <w:rPr>
          <w:rFonts w:cs="Times New Roman"/>
          <w:lang w:val="fr-CA"/>
        </w:rPr>
        <w:t>, RLRQ</w:t>
      </w:r>
      <w:r>
        <w:rPr>
          <w:rFonts w:cs="Times New Roman"/>
          <w:lang w:val="fr-CA"/>
        </w:rPr>
        <w:t>,</w:t>
      </w:r>
      <w:r w:rsidRPr="008C13CD">
        <w:rPr>
          <w:rFonts w:cs="Times New Roman"/>
          <w:lang w:val="fr-CA"/>
        </w:rPr>
        <w:t xml:space="preserve"> c. B</w:t>
      </w:r>
      <w:r w:rsidRPr="008C13CD">
        <w:rPr>
          <w:rFonts w:cs="Times New Roman"/>
          <w:lang w:val="fr-CA"/>
        </w:rPr>
        <w:noBreakHyphen/>
        <w:t>1.1 :</w:t>
      </w:r>
    </w:p>
    <w:p w:rsidR="00182BDC" w:rsidRPr="008C13CD" w:rsidRDefault="00182BDC" w:rsidP="00182BDC">
      <w:pPr>
        <w:pStyle w:val="Citation-AltC"/>
        <w:spacing w:after="240"/>
        <w:ind w:hanging="446"/>
        <w:contextualSpacing w:val="0"/>
      </w:pPr>
      <w:r w:rsidRPr="008C13CD">
        <w:rPr>
          <w:b/>
        </w:rPr>
        <w:tab/>
        <w:t xml:space="preserve">46. </w:t>
      </w:r>
      <w:r w:rsidRPr="008C13CD">
        <w:t>Nul ne peut exercer les fonctions d’entrepreneur de construction, en prendre le titre, ni donner lieu de croire qu’il est entrepreneur de construction, s’il n’est titulaire d’une licence en vigueur à cette fin.</w:t>
      </w:r>
    </w:p>
    <w:p w:rsidR="00182BDC" w:rsidRPr="008C13CD" w:rsidRDefault="00182BDC" w:rsidP="00182BDC">
      <w:pPr>
        <w:pStyle w:val="Citation-AltC"/>
        <w:ind w:hanging="446"/>
        <w:contextualSpacing w:val="0"/>
      </w:pPr>
      <w:r w:rsidRPr="008C13CD">
        <w:tab/>
        <w:t>Aucun entrepreneur ne peut utiliser, pour l’exécution de travaux de construction, les services d’un autre entrepreneur qui n’est pas titulaire d’une licence à cette fin.</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Aux termes de l’art. 197.1 de la </w:t>
      </w:r>
      <w:r w:rsidRPr="008C13CD">
        <w:rPr>
          <w:rFonts w:cs="Times New Roman"/>
          <w:i/>
          <w:lang w:val="fr-CA"/>
        </w:rPr>
        <w:t>Loi sur le bâtiment</w:t>
      </w:r>
      <w:r w:rsidRPr="008C13CD">
        <w:rPr>
          <w:rFonts w:cs="Times New Roman"/>
          <w:lang w:val="fr-CA"/>
        </w:rPr>
        <w:t>, quiconque contrevient à l’art. 46 de cette loi est passible d’une amende minimale obligatoire, dont le montant varie selon que le contrevenant est un individu ou une personne morale :</w:t>
      </w:r>
    </w:p>
    <w:p w:rsidR="00182BDC" w:rsidRPr="008C13CD" w:rsidRDefault="00182BDC" w:rsidP="00182BDC">
      <w:pPr>
        <w:pStyle w:val="Citation-AltC"/>
        <w:ind w:hanging="446"/>
        <w:contextualSpacing w:val="0"/>
      </w:pPr>
      <w:r w:rsidRPr="008C13CD">
        <w:rPr>
          <w:b/>
        </w:rPr>
        <w:tab/>
        <w:t xml:space="preserve">197.1 </w:t>
      </w:r>
      <w:r w:rsidRPr="008C13CD">
        <w:t>Quiconque contrevient à l’un des articles 46 ou 48 est passible d’une amende de 5 141 $ à 25 703 $ dans le cas d’un individu et de 15 422 $ à 77 108 $ dans le cas d’une personne morale, s’il n’est pas titulaire d’une licence ayant la catégorie ou sous</w:t>
      </w:r>
      <w:r w:rsidRPr="008C13CD">
        <w:noBreakHyphen/>
        <w:t>catégorie appropriée, et d’une amende de 10 281 $ à 77 108 $ dans le cas d’un individu et de 30 843 $ à 154 215 $ dans le cas d’une personne morale, s’il n’est pas titulaire d’une licence</w:t>
      </w:r>
      <w:r w:rsidR="006E31AE">
        <w:rPr>
          <w:rStyle w:val="FootnoteReference"/>
        </w:rPr>
        <w:footnoteReference w:id="1"/>
      </w:r>
      <w:r w:rsidR="00C117C7" w:rsidRPr="008C13CD">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lastRenderedPageBreak/>
        <w:t>Appliquant cette disposition, la Cour du Québec a infligé à 9147</w:t>
      </w:r>
      <w:r w:rsidRPr="008C13CD">
        <w:rPr>
          <w:rFonts w:cs="Times New Roman"/>
          <w:lang w:val="fr-CA"/>
        </w:rPr>
        <w:noBreakHyphen/>
        <w:t>0732 Québec inc. une amende de 30 843 $, soit le montant minimal dont était passible une personne morale à l’époque.</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 personne morale a contesté la constitutionnalité de l’amende minimale obligatoire établie à l’art. 197.1 de la </w:t>
      </w:r>
      <w:r w:rsidRPr="008C13CD">
        <w:rPr>
          <w:rFonts w:cs="Times New Roman"/>
          <w:i/>
          <w:lang w:val="fr-CA"/>
        </w:rPr>
        <w:t>Loi sur le bâtiment</w:t>
      </w:r>
      <w:r w:rsidRPr="008C13CD">
        <w:rPr>
          <w:rFonts w:cs="Times New Roman"/>
          <w:lang w:val="fr-CA"/>
        </w:rPr>
        <w:t xml:space="preserve">, au motif qu’elle portait atteinte au droit que lui garantit l’art. 12 de la </w:t>
      </w:r>
      <w:r w:rsidRPr="008C13CD">
        <w:rPr>
          <w:rFonts w:cs="Times New Roman"/>
          <w:i/>
          <w:lang w:val="fr-CA"/>
        </w:rPr>
        <w:t>Charte</w:t>
      </w:r>
      <w:r w:rsidRPr="008C13CD">
        <w:rPr>
          <w:rFonts w:cs="Times New Roman"/>
          <w:lang w:val="fr-CA"/>
        </w:rPr>
        <w:t xml:space="preserve"> à la protection contre tous traitements ou peines cruels et inusités.</w:t>
      </w:r>
    </w:p>
    <w:p w:rsidR="00182BDC" w:rsidRPr="008C13CD" w:rsidRDefault="00182BDC" w:rsidP="00182BDC">
      <w:pPr>
        <w:pStyle w:val="ParaNoNdepar-AltN"/>
        <w:tabs>
          <w:tab w:val="clear" w:pos="1152"/>
          <w:tab w:val="left" w:pos="1166"/>
        </w:tabs>
        <w:rPr>
          <w:rFonts w:cs="Times New Roman"/>
          <w:lang w:val="fr-CA"/>
        </w:rPr>
      </w:pPr>
      <w:r w:rsidRPr="008C13CD">
        <w:rPr>
          <w:rFonts w:cs="Times New Roman"/>
          <w:lang w:val="fr-CA"/>
        </w:rPr>
        <w:t>L</w:t>
      </w:r>
      <w:r>
        <w:rPr>
          <w:rFonts w:cs="Times New Roman"/>
          <w:lang w:val="fr-CA"/>
        </w:rPr>
        <w:t>a personne morale</w:t>
      </w:r>
      <w:r w:rsidRPr="008C13CD">
        <w:rPr>
          <w:rFonts w:cs="Times New Roman"/>
          <w:lang w:val="fr-CA"/>
        </w:rPr>
        <w:t xml:space="preserve"> n’a pas eu gain de cause devant la Cour du Québec, le juge Ratté ayant conclu que le fait d’étendre la protection de droits intrinsèquement liés aux personnes physiques à des droits appartenant aux personnes morales banaliserait la protection prévue à l’art. 12 de la </w:t>
      </w:r>
      <w:r w:rsidRPr="008C13CD">
        <w:rPr>
          <w:rFonts w:cs="Times New Roman"/>
          <w:i/>
          <w:lang w:val="fr-CA"/>
        </w:rPr>
        <w:t>Charte</w:t>
      </w:r>
      <w:r w:rsidRPr="008C13CD">
        <w:rPr>
          <w:rFonts w:cs="Times New Roman"/>
          <w:lang w:val="fr-CA"/>
        </w:rPr>
        <w:t>. Quoi qu’il en soit, le juge a conclu que, loin d’être cruelle et inusitée, l’amende minimale en cause représentait la norme en droit pénal réglementaire. À l’époque, aucune amende n’avait encore été invalidée par une juridiction supérieure au motif qu’elle était cruelle et inusitée, même à l’égard de personnes physiques.</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En Cour supérieure du Québec, le juge Dionne a lui aussi statué que les personnes morales ne sont pas visées par l’art. 12. Selon lui, l’art. 12 a pour objet la protection de la dignité humaine, une notion qui s’applique de toute évidence exclusivement aux « personnes physiques ».</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lastRenderedPageBreak/>
        <w:t xml:space="preserve">Les juges majoritaires de la Cour d’appel du Québec ont accueilli l’appel et décidé que l’art. 12 pouvait s’appliquer aux personnes morales. Ils ont conclu que le lien existant entre l’art. 12 et la dignité humaine n’interdisait pas son application aux personnes morales, puisque d’autres droits garantis par la </w:t>
      </w:r>
      <w:r w:rsidRPr="008C13CD">
        <w:rPr>
          <w:rFonts w:cs="Times New Roman"/>
          <w:i/>
          <w:lang w:val="fr-CA"/>
        </w:rPr>
        <w:t>Charte</w:t>
      </w:r>
      <w:r w:rsidRPr="008C13CD">
        <w:rPr>
          <w:rFonts w:cs="Times New Roman"/>
          <w:lang w:val="fr-CA"/>
        </w:rPr>
        <w:t xml:space="preserve"> — énoncés à l’art. 8 et à l’al. 11</w:t>
      </w:r>
      <w:r w:rsidRPr="008C13CD">
        <w:rPr>
          <w:rFonts w:cs="Times New Roman"/>
          <w:i/>
          <w:lang w:val="fr-CA"/>
        </w:rPr>
        <w:t>b</w:t>
      </w:r>
      <w:r w:rsidRPr="008C13CD">
        <w:rPr>
          <w:rFonts w:cs="Times New Roman"/>
          <w:lang w:val="fr-CA"/>
        </w:rPr>
        <w:t xml:space="preserve">) de la </w:t>
      </w:r>
      <w:r w:rsidRPr="008C13CD">
        <w:rPr>
          <w:rFonts w:cs="Times New Roman"/>
          <w:i/>
          <w:lang w:val="fr-CA"/>
        </w:rPr>
        <w:t>Charte</w:t>
      </w:r>
      <w:r w:rsidRPr="008C13CD">
        <w:rPr>
          <w:rFonts w:cs="Times New Roman"/>
          <w:lang w:val="fr-CA"/>
        </w:rPr>
        <w:t xml:space="preserve"> — qui prot</w:t>
      </w:r>
      <w:r>
        <w:rPr>
          <w:rFonts w:cs="Times New Roman"/>
          <w:lang w:val="fr-CA"/>
        </w:rPr>
        <w:t>è</w:t>
      </w:r>
      <w:r w:rsidRPr="008C13CD">
        <w:rPr>
          <w:rFonts w:cs="Times New Roman"/>
          <w:lang w:val="fr-CA"/>
        </w:rPr>
        <w:t xml:space="preserve">gent aussi la dignité humaine ont été jugés applicables aux personnes morales. Plutôt que d’examiner l’objet de la disposition, les juges majoritaires ont adopté une approche axée sur le « bénéfice tangible », s’attachant à la question de savoir si une personne morale pouvait théoriquement bénéficier de la protection en question offerte par la </w:t>
      </w:r>
      <w:r w:rsidRPr="008C13CD">
        <w:rPr>
          <w:rFonts w:cs="Times New Roman"/>
          <w:i/>
          <w:lang w:val="fr-CA"/>
        </w:rPr>
        <w:t>Charte</w:t>
      </w:r>
      <w:r w:rsidRPr="008C13CD">
        <w:rPr>
          <w:rFonts w:cs="Times New Roman"/>
          <w:lang w:val="fr-CA"/>
        </w:rPr>
        <w:t xml:space="preserve"> : « la capacité d’une personne morale à en tirer un bénéfice tangible ». Cela les a amenés à conclure que, comme les personnes morales pouvaient être exposées à des traitements ou peines cruels sous forme d’amendes lourdes ou sévères, l’art. 12 pouvait s’appliquer à elles. La Cour d’appel du Québec a renvoyé à la Cour du Québec la question de savoir si l’amende minimale obligatoire dont les personnes morales sont passibles en application de l’art. 197.1 de la </w:t>
      </w:r>
      <w:r w:rsidRPr="008C13CD">
        <w:rPr>
          <w:rFonts w:cs="Times New Roman"/>
          <w:i/>
          <w:lang w:val="fr-CA"/>
        </w:rPr>
        <w:t xml:space="preserve">Loi sur le bâtiment </w:t>
      </w:r>
      <w:r w:rsidRPr="008C13CD">
        <w:rPr>
          <w:rFonts w:cs="Times New Roman"/>
          <w:lang w:val="fr-CA"/>
        </w:rPr>
        <w:t>équivalait à un traitement cruel et inusité ou à une peine de cette nature.</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Le juge Chamberland, dissident, a estimé que l’art. 12 traite de la dignité humaine, un concept inapplicable aux personnes morales.</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Pour les motifs exposés ci</w:t>
      </w:r>
      <w:r w:rsidRPr="008C13CD">
        <w:rPr>
          <w:rFonts w:cs="Times New Roman"/>
          <w:lang w:val="fr-CA"/>
        </w:rPr>
        <w:noBreakHyphen/>
        <w:t>après, je suis d’accord avec le juge d’appel Chamberland pour conclure que l’art. 12 ne s’applique pas aux personnes morales. J’accueillerais donc le pourvoi.</w:t>
      </w:r>
    </w:p>
    <w:p w:rsidR="00182BDC" w:rsidRPr="008C13CD" w:rsidRDefault="00182BDC" w:rsidP="00182BDC">
      <w:pPr>
        <w:pStyle w:val="ParaNoNdepar-AltN"/>
        <w:numPr>
          <w:ilvl w:val="0"/>
          <w:numId w:val="0"/>
        </w:numPr>
        <w:spacing w:before="0"/>
        <w:rPr>
          <w:rFonts w:cs="Times New Roman"/>
          <w:u w:val="single"/>
          <w:lang w:val="fr-CA"/>
        </w:rPr>
      </w:pPr>
      <w:r w:rsidRPr="008C13CD">
        <w:rPr>
          <w:rFonts w:cs="Times New Roman"/>
          <w:u w:val="single"/>
          <w:lang w:val="fr-CA"/>
        </w:rPr>
        <w:lastRenderedPageBreak/>
        <w:t>Analyse</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 présente affaire nous offre une occasion d’appliquer l’approche de notre Cour tant en matière d’interprétation constitutionnelle qu’à l’égard du rôle que jouent le droit international et le droit comparé dans l’élaboration de cette approche. Malheureusement, toutefois, les juges majoritaires remettent en cause l’approche de la Cour relativement à ces deux aspects. Plutôt que de se servir du texte comme point de départ de la recherche de l’objet, la majorité lui donne « préséance » et assigne un rôle secondaire aux autres facteurs contextuels, gommant ainsi la différence entre l’interprétation de la Constitution et l’interprétation des lois. Et plutôt que de s’appuyer uniquement sur la distinction traditionnelle entre les sources </w:t>
      </w:r>
      <w:r>
        <w:rPr>
          <w:rFonts w:cs="Times New Roman"/>
          <w:lang w:val="fr-CA"/>
        </w:rPr>
        <w:t xml:space="preserve">internationales </w:t>
      </w:r>
      <w:r w:rsidRPr="008C13CD">
        <w:rPr>
          <w:rFonts w:cs="Times New Roman"/>
          <w:lang w:val="fr-CA"/>
        </w:rPr>
        <w:t>contraignantes et non contraignantes, les juges majoritaires semblent ajouter une exigence inédite : chaque fois qu’un tribunal canadien considère des sources internationales non contraignantes, il doit explicitement justifier le recours à ces sources, les segmenter en catégories, et attribuer un poids relatif à celles qu’il retient, transformant ainsi la recherche panoramique de la sagesse mondiale à laquelle la Cour se livre habituellement en une progression au travers d’une série d’obstacles cloisonnés. En droit constitutionnel, en droit comparé et en droit international</w:t>
      </w:r>
      <w:r>
        <w:rPr>
          <w:rFonts w:cs="Times New Roman"/>
          <w:lang w:val="fr-CA"/>
        </w:rPr>
        <w:t>,</w:t>
      </w:r>
      <w:r w:rsidRPr="008C13CD">
        <w:rPr>
          <w:rFonts w:cs="Times New Roman"/>
          <w:lang w:val="fr-CA"/>
        </w:rPr>
        <w:t xml:space="preserve"> ce changement évident d’orientation est un recul inquiétant.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L’article 12 </w:t>
      </w:r>
      <w:r>
        <w:rPr>
          <w:rFonts w:cs="Times New Roman"/>
          <w:lang w:val="fr-CA"/>
        </w:rPr>
        <w:t xml:space="preserve">de la </w:t>
      </w:r>
      <w:r>
        <w:rPr>
          <w:rFonts w:cs="Times New Roman"/>
          <w:i/>
          <w:lang w:val="fr-CA"/>
        </w:rPr>
        <w:t xml:space="preserve">Charte </w:t>
      </w:r>
      <w:r w:rsidRPr="008C13CD">
        <w:rPr>
          <w:rFonts w:cs="Times New Roman"/>
          <w:lang w:val="fr-CA"/>
        </w:rPr>
        <w:t>est libellé ainsi :</w:t>
      </w:r>
    </w:p>
    <w:p w:rsidR="00182BDC" w:rsidRPr="008C13CD" w:rsidRDefault="00182BDC" w:rsidP="00182BDC">
      <w:pPr>
        <w:pStyle w:val="Citation-AltC"/>
        <w:ind w:hanging="446"/>
        <w:contextualSpacing w:val="0"/>
      </w:pPr>
      <w:r w:rsidRPr="008C13CD">
        <w:rPr>
          <w:b/>
        </w:rPr>
        <w:tab/>
        <w:t>12.</w:t>
      </w:r>
      <w:r w:rsidRPr="008C13CD">
        <w:t xml:space="preserve"> Chacun a droit à la protection contre tous traitements ou peines cruels et inusités.</w:t>
      </w:r>
    </w:p>
    <w:p w:rsidR="00182BDC" w:rsidRPr="008C13CD" w:rsidRDefault="00182BDC" w:rsidP="00182BDC">
      <w:pPr>
        <w:pStyle w:val="ParaNoNdepar-AltN"/>
        <w:spacing w:before="0"/>
        <w:rPr>
          <w:rFonts w:cs="Times New Roman"/>
          <w:lang w:val="fr-CA"/>
        </w:rPr>
      </w:pPr>
      <w:r w:rsidRPr="008C13CD">
        <w:rPr>
          <w:rFonts w:cs="Times New Roman"/>
          <w:lang w:val="fr-CA"/>
        </w:rPr>
        <w:lastRenderedPageBreak/>
        <w:t>Dans sa jurisprudence portant sur l’art. 12, notre Cour a eu à se prononcer dans la plupart des causes sur des peines minimales et à durée indéterminée et sur les effets néfastes de l’emprisonnement. Le critère préliminaire élaboré et appliqué dans de telles causes et dans d’autres consiste à se demander si la peine ou le traitement infligé à l’individu concerné est « exagérément disproportionné », au point de « cons</w:t>
      </w:r>
      <w:r w:rsidR="001E7A5F">
        <w:rPr>
          <w:rFonts w:cs="Times New Roman"/>
          <w:lang w:val="fr-CA"/>
        </w:rPr>
        <w:t>t</w:t>
      </w:r>
      <w:r w:rsidRPr="008C13CD">
        <w:rPr>
          <w:rFonts w:cs="Times New Roman"/>
          <w:lang w:val="fr-CA"/>
        </w:rPr>
        <w:t>ituer une atteinte aux normes de la décence » et d’être « odieux ou intolérable »</w:t>
      </w:r>
      <w:r w:rsidR="001E7A5F">
        <w:rPr>
          <w:rStyle w:val="FootnoteReference"/>
          <w:rFonts w:cs="Times New Roman"/>
          <w:lang w:val="fr-CA"/>
        </w:rPr>
        <w:footnoteReference w:id="2"/>
      </w:r>
      <w:r w:rsidRPr="008C13CD">
        <w:rPr>
          <w:rFonts w:cs="Times New Roman"/>
          <w:lang w:val="fr-CA"/>
        </w:rPr>
        <w:t>.</w:t>
      </w:r>
    </w:p>
    <w:p w:rsidR="00182BDC" w:rsidRPr="008C13CD" w:rsidRDefault="00182BDC" w:rsidP="00182BDC">
      <w:pPr>
        <w:pStyle w:val="ParaNoNdepar-AltN"/>
        <w:spacing w:before="0"/>
        <w:rPr>
          <w:rFonts w:eastAsia="Times New Roman" w:cs="Times New Roman"/>
          <w:lang w:val="fr-CA"/>
        </w:rPr>
      </w:pPr>
      <w:r w:rsidRPr="008C13CD">
        <w:rPr>
          <w:rFonts w:cs="Times New Roman"/>
          <w:lang w:val="fr-CA"/>
        </w:rPr>
        <w:t>La société 9147</w:t>
      </w:r>
      <w:r w:rsidRPr="008C13CD">
        <w:rPr>
          <w:rFonts w:cs="Times New Roman"/>
          <w:lang w:val="fr-CA"/>
        </w:rPr>
        <w:noBreakHyphen/>
        <w:t xml:space="preserve">0732 Québec inc. a fait valoir qu’il s’agit là des termes que nous devrions appliquer, puisqu’ils sont plus larges que ceux utilisés dans </w:t>
      </w:r>
      <w:r>
        <w:rPr>
          <w:rFonts w:cs="Times New Roman"/>
          <w:lang w:val="fr-CA"/>
        </w:rPr>
        <w:t xml:space="preserve">la version française de </w:t>
      </w:r>
      <w:r w:rsidRPr="008C13CD">
        <w:rPr>
          <w:rFonts w:cs="Times New Roman"/>
          <w:lang w:val="fr-CA"/>
        </w:rPr>
        <w:t>notre jurisprudence portant sur l’art. 12, où il est question de traitement ou peine « incompatible avec la dignité humaine ». Avec égards, cet argument résulte d’une analyse littérale des termes, dans leurs versions anglaises et françaises, sans considération du contexte dans lequel ces causes ont été tranchées, ce qui crée donc des clivages conceptuels artificiels plutôt qu’une cohérence linguistique (voir M</w:t>
      </w:r>
      <w:r>
        <w:rPr>
          <w:rFonts w:cs="Times New Roman"/>
          <w:lang w:val="fr-CA"/>
        </w:rPr>
        <w:t>ichel</w:t>
      </w:r>
      <w:r w:rsidRPr="008C13CD">
        <w:rPr>
          <w:rFonts w:cs="Times New Roman"/>
          <w:lang w:val="fr-CA"/>
        </w:rPr>
        <w:t> Doucet, « Le bilinguisme législatif », dans</w:t>
      </w:r>
      <w:r>
        <w:rPr>
          <w:rFonts w:cs="Times New Roman"/>
          <w:lang w:val="fr-CA"/>
        </w:rPr>
        <w:t xml:space="preserve"> Michel</w:t>
      </w:r>
      <w:r w:rsidRPr="008C13CD">
        <w:rPr>
          <w:rFonts w:cs="Times New Roman"/>
          <w:lang w:val="fr-CA"/>
        </w:rPr>
        <w:t> Bastarache et</w:t>
      </w:r>
      <w:r>
        <w:rPr>
          <w:rFonts w:cs="Times New Roman"/>
          <w:lang w:val="fr-CA"/>
        </w:rPr>
        <w:t xml:space="preserve"> Michel</w:t>
      </w:r>
      <w:r w:rsidRPr="008C13CD">
        <w:rPr>
          <w:rFonts w:cs="Times New Roman"/>
          <w:lang w:val="fr-CA"/>
        </w:rPr>
        <w:t> Doucet,</w:t>
      </w:r>
      <w:r w:rsidR="00534246">
        <w:rPr>
          <w:rFonts w:cs="Times New Roman"/>
          <w:lang w:val="fr-CA"/>
        </w:rPr>
        <w:t xml:space="preserve"> dir.,</w:t>
      </w:r>
      <w:r w:rsidRPr="008C13CD">
        <w:rPr>
          <w:rFonts w:cs="Times New Roman"/>
          <w:lang w:val="fr-CA"/>
        </w:rPr>
        <w:t xml:space="preserve"> </w:t>
      </w:r>
      <w:r w:rsidRPr="008C13CD">
        <w:rPr>
          <w:rFonts w:cs="Times New Roman"/>
          <w:i/>
          <w:lang w:val="fr-CA"/>
        </w:rPr>
        <w:t xml:space="preserve">Les droits linguistiques au </w:t>
      </w:r>
      <w:r w:rsidRPr="00B41AA2">
        <w:rPr>
          <w:rFonts w:cs="Times New Roman"/>
          <w:i/>
          <w:lang w:val="fr-CA"/>
        </w:rPr>
        <w:t>Canada</w:t>
      </w:r>
      <w:r w:rsidRPr="008C13CD">
        <w:rPr>
          <w:rFonts w:cs="Times New Roman"/>
          <w:lang w:val="fr-CA"/>
        </w:rPr>
        <w:t xml:space="preserve"> (3</w:t>
      </w:r>
      <w:r w:rsidRPr="008C13CD">
        <w:rPr>
          <w:rFonts w:cs="Times New Roman"/>
          <w:vertAlign w:val="superscript"/>
          <w:lang w:val="fr-CA"/>
        </w:rPr>
        <w:t>e</w:t>
      </w:r>
      <w:r w:rsidRPr="008C13CD">
        <w:rPr>
          <w:rFonts w:cs="Times New Roman"/>
          <w:lang w:val="fr-CA"/>
        </w:rPr>
        <w:t xml:space="preserve"> é</w:t>
      </w:r>
      <w:r>
        <w:rPr>
          <w:rFonts w:cs="Times New Roman"/>
          <w:lang w:val="fr-CA"/>
        </w:rPr>
        <w:t>d. 2013</w:t>
      </w:r>
      <w:r w:rsidRPr="008C13CD">
        <w:rPr>
          <w:rFonts w:cs="Times New Roman"/>
          <w:lang w:val="fr-CA"/>
        </w:rPr>
        <w:t xml:space="preserve">), </w:t>
      </w:r>
      <w:r>
        <w:rPr>
          <w:rFonts w:cs="Times New Roman"/>
          <w:lang w:val="fr-CA"/>
        </w:rPr>
        <w:t xml:space="preserve">179, </w:t>
      </w:r>
      <w:r w:rsidRPr="008C13CD">
        <w:rPr>
          <w:rFonts w:cs="Times New Roman"/>
          <w:lang w:val="fr-CA"/>
        </w:rPr>
        <w:t>p. 2</w:t>
      </w:r>
      <w:r>
        <w:rPr>
          <w:rFonts w:cs="Times New Roman"/>
          <w:lang w:val="fr-CA"/>
        </w:rPr>
        <w:t>8</w:t>
      </w:r>
      <w:r w:rsidRPr="008C13CD">
        <w:rPr>
          <w:rFonts w:cs="Times New Roman"/>
          <w:lang w:val="fr-CA"/>
        </w:rPr>
        <w:t>1).</w:t>
      </w:r>
    </w:p>
    <w:p w:rsidR="00182BDC" w:rsidRPr="008C13CD" w:rsidRDefault="00182BDC" w:rsidP="00182BDC">
      <w:pPr>
        <w:pStyle w:val="ParaNoNdepar-AltN"/>
        <w:spacing w:before="0"/>
        <w:rPr>
          <w:rFonts w:eastAsia="Times New Roman" w:cs="Times New Roman"/>
          <w:lang w:val="fr-CA"/>
        </w:rPr>
      </w:pPr>
      <w:r w:rsidRPr="008C13CD">
        <w:rPr>
          <w:rFonts w:cs="Times New Roman"/>
          <w:lang w:val="fr-CA"/>
        </w:rPr>
        <w:t>Il ressort d’un examen des diverses formulations utilisées dans notre jurisprudence sur l’art. 12 que tant les versions anglaise et française expriment la même idée, à savoir que l’art</w:t>
      </w:r>
      <w:r w:rsidRPr="008C13CD">
        <w:rPr>
          <w:rFonts w:eastAsia="Times New Roman" w:cs="Times New Roman"/>
          <w:lang w:val="fr-CA"/>
        </w:rPr>
        <w:t>. 12 interdit les traitements ou peines</w:t>
      </w:r>
      <w:r w:rsidRPr="008C13CD">
        <w:rPr>
          <w:rFonts w:cs="Times New Roman"/>
          <w:lang w:val="fr-CA"/>
        </w:rPr>
        <w:t xml:space="preserve"> incompatibles avec la </w:t>
      </w:r>
      <w:r w:rsidRPr="008C13CD">
        <w:rPr>
          <w:rFonts w:cs="Times New Roman"/>
          <w:lang w:val="fr-CA"/>
        </w:rPr>
        <w:lastRenderedPageBreak/>
        <w:t xml:space="preserve">dignité humaine (voir </w:t>
      </w:r>
      <w:r w:rsidRPr="008C13CD">
        <w:rPr>
          <w:rFonts w:cs="Times New Roman"/>
          <w:i/>
          <w:lang w:val="fr-CA"/>
        </w:rPr>
        <w:t>R</w:t>
      </w:r>
      <w:r>
        <w:rPr>
          <w:rFonts w:cs="Times New Roman"/>
          <w:i/>
          <w:lang w:val="fr-CA"/>
        </w:rPr>
        <w:t>.</w:t>
      </w:r>
      <w:r w:rsidR="00EA422F">
        <w:rPr>
          <w:rFonts w:cs="Times New Roman"/>
          <w:i/>
          <w:lang w:val="fr-CA"/>
        </w:rPr>
        <w:t xml:space="preserve"> c. Smith</w:t>
      </w:r>
      <w:r>
        <w:rPr>
          <w:rFonts w:cs="Times New Roman"/>
          <w:lang w:val="fr-CA"/>
        </w:rPr>
        <w:t>, [1987</w:t>
      </w:r>
      <w:r w:rsidRPr="00C670CF">
        <w:rPr>
          <w:rFonts w:cs="Times New Roman"/>
          <w:lang w:val="fr-CA"/>
        </w:rPr>
        <w:t>] 1 R.</w:t>
      </w:r>
      <w:r>
        <w:rPr>
          <w:rFonts w:cs="Times New Roman"/>
          <w:lang w:val="fr-CA"/>
        </w:rPr>
        <w:t>C.S. 1045</w:t>
      </w:r>
      <w:r w:rsidRPr="008C13CD">
        <w:rPr>
          <w:rFonts w:cs="Times New Roman"/>
          <w:lang w:val="fr-CA"/>
        </w:rPr>
        <w:t xml:space="preserve">; </w:t>
      </w:r>
      <w:r w:rsidRPr="008C13CD">
        <w:rPr>
          <w:rFonts w:cs="Times New Roman"/>
          <w:i/>
          <w:lang w:val="fr-CA"/>
        </w:rPr>
        <w:t>Kindler c. Canada (Ministre de la Justice)</w:t>
      </w:r>
      <w:r w:rsidRPr="008C13CD">
        <w:rPr>
          <w:rFonts w:cs="Times New Roman"/>
          <w:lang w:val="fr-CA"/>
        </w:rPr>
        <w:t xml:space="preserve">, [1991] 2 R.C.S. 779, p. 811, 815 et 818; </w:t>
      </w:r>
      <w:r>
        <w:rPr>
          <w:rFonts w:cs="Times New Roman"/>
          <w:i/>
          <w:lang w:val="fr-CA"/>
        </w:rPr>
        <w:t xml:space="preserve">R. c. </w:t>
      </w:r>
      <w:r w:rsidRPr="008C13CD">
        <w:rPr>
          <w:rFonts w:cs="Times New Roman"/>
          <w:i/>
          <w:lang w:val="fr-CA"/>
        </w:rPr>
        <w:t>Boudreault</w:t>
      </w:r>
      <w:r w:rsidRPr="008C13CD">
        <w:rPr>
          <w:rFonts w:cs="Times New Roman"/>
          <w:lang w:val="fr-CA"/>
        </w:rPr>
        <w:t xml:space="preserve">, </w:t>
      </w:r>
      <w:r w:rsidRPr="00B41AA2">
        <w:rPr>
          <w:szCs w:val="24"/>
          <w:lang w:val="fr-CA"/>
        </w:rPr>
        <w:t xml:space="preserve">[2018] 3 R.C.S. 599, </w:t>
      </w:r>
      <w:r w:rsidRPr="008C13CD">
        <w:rPr>
          <w:rFonts w:cs="Times New Roman"/>
          <w:lang w:val="fr-CA"/>
        </w:rPr>
        <w:t>par. </w:t>
      </w:r>
      <w:r>
        <w:rPr>
          <w:rFonts w:cs="Times New Roman"/>
          <w:lang w:val="fr-CA"/>
        </w:rPr>
        <w:t>43, 67 et</w:t>
      </w:r>
      <w:r w:rsidRPr="008C13CD">
        <w:rPr>
          <w:rFonts w:cs="Times New Roman"/>
          <w:lang w:val="fr-CA"/>
        </w:rPr>
        <w:t xml:space="preserve"> 126). Je suis d’accord avec le juge </w:t>
      </w:r>
      <w:r>
        <w:rPr>
          <w:rFonts w:cs="Times New Roman"/>
          <w:lang w:val="fr-CA"/>
        </w:rPr>
        <w:t xml:space="preserve">d’appel </w:t>
      </w:r>
      <w:r w:rsidRPr="008C13CD">
        <w:rPr>
          <w:rFonts w:cs="Times New Roman"/>
          <w:lang w:val="fr-CA"/>
        </w:rPr>
        <w:t>Chamberland pour dire que « [l]’affirmation voulant que nul ne soit soumis à un traitement ou une peine cruel [et inusité] est indissociable de la dignité humaine » (par. 59). Par conséquent, les versions anglaise et française des descriptions données par notre Cour de ce qui est en jeu à l’art. 12 ne sont pas seulement compatibles, mais constituent également des manières différentes d’exprimer la même idée.</w:t>
      </w:r>
    </w:p>
    <w:p w:rsidR="00182BDC" w:rsidRPr="008C13CD" w:rsidRDefault="00182BDC" w:rsidP="00182BDC">
      <w:pPr>
        <w:pStyle w:val="ParaNoNdepar-AltN"/>
        <w:spacing w:before="0"/>
        <w:rPr>
          <w:rFonts w:cs="Times New Roman"/>
          <w:lang w:val="fr-CA"/>
        </w:rPr>
      </w:pPr>
      <w:r w:rsidRPr="008C13CD">
        <w:rPr>
          <w:rFonts w:cs="Times New Roman"/>
          <w:lang w:val="fr-CA"/>
        </w:rPr>
        <w:t>La société 9147</w:t>
      </w:r>
      <w:r w:rsidRPr="008C13CD">
        <w:rPr>
          <w:rFonts w:cs="Times New Roman"/>
          <w:lang w:val="fr-CA"/>
        </w:rPr>
        <w:noBreakHyphen/>
        <w:t xml:space="preserve">0732 Québec inc. a soutenu en outre que la portée de l’art. 12 devrait être étendue aux personnes morales sur la foi de l’arrêt </w:t>
      </w:r>
      <w:r w:rsidRPr="008C13CD">
        <w:rPr>
          <w:rFonts w:cs="Times New Roman"/>
          <w:i/>
          <w:lang w:val="fr-CA"/>
        </w:rPr>
        <w:t xml:space="preserve">Boudreault </w:t>
      </w:r>
      <w:r w:rsidRPr="008C13CD">
        <w:rPr>
          <w:rFonts w:cs="Times New Roman"/>
          <w:lang w:val="fr-CA"/>
        </w:rPr>
        <w:t xml:space="preserve">rendu récemment par la Cour. Rédigeant les motifs de la majorité dans cet arrêt, la juge Martin a conclu que la suramende compensatoire obligatoire prévue à l’art. 737 du </w:t>
      </w:r>
      <w:r w:rsidRPr="008C13CD">
        <w:rPr>
          <w:rFonts w:cs="Times New Roman"/>
          <w:i/>
          <w:lang w:val="fr-CA"/>
        </w:rPr>
        <w:t>Code criminel</w:t>
      </w:r>
      <w:r w:rsidRPr="008C13CD">
        <w:rPr>
          <w:rFonts w:cs="Times New Roman"/>
          <w:lang w:val="fr-CA"/>
        </w:rPr>
        <w:t>, L.R.C. 1985, c. C</w:t>
      </w:r>
      <w:r w:rsidRPr="008C13CD">
        <w:rPr>
          <w:rFonts w:cs="Times New Roman"/>
          <w:lang w:val="fr-CA"/>
        </w:rPr>
        <w:noBreakHyphen/>
        <w:t xml:space="preserve">46, violait l’art. 12 de la </w:t>
      </w:r>
      <w:r w:rsidRPr="008C13CD">
        <w:rPr>
          <w:rFonts w:cs="Times New Roman"/>
          <w:i/>
          <w:lang w:val="fr-CA"/>
        </w:rPr>
        <w:t xml:space="preserve">Charte </w:t>
      </w:r>
      <w:r w:rsidRPr="008C13CD">
        <w:rPr>
          <w:rFonts w:cs="Times New Roman"/>
          <w:lang w:val="fr-CA"/>
        </w:rPr>
        <w:t xml:space="preserve">parce qu’elle causait à des </w:t>
      </w:r>
      <w:r w:rsidRPr="008C13CD">
        <w:rPr>
          <w:rFonts w:cs="Times New Roman"/>
          <w:i/>
          <w:lang w:val="fr-CA"/>
        </w:rPr>
        <w:t>individus</w:t>
      </w:r>
      <w:r w:rsidRPr="008C13CD">
        <w:rPr>
          <w:rFonts w:cs="Times New Roman"/>
          <w:lang w:val="fr-CA"/>
        </w:rPr>
        <w:t xml:space="preserve"> quatre préjudices interreliés : les conséquences financières disproportionnées subies par les personnes indigentes, la menace de détention ou d’emprisonnement, le risque d’être la cible de mesures de recouvrement prises par une province et l’application de sanctions pénales qui ont </w:t>
      </w:r>
      <w:r w:rsidRPr="008C13CD">
        <w:rPr>
          <w:rFonts w:cs="Times New Roman"/>
          <w:i/>
          <w:iCs/>
          <w:lang w:val="fr-CA"/>
        </w:rPr>
        <w:t>de facto</w:t>
      </w:r>
      <w:r w:rsidRPr="008C13CD">
        <w:rPr>
          <w:rFonts w:cs="Times New Roman"/>
          <w:lang w:val="fr-CA"/>
        </w:rPr>
        <w:t xml:space="preserve"> une durée indéfinie (par. 65).</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Toutefois, le fait de reconnaître les souffrances que subissent des </w:t>
      </w:r>
      <w:r w:rsidRPr="008C13CD">
        <w:rPr>
          <w:rFonts w:cs="Times New Roman"/>
          <w:i/>
          <w:lang w:val="fr-CA"/>
        </w:rPr>
        <w:t>individus</w:t>
      </w:r>
      <w:r w:rsidRPr="008C13CD">
        <w:rPr>
          <w:rFonts w:cs="Times New Roman"/>
          <w:lang w:val="fr-CA"/>
        </w:rPr>
        <w:t xml:space="preserve"> parce que l’État leur inflige un traitement sévère sur le plan financier ne permet pas d’inférer que l’art. 12 protège les intérêts économiques des personnes morales. Pour </w:t>
      </w:r>
      <w:r w:rsidRPr="008C13CD">
        <w:rPr>
          <w:rFonts w:cs="Times New Roman"/>
          <w:lang w:val="fr-CA"/>
        </w:rPr>
        <w:lastRenderedPageBreak/>
        <w:t>répondre à la question, il faut pré</w:t>
      </w:r>
      <w:r w:rsidR="00A03F71">
        <w:rPr>
          <w:rFonts w:cs="Times New Roman"/>
          <w:lang w:val="fr-CA"/>
        </w:rPr>
        <w:t>a</w:t>
      </w:r>
      <w:r w:rsidRPr="008C13CD">
        <w:rPr>
          <w:rFonts w:cs="Times New Roman"/>
          <w:lang w:val="fr-CA"/>
        </w:rPr>
        <w:t>lablement se demander si l’art. 12 est même susceptible de s’appliquer à une personne morale. Cela revient à exiger que la société 9147</w:t>
      </w:r>
      <w:r w:rsidRPr="008C13CD">
        <w:rPr>
          <w:rFonts w:cs="Times New Roman"/>
          <w:lang w:val="fr-CA"/>
        </w:rPr>
        <w:noBreakHyphen/>
        <w:t>0732 Québec inc. « prouve qu’elle a un intérêt qui est compris dans la portée de la garantie et qui s’accorde avec l’objet de la disposition » (</w:t>
      </w:r>
      <w:r w:rsidRPr="008C13CD">
        <w:rPr>
          <w:rFonts w:cs="Times New Roman"/>
          <w:i/>
          <w:lang w:val="fr-CA"/>
        </w:rPr>
        <w:t>R</w:t>
      </w:r>
      <w:r>
        <w:rPr>
          <w:rFonts w:cs="Times New Roman"/>
          <w:i/>
          <w:lang w:val="fr-CA"/>
        </w:rPr>
        <w:t>.</w:t>
      </w:r>
      <w:r w:rsidRPr="008C13CD">
        <w:rPr>
          <w:rFonts w:cs="Times New Roman"/>
          <w:i/>
          <w:lang w:val="fr-CA"/>
        </w:rPr>
        <w:t xml:space="preserve"> c. CIP Inc.</w:t>
      </w:r>
      <w:r w:rsidRPr="008C13CD">
        <w:rPr>
          <w:rFonts w:cs="Times New Roman"/>
          <w:lang w:val="fr-CA"/>
        </w:rPr>
        <w:t>, [1992] 1 R.C.S. 843, p. 852).</w:t>
      </w:r>
    </w:p>
    <w:p w:rsidR="00182BDC" w:rsidRPr="008C13CD" w:rsidRDefault="00182BDC" w:rsidP="00182BDC">
      <w:pPr>
        <w:pStyle w:val="ParaNoNdepar-AltN"/>
        <w:spacing w:before="0"/>
        <w:rPr>
          <w:rFonts w:cs="Times New Roman"/>
          <w:lang w:val="fr-CA"/>
        </w:rPr>
      </w:pPr>
      <w:r w:rsidRPr="008C13CD">
        <w:rPr>
          <w:rFonts w:cs="Times New Roman"/>
          <w:lang w:val="fr-CA"/>
        </w:rPr>
        <w:t>Soit dit en tout respect, contrairement à la méthode d’analyse appliquée par les juges majoritaires de la Cour d’appel, la détermination de la portée du droit passe d’abord par l’établissement de l’</w:t>
      </w:r>
      <w:r w:rsidRPr="008C13CD">
        <w:rPr>
          <w:rFonts w:cs="Times New Roman"/>
          <w:i/>
          <w:lang w:val="fr-CA"/>
        </w:rPr>
        <w:t>objet</w:t>
      </w:r>
      <w:r w:rsidRPr="008C13CD">
        <w:rPr>
          <w:rFonts w:cs="Times New Roman"/>
          <w:lang w:val="fr-CA"/>
        </w:rPr>
        <w:t xml:space="preserve"> du droit. Un droit garanti par la </w:t>
      </w:r>
      <w:r w:rsidRPr="008C13CD">
        <w:rPr>
          <w:rFonts w:cs="Times New Roman"/>
          <w:i/>
          <w:lang w:val="fr-CA"/>
        </w:rPr>
        <w:t>Charte</w:t>
      </w:r>
      <w:r w:rsidRPr="008C13CD">
        <w:rPr>
          <w:rFonts w:cs="Times New Roman"/>
          <w:lang w:val="fr-CA"/>
        </w:rPr>
        <w:t xml:space="preserve"> doit être interprété au moyen « d’une analyse de l’objet [de la] garantie » (</w:t>
      </w:r>
      <w:r w:rsidRPr="008C13CD">
        <w:rPr>
          <w:rFonts w:cs="Times New Roman"/>
          <w:i/>
          <w:lang w:val="fr-CA"/>
        </w:rPr>
        <w:t>R. c. Big M Drug Mart Ltd.</w:t>
      </w:r>
      <w:r w:rsidRPr="008C13CD">
        <w:rPr>
          <w:rFonts w:cs="Times New Roman"/>
          <w:lang w:val="fr-CA"/>
        </w:rPr>
        <w:t>, [1985] 1 R.C.S.</w:t>
      </w:r>
      <w:r>
        <w:rPr>
          <w:rFonts w:cs="Times New Roman"/>
          <w:lang w:val="fr-CA"/>
        </w:rPr>
        <w:t xml:space="preserve"> 295</w:t>
      </w:r>
      <w:r w:rsidR="00A03F71">
        <w:rPr>
          <w:rFonts w:cs="Times New Roman"/>
          <w:lang w:val="fr-CA"/>
        </w:rPr>
        <w:t>, p. 344 (soulignement</w:t>
      </w:r>
      <w:r w:rsidRPr="008C13CD">
        <w:rPr>
          <w:rFonts w:cs="Times New Roman"/>
          <w:lang w:val="fr-CA"/>
        </w:rPr>
        <w:t xml:space="preserve"> omis); </w:t>
      </w:r>
      <w:r>
        <w:rPr>
          <w:rFonts w:cs="Times New Roman"/>
          <w:i/>
          <w:lang w:val="fr-CA"/>
        </w:rPr>
        <w:t>Hunter</w:t>
      </w:r>
      <w:r w:rsidRPr="008C13CD">
        <w:rPr>
          <w:rFonts w:cs="Times New Roman"/>
          <w:i/>
          <w:lang w:val="fr-CA"/>
        </w:rPr>
        <w:t xml:space="preserve"> c. Southam Inc.</w:t>
      </w:r>
      <w:r w:rsidRPr="008C13CD">
        <w:rPr>
          <w:rFonts w:cs="Times New Roman"/>
          <w:lang w:val="fr-CA"/>
        </w:rPr>
        <w:t>, [1984] 2 R.C.S. 145, p. 155</w:t>
      </w:r>
      <w:r w:rsidRPr="008C13CD">
        <w:rPr>
          <w:rFonts w:cs="Times New Roman"/>
          <w:lang w:val="fr-CA"/>
        </w:rPr>
        <w:noBreakHyphen/>
        <w:t xml:space="preserve">157; voir aussi Peter W. Hogg, </w:t>
      </w:r>
      <w:r w:rsidRPr="008C13CD">
        <w:rPr>
          <w:rFonts w:cs="Times New Roman"/>
          <w:i/>
          <w:lang w:val="fr-CA"/>
        </w:rPr>
        <w:t>Constitutional Law of Canada</w:t>
      </w:r>
      <w:r w:rsidRPr="008C13CD">
        <w:rPr>
          <w:rFonts w:cs="Times New Roman"/>
          <w:lang w:val="fr-CA"/>
        </w:rPr>
        <w:t xml:space="preserve"> (5</w:t>
      </w:r>
      <w:r w:rsidRPr="008C13CD">
        <w:rPr>
          <w:rFonts w:cs="Times New Roman"/>
          <w:vertAlign w:val="superscript"/>
          <w:lang w:val="fr-CA"/>
        </w:rPr>
        <w:t>e</w:t>
      </w:r>
      <w:r w:rsidRPr="008C13CD">
        <w:rPr>
          <w:rFonts w:cs="Times New Roman"/>
          <w:lang w:val="fr-CA"/>
        </w:rPr>
        <w:t xml:space="preserve"> éd. Supp.)</w:t>
      </w:r>
      <w:r>
        <w:rPr>
          <w:rFonts w:cs="Times New Roman"/>
          <w:lang w:val="fr-CA"/>
        </w:rPr>
        <w:t>, par</w:t>
      </w:r>
      <w:r w:rsidRPr="008C13CD">
        <w:rPr>
          <w:rFonts w:cs="Times New Roman"/>
          <w:lang w:val="fr-CA"/>
        </w:rPr>
        <w:t xml:space="preserve">. 36.8(c)). L’exposé définitif </w:t>
      </w:r>
      <w:r w:rsidR="00A03F71">
        <w:rPr>
          <w:rFonts w:cs="Times New Roman"/>
          <w:lang w:val="fr-CA"/>
        </w:rPr>
        <w:t>de cette démarche a été formulé</w:t>
      </w:r>
      <w:r w:rsidRPr="008C13CD">
        <w:rPr>
          <w:rFonts w:cs="Times New Roman"/>
          <w:lang w:val="fr-CA"/>
        </w:rPr>
        <w:t xml:space="preserve"> ainsi dans l’arrêt </w:t>
      </w:r>
      <w:r w:rsidRPr="008C13CD">
        <w:rPr>
          <w:rFonts w:cs="Times New Roman"/>
          <w:i/>
          <w:lang w:val="fr-CA"/>
        </w:rPr>
        <w:t>Big M Drug Mart</w:t>
      </w:r>
      <w:r w:rsidRPr="008C13CD">
        <w:rPr>
          <w:rFonts w:cs="Times New Roman"/>
          <w:lang w:val="fr-CA"/>
        </w:rPr>
        <w:t> :</w:t>
      </w:r>
    </w:p>
    <w:p w:rsidR="00182BDC" w:rsidRDefault="00182BDC" w:rsidP="00182BDC">
      <w:pPr>
        <w:pStyle w:val="Citation-AltC"/>
        <w:spacing w:after="240"/>
        <w:ind w:hanging="446"/>
        <w:contextualSpacing w:val="0"/>
      </w:pPr>
      <w:r w:rsidRPr="008C13CD">
        <w:tab/>
        <w:t xml:space="preserve">. . . la façon d’aborder la définition des droits et des libertés garantis par la </w:t>
      </w:r>
      <w:r w:rsidRPr="008C13CD">
        <w:rPr>
          <w:i/>
          <w:iCs/>
        </w:rPr>
        <w:t xml:space="preserve">Charte </w:t>
      </w:r>
      <w:r w:rsidRPr="008C13CD">
        <w:t xml:space="preserve">consiste à examiner l’objet visé. </w:t>
      </w:r>
      <w:r w:rsidRPr="008C13CD">
        <w:rPr>
          <w:i/>
        </w:rPr>
        <w:t xml:space="preserve">Le sens d’un droit ou d’une liberté garanti par la </w:t>
      </w:r>
      <w:r w:rsidRPr="008C13CD">
        <w:rPr>
          <w:i/>
          <w:iCs/>
        </w:rPr>
        <w:t xml:space="preserve">Charte </w:t>
      </w:r>
      <w:r w:rsidRPr="008C13CD">
        <w:rPr>
          <w:i/>
        </w:rPr>
        <w:t>doit être vérifié au moyen d’une analyse de l’</w:t>
      </w:r>
      <w:r w:rsidRPr="008C13CD">
        <w:rPr>
          <w:i/>
          <w:u w:val="single"/>
        </w:rPr>
        <w:t>objet</w:t>
      </w:r>
      <w:r w:rsidRPr="008C13CD">
        <w:rPr>
          <w:i/>
        </w:rPr>
        <w:t xml:space="preserve"> d’une telle garantie; en d’autres termes, ils doivent s’interpréter en fonction des intérêts qu’ils visent à protéger</w:t>
      </w:r>
      <w:r w:rsidRPr="008C13CD">
        <w:t>.</w:t>
      </w:r>
    </w:p>
    <w:p w:rsidR="00182BDC" w:rsidRPr="008C13CD" w:rsidRDefault="00182BDC" w:rsidP="00182BDC">
      <w:pPr>
        <w:pStyle w:val="Citation-AltC"/>
        <w:spacing w:after="240"/>
        <w:ind w:hanging="446"/>
        <w:contextualSpacing w:val="0"/>
      </w:pPr>
    </w:p>
    <w:p w:rsidR="00182BDC" w:rsidRPr="008C13CD" w:rsidRDefault="00182BDC" w:rsidP="00182BDC">
      <w:pPr>
        <w:pStyle w:val="Citation-AltC"/>
        <w:tabs>
          <w:tab w:val="left" w:pos="1440"/>
        </w:tabs>
        <w:contextualSpacing w:val="0"/>
      </w:pPr>
      <w:r w:rsidRPr="008C13CD">
        <w:tab/>
        <w:t xml:space="preserve">À mon avis, il faut faire cette analyse et </w:t>
      </w:r>
      <w:r w:rsidRPr="008C13CD">
        <w:rPr>
          <w:i/>
        </w:rPr>
        <w:t xml:space="preserve">l’objet du droit ou de la liberté en question doit être déterminé en fonction de la nature et des objectifs plus larges de la </w:t>
      </w:r>
      <w:r w:rsidRPr="008C13CD">
        <w:rPr>
          <w:i/>
          <w:iCs/>
        </w:rPr>
        <w:t xml:space="preserve">Charte </w:t>
      </w:r>
      <w:r w:rsidRPr="008C13CD">
        <w:rPr>
          <w:i/>
        </w:rPr>
        <w:t>elle</w:t>
      </w:r>
      <w:r w:rsidRPr="008C13CD">
        <w:rPr>
          <w:i/>
        </w:rPr>
        <w:noBreakHyphen/>
        <w:t>même, des termes choisis pour énoncer ce droit ou cette liberté, des origines historiques des concepts enchâssés et, s’il y a lieu, en fonction du sens et de l’objet des autres libertés et droits particuliers qui s’y rattachent selon le texte de la Charte</w:t>
      </w:r>
      <w:r w:rsidRPr="00D8146C">
        <w:t>.</w:t>
      </w:r>
      <w:r w:rsidRPr="008C13CD">
        <w:rPr>
          <w:spacing w:val="-3"/>
        </w:rPr>
        <w:t xml:space="preserve"> </w:t>
      </w:r>
      <w:r w:rsidRPr="008C13CD">
        <w:t xml:space="preserve">Comme on le souligne dans l’arrêt </w:t>
      </w:r>
      <w:r w:rsidRPr="008C13CD">
        <w:rPr>
          <w:i/>
          <w:iCs/>
        </w:rPr>
        <w:t>Southam</w:t>
      </w:r>
      <w:r w:rsidRPr="008C13CD">
        <w:t xml:space="preserve">, l’interprétation doit être libérale plutôt que formaliste et viser à réaliser l’objet de la garantie et à assurer que les citoyens bénéficient pleinement de la protection accordée par la </w:t>
      </w:r>
      <w:r w:rsidRPr="008C13CD">
        <w:rPr>
          <w:i/>
        </w:rPr>
        <w:t>Charte</w:t>
      </w:r>
      <w:r w:rsidRPr="008C13CD">
        <w:t xml:space="preserve">. En </w:t>
      </w:r>
      <w:r w:rsidRPr="008C13CD">
        <w:lastRenderedPageBreak/>
        <w:t>même temps, il importe de ne pas aller au</w:t>
      </w:r>
      <w:r w:rsidRPr="008C13CD">
        <w:noBreakHyphen/>
        <w:t xml:space="preserve">delà de l’objet véritable du droit ou de la liberté en question et de se rappeler que la </w:t>
      </w:r>
      <w:r w:rsidRPr="008C13CD">
        <w:rPr>
          <w:i/>
        </w:rPr>
        <w:t>Charte</w:t>
      </w:r>
      <w:r w:rsidRPr="008C13CD">
        <w:t xml:space="preserve"> n’a pas été adoptée en l’absence de tout contexte et que, par conséquent, comme l’illustre l’arrêt de cette Cour </w:t>
      </w:r>
      <w:r w:rsidRPr="008C13CD">
        <w:rPr>
          <w:i/>
          <w:iCs/>
        </w:rPr>
        <w:t>Law Society of Upper Canada c. Skapinker</w:t>
      </w:r>
      <w:r w:rsidRPr="008C13CD">
        <w:t xml:space="preserve">, [1984] 1 R.C.S. 357, elle doit </w:t>
      </w:r>
      <w:r w:rsidRPr="008C13CD">
        <w:rPr>
          <w:i/>
        </w:rPr>
        <w:t>être située dans ses contextes linguistique, philosophique et historique appropriés</w:t>
      </w:r>
      <w:r w:rsidRPr="008C13CD">
        <w:t>. [Souligne</w:t>
      </w:r>
      <w:r w:rsidR="00D8146C">
        <w:t>ment dans l’original; italique ajouté</w:t>
      </w:r>
      <w:r w:rsidRPr="008C13CD">
        <w:t>; p. 344</w:t>
      </w:r>
      <w:r>
        <w:t>.</w:t>
      </w:r>
      <w:r w:rsidRPr="008C13CD">
        <w:t>]</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Très récemment, dans l’arrêt </w:t>
      </w:r>
      <w:r w:rsidRPr="008C13CD">
        <w:rPr>
          <w:rFonts w:eastAsia="Times New Roman" w:cs="Times New Roman"/>
          <w:i/>
          <w:lang w:val="fr-CA"/>
        </w:rPr>
        <w:t>Conseil scolaire francophone de la Colombie</w:t>
      </w:r>
      <w:r w:rsidRPr="008C13CD">
        <w:rPr>
          <w:rFonts w:eastAsia="Times New Roman" w:cs="Times New Roman"/>
          <w:i/>
          <w:lang w:val="fr-CA"/>
        </w:rPr>
        <w:noBreakHyphen/>
        <w:t>Britannique c. Colombie</w:t>
      </w:r>
      <w:r w:rsidRPr="008C13CD">
        <w:rPr>
          <w:rFonts w:eastAsia="Times New Roman" w:cs="Times New Roman"/>
          <w:i/>
          <w:lang w:val="fr-CA"/>
        </w:rPr>
        <w:noBreakHyphen/>
        <w:t>Britannique</w:t>
      </w:r>
      <w:r w:rsidRPr="008C13CD">
        <w:rPr>
          <w:rFonts w:eastAsia="Times New Roman" w:cs="Times New Roman"/>
          <w:lang w:val="fr-CA"/>
        </w:rPr>
        <w:t xml:space="preserve">, </w:t>
      </w:r>
      <w:r w:rsidR="00DC71C7" w:rsidRPr="00DC71C7">
        <w:rPr>
          <w:lang w:val="fr-CA"/>
        </w:rPr>
        <w:t>[</w:t>
      </w:r>
      <w:r w:rsidRPr="008C13CD">
        <w:rPr>
          <w:rFonts w:eastAsia="Times New Roman" w:cs="Times New Roman"/>
          <w:lang w:val="fr-CA"/>
        </w:rPr>
        <w:t>2020</w:t>
      </w:r>
      <w:r w:rsidR="00DC71C7" w:rsidRPr="00DC71C7">
        <w:rPr>
          <w:lang w:val="fr-CA"/>
        </w:rPr>
        <w:t>]</w:t>
      </w:r>
      <w:r w:rsidR="00704D85">
        <w:rPr>
          <w:rFonts w:eastAsia="Times New Roman" w:cs="Times New Roman"/>
          <w:lang w:val="fr-CA"/>
        </w:rPr>
        <w:t xml:space="preserve"> 1</w:t>
      </w:r>
      <w:r w:rsidR="00DC71C7">
        <w:rPr>
          <w:rFonts w:eastAsia="Times New Roman" w:cs="Times New Roman"/>
          <w:lang w:val="fr-CA"/>
        </w:rPr>
        <w:t xml:space="preserve"> R.C.S. </w:t>
      </w:r>
      <w:r w:rsidR="00704D85">
        <w:rPr>
          <w:rFonts w:eastAsia="Times New Roman" w:cs="Times New Roman"/>
          <w:lang w:val="fr-CA"/>
        </w:rPr>
        <w:t>678</w:t>
      </w:r>
      <w:r w:rsidR="00DC71C7">
        <w:rPr>
          <w:rFonts w:eastAsia="Times New Roman" w:cs="Times New Roman"/>
          <w:lang w:val="fr-CA"/>
        </w:rPr>
        <w:t>,</w:t>
      </w:r>
      <w:r w:rsidRPr="008C13CD">
        <w:rPr>
          <w:rFonts w:eastAsia="Times New Roman" w:cs="Times New Roman"/>
          <w:lang w:val="fr-CA"/>
        </w:rPr>
        <w:t xml:space="preserve"> notre Cour a fait sienne la méthode téléologique énoncée dans les arrêts</w:t>
      </w:r>
      <w:r w:rsidRPr="008C13CD">
        <w:rPr>
          <w:rFonts w:eastAsia="Times New Roman" w:cs="Times New Roman"/>
          <w:i/>
          <w:lang w:val="fr-CA"/>
        </w:rPr>
        <w:t xml:space="preserve"> Hunter</w:t>
      </w:r>
      <w:r w:rsidRPr="008C13CD">
        <w:rPr>
          <w:rFonts w:eastAsia="Times New Roman" w:cs="Times New Roman"/>
          <w:lang w:val="fr-CA"/>
        </w:rPr>
        <w:t xml:space="preserve"> et </w:t>
      </w:r>
      <w:r w:rsidRPr="008C13CD">
        <w:rPr>
          <w:rFonts w:eastAsia="Times New Roman" w:cs="Times New Roman"/>
          <w:i/>
          <w:lang w:val="fr-CA"/>
        </w:rPr>
        <w:t>Big M</w:t>
      </w:r>
      <w:r w:rsidRPr="008C13CD">
        <w:rPr>
          <w:rFonts w:eastAsia="Times New Roman" w:cs="Times New Roman"/>
          <w:lang w:val="fr-CA"/>
        </w:rPr>
        <w:t xml:space="preserve"> </w:t>
      </w:r>
      <w:r w:rsidRPr="008C13CD">
        <w:rPr>
          <w:rFonts w:eastAsia="Times New Roman" w:cs="Times New Roman"/>
          <w:i/>
          <w:lang w:val="fr-CA"/>
        </w:rPr>
        <w:t>Drug Mart</w:t>
      </w:r>
      <w:r w:rsidRPr="008C13CD">
        <w:rPr>
          <w:rFonts w:eastAsia="Times New Roman" w:cs="Times New Roman"/>
          <w:lang w:val="fr-CA"/>
        </w:rPr>
        <w:t>, et décrit ainsi cette démarche interprétative :</w:t>
      </w:r>
    </w:p>
    <w:p w:rsidR="00182BDC" w:rsidRDefault="00182BDC" w:rsidP="00182BDC">
      <w:pPr>
        <w:pStyle w:val="Citation-AltC"/>
        <w:spacing w:after="240"/>
        <w:ind w:hanging="356"/>
        <w:contextualSpacing w:val="0"/>
      </w:pPr>
      <w:r w:rsidRPr="008C13CD">
        <w:tab/>
        <w:t>Avant d’aborder les faits du présent pourvoi, j’estime nécessaire de rappeler le contexte de l’édiction de l’art. 23 et les principes qui doivent guider son interprétation.</w:t>
      </w:r>
    </w:p>
    <w:p w:rsidR="00182BDC" w:rsidRPr="008C13CD" w:rsidRDefault="00182BDC" w:rsidP="00182BDC">
      <w:pPr>
        <w:pStyle w:val="Citation-AltC"/>
        <w:spacing w:after="240"/>
        <w:ind w:hanging="356"/>
        <w:contextualSpacing w:val="0"/>
        <w:jc w:val="center"/>
      </w:pPr>
      <w:r>
        <w:t>. . .</w:t>
      </w:r>
    </w:p>
    <w:p w:rsidR="00182BDC" w:rsidRDefault="00182BDC" w:rsidP="00182BDC">
      <w:pPr>
        <w:pStyle w:val="Citation-AltC"/>
        <w:tabs>
          <w:tab w:val="left" w:pos="1440"/>
        </w:tabs>
        <w:spacing w:after="240"/>
        <w:contextualSpacing w:val="0"/>
      </w:pPr>
      <w:r w:rsidRPr="008C13CD">
        <w:tab/>
        <w:t>Le contexte historique et social à l’origine de la reconnaissance des droits linguistiques en matière d’éducation permet d’apprécier le rôle unique joué par l’art. 23 dans le paysage constitutionnel canadien. Dans un passage fréquemment cité, le juge en chef Dickson décrit l’importance de cette disposition en affirmant qu’elle est la « clef de voûte de l’engagement du Canada envers le bilinguisme et le biculturalisme » (</w:t>
      </w:r>
      <w:r w:rsidRPr="008C13CD">
        <w:rPr>
          <w:i/>
          <w:iCs/>
        </w:rPr>
        <w:t>Mahe</w:t>
      </w:r>
      <w:r w:rsidRPr="008C13CD">
        <w:t xml:space="preserve"> </w:t>
      </w:r>
      <w:r w:rsidRPr="008C13CD">
        <w:rPr>
          <w:i/>
          <w:iCs/>
        </w:rPr>
        <w:t>c.</w:t>
      </w:r>
      <w:r w:rsidRPr="008C13CD">
        <w:t xml:space="preserve"> </w:t>
      </w:r>
      <w:r w:rsidRPr="008C13CD">
        <w:rPr>
          <w:i/>
          <w:iCs/>
        </w:rPr>
        <w:t>Alberta</w:t>
      </w:r>
      <w:r>
        <w:t xml:space="preserve">, [1990] 1 R.C.S. 342, p. </w:t>
      </w:r>
      <w:r w:rsidRPr="008C13CD">
        <w:t xml:space="preserve">350). Plus récemment, dans </w:t>
      </w:r>
      <w:r w:rsidRPr="008C13CD">
        <w:rPr>
          <w:i/>
          <w:iCs/>
        </w:rPr>
        <w:t>Association des parents de l’école Rose</w:t>
      </w:r>
      <w:r w:rsidRPr="008C13CD">
        <w:rPr>
          <w:i/>
          <w:iCs/>
        </w:rPr>
        <w:noBreakHyphen/>
        <w:t>des</w:t>
      </w:r>
      <w:r w:rsidRPr="008C13CD">
        <w:rPr>
          <w:i/>
          <w:iCs/>
        </w:rPr>
        <w:noBreakHyphen/>
        <w:t>vents c. Colombie</w:t>
      </w:r>
      <w:r w:rsidRPr="008C13CD">
        <w:rPr>
          <w:i/>
          <w:iCs/>
        </w:rPr>
        <w:noBreakHyphen/>
        <w:t>Britannique (Éducation)</w:t>
      </w:r>
      <w:r w:rsidRPr="008C13CD">
        <w:t>, 201</w:t>
      </w:r>
      <w:r>
        <w:t>5 CSC 21, [2015] 2 R.C.S. 139 (« </w:t>
      </w:r>
      <w:r w:rsidRPr="008C13CD">
        <w:rPr>
          <w:i/>
          <w:iCs/>
        </w:rPr>
        <w:t>Rose</w:t>
      </w:r>
      <w:r w:rsidRPr="008C13CD">
        <w:rPr>
          <w:i/>
          <w:iCs/>
        </w:rPr>
        <w:noBreakHyphen/>
        <w:t>des</w:t>
      </w:r>
      <w:r w:rsidRPr="008C13CD">
        <w:rPr>
          <w:i/>
          <w:iCs/>
        </w:rPr>
        <w:noBreakHyphen/>
        <w:t>vent</w:t>
      </w:r>
      <w:r w:rsidRPr="008C13CD">
        <w:t xml:space="preserve">s »), la juge Karakatsanis rappelle que le biculturalisme constitue un élément fondateur du Canada et que l’engagement du Canada envers le bilinguisme le distingue des autres pays (par. 25, citant </w:t>
      </w:r>
      <w:r w:rsidRPr="008C13CD">
        <w:rPr>
          <w:i/>
          <w:iCs/>
        </w:rPr>
        <w:t>Assn. des Parents Francophones (Colombie</w:t>
      </w:r>
      <w:r w:rsidRPr="008C13CD">
        <w:rPr>
          <w:i/>
          <w:iCs/>
        </w:rPr>
        <w:noBreakHyphen/>
        <w:t xml:space="preserve">Britannique) c. British Columbia </w:t>
      </w:r>
      <w:r w:rsidRPr="008C13CD">
        <w:t>(1996), 27 B.C.L.R. (3d) 83 (C.S.), par. 24).</w:t>
      </w:r>
    </w:p>
    <w:p w:rsidR="00182BDC" w:rsidRPr="008C13CD" w:rsidRDefault="00182BDC" w:rsidP="00182BDC">
      <w:pPr>
        <w:pStyle w:val="Citation-AltC"/>
        <w:spacing w:after="240"/>
        <w:ind w:hanging="356"/>
        <w:contextualSpacing w:val="0"/>
        <w:jc w:val="center"/>
      </w:pPr>
      <w:r>
        <w:t>. . .</w:t>
      </w:r>
    </w:p>
    <w:p w:rsidR="00182BDC" w:rsidRPr="008C13CD" w:rsidRDefault="00182BDC" w:rsidP="00182BDC">
      <w:pPr>
        <w:pStyle w:val="Citation-AltC"/>
        <w:tabs>
          <w:tab w:val="left" w:pos="1440"/>
        </w:tabs>
        <w:contextualSpacing w:val="0"/>
      </w:pPr>
      <w:r w:rsidRPr="008C13CD">
        <w:tab/>
        <w:t>J’ajoute que, dans l’analyse requise pour l’application de l’art. 23, les tribunaux doivent garder à l’esprit le triple objet de cet article, c’est</w:t>
      </w:r>
      <w:r w:rsidRPr="008C13CD">
        <w:noBreakHyphen/>
        <w:t>à</w:t>
      </w:r>
      <w:r w:rsidRPr="008C13CD">
        <w:noBreakHyphen/>
        <w:t>dire son caractère à la fois préventif, réparateur et unificateur. [par. 4, 12 et 15]</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lastRenderedPageBreak/>
        <w:t>Comme l’illustrent ces passages, les principes et valeurs qui sous</w:t>
      </w:r>
      <w:r w:rsidRPr="008C13CD">
        <w:rPr>
          <w:rFonts w:eastAsia="Times New Roman" w:cs="Times New Roman"/>
          <w:lang w:val="fr-CA"/>
        </w:rPr>
        <w:noBreakHyphen/>
        <w:t xml:space="preserve">tendent l’adoption de cette disposition de la </w:t>
      </w:r>
      <w:r w:rsidRPr="008C13CD">
        <w:rPr>
          <w:rFonts w:eastAsia="Times New Roman" w:cs="Times New Roman"/>
          <w:i/>
          <w:lang w:val="fr-CA"/>
        </w:rPr>
        <w:t>Charte</w:t>
      </w:r>
      <w:r w:rsidRPr="008C13CD">
        <w:rPr>
          <w:rFonts w:eastAsia="Times New Roman" w:cs="Times New Roman"/>
          <w:lang w:val="fr-CA"/>
        </w:rPr>
        <w:t xml:space="preserve"> constituent les premiers outils d’interprétation.</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Notre Cour a toujours clairement indiqué que l’examen du texte de la </w:t>
      </w:r>
      <w:r w:rsidRPr="008C13CD">
        <w:rPr>
          <w:rFonts w:eastAsia="Times New Roman" w:cs="Times New Roman"/>
          <w:i/>
          <w:lang w:val="fr-CA"/>
        </w:rPr>
        <w:t>Charte</w:t>
      </w:r>
      <w:r w:rsidRPr="008C13CD">
        <w:rPr>
          <w:rFonts w:eastAsia="Times New Roman" w:cs="Times New Roman"/>
          <w:lang w:val="fr-CA"/>
        </w:rPr>
        <w:t xml:space="preserve"> n’est que le début de l’opération d’interprétation, opération qui diffère fondamentalement de l’interprétation du texte d’une loi. Le juge Dickson en a donné la raison dans l’arrêt </w:t>
      </w:r>
      <w:r w:rsidRPr="008C13CD">
        <w:rPr>
          <w:rFonts w:eastAsia="Times New Roman" w:cs="Times New Roman"/>
          <w:i/>
          <w:lang w:val="fr-CA"/>
        </w:rPr>
        <w:t>Hunter</w:t>
      </w:r>
      <w:r w:rsidRPr="008C13CD">
        <w:rPr>
          <w:rFonts w:eastAsia="Times New Roman" w:cs="Times New Roman"/>
          <w:lang w:val="fr-CA"/>
        </w:rPr>
        <w:t> :</w:t>
      </w:r>
    </w:p>
    <w:p w:rsidR="00182BDC" w:rsidRPr="008C13CD" w:rsidRDefault="00182BDC" w:rsidP="00182BDC">
      <w:pPr>
        <w:pStyle w:val="Citation-AltC"/>
        <w:ind w:hanging="360"/>
        <w:contextualSpacing w:val="0"/>
      </w:pPr>
      <w:r w:rsidRPr="008C13CD">
        <w:tab/>
        <w:t xml:space="preserve">L’interprétation d’une constitution est tout à fait différente de l’interprétation d’une loi. Une loi définit des droits et des obligations actuels. Elle peut être facilement adoptée et aussi facilement abrogée. Par contre, une constitution est rédigée en prévision de l’avenir. Elle vise à fournir un cadre permanent à l’exercice légitime de l’autorité gouvernementale et, lorsqu’on y joint une </w:t>
      </w:r>
      <w:r w:rsidRPr="008C13CD">
        <w:rPr>
          <w:i/>
        </w:rPr>
        <w:t>Déclaration</w:t>
      </w:r>
      <w:r w:rsidRPr="008C13CD">
        <w:t xml:space="preserve"> ou une </w:t>
      </w:r>
      <w:r w:rsidRPr="008C13CD">
        <w:rPr>
          <w:i/>
        </w:rPr>
        <w:t>Charte des droits</w:t>
      </w:r>
      <w:r w:rsidRPr="008C13CD">
        <w:t>, à la protection constante des droits et libertés individuels. Une fois adoptées, ses dispositions ne peuvent pas être facilement abrogées ou modifiées. Elle doit par conséquent être susceptible d’évoluer avec le temps de manière à répondre à de nouvelles réalités sociales, politiques et historiques que souvent ses auteurs n’ont pas envisagées. Les tribunaux sont les gardiens de la constitution et ils doivent tenir compte de ces facteurs lorsqu’ils interprètent ses dispositions. Le professeur Paul Freund a bien exprimé cette idée lorsqu’il a averti les tribunaux américains [</w:t>
      </w:r>
      <w:r w:rsidRPr="008C13CD">
        <w:rPr>
          <w:smallCaps/>
        </w:rPr>
        <w:t>traduction</w:t>
      </w:r>
      <w:r w:rsidRPr="008C13CD">
        <w:t>] « de ne pas interpréter les dispositions de la Constitution comme un testament de peur qu’elle ne le devienne ». [p. 155]</w:t>
      </w:r>
    </w:p>
    <w:p w:rsidR="00182BDC" w:rsidRPr="008C13CD" w:rsidRDefault="00182BDC" w:rsidP="00182BDC">
      <w:pPr>
        <w:pStyle w:val="ContinueParaSuitedupar-AltP"/>
        <w:spacing w:before="0"/>
        <w:rPr>
          <w:rFonts w:cs="Times New Roman"/>
        </w:rPr>
      </w:pPr>
      <w:r w:rsidRPr="008C13CD">
        <w:rPr>
          <w:rFonts w:cs="Times New Roman"/>
        </w:rPr>
        <w:t xml:space="preserve">Néanmoins, comme il est énoncé dans l’arrêt </w:t>
      </w:r>
      <w:r w:rsidRPr="008C13CD">
        <w:rPr>
          <w:rFonts w:cs="Times New Roman"/>
          <w:i/>
        </w:rPr>
        <w:t>Big M Drug Mart</w:t>
      </w:r>
      <w:r w:rsidRPr="008C13CD">
        <w:rPr>
          <w:rFonts w:cs="Times New Roman"/>
        </w:rPr>
        <w:t xml:space="preserve">, le texte de la </w:t>
      </w:r>
      <w:r w:rsidRPr="008C13CD">
        <w:rPr>
          <w:rFonts w:cs="Times New Roman"/>
          <w:i/>
        </w:rPr>
        <w:t>Charte</w:t>
      </w:r>
      <w:r w:rsidRPr="008C13CD">
        <w:rPr>
          <w:rFonts w:cs="Times New Roman"/>
        </w:rPr>
        <w:t xml:space="preserve"> est important, puisque l’objet du droit en question doit être déterminé en fonction « des termes choisis pour énoncer ce droit » (p. 344).</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lastRenderedPageBreak/>
        <w:t xml:space="preserve">Notre Cour a appliqué le cadre d’analyse équilibré de l’arrêt </w:t>
      </w:r>
      <w:r w:rsidRPr="008C13CD">
        <w:rPr>
          <w:rFonts w:eastAsia="Times New Roman" w:cs="Times New Roman"/>
          <w:i/>
          <w:lang w:val="fr-CA"/>
        </w:rPr>
        <w:t>Big M Drug Mart</w:t>
      </w:r>
      <w:r w:rsidRPr="008C13CD">
        <w:rPr>
          <w:rFonts w:eastAsia="Times New Roman" w:cs="Times New Roman"/>
          <w:lang w:val="fr-CA"/>
        </w:rPr>
        <w:t xml:space="preserve"> dans l’interprétation de la portée de plusieurs droits garantis par la </w:t>
      </w:r>
      <w:r w:rsidRPr="008C13CD">
        <w:rPr>
          <w:rFonts w:eastAsia="Times New Roman" w:cs="Times New Roman"/>
          <w:i/>
          <w:lang w:val="fr-CA"/>
        </w:rPr>
        <w:t>Charte</w:t>
      </w:r>
      <w:r w:rsidRPr="008C13CD">
        <w:rPr>
          <w:rFonts w:eastAsia="Times New Roman" w:cs="Times New Roman"/>
          <w:lang w:val="fr-CA"/>
        </w:rPr>
        <w:t>, sans élever le libellé clair de ces garanties au niveau de facteur ayant une importance particulière. La Cour a résolu des questions relatives à la portée de l’al. 2</w:t>
      </w:r>
      <w:r w:rsidRPr="008C13CD">
        <w:rPr>
          <w:rFonts w:eastAsia="Times New Roman" w:cs="Times New Roman"/>
          <w:i/>
          <w:lang w:val="fr-CA"/>
        </w:rPr>
        <w:t>a</w:t>
      </w:r>
      <w:r w:rsidRPr="008C13CD">
        <w:rPr>
          <w:rFonts w:eastAsia="Times New Roman" w:cs="Times New Roman"/>
          <w:lang w:val="fr-CA"/>
        </w:rPr>
        <w:t xml:space="preserve">) </w:t>
      </w:r>
      <w:r>
        <w:rPr>
          <w:rFonts w:eastAsia="Times New Roman" w:cs="Times New Roman"/>
          <w:lang w:val="fr-CA"/>
        </w:rPr>
        <w:t xml:space="preserve">de la </w:t>
      </w:r>
      <w:r w:rsidRPr="00ED29EB">
        <w:rPr>
          <w:rFonts w:eastAsia="Times New Roman" w:cs="Times New Roman"/>
          <w:i/>
          <w:lang w:val="fr-CA"/>
        </w:rPr>
        <w:t>Charte</w:t>
      </w:r>
      <w:r>
        <w:rPr>
          <w:rFonts w:eastAsia="Times New Roman" w:cs="Times New Roman"/>
          <w:lang w:val="fr-CA"/>
        </w:rPr>
        <w:t xml:space="preserve"> </w:t>
      </w:r>
      <w:r w:rsidRPr="008C13CD">
        <w:rPr>
          <w:rFonts w:eastAsia="Times New Roman" w:cs="Times New Roman"/>
          <w:lang w:val="fr-CA"/>
        </w:rPr>
        <w:t>sans recourir à la définition du terme « religion » dans les dictionnaires, choisissant plutôt d’examiner le « contexte historique » et l’« objet » de la liberté de religion et de conscience (</w:t>
      </w:r>
      <w:r w:rsidRPr="008C13CD">
        <w:rPr>
          <w:rFonts w:eastAsia="Times New Roman" w:cs="Times New Roman"/>
          <w:i/>
          <w:lang w:val="fr-CA"/>
        </w:rPr>
        <w:t>Big M Drug Mart</w:t>
      </w:r>
      <w:r w:rsidRPr="008C13CD">
        <w:rPr>
          <w:rFonts w:eastAsia="Times New Roman" w:cs="Times New Roman"/>
          <w:lang w:val="fr-CA"/>
        </w:rPr>
        <w:t>, p. 344</w:t>
      </w:r>
      <w:r w:rsidRPr="008C13CD">
        <w:rPr>
          <w:rFonts w:eastAsia="Times New Roman" w:cs="Times New Roman"/>
          <w:lang w:val="fr-CA"/>
        </w:rPr>
        <w:noBreakHyphen/>
        <w:t xml:space="preserve">348; voir également </w:t>
      </w:r>
      <w:r w:rsidRPr="008C13CD">
        <w:rPr>
          <w:rFonts w:eastAsia="Times New Roman" w:cs="Times New Roman"/>
          <w:i/>
          <w:lang w:val="fr-CA"/>
        </w:rPr>
        <w:t>Syndicat Northcrest c. Amselem</w:t>
      </w:r>
      <w:r w:rsidRPr="008C13CD">
        <w:rPr>
          <w:rFonts w:eastAsia="Times New Roman" w:cs="Times New Roman"/>
          <w:lang w:val="fr-CA"/>
        </w:rPr>
        <w:t>, [2004] 2 R.C.S. 551, par. 41</w:t>
      </w:r>
      <w:r w:rsidRPr="008C13CD">
        <w:rPr>
          <w:rFonts w:eastAsia="Times New Roman" w:cs="Times New Roman"/>
          <w:lang w:val="fr-CA"/>
        </w:rPr>
        <w:noBreakHyphen/>
        <w:t>42). Dans l’interprétation de la présomption d’innocence garantie à l’al. 11</w:t>
      </w:r>
      <w:r w:rsidRPr="008C13CD">
        <w:rPr>
          <w:rFonts w:eastAsia="Times New Roman" w:cs="Times New Roman"/>
          <w:i/>
          <w:lang w:val="fr-CA"/>
        </w:rPr>
        <w:t>d</w:t>
      </w:r>
      <w:r w:rsidRPr="008C13CD">
        <w:rPr>
          <w:rFonts w:eastAsia="Times New Roman" w:cs="Times New Roman"/>
          <w:lang w:val="fr-CA"/>
        </w:rPr>
        <w:t xml:space="preserve">), la Cour a accordé une attention particulière aux « valeurs fondamentales » inhérentes au droit en question </w:t>
      </w:r>
      <w:r w:rsidRPr="00B50BE9">
        <w:rPr>
          <w:rFonts w:eastAsia="Times New Roman" w:cs="Times New Roman"/>
          <w:lang w:val="fr-CA"/>
        </w:rPr>
        <w:t>(</w:t>
      </w:r>
      <w:r w:rsidRPr="00B50BE9">
        <w:rPr>
          <w:rFonts w:eastAsia="Times New Roman" w:cs="Times New Roman"/>
          <w:i/>
          <w:lang w:val="fr-CA"/>
        </w:rPr>
        <w:t>R. c. Oakes</w:t>
      </w:r>
      <w:r w:rsidRPr="00B50BE9">
        <w:rPr>
          <w:rFonts w:eastAsia="Times New Roman" w:cs="Times New Roman"/>
          <w:lang w:val="fr-CA"/>
        </w:rPr>
        <w:t xml:space="preserve">, [1986] 1 R.C.S. 103, p. 119). </w:t>
      </w:r>
      <w:r w:rsidRPr="008C13CD">
        <w:rPr>
          <w:rFonts w:eastAsia="Times New Roman" w:cs="Times New Roman"/>
          <w:lang w:val="fr-CA"/>
        </w:rPr>
        <w:t>Qui plus est, en délimitant les contours de la liberté d’expression garantie à l’al. 2</w:t>
      </w:r>
      <w:r w:rsidRPr="008C13CD">
        <w:rPr>
          <w:rFonts w:eastAsia="Times New Roman" w:cs="Times New Roman"/>
          <w:i/>
          <w:lang w:val="fr-CA"/>
        </w:rPr>
        <w:t>b</w:t>
      </w:r>
      <w:r w:rsidRPr="008C13CD">
        <w:rPr>
          <w:rFonts w:eastAsia="Times New Roman" w:cs="Times New Roman"/>
          <w:lang w:val="fr-CA"/>
        </w:rPr>
        <w:t>), la Cour a constamment souligné les « principes et [les] valeurs qui sous</w:t>
      </w:r>
      <w:r w:rsidRPr="008C13CD">
        <w:rPr>
          <w:rFonts w:eastAsia="Times New Roman" w:cs="Times New Roman"/>
          <w:lang w:val="fr-CA"/>
        </w:rPr>
        <w:noBreakHyphen/>
        <w:t xml:space="preserve">tendent la liberté », plutôt que le sens ordinaire du mot « expression » (voir </w:t>
      </w:r>
      <w:r w:rsidRPr="008C13CD">
        <w:rPr>
          <w:rFonts w:eastAsia="Times New Roman" w:cs="Times New Roman"/>
          <w:i/>
          <w:lang w:val="fr-CA"/>
        </w:rPr>
        <w:t>Irwin Toy Ltd. c. Québec (Procureur général)</w:t>
      </w:r>
      <w:r w:rsidRPr="008C13CD">
        <w:rPr>
          <w:rFonts w:eastAsia="Times New Roman" w:cs="Times New Roman"/>
          <w:lang w:val="fr-CA"/>
        </w:rPr>
        <w:t xml:space="preserve">, [1989] 1 R.C.S. 927, p. 976; voir aussi </w:t>
      </w:r>
      <w:r w:rsidRPr="008C13CD">
        <w:rPr>
          <w:rFonts w:eastAsia="Times New Roman" w:cs="Times New Roman"/>
          <w:i/>
          <w:lang w:val="fr-CA"/>
        </w:rPr>
        <w:t>Ford c. Québec (Procureur général</w:t>
      </w:r>
      <w:r w:rsidRPr="008C13CD">
        <w:rPr>
          <w:rFonts w:eastAsia="Times New Roman" w:cs="Times New Roman"/>
          <w:lang w:val="fr-CA"/>
        </w:rPr>
        <w:t>), [1988] 2 R.C.S. 712, p. 764</w:t>
      </w:r>
      <w:r w:rsidRPr="008C13CD">
        <w:rPr>
          <w:rFonts w:eastAsia="Times New Roman" w:cs="Times New Roman"/>
          <w:lang w:val="fr-CA"/>
        </w:rPr>
        <w:noBreakHyphen/>
        <w:t xml:space="preserve">767; </w:t>
      </w:r>
      <w:r w:rsidRPr="008C13CD">
        <w:rPr>
          <w:rFonts w:eastAsia="Times New Roman" w:cs="Times New Roman"/>
          <w:i/>
          <w:lang w:val="fr-CA"/>
        </w:rPr>
        <w:t>R. c. Keegstra</w:t>
      </w:r>
      <w:r w:rsidRPr="008C13CD">
        <w:rPr>
          <w:rFonts w:eastAsia="Times New Roman" w:cs="Times New Roman"/>
          <w:lang w:val="fr-CA"/>
        </w:rPr>
        <w:t>, [1990] 3 R.C.S. 697, p. 727</w:t>
      </w:r>
      <w:r w:rsidRPr="008C13CD">
        <w:rPr>
          <w:rFonts w:eastAsia="Times New Roman" w:cs="Times New Roman"/>
          <w:lang w:val="fr-CA"/>
        </w:rPr>
        <w:noBreakHyphen/>
        <w:t xml:space="preserve">728; </w:t>
      </w:r>
      <w:r w:rsidRPr="008C13CD">
        <w:rPr>
          <w:rFonts w:eastAsia="Times New Roman" w:cs="Times New Roman"/>
          <w:i/>
          <w:lang w:val="fr-CA"/>
        </w:rPr>
        <w:t xml:space="preserve">Renvoi </w:t>
      </w:r>
      <w:r w:rsidR="0084670D">
        <w:rPr>
          <w:rFonts w:eastAsia="Times New Roman" w:cs="Times New Roman"/>
          <w:i/>
          <w:lang w:val="fr-CA"/>
        </w:rPr>
        <w:t>relatif à la Motor Vehicle Act de la C.</w:t>
      </w:r>
      <w:r w:rsidR="0084670D">
        <w:rPr>
          <w:rFonts w:eastAsia="Times New Roman" w:cs="Times New Roman"/>
          <w:i/>
          <w:lang w:val="fr-CA"/>
        </w:rPr>
        <w:noBreakHyphen/>
        <w:t>B.</w:t>
      </w:r>
      <w:r w:rsidR="00C74478">
        <w:rPr>
          <w:rFonts w:eastAsia="Times New Roman" w:cs="Times New Roman"/>
          <w:lang w:val="fr-CA"/>
        </w:rPr>
        <w:t>, [1985] 2 R.C.S. 486, p</w:t>
      </w:r>
      <w:r w:rsidRPr="008C13CD">
        <w:rPr>
          <w:rFonts w:eastAsia="Times New Roman" w:cs="Times New Roman"/>
          <w:lang w:val="fr-CA"/>
        </w:rPr>
        <w:t>. 499</w:t>
      </w:r>
      <w:r w:rsidRPr="008C13CD">
        <w:rPr>
          <w:rFonts w:eastAsia="Times New Roman" w:cs="Times New Roman"/>
          <w:lang w:val="fr-CA"/>
        </w:rPr>
        <w:noBreakHyphen/>
        <w:t>500;</w:t>
      </w:r>
      <w:r w:rsidRPr="008C13CD">
        <w:rPr>
          <w:rFonts w:eastAsia="Times New Roman" w:cs="Times New Roman"/>
          <w:i/>
          <w:lang w:val="fr-CA"/>
        </w:rPr>
        <w:t xml:space="preserve"> Eldridge c. Colombie</w:t>
      </w:r>
      <w:r w:rsidRPr="008C13CD">
        <w:rPr>
          <w:rFonts w:eastAsia="Times New Roman" w:cs="Times New Roman"/>
          <w:i/>
          <w:lang w:val="fr-CA"/>
        </w:rPr>
        <w:noBreakHyphen/>
        <w:t>Britannique</w:t>
      </w:r>
      <w:r>
        <w:rPr>
          <w:rFonts w:eastAsia="Times New Roman" w:cs="Times New Roman"/>
          <w:i/>
          <w:lang w:val="fr-CA"/>
        </w:rPr>
        <w:t xml:space="preserve"> (Procureur général)</w:t>
      </w:r>
      <w:r w:rsidRPr="008C13CD">
        <w:rPr>
          <w:rFonts w:eastAsia="Times New Roman" w:cs="Times New Roman"/>
          <w:lang w:val="fr-CA"/>
        </w:rPr>
        <w:t xml:space="preserve">, [1997] 3 R.C.S. 624, par. 53; </w:t>
      </w:r>
      <w:r w:rsidRPr="008C13CD">
        <w:rPr>
          <w:rFonts w:eastAsia="Times New Roman" w:cs="Times New Roman"/>
          <w:i/>
          <w:lang w:val="fr-CA"/>
        </w:rPr>
        <w:t>R. c. K.R.J.</w:t>
      </w:r>
      <w:r w:rsidRPr="008C13CD">
        <w:rPr>
          <w:rFonts w:eastAsia="Times New Roman" w:cs="Times New Roman"/>
          <w:lang w:val="fr-CA"/>
        </w:rPr>
        <w:t>, [2016] 1 R.C.S. 906, par. 37</w:t>
      </w:r>
      <w:r w:rsidRPr="008C13CD">
        <w:rPr>
          <w:rFonts w:eastAsia="Times New Roman" w:cs="Times New Roman"/>
          <w:lang w:val="fr-CA"/>
        </w:rPr>
        <w:noBreakHyphen/>
        <w:t>38).</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Cette interprétation téléologique des dispositions de la </w:t>
      </w:r>
      <w:r w:rsidRPr="008C13CD">
        <w:rPr>
          <w:rFonts w:eastAsia="Times New Roman" w:cs="Times New Roman"/>
          <w:i/>
          <w:lang w:val="fr-CA"/>
        </w:rPr>
        <w:t>Charte</w:t>
      </w:r>
      <w:r w:rsidRPr="008C13CD">
        <w:rPr>
          <w:rFonts w:eastAsia="Times New Roman" w:cs="Times New Roman"/>
          <w:lang w:val="fr-CA"/>
        </w:rPr>
        <w:t xml:space="preserve"> s’est poursuivie dans l’arrêt </w:t>
      </w:r>
      <w:r w:rsidRPr="008C13CD">
        <w:rPr>
          <w:rFonts w:eastAsia="Times New Roman" w:cs="Times New Roman"/>
          <w:i/>
          <w:lang w:val="fr-CA"/>
        </w:rPr>
        <w:t>R. c. Grant</w:t>
      </w:r>
      <w:r w:rsidRPr="008C13CD">
        <w:rPr>
          <w:rFonts w:eastAsia="Times New Roman" w:cs="Times New Roman"/>
          <w:lang w:val="fr-CA"/>
        </w:rPr>
        <w:t xml:space="preserve">, [2009] 2 R.C.S. 353, dans lequel, tout en reconnaissant qu’en matière d’interprétation constitutionnelle, il faut « tout d’abord » se pencher sur le libellé du droit à interpréter, notre Cour a ensuite fait sienne l’approche </w:t>
      </w:r>
      <w:r w:rsidRPr="008C13CD">
        <w:rPr>
          <w:rFonts w:eastAsia="Times New Roman" w:cs="Times New Roman"/>
          <w:lang w:val="fr-CA"/>
        </w:rPr>
        <w:lastRenderedPageBreak/>
        <w:t xml:space="preserve">contextuelle issue de </w:t>
      </w:r>
      <w:r w:rsidRPr="008C13CD">
        <w:rPr>
          <w:rFonts w:eastAsia="Times New Roman" w:cs="Times New Roman"/>
          <w:i/>
          <w:lang w:val="fr-CA"/>
        </w:rPr>
        <w:t>Big M Drug Mart</w:t>
      </w:r>
      <w:r w:rsidRPr="008C13CD">
        <w:rPr>
          <w:rFonts w:eastAsia="Times New Roman" w:cs="Times New Roman"/>
          <w:lang w:val="fr-CA"/>
        </w:rPr>
        <w:t xml:space="preserve">, affirmant que « l’interprétation [du libellé d’une disposition constitutionnelle], si elle n’est pas manifeste, doit être tirée par suite de l’application d’une méthode téléologique, libérale et contextuelle » (par. 15; voir aussi le par. 16). Et, plus récemment, dans l’arrêt </w:t>
      </w:r>
      <w:r w:rsidRPr="008C13CD">
        <w:rPr>
          <w:rFonts w:eastAsia="Times New Roman" w:cs="Times New Roman"/>
          <w:i/>
          <w:lang w:val="fr-CA"/>
        </w:rPr>
        <w:t>R. c. Stillman</w:t>
      </w:r>
      <w:r w:rsidRPr="008C13CD">
        <w:rPr>
          <w:rFonts w:eastAsia="Times New Roman" w:cs="Times New Roman"/>
          <w:lang w:val="fr-CA"/>
        </w:rPr>
        <w:t xml:space="preserve">, </w:t>
      </w:r>
      <w:r w:rsidR="0047206F">
        <w:rPr>
          <w:rFonts w:eastAsia="Times New Roman" w:cs="Times New Roman"/>
          <w:lang w:val="fr-CA"/>
        </w:rPr>
        <w:t>[2019]</w:t>
      </w:r>
      <w:r w:rsidRPr="008C13CD">
        <w:rPr>
          <w:rFonts w:eastAsia="Times New Roman" w:cs="Times New Roman"/>
          <w:lang w:val="fr-CA"/>
        </w:rPr>
        <w:t> </w:t>
      </w:r>
      <w:r w:rsidR="0047206F">
        <w:rPr>
          <w:rFonts w:eastAsia="Times New Roman" w:cs="Times New Roman"/>
          <w:lang w:val="fr-CA"/>
        </w:rPr>
        <w:t>3 R.C.S. 144</w:t>
      </w:r>
      <w:r w:rsidRPr="008C13CD">
        <w:rPr>
          <w:rFonts w:eastAsia="Times New Roman" w:cs="Times New Roman"/>
          <w:lang w:val="fr-CA"/>
        </w:rPr>
        <w:t>, la Cour a réitéré les principes suivants :</w:t>
      </w:r>
    </w:p>
    <w:p w:rsidR="00182BDC" w:rsidRPr="008C13CD" w:rsidRDefault="00182BDC" w:rsidP="00871FEF">
      <w:pPr>
        <w:pStyle w:val="Citation-AltC"/>
        <w:tabs>
          <w:tab w:val="left" w:pos="1440"/>
        </w:tabs>
        <w:spacing w:after="480"/>
        <w:contextualSpacing w:val="0"/>
      </w:pPr>
      <w:r w:rsidRPr="008C13CD">
        <w:tab/>
        <w:t xml:space="preserve">Un droit garanti par la </w:t>
      </w:r>
      <w:r w:rsidRPr="008C13CD">
        <w:rPr>
          <w:i/>
          <w:iCs/>
        </w:rPr>
        <w:t xml:space="preserve">Charte </w:t>
      </w:r>
      <w:r w:rsidRPr="008C13CD">
        <w:t>doit s’interpréter « en fonction des intérêts qu’i[l] vis[e] à protéger » (</w:t>
      </w:r>
      <w:r w:rsidRPr="008C13CD">
        <w:rPr>
          <w:i/>
          <w:iCs/>
        </w:rPr>
        <w:t>R. c. Big M Drug Mart Ltd.</w:t>
      </w:r>
      <w:r>
        <w:t xml:space="preserve"> </w:t>
      </w:r>
      <w:r w:rsidRPr="002D39CB">
        <w:t>[</w:t>
      </w:r>
      <w:r>
        <w:t>. . .]</w:t>
      </w:r>
      <w:r w:rsidRPr="008C13CD">
        <w:t xml:space="preserve"> p. 344; voir aussi </w:t>
      </w:r>
      <w:r w:rsidRPr="008C13CD">
        <w:rPr>
          <w:i/>
          <w:iCs/>
        </w:rPr>
        <w:t>Hunter c. Southam Inc.</w:t>
      </w:r>
      <w:r w:rsidRPr="002D39CB">
        <w:t xml:space="preserve"> [</w:t>
      </w:r>
      <w:r>
        <w:t>. . .]</w:t>
      </w:r>
      <w:r w:rsidRPr="008C13CD">
        <w:t xml:space="preserve"> p. 157), en tenant compte « de la nature et des objectifs plus larges de la </w:t>
      </w:r>
      <w:r w:rsidRPr="008C13CD">
        <w:rPr>
          <w:i/>
          <w:iCs/>
        </w:rPr>
        <w:t xml:space="preserve">Charte </w:t>
      </w:r>
      <w:r w:rsidRPr="008C13CD">
        <w:t>elle</w:t>
      </w:r>
      <w:r w:rsidRPr="008C13CD">
        <w:noBreakHyphen/>
        <w:t xml:space="preserve">même », « des termes choisis pour énoncer ce droit ou cette liberté », « des origines historiques des concepts enchâssés » et, s’il y a lieu, « du sens et de l’objet des autres libertés et droits particuliers qui s’y rattachent selon le texte de la </w:t>
      </w:r>
      <w:r w:rsidRPr="008C13CD">
        <w:rPr>
          <w:i/>
          <w:iCs/>
        </w:rPr>
        <w:t>Charte </w:t>
      </w:r>
      <w:r w:rsidRPr="008C13CD">
        <w:t>» (</w:t>
      </w:r>
      <w:r w:rsidRPr="008C13CD">
        <w:rPr>
          <w:i/>
          <w:iCs/>
        </w:rPr>
        <w:t>Big M</w:t>
      </w:r>
      <w:r w:rsidRPr="008C13CD">
        <w:t xml:space="preserve">, p. 344). Il s’ensuit que l’interprétation des droits garantis par la </w:t>
      </w:r>
      <w:r w:rsidRPr="008C13CD">
        <w:rPr>
          <w:i/>
          <w:iCs/>
        </w:rPr>
        <w:t xml:space="preserve">Charte </w:t>
      </w:r>
      <w:r w:rsidRPr="008C13CD">
        <w:t>doit être « libérale » et « viser à réaliser l’objet de la garantie et à assurer que les citoyens bénéficient pleinement de la protection accordée par la </w:t>
      </w:r>
      <w:r w:rsidRPr="008C13CD">
        <w:rPr>
          <w:i/>
          <w:iCs/>
        </w:rPr>
        <w:t>Charte </w:t>
      </w:r>
      <w:r w:rsidRPr="008C13CD">
        <w:t>» (</w:t>
      </w:r>
      <w:r w:rsidRPr="008C13CD">
        <w:rPr>
          <w:i/>
          <w:iCs/>
        </w:rPr>
        <w:t>ibid.</w:t>
      </w:r>
      <w:r w:rsidRPr="008C13CD">
        <w:t>). En même temps, il importe de ne pas aller au</w:t>
      </w:r>
      <w:r w:rsidRPr="008C13CD">
        <w:noBreakHyphen/>
        <w:t>delà de l’objet véritable du droit ou de la liberté en question (</w:t>
      </w:r>
      <w:r w:rsidRPr="008C13CD">
        <w:rPr>
          <w:i/>
          <w:iCs/>
        </w:rPr>
        <w:t>ibid.</w:t>
      </w:r>
      <w:r w:rsidRPr="008C13CD">
        <w:t>).</w:t>
      </w:r>
    </w:p>
    <w:p w:rsidR="00182BDC" w:rsidRPr="008C13CD" w:rsidRDefault="00182BDC" w:rsidP="00871FEF">
      <w:pPr>
        <w:pStyle w:val="Citation-AltC"/>
        <w:ind w:left="0"/>
        <w:contextualSpacing w:val="0"/>
      </w:pPr>
      <w:r w:rsidRPr="008C13CD">
        <w:t xml:space="preserve">(par. 21; voir aussi </w:t>
      </w:r>
      <w:r w:rsidRPr="008C13CD">
        <w:rPr>
          <w:i/>
        </w:rPr>
        <w:t>R. c. Poulin</w:t>
      </w:r>
      <w:r w:rsidRPr="008C13CD">
        <w:t xml:space="preserve">, </w:t>
      </w:r>
      <w:r w:rsidR="00871FEF">
        <w:t>[2019] </w:t>
      </w:r>
      <w:r w:rsidR="00951C33">
        <w:t xml:space="preserve">3 </w:t>
      </w:r>
      <w:r w:rsidR="00871FEF">
        <w:t>R.C.S. 566</w:t>
      </w:r>
      <w:r w:rsidRPr="008C13CD">
        <w:t>, par. 32</w:t>
      </w:r>
      <w:r>
        <w:t>.</w:t>
      </w:r>
      <w:r w:rsidRPr="008C13CD">
        <w:t>)</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L’absence totale d’adhésion </w:t>
      </w:r>
      <w:r>
        <w:rPr>
          <w:rFonts w:eastAsia="Times New Roman" w:cs="Times New Roman"/>
          <w:lang w:val="fr-CA"/>
        </w:rPr>
        <w:t>d</w:t>
      </w:r>
      <w:r w:rsidRPr="008C13CD">
        <w:rPr>
          <w:rFonts w:eastAsia="Times New Roman" w:cs="Times New Roman"/>
          <w:lang w:val="fr-CA"/>
        </w:rPr>
        <w:t xml:space="preserve">ans notre jurisprudence à une méthode d’interprétation constitutionnelle fondée sur la préséance du texte n’est guère surprenante. Étant donné que les droits garantis par la </w:t>
      </w:r>
      <w:r w:rsidRPr="008C13CD">
        <w:rPr>
          <w:rFonts w:eastAsia="Times New Roman" w:cs="Times New Roman"/>
          <w:i/>
          <w:lang w:val="fr-CA"/>
        </w:rPr>
        <w:t>Charte</w:t>
      </w:r>
      <w:r w:rsidRPr="008C13CD">
        <w:rPr>
          <w:rFonts w:eastAsia="Times New Roman" w:cs="Times New Roman"/>
          <w:lang w:val="fr-CA"/>
        </w:rPr>
        <w:t xml:space="preserve"> — à l’instar de tous les droits constitutionnels — sont censés pouvoir croître et s’adapter (voir</w:t>
      </w:r>
      <w:r w:rsidRPr="008C13CD">
        <w:rPr>
          <w:rFonts w:eastAsia="Times New Roman" w:cs="Times New Roman"/>
          <w:szCs w:val="24"/>
          <w:lang w:val="fr-CA" w:eastAsia="en-CA"/>
        </w:rPr>
        <w:t xml:space="preserve"> </w:t>
      </w:r>
      <w:r w:rsidRPr="008C13CD">
        <w:rPr>
          <w:rFonts w:eastAsia="Times New Roman" w:cs="Times New Roman"/>
          <w:i/>
          <w:lang w:val="fr-CA"/>
        </w:rPr>
        <w:t>Hunter</w:t>
      </w:r>
      <w:r w:rsidRPr="008C13CD">
        <w:rPr>
          <w:rFonts w:eastAsia="Times New Roman" w:cs="Times New Roman"/>
          <w:lang w:val="fr-CA"/>
        </w:rPr>
        <w:t>, p. 155</w:t>
      </w:r>
      <w:r w:rsidRPr="008C13CD">
        <w:rPr>
          <w:rFonts w:eastAsia="Times New Roman" w:cs="Times New Roman"/>
          <w:lang w:val="fr-CA"/>
        </w:rPr>
        <w:noBreakHyphen/>
        <w:t xml:space="preserve">157; </w:t>
      </w:r>
      <w:r w:rsidRPr="008C13CD">
        <w:rPr>
          <w:rFonts w:eastAsia="Times New Roman" w:cs="Times New Roman"/>
          <w:i/>
          <w:lang w:val="fr-CA"/>
        </w:rPr>
        <w:t xml:space="preserve">Renvoi </w:t>
      </w:r>
      <w:r w:rsidR="00730F90">
        <w:rPr>
          <w:rFonts w:eastAsia="Times New Roman" w:cs="Times New Roman"/>
          <w:i/>
          <w:lang w:val="fr-CA"/>
        </w:rPr>
        <w:t>relatif à la Motor Vehicle Act de la C.</w:t>
      </w:r>
      <w:r w:rsidR="00730F90">
        <w:rPr>
          <w:rFonts w:eastAsia="Times New Roman" w:cs="Times New Roman"/>
          <w:i/>
          <w:lang w:val="fr-CA"/>
        </w:rPr>
        <w:noBreakHyphen/>
        <w:t>B.</w:t>
      </w:r>
      <w:r w:rsidRPr="008C13CD">
        <w:rPr>
          <w:rFonts w:eastAsia="Times New Roman" w:cs="Times New Roman"/>
          <w:lang w:val="fr-CA"/>
        </w:rPr>
        <w:t xml:space="preserve">, p. 509; </w:t>
      </w:r>
      <w:r w:rsidRPr="008C13CD">
        <w:rPr>
          <w:rFonts w:eastAsia="Times New Roman" w:cs="Times New Roman"/>
          <w:i/>
          <w:iCs/>
          <w:lang w:val="fr-CA"/>
        </w:rPr>
        <w:t>Law Society of Upper Canada c. Skapinker</w:t>
      </w:r>
      <w:r w:rsidRPr="00EE273D">
        <w:rPr>
          <w:rFonts w:eastAsia="Times New Roman" w:cs="Times New Roman"/>
          <w:lang w:val="fr-CA"/>
        </w:rPr>
        <w:t xml:space="preserve">, </w:t>
      </w:r>
      <w:r w:rsidRPr="008C13CD">
        <w:rPr>
          <w:rFonts w:eastAsia="Times New Roman" w:cs="Times New Roman"/>
          <w:lang w:val="fr-CA"/>
        </w:rPr>
        <w:t>[1984] 1 R.C.S. 357, p. 365</w:t>
      </w:r>
      <w:r w:rsidRPr="008C13CD">
        <w:rPr>
          <w:rFonts w:eastAsia="Times New Roman" w:cs="Times New Roman"/>
          <w:lang w:val="fr-CA"/>
        </w:rPr>
        <w:noBreakHyphen/>
        <w:t xml:space="preserve">367; </w:t>
      </w:r>
      <w:r w:rsidRPr="008C13CD">
        <w:rPr>
          <w:rFonts w:eastAsia="Times New Roman" w:cs="Times New Roman"/>
          <w:i/>
          <w:lang w:val="fr-CA"/>
        </w:rPr>
        <w:t>Renvoi : Circ. électorales provinciales (Sask.)</w:t>
      </w:r>
      <w:r w:rsidRPr="008C13CD">
        <w:rPr>
          <w:rFonts w:eastAsia="Times New Roman" w:cs="Times New Roman"/>
          <w:lang w:val="fr-CA"/>
        </w:rPr>
        <w:t>, [1991] 2 R.C.S. 158, p. 179</w:t>
      </w:r>
      <w:r w:rsidRPr="008C13CD">
        <w:rPr>
          <w:rFonts w:eastAsia="Times New Roman" w:cs="Times New Roman"/>
          <w:lang w:val="fr-CA"/>
        </w:rPr>
        <w:noBreakHyphen/>
        <w:t>1</w:t>
      </w:r>
      <w:r>
        <w:rPr>
          <w:rFonts w:eastAsia="Times New Roman" w:cs="Times New Roman"/>
          <w:lang w:val="fr-CA"/>
        </w:rPr>
        <w:t>81; Hogg, par.</w:t>
      </w:r>
      <w:r w:rsidRPr="008C13CD">
        <w:rPr>
          <w:rFonts w:eastAsia="Times New Roman" w:cs="Times New Roman"/>
          <w:lang w:val="fr-CA"/>
        </w:rPr>
        <w:t xml:space="preserve"> 15.9(f)), bon nombre de ces droits ont été rédigés en des termes vagues, aux contours non définis (voir </w:t>
      </w:r>
      <w:r w:rsidRPr="008C13CD">
        <w:rPr>
          <w:rFonts w:eastAsia="Times New Roman" w:cs="Times New Roman"/>
          <w:i/>
          <w:lang w:val="fr-CA"/>
        </w:rPr>
        <w:t>Hunter</w:t>
      </w:r>
      <w:r w:rsidRPr="008C13CD">
        <w:rPr>
          <w:rFonts w:eastAsia="Times New Roman" w:cs="Times New Roman"/>
          <w:lang w:val="fr-CA"/>
        </w:rPr>
        <w:t xml:space="preserve">, p. 154; </w:t>
      </w:r>
      <w:r w:rsidRPr="008C13CD">
        <w:rPr>
          <w:rFonts w:eastAsia="Times New Roman" w:cs="Times New Roman"/>
          <w:i/>
          <w:lang w:val="fr-CA"/>
        </w:rPr>
        <w:t>Poulin</w:t>
      </w:r>
      <w:r w:rsidRPr="008C13CD">
        <w:rPr>
          <w:rFonts w:eastAsia="Times New Roman" w:cs="Times New Roman"/>
          <w:lang w:val="fr-CA"/>
        </w:rPr>
        <w:t xml:space="preserve">, par. 70 (résumant les « normes aux contours non définis </w:t>
      </w:r>
      <w:r w:rsidRPr="008C13CD">
        <w:rPr>
          <w:rFonts w:eastAsia="Times New Roman" w:cs="Times New Roman"/>
          <w:lang w:val="fr-CA"/>
        </w:rPr>
        <w:lastRenderedPageBreak/>
        <w:t xml:space="preserve">et en constante évolution » dont il est question dans la </w:t>
      </w:r>
      <w:r w:rsidRPr="008C13CD">
        <w:rPr>
          <w:rFonts w:eastAsia="Times New Roman" w:cs="Times New Roman"/>
          <w:i/>
          <w:lang w:val="fr-CA"/>
        </w:rPr>
        <w:t>Charte</w:t>
      </w:r>
      <w:r w:rsidRPr="008C13CD">
        <w:rPr>
          <w:rFonts w:eastAsia="Times New Roman" w:cs="Times New Roman"/>
          <w:lang w:val="fr-CA"/>
        </w:rPr>
        <w:t>, notamment à l’art. 12)</w:t>
      </w:r>
      <w:r>
        <w:rPr>
          <w:rFonts w:eastAsia="Times New Roman" w:cs="Times New Roman"/>
          <w:lang w:val="fr-CA"/>
        </w:rPr>
        <w:t>)</w:t>
      </w:r>
      <w:r w:rsidRPr="008C13CD">
        <w:rPr>
          <w:rFonts w:eastAsia="Times New Roman" w:cs="Times New Roman"/>
          <w:lang w:val="fr-CA"/>
        </w:rPr>
        <w:t>. Le texte de ces dispositions serait donc d’une aide relativement limitée aux fins d’interprétation de leur portée.</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Non seulement le fait de considérer que le texte prime est peu utile dans l’interprétation des garanties constitutionnelles, mais cela pourrait également restreindre indûment la portée de ces droits, ou même produire deux conclusions opposées conduisant, par exemple, au triomphe interprétatif de la présence d’une virgule pour justifier l’élargissement des droits des propriétaires d’armes à feu en vertu du Deuxième amendement de la Constitution des États</w:t>
      </w:r>
      <w:r w:rsidRPr="008C13CD">
        <w:rPr>
          <w:rFonts w:eastAsia="Times New Roman" w:cs="Times New Roman"/>
          <w:lang w:val="fr-CA"/>
        </w:rPr>
        <w:noBreakHyphen/>
        <w:t xml:space="preserve">Unis, dans </w:t>
      </w:r>
      <w:r w:rsidRPr="008C13CD">
        <w:rPr>
          <w:rFonts w:eastAsia="Times New Roman" w:cs="Times New Roman"/>
          <w:i/>
          <w:lang w:val="fr-CA"/>
        </w:rPr>
        <w:t>District of Columbia c.</w:t>
      </w:r>
      <w:r w:rsidRPr="008C13CD">
        <w:rPr>
          <w:rFonts w:eastAsia="Times New Roman" w:cs="Times New Roman"/>
          <w:lang w:val="fr-CA"/>
        </w:rPr>
        <w:t xml:space="preserve"> </w:t>
      </w:r>
      <w:r w:rsidRPr="008C13CD">
        <w:rPr>
          <w:rFonts w:eastAsia="Times New Roman" w:cs="Times New Roman"/>
          <w:i/>
          <w:lang w:val="fr-CA"/>
        </w:rPr>
        <w:t>Heller</w:t>
      </w:r>
      <w:r w:rsidRPr="008C13CD">
        <w:rPr>
          <w:rFonts w:eastAsia="Times New Roman" w:cs="Times New Roman"/>
          <w:lang w:val="fr-CA"/>
        </w:rPr>
        <w:t>, 554 U.S. 570 (2008) (voir Brittany Occhipinti, « We the Militia of the United States of America</w:t>
      </w:r>
      <w:r w:rsidR="00E46062">
        <w:rPr>
          <w:rFonts w:eastAsia="Times New Roman" w:cs="Times New Roman"/>
          <w:lang w:val="fr-CA"/>
        </w:rPr>
        <w:t> </w:t>
      </w:r>
      <w:r w:rsidRPr="008C13CD">
        <w:rPr>
          <w:rFonts w:eastAsia="Times New Roman" w:cs="Times New Roman"/>
          <w:lang w:val="fr-CA"/>
        </w:rPr>
        <w:t>: A Reanalysis of the Second Amendment » (2017)</w:t>
      </w:r>
      <w:r>
        <w:rPr>
          <w:rFonts w:eastAsia="Times New Roman" w:cs="Times New Roman"/>
          <w:lang w:val="fr-CA"/>
        </w:rPr>
        <w:t>,</w:t>
      </w:r>
      <w:r w:rsidRPr="008C13CD">
        <w:rPr>
          <w:rFonts w:eastAsia="Times New Roman" w:cs="Times New Roman"/>
          <w:lang w:val="fr-CA"/>
        </w:rPr>
        <w:t xml:space="preserve"> 53 </w:t>
      </w:r>
      <w:r w:rsidRPr="00AB5799">
        <w:rPr>
          <w:rFonts w:eastAsia="Times New Roman" w:cs="Times New Roman"/>
          <w:i/>
          <w:lang w:val="fr-CA"/>
        </w:rPr>
        <w:t xml:space="preserve">Willamette </w:t>
      </w:r>
      <w:r w:rsidRPr="00CA31BE">
        <w:rPr>
          <w:rFonts w:eastAsia="Times New Roman" w:cs="Times New Roman"/>
          <w:i/>
          <w:lang w:val="fr-CA"/>
        </w:rPr>
        <w:t>L. Rev</w:t>
      </w:r>
      <w:r w:rsidRPr="00E46062">
        <w:rPr>
          <w:rFonts w:eastAsia="Times New Roman" w:cs="Times New Roman"/>
          <w:i/>
          <w:lang w:val="fr-CA"/>
        </w:rPr>
        <w:t>.</w:t>
      </w:r>
      <w:r w:rsidRPr="008C13CD">
        <w:rPr>
          <w:rFonts w:eastAsia="Times New Roman" w:cs="Times New Roman"/>
          <w:lang w:val="fr-CA"/>
        </w:rPr>
        <w:t xml:space="preserve"> 431, p. 438</w:t>
      </w:r>
      <w:r w:rsidRPr="008C13CD">
        <w:rPr>
          <w:rFonts w:eastAsia="Times New Roman" w:cs="Times New Roman"/>
          <w:lang w:val="fr-CA"/>
        </w:rPr>
        <w:noBreakHyphen/>
        <w:t xml:space="preserve">442, commentant l’arrêt </w:t>
      </w:r>
      <w:r w:rsidRPr="008C13CD">
        <w:rPr>
          <w:rFonts w:eastAsia="Times New Roman" w:cs="Times New Roman"/>
          <w:i/>
          <w:lang w:val="fr-CA"/>
        </w:rPr>
        <w:t>Heller</w:t>
      </w:r>
      <w:r w:rsidRPr="008C13CD">
        <w:rPr>
          <w:rFonts w:eastAsia="Times New Roman" w:cs="Times New Roman"/>
          <w:lang w:val="fr-CA"/>
        </w:rPr>
        <w:t>).</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Le fait d’accorder une importance excessive au libellé clair des droits garantis par la </w:t>
      </w:r>
      <w:r w:rsidRPr="008C13CD">
        <w:rPr>
          <w:rFonts w:eastAsia="Times New Roman" w:cs="Times New Roman"/>
          <w:i/>
          <w:lang w:val="fr-CA"/>
        </w:rPr>
        <w:t>Charte</w:t>
      </w:r>
      <w:r w:rsidRPr="008C13CD">
        <w:rPr>
          <w:rFonts w:eastAsia="Times New Roman" w:cs="Times New Roman"/>
          <w:lang w:val="fr-CA"/>
        </w:rPr>
        <w:t xml:space="preserve"> crée le risque qu’avec l’écoulement du temps, ces droits ne représentent plus les valeurs fondamentales de la société canadienne et les objectifs qu’ils sont censés réaliser. Comme l’a fait observer un auteur, une [</w:t>
      </w:r>
      <w:r w:rsidRPr="008C13CD">
        <w:rPr>
          <w:rFonts w:eastAsia="Times New Roman" w:cs="Times New Roman"/>
          <w:smallCaps/>
          <w:lang w:val="fr-CA"/>
        </w:rPr>
        <w:t>traduction</w:t>
      </w:r>
      <w:r w:rsidRPr="008C13CD">
        <w:rPr>
          <w:rFonts w:eastAsia="Times New Roman" w:cs="Times New Roman"/>
          <w:lang w:val="fr-CA"/>
        </w:rPr>
        <w:t>] « lecture purement textuelle » de la Constitution « va à l’encontre de la doctrine de l’arbre vivant » (Lorne Neudorf, « Reassessing the Constitutional Foundation of Delegated Legislation in Canada » (2018), 41</w:t>
      </w:r>
      <w:r w:rsidR="0039088C">
        <w:rPr>
          <w:rFonts w:eastAsia="Times New Roman" w:cs="Times New Roman"/>
          <w:lang w:val="fr-CA"/>
        </w:rPr>
        <w:t xml:space="preserve"> </w:t>
      </w:r>
      <w:r w:rsidRPr="008C13CD">
        <w:rPr>
          <w:rFonts w:eastAsia="Times New Roman" w:cs="Times New Roman"/>
          <w:i/>
          <w:lang w:val="fr-CA"/>
        </w:rPr>
        <w:t>Dal</w:t>
      </w:r>
      <w:r>
        <w:rPr>
          <w:rFonts w:eastAsia="Times New Roman" w:cs="Times New Roman"/>
          <w:i/>
          <w:lang w:val="fr-CA"/>
        </w:rPr>
        <w:t>.</w:t>
      </w:r>
      <w:r w:rsidRPr="008C13CD">
        <w:rPr>
          <w:rFonts w:eastAsia="Times New Roman" w:cs="Times New Roman"/>
          <w:i/>
          <w:lang w:val="fr-CA"/>
        </w:rPr>
        <w:t xml:space="preserve"> L.J.</w:t>
      </w:r>
      <w:r w:rsidRPr="008C13CD">
        <w:rPr>
          <w:rFonts w:eastAsia="Times New Roman" w:cs="Times New Roman"/>
          <w:lang w:val="fr-CA"/>
        </w:rPr>
        <w:t xml:space="preserve"> 519, p. 544). Aharon Barak a lui aussi souligné qu’une [</w:t>
      </w:r>
      <w:r w:rsidRPr="008C13CD">
        <w:rPr>
          <w:rFonts w:eastAsia="Times New Roman" w:cs="Times New Roman"/>
          <w:smallCaps/>
          <w:lang w:val="fr-CA"/>
        </w:rPr>
        <w:t>traduction</w:t>
      </w:r>
      <w:r w:rsidRPr="008C13CD">
        <w:rPr>
          <w:rFonts w:eastAsia="Times New Roman" w:cs="Times New Roman"/>
          <w:lang w:val="fr-CA"/>
        </w:rPr>
        <w:t>] « interprétation purement textuelle dissocie la Constitution [. . .] des valeurs fondamentales de la société</w:t>
      </w:r>
      <w:r>
        <w:rPr>
          <w:rFonts w:eastAsia="Times New Roman" w:cs="Times New Roman"/>
          <w:lang w:val="fr-CA"/>
        </w:rPr>
        <w:t> »</w:t>
      </w:r>
      <w:r w:rsidRPr="008C13CD">
        <w:rPr>
          <w:rFonts w:eastAsia="Times New Roman" w:cs="Times New Roman"/>
          <w:lang w:val="fr-CA"/>
        </w:rPr>
        <w:t xml:space="preserve"> (« A Judge on Judging</w:t>
      </w:r>
      <w:r w:rsidR="0039088C">
        <w:rPr>
          <w:rFonts w:eastAsia="Times New Roman" w:cs="Times New Roman"/>
          <w:lang w:val="fr-CA"/>
        </w:rPr>
        <w:t> </w:t>
      </w:r>
      <w:r w:rsidRPr="008C13CD">
        <w:rPr>
          <w:rFonts w:eastAsia="Times New Roman" w:cs="Times New Roman"/>
          <w:lang w:val="fr-CA"/>
        </w:rPr>
        <w:t xml:space="preserve">: </w:t>
      </w:r>
      <w:r w:rsidRPr="008C13CD">
        <w:rPr>
          <w:rFonts w:eastAsia="Times New Roman" w:cs="Times New Roman"/>
          <w:lang w:val="fr-CA"/>
        </w:rPr>
        <w:lastRenderedPageBreak/>
        <w:t xml:space="preserve">The Role of a Supreme Court in a Democracy » (2002), 116 </w:t>
      </w:r>
      <w:r w:rsidRPr="008C13CD">
        <w:rPr>
          <w:rFonts w:eastAsia="Times New Roman" w:cs="Times New Roman"/>
          <w:i/>
          <w:lang w:val="fr-CA"/>
        </w:rPr>
        <w:t>Harv. L.</w:t>
      </w:r>
      <w:r>
        <w:rPr>
          <w:rFonts w:eastAsia="Times New Roman" w:cs="Times New Roman"/>
          <w:i/>
          <w:lang w:val="fr-CA"/>
        </w:rPr>
        <w:t xml:space="preserve"> </w:t>
      </w:r>
      <w:r w:rsidRPr="008C13CD">
        <w:rPr>
          <w:rFonts w:eastAsia="Times New Roman" w:cs="Times New Roman"/>
          <w:i/>
          <w:lang w:val="fr-CA"/>
        </w:rPr>
        <w:t>R</w:t>
      </w:r>
      <w:r>
        <w:rPr>
          <w:rFonts w:eastAsia="Times New Roman" w:cs="Times New Roman"/>
          <w:i/>
          <w:lang w:val="fr-CA"/>
        </w:rPr>
        <w:t>ev</w:t>
      </w:r>
      <w:r w:rsidRPr="008C13CD">
        <w:rPr>
          <w:rFonts w:eastAsia="Times New Roman" w:cs="Times New Roman"/>
          <w:i/>
          <w:lang w:val="fr-CA"/>
        </w:rPr>
        <w:t xml:space="preserve">. </w:t>
      </w:r>
      <w:r w:rsidRPr="008C13CD">
        <w:rPr>
          <w:rFonts w:eastAsia="Times New Roman" w:cs="Times New Roman"/>
          <w:lang w:val="fr-CA"/>
        </w:rPr>
        <w:t>19, p. 83). Il préconise une approche plus large</w:t>
      </w:r>
      <w:r>
        <w:rPr>
          <w:rFonts w:eastAsia="Times New Roman" w:cs="Times New Roman"/>
          <w:lang w:val="fr-CA"/>
        </w:rPr>
        <w:t> </w:t>
      </w:r>
      <w:r w:rsidRPr="008C13CD">
        <w:rPr>
          <w:rFonts w:eastAsia="Times New Roman" w:cs="Times New Roman"/>
          <w:lang w:val="fr-CA"/>
        </w:rPr>
        <w:t>:</w:t>
      </w:r>
    </w:p>
    <w:p w:rsidR="00182BDC" w:rsidRDefault="00182BDC" w:rsidP="0039088C">
      <w:pPr>
        <w:pStyle w:val="Citation-AltC"/>
        <w:spacing w:after="480"/>
        <w:ind w:left="720" w:hanging="360"/>
        <w:contextualSpacing w:val="0"/>
      </w:pPr>
      <w:r>
        <w:tab/>
      </w:r>
      <w:r w:rsidRPr="008C13CD">
        <w:t>[</w:t>
      </w:r>
      <w:r w:rsidRPr="008C13CD">
        <w:rPr>
          <w:smallCaps/>
        </w:rPr>
        <w:t>traduction</w:t>
      </w:r>
      <w:r>
        <w:t xml:space="preserve">] </w:t>
      </w:r>
      <w:r w:rsidRPr="008C13CD">
        <w:t>. . . pour arriver à une méthode d’interprétation adéquate, les avenues de l’interprète doivent être élargies au</w:t>
      </w:r>
      <w:r w:rsidRPr="008C13CD">
        <w:noBreakHyphen/>
        <w:t>delà du nouveau textualisme. Le contexte du libellé</w:t>
      </w:r>
      <w:r>
        <w:t> </w:t>
      </w:r>
      <w:r w:rsidRPr="008C13CD">
        <w:t>—</w:t>
      </w:r>
      <w:r>
        <w:t> </w:t>
      </w:r>
      <w:r w:rsidRPr="008C13CD">
        <w:t>dont l’importance est soulignée par le nouveau textualisme, même s’il est étroit — comprend les principes, les valeurs et les fondements de la société, tant au moment de l’adoption de la constitution qu’à celui de son interprétation. De tels changements ainsi que bien d’autres seraient nécessaires pour faire évoluer le nouveau textualisme vers une méthode adéquate d’interprétation. À ce moment</w:t>
      </w:r>
      <w:r w:rsidRPr="008C13CD">
        <w:noBreakHyphen/>
        <w:t>là, toutefois, cette méthode cesserait alors d’être le nouveau textualisme et deviendrait une interprétation téléologique.</w:t>
      </w:r>
    </w:p>
    <w:p w:rsidR="00182BDC" w:rsidRPr="008C13CD" w:rsidRDefault="00182BDC" w:rsidP="0039088C">
      <w:pPr>
        <w:pStyle w:val="Citation-AltC"/>
        <w:ind w:left="0"/>
        <w:contextualSpacing w:val="0"/>
        <w:rPr>
          <w:lang w:val="en-US"/>
        </w:rPr>
      </w:pPr>
      <w:r w:rsidRPr="008C13CD">
        <w:rPr>
          <w:lang w:val="en-US"/>
        </w:rPr>
        <w:t>(p. </w:t>
      </w:r>
      <w:r>
        <w:rPr>
          <w:lang w:val="en-US"/>
        </w:rPr>
        <w:t>84</w:t>
      </w:r>
      <w:r w:rsidRPr="008C13CD">
        <w:rPr>
          <w:lang w:val="en-US"/>
        </w:rPr>
        <w:t xml:space="preserve">; voir </w:t>
      </w:r>
      <w:r w:rsidR="00951C33">
        <w:rPr>
          <w:lang w:val="en-US"/>
        </w:rPr>
        <w:t>aussi</w:t>
      </w:r>
      <w:r w:rsidRPr="008C13CD">
        <w:rPr>
          <w:lang w:val="en-US"/>
        </w:rPr>
        <w:t xml:space="preserve"> Jonathan R. Siegel, « The Inexorable Radicalization of Textualism » (2009), 158 </w:t>
      </w:r>
      <w:r w:rsidRPr="008C13CD">
        <w:rPr>
          <w:i/>
          <w:lang w:val="en-US"/>
        </w:rPr>
        <w:t>U. Pa. L.</w:t>
      </w:r>
      <w:r>
        <w:rPr>
          <w:i/>
          <w:lang w:val="en-US"/>
        </w:rPr>
        <w:t xml:space="preserve"> </w:t>
      </w:r>
      <w:r w:rsidRPr="008C13CD">
        <w:rPr>
          <w:i/>
          <w:lang w:val="en-US"/>
        </w:rPr>
        <w:t>R</w:t>
      </w:r>
      <w:r>
        <w:rPr>
          <w:i/>
          <w:lang w:val="en-US"/>
        </w:rPr>
        <w:t>ev</w:t>
      </w:r>
      <w:r w:rsidRPr="008C13CD">
        <w:rPr>
          <w:i/>
          <w:lang w:val="en-US"/>
        </w:rPr>
        <w:t xml:space="preserve">. </w:t>
      </w:r>
      <w:r w:rsidRPr="008C13CD">
        <w:rPr>
          <w:lang w:val="en-US"/>
        </w:rPr>
        <w:t>117, p. 173</w:t>
      </w:r>
      <w:r w:rsidRPr="008C13CD">
        <w:rPr>
          <w:lang w:val="en-US"/>
        </w:rPr>
        <w:noBreakHyphen/>
        <w:t>175</w:t>
      </w:r>
      <w:r>
        <w:rPr>
          <w:lang w:val="en-US"/>
        </w:rPr>
        <w:t>.</w:t>
      </w:r>
      <w:r w:rsidRPr="008C13CD">
        <w:rPr>
          <w:lang w:val="en-US"/>
        </w:rPr>
        <w:t>)</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La juge Susanne Baer de la Cour constitutionnelle allemande a elle aussi formulé une mise en garde contre le fait de s’attacher étroitement au texte de la Constitution :</w:t>
      </w:r>
    </w:p>
    <w:p w:rsidR="00182BDC" w:rsidRPr="008C13CD" w:rsidRDefault="00182BDC" w:rsidP="0039088C">
      <w:pPr>
        <w:pStyle w:val="Citation-AltC"/>
        <w:spacing w:after="480"/>
        <w:ind w:hanging="446"/>
        <w:contextualSpacing w:val="0"/>
      </w:pPr>
      <w:r w:rsidRPr="008C13CD">
        <w:tab/>
        <w:t>[</w:t>
      </w:r>
      <w:r w:rsidRPr="008C13CD">
        <w:rPr>
          <w:smallCaps/>
        </w:rPr>
        <w:t>traduction</w:t>
      </w:r>
      <w:r w:rsidRPr="008C13CD">
        <w:t xml:space="preserve">] </w:t>
      </w:r>
      <w:r>
        <w:t xml:space="preserve">. . . </w:t>
      </w:r>
      <w:r w:rsidRPr="008C13CD">
        <w:t>[l]e texte de la Constitution est important certes, mais [. . .] le constitutionnalisme ne devrait pas se réduire à un simple textualisme.</w:t>
      </w:r>
    </w:p>
    <w:p w:rsidR="00182BDC" w:rsidRPr="00182BDC" w:rsidRDefault="00182BDC" w:rsidP="0039088C">
      <w:pPr>
        <w:pStyle w:val="Citation-AltC"/>
        <w:ind w:left="0"/>
        <w:contextualSpacing w:val="0"/>
        <w:rPr>
          <w:lang w:val="en-US"/>
        </w:rPr>
      </w:pPr>
      <w:r w:rsidRPr="00182BDC">
        <w:rPr>
          <w:lang w:val="en-US"/>
        </w:rPr>
        <w:t>(</w:t>
      </w:r>
      <w:r w:rsidRPr="00182BDC">
        <w:rPr>
          <w:bCs/>
          <w:lang w:val="en-US"/>
        </w:rPr>
        <w:t>« Dignity, liberty, equality</w:t>
      </w:r>
      <w:r w:rsidR="0039088C">
        <w:rPr>
          <w:bCs/>
          <w:lang w:val="en-US"/>
        </w:rPr>
        <w:t> </w:t>
      </w:r>
      <w:r w:rsidRPr="00182BDC">
        <w:rPr>
          <w:bCs/>
          <w:lang w:val="en-US"/>
        </w:rPr>
        <w:t xml:space="preserve">: A fundamental rights triangle of </w:t>
      </w:r>
      <w:r w:rsidRPr="00951C33">
        <w:rPr>
          <w:bCs/>
          <w:lang w:val="en-US"/>
        </w:rPr>
        <w:t>constitutionalism</w:t>
      </w:r>
      <w:r w:rsidRPr="00182BDC">
        <w:rPr>
          <w:bCs/>
          <w:lang w:val="en-US"/>
        </w:rPr>
        <w:t xml:space="preserve"> » (2009), 59 </w:t>
      </w:r>
      <w:r w:rsidRPr="00182BDC">
        <w:rPr>
          <w:bCs/>
          <w:i/>
          <w:lang w:val="en-US"/>
        </w:rPr>
        <w:t xml:space="preserve">U.T.L.J. </w:t>
      </w:r>
      <w:r w:rsidRPr="00182BDC">
        <w:rPr>
          <w:bCs/>
          <w:lang w:val="en-US"/>
        </w:rPr>
        <w:t>417, p. 441)</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Une approche textualiste aurait également pour effet d’isoler le droit constitutionnel canadien. Le constitutionnalisme canadien [</w:t>
      </w:r>
      <w:r w:rsidRPr="008C13CD">
        <w:rPr>
          <w:rFonts w:eastAsia="Times New Roman" w:cs="Times New Roman"/>
          <w:smallCaps/>
          <w:lang w:val="fr-CA"/>
        </w:rPr>
        <w:t>traduction</w:t>
      </w:r>
      <w:r w:rsidRPr="008C13CD">
        <w:rPr>
          <w:rFonts w:eastAsia="Times New Roman" w:cs="Times New Roman"/>
          <w:lang w:val="fr-CA"/>
        </w:rPr>
        <w:t>] « présente des caractéristiques qui le rendent objectivement attrayant aux yeux des constitutionnalistes et interprètes étrangers » (</w:t>
      </w:r>
      <w:r w:rsidRPr="008C13CD">
        <w:rPr>
          <w:rFonts w:eastAsia="Times New Roman" w:cs="Times New Roman"/>
          <w:bCs/>
          <w:lang w:val="fr-CA"/>
        </w:rPr>
        <w:t xml:space="preserve">Adam M. Dodek, </w:t>
      </w:r>
      <w:r w:rsidRPr="008C13CD">
        <w:rPr>
          <w:rFonts w:eastAsia="Times New Roman" w:cs="Times New Roman"/>
          <w:lang w:val="fr-CA"/>
        </w:rPr>
        <w:t xml:space="preserve">« The Protea and the </w:t>
      </w:r>
      <w:r w:rsidRPr="008C13CD">
        <w:rPr>
          <w:rFonts w:eastAsia="Times New Roman" w:cs="Times New Roman"/>
          <w:lang w:val="fr-CA"/>
        </w:rPr>
        <w:lastRenderedPageBreak/>
        <w:t>Maple Leaf</w:t>
      </w:r>
      <w:r w:rsidR="0039088C">
        <w:rPr>
          <w:rFonts w:eastAsia="Times New Roman" w:cs="Times New Roman"/>
          <w:lang w:val="fr-CA"/>
        </w:rPr>
        <w:t> </w:t>
      </w:r>
      <w:r w:rsidRPr="008C13CD">
        <w:rPr>
          <w:rFonts w:eastAsia="Times New Roman" w:cs="Times New Roman"/>
          <w:lang w:val="fr-CA"/>
        </w:rPr>
        <w:t xml:space="preserve">: The Impact of the </w:t>
      </w:r>
      <w:r w:rsidRPr="00CA31BE">
        <w:rPr>
          <w:rFonts w:eastAsia="Times New Roman" w:cs="Times New Roman"/>
          <w:i/>
          <w:lang w:val="fr-CA"/>
        </w:rPr>
        <w:t>Charter</w:t>
      </w:r>
      <w:r w:rsidRPr="008C13CD">
        <w:rPr>
          <w:rFonts w:eastAsia="Times New Roman" w:cs="Times New Roman"/>
          <w:lang w:val="fr-CA"/>
        </w:rPr>
        <w:t xml:space="preserve"> on South A</w:t>
      </w:r>
      <w:r>
        <w:rPr>
          <w:rFonts w:eastAsia="Times New Roman" w:cs="Times New Roman"/>
          <w:lang w:val="fr-CA"/>
        </w:rPr>
        <w:t>frican Constitutionalism » (2004</w:t>
      </w:r>
      <w:r w:rsidRPr="008C13CD">
        <w:rPr>
          <w:rFonts w:eastAsia="Times New Roman" w:cs="Times New Roman"/>
          <w:lang w:val="fr-CA"/>
        </w:rPr>
        <w:t xml:space="preserve">), 17 </w:t>
      </w:r>
      <w:r w:rsidR="0039088C">
        <w:rPr>
          <w:rFonts w:eastAsia="Times New Roman" w:cs="Times New Roman"/>
          <w:i/>
          <w:lang w:val="fr-CA"/>
        </w:rPr>
        <w:t>R</w:t>
      </w:r>
      <w:r w:rsidRPr="008C13CD">
        <w:rPr>
          <w:rFonts w:eastAsia="Times New Roman" w:cs="Times New Roman"/>
          <w:i/>
          <w:lang w:val="fr-CA"/>
        </w:rPr>
        <w:t>.</w:t>
      </w:r>
      <w:r w:rsidR="0039088C">
        <w:rPr>
          <w:rFonts w:eastAsia="Times New Roman" w:cs="Times New Roman"/>
          <w:i/>
          <w:lang w:val="fr-CA"/>
        </w:rPr>
        <w:t>N.D.C.</w:t>
      </w:r>
      <w:r w:rsidRPr="008C13CD">
        <w:rPr>
          <w:rFonts w:eastAsia="Times New Roman" w:cs="Times New Roman"/>
          <w:i/>
          <w:lang w:val="fr-CA"/>
        </w:rPr>
        <w:t xml:space="preserve"> </w:t>
      </w:r>
      <w:r w:rsidRPr="008C13CD">
        <w:rPr>
          <w:rFonts w:eastAsia="Times New Roman" w:cs="Times New Roman"/>
          <w:lang w:val="fr-CA"/>
        </w:rPr>
        <w:t>353, p. 373). Notre modèle d’interprétation constitutionnelle constitue l’une de ces caractéristiques. Comme le fait observer le professeur Dodek :</w:t>
      </w:r>
    </w:p>
    <w:p w:rsidR="00182BDC" w:rsidRPr="008C13CD" w:rsidRDefault="00182BDC" w:rsidP="0039088C">
      <w:pPr>
        <w:pStyle w:val="Citation-AltC"/>
        <w:spacing w:after="480"/>
        <w:ind w:hanging="446"/>
        <w:contextualSpacing w:val="0"/>
      </w:pPr>
      <w:r w:rsidRPr="008C13CD">
        <w:tab/>
        <w:t>[</w:t>
      </w:r>
      <w:r w:rsidRPr="008C13CD">
        <w:rPr>
          <w:smallCaps/>
        </w:rPr>
        <w:t>traduction</w:t>
      </w:r>
      <w:r w:rsidRPr="008C13CD">
        <w:t>] L’interprétation [. . .] donnée à la Charte par la Cour suprême du Canada a pour effet de renforcer, et non de limiter, son attrait international. En particulier, l’interprétation téléologique et l’idée qu’une constitution est « un arbre vivant » capable de croître et de s’adapter à de nouvelles réalités sont des théories qui ont capté l’imaginaire constitutionnel d’autres tribunaux dans le monde. À l’étranger, cette caractéristique a fait du modèle constitutionnel canadien un modèle adaptable à des réalités diverses. Des aspects de la Charte se sont donc révélés être « un arbre vivant » à l’étranger.</w:t>
      </w:r>
    </w:p>
    <w:p w:rsidR="00182BDC" w:rsidRPr="00182BDC" w:rsidRDefault="00182BDC" w:rsidP="0039088C">
      <w:pPr>
        <w:pStyle w:val="Citation-AltC"/>
        <w:ind w:left="0"/>
        <w:contextualSpacing w:val="0"/>
        <w:rPr>
          <w:lang w:val="en-US"/>
        </w:rPr>
      </w:pPr>
      <w:r w:rsidRPr="00182BDC">
        <w:rPr>
          <w:lang w:val="en-US"/>
        </w:rPr>
        <w:t>(« </w:t>
      </w:r>
      <w:r w:rsidRPr="00182BDC">
        <w:rPr>
          <w:lang w:val="en-US" w:bidi="en-US"/>
        </w:rPr>
        <w:t>Canada as Constitutional Exporter</w:t>
      </w:r>
      <w:r w:rsidR="0039088C">
        <w:rPr>
          <w:lang w:val="en-US" w:bidi="en-US"/>
        </w:rPr>
        <w:t> </w:t>
      </w:r>
      <w:r w:rsidRPr="00182BDC">
        <w:rPr>
          <w:lang w:val="en-US" w:bidi="en-US"/>
        </w:rPr>
        <w:t xml:space="preserve">: The Rise of the </w:t>
      </w:r>
      <w:r>
        <w:rPr>
          <w:lang w:val="en-US" w:bidi="en-US"/>
        </w:rPr>
        <w:t>“</w:t>
      </w:r>
      <w:r w:rsidRPr="00182BDC">
        <w:rPr>
          <w:lang w:val="en-US" w:bidi="en-US"/>
        </w:rPr>
        <w:t xml:space="preserve">Canadian Model” of Constitutionalism » (2007), 36 </w:t>
      </w:r>
      <w:r w:rsidRPr="00182BDC">
        <w:rPr>
          <w:i/>
          <w:lang w:val="en-US" w:bidi="en-US"/>
        </w:rPr>
        <w:t>S.C.L.R.</w:t>
      </w:r>
      <w:r w:rsidRPr="00182BDC">
        <w:rPr>
          <w:lang w:val="en-US" w:bidi="en-US"/>
        </w:rPr>
        <w:t xml:space="preserve"> (2d) 309, p. 321</w:t>
      </w:r>
      <w:r w:rsidRPr="00182BDC">
        <w:rPr>
          <w:lang w:val="en-US" w:bidi="en-US"/>
        </w:rPr>
        <w:noBreakHyphen/>
        <w:t>322</w:t>
      </w:r>
      <w:r w:rsidRPr="00182BDC">
        <w:rPr>
          <w:lang w:val="en-US"/>
        </w:rPr>
        <w:t>)</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La professeure Karen Eltis ajoute que l’approche dite de « l’arbre vivant » permet d’expliquer l’ouverture du Canada à prendre en compte [</w:t>
      </w:r>
      <w:r w:rsidRPr="008C13CD">
        <w:rPr>
          <w:rFonts w:eastAsia="Times New Roman" w:cs="Times New Roman"/>
          <w:smallCaps/>
          <w:lang w:val="fr-CA"/>
        </w:rPr>
        <w:t>traduction</w:t>
      </w:r>
      <w:r w:rsidRPr="008C13CD">
        <w:rPr>
          <w:rFonts w:eastAsia="Times New Roman" w:cs="Times New Roman"/>
          <w:lang w:val="fr-CA"/>
        </w:rPr>
        <w:t>] « la jurisprudence étrangère et les instruments internationaux », un sujet dont il sera question plus loin dans les présents motifs :</w:t>
      </w:r>
    </w:p>
    <w:p w:rsidR="00182BDC" w:rsidRPr="008C13CD" w:rsidRDefault="00182BDC" w:rsidP="000E6724">
      <w:pPr>
        <w:pStyle w:val="Citation-AltC"/>
        <w:tabs>
          <w:tab w:val="left" w:pos="1170"/>
        </w:tabs>
        <w:spacing w:after="480"/>
        <w:ind w:hanging="446"/>
        <w:contextualSpacing w:val="0"/>
      </w:pPr>
      <w:r w:rsidRPr="008C13CD">
        <w:tab/>
        <w:t>[</w:t>
      </w:r>
      <w:r w:rsidRPr="008C13CD">
        <w:rPr>
          <w:smallCaps/>
        </w:rPr>
        <w:t>traduction</w:t>
      </w:r>
      <w:r w:rsidRPr="008C13CD">
        <w:t xml:space="preserve">] Ainsi, </w:t>
      </w:r>
      <w:r w:rsidRPr="008C13CD">
        <w:rPr>
          <w:i/>
        </w:rPr>
        <w:t>à l’inverse de l’attachement de longue date à l’originalisme</w:t>
      </w:r>
      <w:r w:rsidR="00CA49F1" w:rsidRPr="007B7EE7">
        <w:rPr>
          <w:rStyle w:val="FootnoteReference"/>
        </w:rPr>
        <w:footnoteReference w:id="3"/>
      </w:r>
      <w:r w:rsidRPr="008C13CD">
        <w:rPr>
          <w:i/>
        </w:rPr>
        <w:t xml:space="preserve"> ou au textualisme américains</w:t>
      </w:r>
      <w:r w:rsidRPr="008C13CD">
        <w:t xml:space="preserve">, l’approche dite de « l’arbre vivant » ou « les valeurs multiculturelles qui sont reflétées dans la </w:t>
      </w:r>
      <w:r w:rsidRPr="008C13CD">
        <w:rPr>
          <w:i/>
        </w:rPr>
        <w:t>Charte des droits et libertés</w:t>
      </w:r>
      <w:r w:rsidRPr="008C13CD">
        <w:t xml:space="preserve"> du Canada et promues par celle</w:t>
      </w:r>
      <w:r w:rsidRPr="008C13CD">
        <w:noBreakHyphen/>
        <w:t>ci témoignent dans les faits d’une expérience nationale ouverte à la jurisprudence étrangère et aux instruments internationaux en tant que sources dans la jurisprudence nationale</w:t>
      </w:r>
      <w:r>
        <w:t> </w:t>
      </w:r>
      <w:r w:rsidR="007B7EE7">
        <w:t>» . . . [Italique ajouté</w:t>
      </w:r>
      <w:r w:rsidRPr="008C13CD">
        <w:t>; note en bas de page ajoutée.]</w:t>
      </w:r>
    </w:p>
    <w:p w:rsidR="00182BDC" w:rsidRPr="00B871E1" w:rsidRDefault="00182BDC" w:rsidP="000E6724">
      <w:pPr>
        <w:pStyle w:val="Citation-AltC"/>
        <w:ind w:left="0"/>
        <w:contextualSpacing w:val="0"/>
      </w:pPr>
      <w:r w:rsidRPr="00B871E1">
        <w:lastRenderedPageBreak/>
        <w:t xml:space="preserve">(« Comparative Constitutional Law and the “Judicial Role in Times of Terror” » (2010-2011), 28 </w:t>
      </w:r>
      <w:r w:rsidR="007B7EE7" w:rsidRPr="00B871E1">
        <w:rPr>
          <w:i/>
        </w:rPr>
        <w:t>R</w:t>
      </w:r>
      <w:r w:rsidRPr="00B871E1">
        <w:rPr>
          <w:i/>
        </w:rPr>
        <w:t>.</w:t>
      </w:r>
      <w:r w:rsidR="007B7EE7" w:rsidRPr="00B871E1">
        <w:rPr>
          <w:i/>
        </w:rPr>
        <w:t>N.D.C.</w:t>
      </w:r>
      <w:r w:rsidRPr="00B871E1">
        <w:rPr>
          <w:i/>
        </w:rPr>
        <w:t xml:space="preserve"> </w:t>
      </w:r>
      <w:r w:rsidRPr="00B871E1">
        <w:t>61, p. 69</w:t>
      </w:r>
      <w:r w:rsidRPr="00B871E1">
        <w:noBreakHyphen/>
        <w:t>70)</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Autrement dit, l’objet demeure la considération « essentielle » lorsqu’il s’agit d’interpréter la portée et le contenu d’un droit garanti par la </w:t>
      </w:r>
      <w:r w:rsidRPr="008C13CD">
        <w:rPr>
          <w:rFonts w:eastAsia="Times New Roman" w:cs="Times New Roman"/>
          <w:i/>
          <w:lang w:val="fr-CA"/>
        </w:rPr>
        <w:t>Charte</w:t>
      </w:r>
      <w:r w:rsidRPr="008C13CD">
        <w:rPr>
          <w:rFonts w:eastAsia="Times New Roman" w:cs="Times New Roman"/>
          <w:lang w:val="fr-CA"/>
        </w:rPr>
        <w:t xml:space="preserve"> (</w:t>
      </w:r>
      <w:r w:rsidRPr="008C13CD">
        <w:rPr>
          <w:rFonts w:eastAsia="Times New Roman" w:cs="Times New Roman"/>
          <w:i/>
          <w:lang w:val="fr-CA"/>
        </w:rPr>
        <w:t>Poulin</w:t>
      </w:r>
      <w:r w:rsidRPr="008C13CD">
        <w:rPr>
          <w:rFonts w:eastAsia="Times New Roman" w:cs="Times New Roman"/>
          <w:lang w:val="fr-CA"/>
        </w:rPr>
        <w:t>, par. 85). Plusieurs facteurs — y compris le texte — peuvent aider à guider l’analyse. Toutefois, notre Cour n’a jamais souscrit à une hiérarchie stricte entre ces guides d’interprétation. Tous peuvent plutôt [</w:t>
      </w:r>
      <w:r w:rsidRPr="008C13CD">
        <w:rPr>
          <w:rFonts w:eastAsia="Times New Roman" w:cs="Times New Roman"/>
          <w:smallCaps/>
          <w:lang w:val="fr-CA"/>
        </w:rPr>
        <w:t>traduction</w:t>
      </w:r>
      <w:r w:rsidRPr="008C13CD">
        <w:rPr>
          <w:rFonts w:eastAsia="Times New Roman" w:cs="Times New Roman"/>
          <w:lang w:val="fr-CA"/>
        </w:rPr>
        <w:t>] « apporter des indications utiles, et les meilleurs outils dépendront probablement des circonstances particulières de l’af</w:t>
      </w:r>
      <w:r>
        <w:rPr>
          <w:rFonts w:eastAsia="Times New Roman" w:cs="Times New Roman"/>
          <w:lang w:val="fr-CA"/>
        </w:rPr>
        <w:t>faire » (David Landau, « Legal pragmatism and comparative constitutional l</w:t>
      </w:r>
      <w:r w:rsidRPr="008C13CD">
        <w:rPr>
          <w:rFonts w:eastAsia="Times New Roman" w:cs="Times New Roman"/>
          <w:lang w:val="fr-CA"/>
        </w:rPr>
        <w:t>aw »</w:t>
      </w:r>
      <w:r w:rsidR="008F68DD">
        <w:rPr>
          <w:rFonts w:eastAsia="Times New Roman" w:cs="Times New Roman"/>
          <w:lang w:val="fr-CA"/>
        </w:rPr>
        <w:t>,</w:t>
      </w:r>
      <w:r w:rsidRPr="008C13CD">
        <w:rPr>
          <w:rFonts w:eastAsia="Times New Roman" w:cs="Times New Roman"/>
          <w:lang w:val="fr-CA"/>
        </w:rPr>
        <w:t xml:space="preserve"> dans </w:t>
      </w:r>
      <w:r w:rsidRPr="00CA31BE">
        <w:rPr>
          <w:rFonts w:eastAsia="Times New Roman" w:cs="Times New Roman"/>
          <w:lang w:val="fr-CA"/>
        </w:rPr>
        <w:t>Gary</w:t>
      </w:r>
      <w:r>
        <w:rPr>
          <w:rFonts w:eastAsia="Times New Roman" w:cs="Times New Roman"/>
          <w:lang w:val="fr-CA"/>
        </w:rPr>
        <w:t xml:space="preserve"> </w:t>
      </w:r>
      <w:r w:rsidRPr="008C13CD">
        <w:rPr>
          <w:rFonts w:eastAsia="Times New Roman" w:cs="Times New Roman"/>
          <w:lang w:val="fr-CA"/>
        </w:rPr>
        <w:t xml:space="preserve">Jacobsohn et </w:t>
      </w:r>
      <w:r>
        <w:rPr>
          <w:rFonts w:eastAsia="Times New Roman" w:cs="Times New Roman"/>
          <w:lang w:val="fr-CA"/>
        </w:rPr>
        <w:t xml:space="preserve">Miguel </w:t>
      </w:r>
      <w:r w:rsidRPr="008C13CD">
        <w:rPr>
          <w:rFonts w:eastAsia="Times New Roman" w:cs="Times New Roman"/>
          <w:lang w:val="fr-CA"/>
        </w:rPr>
        <w:t>Schor</w:t>
      </w:r>
      <w:r>
        <w:rPr>
          <w:rFonts w:eastAsia="Times New Roman" w:cs="Times New Roman"/>
          <w:lang w:val="fr-CA"/>
        </w:rPr>
        <w:t xml:space="preserve">, </w:t>
      </w:r>
      <w:r w:rsidRPr="008C13CD">
        <w:rPr>
          <w:rFonts w:eastAsia="Times New Roman" w:cs="Times New Roman"/>
          <w:lang w:val="fr-CA"/>
        </w:rPr>
        <w:t>dir.</w:t>
      </w:r>
      <w:r>
        <w:rPr>
          <w:rFonts w:eastAsia="Times New Roman" w:cs="Times New Roman"/>
          <w:lang w:val="fr-CA"/>
        </w:rPr>
        <w:t>,</w:t>
      </w:r>
      <w:r w:rsidRPr="008C13CD">
        <w:rPr>
          <w:rFonts w:eastAsia="Times New Roman" w:cs="Times New Roman"/>
          <w:lang w:val="fr-CA"/>
        </w:rPr>
        <w:t xml:space="preserve"> </w:t>
      </w:r>
      <w:r w:rsidRPr="008C13CD">
        <w:rPr>
          <w:rFonts w:eastAsia="Times New Roman" w:cs="Times New Roman"/>
          <w:i/>
          <w:lang w:val="fr-CA"/>
        </w:rPr>
        <w:t>Comparative Constitutional Theory</w:t>
      </w:r>
      <w:r w:rsidRPr="00CA31BE">
        <w:rPr>
          <w:rFonts w:eastAsia="Times New Roman" w:cs="Times New Roman"/>
          <w:lang w:val="fr-CA"/>
        </w:rPr>
        <w:t xml:space="preserve"> </w:t>
      </w:r>
      <w:r w:rsidRPr="008C13CD">
        <w:rPr>
          <w:rFonts w:eastAsia="Times New Roman" w:cs="Times New Roman"/>
          <w:lang w:val="fr-CA"/>
        </w:rPr>
        <w:t xml:space="preserve">(2018), </w:t>
      </w:r>
      <w:r>
        <w:rPr>
          <w:rFonts w:eastAsia="Times New Roman" w:cs="Times New Roman"/>
          <w:lang w:val="fr-CA"/>
        </w:rPr>
        <w:t xml:space="preserve">208, </w:t>
      </w:r>
      <w:r w:rsidRPr="008C13CD">
        <w:rPr>
          <w:rFonts w:eastAsia="Times New Roman" w:cs="Times New Roman"/>
          <w:lang w:val="fr-CA"/>
        </w:rPr>
        <w:t>p. 21</w:t>
      </w:r>
      <w:r>
        <w:rPr>
          <w:rFonts w:eastAsia="Times New Roman" w:cs="Times New Roman"/>
          <w:lang w:val="fr-CA"/>
        </w:rPr>
        <w:t>1</w:t>
      </w:r>
      <w:r w:rsidRPr="008C13CD">
        <w:rPr>
          <w:rFonts w:eastAsia="Times New Roman" w:cs="Times New Roman"/>
          <w:lang w:val="fr-CA"/>
        </w:rPr>
        <w:t>).</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J’en reviens donc à la principale question du présent pourvoi : Le droit à la protection contre « tous traitements ou peines cruels et inusités » garanti à l’art. 12 de la </w:t>
      </w:r>
      <w:r w:rsidRPr="008C13CD">
        <w:rPr>
          <w:rFonts w:eastAsia="Times New Roman" w:cs="Times New Roman"/>
          <w:i/>
          <w:lang w:val="fr-CA"/>
        </w:rPr>
        <w:t>Charte</w:t>
      </w:r>
      <w:r w:rsidRPr="008C13CD">
        <w:rPr>
          <w:rFonts w:eastAsia="Times New Roman" w:cs="Times New Roman"/>
          <w:lang w:val="fr-CA"/>
        </w:rPr>
        <w:t xml:space="preserve"> s’étend</w:t>
      </w:r>
      <w:r w:rsidRPr="008C13CD">
        <w:rPr>
          <w:rFonts w:eastAsia="Times New Roman" w:cs="Times New Roman"/>
          <w:lang w:val="fr-CA"/>
        </w:rPr>
        <w:noBreakHyphen/>
        <w:t>il aux personnes morales?</w:t>
      </w:r>
    </w:p>
    <w:p w:rsidR="00182BDC" w:rsidRPr="008C13CD" w:rsidRDefault="00182BDC" w:rsidP="00182BDC">
      <w:pPr>
        <w:pStyle w:val="ParaNoNdepar-AltN"/>
        <w:spacing w:before="0"/>
        <w:rPr>
          <w:rFonts w:cs="Times New Roman"/>
          <w:lang w:val="fr-CA"/>
        </w:rPr>
      </w:pPr>
      <w:r w:rsidRPr="008C13CD">
        <w:rPr>
          <w:rFonts w:cs="Times New Roman"/>
          <w:lang w:val="fr-CA"/>
        </w:rPr>
        <w:t>Selon le</w:t>
      </w:r>
      <w:r w:rsidRPr="008C13CD">
        <w:rPr>
          <w:rFonts w:cs="Times New Roman"/>
          <w:i/>
          <w:lang w:val="fr-CA"/>
        </w:rPr>
        <w:t xml:space="preserve"> Black’s Law Dictionary</w:t>
      </w:r>
      <w:r w:rsidR="008A0B2F">
        <w:rPr>
          <w:rFonts w:cs="Times New Roman"/>
          <w:lang w:val="fr-CA"/>
        </w:rPr>
        <w:t xml:space="preserve">, le mot </w:t>
      </w:r>
      <w:r w:rsidR="008A0B2F" w:rsidRPr="008C13CD">
        <w:rPr>
          <w:rFonts w:cs="Times New Roman"/>
          <w:lang w:val="fr-CA"/>
        </w:rPr>
        <w:t>« </w:t>
      </w:r>
      <w:r>
        <w:rPr>
          <w:rFonts w:cs="Times New Roman"/>
          <w:i/>
          <w:lang w:val="fr-CA"/>
        </w:rPr>
        <w:t>c</w:t>
      </w:r>
      <w:r w:rsidRPr="008C13CD">
        <w:rPr>
          <w:rFonts w:cs="Times New Roman"/>
          <w:i/>
          <w:lang w:val="fr-CA"/>
        </w:rPr>
        <w:t>ruelty</w:t>
      </w:r>
      <w:r w:rsidR="008A0B2F">
        <w:rPr>
          <w:rFonts w:cs="Times New Roman"/>
          <w:lang w:val="fr-CA"/>
        </w:rPr>
        <w:t> »</w:t>
      </w:r>
      <w:r w:rsidRPr="008C13CD">
        <w:rPr>
          <w:rFonts w:cs="Times New Roman"/>
          <w:lang w:val="fr-CA"/>
        </w:rPr>
        <w:t xml:space="preserve"> (cruauté) s’entend de : </w:t>
      </w:r>
      <w:r w:rsidRPr="008C13CD">
        <w:rPr>
          <w:rFonts w:cs="Times New Roman"/>
          <w:smallCaps/>
          <w:lang w:val="fr-CA"/>
        </w:rPr>
        <w:t xml:space="preserve">[traduction] </w:t>
      </w:r>
      <w:r w:rsidRPr="008C13CD">
        <w:rPr>
          <w:rFonts w:cs="Times New Roman"/>
          <w:lang w:val="fr-CA"/>
        </w:rPr>
        <w:t>« [l]’infliction intentionnelle ou malveillante de souffrances mentales ou physiques à une créature vivante, particulièrement un humain; traitement abusif; barbarie</w:t>
      </w:r>
      <w:r>
        <w:rPr>
          <w:rFonts w:cs="Times New Roman"/>
          <w:lang w:val="fr-CA"/>
        </w:rPr>
        <w:t> »</w:t>
      </w:r>
      <w:r w:rsidR="007C738A" w:rsidRPr="007C738A">
        <w:rPr>
          <w:rFonts w:cs="Times New Roman"/>
          <w:lang w:val="fr-CA"/>
        </w:rPr>
        <w:t xml:space="preserve"> </w:t>
      </w:r>
      <w:r w:rsidR="007C738A" w:rsidRPr="008C13CD">
        <w:rPr>
          <w:rFonts w:cs="Times New Roman"/>
          <w:lang w:val="fr-CA"/>
        </w:rPr>
        <w:t>(</w:t>
      </w:r>
      <w:r w:rsidR="00951C33">
        <w:rPr>
          <w:rFonts w:cs="Times New Roman"/>
          <w:lang w:val="fr-CA"/>
        </w:rPr>
        <w:t>(</w:t>
      </w:r>
      <w:r w:rsidR="007C738A" w:rsidRPr="008C13CD">
        <w:rPr>
          <w:rFonts w:cs="Times New Roman"/>
          <w:lang w:val="fr-CA"/>
        </w:rPr>
        <w:t>11</w:t>
      </w:r>
      <w:r w:rsidR="007C738A" w:rsidRPr="008C13CD">
        <w:rPr>
          <w:rFonts w:cs="Times New Roman"/>
          <w:vertAlign w:val="superscript"/>
          <w:lang w:val="fr-CA"/>
        </w:rPr>
        <w:t>e</w:t>
      </w:r>
      <w:r w:rsidR="007C738A" w:rsidRPr="008C13CD">
        <w:rPr>
          <w:rFonts w:cs="Times New Roman"/>
          <w:lang w:val="fr-CA"/>
        </w:rPr>
        <w:t xml:space="preserve"> éd. 2019</w:t>
      </w:r>
      <w:r w:rsidR="00951C33">
        <w:rPr>
          <w:rFonts w:cs="Times New Roman"/>
          <w:lang w:val="fr-CA"/>
        </w:rPr>
        <w:t>)</w:t>
      </w:r>
      <w:r w:rsidR="007C738A" w:rsidRPr="008C13CD">
        <w:rPr>
          <w:rFonts w:cs="Times New Roman"/>
          <w:lang w:val="fr-CA"/>
        </w:rPr>
        <w:t>, p. 475)</w:t>
      </w:r>
      <w:r w:rsidR="009B6AFD">
        <w:rPr>
          <w:rFonts w:cs="Times New Roman"/>
          <w:lang w:val="fr-CA"/>
        </w:rPr>
        <w:t xml:space="preserve">. Le mot </w:t>
      </w:r>
      <w:r w:rsidR="009B6AFD" w:rsidRPr="008C13CD">
        <w:rPr>
          <w:rFonts w:cs="Times New Roman"/>
          <w:lang w:val="fr-CA"/>
        </w:rPr>
        <w:t>« </w:t>
      </w:r>
      <w:r w:rsidRPr="008C13CD">
        <w:rPr>
          <w:rFonts w:cs="Times New Roman"/>
          <w:i/>
          <w:lang w:val="fr-CA"/>
        </w:rPr>
        <w:t>unusual</w:t>
      </w:r>
      <w:r w:rsidR="009B6AFD">
        <w:rPr>
          <w:rFonts w:cs="Times New Roman"/>
          <w:lang w:val="fr-CA"/>
        </w:rPr>
        <w:t> »</w:t>
      </w:r>
      <w:r w:rsidRPr="008C13CD">
        <w:rPr>
          <w:rFonts w:cs="Times New Roman"/>
          <w:lang w:val="fr-CA"/>
        </w:rPr>
        <w:t xml:space="preserve"> (inusité) n’est pas essentiel dans l’analyse, mais fait néanmoins partie de la « formulation concise d’une norme » </w:t>
      </w:r>
      <w:r w:rsidRPr="00775881">
        <w:rPr>
          <w:rFonts w:cs="Times New Roman"/>
          <w:szCs w:val="24"/>
          <w:lang w:val="fr-CA"/>
        </w:rPr>
        <w:t>(</w:t>
      </w:r>
      <w:r w:rsidRPr="00775881">
        <w:rPr>
          <w:rFonts w:cs="Times New Roman"/>
          <w:i/>
          <w:szCs w:val="24"/>
          <w:lang w:val="fr-CA"/>
        </w:rPr>
        <w:t>R</w:t>
      </w:r>
      <w:r>
        <w:rPr>
          <w:rFonts w:cs="Times New Roman"/>
          <w:i/>
          <w:szCs w:val="24"/>
          <w:lang w:val="fr-CA"/>
        </w:rPr>
        <w:t>.</w:t>
      </w:r>
      <w:r w:rsidR="00511ADD">
        <w:rPr>
          <w:rFonts w:cs="Times New Roman"/>
          <w:i/>
          <w:szCs w:val="24"/>
          <w:lang w:val="fr-CA"/>
        </w:rPr>
        <w:t xml:space="preserve"> c. Smith</w:t>
      </w:r>
      <w:r w:rsidRPr="00775881">
        <w:rPr>
          <w:rFonts w:cs="Times New Roman"/>
          <w:szCs w:val="24"/>
          <w:lang w:val="fr-CA"/>
        </w:rPr>
        <w:t>, p. 1072</w:t>
      </w:r>
      <w:r w:rsidRPr="008C13CD">
        <w:rPr>
          <w:rFonts w:cs="Times New Roman"/>
          <w:sz w:val="22"/>
          <w:lang w:val="fr-CA"/>
        </w:rPr>
        <w:t>)</w:t>
      </w:r>
      <w:r w:rsidRPr="008C13CD">
        <w:rPr>
          <w:rFonts w:cs="Times New Roman"/>
          <w:lang w:val="fr-CA"/>
        </w:rPr>
        <w:t xml:space="preserve">. Suivant la définition qu’on en donne, il signifie </w:t>
      </w:r>
      <w:r w:rsidR="00511ADD" w:rsidRPr="008C13CD">
        <w:rPr>
          <w:rFonts w:cs="Times New Roman"/>
          <w:smallCaps/>
          <w:lang w:val="fr-CA"/>
        </w:rPr>
        <w:t xml:space="preserve">[traduction] </w:t>
      </w:r>
      <w:r w:rsidRPr="008C13CD">
        <w:rPr>
          <w:rFonts w:cs="Times New Roman"/>
          <w:lang w:val="fr-CA"/>
        </w:rPr>
        <w:t xml:space="preserve">« [e]xtraordinaire, anormal » et « [d]ifférent de ce à quoi l’on s’attend </w:t>
      </w:r>
      <w:r w:rsidRPr="008C13CD">
        <w:rPr>
          <w:rFonts w:cs="Times New Roman"/>
          <w:lang w:val="fr-CA"/>
        </w:rPr>
        <w:lastRenderedPageBreak/>
        <w:t>raisonnablement » (</w:t>
      </w:r>
      <w:r w:rsidRPr="008C13CD">
        <w:rPr>
          <w:rFonts w:cs="Times New Roman"/>
          <w:i/>
          <w:lang w:val="fr-CA"/>
        </w:rPr>
        <w:t>Black’s Law Dictionary</w:t>
      </w:r>
      <w:r w:rsidRPr="008C13CD">
        <w:rPr>
          <w:rFonts w:cs="Times New Roman"/>
          <w:lang w:val="fr-CA"/>
        </w:rPr>
        <w:t xml:space="preserve">, p. 1851). Regroupés, les mots « traitements ou peines cruels et inusités » sont définis comme suit : </w:t>
      </w:r>
      <w:r w:rsidR="00511ADD" w:rsidRPr="008C13CD">
        <w:rPr>
          <w:rFonts w:cs="Times New Roman"/>
          <w:smallCaps/>
          <w:lang w:val="fr-CA"/>
        </w:rPr>
        <w:t xml:space="preserve">[traduction] </w:t>
      </w:r>
      <w:r w:rsidRPr="008C13CD">
        <w:rPr>
          <w:rFonts w:cs="Times New Roman"/>
          <w:lang w:val="fr-CA"/>
        </w:rPr>
        <w:t>« [p]eine abominable, dégradante, inhumaine, exagérément disproportionnée par rapport au crime en question, ou qui choque d’une autre façon le sens moral de la communauté » (</w:t>
      </w:r>
      <w:r w:rsidRPr="008C13CD">
        <w:rPr>
          <w:rFonts w:cs="Times New Roman"/>
          <w:i/>
          <w:lang w:val="fr-CA"/>
        </w:rPr>
        <w:t>Black’s Law Dictionary</w:t>
      </w:r>
      <w:r w:rsidRPr="008C13CD">
        <w:rPr>
          <w:rFonts w:cs="Times New Roman"/>
          <w:lang w:val="fr-CA"/>
        </w:rPr>
        <w:t>, p. 1490).</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Le </w:t>
      </w:r>
      <w:r w:rsidRPr="008C13CD">
        <w:rPr>
          <w:rFonts w:cs="Times New Roman"/>
          <w:i/>
          <w:lang w:val="fr-CA"/>
        </w:rPr>
        <w:t>Oxford English Dictionary</w:t>
      </w:r>
      <w:r w:rsidRPr="008C13CD">
        <w:rPr>
          <w:rFonts w:cs="Times New Roman"/>
          <w:lang w:val="fr-CA"/>
        </w:rPr>
        <w:t xml:space="preserve"> définit </w:t>
      </w:r>
      <w:r>
        <w:rPr>
          <w:rFonts w:cs="Times New Roman"/>
          <w:lang w:val="fr-CA"/>
        </w:rPr>
        <w:t xml:space="preserve">ainsi </w:t>
      </w:r>
      <w:r w:rsidR="00511ADD">
        <w:rPr>
          <w:rFonts w:cs="Times New Roman"/>
          <w:lang w:val="fr-CA"/>
        </w:rPr>
        <w:t xml:space="preserve">le mot </w:t>
      </w:r>
      <w:r w:rsidR="00511ADD" w:rsidRPr="008C13CD">
        <w:rPr>
          <w:rFonts w:cs="Times New Roman"/>
          <w:lang w:val="fr-CA"/>
        </w:rPr>
        <w:t>« </w:t>
      </w:r>
      <w:r w:rsidRPr="008C13CD">
        <w:rPr>
          <w:rFonts w:cs="Times New Roman"/>
          <w:i/>
          <w:lang w:val="fr-CA"/>
        </w:rPr>
        <w:t>cruel</w:t>
      </w:r>
      <w:r w:rsidR="00511ADD" w:rsidRPr="008C13CD">
        <w:rPr>
          <w:rFonts w:cs="Times New Roman"/>
          <w:lang w:val="fr-CA"/>
        </w:rPr>
        <w:t xml:space="preserve"> » </w:t>
      </w:r>
      <w:r w:rsidRPr="008C13CD">
        <w:rPr>
          <w:rFonts w:cs="Times New Roman"/>
          <w:lang w:val="fr-CA"/>
        </w:rPr>
        <w:t>(cruel)</w:t>
      </w:r>
      <w:r>
        <w:rPr>
          <w:rFonts w:cs="Times New Roman"/>
          <w:lang w:val="fr-CA"/>
        </w:rPr>
        <w:t xml:space="preserve">, en lien avec des </w:t>
      </w:r>
      <w:r w:rsidRPr="008C13CD">
        <w:rPr>
          <w:rFonts w:cs="Times New Roman"/>
          <w:lang w:val="fr-CA"/>
        </w:rPr>
        <w:t xml:space="preserve">personnes : </w:t>
      </w:r>
      <w:r w:rsidRPr="008C13CD">
        <w:rPr>
          <w:rFonts w:cs="Times New Roman"/>
          <w:smallCaps/>
          <w:lang w:val="fr-CA"/>
        </w:rPr>
        <w:t xml:space="preserve">[traduction] </w:t>
      </w:r>
      <w:r w:rsidRPr="008C13CD">
        <w:rPr>
          <w:rFonts w:cs="Times New Roman"/>
          <w:lang w:val="fr-CA"/>
        </w:rPr>
        <w:t>« disposées à infliger des souffrances; indifférentes aux douleurs ou à la détresse d’autrui ou qui en tire du plaisir, dépourvues de bonté ou de compassion; sans merci, sans pitié, insensibles » ((2</w:t>
      </w:r>
      <w:r w:rsidRPr="008C13CD">
        <w:rPr>
          <w:rFonts w:cs="Times New Roman"/>
          <w:vertAlign w:val="superscript"/>
          <w:lang w:val="fr-CA"/>
        </w:rPr>
        <w:t>e</w:t>
      </w:r>
      <w:r w:rsidRPr="008C13CD">
        <w:rPr>
          <w:rFonts w:cs="Times New Roman"/>
          <w:lang w:val="fr-CA"/>
        </w:rPr>
        <w:t xml:space="preserve"> éd. 1989), vol. IV, p. 78). Ce terme s’emploie aussi pour décrire des actes « procédant ou témoignant de l’indifférence manifestée à l’égard de la détresse d’autrui, ou encore du </w:t>
      </w:r>
      <w:r w:rsidR="00B40D5F">
        <w:rPr>
          <w:rFonts w:cs="Times New Roman"/>
          <w:lang w:val="fr-CA"/>
        </w:rPr>
        <w:t>plaisir éprouvé à cet égard » (</w:t>
      </w:r>
      <w:r w:rsidR="00B40D5F" w:rsidRPr="008C13CD">
        <w:rPr>
          <w:rFonts w:cs="Times New Roman"/>
          <w:lang w:val="fr-CA"/>
        </w:rPr>
        <w:t>« </w:t>
      </w:r>
      <w:r w:rsidRPr="008C13CD">
        <w:rPr>
          <w:rFonts w:cs="Times New Roman"/>
          <w:i/>
          <w:lang w:val="fr-CA"/>
        </w:rPr>
        <w:t>cruel</w:t>
      </w:r>
      <w:r w:rsidR="00B40D5F">
        <w:rPr>
          <w:rFonts w:cs="Times New Roman"/>
          <w:lang w:val="fr-CA"/>
        </w:rPr>
        <w:t> »</w:t>
      </w:r>
      <w:r w:rsidRPr="008C13CD">
        <w:rPr>
          <w:rFonts w:cs="Times New Roman"/>
          <w:lang w:val="fr-CA"/>
        </w:rPr>
        <w:t>, p. 78). Lorsqu’on fait référence à des conditions et circonstances, c.</w:t>
      </w:r>
      <w:r w:rsidRPr="008C13CD">
        <w:rPr>
          <w:rFonts w:cs="Times New Roman"/>
          <w:lang w:val="fr-CA"/>
        </w:rPr>
        <w:noBreakHyphen/>
        <w:t>à</w:t>
      </w:r>
      <w:r w:rsidRPr="008C13CD">
        <w:rPr>
          <w:rFonts w:cs="Times New Roman"/>
          <w:lang w:val="fr-CA"/>
        </w:rPr>
        <w:noBreakHyphen/>
        <w:t>d. à un traitement ou à une peine, « cruel » signifie « [c]ausant de grandes souffrances qui se caractérise par de telles souffrances; extrêmement douloureux ou pénible » (p. 78).</w:t>
      </w:r>
    </w:p>
    <w:p w:rsidR="00182BDC" w:rsidRPr="008C13CD" w:rsidRDefault="00B40D5F" w:rsidP="00182BDC">
      <w:pPr>
        <w:pStyle w:val="ParaNoNdepar-AltN"/>
        <w:spacing w:before="0"/>
        <w:rPr>
          <w:rFonts w:cs="Times New Roman"/>
          <w:lang w:val="fr-CA"/>
        </w:rPr>
      </w:pPr>
      <w:r>
        <w:rPr>
          <w:rFonts w:cs="Times New Roman"/>
          <w:lang w:val="fr-CA"/>
        </w:rPr>
        <w:t xml:space="preserve">De même, </w:t>
      </w:r>
      <w:r w:rsidRPr="008C13CD">
        <w:rPr>
          <w:rFonts w:cs="Times New Roman"/>
          <w:lang w:val="fr-CA"/>
        </w:rPr>
        <w:t>« </w:t>
      </w:r>
      <w:r w:rsidR="00182BDC" w:rsidRPr="008C13CD">
        <w:rPr>
          <w:rFonts w:cs="Times New Roman"/>
          <w:i/>
          <w:lang w:val="fr-CA"/>
        </w:rPr>
        <w:t>cruelty</w:t>
      </w:r>
      <w:r>
        <w:rPr>
          <w:rFonts w:cs="Times New Roman"/>
          <w:lang w:val="fr-CA"/>
        </w:rPr>
        <w:t> »</w:t>
      </w:r>
      <w:r w:rsidR="00182BDC" w:rsidRPr="008C13CD">
        <w:rPr>
          <w:rFonts w:cs="Times New Roman"/>
          <w:lang w:val="fr-CA"/>
        </w:rPr>
        <w:t xml:space="preserve"> (cruauté) est défini ainsi dans le </w:t>
      </w:r>
      <w:r w:rsidR="00182BDC" w:rsidRPr="00DE4C4B">
        <w:rPr>
          <w:rFonts w:cs="Times New Roman"/>
          <w:i/>
          <w:lang w:val="fr-CA"/>
        </w:rPr>
        <w:t>Oxford English Dictionary</w:t>
      </w:r>
      <w:r w:rsidR="00182BDC" w:rsidRPr="008C13CD">
        <w:rPr>
          <w:rFonts w:cs="Times New Roman"/>
          <w:lang w:val="fr-CA"/>
        </w:rPr>
        <w:t> :</w:t>
      </w:r>
    </w:p>
    <w:p w:rsidR="00182BDC" w:rsidRPr="008C13CD" w:rsidRDefault="00182BDC" w:rsidP="00182BDC">
      <w:pPr>
        <w:pStyle w:val="Citation-AltC"/>
        <w:spacing w:after="240"/>
        <w:ind w:hanging="446"/>
        <w:contextualSpacing w:val="0"/>
        <w:rPr>
          <w:smallCaps/>
        </w:rPr>
      </w:pPr>
      <w:r w:rsidRPr="008C13CD">
        <w:rPr>
          <w:smallCaps/>
        </w:rPr>
        <w:tab/>
        <w:t>[traduction]</w:t>
      </w:r>
    </w:p>
    <w:p w:rsidR="00182BDC" w:rsidRPr="008C13CD" w:rsidRDefault="00182BDC" w:rsidP="00182BDC">
      <w:pPr>
        <w:pStyle w:val="Citation-AltC"/>
        <w:spacing w:after="240"/>
        <w:ind w:hanging="446"/>
        <w:contextualSpacing w:val="0"/>
      </w:pPr>
      <w:r w:rsidRPr="008C13CD">
        <w:tab/>
        <w:t xml:space="preserve">1. Le fait d’être cruel; disposition à infliger des souffrances, plaisir ou indifférence à la douleur ou à la misère d’autrui; sans merci, insensible : </w:t>
      </w:r>
      <w:r w:rsidRPr="008C13CD">
        <w:rPr>
          <w:i/>
        </w:rPr>
        <w:t>en particulier</w:t>
      </w:r>
      <w:r w:rsidRPr="008C13CD">
        <w:t xml:space="preserve"> lorsqu’elle se manifeste par des actes. Aussi, </w:t>
      </w:r>
      <w:r w:rsidRPr="008C13CD">
        <w:rPr>
          <w:i/>
        </w:rPr>
        <w:t>au pluriel</w:t>
      </w:r>
      <w:r w:rsidRPr="008C13CD">
        <w:t xml:space="preserve"> (des cruautés), une occurrence de cruauté, un acte cruel;</w:t>
      </w:r>
      <w:r w:rsidRPr="0048589B">
        <w:t xml:space="preserve"> </w:t>
      </w:r>
      <w:r w:rsidRPr="008C13CD">
        <w:t> . . .</w:t>
      </w:r>
    </w:p>
    <w:p w:rsidR="00182BDC" w:rsidRPr="008C13CD" w:rsidRDefault="00182BDC" w:rsidP="00182BDC">
      <w:pPr>
        <w:pStyle w:val="Citation-AltC"/>
        <w:spacing w:after="240"/>
        <w:ind w:hanging="446"/>
        <w:contextualSpacing w:val="0"/>
      </w:pPr>
      <w:r w:rsidRPr="008C13CD">
        <w:lastRenderedPageBreak/>
        <w:tab/>
        <w:t>2. Sévérité de la douleur, souffrance excessive; . . .</w:t>
      </w:r>
    </w:p>
    <w:p w:rsidR="00182BDC" w:rsidRPr="008C13CD" w:rsidRDefault="00182BDC" w:rsidP="008F0947">
      <w:pPr>
        <w:pStyle w:val="Citation-AltC"/>
        <w:ind w:hanging="446"/>
        <w:contextualSpacing w:val="0"/>
      </w:pPr>
      <w:r w:rsidRPr="008C13CD">
        <w:tab/>
        <w:t>3. Sévérité, rigidité, rigueur; . . .</w:t>
      </w:r>
      <w:r w:rsidR="008F0947">
        <w:t xml:space="preserve"> </w:t>
      </w:r>
      <w:r w:rsidRPr="008C13CD">
        <w:t>[p. 79]</w:t>
      </w:r>
    </w:p>
    <w:p w:rsidR="00182BDC" w:rsidRPr="008C13CD" w:rsidRDefault="00182BDC" w:rsidP="00182BDC">
      <w:pPr>
        <w:pStyle w:val="ParaNoNdepar-AltN"/>
        <w:spacing w:before="0"/>
        <w:rPr>
          <w:rFonts w:eastAsia="Times New Roman" w:cs="Times New Roman"/>
          <w:lang w:val="fr-CA"/>
        </w:rPr>
      </w:pPr>
      <w:r w:rsidRPr="008C13CD">
        <w:rPr>
          <w:rFonts w:eastAsia="Times New Roman" w:cs="Times New Roman"/>
          <w:lang w:val="fr-CA"/>
        </w:rPr>
        <w:t xml:space="preserve">Le terme </w:t>
      </w:r>
      <w:r w:rsidRPr="008C13CD">
        <w:rPr>
          <w:rFonts w:cs="Times New Roman"/>
          <w:lang w:val="fr-CA"/>
        </w:rPr>
        <w:t xml:space="preserve">« cruel » est aussi défini en français par référence au concept de souffrance qui, comme l’a souligné le juge </w:t>
      </w:r>
      <w:r>
        <w:rPr>
          <w:rFonts w:cs="Times New Roman"/>
          <w:lang w:val="fr-CA"/>
        </w:rPr>
        <w:t xml:space="preserve">d’appel </w:t>
      </w:r>
      <w:r w:rsidRPr="008C13CD">
        <w:rPr>
          <w:rFonts w:cs="Times New Roman"/>
          <w:lang w:val="fr-CA"/>
        </w:rPr>
        <w:t>Chamberland, ne peut être éprouvée par des entités inanimées comme les personnes morales :</w:t>
      </w:r>
    </w:p>
    <w:p w:rsidR="00182BDC" w:rsidRPr="008C13CD" w:rsidRDefault="00182BDC" w:rsidP="00182BDC">
      <w:pPr>
        <w:pStyle w:val="Citation-AltC"/>
        <w:numPr>
          <w:ilvl w:val="0"/>
          <w:numId w:val="11"/>
        </w:numPr>
        <w:spacing w:after="240"/>
        <w:contextualSpacing w:val="0"/>
      </w:pPr>
      <w:r w:rsidRPr="008C13CD">
        <w:t>Qui prend plaisir à faire souffrir, à voir souffrir.</w:t>
      </w:r>
    </w:p>
    <w:p w:rsidR="00182BDC" w:rsidRPr="008C13CD" w:rsidRDefault="00182BDC" w:rsidP="00182BDC">
      <w:pPr>
        <w:pStyle w:val="Citation-AltC"/>
        <w:numPr>
          <w:ilvl w:val="0"/>
          <w:numId w:val="11"/>
        </w:numPr>
        <w:spacing w:after="240"/>
        <w:contextualSpacing w:val="0"/>
      </w:pPr>
      <w:r w:rsidRPr="008C13CD">
        <w:t>Qui dénote de la cruauté; qui témoigne de la cruauté des hommes.</w:t>
      </w:r>
    </w:p>
    <w:p w:rsidR="00182BDC" w:rsidRPr="008C13CD" w:rsidRDefault="00182BDC" w:rsidP="00182BDC">
      <w:pPr>
        <w:pStyle w:val="Citation-AltC"/>
        <w:numPr>
          <w:ilvl w:val="0"/>
          <w:numId w:val="11"/>
        </w:numPr>
        <w:spacing w:after="240"/>
        <w:contextualSpacing w:val="0"/>
      </w:pPr>
      <w:r w:rsidRPr="008C13CD">
        <w:t>Littér. Qui fait souffrir par sa dureté, sa sévérité.</w:t>
      </w:r>
    </w:p>
    <w:p w:rsidR="00182BDC" w:rsidRPr="008C13CD" w:rsidRDefault="00182BDC" w:rsidP="00182BDC">
      <w:pPr>
        <w:pStyle w:val="Citation-AltC"/>
        <w:numPr>
          <w:ilvl w:val="0"/>
          <w:numId w:val="11"/>
        </w:numPr>
        <w:spacing w:after="240"/>
        <w:contextualSpacing w:val="0"/>
      </w:pPr>
      <w:r w:rsidRPr="008C13CD">
        <w:t>(Personnes). Sans indulgence, impitoyable.</w:t>
      </w:r>
    </w:p>
    <w:p w:rsidR="00182BDC" w:rsidRPr="008C13CD" w:rsidRDefault="00182BDC" w:rsidP="00182BDC">
      <w:pPr>
        <w:pStyle w:val="Citation-AltC"/>
        <w:numPr>
          <w:ilvl w:val="0"/>
          <w:numId w:val="11"/>
        </w:numPr>
        <w:spacing w:after="240"/>
        <w:contextualSpacing w:val="0"/>
      </w:pPr>
      <w:r w:rsidRPr="008C13CD">
        <w:t>(Choses personnifiées). Qui fait souffrir en manifestant une sorte d’hostilité.</w:t>
      </w:r>
    </w:p>
    <w:p w:rsidR="00182BDC" w:rsidRPr="008C13CD" w:rsidRDefault="00182BDC" w:rsidP="008D3827">
      <w:pPr>
        <w:pStyle w:val="Citation-AltC"/>
        <w:numPr>
          <w:ilvl w:val="0"/>
          <w:numId w:val="11"/>
        </w:numPr>
        <w:spacing w:after="480"/>
        <w:contextualSpacing w:val="0"/>
      </w:pPr>
      <w:r w:rsidRPr="008C13CD">
        <w:t>(Personnes). Indifférent, insensible.</w:t>
      </w:r>
    </w:p>
    <w:p w:rsidR="00182BDC" w:rsidRPr="008C13CD" w:rsidRDefault="00182BDC" w:rsidP="008D3827">
      <w:pPr>
        <w:pStyle w:val="Citation-AltC"/>
        <w:ind w:left="0"/>
        <w:contextualSpacing w:val="0"/>
      </w:pPr>
      <w:r w:rsidRPr="008C13CD">
        <w:t>(</w:t>
      </w:r>
      <w:r w:rsidRPr="008C13CD">
        <w:rPr>
          <w:i/>
        </w:rPr>
        <w:t>Le Grand Robert de la langue française</w:t>
      </w:r>
      <w:r w:rsidRPr="008C13CD">
        <w:t xml:space="preserve"> (2</w:t>
      </w:r>
      <w:r w:rsidRPr="008C13CD">
        <w:rPr>
          <w:vertAlign w:val="superscript"/>
        </w:rPr>
        <w:t>e</w:t>
      </w:r>
      <w:r w:rsidRPr="008C13CD">
        <w:t xml:space="preserve"> éd. 2001), </w:t>
      </w:r>
      <w:r>
        <w:t>p. 864-865</w:t>
      </w:r>
      <w:r w:rsidRPr="008C13CD">
        <w:t>)</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En résumé, suivant leur sens ordinaire, les mots traitements ou peines cruels et inusités renvoient à la douleur et à la souffrance </w:t>
      </w:r>
      <w:r w:rsidRPr="008C13CD">
        <w:rPr>
          <w:rFonts w:cs="Times New Roman"/>
          <w:i/>
          <w:lang w:val="fr-CA"/>
        </w:rPr>
        <w:t>humaines</w:t>
      </w:r>
      <w:r w:rsidRPr="008C13CD">
        <w:rPr>
          <w:rFonts w:cs="Times New Roman"/>
          <w:lang w:val="fr-CA"/>
        </w:rPr>
        <w:t>. Comme l’a éloquemment exprimé le juge d’appel Chamberland :</w:t>
      </w:r>
    </w:p>
    <w:p w:rsidR="00182BDC" w:rsidRPr="008C13CD" w:rsidRDefault="00182BDC" w:rsidP="00182BDC">
      <w:pPr>
        <w:pStyle w:val="Citation-AltC"/>
        <w:tabs>
          <w:tab w:val="left" w:pos="1440"/>
        </w:tabs>
        <w:spacing w:after="240"/>
        <w:ind w:firstLine="4"/>
        <w:contextualSpacing w:val="0"/>
      </w:pPr>
      <w:r w:rsidRPr="008C13CD">
        <w:tab/>
        <w:t>Ce serait de dénaturer totalement le sens commun des mots, selon moi, de dire que l’on peut faire preuve de cruauté envers une entité corporative, une société par actions.</w:t>
      </w:r>
    </w:p>
    <w:p w:rsidR="00182BDC" w:rsidRPr="008C13CD" w:rsidRDefault="00182BDC" w:rsidP="00182BDC">
      <w:pPr>
        <w:pStyle w:val="Citation-AltC"/>
        <w:tabs>
          <w:tab w:val="left" w:pos="1440"/>
        </w:tabs>
        <w:spacing w:after="240"/>
        <w:ind w:firstLine="4"/>
        <w:contextualSpacing w:val="0"/>
      </w:pPr>
      <w:r w:rsidRPr="008C13CD">
        <w:tab/>
        <w:t>La cruauté s’exerce envers des êtres vivants, en chair et en os, fussent</w:t>
      </w:r>
      <w:r w:rsidRPr="008C13CD">
        <w:noBreakHyphen/>
        <w:t>ils des êtres humains ou des animaux.</w:t>
      </w:r>
    </w:p>
    <w:p w:rsidR="00182BDC" w:rsidRPr="008C13CD" w:rsidRDefault="00182BDC" w:rsidP="00182BDC">
      <w:pPr>
        <w:pStyle w:val="Citation-AltC"/>
        <w:tabs>
          <w:tab w:val="left" w:pos="1440"/>
        </w:tabs>
        <w:spacing w:before="240" w:after="240"/>
        <w:ind w:firstLine="4"/>
        <w:contextualSpacing w:val="0"/>
      </w:pPr>
      <w:r w:rsidRPr="008C13CD">
        <w:tab/>
        <w:t>Et non envers des sociétés par actions.</w:t>
      </w:r>
    </w:p>
    <w:p w:rsidR="00182BDC" w:rsidRPr="008C13CD" w:rsidRDefault="00182BDC" w:rsidP="008C15CD">
      <w:pPr>
        <w:pStyle w:val="Citation-AltC"/>
        <w:tabs>
          <w:tab w:val="left" w:pos="1440"/>
        </w:tabs>
        <w:ind w:firstLine="4"/>
      </w:pPr>
      <w:r w:rsidRPr="008C13CD">
        <w:lastRenderedPageBreak/>
        <w:tab/>
        <w:t>La souffrance, physique ou mentale, est le propre des êtres vivants, et non des entités corporatives et des objets inanimés, sans âme ni vie émotionnelle.</w:t>
      </w:r>
      <w:r w:rsidR="008C15CD">
        <w:t xml:space="preserve"> </w:t>
      </w:r>
      <w:r w:rsidRPr="008C13CD">
        <w:t>[</w:t>
      </w:r>
      <w:r>
        <w:t>p</w:t>
      </w:r>
      <w:r w:rsidRPr="008C13CD">
        <w:t>ar. 53</w:t>
      </w:r>
      <w:r w:rsidRPr="008C13CD">
        <w:noBreakHyphen/>
        <w:t>56]</w:t>
      </w:r>
    </w:p>
    <w:p w:rsidR="00182BDC" w:rsidRPr="008C13CD" w:rsidRDefault="00182BDC" w:rsidP="00182BDC">
      <w:pPr>
        <w:pStyle w:val="ParaNoNdepar-AltN"/>
        <w:spacing w:before="0"/>
        <w:rPr>
          <w:rFonts w:eastAsia="Times New Roman" w:cs="Times New Roman"/>
          <w:lang w:val="fr-CA"/>
        </w:rPr>
      </w:pPr>
      <w:r w:rsidRPr="008C13CD">
        <w:rPr>
          <w:rFonts w:cs="Times New Roman"/>
          <w:lang w:val="fr-CA"/>
        </w:rPr>
        <w:t xml:space="preserve">Le fait que le mot « chacun » figure dans le texte de l’art. 12 ne saurait, sur la base de son sens littéral, étendre la protection de cette disposition aux personnes morales, sans égard à l’objet du droit concerné, à savoir la protection de la dignité </w:t>
      </w:r>
      <w:r w:rsidRPr="008C13CD">
        <w:rPr>
          <w:rFonts w:cs="Times New Roman"/>
          <w:i/>
          <w:lang w:val="fr-CA"/>
        </w:rPr>
        <w:t>humaine</w:t>
      </w:r>
      <w:r w:rsidRPr="008C13CD">
        <w:rPr>
          <w:rFonts w:cs="Times New Roman"/>
          <w:lang w:val="fr-CA"/>
        </w:rPr>
        <w:t xml:space="preserve">. Il convient de se rappeler que, dans l’arrêt </w:t>
      </w:r>
      <w:r w:rsidRPr="008C13CD">
        <w:rPr>
          <w:rFonts w:cs="Times New Roman"/>
          <w:i/>
          <w:lang w:val="fr-CA"/>
        </w:rPr>
        <w:t>Irwin Toy</w:t>
      </w:r>
      <w:r w:rsidRPr="008C13CD">
        <w:rPr>
          <w:rFonts w:cs="Times New Roman"/>
          <w:lang w:val="fr-CA"/>
        </w:rPr>
        <w:t>, notre Cour a expliqué que « [l]e terme “chacun” doit [. . .] être lu en fonction du reste de l’article et défini de façon à exclure les sociétés et autres entités qui ne peuvent jouir de la vie, de la liberté et de la sécurité de la personne, et de façon à ne comprendre que les êtres humains » (p. 1004).</w:t>
      </w:r>
    </w:p>
    <w:p w:rsidR="00182BDC" w:rsidRPr="008C13CD" w:rsidRDefault="00182BDC" w:rsidP="00182BDC">
      <w:pPr>
        <w:pStyle w:val="ParaNoNdepar-AltN"/>
        <w:spacing w:before="0"/>
        <w:rPr>
          <w:rFonts w:cs="Times New Roman"/>
          <w:lang w:val="fr-CA"/>
        </w:rPr>
      </w:pPr>
      <w:r w:rsidRPr="008C13CD">
        <w:rPr>
          <w:rFonts w:cs="Times New Roman"/>
          <w:lang w:val="fr-CA"/>
        </w:rPr>
        <w:t>Je vais maintenant examiner les origines historiques du droit garanti et les valeurs qui le sous</w:t>
      </w:r>
      <w:r w:rsidRPr="008C13CD">
        <w:rPr>
          <w:rFonts w:cs="Times New Roman"/>
          <w:lang w:val="fr-CA"/>
        </w:rPr>
        <w:noBreakHyphen/>
        <w:t xml:space="preserve">tendent, conformément à la directive du juge en chef Dickson dans l’arrêt </w:t>
      </w:r>
      <w:r w:rsidRPr="008C13CD">
        <w:rPr>
          <w:rFonts w:cs="Times New Roman"/>
          <w:i/>
          <w:lang w:val="fr-CA"/>
        </w:rPr>
        <w:t>Oakes</w:t>
      </w:r>
      <w:r w:rsidRPr="008C13CD">
        <w:rPr>
          <w:rFonts w:cs="Times New Roman"/>
          <w:lang w:val="fr-CA"/>
        </w:rPr>
        <w:t>, selon laquelle l’analyse requiert de « comprendre les valeurs fondamentales inhérentes à [la disposition] » (p. 119).</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L’origine des valeurs inhérentes à l’art. 12 </w:t>
      </w:r>
      <w:r>
        <w:rPr>
          <w:rFonts w:cs="Times New Roman"/>
          <w:lang w:val="fr-CA"/>
        </w:rPr>
        <w:t>remonte</w:t>
      </w:r>
      <w:r w:rsidRPr="008C13CD">
        <w:rPr>
          <w:rFonts w:cs="Times New Roman"/>
          <w:lang w:val="fr-CA"/>
        </w:rPr>
        <w:t xml:space="preserve"> au </w:t>
      </w:r>
      <w:r w:rsidRPr="008C13CD">
        <w:rPr>
          <w:rFonts w:cs="Times New Roman"/>
          <w:i/>
          <w:lang w:val="fr-CA"/>
        </w:rPr>
        <w:t>Bill of Rights</w:t>
      </w:r>
      <w:r w:rsidR="00200A71">
        <w:rPr>
          <w:rFonts w:cs="Times New Roman"/>
          <w:lang w:val="fr-CA"/>
        </w:rPr>
        <w:t xml:space="preserve"> (Angl.</w:t>
      </w:r>
      <w:r w:rsidRPr="008C13CD">
        <w:rPr>
          <w:rFonts w:cs="Times New Roman"/>
          <w:lang w:val="fr-CA"/>
        </w:rPr>
        <w:t>), 1688, 1 Will. &amp; Mar. Sess. 2, c. 2, dont l’art. 10 précisait ce qui suit : [</w:t>
      </w:r>
      <w:r w:rsidRPr="008C13CD">
        <w:rPr>
          <w:rFonts w:cs="Times New Roman"/>
          <w:smallCaps/>
          <w:lang w:val="fr-CA"/>
        </w:rPr>
        <w:t>traduction</w:t>
      </w:r>
      <w:r w:rsidRPr="008C13CD">
        <w:rPr>
          <w:rFonts w:cs="Times New Roman"/>
          <w:lang w:val="fr-CA"/>
        </w:rPr>
        <w:t>] « </w:t>
      </w:r>
      <w:r w:rsidR="00E71919">
        <w:rPr>
          <w:rFonts w:cs="Times New Roman"/>
          <w:szCs w:val="24"/>
          <w:lang w:val="fr-CA"/>
        </w:rPr>
        <w:t>I</w:t>
      </w:r>
      <w:r w:rsidRPr="0048589B">
        <w:rPr>
          <w:rFonts w:cs="Times New Roman"/>
          <w:szCs w:val="24"/>
          <w:lang w:val="fr-CA"/>
        </w:rPr>
        <w:t xml:space="preserve">l ne devrait pas être exigé de </w:t>
      </w:r>
      <w:r w:rsidRPr="0048589B">
        <w:rPr>
          <w:lang w:val="fr-CA"/>
        </w:rPr>
        <w:t>cautionnements excessifs, imposé d’amendes excessives ou infligé de peines cruelles et inusitées</w:t>
      </w:r>
      <w:r w:rsidR="00C876BF" w:rsidRPr="008C13CD">
        <w:rPr>
          <w:rFonts w:cs="Times New Roman"/>
          <w:lang w:val="fr-CA"/>
        </w:rPr>
        <w:t>.</w:t>
      </w:r>
      <w:r w:rsidRPr="008C13CD">
        <w:rPr>
          <w:rFonts w:cs="Times New Roman"/>
          <w:lang w:val="fr-CA"/>
        </w:rPr>
        <w:t> »</w:t>
      </w:r>
    </w:p>
    <w:p w:rsidR="00182BDC" w:rsidRPr="008C13CD" w:rsidRDefault="00182BDC" w:rsidP="00182BDC">
      <w:pPr>
        <w:pStyle w:val="ParaNoNdepar-AltN"/>
        <w:spacing w:before="0"/>
        <w:rPr>
          <w:rFonts w:cs="Times New Roman"/>
          <w:lang w:val="fr-CA"/>
        </w:rPr>
      </w:pPr>
      <w:r w:rsidRPr="008C13CD">
        <w:rPr>
          <w:rFonts w:cs="Times New Roman"/>
          <w:lang w:val="fr-CA"/>
        </w:rPr>
        <w:t>Cette disposition a été intégrée presque mot pour mot dans le Huitième amendement de la Constitution des États</w:t>
      </w:r>
      <w:r w:rsidRPr="008C13CD">
        <w:rPr>
          <w:rFonts w:cs="Times New Roman"/>
          <w:lang w:val="fr-CA"/>
        </w:rPr>
        <w:noBreakHyphen/>
        <w:t xml:space="preserve">Unis en 1791, et l’analyse définitive de son </w:t>
      </w:r>
      <w:r w:rsidRPr="008C13CD">
        <w:rPr>
          <w:rFonts w:cs="Times New Roman"/>
          <w:lang w:val="fr-CA"/>
        </w:rPr>
        <w:lastRenderedPageBreak/>
        <w:t xml:space="preserve">objet a été réalisée dans l’arrêt </w:t>
      </w:r>
      <w:r w:rsidRPr="008C13CD">
        <w:rPr>
          <w:rFonts w:cs="Times New Roman"/>
          <w:i/>
          <w:lang w:val="fr-CA"/>
        </w:rPr>
        <w:t>Furman c. Georgi</w:t>
      </w:r>
      <w:r>
        <w:rPr>
          <w:rFonts w:cs="Times New Roman"/>
          <w:i/>
          <w:lang w:val="fr-CA"/>
        </w:rPr>
        <w:t>a</w:t>
      </w:r>
      <w:r w:rsidRPr="008C13CD">
        <w:rPr>
          <w:rFonts w:cs="Times New Roman"/>
          <w:lang w:val="fr-CA"/>
        </w:rPr>
        <w:t>, 408 U.S. 238 (1972), qui portait sur la constitutionnalité de la peine de mort. Chacun des juges majoritaires a rédigé des motifs distincts expliquant pourquoi la peine de mort constituait une peine cruelle et inusitée dans les affaires dont le tribunal était saisi. Le juge Marshall a examiné l’historique de cette disposition en Angleterre et a conclu ainsi :</w:t>
      </w:r>
    </w:p>
    <w:p w:rsidR="00182BDC" w:rsidRPr="008C13CD" w:rsidRDefault="00182BDC" w:rsidP="00182BDC">
      <w:pPr>
        <w:pStyle w:val="Citation-AltC"/>
        <w:ind w:hanging="446"/>
      </w:pPr>
      <w:r w:rsidRPr="008C13CD">
        <w:tab/>
      </w:r>
      <w:r>
        <w:tab/>
      </w:r>
      <w:r w:rsidRPr="008C13CD">
        <w:t>[</w:t>
      </w:r>
      <w:r w:rsidRPr="008C13CD">
        <w:rPr>
          <w:smallCaps/>
        </w:rPr>
        <w:t>traduction</w:t>
      </w:r>
      <w:r w:rsidRPr="008C13CD">
        <w:t>]</w:t>
      </w:r>
      <w:r>
        <w:t xml:space="preserve"> </w:t>
      </w:r>
      <w:r w:rsidRPr="008C13CD">
        <w:t xml:space="preserve">Que l’interdiction des peines cruelles et inusitées énoncée dans le </w:t>
      </w:r>
      <w:r w:rsidRPr="00FC0E3E">
        <w:t>Bill of Rights</w:t>
      </w:r>
      <w:r w:rsidRPr="008C13CD">
        <w:t xml:space="preserve"> anglais soit considérée à juste titre comme une réaction aux peines excessives ou illicites, comme une réaction aux châtiments barbares et répréhensibles, ou les deux, il est indubitable qu’en s’inspirant du langage de cette disposition et en l’intégrant dans le Huitième amendement, nos Pères fondateurs entendaient rendre illicites la torture et les autres peines cruelles. [p. 319]</w:t>
      </w:r>
    </w:p>
    <w:p w:rsidR="00182BDC" w:rsidRPr="008C13CD" w:rsidRDefault="00182BDC" w:rsidP="00182BDC">
      <w:pPr>
        <w:pStyle w:val="ParaNoNdepar-AltN"/>
        <w:spacing w:before="0"/>
        <w:rPr>
          <w:rFonts w:cs="Times New Roman"/>
          <w:lang w:val="fr-CA"/>
        </w:rPr>
      </w:pPr>
      <w:r w:rsidRPr="008C13CD">
        <w:rPr>
          <w:rFonts w:cs="Times New Roman"/>
          <w:lang w:val="fr-CA"/>
        </w:rPr>
        <w:t>Dans ses motifs, le juge Brennan a affirmé que le Huitième amendement avait pour principal objet la protection de la dignité des êtres humains. Il a conclu que l’État, [</w:t>
      </w:r>
      <w:r w:rsidRPr="008C13CD">
        <w:rPr>
          <w:rFonts w:cs="Times New Roman"/>
          <w:smallCaps/>
          <w:lang w:val="fr-CA"/>
        </w:rPr>
        <w:t>traduction</w:t>
      </w:r>
      <w:r w:rsidRPr="008C13CD">
        <w:rPr>
          <w:rFonts w:cs="Times New Roman"/>
          <w:lang w:val="fr-CA"/>
        </w:rPr>
        <w:t xml:space="preserve">] « même lorsqu’il punit, doit traiter ses citoyens en respectant leur valeur intrinsèque </w:t>
      </w:r>
      <w:r w:rsidRPr="008C13CD">
        <w:rPr>
          <w:rFonts w:cs="Times New Roman"/>
          <w:i/>
          <w:lang w:val="fr-CA"/>
        </w:rPr>
        <w:t>en tant qu’êtres humains</w:t>
      </w:r>
      <w:r w:rsidRPr="008C13CD">
        <w:rPr>
          <w:rFonts w:cs="Times New Roman"/>
          <w:lang w:val="fr-CA"/>
        </w:rPr>
        <w:t> », expliquant que la raison pour laquelle les peines barbares ont été condamnées par l’histoire « est qu’</w:t>
      </w:r>
      <w:r w:rsidRPr="0048589B">
        <w:rPr>
          <w:rFonts w:cs="Times New Roman"/>
          <w:i/>
          <w:lang w:val="fr-CA"/>
        </w:rPr>
        <w:t xml:space="preserve">elles </w:t>
      </w:r>
      <w:r w:rsidRPr="008C13CD">
        <w:rPr>
          <w:rFonts w:cs="Times New Roman"/>
          <w:i/>
          <w:lang w:val="fr-CA"/>
        </w:rPr>
        <w:t>traitent les membres de la race humaine comme des non</w:t>
      </w:r>
      <w:r w:rsidRPr="008C13CD">
        <w:rPr>
          <w:rFonts w:cs="Times New Roman"/>
          <w:i/>
          <w:lang w:val="fr-CA"/>
        </w:rPr>
        <w:noBreakHyphen/>
        <w:t>humains</w:t>
      </w:r>
      <w:r w:rsidRPr="008C13CD">
        <w:rPr>
          <w:rFonts w:cs="Times New Roman"/>
          <w:lang w:val="fr-CA"/>
        </w:rPr>
        <w:t>, comme des objets avec lesquels on peut jouer et dont on peut disposer » et qu’elles sont « incompatibles avec la prémisse fondamentale de la disposition selon laquelle même le plus vil criminel demeure un être humain possédant la dignité humaine commune à tous » (p. 270</w:t>
      </w:r>
      <w:r w:rsidRPr="008C13CD">
        <w:rPr>
          <w:rFonts w:cs="Times New Roman"/>
          <w:lang w:val="fr-CA"/>
        </w:rPr>
        <w:noBreakHyphen/>
        <w:t>273</w:t>
      </w:r>
      <w:r>
        <w:rPr>
          <w:rFonts w:cs="Times New Roman"/>
          <w:lang w:val="fr-CA"/>
        </w:rPr>
        <w:t xml:space="preserve"> (</w:t>
      </w:r>
      <w:r w:rsidR="00951C33">
        <w:rPr>
          <w:rFonts w:cs="Times New Roman"/>
          <w:lang w:val="fr-CA"/>
        </w:rPr>
        <w:t>je souligne</w:t>
      </w:r>
      <w:r>
        <w:rPr>
          <w:rFonts w:cs="Times New Roman"/>
          <w:lang w:val="fr-CA"/>
        </w:rPr>
        <w:t>)</w:t>
      </w:r>
      <w:r w:rsidRPr="008C13CD">
        <w:rPr>
          <w:rFonts w:cs="Times New Roman"/>
          <w:lang w:val="fr-CA"/>
        </w:rPr>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Bien que l’objet qui sous</w:t>
      </w:r>
      <w:r w:rsidRPr="008C13CD">
        <w:rPr>
          <w:rFonts w:cs="Times New Roman"/>
          <w:lang w:val="fr-CA"/>
        </w:rPr>
        <w:noBreakHyphen/>
        <w:t xml:space="preserve">tende la disposition en question du </w:t>
      </w:r>
      <w:r w:rsidRPr="008C13CD">
        <w:rPr>
          <w:rFonts w:cs="Times New Roman"/>
          <w:i/>
          <w:lang w:val="fr-CA"/>
        </w:rPr>
        <w:t>Bill of Rights</w:t>
      </w:r>
      <w:r w:rsidRPr="008C13CD">
        <w:rPr>
          <w:rFonts w:cs="Times New Roman"/>
          <w:lang w:val="fr-CA"/>
        </w:rPr>
        <w:t xml:space="preserve"> anglais fasse l’objet de débats, il semble incontesté que, tant dans le contexte anglais que dans le contexte américain, la protection des personnes morales n’était pas </w:t>
      </w:r>
      <w:r w:rsidRPr="008C13CD">
        <w:rPr>
          <w:rFonts w:cs="Times New Roman"/>
          <w:lang w:val="fr-CA"/>
        </w:rPr>
        <w:lastRenderedPageBreak/>
        <w:t>envisagée. Qui plus est, on peut sans crainte de se tromper affirmer qu’à tout le moins aux États</w:t>
      </w:r>
      <w:r w:rsidRPr="008C13CD">
        <w:rPr>
          <w:rFonts w:cs="Times New Roman"/>
          <w:lang w:val="fr-CA"/>
        </w:rPr>
        <w:noBreakHyphen/>
        <w:t xml:space="preserve">Unis, l’objectif de l’interdiction des peines cruelles et inusitées est historiquement la protection de la valeur et de la dignité inhérentes aux </w:t>
      </w:r>
      <w:r w:rsidRPr="008C13CD">
        <w:rPr>
          <w:rFonts w:cs="Times New Roman"/>
          <w:i/>
          <w:lang w:val="fr-CA"/>
        </w:rPr>
        <w:t>êtres humains</w:t>
      </w:r>
      <w:r w:rsidRPr="008C13CD">
        <w:rPr>
          <w:rFonts w:cs="Times New Roman"/>
          <w:lang w:val="fr-CA"/>
        </w:rPr>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Au Canada, le premier texte incorporant un libellé similaire est l’al. 2</w:t>
      </w:r>
      <w:r w:rsidRPr="0048589B">
        <w:rPr>
          <w:rFonts w:cs="Times New Roman"/>
          <w:i/>
          <w:lang w:val="fr-CA"/>
        </w:rPr>
        <w:t>b</w:t>
      </w:r>
      <w:r w:rsidRPr="008C13CD">
        <w:rPr>
          <w:rFonts w:cs="Times New Roman"/>
          <w:lang w:val="fr-CA"/>
        </w:rPr>
        <w:t xml:space="preserve">) de la </w:t>
      </w:r>
      <w:r w:rsidRPr="008C13CD">
        <w:rPr>
          <w:rFonts w:cs="Times New Roman"/>
          <w:i/>
          <w:lang w:val="fr-CA"/>
        </w:rPr>
        <w:t>Déclaration canadienne des droits</w:t>
      </w:r>
      <w:r w:rsidRPr="008C13CD">
        <w:rPr>
          <w:rFonts w:cs="Times New Roman"/>
          <w:lang w:val="fr-CA"/>
        </w:rPr>
        <w:t xml:space="preserve">, S.C. 1960, c. 44, qui interdisait d’imposer « des peines ou traitements cruels et inusités ». La </w:t>
      </w:r>
      <w:r w:rsidRPr="008C13CD">
        <w:rPr>
          <w:rFonts w:cs="Times New Roman"/>
          <w:i/>
          <w:lang w:val="fr-CA"/>
        </w:rPr>
        <w:t>Déclaration canadienne des droits</w:t>
      </w:r>
      <w:r w:rsidRPr="008C13CD">
        <w:rPr>
          <w:rFonts w:cs="Times New Roman"/>
          <w:lang w:val="fr-CA"/>
        </w:rPr>
        <w:t xml:space="preserve"> a été adoptée dans un contexte historique qui lui est propre, lequel mettait grandement l’accent sur la nécessité de protéger les droits de la personne dans la période qui suivait la Deuxième Guerre mondiale. Comme l’a fait remarquer Walter Tarnopolsky, alors professeur, [</w:t>
      </w:r>
      <w:r w:rsidRPr="008C13CD">
        <w:rPr>
          <w:rFonts w:cs="Times New Roman"/>
          <w:smallCaps/>
          <w:lang w:val="fr-CA"/>
        </w:rPr>
        <w:t>traduction</w:t>
      </w:r>
      <w:r w:rsidRPr="008C13CD">
        <w:rPr>
          <w:rFonts w:cs="Times New Roman"/>
          <w:lang w:val="fr-CA"/>
        </w:rPr>
        <w:t>] « </w:t>
      </w:r>
      <w:r w:rsidR="00EE13BA" w:rsidRPr="008C13CD">
        <w:rPr>
          <w:rFonts w:cs="Times New Roman"/>
          <w:lang w:val="fr-CA"/>
        </w:rPr>
        <w:t>[</w:t>
      </w:r>
      <w:r w:rsidRPr="008C13CD">
        <w:rPr>
          <w:rFonts w:cs="Times New Roman"/>
          <w:lang w:val="fr-CA"/>
        </w:rPr>
        <w:t>u</w:t>
      </w:r>
      <w:r w:rsidR="00EE13BA" w:rsidRPr="008C13CD">
        <w:rPr>
          <w:rFonts w:cs="Times New Roman"/>
          <w:lang w:val="fr-CA"/>
        </w:rPr>
        <w:t>]</w:t>
      </w:r>
      <w:r w:rsidRPr="008C13CD">
        <w:rPr>
          <w:rFonts w:cs="Times New Roman"/>
          <w:lang w:val="fr-CA"/>
        </w:rPr>
        <w:t>n intérêt prononcé pour la protection de certains droits de la personne et certaines libertés fondamentales, ainsi que des préoccupa</w:t>
      </w:r>
      <w:r>
        <w:rPr>
          <w:rFonts w:cs="Times New Roman"/>
          <w:lang w:val="fr-CA"/>
        </w:rPr>
        <w:t>tions à cet égard ont commencé à</w:t>
      </w:r>
      <w:r w:rsidRPr="008C13CD">
        <w:rPr>
          <w:rFonts w:cs="Times New Roman"/>
          <w:lang w:val="fr-CA"/>
        </w:rPr>
        <w:t xml:space="preserve"> croître au Canada pendant la Deuxième Guerre mondiale, probablement en partie en raison de l’intérêt manifesté à l’égard de ces valeurs dans l’ensemble du monde</w:t>
      </w:r>
      <w:r>
        <w:rPr>
          <w:rFonts w:cs="Times New Roman"/>
          <w:lang w:val="fr-CA"/>
        </w:rPr>
        <w:t> </w:t>
      </w:r>
      <w:r w:rsidRPr="008C13CD">
        <w:rPr>
          <w:rFonts w:cs="Times New Roman"/>
          <w:lang w:val="fr-CA"/>
        </w:rPr>
        <w:t xml:space="preserve">», étant donné que « les nations civilisées pouvaient trop aisément retomber </w:t>
      </w:r>
      <w:r w:rsidR="00951C33">
        <w:rPr>
          <w:rFonts w:cs="Times New Roman"/>
          <w:lang w:val="fr-CA"/>
        </w:rPr>
        <w:t>dans la barbarie » (</w:t>
      </w:r>
      <w:r w:rsidRPr="008C13CD">
        <w:rPr>
          <w:rFonts w:cs="Times New Roman"/>
          <w:i/>
          <w:lang w:val="fr-CA"/>
        </w:rPr>
        <w:t>The Canadian Bill of Rights</w:t>
      </w:r>
      <w:r w:rsidRPr="008C13CD">
        <w:rPr>
          <w:rFonts w:cs="Times New Roman"/>
          <w:lang w:val="fr-CA"/>
        </w:rPr>
        <w:t xml:space="preserve"> (2</w:t>
      </w:r>
      <w:r w:rsidRPr="008C13CD">
        <w:rPr>
          <w:rFonts w:cs="Times New Roman"/>
          <w:vertAlign w:val="superscript"/>
          <w:lang w:val="fr-CA"/>
        </w:rPr>
        <w:t>e</w:t>
      </w:r>
      <w:r w:rsidRPr="008C13CD">
        <w:rPr>
          <w:rFonts w:cs="Times New Roman"/>
          <w:lang w:val="fr-CA"/>
        </w:rPr>
        <w:t xml:space="preserve"> éd. rev. 1975), p. 3; voir </w:t>
      </w:r>
      <w:r w:rsidR="00951C33">
        <w:rPr>
          <w:rFonts w:cs="Times New Roman"/>
          <w:lang w:val="fr-CA"/>
        </w:rPr>
        <w:t>aussi</w:t>
      </w:r>
      <w:r w:rsidRPr="008C13CD">
        <w:rPr>
          <w:rFonts w:cs="Times New Roman"/>
          <w:lang w:val="fr-CA"/>
        </w:rPr>
        <w:t xml:space="preserve"> Hogg, </w:t>
      </w:r>
      <w:r>
        <w:rPr>
          <w:rFonts w:cs="Times New Roman"/>
          <w:lang w:val="fr-CA"/>
        </w:rPr>
        <w:t>par</w:t>
      </w:r>
      <w:r w:rsidRPr="008C13CD">
        <w:rPr>
          <w:rFonts w:cs="Times New Roman"/>
          <w:lang w:val="fr-CA"/>
        </w:rPr>
        <w:t>. 35.1).</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 </w:t>
      </w:r>
      <w:r w:rsidRPr="008C13CD">
        <w:rPr>
          <w:rFonts w:cs="Times New Roman"/>
          <w:i/>
          <w:lang w:val="fr-CA"/>
        </w:rPr>
        <w:t>Déclaration canadienne des droits</w:t>
      </w:r>
      <w:r w:rsidRPr="008C13CD">
        <w:rPr>
          <w:rFonts w:cs="Times New Roman"/>
          <w:lang w:val="fr-CA"/>
        </w:rPr>
        <w:t xml:space="preserve"> a été présentée sous le titre de </w:t>
      </w:r>
      <w:r w:rsidRPr="008C13CD">
        <w:rPr>
          <w:rFonts w:cs="Times New Roman"/>
          <w:i/>
          <w:lang w:val="fr-CA"/>
        </w:rPr>
        <w:t>Loi ayant pour objets la reconnaissance et la protection des droits de l’homme et des libertés fondamentales</w:t>
      </w:r>
      <w:r w:rsidRPr="008C13CD">
        <w:rPr>
          <w:rFonts w:cs="Times New Roman"/>
          <w:lang w:val="fr-CA"/>
        </w:rPr>
        <w:t xml:space="preserve">. Outre les mentions figurant dans ce titre, le préambule de la </w:t>
      </w:r>
      <w:r w:rsidRPr="008C13CD">
        <w:rPr>
          <w:rFonts w:cs="Times New Roman"/>
          <w:i/>
          <w:lang w:val="fr-CA"/>
        </w:rPr>
        <w:t>Déclaration canadienne des droits</w:t>
      </w:r>
      <w:r w:rsidRPr="008C13CD">
        <w:rPr>
          <w:rFonts w:cs="Times New Roman"/>
          <w:lang w:val="fr-CA"/>
        </w:rPr>
        <w:t xml:space="preserve"> faisait expressément référence à « la dignité et la valeur de la personne humaine » :</w:t>
      </w:r>
    </w:p>
    <w:p w:rsidR="00182BDC" w:rsidRPr="008C13CD" w:rsidRDefault="00182BDC" w:rsidP="00182BDC">
      <w:pPr>
        <w:pStyle w:val="Citation-AltC"/>
        <w:spacing w:after="240"/>
        <w:ind w:hanging="446"/>
        <w:contextualSpacing w:val="0"/>
      </w:pPr>
      <w:r w:rsidRPr="008C13CD">
        <w:lastRenderedPageBreak/>
        <w:tab/>
        <w:t xml:space="preserve">Le Parlement du Canada proclame que la nation canadienne repose sur des principes qui reconnaissent [. . .] </w:t>
      </w:r>
      <w:r w:rsidRPr="008C13CD">
        <w:rPr>
          <w:i/>
        </w:rPr>
        <w:t>la dignité et la valeur de la personne humaine</w:t>
      </w:r>
      <w:r w:rsidRPr="008C13CD">
        <w:t> . . . </w:t>
      </w:r>
    </w:p>
    <w:p w:rsidR="00182BDC" w:rsidRPr="008C13CD" w:rsidRDefault="00182BDC" w:rsidP="00182BDC">
      <w:pPr>
        <w:pStyle w:val="Citation-AltC"/>
        <w:spacing w:after="240"/>
        <w:ind w:left="4593" w:hanging="446"/>
        <w:contextualSpacing w:val="0"/>
      </w:pPr>
      <w:r w:rsidRPr="008C13CD">
        <w:tab/>
        <w:t>. . .</w:t>
      </w:r>
    </w:p>
    <w:p w:rsidR="00182BDC" w:rsidRPr="008C13CD" w:rsidRDefault="00182BDC" w:rsidP="00182BDC">
      <w:pPr>
        <w:pStyle w:val="Citation-AltC"/>
        <w:ind w:hanging="446"/>
        <w:contextualSpacing w:val="0"/>
      </w:pPr>
      <w:r w:rsidRPr="008C13CD">
        <w:tab/>
        <w:t xml:space="preserve">Et afin d’expliciter ces principes ainsi que les </w:t>
      </w:r>
      <w:r w:rsidRPr="008C13CD">
        <w:rPr>
          <w:i/>
        </w:rPr>
        <w:t>droits de l’homme</w:t>
      </w:r>
      <w:r w:rsidRPr="008C13CD">
        <w:t xml:space="preserve"> et les libertés fondamentales q</w:t>
      </w:r>
      <w:r w:rsidR="008616EA">
        <w:t>ui en découlent . . . [Italique ajouté</w:t>
      </w:r>
      <w:r w:rsidRPr="008C13CD">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Le texte de l’al. 2</w:t>
      </w:r>
      <w:r w:rsidRPr="00D47C43">
        <w:rPr>
          <w:rFonts w:cs="Times New Roman"/>
          <w:i/>
          <w:lang w:val="fr-CA"/>
        </w:rPr>
        <w:t>b</w:t>
      </w:r>
      <w:r w:rsidRPr="008C13CD">
        <w:rPr>
          <w:rFonts w:cs="Times New Roman"/>
          <w:lang w:val="fr-CA"/>
        </w:rPr>
        <w:t xml:space="preserve">) de la </w:t>
      </w:r>
      <w:r w:rsidRPr="008C13CD">
        <w:rPr>
          <w:rFonts w:cs="Times New Roman"/>
          <w:i/>
          <w:lang w:val="fr-CA"/>
        </w:rPr>
        <w:t xml:space="preserve">Déclaration canadienne des droits </w:t>
      </w:r>
      <w:r w:rsidRPr="008C13CD">
        <w:rPr>
          <w:rFonts w:cs="Times New Roman"/>
          <w:lang w:val="fr-CA"/>
        </w:rPr>
        <w:t xml:space="preserve">et celui de l’art. 12 de la </w:t>
      </w:r>
      <w:r w:rsidRPr="008C13CD">
        <w:rPr>
          <w:rFonts w:cs="Times New Roman"/>
          <w:i/>
          <w:lang w:val="fr-CA"/>
        </w:rPr>
        <w:t>Charte</w:t>
      </w:r>
      <w:r w:rsidRPr="008C13CD">
        <w:rPr>
          <w:rFonts w:cs="Times New Roman"/>
          <w:lang w:val="fr-CA"/>
        </w:rPr>
        <w:t xml:space="preserve"> sont presque identiques. Toutefois, contrairement à la </w:t>
      </w:r>
      <w:r w:rsidRPr="008C13CD">
        <w:rPr>
          <w:rFonts w:cs="Times New Roman"/>
          <w:i/>
          <w:lang w:val="fr-CA"/>
        </w:rPr>
        <w:t>Déclaration des droits</w:t>
      </w:r>
      <w:r w:rsidRPr="008C13CD">
        <w:rPr>
          <w:rFonts w:cs="Times New Roman"/>
          <w:lang w:val="fr-CA"/>
        </w:rPr>
        <w:t xml:space="preserve">, qui est une loi ordinaire — quoique possédant une très grande importance philosophique —, </w:t>
      </w:r>
      <w:r w:rsidRPr="008C13CD">
        <w:rPr>
          <w:rFonts w:cs="Times New Roman"/>
          <w:shd w:val="clear" w:color="auto" w:fill="FFFFFF"/>
          <w:lang w:val="fr-CA"/>
        </w:rPr>
        <w:t>« </w:t>
      </w:r>
      <w:r w:rsidRPr="008C13CD">
        <w:rPr>
          <w:rFonts w:cs="Times New Roman"/>
          <w:lang w:val="fr-CA"/>
        </w:rPr>
        <w:t xml:space="preserve">la </w:t>
      </w:r>
      <w:r w:rsidRPr="008C13CD">
        <w:rPr>
          <w:rFonts w:cs="Times New Roman"/>
          <w:i/>
          <w:iCs/>
          <w:lang w:val="fr-CA"/>
        </w:rPr>
        <w:t>Charte</w:t>
      </w:r>
      <w:r w:rsidRPr="008C13CD">
        <w:rPr>
          <w:rFonts w:cs="Times New Roman"/>
          <w:iCs/>
          <w:lang w:val="fr-CA"/>
        </w:rPr>
        <w:t>,</w:t>
      </w:r>
      <w:r w:rsidRPr="008C13CD">
        <w:rPr>
          <w:rFonts w:cs="Times New Roman"/>
          <w:lang w:val="fr-CA"/>
        </w:rPr>
        <w:t xml:space="preserve"> en raison de son caractère constitutionnel, doit être considérée comme une nouvelle déclaration des droits et libertés et du pouvoir et de la responsabilité qu’ont les tribunaux de les protéger » (</w:t>
      </w:r>
      <w:r w:rsidRPr="008C13CD">
        <w:rPr>
          <w:rFonts w:cs="Times New Roman"/>
          <w:i/>
          <w:lang w:val="fr-CA"/>
        </w:rPr>
        <w:t>R</w:t>
      </w:r>
      <w:r>
        <w:rPr>
          <w:rFonts w:cs="Times New Roman"/>
          <w:i/>
          <w:lang w:val="fr-CA"/>
        </w:rPr>
        <w:t>.</w:t>
      </w:r>
      <w:r w:rsidRPr="008C13CD">
        <w:rPr>
          <w:rFonts w:cs="Times New Roman"/>
          <w:i/>
          <w:lang w:val="fr-CA"/>
        </w:rPr>
        <w:t xml:space="preserve"> c. Therens</w:t>
      </w:r>
      <w:r w:rsidRPr="008C13CD">
        <w:rPr>
          <w:rFonts w:cs="Times New Roman"/>
          <w:lang w:val="fr-CA"/>
        </w:rPr>
        <w:t>, [1985] 1 R.C.S. 613, p. 638).</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À l’instar de la </w:t>
      </w:r>
      <w:r w:rsidRPr="008C13CD">
        <w:rPr>
          <w:rFonts w:cs="Times New Roman"/>
          <w:i/>
          <w:lang w:val="fr-CA"/>
        </w:rPr>
        <w:t>Déclaration canadienne des droits</w:t>
      </w:r>
      <w:r w:rsidRPr="008C13CD">
        <w:rPr>
          <w:rFonts w:cs="Times New Roman"/>
          <w:lang w:val="fr-CA"/>
        </w:rPr>
        <w:t xml:space="preserve">, l’adoption de la </w:t>
      </w:r>
      <w:r w:rsidRPr="008C13CD">
        <w:rPr>
          <w:rFonts w:cs="Times New Roman"/>
          <w:i/>
          <w:lang w:val="fr-CA"/>
        </w:rPr>
        <w:t xml:space="preserve">Charte </w:t>
      </w:r>
      <w:r w:rsidRPr="008C13CD">
        <w:rPr>
          <w:rFonts w:cs="Times New Roman"/>
          <w:lang w:val="fr-CA"/>
        </w:rPr>
        <w:t>a été influencée par les événements de la Deuxième Guerre mondiale. Comme l’a souligné en 1968 Pierre Elliott Trudeau, qui était alors ministre de la Justice, ces événements « ont prouvé combien il est nécessaire de protéger les droits des individus » (</w:t>
      </w:r>
      <w:r w:rsidRPr="008C13CD">
        <w:rPr>
          <w:rFonts w:cs="Times New Roman"/>
          <w:i/>
          <w:lang w:val="fr-CA"/>
        </w:rPr>
        <w:t>Charte canadienne des droits de l’homme</w:t>
      </w:r>
      <w:r w:rsidRPr="008C13CD">
        <w:rPr>
          <w:rFonts w:cs="Times New Roman"/>
          <w:lang w:val="fr-CA"/>
        </w:rPr>
        <w:t xml:space="preserve"> (1968), p.</w:t>
      </w:r>
      <w:r>
        <w:rPr>
          <w:rFonts w:cs="Times New Roman"/>
          <w:lang w:val="fr-CA"/>
        </w:rPr>
        <w:t> </w:t>
      </w:r>
      <w:r w:rsidRPr="008C13CD">
        <w:rPr>
          <w:rFonts w:cs="Times New Roman"/>
          <w:lang w:val="fr-CA"/>
        </w:rPr>
        <w:t>11). Évoquant les « droits de l’individu », le ministre Trudeau a rappelé aux Canadiennes et aux Canadiens que « l’homme [</w:t>
      </w:r>
      <w:r w:rsidRPr="00EF4E4A">
        <w:rPr>
          <w:rFonts w:cs="Times New Roman"/>
          <w:i/>
          <w:lang w:val="fr-CA"/>
        </w:rPr>
        <w:t>sic</w:t>
      </w:r>
      <w:r w:rsidRPr="008C13CD">
        <w:rPr>
          <w:rFonts w:cs="Times New Roman"/>
          <w:lang w:val="fr-CA"/>
        </w:rPr>
        <w:t>] [</w:t>
      </w:r>
      <w:r>
        <w:rPr>
          <w:rFonts w:cs="Times New Roman"/>
          <w:lang w:val="fr-CA"/>
        </w:rPr>
        <w:t>. . .</w:t>
      </w:r>
      <w:r w:rsidRPr="00EF4E4A">
        <w:rPr>
          <w:rFonts w:cs="Times New Roman"/>
          <w:lang w:val="fr-CA"/>
        </w:rPr>
        <w:t>]</w:t>
      </w:r>
      <w:r>
        <w:rPr>
          <w:rFonts w:cs="Times New Roman"/>
          <w:lang w:val="fr-CA"/>
        </w:rPr>
        <w:t xml:space="preserve"> </w:t>
      </w:r>
      <w:r w:rsidRPr="008C13CD">
        <w:rPr>
          <w:rFonts w:cs="Times New Roman"/>
          <w:lang w:val="fr-CA"/>
        </w:rPr>
        <w:t>s’est</w:t>
      </w:r>
      <w:r>
        <w:rPr>
          <w:rFonts w:cs="Times New Roman"/>
          <w:lang w:val="fr-CA"/>
        </w:rPr>
        <w:t>, se distinguant</w:t>
      </w:r>
      <w:r w:rsidRPr="008C13CD">
        <w:rPr>
          <w:rFonts w:cs="Times New Roman"/>
          <w:lang w:val="fr-CA"/>
        </w:rPr>
        <w:t xml:space="preserve"> en cela des animaux, penché sur les problèmes relatifs à sa dignité d’être humain » (p. 9). Pour Trudeau, une déclaration des droits constitutionnalisée servirait à « soustraire certains sujets des vicissitudes de la controverse politique, à les placer hors de la portée des simples majorités et des </w:t>
      </w:r>
      <w:r w:rsidRPr="008C13CD">
        <w:rPr>
          <w:rFonts w:cs="Times New Roman"/>
          <w:lang w:val="fr-CA"/>
        </w:rPr>
        <w:lastRenderedPageBreak/>
        <w:t>dirigeants, et à les établir comme principes de droit devant être reconnus par les tribunaux » (p. 11</w:t>
      </w:r>
      <w:r>
        <w:rPr>
          <w:rFonts w:cs="Times New Roman"/>
          <w:lang w:val="fr-CA"/>
        </w:rPr>
        <w:t>-12</w:t>
      </w:r>
      <w:r w:rsidRPr="008C13CD">
        <w:rPr>
          <w:rFonts w:cs="Times New Roman"/>
          <w:lang w:val="fr-CA"/>
        </w:rPr>
        <w:t xml:space="preserve">; voir </w:t>
      </w:r>
      <w:r w:rsidR="00951C33">
        <w:rPr>
          <w:rFonts w:cs="Times New Roman"/>
          <w:lang w:val="fr-CA"/>
        </w:rPr>
        <w:t>aussi</w:t>
      </w:r>
      <w:r w:rsidRPr="008C13CD">
        <w:rPr>
          <w:rFonts w:cs="Times New Roman"/>
          <w:lang w:val="fr-CA"/>
        </w:rPr>
        <w:t xml:space="preserve"> Lester B. Pearson, </w:t>
      </w:r>
      <w:r w:rsidRPr="00951C33">
        <w:rPr>
          <w:rFonts w:cs="Times New Roman"/>
          <w:i/>
          <w:lang w:val="fr-CA"/>
        </w:rPr>
        <w:t>Le fédéralisme et l’avenir : Déclaration de principe et exposé de la politique du gouvernement du Canada</w:t>
      </w:r>
      <w:r w:rsidR="00951C33">
        <w:rPr>
          <w:rFonts w:cs="Times New Roman"/>
          <w:lang w:val="fr-CA"/>
        </w:rPr>
        <w:t> </w:t>
      </w:r>
      <w:r>
        <w:rPr>
          <w:rFonts w:cs="Times New Roman"/>
          <w:lang w:val="fr-CA"/>
        </w:rPr>
        <w:t>(19</w:t>
      </w:r>
      <w:r w:rsidRPr="008C13CD">
        <w:rPr>
          <w:rFonts w:cs="Times New Roman"/>
          <w:lang w:val="fr-CA"/>
        </w:rPr>
        <w:t>68)</w:t>
      </w:r>
      <w:r w:rsidR="00951C33">
        <w:rPr>
          <w:rFonts w:cs="Times New Roman"/>
          <w:lang w:val="fr-CA"/>
        </w:rPr>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L’indifférence choquante à l’égard de la dignité humaine et les atteintes dévastatrices aux droits de la personne pendant</w:t>
      </w:r>
      <w:r>
        <w:rPr>
          <w:rFonts w:cs="Times New Roman"/>
          <w:lang w:val="fr-CA"/>
        </w:rPr>
        <w:t xml:space="preserve"> la</w:t>
      </w:r>
      <w:r w:rsidRPr="008C13CD">
        <w:rPr>
          <w:rFonts w:cs="Times New Roman"/>
          <w:lang w:val="fr-CA"/>
        </w:rPr>
        <w:t xml:space="preserve"> Deuxième Guerre mondiale ont entraîné non seulement l’adoption de mesures de protection prévues par des instruments internationaux en matière de droits de la personne, mais également de garanties internes de protection</w:t>
      </w:r>
      <w:r>
        <w:rPr>
          <w:rFonts w:cs="Times New Roman"/>
          <w:lang w:val="fr-CA"/>
        </w:rPr>
        <w:t xml:space="preserve"> des</w:t>
      </w:r>
      <w:r w:rsidRPr="008C13CD">
        <w:rPr>
          <w:rFonts w:cs="Times New Roman"/>
          <w:lang w:val="fr-CA"/>
        </w:rPr>
        <w:t xml:space="preserve"> droits telle la </w:t>
      </w:r>
      <w:r w:rsidRPr="008C13CD">
        <w:rPr>
          <w:rFonts w:cs="Times New Roman"/>
          <w:i/>
          <w:lang w:val="fr-CA"/>
        </w:rPr>
        <w:t>Déclaration canadienne des droits</w:t>
      </w:r>
      <w:r w:rsidRPr="008C13CD">
        <w:rPr>
          <w:rFonts w:cs="Times New Roman"/>
          <w:lang w:val="fr-CA"/>
        </w:rPr>
        <w:t xml:space="preserve">, et conduit ultimement à la constitutionnalisation des droits et des libertés dans la </w:t>
      </w:r>
      <w:r w:rsidRPr="008C13CD">
        <w:rPr>
          <w:rFonts w:cs="Times New Roman"/>
          <w:i/>
          <w:lang w:val="fr-CA"/>
        </w:rPr>
        <w:t>Charte</w:t>
      </w:r>
      <w:r w:rsidRPr="008C13CD">
        <w:rPr>
          <w:rFonts w:cs="Times New Roman"/>
          <w:lang w:val="fr-CA"/>
        </w:rPr>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Comme les mesures canadiennes de protection des droits ont émergé de la même chrysalide d’outrances que celles adoptées par d’autres pays dans le monde, il est utile de comparer la prohibition édictée au Canada à l’égard des traitements ou peines cruels et inusités à la manière dont les nombreux instruments internationaux relatifs aux droits de la personne contenant des dispositions qui reflètent étroitement le libellé de l’art. 12 sont interprétés par les tribunaux étrangers. Ainsi que l’a souligné le professeur Dodek, comme les tribunaux sont saisis de problèmes communs, l’examen de la manière dont d’autres tribunaux les ont abordés et solutionnés peut assister les tribunaux canadiens dans l’exercice de leur pouvoir discrétionnaire (« Comparative Law at the Supreme Court of Canada in 2008</w:t>
      </w:r>
      <w:r w:rsidR="00876FEE">
        <w:rPr>
          <w:rFonts w:cs="Times New Roman"/>
          <w:lang w:val="fr-CA"/>
        </w:rPr>
        <w:t> </w:t>
      </w:r>
      <w:r w:rsidRPr="008C13CD">
        <w:rPr>
          <w:rFonts w:cs="Times New Roman"/>
          <w:lang w:val="fr-CA"/>
        </w:rPr>
        <w:t>: Limited Engagement and Missed Opportunities » (2009)</w:t>
      </w:r>
      <w:r w:rsidR="00876FEE">
        <w:rPr>
          <w:rFonts w:cs="Times New Roman"/>
          <w:lang w:val="fr-CA"/>
        </w:rPr>
        <w:t>,</w:t>
      </w:r>
      <w:r w:rsidRPr="008C13CD">
        <w:rPr>
          <w:rFonts w:cs="Times New Roman"/>
          <w:lang w:val="fr-CA"/>
        </w:rPr>
        <w:t xml:space="preserve"> 47 </w:t>
      </w:r>
      <w:r w:rsidRPr="00871C89">
        <w:rPr>
          <w:rFonts w:cs="Times New Roman"/>
          <w:i/>
          <w:lang w:val="fr-CA"/>
        </w:rPr>
        <w:t>S.C.L.R.</w:t>
      </w:r>
      <w:r w:rsidRPr="008C13CD">
        <w:rPr>
          <w:rFonts w:cs="Times New Roman"/>
          <w:lang w:val="fr-CA"/>
        </w:rPr>
        <w:t xml:space="preserve"> </w:t>
      </w:r>
      <w:r w:rsidR="00876FEE">
        <w:rPr>
          <w:rFonts w:cs="Times New Roman"/>
          <w:lang w:val="fr-CA"/>
        </w:rPr>
        <w:t>(2</w:t>
      </w:r>
      <w:r w:rsidRPr="008C13CD">
        <w:rPr>
          <w:rFonts w:cs="Times New Roman"/>
          <w:lang w:val="fr-CA"/>
        </w:rPr>
        <w:t>d)</w:t>
      </w:r>
      <w:r>
        <w:rPr>
          <w:rFonts w:cs="Times New Roman"/>
          <w:lang w:val="fr-CA"/>
        </w:rPr>
        <w:t xml:space="preserve"> 445</w:t>
      </w:r>
      <w:r w:rsidRPr="008C13CD">
        <w:rPr>
          <w:rFonts w:cs="Times New Roman"/>
          <w:lang w:val="fr-CA"/>
        </w:rPr>
        <w:t>, p. 454). Autrement dit, [</w:t>
      </w:r>
      <w:r w:rsidRPr="008C13CD">
        <w:rPr>
          <w:rFonts w:cs="Times New Roman"/>
          <w:smallCaps/>
          <w:lang w:val="fr-CA"/>
        </w:rPr>
        <w:t>traduction</w:t>
      </w:r>
      <w:r w:rsidRPr="008C13CD">
        <w:rPr>
          <w:rFonts w:cs="Times New Roman"/>
          <w:lang w:val="fr-CA"/>
        </w:rPr>
        <w:t xml:space="preserve">] </w:t>
      </w:r>
      <w:r w:rsidRPr="008C13CD">
        <w:rPr>
          <w:rFonts w:cs="Times New Roman"/>
          <w:lang w:val="fr-CA"/>
        </w:rPr>
        <w:lastRenderedPageBreak/>
        <w:t>« la recherche de la sagesse ne devrait pas se limiter à l’intérieur des fro</w:t>
      </w:r>
      <w:r>
        <w:rPr>
          <w:rFonts w:cs="Times New Roman"/>
          <w:lang w:val="fr-CA"/>
        </w:rPr>
        <w:t>ntières nationales » (Hogg, par.</w:t>
      </w:r>
      <w:r w:rsidRPr="008C13CD">
        <w:rPr>
          <w:rFonts w:cs="Times New Roman"/>
          <w:lang w:val="fr-CA"/>
        </w:rPr>
        <w:t> 36.9(c)).</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 Cour s’est fréquemment appuyée sur des sources de droit international pour l’aider à délimiter la portée et le contenu de droits garantis par la </w:t>
      </w:r>
      <w:r w:rsidRPr="008C13CD">
        <w:rPr>
          <w:rFonts w:cs="Times New Roman"/>
          <w:i/>
          <w:lang w:val="fr-CA"/>
        </w:rPr>
        <w:t>Charte</w:t>
      </w:r>
      <w:r w:rsidRPr="008C13CD">
        <w:rPr>
          <w:rFonts w:cs="Times New Roman"/>
          <w:lang w:val="fr-CA"/>
        </w:rPr>
        <w:t xml:space="preserve"> (voir, p. ex., </w:t>
      </w:r>
      <w:r w:rsidRPr="008C13CD">
        <w:rPr>
          <w:rFonts w:cs="Times New Roman"/>
          <w:i/>
          <w:lang w:val="fr-CA"/>
        </w:rPr>
        <w:t>Divito c. Canada (Sécurité publique et Protection civile)</w:t>
      </w:r>
      <w:r w:rsidRPr="008C13CD">
        <w:rPr>
          <w:rFonts w:cs="Times New Roman"/>
          <w:lang w:val="fr-CA"/>
        </w:rPr>
        <w:t xml:space="preserve">, [2013] 3 R.C.S. 157, par. 22; </w:t>
      </w:r>
      <w:r w:rsidRPr="008C13CD">
        <w:rPr>
          <w:rFonts w:cs="Times New Roman"/>
          <w:i/>
          <w:lang w:val="fr-CA"/>
        </w:rPr>
        <w:t>États</w:t>
      </w:r>
      <w:r w:rsidRPr="008C13CD">
        <w:rPr>
          <w:rFonts w:cs="Times New Roman"/>
          <w:i/>
          <w:lang w:val="fr-CA"/>
        </w:rPr>
        <w:noBreakHyphen/>
        <w:t>Unis c. Burns</w:t>
      </w:r>
      <w:r w:rsidRPr="008C13CD">
        <w:rPr>
          <w:rFonts w:cs="Times New Roman"/>
          <w:lang w:val="fr-CA"/>
        </w:rPr>
        <w:t>, [2001] 1 R.C.S. 283, par. 79</w:t>
      </w:r>
      <w:r w:rsidRPr="008C13CD">
        <w:rPr>
          <w:rFonts w:cs="Times New Roman"/>
          <w:lang w:val="fr-CA"/>
        </w:rPr>
        <w:noBreakHyphen/>
        <w:t xml:space="preserve">81; </w:t>
      </w:r>
      <w:r w:rsidRPr="008C13CD">
        <w:rPr>
          <w:rFonts w:cs="Times New Roman"/>
          <w:i/>
          <w:lang w:val="fr-CA"/>
        </w:rPr>
        <w:t>Slaight Communications Inc. c. Davidson</w:t>
      </w:r>
      <w:r w:rsidRPr="008C13CD">
        <w:rPr>
          <w:rFonts w:cs="Times New Roman"/>
          <w:lang w:val="fr-CA"/>
        </w:rPr>
        <w:t>, [1989] 1 R.C.S. 1038, p. 1056</w:t>
      </w:r>
      <w:r w:rsidRPr="008C13CD">
        <w:rPr>
          <w:rFonts w:cs="Times New Roman"/>
          <w:lang w:val="fr-CA"/>
        </w:rPr>
        <w:noBreakHyphen/>
        <w:t xml:space="preserve">1057; </w:t>
      </w:r>
      <w:r w:rsidRPr="008C13CD">
        <w:rPr>
          <w:rFonts w:cs="Times New Roman"/>
          <w:i/>
          <w:lang w:val="fr-CA"/>
        </w:rPr>
        <w:t>Renvoi relatif à la Public Service Employee Relations Act (Alb.)</w:t>
      </w:r>
      <w:r w:rsidRPr="008C13CD">
        <w:rPr>
          <w:rFonts w:cs="Times New Roman"/>
          <w:lang w:val="fr-CA"/>
        </w:rPr>
        <w:t>, [</w:t>
      </w:r>
      <w:r w:rsidR="00681BBE">
        <w:rPr>
          <w:rFonts w:cs="Times New Roman"/>
          <w:lang w:val="fr-CA"/>
        </w:rPr>
        <w:t>1987] 1 R.C.S. 313, p. 348</w:t>
      </w:r>
      <w:r w:rsidR="00681BBE">
        <w:rPr>
          <w:rFonts w:cs="Times New Roman"/>
          <w:lang w:val="fr-CA"/>
        </w:rPr>
        <w:noBreakHyphen/>
        <w:t xml:space="preserve">349, </w:t>
      </w:r>
      <w:r w:rsidRPr="008C13CD">
        <w:rPr>
          <w:rFonts w:cs="Times New Roman"/>
          <w:lang w:val="fr-CA"/>
        </w:rPr>
        <w:t xml:space="preserve">le </w:t>
      </w:r>
      <w:r w:rsidR="00681BBE">
        <w:rPr>
          <w:rFonts w:cs="Times New Roman"/>
          <w:lang w:val="fr-CA"/>
        </w:rPr>
        <w:t>juge en chef Dickson, dissident</w:t>
      </w:r>
      <w:r w:rsidRPr="008C13CD">
        <w:rPr>
          <w:rFonts w:cs="Times New Roman"/>
          <w:lang w:val="fr-CA"/>
        </w:rPr>
        <w:t xml:space="preserve">; </w:t>
      </w:r>
      <w:r w:rsidRPr="008C13CD">
        <w:rPr>
          <w:rFonts w:cs="Times New Roman"/>
          <w:i/>
          <w:lang w:val="fr-CA"/>
        </w:rPr>
        <w:t xml:space="preserve">Renvoi </w:t>
      </w:r>
      <w:r w:rsidR="00681BBE">
        <w:rPr>
          <w:rFonts w:cs="Times New Roman"/>
          <w:i/>
          <w:lang w:val="fr-CA"/>
        </w:rPr>
        <w:t>relatif à la Motor Vehicle Act de la C.</w:t>
      </w:r>
      <w:r w:rsidR="00681BBE">
        <w:rPr>
          <w:rFonts w:cs="Times New Roman"/>
          <w:i/>
          <w:lang w:val="fr-CA"/>
        </w:rPr>
        <w:noBreakHyphen/>
        <w:t>B.</w:t>
      </w:r>
      <w:r w:rsidRPr="008C13CD">
        <w:rPr>
          <w:rFonts w:cs="Times New Roman"/>
          <w:lang w:val="fr-CA"/>
        </w:rPr>
        <w:t xml:space="preserve">, p. 512). Comme les juges majoritaires l’ont fait remarquer dans </w:t>
      </w:r>
      <w:r w:rsidRPr="008C13CD">
        <w:rPr>
          <w:rFonts w:cs="Times New Roman"/>
          <w:i/>
          <w:lang w:val="fr-CA"/>
        </w:rPr>
        <w:t>Divito</w:t>
      </w:r>
      <w:r w:rsidRPr="008C13CD">
        <w:rPr>
          <w:rFonts w:cs="Times New Roman"/>
          <w:lang w:val="fr-CA"/>
        </w:rPr>
        <w:t>, de telles sources peuvent souvent être « instructi[ve]s lorsque vient le temps de définir le droit » (par. 22). La juge L’Heureux</w:t>
      </w:r>
      <w:r w:rsidRPr="008C13CD">
        <w:rPr>
          <w:rFonts w:cs="Times New Roman"/>
          <w:lang w:val="fr-CA"/>
        </w:rPr>
        <w:noBreakHyphen/>
        <w:t xml:space="preserve">Dubé a décrit en particulier le droit international des droits de la personne comme ayant « une incidence cruciale sur l’interprétation de l’étendue des droits garantis par la </w:t>
      </w:r>
      <w:r w:rsidRPr="008C13CD">
        <w:rPr>
          <w:rFonts w:cs="Times New Roman"/>
          <w:i/>
          <w:lang w:val="fr-CA"/>
        </w:rPr>
        <w:t>Charte</w:t>
      </w:r>
      <w:r w:rsidRPr="008C13CD">
        <w:rPr>
          <w:rFonts w:cs="Times New Roman"/>
          <w:lang w:val="fr-CA"/>
        </w:rPr>
        <w:t> » (</w:t>
      </w:r>
      <w:r w:rsidRPr="008C13CD">
        <w:rPr>
          <w:rFonts w:cs="Times New Roman"/>
          <w:i/>
          <w:lang w:val="fr-CA"/>
        </w:rPr>
        <w:t>Baker c. Canada (Ministre de la Citoyenneté et de l’Immigration)</w:t>
      </w:r>
      <w:r w:rsidRPr="008C13CD">
        <w:rPr>
          <w:rFonts w:cs="Times New Roman"/>
          <w:lang w:val="fr-CA"/>
        </w:rPr>
        <w:t>, [1999] 2 R.C.S. 817, par. 70).</w:t>
      </w:r>
    </w:p>
    <w:p w:rsidR="00182BDC" w:rsidRPr="002F7ECF" w:rsidRDefault="00182BDC" w:rsidP="00182BDC">
      <w:pPr>
        <w:pStyle w:val="ParaNoNdepar-AltN"/>
        <w:tabs>
          <w:tab w:val="clear" w:pos="1152"/>
          <w:tab w:val="left" w:pos="1166"/>
        </w:tabs>
        <w:spacing w:before="0"/>
        <w:rPr>
          <w:rFonts w:cs="Times New Roman"/>
          <w:lang w:val="en-US"/>
        </w:rPr>
      </w:pPr>
      <w:r w:rsidRPr="008C13CD">
        <w:rPr>
          <w:rFonts w:cs="Times New Roman"/>
          <w:lang w:val="fr-CA"/>
        </w:rPr>
        <w:t>En fait, tant les sources contraignantes que celles qui ne le sont pas se sont révélées être indispensables dans pratiquement tous les domaines du droit (</w:t>
      </w:r>
      <w:r w:rsidRPr="008C13CD">
        <w:rPr>
          <w:rFonts w:cs="Times New Roman"/>
          <w:i/>
          <w:lang w:val="fr-CA"/>
        </w:rPr>
        <w:t>Oakes</w:t>
      </w:r>
      <w:r w:rsidRPr="008C13CD">
        <w:rPr>
          <w:rFonts w:cs="Times New Roman"/>
          <w:lang w:val="fr-CA"/>
        </w:rPr>
        <w:t>, p. 120</w:t>
      </w:r>
      <w:r w:rsidRPr="008C13CD">
        <w:rPr>
          <w:rFonts w:cs="Times New Roman"/>
          <w:lang w:val="fr-CA"/>
        </w:rPr>
        <w:noBreakHyphen/>
        <w:t>121;</w:t>
      </w:r>
      <w:r w:rsidRPr="008C13CD">
        <w:rPr>
          <w:rFonts w:cs="Times New Roman"/>
          <w:i/>
          <w:lang w:val="fr-CA"/>
        </w:rPr>
        <w:t xml:space="preserve"> Renvoi relatif à la Public Service Employee Relations Act</w:t>
      </w:r>
      <w:r w:rsidR="00540855">
        <w:rPr>
          <w:rFonts w:cs="Times New Roman"/>
          <w:lang w:val="fr-CA"/>
        </w:rPr>
        <w:t>, p. 348</w:t>
      </w:r>
      <w:r w:rsidR="00540855">
        <w:rPr>
          <w:rFonts w:cs="Times New Roman"/>
          <w:lang w:val="fr-CA"/>
        </w:rPr>
        <w:noBreakHyphen/>
        <w:t xml:space="preserve">349, </w:t>
      </w:r>
      <w:r w:rsidRPr="008C13CD">
        <w:rPr>
          <w:rFonts w:cs="Times New Roman"/>
          <w:lang w:val="fr-CA"/>
        </w:rPr>
        <w:t xml:space="preserve">le </w:t>
      </w:r>
      <w:r w:rsidR="00540855">
        <w:rPr>
          <w:rFonts w:cs="Times New Roman"/>
          <w:lang w:val="fr-CA"/>
        </w:rPr>
        <w:t>juge en chef Dickson, dissident</w:t>
      </w:r>
      <w:r w:rsidRPr="008C13CD">
        <w:rPr>
          <w:rFonts w:cs="Times New Roman"/>
          <w:lang w:val="fr-CA"/>
        </w:rPr>
        <w:t>;</w:t>
      </w:r>
      <w:r w:rsidRPr="008C13CD">
        <w:rPr>
          <w:rFonts w:cs="Times New Roman"/>
          <w:i/>
          <w:lang w:val="fr-CA"/>
        </w:rPr>
        <w:t xml:space="preserve"> R</w:t>
      </w:r>
      <w:r>
        <w:rPr>
          <w:rFonts w:cs="Times New Roman"/>
          <w:i/>
          <w:lang w:val="fr-CA"/>
        </w:rPr>
        <w:t>.</w:t>
      </w:r>
      <w:r w:rsidR="00540855">
        <w:rPr>
          <w:rFonts w:cs="Times New Roman"/>
          <w:i/>
          <w:lang w:val="fr-CA"/>
        </w:rPr>
        <w:t xml:space="preserve"> c. Smith</w:t>
      </w:r>
      <w:r w:rsidRPr="008C13CD">
        <w:rPr>
          <w:rFonts w:cs="Times New Roman"/>
          <w:lang w:val="fr-CA"/>
        </w:rPr>
        <w:t xml:space="preserve">, p. 1061; </w:t>
      </w:r>
      <w:r w:rsidRPr="008C13CD">
        <w:rPr>
          <w:rFonts w:cs="Times New Roman"/>
          <w:i/>
          <w:lang w:val="fr-CA"/>
        </w:rPr>
        <w:t>Office canadien de commercialisation des œufs c. Richardson</w:t>
      </w:r>
      <w:r w:rsidRPr="008C13CD">
        <w:rPr>
          <w:rFonts w:cs="Times New Roman"/>
          <w:lang w:val="fr-CA"/>
        </w:rPr>
        <w:t xml:space="preserve">, [1998] 3 R.C.S. 157, par. 58; </w:t>
      </w:r>
      <w:r w:rsidRPr="008C13CD">
        <w:rPr>
          <w:rFonts w:cs="Times New Roman"/>
          <w:i/>
          <w:lang w:val="fr-CA"/>
        </w:rPr>
        <w:t>Suresh c. Canada (Ministre de la Citoyenneté et de l’Immigration)</w:t>
      </w:r>
      <w:r w:rsidRPr="008C13CD">
        <w:rPr>
          <w:rFonts w:cs="Times New Roman"/>
          <w:lang w:val="fr-CA"/>
        </w:rPr>
        <w:t xml:space="preserve">, [2002] 1 R.C.S. 3, </w:t>
      </w:r>
      <w:r w:rsidRPr="008C13CD">
        <w:rPr>
          <w:rFonts w:cs="Times New Roman"/>
          <w:lang w:val="fr-CA"/>
        </w:rPr>
        <w:lastRenderedPageBreak/>
        <w:t>par. 59</w:t>
      </w:r>
      <w:r w:rsidRPr="008C13CD">
        <w:rPr>
          <w:rFonts w:cs="Times New Roman"/>
          <w:lang w:val="fr-CA"/>
        </w:rPr>
        <w:noBreakHyphen/>
        <w:t xml:space="preserve">75; </w:t>
      </w:r>
      <w:r w:rsidRPr="008C13CD">
        <w:rPr>
          <w:rFonts w:cs="Times New Roman"/>
          <w:i/>
          <w:lang w:val="fr-CA"/>
        </w:rPr>
        <w:t>Health Services and Support — Facilities Subsector Bargaining Assn. c. Colo</w:t>
      </w:r>
      <w:r>
        <w:rPr>
          <w:rFonts w:cs="Times New Roman"/>
          <w:i/>
          <w:lang w:val="fr-CA"/>
        </w:rPr>
        <w:t>mbie</w:t>
      </w:r>
      <w:r>
        <w:rPr>
          <w:rFonts w:cs="Times New Roman"/>
          <w:i/>
          <w:lang w:val="fr-CA"/>
        </w:rPr>
        <w:noBreakHyphen/>
      </w:r>
      <w:r w:rsidRPr="008C13CD">
        <w:rPr>
          <w:rFonts w:cs="Times New Roman"/>
          <w:i/>
          <w:lang w:val="fr-CA"/>
        </w:rPr>
        <w:t>Britannique</w:t>
      </w:r>
      <w:r w:rsidRPr="008C13CD">
        <w:rPr>
          <w:rFonts w:cs="Times New Roman"/>
          <w:lang w:val="fr-CA"/>
        </w:rPr>
        <w:t xml:space="preserve">, [2007] 2 R.C.S. 391, par. 70; </w:t>
      </w:r>
      <w:r w:rsidRPr="008C13CD">
        <w:rPr>
          <w:rFonts w:cs="Times New Roman"/>
          <w:i/>
          <w:lang w:val="fr-CA"/>
        </w:rPr>
        <w:t>Kazemi (Succession) c. République islamique d’Iran</w:t>
      </w:r>
      <w:r w:rsidRPr="008C13CD">
        <w:rPr>
          <w:rFonts w:cs="Times New Roman"/>
          <w:lang w:val="fr-CA"/>
        </w:rPr>
        <w:t xml:space="preserve">, [2014] 3 R.C.S. 176, par. 129; </w:t>
      </w:r>
      <w:r w:rsidRPr="008C13CD">
        <w:rPr>
          <w:rFonts w:cs="Times New Roman"/>
          <w:i/>
          <w:lang w:val="fr-CA"/>
        </w:rPr>
        <w:t>Saskatchewan Federation of Labour c. Saskatchewan</w:t>
      </w:r>
      <w:r w:rsidRPr="008C13CD">
        <w:rPr>
          <w:rFonts w:cs="Times New Roman"/>
          <w:lang w:val="fr-CA"/>
        </w:rPr>
        <w:t>, [2015] 1 R.C.S. 245, par. 70</w:t>
      </w:r>
      <w:r w:rsidRPr="008C13CD">
        <w:rPr>
          <w:rFonts w:cs="Times New Roman"/>
          <w:lang w:val="fr-CA"/>
        </w:rPr>
        <w:noBreakHyphen/>
        <w:t xml:space="preserve">71; </w:t>
      </w:r>
      <w:r w:rsidRPr="008C13CD">
        <w:rPr>
          <w:rFonts w:cs="Times New Roman"/>
          <w:i/>
          <w:lang w:val="fr-CA"/>
        </w:rPr>
        <w:t>Ktunaxa Nation c. Colombie</w:t>
      </w:r>
      <w:r w:rsidRPr="008C13CD">
        <w:rPr>
          <w:rFonts w:cs="Times New Roman"/>
          <w:i/>
          <w:lang w:val="fr-CA"/>
        </w:rPr>
        <w:noBreakHyphen/>
        <w:t>Britannique (Forests, Lands and Natural Resource Operations)</w:t>
      </w:r>
      <w:r w:rsidRPr="008C13CD">
        <w:rPr>
          <w:rFonts w:cs="Times New Roman"/>
          <w:lang w:val="fr-CA"/>
        </w:rPr>
        <w:t>,</w:t>
      </w:r>
      <w:r w:rsidRPr="008C13CD">
        <w:rPr>
          <w:rFonts w:cs="Times New Roman"/>
          <w:i/>
          <w:lang w:val="fr-CA"/>
        </w:rPr>
        <w:t xml:space="preserve"> </w:t>
      </w:r>
      <w:r w:rsidRPr="008C13CD">
        <w:rPr>
          <w:rFonts w:cs="Times New Roman"/>
          <w:lang w:val="fr-CA"/>
        </w:rPr>
        <w:t>[2017] 2 R.C.S. 386, par. 64</w:t>
      </w:r>
      <w:r w:rsidRPr="008C13CD">
        <w:rPr>
          <w:rFonts w:cs="Times New Roman"/>
          <w:lang w:val="fr-CA"/>
        </w:rPr>
        <w:noBreakHyphen/>
        <w:t xml:space="preserve">67). Fait important, l’utilisation par la Cour de sources de droit international et de droit comparé dans l’interprétation de la </w:t>
      </w:r>
      <w:r w:rsidRPr="008C13CD">
        <w:rPr>
          <w:rFonts w:cs="Times New Roman"/>
          <w:i/>
          <w:lang w:val="fr-CA"/>
        </w:rPr>
        <w:t>Charte</w:t>
      </w:r>
      <w:r w:rsidRPr="008C13CD">
        <w:rPr>
          <w:rFonts w:cs="Times New Roman"/>
          <w:lang w:val="fr-CA"/>
        </w:rPr>
        <w:t xml:space="preserve"> est applaudi</w:t>
      </w:r>
      <w:r w:rsidR="00DE0E32">
        <w:rPr>
          <w:rFonts w:cs="Times New Roman"/>
          <w:lang w:val="fr-CA"/>
        </w:rPr>
        <w:t>e</w:t>
      </w:r>
      <w:r w:rsidRPr="008C13CD">
        <w:rPr>
          <w:rFonts w:cs="Times New Roman"/>
          <w:lang w:val="fr-CA"/>
        </w:rPr>
        <w:t xml:space="preserve"> à l’échelle internationale (voir, p. ex., Ran Hirschl, « Going Global? </w:t>
      </w:r>
      <w:r w:rsidRPr="008C13CD">
        <w:rPr>
          <w:rFonts w:cs="Times New Roman"/>
          <w:lang w:val="en-US"/>
        </w:rPr>
        <w:t>Canada as Importer and Exporter of Constitutional Thought »</w:t>
      </w:r>
      <w:r w:rsidR="00DE0E32">
        <w:rPr>
          <w:rFonts w:cs="Times New Roman"/>
          <w:lang w:val="en-US"/>
        </w:rPr>
        <w:t>,</w:t>
      </w:r>
      <w:r w:rsidRPr="008C13CD">
        <w:rPr>
          <w:rFonts w:cs="Times New Roman"/>
          <w:lang w:val="en-US"/>
        </w:rPr>
        <w:t xml:space="preserve"> dans </w:t>
      </w:r>
      <w:r>
        <w:rPr>
          <w:rFonts w:cs="Times New Roman"/>
          <w:lang w:val="en-US"/>
        </w:rPr>
        <w:t xml:space="preserve">Richard Albert et David R. Cameron, dir., </w:t>
      </w:r>
      <w:r w:rsidRPr="008C13CD">
        <w:rPr>
          <w:rFonts w:cs="Times New Roman"/>
          <w:i/>
          <w:lang w:val="en-US"/>
        </w:rPr>
        <w:t>Canada in the World</w:t>
      </w:r>
      <w:r>
        <w:rPr>
          <w:rFonts w:cs="Times New Roman"/>
          <w:i/>
          <w:lang w:val="en-US"/>
        </w:rPr>
        <w:t> </w:t>
      </w:r>
      <w:r w:rsidRPr="008C13CD">
        <w:rPr>
          <w:rFonts w:cs="Times New Roman"/>
          <w:i/>
          <w:lang w:val="en-US"/>
        </w:rPr>
        <w:t>: Comparative Perspectives on the Canadian Constitution</w:t>
      </w:r>
      <w:r>
        <w:rPr>
          <w:rFonts w:cs="Times New Roman"/>
          <w:lang w:val="en-US"/>
        </w:rPr>
        <w:t xml:space="preserve"> (2018), 305)</w:t>
      </w:r>
      <w:r w:rsidRPr="008C13CD">
        <w:rPr>
          <w:rFonts w:cs="Times New Roman"/>
          <w:lang w:val="en-US"/>
        </w:rPr>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 prise en considération de sources internationales et du droit comparé est une pratique courante et acceptée dans la jurisprudence de notre Cour en matière d’interprétation constitutionnelle. </w:t>
      </w:r>
      <w:r w:rsidRPr="008C13CD">
        <w:rPr>
          <w:rFonts w:cs="Times New Roman"/>
          <w:lang w:val="en-US"/>
        </w:rPr>
        <w:t xml:space="preserve">Entre 2000 et 2016, la Cour a fait état de 1 791 décisions de tribunaux étrangers (Klodian Rado, « The </w:t>
      </w:r>
      <w:r>
        <w:rPr>
          <w:rFonts w:cs="Times New Roman"/>
          <w:lang w:val="en-US"/>
        </w:rPr>
        <w:t>u</w:t>
      </w:r>
      <w:r w:rsidRPr="008C13CD">
        <w:rPr>
          <w:rFonts w:cs="Times New Roman"/>
          <w:lang w:val="en-US"/>
        </w:rPr>
        <w:t xml:space="preserve">se of </w:t>
      </w:r>
      <w:r>
        <w:rPr>
          <w:rFonts w:cs="Times New Roman"/>
          <w:lang w:val="en-US"/>
        </w:rPr>
        <w:t>n</w:t>
      </w:r>
      <w:r w:rsidRPr="008C13CD">
        <w:rPr>
          <w:rFonts w:cs="Times New Roman"/>
          <w:lang w:val="en-US"/>
        </w:rPr>
        <w:t>on</w:t>
      </w:r>
      <w:r w:rsidRPr="008C13CD">
        <w:rPr>
          <w:rFonts w:cs="Times New Roman"/>
          <w:lang w:val="en-US"/>
        </w:rPr>
        <w:noBreakHyphen/>
      </w:r>
      <w:r>
        <w:rPr>
          <w:rFonts w:cs="Times New Roman"/>
          <w:lang w:val="en-US"/>
        </w:rPr>
        <w:t>d</w:t>
      </w:r>
      <w:r w:rsidRPr="008C13CD">
        <w:rPr>
          <w:rFonts w:cs="Times New Roman"/>
          <w:lang w:val="en-US"/>
        </w:rPr>
        <w:t xml:space="preserve">omestic </w:t>
      </w:r>
      <w:r>
        <w:rPr>
          <w:rFonts w:cs="Times New Roman"/>
          <w:lang w:val="en-US"/>
        </w:rPr>
        <w:t>l</w:t>
      </w:r>
      <w:r w:rsidRPr="008C13CD">
        <w:rPr>
          <w:rFonts w:cs="Times New Roman"/>
          <w:lang w:val="en-US"/>
        </w:rPr>
        <w:t xml:space="preserve">egal </w:t>
      </w:r>
      <w:r>
        <w:rPr>
          <w:rFonts w:cs="Times New Roman"/>
          <w:lang w:val="en-US"/>
        </w:rPr>
        <w:t>s</w:t>
      </w:r>
      <w:r w:rsidRPr="008C13CD">
        <w:rPr>
          <w:rFonts w:cs="Times New Roman"/>
          <w:lang w:val="en-US"/>
        </w:rPr>
        <w:t xml:space="preserve">ources in Supreme Court of Canada </w:t>
      </w:r>
      <w:r>
        <w:rPr>
          <w:rFonts w:cs="Times New Roman"/>
          <w:lang w:val="en-US"/>
        </w:rPr>
        <w:t>j</w:t>
      </w:r>
      <w:r w:rsidRPr="008C13CD">
        <w:rPr>
          <w:rFonts w:cs="Times New Roman"/>
          <w:lang w:val="en-US"/>
        </w:rPr>
        <w:t>udgments</w:t>
      </w:r>
      <w:r w:rsidR="000B6D7B">
        <w:rPr>
          <w:rFonts w:cs="Times New Roman"/>
          <w:lang w:val="en-US"/>
        </w:rPr>
        <w:t> </w:t>
      </w:r>
      <w:r w:rsidRPr="008C13CD">
        <w:rPr>
          <w:rFonts w:cs="Times New Roman"/>
          <w:lang w:val="en-US"/>
        </w:rPr>
        <w:t xml:space="preserve">: Is </w:t>
      </w:r>
      <w:r>
        <w:rPr>
          <w:rFonts w:cs="Times New Roman"/>
          <w:lang w:val="en-US"/>
        </w:rPr>
        <w:t>t</w:t>
      </w:r>
      <w:r w:rsidRPr="008C13CD">
        <w:rPr>
          <w:rFonts w:cs="Times New Roman"/>
          <w:lang w:val="en-US"/>
        </w:rPr>
        <w:t xml:space="preserve">his the </w:t>
      </w:r>
      <w:r w:rsidRPr="002F7ECF">
        <w:rPr>
          <w:rFonts w:cs="Times New Roman"/>
          <w:i/>
          <w:lang w:val="en-US"/>
        </w:rPr>
        <w:t xml:space="preserve">judicial </w:t>
      </w:r>
      <w:r>
        <w:rPr>
          <w:rFonts w:cs="Times New Roman"/>
          <w:i/>
          <w:lang w:val="en-US"/>
        </w:rPr>
        <w:t>s</w:t>
      </w:r>
      <w:r w:rsidRPr="002F7ECF">
        <w:rPr>
          <w:rFonts w:cs="Times New Roman"/>
          <w:i/>
          <w:lang w:val="en-US"/>
        </w:rPr>
        <w:t>lowbalization</w:t>
      </w:r>
      <w:r w:rsidRPr="008C13CD">
        <w:rPr>
          <w:rFonts w:cs="Times New Roman"/>
          <w:lang w:val="en-US"/>
        </w:rPr>
        <w:t xml:space="preserve"> of the Court? » </w:t>
      </w:r>
      <w:r>
        <w:rPr>
          <w:rFonts w:cs="Times New Roman"/>
          <w:lang w:val="fr-CA"/>
        </w:rPr>
        <w:t>(2020), 16</w:t>
      </w:r>
      <w:r w:rsidRPr="008C13CD">
        <w:rPr>
          <w:rFonts w:cs="Times New Roman"/>
          <w:lang w:val="fr-CA"/>
        </w:rPr>
        <w:t xml:space="preserve"> </w:t>
      </w:r>
      <w:r w:rsidRPr="002F7ECF">
        <w:rPr>
          <w:rFonts w:cs="Times New Roman"/>
          <w:i/>
          <w:lang w:val="fr-CA"/>
        </w:rPr>
        <w:t>Utrecht L. Rev.</w:t>
      </w:r>
      <w:r w:rsidRPr="008C13CD">
        <w:rPr>
          <w:rFonts w:cs="Times New Roman"/>
          <w:lang w:val="fr-CA"/>
        </w:rPr>
        <w:t xml:space="preserve"> 57</w:t>
      </w:r>
      <w:r>
        <w:rPr>
          <w:rFonts w:cs="Times New Roman"/>
          <w:lang w:val="fr-CA"/>
        </w:rPr>
        <w:t xml:space="preserve"> (en ligne),</w:t>
      </w:r>
      <w:r w:rsidRPr="008C13CD">
        <w:rPr>
          <w:rFonts w:cs="Times New Roman"/>
          <w:lang w:val="fr-CA"/>
        </w:rPr>
        <w:t xml:space="preserve"> p. 61). Pendant la même période, elle s’est référée à des traités à 336 occasions (Rado, p. 73). Bien que le Canada n’ait pas signé l’instrument européen intitulé </w:t>
      </w:r>
      <w:r w:rsidRPr="008C13CD">
        <w:rPr>
          <w:rFonts w:cs="Times New Roman"/>
          <w:i/>
          <w:lang w:val="fr-CA"/>
        </w:rPr>
        <w:t>Convention de sauvegarde des droits de l’homme et des libertés fondamentales</w:t>
      </w:r>
      <w:r w:rsidRPr="008C13CD">
        <w:rPr>
          <w:rFonts w:cs="Times New Roman"/>
          <w:lang w:val="fr-CA"/>
        </w:rPr>
        <w:t xml:space="preserve">, 213 R.T.N.U. </w:t>
      </w:r>
      <w:r>
        <w:rPr>
          <w:rFonts w:cs="Times New Roman"/>
          <w:lang w:val="fr-CA"/>
        </w:rPr>
        <w:t>2</w:t>
      </w:r>
      <w:r w:rsidRPr="008C13CD">
        <w:rPr>
          <w:rFonts w:cs="Times New Roman"/>
          <w:lang w:val="fr-CA"/>
        </w:rPr>
        <w:t>2</w:t>
      </w:r>
      <w:r>
        <w:rPr>
          <w:rFonts w:cs="Times New Roman"/>
          <w:lang w:val="fr-CA"/>
        </w:rPr>
        <w:t>1</w:t>
      </w:r>
      <w:r w:rsidRPr="008C13CD">
        <w:rPr>
          <w:rFonts w:cs="Times New Roman"/>
          <w:lang w:val="fr-CA"/>
        </w:rPr>
        <w:t xml:space="preserve">, il s’agit du deuxième traité international le plus souvent cité par la Cour, et la jurisprudence de la Cour européenne des droits de l’homme — qui interprète et applique la </w:t>
      </w:r>
      <w:r w:rsidRPr="008C13CD">
        <w:rPr>
          <w:rFonts w:cs="Times New Roman"/>
          <w:i/>
          <w:lang w:val="fr-CA"/>
        </w:rPr>
        <w:t>Convention</w:t>
      </w:r>
      <w:r w:rsidRPr="008C13CD">
        <w:rPr>
          <w:rFonts w:cs="Times New Roman"/>
          <w:lang w:val="fr-CA"/>
        </w:rPr>
        <w:t xml:space="preserve"> européenne — </w:t>
      </w:r>
      <w:r w:rsidRPr="008C13CD">
        <w:rPr>
          <w:rFonts w:cs="Times New Roman"/>
          <w:lang w:val="fr-CA"/>
        </w:rPr>
        <w:lastRenderedPageBreak/>
        <w:t>constituait le tiers du nombre total de toutes les mentions et citations de tribunaux internationaux par notre Cour (Rado, p. 72</w:t>
      </w:r>
      <w:r w:rsidRPr="008C13CD">
        <w:rPr>
          <w:rFonts w:cs="Times New Roman"/>
          <w:lang w:val="fr-CA"/>
        </w:rPr>
        <w:noBreakHyphen/>
        <w:t>75). Les sources internationales et le droit comparé ont certes une valeur inestimable pour le travail de la Cour dans tous les domaines du droit</w:t>
      </w:r>
      <w:r w:rsidR="000B6D7B">
        <w:rPr>
          <w:rStyle w:val="FootnoteReference"/>
          <w:rFonts w:cs="Times New Roman"/>
          <w:lang w:val="fr-CA"/>
        </w:rPr>
        <w:footnoteReference w:id="4"/>
      </w:r>
      <w:r w:rsidRPr="008C13CD">
        <w:rPr>
          <w:rFonts w:cs="Times New Roman"/>
          <w:lang w:val="fr-CA"/>
        </w:rPr>
        <w:t>, mais c’est dans les affaires constitutionnelles plus que dans tout autre domaine que celle</w:t>
      </w:r>
      <w:r w:rsidRPr="008C13CD">
        <w:rPr>
          <w:rFonts w:cs="Times New Roman"/>
          <w:lang w:val="fr-CA"/>
        </w:rPr>
        <w:noBreakHyphen/>
        <w:t>ci se réfère à ces sources (Rado, p. 75).</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Il ne s’agit pas de physique quantique. Les sources internationales non contraignantes sont « pertinentes et convaincantes », mais non impérieuses. Pour dire les choses simplement, de telles sources </w:t>
      </w:r>
      <w:r w:rsidRPr="008C13CD">
        <w:rPr>
          <w:rFonts w:cs="Times New Roman"/>
          <w:i/>
          <w:lang w:val="fr-CA"/>
        </w:rPr>
        <w:t>suscitent</w:t>
      </w:r>
      <w:r w:rsidRPr="008C13CD">
        <w:rPr>
          <w:rFonts w:cs="Times New Roman"/>
          <w:lang w:val="fr-CA"/>
        </w:rPr>
        <w:t xml:space="preserve"> l’adhésion plutôt qu’elles ne la commandent (Dodek (2009), p. 446). Réduire par voie de présomption l’importance des sources de droit international et de droit comparé, ainsi que le suggèrent les juges majoritaires, nuit à la capacité de la Cour de continuer à considérer ces sources en les choisissant avec discernement.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Les juges majoritaires reconnaissent que notre Cour a toujours été disposée à traiter les sources internationales non contraignantes comme étant « pertinentes et convaincantes » dans l’interprétation de la </w:t>
      </w:r>
      <w:r w:rsidRPr="008C13CD">
        <w:rPr>
          <w:rFonts w:cs="Times New Roman"/>
          <w:i/>
          <w:lang w:val="fr-CA"/>
        </w:rPr>
        <w:t>Charte</w:t>
      </w:r>
      <w:r w:rsidRPr="008C13CD">
        <w:rPr>
          <w:rFonts w:cs="Times New Roman"/>
          <w:lang w:val="fr-CA"/>
        </w:rPr>
        <w:t xml:space="preserve"> (</w:t>
      </w:r>
      <w:r w:rsidRPr="008C13CD">
        <w:rPr>
          <w:rFonts w:cs="Times New Roman"/>
          <w:i/>
          <w:lang w:val="fr-CA"/>
        </w:rPr>
        <w:t>États</w:t>
      </w:r>
      <w:r w:rsidRPr="008C13CD">
        <w:rPr>
          <w:rFonts w:cs="Times New Roman"/>
          <w:i/>
          <w:lang w:val="fr-CA"/>
        </w:rPr>
        <w:noBreakHyphen/>
        <w:t>Unis c. Burns</w:t>
      </w:r>
      <w:r w:rsidRPr="008C13CD">
        <w:rPr>
          <w:rFonts w:cs="Times New Roman"/>
          <w:lang w:val="fr-CA"/>
        </w:rPr>
        <w:t xml:space="preserve">, par. 80). </w:t>
      </w:r>
      <w:r w:rsidRPr="008C13CD">
        <w:rPr>
          <w:rFonts w:cs="Times New Roman"/>
          <w:lang w:val="fr-CA"/>
        </w:rPr>
        <w:lastRenderedPageBreak/>
        <w:t>Toutefois, ils s’écartent de façon inexpliquée de ce long courant jurisprudentiel et concluent que les sources non contraignantes ne devraient être utilisées que pour confirmer une interprétation préétablie.</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La Cour n’a jamais exigé que ces sources soient triées en fonction de leur poids respectif avant d’être examinées; elle n’a jamais non plus appliqué le type de hiérarchisation du caractère persuasif proposée par les juges majoritaires, démarche qui segmente les sources de droit international et de droit comparé non contraignantes en catégories se voyant accorder plus ou moins d’influence. Par le passé, notre Cour n’a pas eu de difficulté à décider quelles sont les sources qu’elle considère plus pertinentes et persuasives que d’autres, et ce, sans recourir à une grille déroutante comportant de multiples catégories.</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Il est vrai que certains juges de la Cour suprême des États</w:t>
      </w:r>
      <w:r w:rsidRPr="008C13CD">
        <w:rPr>
          <w:rFonts w:cs="Times New Roman"/>
          <w:lang w:val="fr-CA"/>
        </w:rPr>
        <w:noBreakHyphen/>
        <w:t>Unis ont cherché à limiter l’influence et le recours aux sources internationales en requérant qu’on précise davantage pourquoi, quand et comment ces sources sont appliquées (voir, p</w:t>
      </w:r>
      <w:r>
        <w:rPr>
          <w:rFonts w:cs="Times New Roman"/>
          <w:lang w:val="fr-CA"/>
        </w:rPr>
        <w:t>.</w:t>
      </w:r>
      <w:r w:rsidRPr="008C13CD">
        <w:rPr>
          <w:rFonts w:cs="Times New Roman"/>
          <w:lang w:val="fr-CA"/>
        </w:rPr>
        <w:t xml:space="preserve"> ex</w:t>
      </w:r>
      <w:r>
        <w:rPr>
          <w:rFonts w:cs="Times New Roman"/>
          <w:lang w:val="fr-CA"/>
        </w:rPr>
        <w:t>.</w:t>
      </w:r>
      <w:r w:rsidRPr="008C13CD">
        <w:rPr>
          <w:rFonts w:cs="Times New Roman"/>
          <w:lang w:val="fr-CA"/>
        </w:rPr>
        <w:t>, Antonin Scalia</w:t>
      </w:r>
      <w:r>
        <w:rPr>
          <w:rFonts w:cs="Times New Roman"/>
          <w:lang w:val="fr-CA"/>
        </w:rPr>
        <w:t>,</w:t>
      </w:r>
      <w:r w:rsidRPr="008C13CD">
        <w:rPr>
          <w:rFonts w:cs="Times New Roman"/>
          <w:lang w:val="fr-CA"/>
        </w:rPr>
        <w:t xml:space="preserve"> « </w:t>
      </w:r>
      <w:r w:rsidRPr="002F7ECF">
        <w:rPr>
          <w:rFonts w:cs="Times New Roman"/>
          <w:lang w:val="fr-CA"/>
        </w:rPr>
        <w:t>Keynote Address</w:t>
      </w:r>
      <w:r w:rsidR="00530768">
        <w:rPr>
          <w:rFonts w:cs="Times New Roman"/>
          <w:lang w:val="fr-CA"/>
        </w:rPr>
        <w:t> </w:t>
      </w:r>
      <w:r w:rsidRPr="002F7ECF">
        <w:rPr>
          <w:rFonts w:cs="Times New Roman"/>
          <w:lang w:val="fr-CA"/>
        </w:rPr>
        <w:t>: Foreign Legal Authority in the Federal Courts</w:t>
      </w:r>
      <w:r w:rsidRPr="008C13CD">
        <w:rPr>
          <w:rFonts w:cs="Times New Roman"/>
          <w:lang w:val="fr-CA"/>
        </w:rPr>
        <w:t> » (2004)</w:t>
      </w:r>
      <w:r>
        <w:rPr>
          <w:rFonts w:cs="Times New Roman"/>
          <w:lang w:val="fr-CA"/>
        </w:rPr>
        <w:t>,</w:t>
      </w:r>
      <w:r w:rsidRPr="008C13CD">
        <w:rPr>
          <w:rFonts w:cs="Times New Roman"/>
          <w:lang w:val="fr-CA"/>
        </w:rPr>
        <w:t xml:space="preserve"> 98 </w:t>
      </w:r>
      <w:r w:rsidRPr="008C13CD">
        <w:rPr>
          <w:rFonts w:cs="Times New Roman"/>
          <w:i/>
          <w:lang w:val="fr-CA"/>
        </w:rPr>
        <w:t>A.S.I.L.</w:t>
      </w:r>
      <w:r w:rsidRPr="008C13CD">
        <w:rPr>
          <w:rFonts w:cs="Times New Roman"/>
          <w:lang w:val="fr-CA"/>
        </w:rPr>
        <w:t xml:space="preserve"> </w:t>
      </w:r>
      <w:r w:rsidRPr="002F7ECF">
        <w:rPr>
          <w:rFonts w:cs="Times New Roman"/>
          <w:i/>
          <w:lang w:val="fr-CA"/>
        </w:rPr>
        <w:t>Proc</w:t>
      </w:r>
      <w:r w:rsidRPr="00530768">
        <w:rPr>
          <w:rFonts w:cs="Times New Roman"/>
          <w:i/>
          <w:lang w:val="fr-CA"/>
        </w:rPr>
        <w:t>.</w:t>
      </w:r>
      <w:r w:rsidRPr="008C13CD">
        <w:rPr>
          <w:rFonts w:cs="Times New Roman"/>
          <w:lang w:val="fr-CA"/>
        </w:rPr>
        <w:t xml:space="preserve"> 305, p. 307; </w:t>
      </w:r>
      <w:r w:rsidRPr="008C13CD">
        <w:rPr>
          <w:rFonts w:cs="Times New Roman"/>
          <w:i/>
          <w:lang w:val="fr-CA"/>
        </w:rPr>
        <w:t>Roper c. Simmons</w:t>
      </w:r>
      <w:r w:rsidRPr="008C13CD">
        <w:rPr>
          <w:rFonts w:cs="Times New Roman"/>
          <w:lang w:val="fr-CA"/>
        </w:rPr>
        <w:t>, 543 U.S. 551</w:t>
      </w:r>
      <w:r>
        <w:rPr>
          <w:rFonts w:cs="Times New Roman"/>
          <w:lang w:val="fr-CA"/>
        </w:rPr>
        <w:t xml:space="preserve"> (2005)</w:t>
      </w:r>
      <w:r w:rsidRPr="008C13CD">
        <w:rPr>
          <w:rFonts w:cs="Times New Roman"/>
          <w:lang w:val="fr-CA"/>
        </w:rPr>
        <w:t xml:space="preserve">, </w:t>
      </w:r>
      <w:r w:rsidR="00530768">
        <w:rPr>
          <w:rFonts w:cs="Times New Roman"/>
          <w:lang w:val="fr-CA"/>
        </w:rPr>
        <w:t>p. 622</w:t>
      </w:r>
      <w:r w:rsidR="00530768">
        <w:rPr>
          <w:rFonts w:cs="Times New Roman"/>
          <w:lang w:val="fr-CA"/>
        </w:rPr>
        <w:noBreakHyphen/>
        <w:t>628, le juge Scalia, dissident</w:t>
      </w:r>
      <w:r w:rsidRPr="008C13CD">
        <w:rPr>
          <w:rFonts w:cs="Times New Roman"/>
          <w:lang w:val="fr-CA"/>
        </w:rPr>
        <w:t>; Cindy G. Buys</w:t>
      </w:r>
      <w:r w:rsidR="00951C33">
        <w:rPr>
          <w:rFonts w:cs="Times New Roman"/>
          <w:lang w:val="fr-CA"/>
        </w:rPr>
        <w:t>,</w:t>
      </w:r>
      <w:r w:rsidRPr="008C13CD">
        <w:rPr>
          <w:rFonts w:cs="Times New Roman"/>
          <w:lang w:val="fr-CA"/>
        </w:rPr>
        <w:t xml:space="preserve"> « </w:t>
      </w:r>
      <w:r w:rsidRPr="00646338">
        <w:rPr>
          <w:rFonts w:cs="Times New Roman"/>
          <w:lang w:val="fr-CA"/>
        </w:rPr>
        <w:t xml:space="preserve">Burying Our Constitution in the Sand? </w:t>
      </w:r>
      <w:r w:rsidRPr="00646338">
        <w:rPr>
          <w:rFonts w:cs="Times New Roman"/>
        </w:rPr>
        <w:t>Evaluating the Ostrich Response to the Use of International and Foreign Law in U.S. Constitutional Interpretation</w:t>
      </w:r>
      <w:r w:rsidRPr="008C13CD">
        <w:rPr>
          <w:rFonts w:cs="Times New Roman"/>
        </w:rPr>
        <w:t xml:space="preserve"> » (2007), 21 </w:t>
      </w:r>
      <w:r w:rsidRPr="002F7ECF">
        <w:rPr>
          <w:rFonts w:cs="Times New Roman"/>
          <w:i/>
        </w:rPr>
        <w:t>B.Y.U. J. Pub. L.</w:t>
      </w:r>
      <w:r>
        <w:rPr>
          <w:rFonts w:cs="Times New Roman"/>
          <w:i/>
        </w:rPr>
        <w:t xml:space="preserve"> </w:t>
      </w:r>
      <w:r w:rsidRPr="00130F29">
        <w:rPr>
          <w:rFonts w:cs="Times New Roman"/>
        </w:rPr>
        <w:t>1</w:t>
      </w:r>
      <w:r w:rsidRPr="008C13CD">
        <w:rPr>
          <w:rFonts w:cs="Times New Roman"/>
        </w:rPr>
        <w:t>, p. 7</w:t>
      </w:r>
      <w:r w:rsidRPr="008C13CD">
        <w:rPr>
          <w:rFonts w:cs="Times New Roman"/>
        </w:rPr>
        <w:noBreakHyphen/>
        <w:t xml:space="preserve">8). </w:t>
      </w:r>
      <w:r w:rsidRPr="008C13CD">
        <w:rPr>
          <w:rFonts w:cs="Times New Roman"/>
          <w:lang w:val="fr-CA"/>
        </w:rPr>
        <w:t>En guise d’exemple, le juge Scalia [</w:t>
      </w:r>
      <w:r w:rsidRPr="008C13CD">
        <w:rPr>
          <w:rFonts w:cs="Times New Roman"/>
          <w:smallCaps/>
          <w:lang w:val="fr-CA"/>
        </w:rPr>
        <w:t>traduction</w:t>
      </w:r>
      <w:r w:rsidRPr="008C13CD">
        <w:rPr>
          <w:rFonts w:cs="Times New Roman"/>
          <w:lang w:val="fr-CA"/>
        </w:rPr>
        <w:t xml:space="preserve">] « fait valoir que l’interprétation ne devrait porter que sur des textes juridiques américains, vu les difficultés pratiques créées par </w:t>
      </w:r>
      <w:r w:rsidRPr="008C13CD">
        <w:rPr>
          <w:rFonts w:cs="Times New Roman"/>
          <w:lang w:val="fr-CA"/>
        </w:rPr>
        <w:lastRenderedPageBreak/>
        <w:t>la consultation de sources transnationales » (Ryan C</w:t>
      </w:r>
      <w:r>
        <w:rPr>
          <w:rFonts w:cs="Times New Roman"/>
          <w:lang w:val="fr-CA"/>
        </w:rPr>
        <w:t>.</w:t>
      </w:r>
      <w:r w:rsidR="00951C33">
        <w:rPr>
          <w:rFonts w:cs="Times New Roman"/>
          <w:lang w:val="fr-CA"/>
        </w:rPr>
        <w:t xml:space="preserve"> Black et autres</w:t>
      </w:r>
      <w:r w:rsidRPr="008C13CD">
        <w:rPr>
          <w:rFonts w:cs="Times New Roman"/>
          <w:lang w:val="fr-CA"/>
        </w:rPr>
        <w:t>, « </w:t>
      </w:r>
      <w:r w:rsidRPr="005625E0">
        <w:rPr>
          <w:rFonts w:cs="Times New Roman"/>
          <w:lang w:val="fr-CA"/>
        </w:rPr>
        <w:t>Upending a Global Debate</w:t>
      </w:r>
      <w:r w:rsidR="00DE2591">
        <w:rPr>
          <w:rFonts w:cs="Times New Roman"/>
          <w:lang w:val="fr-CA"/>
        </w:rPr>
        <w:t> </w:t>
      </w:r>
      <w:r w:rsidRPr="005625E0">
        <w:rPr>
          <w:rFonts w:cs="Times New Roman"/>
          <w:lang w:val="fr-CA"/>
        </w:rPr>
        <w:t>: An Empirical Analysis of the U.S. Supreme Court’s Use of Transnational Law to Interpret Domestic Doctrine</w:t>
      </w:r>
      <w:r>
        <w:rPr>
          <w:rFonts w:cs="Times New Roman"/>
          <w:lang w:val="fr-CA"/>
        </w:rPr>
        <w:t> » (2014), 103</w:t>
      </w:r>
      <w:r w:rsidRPr="008C13CD">
        <w:rPr>
          <w:rFonts w:cs="Times New Roman"/>
          <w:lang w:val="fr-CA"/>
        </w:rPr>
        <w:t xml:space="preserve"> </w:t>
      </w:r>
      <w:r w:rsidRPr="008C13CD">
        <w:rPr>
          <w:rFonts w:cs="Times New Roman"/>
          <w:i/>
          <w:lang w:val="fr-CA"/>
        </w:rPr>
        <w:t>Geo</w:t>
      </w:r>
      <w:r>
        <w:rPr>
          <w:rFonts w:cs="Times New Roman"/>
          <w:i/>
          <w:lang w:val="fr-CA"/>
        </w:rPr>
        <w:t>.</w:t>
      </w:r>
      <w:r w:rsidRPr="008C13CD">
        <w:rPr>
          <w:rFonts w:cs="Times New Roman"/>
          <w:i/>
          <w:lang w:val="fr-CA"/>
        </w:rPr>
        <w:t xml:space="preserve"> L.J.</w:t>
      </w:r>
      <w:r>
        <w:rPr>
          <w:rFonts w:cs="Times New Roman"/>
          <w:lang w:val="fr-CA"/>
        </w:rPr>
        <w:t xml:space="preserve"> 1</w:t>
      </w:r>
      <w:r w:rsidRPr="008C13CD">
        <w:rPr>
          <w:rFonts w:cs="Times New Roman"/>
          <w:lang w:val="fr-CA"/>
        </w:rPr>
        <w:t>, p. 8</w:t>
      </w:r>
      <w:r w:rsidRPr="008C13CD">
        <w:rPr>
          <w:rFonts w:cs="Times New Roman"/>
          <w:lang w:val="fr-CA"/>
        </w:rPr>
        <w:noBreakHyphen/>
        <w:t xml:space="preserve">9). En revanche, d’autres, tel le juge Breyer, estiment que le recours à des sources non contraignantes </w:t>
      </w:r>
      <w:r>
        <w:rPr>
          <w:rFonts w:cs="Times New Roman"/>
          <w:lang w:val="fr-CA"/>
        </w:rPr>
        <w:t>consiste tout simplement</w:t>
      </w:r>
      <w:r w:rsidRPr="008C13CD">
        <w:rPr>
          <w:rFonts w:cs="Times New Roman"/>
          <w:lang w:val="fr-CA"/>
        </w:rPr>
        <w:t xml:space="preserve"> « à s’ouvrir à ce qui se passe ailleurs, à apprécier ce qu’on en apprend selon sa valeur et à s’en servir comme élément de comparaison lorsqu’il peut être utile de le faire » (Black, p. 8</w:t>
      </w:r>
      <w:r w:rsidRPr="008C13CD">
        <w:rPr>
          <w:rFonts w:cs="Times New Roman"/>
          <w:lang w:val="fr-CA"/>
        </w:rPr>
        <w:noBreakHyphen/>
        <w:t>9).</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Restreindre notre approche en érigeant des obstacles inutiles au recours à des sources de droit international et de droit comparé menace sans justification de saper la voix du Canada comme chef de file international en matière de jurisprudence constitutionnelle, un rôle basé sur la volonté de notre pays d’élargir et d’approfondir sa quête mondiale des meilleures ressources intellectuelles qu’il peut trouver, comme l’explique si éloquemment le professeur Ran Hirschl :</w:t>
      </w:r>
    </w:p>
    <w:p w:rsidR="00182BDC" w:rsidRDefault="00182BDC" w:rsidP="00182BDC">
      <w:pPr>
        <w:pStyle w:val="Citation-AltC"/>
        <w:ind w:hanging="446"/>
      </w:pPr>
      <w:r w:rsidRPr="008C13CD">
        <w:tab/>
        <w:t>[</w:t>
      </w:r>
      <w:r w:rsidRPr="008C13CD">
        <w:rPr>
          <w:smallCaps/>
        </w:rPr>
        <w:t>traduction</w:t>
      </w:r>
      <w:r w:rsidRPr="008C13CD">
        <w:t>]</w:t>
      </w:r>
      <w:r>
        <w:t xml:space="preserve"> </w:t>
      </w:r>
      <w:r w:rsidRPr="008C13CD">
        <w:t>L’émergence d’une approche assurée, résolument canadienne, en matière de constitutionnalisme et une maturation correspondante de la Cour suprême, le tout enrichi par une appréciation générale de visions constitutionnelles comparées et d’adhésions sélectives à celles</w:t>
      </w:r>
      <w:r w:rsidRPr="008C13CD">
        <w:noBreakHyphen/>
        <w:t xml:space="preserve">ci, principalement dans le domaine des droits constitutionnels, a entrainé un déclin marqué de la dépendance des tribunaux à l’égard des idéaux et de la jurisprudence </w:t>
      </w:r>
      <w:r>
        <w:t xml:space="preserve">constitutionnels britanniques. </w:t>
      </w:r>
      <w:r w:rsidR="00DE2591" w:rsidRPr="008C13CD">
        <w:t>[</w:t>
      </w:r>
      <w:r w:rsidRPr="008C13CD">
        <w:t>. . .</w:t>
      </w:r>
      <w:r w:rsidR="00DE2591" w:rsidRPr="008C13CD">
        <w:t>]</w:t>
      </w:r>
      <w:r w:rsidRPr="008C13CD">
        <w:t xml:space="preserve"> Ces changements sont étroitement liés aux modifications constitutionnelles de 1982, mais aussi aux très profondes transformations de la perception que le Canada a de lui-même, du sentiment d’identité collective et de la nouvelle façon d’envisager la place qu’il occupe dans le monde.</w:t>
      </w:r>
    </w:p>
    <w:p w:rsidR="00182BDC" w:rsidRPr="008C13CD" w:rsidRDefault="00182BDC" w:rsidP="00182BDC">
      <w:pPr>
        <w:pStyle w:val="Citation-AltC"/>
        <w:ind w:hanging="446"/>
      </w:pPr>
    </w:p>
    <w:p w:rsidR="00182BDC" w:rsidRPr="008C13CD" w:rsidRDefault="00182BDC" w:rsidP="00182BDC">
      <w:pPr>
        <w:pStyle w:val="Citation-AltC"/>
        <w:spacing w:after="240"/>
        <w:ind w:left="4593" w:hanging="446"/>
        <w:contextualSpacing w:val="0"/>
      </w:pPr>
      <w:r w:rsidRPr="008C13CD">
        <w:tab/>
        <w:t>. . .</w:t>
      </w:r>
    </w:p>
    <w:p w:rsidR="00182BDC" w:rsidRPr="008C13CD" w:rsidRDefault="00182BDC" w:rsidP="00182BDC">
      <w:pPr>
        <w:pStyle w:val="Citation-AltC"/>
        <w:tabs>
          <w:tab w:val="left" w:pos="1440"/>
        </w:tabs>
        <w:contextualSpacing w:val="0"/>
      </w:pPr>
      <w:r w:rsidRPr="008C13CD">
        <w:tab/>
        <w:t>. . . </w:t>
      </w:r>
      <w:r>
        <w:t>p</w:t>
      </w:r>
      <w:r w:rsidRPr="008C13CD">
        <w:t>our mieux comprendre la manière dont le Canada est passé du statut de modeste ex</w:t>
      </w:r>
      <w:r w:rsidRPr="008C13CD">
        <w:noBreakHyphen/>
        <w:t xml:space="preserve">colonie britannique à </w:t>
      </w:r>
      <w:r w:rsidRPr="008C13CD">
        <w:rPr>
          <w:i/>
        </w:rPr>
        <w:t xml:space="preserve">son actuel de contributeur de </w:t>
      </w:r>
      <w:r w:rsidRPr="008C13CD">
        <w:rPr>
          <w:i/>
        </w:rPr>
        <w:lastRenderedPageBreak/>
        <w:t>premier plan en matière de droit constitutionnel comparé</w:t>
      </w:r>
      <w:r w:rsidRPr="008C13CD">
        <w:t>, il nous faut étudier en profondeur la transformation sociale et conceptuelle</w:t>
      </w:r>
      <w:r>
        <w:t xml:space="preserve"> </w:t>
      </w:r>
      <w:r w:rsidRPr="008C13CD">
        <w:t>— particulièrement le profond virage multiculturel et cosmopolite dans le méta-narratif national</w:t>
      </w:r>
      <w:r>
        <w:t xml:space="preserve"> </w:t>
      </w:r>
      <w:r w:rsidRPr="008C13CD">
        <w:t>—</w:t>
      </w:r>
      <w:r>
        <w:t xml:space="preserve"> </w:t>
      </w:r>
      <w:r w:rsidRPr="008C13CD">
        <w:t>que le Canada connaît depuis p</w:t>
      </w:r>
      <w:r w:rsidR="00F35D18">
        <w:t>lus d’un demi</w:t>
      </w:r>
      <w:r w:rsidR="00F35D18">
        <w:noBreakHyphen/>
        <w:t>siècle. [Italique ajouté</w:t>
      </w:r>
      <w:r w:rsidRPr="008C13CD">
        <w:t>; p. 305</w:t>
      </w:r>
      <w:r w:rsidRPr="008C13CD">
        <w:noBreakHyphen/>
        <w:t>306 et 317.]</w:t>
      </w:r>
    </w:p>
    <w:p w:rsidR="00182BDC" w:rsidRPr="008C13CD" w:rsidRDefault="00182BDC" w:rsidP="00182BDC">
      <w:pPr>
        <w:pStyle w:val="ParaNoNdepar-AltN"/>
        <w:spacing w:before="0"/>
        <w:rPr>
          <w:rFonts w:cs="Times New Roman"/>
          <w:lang w:val="fr-CA"/>
        </w:rPr>
      </w:pPr>
      <w:r w:rsidRPr="008C13CD">
        <w:rPr>
          <w:rFonts w:cs="Times New Roman"/>
          <w:lang w:val="fr-CA"/>
        </w:rPr>
        <w:t>Toutes les sources internationales pertinentes en l’espèce mènent à l’inférence irréfutable que l’interdiction des peines cruelles et inusitées vise à protéger les êtres humains contre l’infliction de peines inhumaines et dégradantes. Aucune d’entre elles ne prévoit de protection en faveur des personnes morales, et aucune n’a été jugée comme incluant une telle protection. Bien qu’un tel consensus international ne soit pas déterminant quant au résultat, il apporte néanmoins un appui convaincant et pertinent sur le plan de l’interprétation. Il constitue un aspect de l’élaboration d’une perspective internationale sur la manière dont les droits devraient être protégés, une perspective élaborée dans la foulée de l’engagement mondial pris en 1945 en faveur de l’internationalisation de ces protections, et une perspective à l’égard de laquelle la jurisprudence canadienne a joué un rôle de chef de file en tant que promoteur. La prise en compte des lois et de la jurisprudence appliquées sur des questions connexes par d’autres pays et institutions, et de la façon dont elles le sont, constitue non seulement un aspect d’une conversation juridique constante à l’échelle mondiale, mais aussi du vaste contenu épistémologique qu’invoquent couramment les cours constitutionnelles.</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Passant maintenant au contexte international pour l’examen de l’objet des « traitements ou peines cruels et inusités », je commence par l’observation de Lord Bingham dans </w:t>
      </w:r>
      <w:r w:rsidRPr="008C13CD">
        <w:rPr>
          <w:rFonts w:cs="Times New Roman"/>
          <w:i/>
          <w:lang w:val="fr-CA"/>
        </w:rPr>
        <w:t>Reyes c</w:t>
      </w:r>
      <w:r w:rsidR="00951C33">
        <w:rPr>
          <w:rFonts w:cs="Times New Roman"/>
          <w:i/>
          <w:lang w:val="fr-CA"/>
        </w:rPr>
        <w:t>. The Queen</w:t>
      </w:r>
      <w:r>
        <w:rPr>
          <w:rFonts w:cs="Times New Roman"/>
          <w:lang w:val="fr-CA"/>
        </w:rPr>
        <w:t>, [2002] 2 A.C. 235</w:t>
      </w:r>
      <w:r w:rsidRPr="008C13CD">
        <w:rPr>
          <w:rFonts w:cs="Times New Roman"/>
          <w:lang w:val="fr-CA"/>
        </w:rPr>
        <w:t xml:space="preserve">, suivant laquelle, bien que le </w:t>
      </w:r>
      <w:r w:rsidRPr="008C13CD">
        <w:rPr>
          <w:rFonts w:cs="Times New Roman"/>
          <w:lang w:val="fr-CA"/>
        </w:rPr>
        <w:lastRenderedPageBreak/>
        <w:t>libellé des équivalents internationaux de l’art. 12 varient, un sens commun peut être donné à leurs diverses formulations :</w:t>
      </w:r>
    </w:p>
    <w:p w:rsidR="00182BDC" w:rsidRPr="008C13CD" w:rsidRDefault="00182BDC" w:rsidP="00F35D18">
      <w:pPr>
        <w:pStyle w:val="Citation-AltC"/>
        <w:spacing w:after="480"/>
        <w:ind w:hanging="446"/>
        <w:contextualSpacing w:val="0"/>
      </w:pPr>
      <w:r w:rsidRPr="008C13CD">
        <w:tab/>
        <w:t>[</w:t>
      </w:r>
      <w:r w:rsidRPr="008C13CD">
        <w:rPr>
          <w:smallCaps/>
        </w:rPr>
        <w:t>traduction</w:t>
      </w:r>
      <w:r w:rsidRPr="008C13CD">
        <w:t>] Malgré la différence sémantique entre les expressions « traitements ou peines cruels et inusités » (dans la Charte canadienne et la Constitution de Trinité</w:t>
      </w:r>
      <w:r w:rsidRPr="008C13CD">
        <w:noBreakHyphen/>
        <w:t>et</w:t>
      </w:r>
      <w:r w:rsidRPr="008C13CD">
        <w:noBreakHyphen/>
        <w:t>Tobago par exemple), « peines cruelles et inusitées » (dans le Huitième amendement de la Constitution des États</w:t>
      </w:r>
      <w:r w:rsidRPr="008C13CD">
        <w:noBreakHyphen/>
        <w:t>Unis) et « </w:t>
      </w:r>
      <w:r w:rsidRPr="008C13CD">
        <w:rPr>
          <w:iCs/>
        </w:rPr>
        <w:t>peines ou traitements inhumains ou dégradants »</w:t>
      </w:r>
      <w:r w:rsidRPr="008C13CD">
        <w:t xml:space="preserve"> (dans la Convention européenne), il semble clair que l’idée maîtresse de ces dispositions, quelle que soit la manière dont elles sont exprimées, est la même, et que leur sens a été assimilé.</w:t>
      </w:r>
    </w:p>
    <w:p w:rsidR="00182BDC" w:rsidRPr="008C13CD" w:rsidRDefault="00182BDC" w:rsidP="00F35D18">
      <w:pPr>
        <w:pStyle w:val="Citation-AltC"/>
        <w:ind w:left="0"/>
        <w:contextualSpacing w:val="0"/>
      </w:pPr>
      <w:r w:rsidRPr="008C13CD">
        <w:t xml:space="preserve">(par. 30; voir </w:t>
      </w:r>
      <w:r w:rsidR="00951C33">
        <w:t>aussi</w:t>
      </w:r>
      <w:r w:rsidRPr="008C13CD">
        <w:t xml:space="preserve"> </w:t>
      </w:r>
      <w:r w:rsidRPr="008C13CD">
        <w:rPr>
          <w:i/>
        </w:rPr>
        <w:t>S. c. Williams</w:t>
      </w:r>
      <w:r w:rsidRPr="008C13CD">
        <w:t>, 1995 (3) S.A. 632 (C.C.), par. 35</w:t>
      </w:r>
      <w:r>
        <w:t>.</w:t>
      </w:r>
      <w:r w:rsidRPr="008C13CD">
        <w:t>)</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Le sens commun que le Conseil privé a donné aux diverses formulations était celui qu’avait formulé le juge Lamer dans </w:t>
      </w:r>
      <w:r w:rsidRPr="008C13CD">
        <w:rPr>
          <w:rFonts w:cs="Times New Roman"/>
          <w:i/>
          <w:lang w:val="fr-CA"/>
        </w:rPr>
        <w:t>R</w:t>
      </w:r>
      <w:r>
        <w:rPr>
          <w:rFonts w:cs="Times New Roman"/>
          <w:i/>
          <w:lang w:val="fr-CA"/>
        </w:rPr>
        <w:t>.</w:t>
      </w:r>
      <w:r w:rsidR="00F35D18">
        <w:rPr>
          <w:rFonts w:cs="Times New Roman"/>
          <w:i/>
          <w:lang w:val="fr-CA"/>
        </w:rPr>
        <w:t xml:space="preserve"> c. Smith</w:t>
      </w:r>
      <w:r w:rsidRPr="008C13CD">
        <w:rPr>
          <w:rFonts w:cs="Times New Roman"/>
          <w:i/>
          <w:lang w:val="fr-CA"/>
        </w:rPr>
        <w:t> </w:t>
      </w:r>
      <w:r w:rsidRPr="008C13CD">
        <w:rPr>
          <w:rFonts w:cs="Times New Roman"/>
          <w:lang w:val="fr-CA"/>
        </w:rPr>
        <w:t>:</w:t>
      </w:r>
    </w:p>
    <w:p w:rsidR="00182BDC" w:rsidRPr="008C13CD" w:rsidRDefault="00182BDC" w:rsidP="00F35D18">
      <w:pPr>
        <w:pStyle w:val="Citation-AltC"/>
        <w:spacing w:after="480"/>
        <w:ind w:hanging="446"/>
        <w:contextualSpacing w:val="0"/>
      </w:pPr>
      <w:r w:rsidRPr="008C13CD">
        <w:tab/>
        <w:t>Je suis d’accord avec ce que dit le juge en chef Laskin dans l’arrêt [</w:t>
      </w:r>
      <w:r>
        <w:rPr>
          <w:i/>
          <w:iCs/>
        </w:rPr>
        <w:t>Miller</w:t>
      </w:r>
      <w:r w:rsidRPr="008C13CD">
        <w:rPr>
          <w:i/>
          <w:iCs/>
        </w:rPr>
        <w:t xml:space="preserve"> c. La Reine</w:t>
      </w:r>
      <w:r w:rsidRPr="0025313A">
        <w:rPr>
          <w:iCs/>
        </w:rPr>
        <w:t>,</w:t>
      </w:r>
      <w:r w:rsidRPr="008C13CD">
        <w:rPr>
          <w:i/>
          <w:iCs/>
        </w:rPr>
        <w:t xml:space="preserve"> </w:t>
      </w:r>
      <w:r w:rsidRPr="008C13CD">
        <w:rPr>
          <w:iCs/>
        </w:rPr>
        <w:t>[1977]</w:t>
      </w:r>
      <w:r w:rsidRPr="008C13CD">
        <w:t xml:space="preserve"> 2 R.C.S. 680] lorsqu’il définit les termes « cruels et inusités » comme la « formulation concise d’une norme ». Le critère qui doit être appliqué pour déterminer si une peine est cruelle et inusitée au sens de l’art. 12 de la </w:t>
      </w:r>
      <w:r>
        <w:rPr>
          <w:i/>
          <w:iCs/>
        </w:rPr>
        <w:t xml:space="preserve">Charte </w:t>
      </w:r>
      <w:r w:rsidRPr="008C13CD">
        <w:t>consiste [. . .] à se demander « si la peine infligée est excessive au point de ne pas être compatible avec la dignité humaine. » En d’autres termes, bien que l’État puisse infliger une peine, l’effet de cette peine ne doit pas être exagérément disproportionné à ce qui aurait été approprié.</w:t>
      </w:r>
    </w:p>
    <w:p w:rsidR="00182BDC" w:rsidRPr="008C13CD" w:rsidRDefault="00182BDC" w:rsidP="00F35D18">
      <w:pPr>
        <w:pStyle w:val="Citation-AltC"/>
        <w:ind w:left="0"/>
        <w:contextualSpacing w:val="0"/>
      </w:pPr>
      <w:r w:rsidRPr="008C13CD">
        <w:t xml:space="preserve">(p. 1072; voir aussi l’arrêt </w:t>
      </w:r>
      <w:r w:rsidRPr="008C13CD">
        <w:rPr>
          <w:i/>
        </w:rPr>
        <w:t>Reyes</w:t>
      </w:r>
      <w:r>
        <w:t>,</w:t>
      </w:r>
      <w:r w:rsidRPr="008C13CD">
        <w:t xml:space="preserve"> par. 30.)</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L’article 5 de la </w:t>
      </w:r>
      <w:r w:rsidRPr="008C13CD">
        <w:rPr>
          <w:rFonts w:cs="Times New Roman"/>
          <w:i/>
          <w:lang w:val="fr-CA"/>
        </w:rPr>
        <w:t>Déclaration universelle des droits de l’homme</w:t>
      </w:r>
      <w:r w:rsidRPr="008C13CD">
        <w:rPr>
          <w:rFonts w:cs="Times New Roman"/>
          <w:lang w:val="fr-CA"/>
        </w:rPr>
        <w:t xml:space="preserve">, A.G. Rés. 217 A (III), Doc. </w:t>
      </w:r>
      <w:r w:rsidR="00F35D18">
        <w:rPr>
          <w:rFonts w:cs="Times New Roman"/>
          <w:lang w:val="fr-CA"/>
        </w:rPr>
        <w:t xml:space="preserve">N.U. </w:t>
      </w:r>
      <w:r w:rsidRPr="008C13CD">
        <w:rPr>
          <w:rFonts w:cs="Times New Roman"/>
          <w:lang w:val="fr-CA"/>
        </w:rPr>
        <w:t>A/810</w:t>
      </w:r>
      <w:r>
        <w:rPr>
          <w:rFonts w:cs="Times New Roman"/>
          <w:lang w:val="fr-CA"/>
        </w:rPr>
        <w:t xml:space="preserve">, p. 71 </w:t>
      </w:r>
      <w:r w:rsidRPr="008C13CD">
        <w:rPr>
          <w:rFonts w:cs="Times New Roman"/>
          <w:lang w:val="fr-CA"/>
        </w:rPr>
        <w:t xml:space="preserve">(1948), dispose que « [n]ul ne sera soumis à la torture, ni à des peines ou traitements cruels, inhumains ou dégradants ». Bien qu’il ne semble pas y avoir de précédent judiciaire qui examine explicitement la question de </w:t>
      </w:r>
      <w:r w:rsidRPr="008C13CD">
        <w:rPr>
          <w:rFonts w:cs="Times New Roman"/>
          <w:lang w:val="fr-CA"/>
        </w:rPr>
        <w:lastRenderedPageBreak/>
        <w:t xml:space="preserve">savoir si l’art. 5 s’applique aux personnes morales, il existe des raisons impérieuses de croire que tel n’est pas le cas. Dans l’ensemble, la </w:t>
      </w:r>
      <w:r w:rsidRPr="008C13CD">
        <w:rPr>
          <w:rFonts w:cs="Times New Roman"/>
          <w:i/>
          <w:lang w:val="fr-CA"/>
        </w:rPr>
        <w:t>Déclaration</w:t>
      </w:r>
      <w:r>
        <w:rPr>
          <w:rFonts w:cs="Times New Roman"/>
          <w:i/>
          <w:lang w:val="fr-CA"/>
        </w:rPr>
        <w:t xml:space="preserve"> universelle</w:t>
      </w:r>
      <w:r w:rsidRPr="008C13CD">
        <w:rPr>
          <w:rFonts w:cs="Times New Roman"/>
          <w:i/>
          <w:lang w:val="fr-CA"/>
        </w:rPr>
        <w:t xml:space="preserve"> des droits de l’homme</w:t>
      </w:r>
      <w:r w:rsidRPr="008C13CD">
        <w:rPr>
          <w:rFonts w:cs="Times New Roman"/>
          <w:lang w:val="fr-CA"/>
        </w:rPr>
        <w:t xml:space="preserve">, comme le suggère son titre, est censée s’appliquer aux êtres humains (Max Planck Institute for Comparative Public Law and International Law, </w:t>
      </w:r>
      <w:r w:rsidRPr="008C13CD">
        <w:rPr>
          <w:rFonts w:cs="Times New Roman"/>
          <w:i/>
          <w:lang w:val="fr-CA"/>
        </w:rPr>
        <w:t xml:space="preserve">Who Turned Multinational Corporations into Bearers of Human Rights? </w:t>
      </w:r>
      <w:r w:rsidRPr="008C13CD">
        <w:rPr>
          <w:rFonts w:cs="Times New Roman"/>
          <w:i/>
        </w:rPr>
        <w:t>On the Creation of Corporate “Human” Rights in International Law</w:t>
      </w:r>
      <w:r w:rsidRPr="008C13CD">
        <w:rPr>
          <w:rFonts w:cs="Times New Roman"/>
        </w:rPr>
        <w:t>,</w:t>
      </w:r>
      <w:r w:rsidRPr="008C13CD">
        <w:rPr>
          <w:rFonts w:cs="Times New Roman"/>
          <w:i/>
        </w:rPr>
        <w:t xml:space="preserve"> </w:t>
      </w:r>
      <w:r>
        <w:rPr>
          <w:rFonts w:cs="Times New Roman"/>
        </w:rPr>
        <w:t>par</w:t>
      </w:r>
      <w:r w:rsidRPr="008C13CD">
        <w:rPr>
          <w:rFonts w:cs="Times New Roman"/>
        </w:rPr>
        <w:t xml:space="preserve"> Silvia Steininger et Jochen von Bernstorff, 25 septembre 2018 (en ligne), p. 5). </w:t>
      </w:r>
      <w:r w:rsidRPr="008C13CD">
        <w:rPr>
          <w:rFonts w:cs="Times New Roman"/>
          <w:lang w:val="fr-CA"/>
        </w:rPr>
        <w:t>En outre, son adoption dans la foulée de la Deuxième Guerre mondiale, ainsi que son préambule qui fait mention de la dignité humaine, ne permettent pas de conclure que son art. 5 peut s’appliquer aux personnes morales.</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L’article 7 du </w:t>
      </w:r>
      <w:r w:rsidRPr="008C13CD">
        <w:rPr>
          <w:rFonts w:cs="Times New Roman"/>
          <w:i/>
          <w:iCs/>
          <w:spacing w:val="-3"/>
          <w:lang w:val="fr-CA"/>
        </w:rPr>
        <w:t>Pacte international relatif aux droits civils et politiques</w:t>
      </w:r>
      <w:r w:rsidRPr="008C13CD">
        <w:rPr>
          <w:rFonts w:cs="Times New Roman"/>
          <w:spacing w:val="-3"/>
          <w:lang w:val="fr-CA"/>
        </w:rPr>
        <w:t>, R.T. Can. 1976 n</w:t>
      </w:r>
      <w:r w:rsidRPr="008C13CD">
        <w:rPr>
          <w:rFonts w:cs="Times New Roman"/>
          <w:spacing w:val="-3"/>
          <w:vertAlign w:val="superscript"/>
          <w:lang w:val="fr-CA"/>
        </w:rPr>
        <w:t>o</w:t>
      </w:r>
      <w:r w:rsidRPr="008C13CD">
        <w:rPr>
          <w:rFonts w:cs="Times New Roman"/>
          <w:spacing w:val="-3"/>
          <w:lang w:val="fr-CA"/>
        </w:rPr>
        <w:t> 47</w:t>
      </w:r>
      <w:r w:rsidRPr="008C13CD">
        <w:rPr>
          <w:rFonts w:cs="Times New Roman"/>
          <w:lang w:val="fr-CA"/>
        </w:rPr>
        <w:t>, que le Canada a ratifié le 19 mai 1976, comprend la même interdiction visant la « torture [et les] peines ou traitements cruels, inhumains ou dégradants ». Le Comité des droits de l’homme des Nations Unies a affirmé que l’article 7 « a pour but de protéger la dignité et l’intégrité physique et mentale de l’individu » (</w:t>
      </w:r>
      <w:r w:rsidRPr="00F27C24">
        <w:rPr>
          <w:rFonts w:cs="Times New Roman"/>
          <w:i/>
          <w:lang w:val="fr-CA"/>
        </w:rPr>
        <w:t>Observation générale n</w:t>
      </w:r>
      <w:r w:rsidRPr="00F27C24">
        <w:rPr>
          <w:rFonts w:cs="Times New Roman"/>
          <w:i/>
          <w:vertAlign w:val="superscript"/>
          <w:lang w:val="fr-CA"/>
        </w:rPr>
        <w:t>o</w:t>
      </w:r>
      <w:r w:rsidRPr="00F27C24">
        <w:rPr>
          <w:rFonts w:cs="Times New Roman"/>
          <w:i/>
          <w:lang w:val="fr-CA"/>
        </w:rPr>
        <w:t> 20</w:t>
      </w:r>
      <w:r>
        <w:rPr>
          <w:rFonts w:cs="Times New Roman"/>
          <w:i/>
          <w:lang w:val="fr-CA"/>
        </w:rPr>
        <w:t> </w:t>
      </w:r>
      <w:r w:rsidRPr="00874ECE">
        <w:rPr>
          <w:rFonts w:cs="Times New Roman"/>
          <w:i/>
          <w:lang w:val="fr-CA"/>
        </w:rPr>
        <w:t>:</w:t>
      </w:r>
      <w:r>
        <w:rPr>
          <w:rFonts w:cs="Times New Roman"/>
          <w:lang w:val="fr-CA"/>
        </w:rPr>
        <w:t xml:space="preserve"> </w:t>
      </w:r>
      <w:r w:rsidRPr="00F27C24">
        <w:rPr>
          <w:rFonts w:cs="Times New Roman"/>
          <w:i/>
          <w:lang w:val="fr-CA"/>
        </w:rPr>
        <w:t>Article 7</w:t>
      </w:r>
      <w:r w:rsidRPr="008C13CD">
        <w:rPr>
          <w:rFonts w:cs="Times New Roman"/>
          <w:lang w:val="fr-CA"/>
        </w:rPr>
        <w:t xml:space="preserve"> </w:t>
      </w:r>
      <w:r>
        <w:rPr>
          <w:rFonts w:cs="Times New Roman"/>
          <w:lang w:val="fr-CA"/>
        </w:rPr>
        <w:t>(</w:t>
      </w:r>
      <w:r w:rsidRPr="002F7ECF">
        <w:rPr>
          <w:rFonts w:cs="Times New Roman"/>
          <w:i/>
          <w:lang w:val="fr-CA"/>
        </w:rPr>
        <w:t>Interdiction de la torture et des peines ou traitements cruels, inhumains ou dégradants</w:t>
      </w:r>
      <w:r>
        <w:rPr>
          <w:rFonts w:cs="Times New Roman"/>
          <w:i/>
          <w:lang w:val="fr-CA"/>
        </w:rPr>
        <w:t>)</w:t>
      </w:r>
      <w:r w:rsidRPr="002F7ECF">
        <w:rPr>
          <w:rFonts w:cs="Times New Roman"/>
          <w:i/>
          <w:lang w:val="fr-CA"/>
        </w:rPr>
        <w:t xml:space="preserve"> (1992)</w:t>
      </w:r>
      <w:r w:rsidRPr="008C13CD">
        <w:rPr>
          <w:rFonts w:cs="Times New Roman"/>
          <w:lang w:val="fr-CA"/>
        </w:rPr>
        <w:t>, Doc. N</w:t>
      </w:r>
      <w:r>
        <w:rPr>
          <w:rFonts w:cs="Times New Roman"/>
          <w:lang w:val="fr-CA"/>
        </w:rPr>
        <w:t>.</w:t>
      </w:r>
      <w:r w:rsidRPr="008C13CD">
        <w:rPr>
          <w:rFonts w:cs="Times New Roman"/>
          <w:lang w:val="fr-CA"/>
        </w:rPr>
        <w:t>U</w:t>
      </w:r>
      <w:r>
        <w:rPr>
          <w:rFonts w:cs="Times New Roman"/>
          <w:lang w:val="fr-CA"/>
        </w:rPr>
        <w:t>.</w:t>
      </w:r>
      <w:r w:rsidRPr="008C13CD">
        <w:rPr>
          <w:rFonts w:cs="Times New Roman"/>
          <w:lang w:val="fr-CA"/>
        </w:rPr>
        <w:t xml:space="preserve"> HRI/GEN/1/Rev. 9, vol. 1, p. 200 (2008), par. 2). Il a souligné que « [l]’interdiction faite à l’article 7 est complétée par les dispositions positives du paragraphe 1 de l’article 10 du </w:t>
      </w:r>
      <w:r w:rsidRPr="00B734BB">
        <w:rPr>
          <w:rFonts w:cs="Times New Roman"/>
          <w:lang w:val="fr-CA"/>
        </w:rPr>
        <w:t>[</w:t>
      </w:r>
      <w:r w:rsidRPr="002F7ECF">
        <w:rPr>
          <w:rFonts w:cs="Times New Roman"/>
          <w:i/>
          <w:lang w:val="fr-CA"/>
        </w:rPr>
        <w:t>Pacte</w:t>
      </w:r>
      <w:r>
        <w:rPr>
          <w:rFonts w:cs="Times New Roman"/>
          <w:lang w:val="fr-CA"/>
        </w:rPr>
        <w:t>]</w:t>
      </w:r>
      <w:r w:rsidRPr="008C13CD">
        <w:rPr>
          <w:rFonts w:cs="Times New Roman"/>
          <w:lang w:val="fr-CA"/>
        </w:rPr>
        <w:t>, qui précise que “toute personne privée de sa liberté est traitée avec humanité et avec le respect de la dignité inhérente à la personne humaine” »</w:t>
      </w:r>
      <w:r>
        <w:rPr>
          <w:rFonts w:cs="Times New Roman"/>
          <w:lang w:val="fr-CA"/>
        </w:rPr>
        <w:t xml:space="preserve"> (par. 2)</w:t>
      </w:r>
      <w:r w:rsidRPr="008C13CD">
        <w:rPr>
          <w:rFonts w:cs="Times New Roman"/>
          <w:lang w:val="fr-CA"/>
        </w:rPr>
        <w:t>.</w:t>
      </w:r>
    </w:p>
    <w:p w:rsidR="00182BDC" w:rsidRPr="008C13CD" w:rsidRDefault="00182BDC" w:rsidP="00182BDC">
      <w:pPr>
        <w:pStyle w:val="ParaNoNdepar-AltN"/>
        <w:spacing w:before="0"/>
        <w:rPr>
          <w:rFonts w:cs="Times New Roman"/>
          <w:lang w:val="fr-CA"/>
        </w:rPr>
      </w:pPr>
      <w:r w:rsidRPr="008C13CD">
        <w:rPr>
          <w:rFonts w:cs="Times New Roman"/>
          <w:lang w:val="fr-CA"/>
        </w:rPr>
        <w:lastRenderedPageBreak/>
        <w:t xml:space="preserve">Comme le préambule du </w:t>
      </w:r>
      <w:r w:rsidRPr="008C13CD">
        <w:rPr>
          <w:rFonts w:cs="Times New Roman"/>
          <w:i/>
          <w:lang w:val="fr-CA"/>
        </w:rPr>
        <w:t>Pacte</w:t>
      </w:r>
      <w:r w:rsidRPr="008C13CD">
        <w:rPr>
          <w:rFonts w:cs="Times New Roman"/>
          <w:lang w:val="fr-CA"/>
        </w:rPr>
        <w:t xml:space="preserve"> énonce que les droits de l’homme « découlent de la dignité inhérente à la personne humaine », il n’est guère surprenant que le Comité des droits de l’homme accepte uniquement les plaintes émanant de personnes physiques (</w:t>
      </w:r>
      <w:r w:rsidRPr="008C13CD">
        <w:rPr>
          <w:rFonts w:cs="Times New Roman"/>
          <w:i/>
          <w:lang w:val="fr-CA"/>
        </w:rPr>
        <w:t>Une société d’édition c. Trinité</w:t>
      </w:r>
      <w:r w:rsidRPr="008C13CD">
        <w:rPr>
          <w:rFonts w:cs="Times New Roman"/>
          <w:i/>
          <w:lang w:val="fr-CA"/>
        </w:rPr>
        <w:noBreakHyphen/>
        <w:t>et</w:t>
      </w:r>
      <w:r w:rsidRPr="008C13CD">
        <w:rPr>
          <w:rFonts w:cs="Times New Roman"/>
          <w:i/>
          <w:lang w:val="fr-CA"/>
        </w:rPr>
        <w:noBreakHyphen/>
        <w:t>Tobago</w:t>
      </w:r>
      <w:r w:rsidRPr="008C13CD">
        <w:rPr>
          <w:rFonts w:cs="Times New Roman"/>
          <w:lang w:val="fr-CA"/>
        </w:rPr>
        <w:t>, Communication n</w:t>
      </w:r>
      <w:r w:rsidRPr="008C13CD">
        <w:rPr>
          <w:rFonts w:cs="Times New Roman"/>
          <w:vertAlign w:val="superscript"/>
          <w:lang w:val="fr-CA"/>
        </w:rPr>
        <w:t>o</w:t>
      </w:r>
      <w:r w:rsidRPr="008C13CD">
        <w:rPr>
          <w:rFonts w:cs="Times New Roman"/>
          <w:lang w:val="fr-CA"/>
        </w:rPr>
        <w:t> 360/1989</w:t>
      </w:r>
      <w:r>
        <w:rPr>
          <w:rFonts w:cs="Times New Roman"/>
          <w:lang w:val="fr-CA"/>
        </w:rPr>
        <w:t>, rapportée dans</w:t>
      </w:r>
      <w:r w:rsidRPr="008C13CD">
        <w:rPr>
          <w:rFonts w:cs="Times New Roman"/>
          <w:lang w:val="fr-CA"/>
        </w:rPr>
        <w:t xml:space="preserve"> Doc.</w:t>
      </w:r>
      <w:r>
        <w:rPr>
          <w:rFonts w:cs="Times New Roman"/>
          <w:lang w:val="fr-CA"/>
        </w:rPr>
        <w:t xml:space="preserve"> N.U.</w:t>
      </w:r>
      <w:r w:rsidRPr="008C13CD">
        <w:rPr>
          <w:rFonts w:cs="Times New Roman"/>
          <w:lang w:val="fr-CA"/>
        </w:rPr>
        <w:t xml:space="preserve"> Supp</w:t>
      </w:r>
      <w:r>
        <w:rPr>
          <w:rFonts w:cs="Times New Roman"/>
          <w:lang w:val="fr-CA"/>
        </w:rPr>
        <w:t>.</w:t>
      </w:r>
      <w:r w:rsidRPr="008C13CD">
        <w:rPr>
          <w:rFonts w:cs="Times New Roman"/>
          <w:lang w:val="fr-CA"/>
        </w:rPr>
        <w:t xml:space="preserve"> n</w:t>
      </w:r>
      <w:r w:rsidRPr="008C13CD">
        <w:rPr>
          <w:rFonts w:cs="Times New Roman"/>
          <w:vertAlign w:val="superscript"/>
          <w:lang w:val="fr-CA"/>
        </w:rPr>
        <w:t>o</w:t>
      </w:r>
      <w:r w:rsidRPr="008C13CD">
        <w:rPr>
          <w:rFonts w:cs="Times New Roman"/>
          <w:lang w:val="fr-CA"/>
        </w:rPr>
        <w:t> 40 (A/44/40)</w:t>
      </w:r>
      <w:r>
        <w:rPr>
          <w:rFonts w:cs="Times New Roman"/>
          <w:lang w:val="fr-CA"/>
        </w:rPr>
        <w:t xml:space="preserve">, par. 3.2; </w:t>
      </w:r>
      <w:r>
        <w:rPr>
          <w:i/>
          <w:lang w:val="fr-CA"/>
        </w:rPr>
        <w:t>Une société d’édition et une société d’impression</w:t>
      </w:r>
      <w:r w:rsidRPr="0010152D">
        <w:rPr>
          <w:i/>
          <w:lang w:val="fr-CA"/>
        </w:rPr>
        <w:t xml:space="preserve"> c. Trinité-et-Tobago</w:t>
      </w:r>
      <w:r w:rsidRPr="0010152D">
        <w:rPr>
          <w:lang w:val="fr-CA"/>
        </w:rPr>
        <w:t>, Communication n</w:t>
      </w:r>
      <w:r w:rsidRPr="0010152D">
        <w:rPr>
          <w:vertAlign w:val="superscript"/>
          <w:lang w:val="fr-CA"/>
        </w:rPr>
        <w:t>o</w:t>
      </w:r>
      <w:r>
        <w:rPr>
          <w:lang w:val="fr-CA"/>
        </w:rPr>
        <w:t> 361</w:t>
      </w:r>
      <w:r w:rsidRPr="0010152D">
        <w:rPr>
          <w:lang w:val="fr-CA"/>
        </w:rPr>
        <w:t xml:space="preserve">/1989, </w:t>
      </w:r>
      <w:r>
        <w:rPr>
          <w:lang w:val="fr-CA"/>
        </w:rPr>
        <w:t xml:space="preserve">rapportée dans </w:t>
      </w:r>
      <w:r w:rsidRPr="0010152D">
        <w:rPr>
          <w:lang w:val="fr-CA"/>
        </w:rPr>
        <w:t>Doc. N.U. Supp. n</w:t>
      </w:r>
      <w:r w:rsidRPr="0010152D">
        <w:rPr>
          <w:vertAlign w:val="superscript"/>
          <w:lang w:val="fr-CA"/>
        </w:rPr>
        <w:t>o</w:t>
      </w:r>
      <w:r>
        <w:rPr>
          <w:lang w:val="fr-CA"/>
        </w:rPr>
        <w:t> </w:t>
      </w:r>
      <w:r w:rsidRPr="0010152D">
        <w:rPr>
          <w:lang w:val="fr-CA"/>
        </w:rPr>
        <w:t>40 (A/44/40)</w:t>
      </w:r>
      <w:r>
        <w:rPr>
          <w:rFonts w:cs="Times New Roman"/>
          <w:lang w:val="fr-CA"/>
        </w:rPr>
        <w:t>, par. 3.2;</w:t>
      </w:r>
      <w:r w:rsidRPr="008C13CD">
        <w:rPr>
          <w:rFonts w:cs="Times New Roman"/>
          <w:lang w:val="fr-CA"/>
        </w:rPr>
        <w:t xml:space="preserve"> </w:t>
      </w:r>
      <w:r w:rsidRPr="008C13CD">
        <w:rPr>
          <w:rFonts w:cs="Times New Roman"/>
          <w:i/>
          <w:lang w:val="fr-CA"/>
        </w:rPr>
        <w:t>V.S. c. Bélarus</w:t>
      </w:r>
      <w:r w:rsidRPr="008C13CD">
        <w:rPr>
          <w:rFonts w:cs="Times New Roman"/>
          <w:lang w:val="fr-CA"/>
        </w:rPr>
        <w:t xml:space="preserve">, </w:t>
      </w:r>
      <w:r>
        <w:rPr>
          <w:rFonts w:cs="Times New Roman"/>
          <w:lang w:val="fr-CA"/>
        </w:rPr>
        <w:t xml:space="preserve">Communication </w:t>
      </w:r>
      <w:r w:rsidRPr="008C13CD">
        <w:rPr>
          <w:rFonts w:cs="Times New Roman"/>
          <w:lang w:val="fr-CA"/>
        </w:rPr>
        <w:t>n</w:t>
      </w:r>
      <w:r w:rsidRPr="008C13CD">
        <w:rPr>
          <w:rFonts w:cs="Times New Roman"/>
          <w:vertAlign w:val="superscript"/>
          <w:lang w:val="fr-CA"/>
        </w:rPr>
        <w:t>o</w:t>
      </w:r>
      <w:r w:rsidRPr="008C13CD">
        <w:rPr>
          <w:rFonts w:cs="Times New Roman"/>
          <w:lang w:val="fr-CA"/>
        </w:rPr>
        <w:t> 1749/2008,</w:t>
      </w:r>
      <w:r>
        <w:rPr>
          <w:rFonts w:cs="Times New Roman"/>
          <w:lang w:val="fr-CA"/>
        </w:rPr>
        <w:t xml:space="preserve"> rapportée dans</w:t>
      </w:r>
      <w:r w:rsidRPr="008C13CD">
        <w:rPr>
          <w:rFonts w:cs="Times New Roman"/>
          <w:lang w:val="fr-CA"/>
        </w:rPr>
        <w:t xml:space="preserve"> </w:t>
      </w:r>
      <w:r>
        <w:rPr>
          <w:rFonts w:cs="Times New Roman"/>
          <w:lang w:val="fr-CA"/>
        </w:rPr>
        <w:t xml:space="preserve">Doc. N.U. CCPR/C/103/D (2011), par. 7.3; </w:t>
      </w:r>
      <w:r w:rsidRPr="00B528F1">
        <w:rPr>
          <w:rFonts w:cs="Times New Roman"/>
          <w:i/>
          <w:lang w:val="fr-CA"/>
        </w:rPr>
        <w:t>Observation générale n</w:t>
      </w:r>
      <w:r w:rsidRPr="00B528F1">
        <w:rPr>
          <w:rFonts w:cs="Times New Roman"/>
          <w:i/>
          <w:vertAlign w:val="superscript"/>
          <w:lang w:val="fr-CA"/>
        </w:rPr>
        <w:t>o</w:t>
      </w:r>
      <w:r w:rsidRPr="00B528F1">
        <w:rPr>
          <w:rFonts w:cs="Times New Roman"/>
          <w:i/>
          <w:lang w:val="fr-CA"/>
        </w:rPr>
        <w:t> 31</w:t>
      </w:r>
      <w:r>
        <w:rPr>
          <w:rFonts w:cs="Times New Roman"/>
          <w:i/>
          <w:lang w:val="fr-CA"/>
        </w:rPr>
        <w:t> </w:t>
      </w:r>
      <w:r w:rsidRPr="00874ECE">
        <w:rPr>
          <w:rFonts w:cs="Times New Roman"/>
          <w:i/>
          <w:lang w:val="fr-CA"/>
        </w:rPr>
        <w:t>:</w:t>
      </w:r>
      <w:r w:rsidRPr="00B528F1">
        <w:rPr>
          <w:rFonts w:cs="Times New Roman"/>
          <w:i/>
          <w:lang w:val="fr-CA"/>
        </w:rPr>
        <w:t> La nature et l’obligation juridique générale imposée aux États parties au Pacte</w:t>
      </w:r>
      <w:r w:rsidRPr="008C13CD">
        <w:rPr>
          <w:rFonts w:cs="Times New Roman"/>
          <w:lang w:val="fr-CA"/>
        </w:rPr>
        <w:t xml:space="preserve">, </w:t>
      </w:r>
      <w:r>
        <w:rPr>
          <w:rFonts w:cs="Times New Roman"/>
          <w:lang w:val="fr-CA"/>
        </w:rPr>
        <w:t>Doc. N.U. CCPR/C/21/Rev.1/Add.13, 26 mai 2004</w:t>
      </w:r>
      <w:r w:rsidRPr="008C13CD">
        <w:rPr>
          <w:rFonts w:cs="Times New Roman"/>
          <w:lang w:val="fr-CA"/>
        </w:rPr>
        <w:t>, par. 9).</w:t>
      </w:r>
    </w:p>
    <w:p w:rsidR="00182BDC" w:rsidRPr="008C13CD" w:rsidRDefault="00182BDC" w:rsidP="00182BDC">
      <w:pPr>
        <w:pStyle w:val="ParaNoNdepar-AltN"/>
        <w:spacing w:before="0"/>
        <w:rPr>
          <w:rFonts w:cs="Times New Roman"/>
          <w:lang w:val="fr-CA"/>
        </w:rPr>
      </w:pPr>
      <w:r w:rsidRPr="008C13CD">
        <w:rPr>
          <w:rFonts w:cs="Times New Roman"/>
          <w:iCs/>
          <w:shd w:val="clear" w:color="auto" w:fill="FFFFFF"/>
          <w:lang w:val="fr-CA"/>
        </w:rPr>
        <w:t xml:space="preserve">Le paragraphe </w:t>
      </w:r>
      <w:r>
        <w:rPr>
          <w:rFonts w:cs="Times New Roman"/>
          <w:iCs/>
          <w:shd w:val="clear" w:color="auto" w:fill="FFFFFF"/>
          <w:lang w:val="fr-CA"/>
        </w:rPr>
        <w:t>5(2</w:t>
      </w:r>
      <w:r w:rsidRPr="008C13CD">
        <w:rPr>
          <w:rFonts w:cs="Times New Roman"/>
          <w:iCs/>
          <w:shd w:val="clear" w:color="auto" w:fill="FFFFFF"/>
          <w:lang w:val="fr-CA"/>
        </w:rPr>
        <w:t xml:space="preserve">) de la </w:t>
      </w:r>
      <w:r w:rsidRPr="008C13CD">
        <w:rPr>
          <w:rFonts w:cs="Times New Roman"/>
          <w:i/>
          <w:iCs/>
          <w:shd w:val="clear" w:color="auto" w:fill="FFFFFF"/>
          <w:lang w:val="fr-CA"/>
        </w:rPr>
        <w:t>Convention américaine relative aux droits de l’homme</w:t>
      </w:r>
      <w:r w:rsidRPr="008C13CD">
        <w:rPr>
          <w:rFonts w:cs="Times New Roman"/>
          <w:shd w:val="clear" w:color="auto" w:fill="FFFFFF"/>
          <w:lang w:val="fr-CA"/>
        </w:rPr>
        <w:t>, 1144 R.T.N.U. 123, qui s’applique à environ 24 pays des Amériques, dispose pareillement ce qui suit : « Nul ne peut être soumis à la torture ni à des peines ou traitements cruels, inhumains ou dégradants. Toute personne privée de sa liberté sera traitée avec le respect dû à la dignité inhérente à la personne humaine ». Le libellé du par. 1(2), dispose qu’ « [a]ux effets de la présente Convention, tout être humain est une personne ».</w:t>
      </w:r>
      <w:r w:rsidRPr="008C13CD">
        <w:rPr>
          <w:rFonts w:cs="Times New Roman"/>
          <w:lang w:val="fr-CA"/>
        </w:rPr>
        <w:t xml:space="preserve"> </w:t>
      </w:r>
      <w:r w:rsidRPr="008C13CD">
        <w:rPr>
          <w:rFonts w:cs="Times New Roman"/>
          <w:shd w:val="clear" w:color="auto" w:fill="FFFFFF"/>
          <w:lang w:val="fr-CA"/>
        </w:rPr>
        <w:t xml:space="preserve">La Cour interaméricaine des droits de l’homme, l’organisme juridictionnel chargé de faire respecter la </w:t>
      </w:r>
      <w:r w:rsidRPr="008C13CD">
        <w:rPr>
          <w:rFonts w:cs="Times New Roman"/>
          <w:i/>
          <w:iCs/>
          <w:shd w:val="clear" w:color="auto" w:fill="FFFFFF"/>
          <w:lang w:val="fr-CA"/>
        </w:rPr>
        <w:t>Convention américaine relative aux droits de l’homme</w:t>
      </w:r>
      <w:r w:rsidRPr="008C13CD">
        <w:rPr>
          <w:rFonts w:cs="Times New Roman"/>
          <w:shd w:val="clear" w:color="auto" w:fill="FFFFFF"/>
          <w:lang w:val="fr-CA"/>
        </w:rPr>
        <w:t>,</w:t>
      </w:r>
      <w:r w:rsidRPr="008C13CD">
        <w:rPr>
          <w:rFonts w:cs="Times New Roman"/>
          <w:i/>
          <w:shd w:val="clear" w:color="auto" w:fill="FFFFFF"/>
          <w:lang w:val="fr-CA"/>
        </w:rPr>
        <w:t xml:space="preserve"> </w:t>
      </w:r>
      <w:r w:rsidRPr="008C13CD">
        <w:rPr>
          <w:rFonts w:cs="Times New Roman"/>
          <w:shd w:val="clear" w:color="auto" w:fill="FFFFFF"/>
          <w:lang w:val="fr-CA"/>
        </w:rPr>
        <w:t xml:space="preserve">a statué que la </w:t>
      </w:r>
      <w:r w:rsidRPr="008C13CD">
        <w:rPr>
          <w:rFonts w:cs="Times New Roman"/>
          <w:i/>
          <w:iCs/>
          <w:shd w:val="clear" w:color="auto" w:fill="FFFFFF"/>
          <w:lang w:val="fr-CA"/>
        </w:rPr>
        <w:t xml:space="preserve">Convention américaine </w:t>
      </w:r>
      <w:r w:rsidRPr="008C13CD">
        <w:rPr>
          <w:rFonts w:cs="Times New Roman"/>
          <w:shd w:val="clear" w:color="auto" w:fill="FFFFFF"/>
          <w:lang w:val="fr-CA"/>
        </w:rPr>
        <w:t>avait pour objet la « protection des droits fondamentaux des êtres humains » (</w:t>
      </w:r>
      <w:r>
        <w:rPr>
          <w:rFonts w:cs="Times New Roman"/>
          <w:shd w:val="clear" w:color="auto" w:fill="FFFFFF"/>
          <w:lang w:val="fr-CA"/>
        </w:rPr>
        <w:t>Angela B. Cornell, « </w:t>
      </w:r>
      <w:r w:rsidRPr="008C13CD">
        <w:rPr>
          <w:rFonts w:cs="Times New Roman"/>
          <w:lang w:val="fr-CA"/>
        </w:rPr>
        <w:t>Inter</w:t>
      </w:r>
      <w:r w:rsidRPr="008C13CD">
        <w:rPr>
          <w:rFonts w:cs="Times New Roman"/>
          <w:lang w:val="fr-CA"/>
        </w:rPr>
        <w:noBreakHyphen/>
        <w:t>American Court Recognizes Elevated Status of Trade Unions, Rejects Standing of Corporations</w:t>
      </w:r>
      <w:r>
        <w:rPr>
          <w:rFonts w:cs="Times New Roman"/>
          <w:lang w:val="fr-CA"/>
        </w:rPr>
        <w:t> »</w:t>
      </w:r>
      <w:r w:rsidRPr="008C13CD">
        <w:rPr>
          <w:rFonts w:cs="Times New Roman"/>
          <w:lang w:val="fr-CA"/>
        </w:rPr>
        <w:t xml:space="preserve"> </w:t>
      </w:r>
      <w:r w:rsidRPr="008C13CD">
        <w:rPr>
          <w:rFonts w:cs="Times New Roman"/>
          <w:lang w:val="fr-CA"/>
        </w:rPr>
        <w:lastRenderedPageBreak/>
        <w:t xml:space="preserve">(2017), 3 </w:t>
      </w:r>
      <w:r w:rsidRPr="008C13CD">
        <w:rPr>
          <w:rFonts w:cs="Times New Roman"/>
          <w:i/>
          <w:lang w:val="fr-CA"/>
        </w:rPr>
        <w:t>Intl Labor Rights Case L.</w:t>
      </w:r>
      <w:r w:rsidRPr="008C13CD">
        <w:rPr>
          <w:rFonts w:cs="Times New Roman"/>
          <w:lang w:val="fr-CA"/>
        </w:rPr>
        <w:t xml:space="preserve"> 39, p. 40, citant </w:t>
      </w:r>
      <w:r w:rsidRPr="0072663E">
        <w:rPr>
          <w:i/>
          <w:lang w:val="fr-CA"/>
        </w:rPr>
        <w:t xml:space="preserve">Titularidad </w:t>
      </w:r>
      <w:r>
        <w:rPr>
          <w:i/>
          <w:lang w:val="fr-CA"/>
        </w:rPr>
        <w:t>de Derechos de las Personas Juri</w:t>
      </w:r>
      <w:r w:rsidRPr="0072663E">
        <w:rPr>
          <w:i/>
          <w:lang w:val="fr-CA"/>
        </w:rPr>
        <w:t>dicas en el Sistema Interamericano de Derechos Humanos</w:t>
      </w:r>
      <w:r w:rsidRPr="008C13CD">
        <w:rPr>
          <w:rFonts w:cs="Times New Roman"/>
          <w:lang w:val="fr-CA"/>
        </w:rPr>
        <w:t>, Avis consultatif OC</w:t>
      </w:r>
      <w:r w:rsidRPr="008C13CD">
        <w:rPr>
          <w:rFonts w:cs="Times New Roman"/>
          <w:lang w:val="fr-CA"/>
        </w:rPr>
        <w:noBreakHyphen/>
        <w:t>22/16, 26 février 2016, par. </w:t>
      </w:r>
      <w:r>
        <w:rPr>
          <w:rFonts w:cs="Times New Roman"/>
          <w:lang w:val="fr-CA"/>
        </w:rPr>
        <w:t>42</w:t>
      </w:r>
      <w:r>
        <w:rPr>
          <w:rFonts w:cs="Times New Roman"/>
          <w:lang w:val="fr-CA"/>
        </w:rPr>
        <w:noBreakHyphen/>
      </w:r>
      <w:r w:rsidRPr="008C13CD">
        <w:rPr>
          <w:rFonts w:cs="Times New Roman"/>
          <w:lang w:val="fr-CA"/>
        </w:rPr>
        <w:t>43</w:t>
      </w:r>
      <w:r w:rsidRPr="008C13CD">
        <w:rPr>
          <w:rFonts w:cs="Times New Roman"/>
          <w:shd w:val="clear" w:color="auto" w:fill="FFFFFF"/>
          <w:lang w:val="fr-CA"/>
        </w:rPr>
        <w:t>).</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La </w:t>
      </w:r>
      <w:r w:rsidRPr="008C13CD">
        <w:rPr>
          <w:rFonts w:cs="Times New Roman"/>
          <w:i/>
          <w:lang w:val="fr-CA"/>
        </w:rPr>
        <w:t xml:space="preserve">Convention </w:t>
      </w:r>
      <w:r w:rsidRPr="008C13CD">
        <w:rPr>
          <w:rFonts w:cs="Times New Roman"/>
          <w:lang w:val="fr-CA"/>
        </w:rPr>
        <w:t>européenne</w:t>
      </w:r>
      <w:r w:rsidRPr="008C13CD">
        <w:rPr>
          <w:rFonts w:cs="Times New Roman"/>
          <w:i/>
          <w:lang w:val="fr-CA"/>
        </w:rPr>
        <w:t xml:space="preserve"> </w:t>
      </w:r>
      <w:r w:rsidRPr="008C13CD">
        <w:rPr>
          <w:rFonts w:cs="Times New Roman"/>
          <w:lang w:val="fr-CA"/>
        </w:rPr>
        <w:t>est le seul traité international sur les droits de l’homme qui a été interprété comme englobant les droits des personnes morales (Julian G. Ku, « </w:t>
      </w:r>
      <w:r w:rsidR="00951C33">
        <w:rPr>
          <w:rFonts w:cs="Times New Roman"/>
          <w:lang w:val="fr-CA"/>
        </w:rPr>
        <w:t>The Limits of Corporate Rights U</w:t>
      </w:r>
      <w:r w:rsidRPr="008C13CD">
        <w:rPr>
          <w:rFonts w:cs="Times New Roman"/>
          <w:lang w:val="fr-CA"/>
        </w:rPr>
        <w:t>nder International Law » (2012</w:t>
      </w:r>
      <w:r>
        <w:rPr>
          <w:rFonts w:cs="Times New Roman"/>
          <w:lang w:val="fr-CA"/>
        </w:rPr>
        <w:t>),</w:t>
      </w:r>
      <w:r w:rsidRPr="008C13CD">
        <w:rPr>
          <w:rFonts w:cs="Times New Roman"/>
          <w:lang w:val="fr-CA"/>
        </w:rPr>
        <w:t xml:space="preserve"> 12 </w:t>
      </w:r>
      <w:r w:rsidRPr="00861438">
        <w:rPr>
          <w:rFonts w:cs="Times New Roman"/>
          <w:i/>
          <w:lang w:val="fr-CA"/>
        </w:rPr>
        <w:t>Chi. J. Int’l L.</w:t>
      </w:r>
      <w:r w:rsidRPr="008C13CD">
        <w:rPr>
          <w:rFonts w:cs="Times New Roman"/>
          <w:lang w:val="fr-CA"/>
        </w:rPr>
        <w:t xml:space="preserve"> 729, p. 754).</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Il convient toutefois de noter qu’il a été jugé que l’art. 3 — qui dispose que « [n]ul ne peut être soumis à la torture ni à des peines ou traitements inhumains ou dégradants » — </w:t>
      </w:r>
      <w:r w:rsidRPr="008C13CD">
        <w:rPr>
          <w:rFonts w:cs="Times New Roman"/>
          <w:i/>
          <w:lang w:val="fr-CA"/>
        </w:rPr>
        <w:t>ne</w:t>
      </w:r>
      <w:r w:rsidRPr="008C13CD">
        <w:rPr>
          <w:rFonts w:cs="Times New Roman"/>
          <w:lang w:val="fr-CA"/>
        </w:rPr>
        <w:t xml:space="preserve"> s’applique </w:t>
      </w:r>
      <w:r w:rsidRPr="008C13CD">
        <w:rPr>
          <w:rFonts w:cs="Times New Roman"/>
          <w:i/>
          <w:lang w:val="fr-CA"/>
        </w:rPr>
        <w:t>pas</w:t>
      </w:r>
      <w:r w:rsidRPr="008C13CD">
        <w:rPr>
          <w:rFonts w:cs="Times New Roman"/>
          <w:lang w:val="fr-CA"/>
        </w:rPr>
        <w:t xml:space="preserve"> aux personnes morales. Dans l’arrêt </w:t>
      </w:r>
      <w:r w:rsidRPr="008C13CD">
        <w:rPr>
          <w:rFonts w:cs="Times New Roman"/>
          <w:i/>
          <w:lang w:val="fr-CA"/>
        </w:rPr>
        <w:t>Kontakt</w:t>
      </w:r>
      <w:r w:rsidRPr="008C13CD">
        <w:rPr>
          <w:rFonts w:cs="Times New Roman"/>
          <w:i/>
          <w:lang w:val="fr-CA"/>
        </w:rPr>
        <w:noBreakHyphen/>
        <w:t>Information</w:t>
      </w:r>
      <w:r w:rsidRPr="008C13CD">
        <w:rPr>
          <w:rFonts w:cs="Times New Roman"/>
          <w:i/>
          <w:lang w:val="fr-CA"/>
        </w:rPr>
        <w:noBreakHyphen/>
      </w:r>
      <w:r>
        <w:rPr>
          <w:rFonts w:cs="Times New Roman"/>
          <w:i/>
          <w:lang w:val="fr-CA"/>
        </w:rPr>
        <w:t>Therapie</w:t>
      </w:r>
      <w:r w:rsidRPr="008C13CD">
        <w:rPr>
          <w:rFonts w:cs="Times New Roman"/>
          <w:i/>
          <w:lang w:val="fr-CA"/>
        </w:rPr>
        <w:t xml:space="preserve"> c.</w:t>
      </w:r>
      <w:r>
        <w:rPr>
          <w:rFonts w:cs="Times New Roman"/>
          <w:i/>
          <w:lang w:val="fr-CA"/>
        </w:rPr>
        <w:t xml:space="preserve"> </w:t>
      </w:r>
      <w:r w:rsidRPr="008C13CD">
        <w:rPr>
          <w:rFonts w:cs="Times New Roman"/>
          <w:i/>
          <w:lang w:val="fr-CA"/>
        </w:rPr>
        <w:t>Autriche</w:t>
      </w:r>
      <w:r w:rsidRPr="008C13CD">
        <w:rPr>
          <w:rFonts w:cs="Times New Roman"/>
          <w:lang w:val="fr-CA"/>
        </w:rPr>
        <w:t xml:space="preserve">, </w:t>
      </w:r>
      <w:r>
        <w:rPr>
          <w:rFonts w:cs="Times New Roman"/>
          <w:lang w:val="fr-CA"/>
        </w:rPr>
        <w:t>requête n</w:t>
      </w:r>
      <w:r w:rsidRPr="00861438">
        <w:rPr>
          <w:rFonts w:cs="Times New Roman"/>
          <w:vertAlign w:val="superscript"/>
          <w:lang w:val="fr-CA"/>
        </w:rPr>
        <w:t>o</w:t>
      </w:r>
      <w:r w:rsidRPr="008C13CD">
        <w:rPr>
          <w:rFonts w:cs="Times New Roman"/>
          <w:lang w:val="fr-CA"/>
        </w:rPr>
        <w:t xml:space="preserve"> 11921/86, 12 octobre 1988, D.R. 57, p. 81 </w:t>
      </w:r>
      <w:r w:rsidR="00951C33">
        <w:rPr>
          <w:rFonts w:cs="Times New Roman"/>
          <w:lang w:val="fr-CA"/>
        </w:rPr>
        <w:t>(</w:t>
      </w:r>
      <w:r w:rsidRPr="008C13CD">
        <w:rPr>
          <w:rFonts w:cs="Times New Roman"/>
          <w:lang w:val="fr-CA"/>
        </w:rPr>
        <w:t>« </w:t>
      </w:r>
      <w:r w:rsidRPr="008C13CD">
        <w:rPr>
          <w:rFonts w:cs="Times New Roman"/>
          <w:i/>
          <w:lang w:val="fr-CA"/>
        </w:rPr>
        <w:t>KIT</w:t>
      </w:r>
      <w:r w:rsidRPr="00951C33">
        <w:rPr>
          <w:rFonts w:cs="Times New Roman"/>
          <w:lang w:val="fr-CA"/>
        </w:rPr>
        <w:t> »</w:t>
      </w:r>
      <w:r w:rsidR="00951C33" w:rsidRPr="00951C33">
        <w:rPr>
          <w:rFonts w:cs="Times New Roman"/>
          <w:lang w:val="fr-CA"/>
        </w:rPr>
        <w:t>)</w:t>
      </w:r>
      <w:r w:rsidRPr="00951C33">
        <w:rPr>
          <w:rFonts w:cs="Times New Roman"/>
          <w:lang w:val="fr-CA"/>
        </w:rPr>
        <w:t xml:space="preserve">, </w:t>
      </w:r>
      <w:r w:rsidRPr="008C13CD">
        <w:rPr>
          <w:rFonts w:cs="Times New Roman"/>
          <w:lang w:val="fr-CA"/>
        </w:rPr>
        <w:t>la Commission européenne des droits de l’homme a justifié une telle conclusion en affirmant que le droit de ne pas être soumis à des peines ou traitements dégradants prévu à l’art. 3 « [n’est] pas, par nature, susceptible</w:t>
      </w:r>
      <w:r>
        <w:rPr>
          <w:rFonts w:cs="Times New Roman"/>
          <w:lang w:val="fr-CA"/>
        </w:rPr>
        <w:t xml:space="preserve"> </w:t>
      </w:r>
      <w:r w:rsidRPr="008C13CD">
        <w:rPr>
          <w:rFonts w:cs="Times New Roman"/>
          <w:lang w:val="fr-CA"/>
        </w:rPr>
        <w:t>[. . .] d’être exercé</w:t>
      </w:r>
      <w:r>
        <w:rPr>
          <w:rFonts w:cs="Times New Roman"/>
          <w:lang w:val="fr-CA"/>
        </w:rPr>
        <w:t> </w:t>
      </w:r>
      <w:r w:rsidRPr="008C13CD">
        <w:rPr>
          <w:rFonts w:cs="Times New Roman"/>
          <w:lang w:val="fr-CA"/>
        </w:rPr>
        <w:t>» par une personne morale (p. 88).</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Plus récemment, appliquant l’arrêt </w:t>
      </w:r>
      <w:r w:rsidRPr="008C13CD">
        <w:rPr>
          <w:rFonts w:cs="Times New Roman"/>
          <w:i/>
          <w:lang w:val="fr-CA"/>
        </w:rPr>
        <w:t>KIT</w:t>
      </w:r>
      <w:r w:rsidRPr="008C13CD">
        <w:rPr>
          <w:rFonts w:cs="Times New Roman"/>
          <w:lang w:val="fr-CA"/>
        </w:rPr>
        <w:t>, la Cour européenne des droits de l’homme a jugé qu’il était [</w:t>
      </w:r>
      <w:r w:rsidRPr="008C13CD">
        <w:rPr>
          <w:rFonts w:cs="Times New Roman"/>
          <w:smallCaps/>
          <w:lang w:val="fr-CA"/>
        </w:rPr>
        <w:t>traduction</w:t>
      </w:r>
      <w:r w:rsidRPr="008C13CD">
        <w:rPr>
          <w:rFonts w:cs="Times New Roman"/>
          <w:lang w:val="fr-CA"/>
        </w:rPr>
        <w:t>] « inconcevable » qu’une personne morale puisse se plaindre d’atteintes à son intégrité physique et mentale pour l’application de l’art. 3 (</w:t>
      </w:r>
      <w:r>
        <w:rPr>
          <w:rFonts w:cs="Times New Roman"/>
          <w:i/>
          <w:lang w:val="fr-CA"/>
        </w:rPr>
        <w:t>Identoba</w:t>
      </w:r>
      <w:r w:rsidRPr="008C13CD">
        <w:rPr>
          <w:rFonts w:cs="Times New Roman"/>
          <w:i/>
          <w:lang w:val="fr-CA"/>
        </w:rPr>
        <w:t xml:space="preserve"> c. </w:t>
      </w:r>
      <w:r>
        <w:rPr>
          <w:rFonts w:cs="Times New Roman"/>
          <w:i/>
          <w:lang w:val="fr-CA"/>
        </w:rPr>
        <w:t>Ge</w:t>
      </w:r>
      <w:r w:rsidRPr="008C13CD">
        <w:rPr>
          <w:rFonts w:cs="Times New Roman"/>
          <w:i/>
          <w:lang w:val="fr-CA"/>
        </w:rPr>
        <w:t>orgi</w:t>
      </w:r>
      <w:r>
        <w:rPr>
          <w:rFonts w:cs="Times New Roman"/>
          <w:i/>
          <w:lang w:val="fr-CA"/>
        </w:rPr>
        <w:t>a</w:t>
      </w:r>
      <w:r>
        <w:rPr>
          <w:rFonts w:cs="Times New Roman"/>
          <w:lang w:val="fr-CA"/>
        </w:rPr>
        <w:t>, Application n</w:t>
      </w:r>
      <w:r w:rsidRPr="00861438">
        <w:rPr>
          <w:rFonts w:cs="Times New Roman"/>
          <w:vertAlign w:val="superscript"/>
          <w:lang w:val="fr-CA"/>
        </w:rPr>
        <w:t>o</w:t>
      </w:r>
      <w:r>
        <w:rPr>
          <w:rFonts w:cs="Times New Roman"/>
          <w:lang w:val="fr-CA"/>
        </w:rPr>
        <w:t xml:space="preserve"> 73235/12, </w:t>
      </w:r>
      <w:r w:rsidRPr="008C13CD">
        <w:rPr>
          <w:rFonts w:cs="Times New Roman"/>
          <w:lang w:val="fr-CA"/>
        </w:rPr>
        <w:t>12 mai 2015</w:t>
      </w:r>
      <w:r>
        <w:rPr>
          <w:rFonts w:cs="Times New Roman"/>
          <w:lang w:val="fr-CA"/>
        </w:rPr>
        <w:t xml:space="preserve"> (HUDOC</w:t>
      </w:r>
      <w:r w:rsidRPr="008C13CD">
        <w:rPr>
          <w:rFonts w:cs="Times New Roman"/>
          <w:lang w:val="fr-CA"/>
        </w:rPr>
        <w:t>), par. 45).</w:t>
      </w:r>
    </w:p>
    <w:p w:rsidR="00182BDC" w:rsidRPr="008C13CD" w:rsidRDefault="00182BDC" w:rsidP="00182BDC">
      <w:pPr>
        <w:pStyle w:val="ParaNoNdepar-AltN"/>
        <w:spacing w:before="0"/>
        <w:rPr>
          <w:rFonts w:cs="Times New Roman"/>
          <w:b/>
          <w:lang w:val="fr-CA"/>
        </w:rPr>
      </w:pPr>
      <w:r w:rsidRPr="008C13CD">
        <w:rPr>
          <w:rFonts w:cs="Times New Roman"/>
          <w:lang w:val="fr-CA"/>
        </w:rPr>
        <w:lastRenderedPageBreak/>
        <w:t xml:space="preserve">Le champ d’application du par. 16(1) de la </w:t>
      </w:r>
      <w:r w:rsidRPr="008C13CD">
        <w:rPr>
          <w:rFonts w:cs="Times New Roman"/>
          <w:i/>
          <w:iCs/>
          <w:lang w:val="fr-CA"/>
        </w:rPr>
        <w:t>Convention contre la torture et autres peines ou traitements cruels, inhumains ou dégradants</w:t>
      </w:r>
      <w:r w:rsidRPr="008C13CD">
        <w:rPr>
          <w:rFonts w:cs="Times New Roman"/>
          <w:lang w:val="fr-CA"/>
        </w:rPr>
        <w:t>, R.T. Can</w:t>
      </w:r>
      <w:r>
        <w:rPr>
          <w:rFonts w:cs="Times New Roman"/>
          <w:lang w:val="fr-CA"/>
        </w:rPr>
        <w:t>.</w:t>
      </w:r>
      <w:r w:rsidRPr="008C13CD">
        <w:rPr>
          <w:rFonts w:cs="Times New Roman"/>
          <w:lang w:val="fr-CA"/>
        </w:rPr>
        <w:t xml:space="preserve"> 1987 n</w:t>
      </w:r>
      <w:r w:rsidRPr="008C13CD">
        <w:rPr>
          <w:rFonts w:cs="Times New Roman"/>
          <w:vertAlign w:val="superscript"/>
          <w:lang w:val="fr-CA"/>
        </w:rPr>
        <w:t>o</w:t>
      </w:r>
      <w:r w:rsidRPr="008C13CD">
        <w:rPr>
          <w:rFonts w:cs="Times New Roman"/>
          <w:lang w:val="fr-CA"/>
        </w:rPr>
        <w:t> 36, qui dispose que les États parties « s’engag[ent] à interdire dans tout territoire sous [leur] juridiction d’autres actes constitutifs de peines ou traitements cruels, inhumains ou dégradants qui ne sont pas des actes de torture telle qu’elle est déf</w:t>
      </w:r>
      <w:r w:rsidR="00706496">
        <w:rPr>
          <w:rFonts w:cs="Times New Roman"/>
          <w:lang w:val="fr-CA"/>
        </w:rPr>
        <w:t>inie à l’article premier</w:t>
      </w:r>
      <w:r w:rsidRPr="008C13CD">
        <w:rPr>
          <w:rFonts w:cs="Times New Roman"/>
          <w:lang w:val="fr-CA"/>
        </w:rPr>
        <w:t> », n’a jamais été élargi aux personnes morales. Non seulement le préambule reconnaît que les droits de l’homme « procèdent de la dignité inhérente à la personne humaine », mais l’article premier définit la torture en faisant référence à « une douleur ou des souffrances aiguës, physiques ou mentales ».</w:t>
      </w:r>
    </w:p>
    <w:p w:rsidR="00182BDC" w:rsidRPr="008C13CD" w:rsidRDefault="00182BDC" w:rsidP="00182BDC">
      <w:pPr>
        <w:pStyle w:val="ParaNoNdepar-AltN"/>
        <w:spacing w:before="0"/>
        <w:rPr>
          <w:rFonts w:cs="Times New Roman"/>
          <w:b/>
          <w:lang w:val="fr-CA"/>
        </w:rPr>
      </w:pPr>
      <w:r w:rsidRPr="008C13CD">
        <w:rPr>
          <w:rFonts w:cs="Times New Roman"/>
          <w:lang w:val="fr-CA"/>
        </w:rPr>
        <w:t xml:space="preserve">L’examen du droit interne étranger, bien qu’il ne soit pas déterminant, appuie aussi une interprétation de l’art. 12 de la </w:t>
      </w:r>
      <w:r w:rsidRPr="008C13CD">
        <w:rPr>
          <w:rFonts w:cs="Times New Roman"/>
          <w:i/>
          <w:lang w:val="fr-CA"/>
        </w:rPr>
        <w:t>Charte</w:t>
      </w:r>
      <w:r w:rsidRPr="008C13CD">
        <w:rPr>
          <w:rFonts w:cs="Times New Roman"/>
          <w:lang w:val="fr-CA"/>
        </w:rPr>
        <w:t xml:space="preserve"> qui a pour effet d’exclure l’existence d’une protection en faveur des personnes morales. En guise d’exemple, l’al</w:t>
      </w:r>
      <w:r>
        <w:rPr>
          <w:rFonts w:cs="Times New Roman"/>
          <w:lang w:val="fr-CA"/>
        </w:rPr>
        <w:t>.</w:t>
      </w:r>
      <w:r w:rsidRPr="008C13CD">
        <w:rPr>
          <w:rFonts w:cs="Times New Roman"/>
          <w:lang w:val="fr-CA"/>
        </w:rPr>
        <w:t> 12(1)e) de la Constitution de l’Afrique du Sud re</w:t>
      </w:r>
      <w:r>
        <w:rPr>
          <w:rFonts w:cs="Times New Roman"/>
          <w:lang w:val="fr-CA"/>
        </w:rPr>
        <w:t>flète</w:t>
      </w:r>
      <w:r w:rsidRPr="008C13CD">
        <w:rPr>
          <w:rFonts w:cs="Times New Roman"/>
          <w:lang w:val="fr-CA"/>
        </w:rPr>
        <w:t xml:space="preserve"> le libellé de l’art. 12 de la </w:t>
      </w:r>
      <w:r w:rsidRPr="008C13CD">
        <w:rPr>
          <w:rFonts w:cs="Times New Roman"/>
          <w:i/>
          <w:lang w:val="fr-CA"/>
        </w:rPr>
        <w:t>Charte</w:t>
      </w:r>
      <w:r w:rsidRPr="005B109B">
        <w:rPr>
          <w:rFonts w:cs="Times New Roman"/>
          <w:lang w:val="fr-CA"/>
        </w:rPr>
        <w:t>.</w:t>
      </w:r>
      <w:r w:rsidRPr="008C13CD">
        <w:rPr>
          <w:rFonts w:cs="Times New Roman"/>
          <w:lang w:val="fr-CA"/>
        </w:rPr>
        <w:t xml:space="preserve"> Interprétant cette disposition, la Cour constitutionnelle de l’Afrique du Sud a conclu que le droit de [</w:t>
      </w:r>
      <w:r w:rsidRPr="008C13CD">
        <w:rPr>
          <w:rFonts w:cs="Times New Roman"/>
          <w:smallCaps/>
          <w:lang w:val="fr-CA"/>
        </w:rPr>
        <w:t>traduction</w:t>
      </w:r>
      <w:r>
        <w:rPr>
          <w:rFonts w:cs="Times New Roman"/>
          <w:lang w:val="fr-CA"/>
        </w:rPr>
        <w:t xml:space="preserve">] « chacun </w:t>
      </w:r>
      <w:r w:rsidRPr="008C13CD">
        <w:rPr>
          <w:rFonts w:cs="Times New Roman"/>
          <w:lang w:val="fr-CA"/>
        </w:rPr>
        <w:t xml:space="preserve">de ne pas être traité ou puni de façon cruelle, inhumaine ou dégradante » est fondé sur la dignité humaine. Dans l’arrêt </w:t>
      </w:r>
      <w:r w:rsidRPr="008C13CD">
        <w:rPr>
          <w:rFonts w:cs="Times New Roman"/>
          <w:i/>
          <w:lang w:val="fr-CA"/>
        </w:rPr>
        <w:t>Williams</w:t>
      </w:r>
      <w:r w:rsidRPr="008C13CD">
        <w:rPr>
          <w:rFonts w:cs="Times New Roman"/>
          <w:lang w:val="fr-CA"/>
        </w:rPr>
        <w:t>, la Cour constitutionnelle a invalidé les dispositions relatives à la peine de fouet imposée aux jeunes, établissant des liens entre le Huitième amendement</w:t>
      </w:r>
      <w:r>
        <w:rPr>
          <w:rFonts w:cs="Times New Roman"/>
          <w:lang w:val="fr-CA"/>
        </w:rPr>
        <w:t xml:space="preserve"> de la Constitution des États-Unis</w:t>
      </w:r>
      <w:r w:rsidRPr="008C13CD">
        <w:rPr>
          <w:rFonts w:cs="Times New Roman"/>
          <w:lang w:val="fr-CA"/>
        </w:rPr>
        <w:t xml:space="preserve">, l’art. 12 de la </w:t>
      </w:r>
      <w:r w:rsidRPr="008C13CD">
        <w:rPr>
          <w:rFonts w:cs="Times New Roman"/>
          <w:i/>
          <w:lang w:val="fr-CA"/>
        </w:rPr>
        <w:t xml:space="preserve">Charte </w:t>
      </w:r>
      <w:r w:rsidRPr="00C321D7">
        <w:rPr>
          <w:rFonts w:cs="Times New Roman"/>
          <w:lang w:val="fr-CA"/>
        </w:rPr>
        <w:t xml:space="preserve">canadienne </w:t>
      </w:r>
      <w:r w:rsidRPr="008C13CD">
        <w:rPr>
          <w:rFonts w:cs="Times New Roman"/>
          <w:lang w:val="fr-CA"/>
        </w:rPr>
        <w:t>et d’autres instruments internationaux, pour conclure que toutes ces dispositions avaient en commun la protection de la « dignité humaine ». Comme l’a affirmé le juge Langa :</w:t>
      </w:r>
    </w:p>
    <w:p w:rsidR="00182BDC" w:rsidRDefault="00182BDC" w:rsidP="00182BDC">
      <w:pPr>
        <w:pStyle w:val="Citation-AltC"/>
        <w:ind w:hanging="446"/>
        <w:contextualSpacing w:val="0"/>
      </w:pPr>
      <w:r w:rsidRPr="008C13CD">
        <w:lastRenderedPageBreak/>
        <w:tab/>
      </w:r>
      <w:r>
        <w:tab/>
      </w:r>
      <w:r w:rsidRPr="008C13CD">
        <w:t>[</w:t>
      </w:r>
      <w:r w:rsidRPr="008C13CD">
        <w:rPr>
          <w:smallCaps/>
        </w:rPr>
        <w:t>traduction</w:t>
      </w:r>
      <w:r w:rsidRPr="008C13CD">
        <w:t>] Qu’il soit question de « peine cruelle et inusitée », comme dans le Huitième amendement de la Constitution des États</w:t>
      </w:r>
      <w:r w:rsidRPr="008C13CD">
        <w:noBreakHyphen/>
        <w:t xml:space="preserve">Unis et dans l’art. 12 de la Charte canadienne, ou de « peines inhumaines ou dégradantes », comme dans la Convention européenne et dans la Constitution du Zimbabwe, ou de « peine cruelle, inhumaine ou dégradante », comme dans la </w:t>
      </w:r>
      <w:r w:rsidRPr="008C13CD">
        <w:rPr>
          <w:i/>
        </w:rPr>
        <w:t>Déclaration universelle des droits de l’homme</w:t>
      </w:r>
      <w:r w:rsidRPr="008C13CD">
        <w:t>, le PIRDCP et la Constitution de la Namibie, le dénominateur commun du critère d’évaluation qui se dégage de chaque formulation est la description et la reconnaissance de l’idée que se fait la société de la décence et de la dignité humaine.</w:t>
      </w:r>
      <w:r>
        <w:t xml:space="preserve"> [</w:t>
      </w:r>
      <w:r w:rsidRPr="008C13CD">
        <w:t>par. 35</w:t>
      </w:r>
      <w:r>
        <w:t>]</w:t>
      </w:r>
    </w:p>
    <w:p w:rsidR="00182BDC" w:rsidRPr="00D84B6E" w:rsidRDefault="00182BDC" w:rsidP="00182BDC">
      <w:pPr>
        <w:pStyle w:val="ParaNoNdepar-AltN"/>
        <w:spacing w:before="0"/>
        <w:rPr>
          <w:rFonts w:cs="Times New Roman"/>
          <w:lang w:val="fr-CA"/>
        </w:rPr>
      </w:pPr>
      <w:r w:rsidRPr="008C13CD">
        <w:rPr>
          <w:rFonts w:cs="Times New Roman"/>
          <w:lang w:val="fr-CA"/>
        </w:rPr>
        <w:t>La Cour constitutionnelle a décidé que la peine de fouet infligée aux jeunes, [</w:t>
      </w:r>
      <w:r w:rsidRPr="008C13CD">
        <w:rPr>
          <w:rFonts w:cs="Times New Roman"/>
          <w:smallCaps/>
          <w:lang w:val="fr-CA"/>
        </w:rPr>
        <w:t>traduction</w:t>
      </w:r>
      <w:r w:rsidRPr="008C13CD">
        <w:rPr>
          <w:rFonts w:cs="Times New Roman"/>
          <w:lang w:val="fr-CA"/>
        </w:rPr>
        <w:t>] « parce qu’elle entraîne l’infliction délibérée de douleurs physiques à l’accusé, va à l’encontre de l’idée de la décence au sein de la société et constitue une atteinte directe au droit que chaque personne possède à la dignité humaine » (par. </w:t>
      </w:r>
      <w:r>
        <w:rPr>
          <w:rFonts w:cs="Times New Roman"/>
          <w:lang w:val="fr-CA"/>
        </w:rPr>
        <w:t>39;</w:t>
      </w:r>
      <w:r w:rsidRPr="008C13CD">
        <w:rPr>
          <w:rFonts w:cs="Times New Roman"/>
          <w:lang w:val="fr-CA"/>
        </w:rPr>
        <w:t xml:space="preserve"> </w:t>
      </w:r>
      <w:r>
        <w:rPr>
          <w:rFonts w:cs="Times New Roman"/>
          <w:lang w:val="fr-CA"/>
        </w:rPr>
        <w:t>v</w:t>
      </w:r>
      <w:r w:rsidRPr="00D84B6E">
        <w:rPr>
          <w:rFonts w:cs="Times New Roman"/>
          <w:lang w:val="fr-CA"/>
        </w:rPr>
        <w:t xml:space="preserve">oir aussi </w:t>
      </w:r>
      <w:r w:rsidRPr="00D84B6E">
        <w:rPr>
          <w:rFonts w:cs="Times New Roman"/>
          <w:i/>
          <w:lang w:val="fr-CA"/>
        </w:rPr>
        <w:t>S</w:t>
      </w:r>
      <w:r>
        <w:rPr>
          <w:rFonts w:cs="Times New Roman"/>
          <w:i/>
          <w:lang w:val="fr-CA"/>
        </w:rPr>
        <w:t>.</w:t>
      </w:r>
      <w:r w:rsidRPr="00D84B6E">
        <w:rPr>
          <w:rFonts w:cs="Times New Roman"/>
          <w:i/>
          <w:lang w:val="fr-CA"/>
        </w:rPr>
        <w:t xml:space="preserve"> c. Makwanyane</w:t>
      </w:r>
      <w:r w:rsidRPr="00D84B6E">
        <w:rPr>
          <w:rFonts w:cs="Times New Roman"/>
          <w:lang w:val="fr-CA"/>
        </w:rPr>
        <w:t>,</w:t>
      </w:r>
      <w:r w:rsidRPr="00D84B6E">
        <w:rPr>
          <w:rFonts w:cs="Times New Roman"/>
          <w:i/>
          <w:lang w:val="fr-CA"/>
        </w:rPr>
        <w:t xml:space="preserve"> </w:t>
      </w:r>
      <w:r w:rsidRPr="00D84B6E">
        <w:rPr>
          <w:rFonts w:cs="Times New Roman"/>
          <w:lang w:val="fr-CA"/>
        </w:rPr>
        <w:t>1995 (3) S</w:t>
      </w:r>
      <w:r>
        <w:rPr>
          <w:rFonts w:cs="Times New Roman"/>
          <w:lang w:val="fr-CA"/>
        </w:rPr>
        <w:t>.</w:t>
      </w:r>
      <w:r w:rsidRPr="00D84B6E">
        <w:rPr>
          <w:rFonts w:cs="Times New Roman"/>
          <w:lang w:val="fr-CA"/>
        </w:rPr>
        <w:t>A</w:t>
      </w:r>
      <w:r>
        <w:rPr>
          <w:rFonts w:cs="Times New Roman"/>
          <w:lang w:val="fr-CA"/>
        </w:rPr>
        <w:t>.</w:t>
      </w:r>
      <w:r w:rsidRPr="00D84B6E">
        <w:rPr>
          <w:rFonts w:cs="Times New Roman"/>
          <w:lang w:val="fr-CA"/>
        </w:rPr>
        <w:t xml:space="preserve"> 391 (C</w:t>
      </w:r>
      <w:r>
        <w:rPr>
          <w:rFonts w:cs="Times New Roman"/>
          <w:lang w:val="fr-CA"/>
        </w:rPr>
        <w:t>.</w:t>
      </w:r>
      <w:r w:rsidRPr="00D84B6E">
        <w:rPr>
          <w:rFonts w:cs="Times New Roman"/>
          <w:lang w:val="fr-CA"/>
        </w:rPr>
        <w:t>C</w:t>
      </w:r>
      <w:r>
        <w:rPr>
          <w:rFonts w:cs="Times New Roman"/>
          <w:lang w:val="fr-CA"/>
        </w:rPr>
        <w:t>.</w:t>
      </w:r>
      <w:r w:rsidRPr="00D84B6E">
        <w:rPr>
          <w:rFonts w:cs="Times New Roman"/>
          <w:lang w:val="fr-CA"/>
        </w:rPr>
        <w:t xml:space="preserve">); </w:t>
      </w:r>
      <w:r w:rsidRPr="00D84B6E">
        <w:rPr>
          <w:rFonts w:cs="Times New Roman"/>
          <w:i/>
          <w:lang w:val="fr-CA"/>
        </w:rPr>
        <w:t>S</w:t>
      </w:r>
      <w:r>
        <w:rPr>
          <w:rFonts w:cs="Times New Roman"/>
          <w:i/>
          <w:lang w:val="fr-CA"/>
        </w:rPr>
        <w:t>.</w:t>
      </w:r>
      <w:r w:rsidRPr="00D84B6E">
        <w:rPr>
          <w:rFonts w:cs="Times New Roman"/>
          <w:i/>
          <w:lang w:val="fr-CA"/>
        </w:rPr>
        <w:t xml:space="preserve"> c. Dodo</w:t>
      </w:r>
      <w:r w:rsidRPr="00D84B6E">
        <w:rPr>
          <w:rFonts w:cs="Times New Roman"/>
          <w:lang w:val="fr-CA"/>
        </w:rPr>
        <w:t>, 2001 (3) S</w:t>
      </w:r>
      <w:r>
        <w:rPr>
          <w:rFonts w:cs="Times New Roman"/>
          <w:lang w:val="fr-CA"/>
        </w:rPr>
        <w:t>.</w:t>
      </w:r>
      <w:r w:rsidRPr="00D84B6E">
        <w:rPr>
          <w:rFonts w:cs="Times New Roman"/>
          <w:lang w:val="fr-CA"/>
        </w:rPr>
        <w:t>A</w:t>
      </w:r>
      <w:r>
        <w:rPr>
          <w:rFonts w:cs="Times New Roman"/>
          <w:lang w:val="fr-CA"/>
        </w:rPr>
        <w:t>.</w:t>
      </w:r>
      <w:r w:rsidRPr="00D84B6E">
        <w:rPr>
          <w:rFonts w:cs="Times New Roman"/>
          <w:lang w:val="fr-CA"/>
        </w:rPr>
        <w:t xml:space="preserve"> 382 (C</w:t>
      </w:r>
      <w:r>
        <w:rPr>
          <w:rFonts w:cs="Times New Roman"/>
          <w:lang w:val="fr-CA"/>
        </w:rPr>
        <w:t>.</w:t>
      </w:r>
      <w:r w:rsidRPr="00D84B6E">
        <w:rPr>
          <w:rFonts w:cs="Times New Roman"/>
          <w:lang w:val="fr-CA"/>
        </w:rPr>
        <w:t>C</w:t>
      </w:r>
      <w:r>
        <w:rPr>
          <w:rFonts w:cs="Times New Roman"/>
          <w:lang w:val="fr-CA"/>
        </w:rPr>
        <w:t>.</w:t>
      </w:r>
      <w:r w:rsidRPr="00D84B6E">
        <w:rPr>
          <w:rFonts w:cs="Times New Roman"/>
          <w:lang w:val="fr-CA"/>
        </w:rPr>
        <w:t>)).</w:t>
      </w:r>
    </w:p>
    <w:p w:rsidR="00182BDC" w:rsidRPr="008C13CD" w:rsidRDefault="00182BDC" w:rsidP="00182BDC">
      <w:pPr>
        <w:pStyle w:val="ParaNoNdepar-AltN"/>
        <w:spacing w:before="0"/>
        <w:rPr>
          <w:rFonts w:cs="Times New Roman"/>
          <w:b/>
          <w:lang w:val="fr-CA"/>
        </w:rPr>
      </w:pPr>
      <w:r w:rsidRPr="008C13CD">
        <w:rPr>
          <w:rFonts w:cs="Times New Roman"/>
          <w:lang w:val="fr-CA"/>
        </w:rPr>
        <w:t xml:space="preserve">Le </w:t>
      </w:r>
      <w:r>
        <w:rPr>
          <w:rFonts w:cs="Times New Roman"/>
          <w:i/>
          <w:lang w:val="fr-CA"/>
        </w:rPr>
        <w:t xml:space="preserve">New Zealand </w:t>
      </w:r>
      <w:r w:rsidRPr="008C13CD">
        <w:rPr>
          <w:rFonts w:cs="Times New Roman"/>
          <w:i/>
          <w:lang w:val="fr-CA"/>
        </w:rPr>
        <w:t xml:space="preserve">Bill of Rights Act </w:t>
      </w:r>
      <w:r w:rsidRPr="00A24E49">
        <w:rPr>
          <w:rFonts w:cs="Times New Roman"/>
          <w:i/>
          <w:lang w:val="fr-CA"/>
        </w:rPr>
        <w:t>1990</w:t>
      </w:r>
      <w:r w:rsidRPr="008C13CD">
        <w:rPr>
          <w:rFonts w:cs="Times New Roman"/>
          <w:lang w:val="fr-CA"/>
        </w:rPr>
        <w:t xml:space="preserve"> contient une disposition similaire, l’art. 9, qui est rédigé</w:t>
      </w:r>
      <w:r>
        <w:rPr>
          <w:rFonts w:cs="Times New Roman"/>
          <w:lang w:val="fr-CA"/>
        </w:rPr>
        <w:t>e</w:t>
      </w:r>
      <w:r w:rsidRPr="008C13CD">
        <w:rPr>
          <w:rFonts w:cs="Times New Roman"/>
          <w:lang w:val="fr-CA"/>
        </w:rPr>
        <w:t xml:space="preserve"> ainsi :</w:t>
      </w:r>
    </w:p>
    <w:p w:rsidR="00182BDC" w:rsidRPr="008C13CD" w:rsidRDefault="00182BDC" w:rsidP="00182BDC">
      <w:pPr>
        <w:pStyle w:val="Citation-AltC"/>
        <w:ind w:hanging="360"/>
        <w:contextualSpacing w:val="0"/>
      </w:pPr>
      <w:r>
        <w:rPr>
          <w:shd w:val="clear" w:color="auto" w:fill="FFFFFF"/>
        </w:rPr>
        <w:tab/>
      </w:r>
      <w:r w:rsidRPr="008C13CD">
        <w:rPr>
          <w:shd w:val="clear" w:color="auto" w:fill="FFFFFF"/>
        </w:rPr>
        <w:t>[</w:t>
      </w:r>
      <w:r w:rsidRPr="008C13CD">
        <w:rPr>
          <w:smallCaps/>
          <w:shd w:val="clear" w:color="auto" w:fill="FFFFFF"/>
        </w:rPr>
        <w:t>traduction</w:t>
      </w:r>
      <w:r w:rsidRPr="008C13CD">
        <w:rPr>
          <w:shd w:val="clear" w:color="auto" w:fill="FFFFFF"/>
        </w:rPr>
        <w:t>] Chacun a droit à la protection contre la torture ou les traitements ou peines cruels, dégradants ou disproportionnellement sévères.</w:t>
      </w:r>
    </w:p>
    <w:p w:rsidR="00182BDC" w:rsidRPr="008C13CD" w:rsidRDefault="00182BDC" w:rsidP="00182BDC">
      <w:pPr>
        <w:pStyle w:val="ParaNoNdepar-AltN"/>
        <w:rPr>
          <w:rFonts w:cs="Times New Roman"/>
          <w:lang w:val="fr-CA"/>
        </w:rPr>
      </w:pPr>
      <w:r w:rsidRPr="008C13CD">
        <w:rPr>
          <w:rFonts w:cs="Times New Roman"/>
          <w:lang w:val="fr-CA"/>
        </w:rPr>
        <w:t>La Cour suprême de la Nouvelle</w:t>
      </w:r>
      <w:r w:rsidRPr="008C13CD">
        <w:rPr>
          <w:rFonts w:cs="Times New Roman"/>
          <w:lang w:val="fr-CA"/>
        </w:rPr>
        <w:noBreakHyphen/>
        <w:t xml:space="preserve">Zélande a examiné cette disposition dans l’arrêt </w:t>
      </w:r>
      <w:r w:rsidRPr="008C13CD">
        <w:rPr>
          <w:rFonts w:cs="Times New Roman"/>
          <w:i/>
          <w:lang w:val="fr-CA"/>
        </w:rPr>
        <w:t>Taunoa c. Attorney</w:t>
      </w:r>
      <w:r w:rsidRPr="008C13CD">
        <w:rPr>
          <w:rFonts w:cs="Times New Roman"/>
          <w:i/>
          <w:lang w:val="fr-CA"/>
        </w:rPr>
        <w:noBreakHyphen/>
        <w:t>General</w:t>
      </w:r>
      <w:r w:rsidRPr="008C13CD">
        <w:rPr>
          <w:rFonts w:cs="Times New Roman"/>
          <w:lang w:val="fr-CA"/>
        </w:rPr>
        <w:t xml:space="preserve">, </w:t>
      </w:r>
      <w:r>
        <w:rPr>
          <w:rFonts w:cs="Times New Roman"/>
          <w:lang w:val="fr-CA"/>
        </w:rPr>
        <w:t>[2008] 1 N.Z.L.R. 429</w:t>
      </w:r>
      <w:r w:rsidRPr="008C13CD">
        <w:rPr>
          <w:rFonts w:cs="Times New Roman"/>
          <w:lang w:val="fr-CA"/>
        </w:rPr>
        <w:t>, concernant le traitement réservé aux détenus dans le cadre d’un programme appelé le [</w:t>
      </w:r>
      <w:r w:rsidRPr="008C13CD">
        <w:rPr>
          <w:rFonts w:cs="Times New Roman"/>
          <w:smallCaps/>
          <w:lang w:val="fr-CA"/>
        </w:rPr>
        <w:t>traduction</w:t>
      </w:r>
      <w:r w:rsidRPr="008C13CD">
        <w:rPr>
          <w:rFonts w:cs="Times New Roman"/>
          <w:lang w:val="fr-CA"/>
        </w:rPr>
        <w:t xml:space="preserve">] « Régime de gestion du comportement », administré par le ministère des services correctionnels </w:t>
      </w:r>
      <w:r w:rsidRPr="008C13CD">
        <w:rPr>
          <w:rFonts w:cs="Times New Roman"/>
          <w:lang w:val="fr-CA"/>
        </w:rPr>
        <w:lastRenderedPageBreak/>
        <w:t>à la prison d’Auckland. L’isolement était un aspect central de ce programme, connu du fait qu’il imposait les conditions les plus strictes du régime carcéral néo</w:t>
      </w:r>
      <w:r w:rsidRPr="008C13CD">
        <w:rPr>
          <w:rFonts w:cs="Times New Roman"/>
          <w:lang w:val="fr-CA"/>
        </w:rPr>
        <w:noBreakHyphen/>
        <w:t xml:space="preserve">zélandais. Bien que les juges majoritaires n’aient pas conclu à l’existence d’une violation de l’art. 9, tant les juges majoritaires que les juges dissidents ont souligné que cette disposition a pour objet la protection de la dignité et la valeur des êtres humains. </w:t>
      </w:r>
      <w:r>
        <w:rPr>
          <w:rFonts w:cs="Times New Roman"/>
          <w:lang w:val="fr-CA"/>
        </w:rPr>
        <w:t>Dans des motifs rédigés en</w:t>
      </w:r>
      <w:r w:rsidRPr="008C13CD">
        <w:rPr>
          <w:rFonts w:cs="Times New Roman"/>
          <w:lang w:val="fr-CA"/>
        </w:rPr>
        <w:t xml:space="preserve"> tant que juge majoritaire, le juge Tipping a conclu que malgré l’absence de violation de l’art. 9, cette disposition devait être considérée comme ayant pour effet </w:t>
      </w:r>
      <w:r w:rsidR="000835F7" w:rsidRPr="008C13CD">
        <w:rPr>
          <w:rFonts w:cs="Times New Roman"/>
          <w:lang w:val="fr-CA"/>
        </w:rPr>
        <w:t>[</w:t>
      </w:r>
      <w:r w:rsidR="000835F7" w:rsidRPr="008C13CD">
        <w:rPr>
          <w:rFonts w:cs="Times New Roman"/>
          <w:smallCaps/>
          <w:lang w:val="fr-CA"/>
        </w:rPr>
        <w:t>traduction</w:t>
      </w:r>
      <w:r w:rsidR="000835F7" w:rsidRPr="008C13CD">
        <w:rPr>
          <w:rFonts w:cs="Times New Roman"/>
          <w:lang w:val="fr-CA"/>
        </w:rPr>
        <w:t xml:space="preserve">] </w:t>
      </w:r>
      <w:r w:rsidRPr="008C13CD">
        <w:rPr>
          <w:rFonts w:cs="Times New Roman"/>
          <w:lang w:val="fr-CA"/>
        </w:rPr>
        <w:t>«</w:t>
      </w:r>
      <w:r>
        <w:rPr>
          <w:rFonts w:cs="Times New Roman"/>
          <w:lang w:val="fr-CA"/>
        </w:rPr>
        <w:t> [d’]</w:t>
      </w:r>
      <w:r w:rsidRPr="008C13CD">
        <w:rPr>
          <w:rFonts w:cs="Times New Roman"/>
          <w:lang w:val="fr-CA"/>
        </w:rPr>
        <w:t>interdire les traitements inhumains, c’est</w:t>
      </w:r>
      <w:r w:rsidRPr="008C13CD">
        <w:rPr>
          <w:rFonts w:cs="Times New Roman"/>
          <w:lang w:val="fr-CA"/>
        </w:rPr>
        <w:noBreakHyphen/>
        <w:t>à</w:t>
      </w:r>
      <w:r w:rsidRPr="008C13CD">
        <w:rPr>
          <w:rFonts w:cs="Times New Roman"/>
          <w:lang w:val="fr-CA"/>
        </w:rPr>
        <w:noBreakHyphen/>
        <w:t>dire le fait de traiter une personne comme si elle était moins qu’un être humain » (par. 297). S’exprimant dans le même sens, le juge McGrath, l’un des juges majoritaires, a dit être d’avis que la disposition avait pour objet d’assurer une [</w:t>
      </w:r>
      <w:r w:rsidRPr="008C13CD">
        <w:rPr>
          <w:rFonts w:cs="Times New Roman"/>
          <w:smallCaps/>
          <w:lang w:val="fr-CA"/>
        </w:rPr>
        <w:t>traduction</w:t>
      </w:r>
      <w:r w:rsidRPr="008C13CD">
        <w:rPr>
          <w:rFonts w:cs="Times New Roman"/>
          <w:lang w:val="fr-CA"/>
        </w:rPr>
        <w:t>] « protection universelle contre toute forme de traitement imposée par l’État qui est incompatible avec la dignité et la valeur de la personne humaine » (par. 338).</w:t>
      </w:r>
    </w:p>
    <w:p w:rsidR="00182BDC" w:rsidRPr="008C13CD" w:rsidRDefault="00182BDC" w:rsidP="00182BDC">
      <w:pPr>
        <w:pStyle w:val="ParaNoNdepar-AltN"/>
        <w:spacing w:before="0"/>
        <w:rPr>
          <w:rFonts w:cs="Times New Roman"/>
          <w:lang w:val="fr-CA"/>
        </w:rPr>
      </w:pPr>
      <w:r w:rsidRPr="008C13CD">
        <w:rPr>
          <w:rFonts w:cs="Times New Roman"/>
          <w:lang w:val="fr-CA"/>
        </w:rPr>
        <w:t>La juge en chef Elias, dissidente, a conclu que, à l’instar des dispositions correspondantes aux États</w:t>
      </w:r>
      <w:r w:rsidRPr="008C13CD">
        <w:rPr>
          <w:rFonts w:cs="Times New Roman"/>
          <w:lang w:val="fr-CA"/>
        </w:rPr>
        <w:noBreakHyphen/>
        <w:t>Unis, au Canada et en Europe, l’art. 9 visait les traitements inhumains qui [</w:t>
      </w:r>
      <w:r w:rsidRPr="008C13CD">
        <w:rPr>
          <w:rFonts w:cs="Times New Roman"/>
          <w:smallCaps/>
          <w:lang w:val="fr-CA"/>
        </w:rPr>
        <w:t>traduction</w:t>
      </w:r>
      <w:r w:rsidRPr="008C13CD">
        <w:rPr>
          <w:rFonts w:cs="Times New Roman"/>
          <w:lang w:val="fr-CA"/>
        </w:rPr>
        <w:t>] « équivalent à un déni de l’humanité » (par. 79</w:t>
      </w:r>
      <w:r w:rsidRPr="008C13CD">
        <w:rPr>
          <w:rFonts w:cs="Times New Roman"/>
          <w:lang w:val="fr-CA"/>
        </w:rPr>
        <w:noBreakHyphen/>
        <w:t>80). Un traitement inhumain, a</w:t>
      </w:r>
      <w:r w:rsidRPr="008C13CD">
        <w:rPr>
          <w:rFonts w:cs="Times New Roman"/>
          <w:lang w:val="fr-CA"/>
        </w:rPr>
        <w:noBreakHyphen/>
        <w:t>t</w:t>
      </w:r>
      <w:r w:rsidRPr="008C13CD">
        <w:rPr>
          <w:rFonts w:cs="Times New Roman"/>
          <w:lang w:val="fr-CA"/>
        </w:rPr>
        <w:noBreakHyphen/>
        <w:t>elle ajouté</w:t>
      </w:r>
      <w:r>
        <w:rPr>
          <w:rFonts w:cs="Times New Roman"/>
          <w:lang w:val="fr-CA"/>
        </w:rPr>
        <w:t>,</w:t>
      </w:r>
      <w:r w:rsidRPr="008C13CD">
        <w:rPr>
          <w:rFonts w:cs="Times New Roman"/>
          <w:lang w:val="fr-CA"/>
        </w:rPr>
        <w:t xml:space="preserve"> </w:t>
      </w:r>
      <w:r w:rsidR="0048170D" w:rsidRPr="008C13CD">
        <w:rPr>
          <w:rFonts w:cs="Times New Roman"/>
          <w:lang w:val="fr-CA"/>
        </w:rPr>
        <w:t>[</w:t>
      </w:r>
      <w:r w:rsidR="0048170D" w:rsidRPr="008C13CD">
        <w:rPr>
          <w:rFonts w:cs="Times New Roman"/>
          <w:smallCaps/>
          <w:lang w:val="fr-CA"/>
        </w:rPr>
        <w:t>traduction</w:t>
      </w:r>
      <w:r w:rsidR="0048170D" w:rsidRPr="008C13CD">
        <w:rPr>
          <w:rFonts w:cs="Times New Roman"/>
          <w:lang w:val="fr-CA"/>
        </w:rPr>
        <w:t xml:space="preserve">] </w:t>
      </w:r>
      <w:r w:rsidRPr="008C13CD">
        <w:rPr>
          <w:rFonts w:cs="Times New Roman"/>
          <w:lang w:val="fr-CA"/>
        </w:rPr>
        <w:t xml:space="preserve">« est un traitement qu’il ne convient pas d’infliger à un être humain » (par. 80). Qui plus est, faisant observer que l’art. 12 de la </w:t>
      </w:r>
      <w:r w:rsidRPr="008C13CD">
        <w:rPr>
          <w:rFonts w:cs="Times New Roman"/>
          <w:i/>
          <w:lang w:val="fr-CA"/>
        </w:rPr>
        <w:t xml:space="preserve">Charte </w:t>
      </w:r>
      <w:r w:rsidRPr="00D65152">
        <w:rPr>
          <w:rFonts w:cs="Times New Roman"/>
          <w:lang w:val="fr-CA"/>
        </w:rPr>
        <w:t xml:space="preserve">canadienne </w:t>
      </w:r>
      <w:r w:rsidRPr="008C13CD">
        <w:rPr>
          <w:rFonts w:cs="Times New Roman"/>
          <w:lang w:val="fr-CA"/>
        </w:rPr>
        <w:t xml:space="preserve">constitue </w:t>
      </w:r>
      <w:r w:rsidR="0048170D" w:rsidRPr="008C13CD">
        <w:rPr>
          <w:rFonts w:cs="Times New Roman"/>
          <w:lang w:val="fr-CA"/>
        </w:rPr>
        <w:t>[</w:t>
      </w:r>
      <w:r w:rsidR="0048170D" w:rsidRPr="008C13CD">
        <w:rPr>
          <w:rFonts w:cs="Times New Roman"/>
          <w:smallCaps/>
          <w:lang w:val="fr-CA"/>
        </w:rPr>
        <w:t>traduction</w:t>
      </w:r>
      <w:r w:rsidR="0048170D" w:rsidRPr="008C13CD">
        <w:rPr>
          <w:rFonts w:cs="Times New Roman"/>
          <w:lang w:val="fr-CA"/>
        </w:rPr>
        <w:t xml:space="preserve">] </w:t>
      </w:r>
      <w:r w:rsidRPr="008C13CD">
        <w:rPr>
          <w:rFonts w:cs="Times New Roman"/>
          <w:lang w:val="fr-CA"/>
        </w:rPr>
        <w:t>« l’expression concise d’une norme », la juge en chef Elias a considéré que cette norme « prohibait tout traitement incompatible avec l’humanité » (par. 82).</w:t>
      </w:r>
    </w:p>
    <w:p w:rsidR="00182BDC" w:rsidRPr="008C13CD" w:rsidRDefault="00182BDC" w:rsidP="00182BDC">
      <w:pPr>
        <w:pStyle w:val="ParaNoNdepar-AltN"/>
        <w:spacing w:before="0"/>
        <w:rPr>
          <w:rFonts w:cs="Times New Roman"/>
          <w:lang w:val="fr-CA"/>
        </w:rPr>
      </w:pPr>
      <w:r w:rsidRPr="008C13CD">
        <w:rPr>
          <w:rFonts w:cs="Times New Roman"/>
          <w:lang w:val="fr-CA"/>
        </w:rPr>
        <w:lastRenderedPageBreak/>
        <w:t>Sur le plan international, donc, il est largement reconnu que le droit à la protection contre les peines cruelles et inusitées vise à protéger la dignité humaine en prohibant l’infliction de peines ou traitements dégradants, inhumains ou déshumanisants qui causent des douleurs et des souffrances physiques ou morales.</w:t>
      </w:r>
    </w:p>
    <w:p w:rsidR="00182BDC" w:rsidRPr="008C13CD" w:rsidRDefault="00182BDC" w:rsidP="00182BDC">
      <w:pPr>
        <w:pStyle w:val="ParaNoNdepar-AltN"/>
        <w:spacing w:before="0"/>
        <w:rPr>
          <w:rFonts w:cs="Times New Roman"/>
          <w:lang w:val="fr-CA"/>
        </w:rPr>
      </w:pPr>
      <w:r w:rsidRPr="008C13CD">
        <w:rPr>
          <w:rFonts w:cs="Times New Roman"/>
          <w:lang w:val="fr-CA"/>
        </w:rPr>
        <w:t>Une telle unité à l’échelle mondiale n’est guère surprenante. Comme l’a souligné la professeure Anna Grear [</w:t>
      </w:r>
      <w:r w:rsidRPr="008C13CD">
        <w:rPr>
          <w:rFonts w:cs="Times New Roman"/>
          <w:smallCaps/>
          <w:lang w:val="fr-CA"/>
        </w:rPr>
        <w:t>traduction</w:t>
      </w:r>
      <w:r w:rsidRPr="008C13CD">
        <w:rPr>
          <w:rFonts w:cs="Times New Roman"/>
          <w:lang w:val="fr-CA"/>
        </w:rPr>
        <w:t xml:space="preserve">], « [i]l est possible de soutenir que le droit international des droits de la personne est né du désir instinctif de protéger l’être humain — précisément parce qu’il est humain — en réaction au génocide nazi — à la fin de </w:t>
      </w:r>
      <w:r w:rsidR="00F91B53">
        <w:rPr>
          <w:rFonts w:cs="Times New Roman"/>
          <w:lang w:val="fr-CA"/>
        </w:rPr>
        <w:t>la Deuxième Guerre mondiale » (</w:t>
      </w:r>
      <w:r w:rsidRPr="008C13CD">
        <w:rPr>
          <w:rFonts w:cs="Times New Roman"/>
          <w:lang w:val="fr-CA"/>
        </w:rPr>
        <w:t xml:space="preserve">« Human Rights — Human Bodies? </w:t>
      </w:r>
      <w:r w:rsidRPr="008C13CD">
        <w:rPr>
          <w:rFonts w:cs="Times New Roman"/>
          <w:lang w:val="en-US"/>
        </w:rPr>
        <w:t>Some Reflections on Corp</w:t>
      </w:r>
      <w:r w:rsidR="00951C33">
        <w:rPr>
          <w:rFonts w:cs="Times New Roman"/>
          <w:lang w:val="en-US"/>
        </w:rPr>
        <w:t>orate Human Rights Distortion, t</w:t>
      </w:r>
      <w:r w:rsidRPr="008C13CD">
        <w:rPr>
          <w:rFonts w:cs="Times New Roman"/>
          <w:lang w:val="en-US"/>
        </w:rPr>
        <w:t xml:space="preserve">he Legal Subject, Embodiment and Human Rights Theory » (2006), 17 </w:t>
      </w:r>
      <w:r w:rsidRPr="008C13CD">
        <w:rPr>
          <w:rFonts w:cs="Times New Roman"/>
          <w:i/>
          <w:lang w:val="en-US"/>
        </w:rPr>
        <w:t xml:space="preserve">Law Critique </w:t>
      </w:r>
      <w:r w:rsidRPr="008C13CD">
        <w:rPr>
          <w:rFonts w:cs="Times New Roman"/>
          <w:lang w:val="en-US"/>
        </w:rPr>
        <w:t>171</w:t>
      </w:r>
      <w:r>
        <w:rPr>
          <w:rFonts w:cs="Times New Roman"/>
          <w:lang w:val="en-US"/>
        </w:rPr>
        <w:t xml:space="preserve"> (en ligne)</w:t>
      </w:r>
      <w:r w:rsidRPr="008C13CD">
        <w:rPr>
          <w:rFonts w:cs="Times New Roman"/>
          <w:lang w:val="en-US"/>
        </w:rPr>
        <w:t xml:space="preserve">, p. 173). </w:t>
      </w:r>
      <w:r w:rsidRPr="008C13CD">
        <w:rPr>
          <w:rFonts w:cs="Times New Roman"/>
          <w:lang w:val="fr-CA"/>
        </w:rPr>
        <w:t>Considérés sous cet angle, les droits de la personne [</w:t>
      </w:r>
      <w:r w:rsidRPr="008C13CD">
        <w:rPr>
          <w:rFonts w:cs="Times New Roman"/>
          <w:smallCaps/>
          <w:lang w:val="fr-CA"/>
        </w:rPr>
        <w:t>traduction</w:t>
      </w:r>
      <w:r w:rsidRPr="008C13CD">
        <w:rPr>
          <w:rFonts w:cs="Times New Roman"/>
          <w:lang w:val="fr-CA"/>
        </w:rPr>
        <w:t>] « représentent un mode de résistance archétypal à la souffrance » (Grear, p. 174). Autrement dit, il y a une raison pour laquelle on les nomme droits</w:t>
      </w:r>
      <w:r w:rsidRPr="008C13CD">
        <w:rPr>
          <w:rFonts w:cs="Times New Roman"/>
          <w:i/>
          <w:lang w:val="fr-CA"/>
        </w:rPr>
        <w:t xml:space="preserve"> humains</w:t>
      </w:r>
      <w:r w:rsidRPr="008C13CD">
        <w:rPr>
          <w:rFonts w:cs="Times New Roman"/>
          <w:lang w:val="fr-CA"/>
        </w:rPr>
        <w:t>.</w:t>
      </w:r>
    </w:p>
    <w:p w:rsidR="00182BDC" w:rsidRPr="008C13CD" w:rsidRDefault="00182BDC" w:rsidP="00182BDC">
      <w:pPr>
        <w:pStyle w:val="ParaNoNdepar-AltN"/>
        <w:tabs>
          <w:tab w:val="clear" w:pos="1152"/>
          <w:tab w:val="left" w:pos="1166"/>
        </w:tabs>
        <w:spacing w:before="0"/>
        <w:rPr>
          <w:rFonts w:eastAsia="Times New Roman" w:cs="Times New Roman"/>
          <w:lang w:val="fr-CA"/>
        </w:rPr>
      </w:pPr>
      <w:r w:rsidRPr="008C13CD">
        <w:rPr>
          <w:rFonts w:cs="Times New Roman"/>
          <w:lang w:val="fr-CA"/>
        </w:rPr>
        <w:t xml:space="preserve">Depuis le prononcé de l’arrêt </w:t>
      </w:r>
      <w:r w:rsidRPr="008C13CD">
        <w:rPr>
          <w:rFonts w:cs="Times New Roman"/>
          <w:i/>
          <w:lang w:val="fr-CA"/>
        </w:rPr>
        <w:t>Oakes</w:t>
      </w:r>
      <w:r w:rsidRPr="008C13CD">
        <w:rPr>
          <w:rFonts w:cs="Times New Roman"/>
          <w:lang w:val="fr-CA"/>
        </w:rPr>
        <w:t>, dans lequel notre Cour a affirmé être guidée par « le respect de la dignité inhérente de l’être humain » comme valeur essentielle à une société libre et démocratique (p. 136), cette dernière a explicitement déclaré que « la protection de tous les droits garantis par la </w:t>
      </w:r>
      <w:r w:rsidRPr="008C13CD">
        <w:rPr>
          <w:rFonts w:cs="Times New Roman"/>
          <w:i/>
          <w:iCs/>
          <w:lang w:val="fr-CA"/>
        </w:rPr>
        <w:t>Charte</w:t>
      </w:r>
      <w:r w:rsidRPr="008C13CD">
        <w:rPr>
          <w:rFonts w:cs="Times New Roman"/>
          <w:lang w:val="fr-CA"/>
        </w:rPr>
        <w:t xml:space="preserve"> est guidée par la promotion de la dignité de l’être </w:t>
      </w:r>
      <w:r w:rsidRPr="008C13CD">
        <w:rPr>
          <w:rFonts w:cs="Times New Roman"/>
          <w:i/>
          <w:lang w:val="fr-CA"/>
        </w:rPr>
        <w:t>humain</w:t>
      </w:r>
      <w:r w:rsidRPr="008C13CD">
        <w:rPr>
          <w:rFonts w:cs="Times New Roman"/>
          <w:lang w:val="fr-CA"/>
        </w:rPr>
        <w:t> » (</w:t>
      </w:r>
      <w:r w:rsidRPr="008C13CD">
        <w:rPr>
          <w:rFonts w:cs="Times New Roman"/>
          <w:i/>
          <w:lang w:val="fr-CA"/>
        </w:rPr>
        <w:t>R</w:t>
      </w:r>
      <w:r>
        <w:rPr>
          <w:rFonts w:cs="Times New Roman"/>
          <w:i/>
          <w:lang w:val="fr-CA"/>
        </w:rPr>
        <w:t>.</w:t>
      </w:r>
      <w:r w:rsidRPr="008C13CD">
        <w:rPr>
          <w:rFonts w:cs="Times New Roman"/>
          <w:i/>
          <w:lang w:val="fr-CA"/>
        </w:rPr>
        <w:t xml:space="preserve"> c. Kapp</w:t>
      </w:r>
      <w:r w:rsidRPr="008C13CD">
        <w:rPr>
          <w:rFonts w:cs="Times New Roman"/>
          <w:lang w:val="fr-CA"/>
        </w:rPr>
        <w:t>, [2008] 2 R.C</w:t>
      </w:r>
      <w:r w:rsidR="00FC6DD3">
        <w:rPr>
          <w:rFonts w:cs="Times New Roman"/>
          <w:lang w:val="fr-CA"/>
        </w:rPr>
        <w:t>.S. 483, par. 21 (italique ajouté</w:t>
      </w:r>
      <w:r w:rsidRPr="008C13CD">
        <w:rPr>
          <w:rFonts w:cs="Times New Roman"/>
          <w:lang w:val="fr-CA"/>
        </w:rPr>
        <w:t>)</w:t>
      </w:r>
      <w:r>
        <w:rPr>
          <w:rFonts w:cs="Times New Roman"/>
          <w:lang w:val="fr-CA"/>
        </w:rPr>
        <w:t>)</w:t>
      </w:r>
      <w:r w:rsidRPr="008C13CD">
        <w:rPr>
          <w:rFonts w:cs="Times New Roman"/>
          <w:lang w:val="fr-CA"/>
        </w:rPr>
        <w:t>.</w:t>
      </w:r>
    </w:p>
    <w:p w:rsidR="00182BDC" w:rsidRPr="008C13CD" w:rsidRDefault="00182BDC" w:rsidP="00182BDC">
      <w:pPr>
        <w:pStyle w:val="ParaNoNdepar-AltN"/>
        <w:tabs>
          <w:tab w:val="clear" w:pos="1152"/>
          <w:tab w:val="left" w:pos="1166"/>
        </w:tabs>
        <w:spacing w:before="0"/>
        <w:rPr>
          <w:rFonts w:eastAsia="Times New Roman" w:cs="Times New Roman"/>
          <w:lang w:val="fr-CA"/>
        </w:rPr>
      </w:pPr>
      <w:r w:rsidRPr="008C13CD">
        <w:rPr>
          <w:rFonts w:cs="Times New Roman"/>
          <w:lang w:val="fr-CA"/>
        </w:rPr>
        <w:lastRenderedPageBreak/>
        <w:t xml:space="preserve">Si l’on examine l’objet de l’art. 12 au regard « du sens et de l’objet des autres libertés et droits particuliers qui s’y rattachent selon le texte de la </w:t>
      </w:r>
      <w:r w:rsidRPr="008C13CD">
        <w:rPr>
          <w:rFonts w:cs="Times New Roman"/>
          <w:i/>
          <w:lang w:val="fr-CA"/>
        </w:rPr>
        <w:t>Charte</w:t>
      </w:r>
      <w:r w:rsidRPr="008C13CD">
        <w:rPr>
          <w:rFonts w:cs="Times New Roman"/>
          <w:lang w:val="fr-CA"/>
        </w:rPr>
        <w:t> » (</w:t>
      </w:r>
      <w:r w:rsidRPr="008C13CD">
        <w:rPr>
          <w:rFonts w:cs="Times New Roman"/>
          <w:i/>
          <w:lang w:val="fr-CA"/>
        </w:rPr>
        <w:t>Big M Drug Mart</w:t>
      </w:r>
      <w:r w:rsidRPr="008C13CD">
        <w:rPr>
          <w:rFonts w:cs="Times New Roman"/>
          <w:lang w:val="fr-CA"/>
        </w:rPr>
        <w:t>, p. 344), l’art. 12 fait partie, avec le</w:t>
      </w:r>
      <w:r>
        <w:rPr>
          <w:rFonts w:cs="Times New Roman"/>
          <w:lang w:val="fr-CA"/>
        </w:rPr>
        <w:t>s</w:t>
      </w:r>
      <w:r w:rsidRPr="008C13CD">
        <w:rPr>
          <w:rFonts w:cs="Times New Roman"/>
          <w:lang w:val="fr-CA"/>
        </w:rPr>
        <w:t xml:space="preserve"> art</w:t>
      </w:r>
      <w:r>
        <w:rPr>
          <w:rFonts w:cs="Times New Roman"/>
          <w:lang w:val="fr-CA"/>
        </w:rPr>
        <w:t>.</w:t>
      </w:r>
      <w:r w:rsidRPr="008C13CD">
        <w:rPr>
          <w:rFonts w:cs="Times New Roman"/>
          <w:lang w:val="fr-CA"/>
        </w:rPr>
        <w:t xml:space="preserve"> 7 à</w:t>
      </w:r>
      <w:r>
        <w:rPr>
          <w:rFonts w:cs="Times New Roman"/>
          <w:lang w:val="fr-CA"/>
        </w:rPr>
        <w:t xml:space="preserve"> 11 et 13 à 14</w:t>
      </w:r>
      <w:r w:rsidRPr="008C13CD">
        <w:rPr>
          <w:rFonts w:cs="Times New Roman"/>
          <w:lang w:val="fr-CA"/>
        </w:rPr>
        <w:t>, des dispositions regroupées sous l’intertitre « Garanties juridiques » (« </w:t>
      </w:r>
      <w:r>
        <w:rPr>
          <w:rFonts w:cs="Times New Roman"/>
          <w:i/>
          <w:lang w:val="fr-CA"/>
        </w:rPr>
        <w:t>Legal R</w:t>
      </w:r>
      <w:r w:rsidRPr="008C13CD">
        <w:rPr>
          <w:rFonts w:cs="Times New Roman"/>
          <w:i/>
          <w:lang w:val="fr-CA"/>
        </w:rPr>
        <w:t>ights</w:t>
      </w:r>
      <w:r w:rsidRPr="008C13CD">
        <w:rPr>
          <w:rFonts w:cs="Times New Roman"/>
          <w:lang w:val="fr-CA"/>
        </w:rPr>
        <w:t xml:space="preserve"> »). Comme l’a déclaré le juge Lamer, toutes les garanties juridiques « ont été reconnu[e]s comme des éléments essentiels d’un système d’administration de la justice fondé sur la foi en </w:t>
      </w:r>
      <w:r w:rsidRPr="008C13CD">
        <w:rPr>
          <w:rFonts w:cs="Times New Roman"/>
          <w:shd w:val="clear" w:color="auto" w:fill="FFFFFF"/>
          <w:lang w:val="fr-CA"/>
        </w:rPr>
        <w:t>“</w:t>
      </w:r>
      <w:r w:rsidRPr="008C13CD">
        <w:rPr>
          <w:rFonts w:cs="Times New Roman"/>
          <w:lang w:val="fr-CA"/>
        </w:rPr>
        <w:t xml:space="preserve">la dignité et la valeur de la personne humaine” (préambule de la </w:t>
      </w:r>
      <w:r w:rsidRPr="008C13CD">
        <w:rPr>
          <w:rFonts w:cs="Times New Roman"/>
          <w:i/>
          <w:iCs/>
          <w:lang w:val="fr-CA"/>
        </w:rPr>
        <w:t>Déclaration canadienne des droits</w:t>
      </w:r>
      <w:r w:rsidRPr="008C13CD">
        <w:rPr>
          <w:rFonts w:cs="Times New Roman"/>
          <w:iCs/>
          <w:lang w:val="fr-CA"/>
        </w:rPr>
        <w:t> . . .)</w:t>
      </w:r>
      <w:r w:rsidRPr="008C13CD">
        <w:rPr>
          <w:rFonts w:cs="Times New Roman"/>
          <w:lang w:val="fr-CA"/>
        </w:rPr>
        <w:t xml:space="preserve"> et en </w:t>
      </w:r>
      <w:r w:rsidRPr="008C13CD">
        <w:rPr>
          <w:rFonts w:cs="Times New Roman"/>
          <w:shd w:val="clear" w:color="auto" w:fill="FFFFFF"/>
          <w:lang w:val="fr-CA"/>
        </w:rPr>
        <w:t>“</w:t>
      </w:r>
      <w:r w:rsidRPr="008C13CD">
        <w:rPr>
          <w:rFonts w:cs="Times New Roman"/>
          <w:lang w:val="fr-CA"/>
        </w:rPr>
        <w:t>la primauté du droit” (préambule de la </w:t>
      </w:r>
      <w:r w:rsidRPr="008C13CD">
        <w:rPr>
          <w:rFonts w:cs="Times New Roman"/>
          <w:i/>
          <w:iCs/>
          <w:lang w:val="fr-CA"/>
        </w:rPr>
        <w:t>Charte canadienne</w:t>
      </w:r>
      <w:r>
        <w:rPr>
          <w:rFonts w:cs="Times New Roman"/>
          <w:iCs/>
          <w:lang w:val="fr-CA"/>
        </w:rPr>
        <w:t xml:space="preserve"> . . .</w:t>
      </w:r>
      <w:r w:rsidRPr="000956B0">
        <w:rPr>
          <w:rFonts w:cs="Times New Roman"/>
          <w:iCs/>
          <w:lang w:val="fr-CA"/>
        </w:rPr>
        <w:t>)</w:t>
      </w:r>
      <w:r w:rsidRPr="008C13CD">
        <w:rPr>
          <w:rFonts w:cs="Times New Roman"/>
          <w:lang w:val="fr-CA"/>
        </w:rPr>
        <w:t> » (</w:t>
      </w:r>
      <w:r w:rsidRPr="008C13CD">
        <w:rPr>
          <w:rFonts w:cs="Times New Roman"/>
          <w:i/>
          <w:lang w:val="fr-CA"/>
        </w:rPr>
        <w:t xml:space="preserve">Renvoi </w:t>
      </w:r>
      <w:r w:rsidR="00FC6DD3">
        <w:rPr>
          <w:rFonts w:cs="Times New Roman"/>
          <w:i/>
          <w:lang w:val="fr-CA"/>
        </w:rPr>
        <w:t>relatif à</w:t>
      </w:r>
      <w:r w:rsidRPr="008C13CD">
        <w:rPr>
          <w:rFonts w:cs="Times New Roman"/>
          <w:i/>
          <w:lang w:val="fr-CA"/>
        </w:rPr>
        <w:t xml:space="preserve"> la Motor Vehicle Ac</w:t>
      </w:r>
      <w:r w:rsidR="00FC6DD3">
        <w:rPr>
          <w:rFonts w:cs="Times New Roman"/>
          <w:i/>
          <w:lang w:val="fr-CA"/>
        </w:rPr>
        <w:t>t de la C.</w:t>
      </w:r>
      <w:r w:rsidR="00FC6DD3">
        <w:rPr>
          <w:rFonts w:cs="Times New Roman"/>
          <w:i/>
          <w:lang w:val="fr-CA"/>
        </w:rPr>
        <w:noBreakHyphen/>
        <w:t>B.</w:t>
      </w:r>
      <w:r w:rsidRPr="008C13CD">
        <w:rPr>
          <w:rFonts w:cs="Times New Roman"/>
          <w:lang w:val="fr-CA"/>
        </w:rPr>
        <w:t>, p. 503).</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De façon générale, a indiqué la juge McLachlin, les garanties juridiques prévues aux art. 7 à 14 poursuivent un double objet, à savoir « celui de protéger les droits de la personne détenue et celui de préserver l’intégrité de notre système de justice et la considération dont il jouit » (</w:t>
      </w:r>
      <w:r w:rsidRPr="008C13CD">
        <w:rPr>
          <w:rFonts w:cs="Times New Roman"/>
          <w:i/>
          <w:lang w:val="fr-CA"/>
        </w:rPr>
        <w:t>R</w:t>
      </w:r>
      <w:r>
        <w:rPr>
          <w:rFonts w:cs="Times New Roman"/>
          <w:i/>
          <w:lang w:val="fr-CA"/>
        </w:rPr>
        <w:t>.</w:t>
      </w:r>
      <w:r w:rsidRPr="008C13CD">
        <w:rPr>
          <w:rFonts w:cs="Times New Roman"/>
          <w:i/>
          <w:lang w:val="fr-CA"/>
        </w:rPr>
        <w:t xml:space="preserve"> c. Hebert</w:t>
      </w:r>
      <w:r>
        <w:rPr>
          <w:rFonts w:cs="Times New Roman"/>
          <w:lang w:val="fr-CA"/>
        </w:rPr>
        <w:t xml:space="preserve">, [1990] 2 R.C.S. </w:t>
      </w:r>
      <w:r w:rsidRPr="008C13CD">
        <w:rPr>
          <w:rFonts w:cs="Times New Roman"/>
          <w:lang w:val="fr-CA"/>
        </w:rPr>
        <w:t>151, p. 179). Ces garanties ont été [</w:t>
      </w:r>
      <w:r w:rsidRPr="008C13CD">
        <w:rPr>
          <w:rFonts w:cs="Times New Roman"/>
          <w:smallCaps/>
          <w:lang w:val="fr-CA"/>
        </w:rPr>
        <w:t>traduction</w:t>
      </w:r>
      <w:r w:rsidRPr="008C13CD">
        <w:rPr>
          <w:rFonts w:cs="Times New Roman"/>
          <w:lang w:val="fr-CA"/>
        </w:rPr>
        <w:t xml:space="preserve">] « conçues pour faire en sorte que les personnes soupçonnées d’avoir commis une infraction criminelle soient traitées équitablement et avec humanité » (Robert J. Sharpe et Kent Roach, </w:t>
      </w:r>
      <w:r w:rsidRPr="008C13CD">
        <w:rPr>
          <w:rFonts w:cs="Times New Roman"/>
          <w:i/>
          <w:lang w:val="fr-CA"/>
        </w:rPr>
        <w:t>The Charter of Rights and Freedoms</w:t>
      </w:r>
      <w:r w:rsidRPr="008C13CD">
        <w:rPr>
          <w:rFonts w:cs="Times New Roman"/>
          <w:lang w:val="fr-CA"/>
        </w:rPr>
        <w:t xml:space="preserve"> (6</w:t>
      </w:r>
      <w:r w:rsidRPr="008C13CD">
        <w:rPr>
          <w:rFonts w:cs="Times New Roman"/>
          <w:vertAlign w:val="superscript"/>
          <w:lang w:val="fr-CA"/>
        </w:rPr>
        <w:t xml:space="preserve">e </w:t>
      </w:r>
      <w:r w:rsidRPr="008C13CD">
        <w:rPr>
          <w:rFonts w:cs="Times New Roman"/>
          <w:lang w:val="fr-CA"/>
        </w:rPr>
        <w:t>éd</w:t>
      </w:r>
      <w:r>
        <w:rPr>
          <w:rFonts w:cs="Times New Roman"/>
          <w:lang w:val="fr-CA"/>
        </w:rPr>
        <w:t>.</w:t>
      </w:r>
      <w:r w:rsidRPr="008C13CD">
        <w:rPr>
          <w:rFonts w:cs="Times New Roman"/>
          <w:lang w:val="fr-CA"/>
        </w:rPr>
        <w:t xml:space="preserve"> 2017), p. 292; voir également </w:t>
      </w:r>
      <w:r w:rsidRPr="008C13CD">
        <w:rPr>
          <w:rFonts w:cs="Times New Roman"/>
          <w:i/>
          <w:lang w:val="fr-CA"/>
        </w:rPr>
        <w:t xml:space="preserve">Renvoi </w:t>
      </w:r>
      <w:r w:rsidR="00FC6DD3">
        <w:rPr>
          <w:rFonts w:cs="Times New Roman"/>
          <w:i/>
          <w:lang w:val="fr-CA"/>
        </w:rPr>
        <w:t>relatif à la Motor Vehicle Act de la C.</w:t>
      </w:r>
      <w:r w:rsidR="00FC6DD3">
        <w:rPr>
          <w:rFonts w:cs="Times New Roman"/>
          <w:i/>
          <w:lang w:val="fr-CA"/>
        </w:rPr>
        <w:noBreakHyphen/>
        <w:t>B.</w:t>
      </w:r>
      <w:r w:rsidRPr="008C13CD">
        <w:rPr>
          <w:rFonts w:cs="Times New Roman"/>
          <w:lang w:val="fr-CA"/>
        </w:rPr>
        <w:t>, p. 503). Ainsi que l’a exprimé récemment la juge Martin, ces garanties représentent « </w:t>
      </w:r>
      <w:r w:rsidRPr="008C13CD">
        <w:rPr>
          <w:rFonts w:eastAsia="Times New Roman" w:cs="Times New Roman"/>
          <w:szCs w:val="24"/>
          <w:lang w:val="fr-CA" w:eastAsia="en-CA"/>
        </w:rPr>
        <w:t>l</w:t>
      </w:r>
      <w:r w:rsidRPr="008C13CD">
        <w:rPr>
          <w:rFonts w:cs="Times New Roman"/>
          <w:lang w:val="fr-CA"/>
        </w:rPr>
        <w:t>es préceptes fondamentaux d’équité dans notre système de justice pénale » (</w:t>
      </w:r>
      <w:r w:rsidRPr="008C13CD">
        <w:rPr>
          <w:rFonts w:cs="Times New Roman"/>
          <w:i/>
          <w:lang w:val="fr-CA"/>
        </w:rPr>
        <w:t>Poulin</w:t>
      </w:r>
      <w:r w:rsidRPr="008C13CD">
        <w:rPr>
          <w:rFonts w:cs="Times New Roman"/>
          <w:lang w:val="fr-CA"/>
        </w:rPr>
        <w:t>, par. 5).</w:t>
      </w:r>
    </w:p>
    <w:p w:rsidR="00182BDC" w:rsidRPr="008C13CD" w:rsidRDefault="00182BDC" w:rsidP="00182BDC">
      <w:pPr>
        <w:pStyle w:val="ParaNoNdepar-AltN"/>
        <w:spacing w:before="0"/>
        <w:rPr>
          <w:rFonts w:eastAsia="Times New Roman" w:cs="Times New Roman"/>
          <w:lang w:val="fr-CA"/>
        </w:rPr>
      </w:pPr>
      <w:r w:rsidRPr="008C13CD">
        <w:rPr>
          <w:rFonts w:cs="Times New Roman"/>
          <w:lang w:val="fr-CA"/>
        </w:rPr>
        <w:lastRenderedPageBreak/>
        <w:t>Parmi le groupe de dispositions constitué des art. 7 à 14, l’art. 8 et l’al. 11</w:t>
      </w:r>
      <w:r w:rsidRPr="008C13CD">
        <w:rPr>
          <w:rFonts w:cs="Times New Roman"/>
          <w:i/>
          <w:lang w:val="fr-CA"/>
        </w:rPr>
        <w:t>b</w:t>
      </w:r>
      <w:r w:rsidRPr="008C13CD">
        <w:rPr>
          <w:rFonts w:cs="Times New Roman"/>
          <w:lang w:val="fr-CA"/>
        </w:rPr>
        <w:t xml:space="preserve">) </w:t>
      </w:r>
      <w:r>
        <w:rPr>
          <w:rFonts w:cs="Times New Roman"/>
          <w:lang w:val="fr-CA"/>
        </w:rPr>
        <w:t>sont les seul</w:t>
      </w:r>
      <w:r w:rsidRPr="008C13CD">
        <w:rPr>
          <w:rFonts w:cs="Times New Roman"/>
          <w:lang w:val="fr-CA"/>
        </w:rPr>
        <w:t>s qui ont été jugés applicables aux personnes morales</w:t>
      </w:r>
      <w:r w:rsidRPr="009C2B61">
        <w:rPr>
          <w:rFonts w:cs="Times New Roman"/>
          <w:lang w:val="fr-CA"/>
        </w:rPr>
        <w:t xml:space="preserve"> </w:t>
      </w:r>
      <w:r w:rsidRPr="008C13CD">
        <w:rPr>
          <w:rFonts w:cs="Times New Roman"/>
          <w:lang w:val="fr-CA"/>
        </w:rPr>
        <w:t xml:space="preserve">par notre Cour. Dans l’arrêt </w:t>
      </w:r>
      <w:r w:rsidRPr="008C13CD">
        <w:rPr>
          <w:rFonts w:cs="Times New Roman"/>
          <w:i/>
          <w:lang w:val="fr-CA"/>
        </w:rPr>
        <w:t>Hunter</w:t>
      </w:r>
      <w:r w:rsidRPr="008C13CD">
        <w:rPr>
          <w:rFonts w:cs="Times New Roman"/>
          <w:lang w:val="fr-CA"/>
        </w:rPr>
        <w:t xml:space="preserve">, la Cour a accepté, sans analyse ni explication, que le droit à la protection contre les fouilles, les perquisitions ou les saisies abusives garanti à l’art. 8 pouvait s’appliquer aux personnes morales. </w:t>
      </w:r>
      <w:r w:rsidRPr="008C13CD">
        <w:rPr>
          <w:rFonts w:eastAsia="Times New Roman" w:cs="Times New Roman"/>
          <w:lang w:val="fr-CA"/>
        </w:rPr>
        <w:t xml:space="preserve">Par la suite, dans l’arrêt </w:t>
      </w:r>
      <w:r w:rsidRPr="008C13CD">
        <w:rPr>
          <w:rFonts w:cs="Times New Roman"/>
          <w:i/>
          <w:lang w:val="fr-CA"/>
        </w:rPr>
        <w:t>Thomson Newspapers Ltd. c. Canada (Directeur des enquêtes et recherches, Commission sur les pratiques restrictives du commerce)</w:t>
      </w:r>
      <w:r>
        <w:rPr>
          <w:rFonts w:cs="Times New Roman"/>
          <w:lang w:val="fr-CA"/>
        </w:rPr>
        <w:t>, [1990] 1 </w:t>
      </w:r>
      <w:r w:rsidRPr="008C13CD">
        <w:rPr>
          <w:rFonts w:cs="Times New Roman"/>
          <w:lang w:val="fr-CA"/>
        </w:rPr>
        <w:t>R.C.S</w:t>
      </w:r>
      <w:r>
        <w:rPr>
          <w:rFonts w:cs="Times New Roman"/>
          <w:lang w:val="fr-CA"/>
        </w:rPr>
        <w:t>. </w:t>
      </w:r>
      <w:r w:rsidRPr="008C13CD">
        <w:rPr>
          <w:rFonts w:cs="Times New Roman"/>
          <w:lang w:val="fr-CA"/>
        </w:rPr>
        <w:t>425, p. 521</w:t>
      </w:r>
      <w:r w:rsidRPr="008C13CD">
        <w:rPr>
          <w:rFonts w:cs="Times New Roman"/>
          <w:lang w:val="fr-CA"/>
        </w:rPr>
        <w:noBreakHyphen/>
        <w:t>522</w:t>
      </w:r>
      <w:r w:rsidRPr="008C13CD">
        <w:rPr>
          <w:rFonts w:eastAsia="Times New Roman" w:cs="Times New Roman"/>
          <w:lang w:val="fr-CA"/>
        </w:rPr>
        <w:t>, le juge La Forest a souligné que les fouilles, les perquisitions ou les saisies abusives pouvaient avoir une incidence importante sur les droits à la protection de la vie privée de particuliers au sein d’une personne morale. Il a affirmé que, parce que « </w:t>
      </w:r>
      <w:r w:rsidR="00FC6DD3" w:rsidRPr="008C13CD">
        <w:rPr>
          <w:rFonts w:cs="Times New Roman"/>
          <w:lang w:val="fr-CA"/>
        </w:rPr>
        <w:t>[l</w:t>
      </w:r>
      <w:r w:rsidR="00FC6DD3">
        <w:rPr>
          <w:rFonts w:cs="Times New Roman"/>
          <w:lang w:val="fr-CA"/>
        </w:rPr>
        <w:t>]</w:t>
      </w:r>
      <w:r w:rsidRPr="008C13CD">
        <w:rPr>
          <w:rFonts w:cs="Times New Roman"/>
          <w:lang w:val="fr-CA"/>
        </w:rPr>
        <w:t>es gens [. . .] perçoivent [leurs bureaux] comme un endroit personnel, un peu comme ils perçoivent leur domicile, et agissent en conséquence », l’obligation de subir la perquisition des locaux de l’entreprise peut « </w:t>
      </w:r>
      <w:r w:rsidRPr="008C13CD">
        <w:rPr>
          <w:rFonts w:eastAsia="Times New Roman" w:cs="Times New Roman"/>
          <w:spacing w:val="-3"/>
          <w:szCs w:val="24"/>
          <w:lang w:val="fr-CA" w:eastAsia="en-CA"/>
        </w:rPr>
        <w:t xml:space="preserve">revenir à </w:t>
      </w:r>
      <w:r w:rsidRPr="008C13CD">
        <w:rPr>
          <w:rFonts w:cs="Times New Roman"/>
          <w:lang w:val="fr-CA"/>
        </w:rPr>
        <w:t>obliger le particulier à révéler des aspects de sa vie privée au regard froid de fonctionnaires » (p. </w:t>
      </w:r>
      <w:r>
        <w:rPr>
          <w:rFonts w:cs="Times New Roman"/>
          <w:lang w:val="fr-CA"/>
        </w:rPr>
        <w:t>521</w:t>
      </w:r>
      <w:r>
        <w:rPr>
          <w:rFonts w:cs="Times New Roman"/>
          <w:lang w:val="fr-CA"/>
        </w:rPr>
        <w:noBreakHyphen/>
      </w:r>
      <w:r w:rsidRPr="008C13CD">
        <w:rPr>
          <w:rFonts w:cs="Times New Roman"/>
          <w:lang w:val="fr-CA"/>
        </w:rPr>
        <w:t>522).</w:t>
      </w:r>
    </w:p>
    <w:p w:rsidR="00182BDC" w:rsidRPr="008C13CD" w:rsidRDefault="00182BDC" w:rsidP="00182BDC">
      <w:pPr>
        <w:pStyle w:val="ParaNoNdepar-AltN"/>
        <w:spacing w:before="0"/>
        <w:rPr>
          <w:rFonts w:cs="Times New Roman"/>
          <w:lang w:val="fr-CA"/>
        </w:rPr>
      </w:pPr>
      <w:r w:rsidRPr="008C13CD">
        <w:rPr>
          <w:rFonts w:eastAsia="Times New Roman" w:cs="Times New Roman"/>
          <w:lang w:val="fr-CA"/>
        </w:rPr>
        <w:t>Toutefois, l’inférence selon laquelle des violations de l’art. 8 peuvent avoir une incidence directe sur un particulier au sein d’une personne morale ne peut logiquement être tirée dans le contexte de l’art</w:t>
      </w:r>
      <w:r w:rsidRPr="008C13CD">
        <w:rPr>
          <w:rFonts w:cs="Times New Roman"/>
          <w:lang w:val="fr-CA"/>
        </w:rPr>
        <w:t xml:space="preserve">. 12. Ces particuliers ne sont pas assujettis à quelque peine ou traitement infligé à la personne morale. Cette conclusion est renforcée par la personnalité juridique distincte de la personne morale, comme l’a souligné le juge en chef Lamer dans l’arrêt </w:t>
      </w:r>
      <w:r w:rsidRPr="008C13CD">
        <w:rPr>
          <w:rFonts w:cs="Times New Roman"/>
          <w:i/>
          <w:lang w:val="fr-CA"/>
        </w:rPr>
        <w:t>R. c. Wholesale Travel Group Inc</w:t>
      </w:r>
      <w:r w:rsidRPr="002656BE">
        <w:rPr>
          <w:rFonts w:cs="Times New Roman"/>
          <w:i/>
          <w:lang w:val="fr-CA"/>
        </w:rPr>
        <w:t>.</w:t>
      </w:r>
      <w:r w:rsidRPr="008C13CD">
        <w:rPr>
          <w:rFonts w:cs="Times New Roman"/>
          <w:lang w:val="fr-CA"/>
        </w:rPr>
        <w:t>, [1991] 3 R.C.S. 154 :</w:t>
      </w:r>
    </w:p>
    <w:p w:rsidR="00182BDC" w:rsidRPr="008C13CD" w:rsidRDefault="00182BDC" w:rsidP="00182BDC">
      <w:pPr>
        <w:pStyle w:val="Citation-AltC"/>
        <w:ind w:hanging="446"/>
        <w:contextualSpacing w:val="0"/>
      </w:pPr>
      <w:r w:rsidRPr="008C13CD">
        <w:lastRenderedPageBreak/>
        <w:tab/>
        <w:t>Les particuliers choisissent la constitution d’une société par actions parce qu’elle comporte de nombreux avantages (juridiques et autres). Ceux qui recourent au paravent de la personnalité morale et qui invoquent la distinction juridique entre eux</w:t>
      </w:r>
      <w:r>
        <w:rPr>
          <w:rFonts w:eastAsia="MS Mincho"/>
        </w:rPr>
        <w:t>-</w:t>
      </w:r>
      <w:r w:rsidRPr="008C13CD">
        <w:t>mêmes et la personne morale quand ils peuvent en tirer profit, ne doivent pas être autorisés à nier cette distinction dans les circonstances qui nous occupent (lorsque la distinction n’opère pas à leur avantage). [p. 182</w:t>
      </w:r>
      <w:r w:rsidRPr="008C13CD">
        <w:noBreakHyphen/>
        <w:t>183]</w:t>
      </w:r>
    </w:p>
    <w:p w:rsidR="00182BDC" w:rsidRPr="008C13CD" w:rsidRDefault="00182BDC" w:rsidP="00182BDC">
      <w:pPr>
        <w:pStyle w:val="ParaNoNdepar-AltN"/>
        <w:spacing w:before="0"/>
        <w:rPr>
          <w:rFonts w:eastAsia="Times New Roman" w:cs="Times New Roman"/>
          <w:b/>
          <w:lang w:val="fr-CA"/>
        </w:rPr>
      </w:pPr>
      <w:r w:rsidRPr="008C13CD">
        <w:rPr>
          <w:rFonts w:cs="Times New Roman"/>
          <w:lang w:val="fr-CA"/>
        </w:rPr>
        <w:t xml:space="preserve">Dans l’arrêt </w:t>
      </w:r>
      <w:r w:rsidRPr="008C13CD">
        <w:rPr>
          <w:rFonts w:cs="Times New Roman"/>
          <w:i/>
          <w:lang w:val="fr-CA"/>
        </w:rPr>
        <w:t>CIP</w:t>
      </w:r>
      <w:r w:rsidRPr="008C13CD">
        <w:rPr>
          <w:rFonts w:cs="Times New Roman"/>
          <w:lang w:val="fr-CA"/>
        </w:rPr>
        <w:t>,</w:t>
      </w:r>
      <w:r w:rsidRPr="008C13CD">
        <w:rPr>
          <w:rFonts w:cs="Times New Roman"/>
          <w:i/>
          <w:lang w:val="fr-CA"/>
        </w:rPr>
        <w:t xml:space="preserve"> </w:t>
      </w:r>
      <w:r w:rsidRPr="008C13CD">
        <w:rPr>
          <w:rFonts w:cs="Times New Roman"/>
          <w:lang w:val="fr-CA"/>
        </w:rPr>
        <w:t>la Cour a élargi aux personnes morales le droit garanti à l’al. 11</w:t>
      </w:r>
      <w:r w:rsidRPr="008C13CD">
        <w:rPr>
          <w:rFonts w:cs="Times New Roman"/>
          <w:i/>
          <w:lang w:val="fr-CA"/>
        </w:rPr>
        <w:t>b)</w:t>
      </w:r>
      <w:r w:rsidRPr="008C13CD">
        <w:rPr>
          <w:rFonts w:cs="Times New Roman"/>
          <w:lang w:val="fr-CA"/>
        </w:rPr>
        <w:t xml:space="preserve"> d’être jugé dans un délai raisonnable, au motif que tout accusé — qu’il s’agisse d’une personne morale ou d’une personne physique — a, comme l’a affirmé le juge Stevenson, « légitimement intérêt à être jugé [. . .] dans un délai raisonnable », et a droit à un procès équitable (p. 856; voir aussi p. 857</w:t>
      </w:r>
      <w:r w:rsidRPr="008C13CD">
        <w:rPr>
          <w:rFonts w:cs="Times New Roman"/>
          <w:lang w:val="fr-CA"/>
        </w:rPr>
        <w:noBreakHyphen/>
        <w:t xml:space="preserve">859). </w:t>
      </w:r>
      <w:r w:rsidRPr="008C13CD">
        <w:rPr>
          <w:rFonts w:eastAsia="Times New Roman" w:cs="Times New Roman"/>
          <w:lang w:val="fr-CA"/>
        </w:rPr>
        <w:t xml:space="preserve">Toutefois, il a reconnu que certains préjudices causés par une accusation criminelle pendante, par exemple </w:t>
      </w:r>
      <w:r w:rsidRPr="008C13CD">
        <w:rPr>
          <w:rFonts w:cs="Times New Roman"/>
          <w:lang w:val="fr-CA"/>
        </w:rPr>
        <w:t xml:space="preserve">« la stigmatisation de l’accusé, l’atteinte à la vie privée, </w:t>
      </w:r>
      <w:r w:rsidRPr="008C13CD">
        <w:rPr>
          <w:rFonts w:cs="Times New Roman"/>
          <w:i/>
          <w:lang w:val="fr-CA"/>
        </w:rPr>
        <w:t>la tension et l’angoisse</w:t>
      </w:r>
      <w:r w:rsidRPr="008C13CD">
        <w:rPr>
          <w:rFonts w:cs="Times New Roman"/>
          <w:lang w:val="fr-CA"/>
        </w:rPr>
        <w:t xml:space="preserve"> résultant d’une multitude de facteurs, y compris éventuellement les perturbations de la vie familiale, sociale et professionnelle » n’étaient pas des « préoccupations s’appliqu[ant] logiquement aux personnes morales »</w:t>
      </w:r>
      <w:r w:rsidR="002656BE">
        <w:rPr>
          <w:rFonts w:cs="Times New Roman"/>
          <w:lang w:val="fr-CA"/>
        </w:rPr>
        <w:t xml:space="preserve"> (p. 862 (</w:t>
      </w:r>
      <w:r w:rsidR="00951C33">
        <w:rPr>
          <w:rFonts w:cs="Times New Roman"/>
          <w:lang w:val="fr-CA"/>
        </w:rPr>
        <w:t>je souligne</w:t>
      </w:r>
      <w:r w:rsidRPr="008C13CD">
        <w:rPr>
          <w:rFonts w:cs="Times New Roman"/>
          <w:lang w:val="fr-CA"/>
        </w:rPr>
        <w:t xml:space="preserve">), citant </w:t>
      </w:r>
      <w:r w:rsidRPr="008C13CD">
        <w:rPr>
          <w:rFonts w:cs="Times New Roman"/>
          <w:i/>
          <w:lang w:val="fr-CA"/>
        </w:rPr>
        <w:t>Mills c. La Reine</w:t>
      </w:r>
      <w:r>
        <w:rPr>
          <w:rFonts w:cs="Times New Roman"/>
          <w:lang w:val="fr-CA"/>
        </w:rPr>
        <w:t>, [1986] 1 R.C.S. </w:t>
      </w:r>
      <w:r w:rsidRPr="008C13CD">
        <w:rPr>
          <w:rFonts w:cs="Times New Roman"/>
          <w:lang w:val="fr-CA"/>
        </w:rPr>
        <w:t>863, p. 920). Par conséquent, il a conclu qu’une personne morale ne pouvait pas invoquer une présomption de préjudice.</w:t>
      </w:r>
    </w:p>
    <w:p w:rsidR="00182BDC" w:rsidRPr="008C13CD" w:rsidRDefault="00182BDC" w:rsidP="00182BDC">
      <w:pPr>
        <w:pStyle w:val="ParaNoNdepar-AltN"/>
        <w:spacing w:before="0"/>
        <w:rPr>
          <w:rFonts w:cs="Times New Roman"/>
          <w:lang w:val="fr-CA"/>
        </w:rPr>
      </w:pPr>
      <w:r w:rsidRPr="008C13CD">
        <w:rPr>
          <w:rFonts w:cs="Times New Roman"/>
          <w:lang w:val="fr-CA"/>
        </w:rPr>
        <w:t>Tout comme les personnes morales ne peuvent pas éprouver de réactions humaines comme la tension ou l’angoisse, elles ne peuvent pas non plus éprouver de souffrances, puisque, comme l’a indiqué le juge d’appel Chamberland</w:t>
      </w:r>
      <w:r>
        <w:rPr>
          <w:rFonts w:cs="Times New Roman"/>
          <w:lang w:val="fr-CA"/>
        </w:rPr>
        <w:t>,</w:t>
      </w:r>
      <w:r w:rsidRPr="008C13CD">
        <w:rPr>
          <w:rFonts w:cs="Times New Roman"/>
          <w:lang w:val="fr-CA"/>
        </w:rPr>
        <w:t xml:space="preserve"> « [l]a souffrance, physique ou mentale, est le propre des êtres vivants, et non des entités corporatives et des objets inanimés » (par. 56).</w:t>
      </w:r>
    </w:p>
    <w:p w:rsidR="00182BDC" w:rsidRPr="008C13CD" w:rsidRDefault="00182BDC" w:rsidP="00182BDC">
      <w:pPr>
        <w:pStyle w:val="ParaNoNdepar-AltN"/>
        <w:spacing w:before="0"/>
        <w:rPr>
          <w:rFonts w:cs="Times New Roman"/>
          <w:lang w:val="fr-CA"/>
        </w:rPr>
      </w:pPr>
      <w:r w:rsidRPr="008C13CD">
        <w:rPr>
          <w:rFonts w:cs="Times New Roman"/>
          <w:lang w:val="fr-CA"/>
        </w:rPr>
        <w:lastRenderedPageBreak/>
        <w:t xml:space="preserve">Fait important, il a été jugé que les personnes morales </w:t>
      </w:r>
      <w:r w:rsidRPr="008C13CD">
        <w:rPr>
          <w:rFonts w:cs="Times New Roman"/>
          <w:i/>
          <w:lang w:val="fr-CA"/>
        </w:rPr>
        <w:t>ne</w:t>
      </w:r>
      <w:r w:rsidRPr="008C13CD">
        <w:rPr>
          <w:rFonts w:cs="Times New Roman"/>
          <w:lang w:val="fr-CA"/>
        </w:rPr>
        <w:t xml:space="preserve"> sont </w:t>
      </w:r>
      <w:r w:rsidRPr="008C13CD">
        <w:rPr>
          <w:rFonts w:cs="Times New Roman"/>
          <w:i/>
          <w:lang w:val="fr-CA"/>
        </w:rPr>
        <w:t>pas</w:t>
      </w:r>
      <w:r w:rsidRPr="008C13CD">
        <w:rPr>
          <w:rFonts w:cs="Times New Roman"/>
          <w:lang w:val="fr-CA"/>
        </w:rPr>
        <w:t xml:space="preserve"> visées tant à l’art. 7 qu’à l’al. 11</w:t>
      </w:r>
      <w:r w:rsidRPr="008C13CD">
        <w:rPr>
          <w:rFonts w:cs="Times New Roman"/>
          <w:i/>
          <w:lang w:val="fr-CA"/>
        </w:rPr>
        <w:t>c</w:t>
      </w:r>
      <w:r w:rsidRPr="008C13CD">
        <w:rPr>
          <w:rFonts w:cs="Times New Roman"/>
          <w:lang w:val="fr-CA"/>
        </w:rPr>
        <w:t xml:space="preserve">). Dans l’arrêt </w:t>
      </w:r>
      <w:r w:rsidRPr="008C13CD">
        <w:rPr>
          <w:rFonts w:cs="Times New Roman"/>
          <w:i/>
          <w:lang w:val="fr-CA"/>
        </w:rPr>
        <w:t>R</w:t>
      </w:r>
      <w:r>
        <w:rPr>
          <w:rFonts w:cs="Times New Roman"/>
          <w:i/>
          <w:lang w:val="fr-CA"/>
        </w:rPr>
        <w:t>.</w:t>
      </w:r>
      <w:r w:rsidRPr="008C13CD">
        <w:rPr>
          <w:rFonts w:cs="Times New Roman"/>
          <w:i/>
          <w:lang w:val="fr-CA"/>
        </w:rPr>
        <w:t xml:space="preserve"> c. Amway Corp.</w:t>
      </w:r>
      <w:r w:rsidRPr="008C13CD">
        <w:rPr>
          <w:rFonts w:cs="Times New Roman"/>
          <w:lang w:val="fr-CA"/>
        </w:rPr>
        <w:t xml:space="preserve">, [1989] 1 R.C.S. 21, notre Cour a conclu que le droit </w:t>
      </w:r>
      <w:r>
        <w:rPr>
          <w:rFonts w:cs="Times New Roman"/>
          <w:lang w:val="fr-CA"/>
        </w:rPr>
        <w:t>que reconnaît l’</w:t>
      </w:r>
      <w:r w:rsidRPr="008C13CD">
        <w:rPr>
          <w:rFonts w:cs="Times New Roman"/>
          <w:lang w:val="fr-CA"/>
        </w:rPr>
        <w:t>al. 11</w:t>
      </w:r>
      <w:r w:rsidRPr="008C13CD">
        <w:rPr>
          <w:rFonts w:cs="Times New Roman"/>
          <w:i/>
          <w:lang w:val="fr-CA"/>
        </w:rPr>
        <w:t>c</w:t>
      </w:r>
      <w:r w:rsidRPr="000F0E11">
        <w:rPr>
          <w:rFonts w:cs="Times New Roman"/>
          <w:lang w:val="fr-CA"/>
        </w:rPr>
        <w:t xml:space="preserve">) </w:t>
      </w:r>
      <w:r>
        <w:rPr>
          <w:rFonts w:cs="Times New Roman"/>
          <w:lang w:val="fr-CA"/>
        </w:rPr>
        <w:t xml:space="preserve">à un inculpé </w:t>
      </w:r>
      <w:r w:rsidRPr="008C13CD">
        <w:rPr>
          <w:rFonts w:cs="Times New Roman"/>
          <w:lang w:val="fr-CA"/>
        </w:rPr>
        <w:t xml:space="preserve">de ne pas être contraint de témoigner contre </w:t>
      </w:r>
      <w:r>
        <w:rPr>
          <w:rFonts w:cs="Times New Roman"/>
          <w:lang w:val="fr-CA"/>
        </w:rPr>
        <w:t>lu</w:t>
      </w:r>
      <w:r w:rsidRPr="008C13CD">
        <w:rPr>
          <w:rFonts w:cs="Times New Roman"/>
          <w:lang w:val="fr-CA"/>
        </w:rPr>
        <w:t>i</w:t>
      </w:r>
      <w:r w:rsidRPr="008C13CD">
        <w:rPr>
          <w:rFonts w:cs="Times New Roman"/>
          <w:lang w:val="fr-CA"/>
        </w:rPr>
        <w:noBreakHyphen/>
        <w:t>même dans toute poursuite intentée ne s’applique pas aux personnes morales. Le juge Sopinka a statué que, comme une personne morale ne peut pas témoigner, elle ne peut pas se prévaloir du droit que l’al. 11</w:t>
      </w:r>
      <w:r w:rsidRPr="008C13CD">
        <w:rPr>
          <w:rFonts w:cs="Times New Roman"/>
          <w:i/>
          <w:lang w:val="fr-CA"/>
        </w:rPr>
        <w:t>c)</w:t>
      </w:r>
      <w:r w:rsidRPr="008C13CD">
        <w:rPr>
          <w:rFonts w:cs="Times New Roman"/>
          <w:lang w:val="fr-CA"/>
        </w:rPr>
        <w:t xml:space="preserve"> garantit à tout inculpé de ne pas être contraint de témoigner contre lui</w:t>
      </w:r>
      <w:r w:rsidRPr="008C13CD">
        <w:rPr>
          <w:rFonts w:cs="Times New Roman"/>
          <w:lang w:val="fr-CA"/>
        </w:rPr>
        <w:noBreakHyphen/>
        <w:t>même. Appliquant à l’al. 11</w:t>
      </w:r>
      <w:r w:rsidRPr="008C13CD">
        <w:rPr>
          <w:rFonts w:cs="Times New Roman"/>
          <w:i/>
          <w:lang w:val="fr-CA"/>
        </w:rPr>
        <w:t>c</w:t>
      </w:r>
      <w:r w:rsidRPr="008C13CD">
        <w:rPr>
          <w:rFonts w:cs="Times New Roman"/>
          <w:lang w:val="fr-CA"/>
        </w:rPr>
        <w:t>) une interprétation fondée sur l’objet visé par cette disposition, le juge Sopinka a exprimé l’avis que l’al. 11</w:t>
      </w:r>
      <w:r w:rsidRPr="008C13CD">
        <w:rPr>
          <w:rFonts w:cs="Times New Roman"/>
          <w:i/>
          <w:lang w:val="fr-CA"/>
        </w:rPr>
        <w:t>c</w:t>
      </w:r>
      <w:r w:rsidRPr="008C13CD">
        <w:rPr>
          <w:rFonts w:cs="Times New Roman"/>
          <w:lang w:val="fr-CA"/>
        </w:rPr>
        <w:t>) « vise à protéger l’individu contre toute atteinte à sa dignité et à sa vie privée, inhérente à une pratique qui permet à la poursuite d’obliger la personne inculpée à témoigner elle</w:t>
      </w:r>
      <w:r w:rsidRPr="008C13CD">
        <w:rPr>
          <w:rFonts w:cs="Times New Roman"/>
          <w:lang w:val="fr-CA"/>
        </w:rPr>
        <w:noBreakHyphen/>
        <w:t>même » (p. 40). Pour reprendre les termes qu’il a utilisés, « ce serait forcer l’interprétation de l’al. 11</w:t>
      </w:r>
      <w:r w:rsidRPr="008C13CD">
        <w:rPr>
          <w:rFonts w:cs="Times New Roman"/>
          <w:i/>
          <w:iCs/>
          <w:lang w:val="fr-CA"/>
        </w:rPr>
        <w:t>c</w:t>
      </w:r>
      <w:r w:rsidRPr="008C13CD">
        <w:rPr>
          <w:rFonts w:cs="Times New Roman"/>
          <w:lang w:val="fr-CA"/>
        </w:rPr>
        <w:t>) que de conclure qu’une entité artificielle est un témoin » (p. 39).</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Lorsqu’ils ont conclu que l’art. 7, qui protège contre les atteintes à la vie, à la liberté et à la sécurité de la personne, ne s’applique pas aux personnes morales (</w:t>
      </w:r>
      <w:r w:rsidRPr="008C13CD">
        <w:rPr>
          <w:rFonts w:cs="Times New Roman"/>
          <w:i/>
          <w:lang w:val="fr-CA"/>
        </w:rPr>
        <w:t>Irwin Toy</w:t>
      </w:r>
      <w:r w:rsidRPr="008C13CD">
        <w:rPr>
          <w:rFonts w:cs="Times New Roman"/>
          <w:lang w:val="fr-CA"/>
        </w:rPr>
        <w:t>, p. 1004), le juge en chef Dickson et les juges Lamer et Wilson</w:t>
      </w:r>
      <w:r>
        <w:rPr>
          <w:rFonts w:cs="Times New Roman"/>
          <w:lang w:val="fr-CA"/>
        </w:rPr>
        <w:t>,</w:t>
      </w:r>
      <w:r w:rsidRPr="008C13CD">
        <w:rPr>
          <w:rFonts w:cs="Times New Roman"/>
          <w:lang w:val="fr-CA"/>
        </w:rPr>
        <w:t xml:space="preserve"> rédigeant pour la Cour</w:t>
      </w:r>
      <w:r>
        <w:rPr>
          <w:rFonts w:cs="Times New Roman"/>
          <w:lang w:val="fr-CA"/>
        </w:rPr>
        <w:t>,</w:t>
      </w:r>
      <w:r w:rsidRPr="008C13CD">
        <w:rPr>
          <w:rFonts w:cs="Times New Roman"/>
          <w:lang w:val="fr-CA"/>
        </w:rPr>
        <w:t xml:space="preserve"> ont exprimé ainsi leur réticence à appliquer l’art. 7 aux personnes morales :</w:t>
      </w:r>
    </w:p>
    <w:p w:rsidR="00182BDC" w:rsidRPr="008C13CD" w:rsidRDefault="00182BDC" w:rsidP="00182BDC">
      <w:pPr>
        <w:pStyle w:val="Citation-AltC"/>
        <w:spacing w:after="240"/>
        <w:ind w:hanging="446"/>
        <w:contextualSpacing w:val="0"/>
      </w:pPr>
      <w:r w:rsidRPr="008C13CD">
        <w:tab/>
        <w:t>À notre avis, une société ne peut invoquer la protection qu’offre l’art. 7 de la</w:t>
      </w:r>
      <w:r w:rsidRPr="008C13CD">
        <w:rPr>
          <w:i/>
          <w:iCs/>
        </w:rPr>
        <w:t> Charte</w:t>
      </w:r>
      <w:r w:rsidRPr="008C13CD">
        <w:t>. Premièrement, nous aurions à établir de quelle manière une société peut être privée du droit « à la vie, à la liberté et à la sécurité de sa personne ». Nous avons déjà souligné que c’est un non</w:t>
      </w:r>
      <w:r w:rsidRPr="008C13CD">
        <w:noBreakHyphen/>
        <w:t>sens de dire d’une société qu’elle est condamnée à l’emprisonnement.</w:t>
      </w:r>
    </w:p>
    <w:p w:rsidR="00182BDC" w:rsidRPr="008C13CD" w:rsidRDefault="00182BDC" w:rsidP="00182BDC">
      <w:pPr>
        <w:pStyle w:val="Citation-AltC"/>
        <w:spacing w:after="240"/>
        <w:ind w:left="4320" w:hanging="360"/>
        <w:contextualSpacing w:val="0"/>
      </w:pPr>
      <w:r w:rsidRPr="008C13CD">
        <w:lastRenderedPageBreak/>
        <w:tab/>
        <w:t>. . .</w:t>
      </w:r>
    </w:p>
    <w:p w:rsidR="00182BDC" w:rsidRPr="008C13CD" w:rsidRDefault="00182BDC" w:rsidP="00182BDC">
      <w:pPr>
        <w:pStyle w:val="Citation-AltC"/>
        <w:ind w:hanging="446"/>
        <w:contextualSpacing w:val="0"/>
      </w:pPr>
      <w:r w:rsidRPr="008C13CD">
        <w:tab/>
      </w:r>
      <w:r w:rsidR="00951C33">
        <w:tab/>
        <w:t xml:space="preserve">. . . </w:t>
      </w:r>
      <w:r w:rsidRPr="008C13CD">
        <w:t>Une lecture ordinaire, conforme au bon sens, de la phrase « Chacun a droit à la vie, à la liberté et à la sécurité de sa personne » fait ressortir l’élément humain visé; seul un être humain peut avoir ces droits. [p. 1003</w:t>
      </w:r>
      <w:r w:rsidRPr="008C13CD">
        <w:noBreakHyphen/>
        <w:t>1004]</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 xml:space="preserve">Dans l’arrêt </w:t>
      </w:r>
      <w:r w:rsidRPr="008C13CD">
        <w:rPr>
          <w:rFonts w:cs="Times New Roman"/>
          <w:i/>
          <w:lang w:val="fr-CA"/>
        </w:rPr>
        <w:t>Irwin Toy</w:t>
      </w:r>
      <w:r w:rsidRPr="008C13CD">
        <w:rPr>
          <w:rFonts w:cs="Times New Roman"/>
          <w:lang w:val="fr-CA"/>
        </w:rPr>
        <w:t>, la Cour a conclu en outre qu’une procédure de faillite et de liquidation ne faisait pas intervenir l’art. 7, car tirer la conclusion contraire « reviendrait à fausser complètement le sens du droit à la vie » (p. 1003). De plus, elle a rejeté l’argument voulant que les personnes morales doivent être protégées contre les privations liées à la liberté économique :</w:t>
      </w:r>
    </w:p>
    <w:p w:rsidR="00182BDC" w:rsidRPr="008C13CD" w:rsidRDefault="00182BDC" w:rsidP="00182BDC">
      <w:pPr>
        <w:pStyle w:val="Citation-AltC"/>
        <w:spacing w:after="240"/>
        <w:ind w:hanging="446"/>
        <w:contextualSpacing w:val="0"/>
      </w:pPr>
      <w:r w:rsidRPr="008C13CD">
        <w:tab/>
        <w:t>À notre avis, l’exclusion intentionnelle de la propriété de l’art. 7 et son remplacement par la « sécurité de sa personne » a un double effet. Premièrement, cela permet d’en déduire globalement que les droits économiques, généralement désignés par le terme « propriété », ne relèvent pas de la garantie de l’</w:t>
      </w:r>
      <w:r>
        <w:t xml:space="preserve">art. 7 </w:t>
      </w:r>
      <w:r w:rsidRPr="008C13CD">
        <w:t xml:space="preserve">. . . Ce faisant, nous concluons que l’inclusion de l’expression « sécurité de sa </w:t>
      </w:r>
      <w:r w:rsidRPr="008C13CD">
        <w:rPr>
          <w:u w:val="single"/>
        </w:rPr>
        <w:t>personne</w:t>
      </w:r>
      <w:r w:rsidRPr="008C13CD">
        <w:t xml:space="preserve"> » à l’art. 7 a comme deuxième effet de n’accorder aucune protection constitutionnelle aux droits économiques d’une </w:t>
      </w:r>
      <w:r w:rsidRPr="008C13CD">
        <w:rPr>
          <w:u w:val="single"/>
        </w:rPr>
        <w:t>société</w:t>
      </w:r>
      <w:r w:rsidRPr="008C13CD">
        <w:t>.</w:t>
      </w:r>
    </w:p>
    <w:p w:rsidR="00182BDC" w:rsidRPr="008C13CD" w:rsidRDefault="00182BDC" w:rsidP="00182BDC">
      <w:pPr>
        <w:pStyle w:val="Citation-AltC"/>
        <w:tabs>
          <w:tab w:val="left" w:pos="1440"/>
        </w:tabs>
        <w:contextualSpacing w:val="0"/>
      </w:pPr>
      <w:r>
        <w:tab/>
      </w:r>
      <w:r w:rsidRPr="008C13CD">
        <w:t xml:space="preserve">En effet, il nous semble que, pris globalement, cet article avait pour but d’accorder une protection à un </w:t>
      </w:r>
      <w:r w:rsidRPr="008C13CD">
        <w:rPr>
          <w:i/>
        </w:rPr>
        <w:t>niveau individuel seulement</w:t>
      </w:r>
      <w:r w:rsidR="002656BE">
        <w:t>. [Soulignement dans l’original; italique ajouté</w:t>
      </w:r>
      <w:r w:rsidRPr="008C13CD">
        <w:t>; p. 1003</w:t>
      </w:r>
      <w:r w:rsidRPr="008C13CD">
        <w:noBreakHyphen/>
        <w:t>1004.]</w:t>
      </w:r>
    </w:p>
    <w:p w:rsidR="00182BDC" w:rsidRPr="008C13CD" w:rsidRDefault="00182BDC" w:rsidP="00182BDC">
      <w:pPr>
        <w:pStyle w:val="ParaNoNdepar-AltN"/>
        <w:spacing w:before="0"/>
        <w:rPr>
          <w:rFonts w:cs="Times New Roman"/>
          <w:lang w:val="fr-CA"/>
        </w:rPr>
      </w:pPr>
      <w:r w:rsidRPr="008C13CD">
        <w:rPr>
          <w:rFonts w:cs="Times New Roman"/>
          <w:lang w:val="fr-CA"/>
        </w:rPr>
        <w:t xml:space="preserve">Tout comme dans l’arrêt </w:t>
      </w:r>
      <w:r w:rsidRPr="008C13CD">
        <w:rPr>
          <w:rFonts w:cs="Times New Roman"/>
          <w:i/>
          <w:lang w:val="fr-CA"/>
        </w:rPr>
        <w:t>Irwin Toy</w:t>
      </w:r>
      <w:r w:rsidRPr="008C13CD">
        <w:rPr>
          <w:rFonts w:cs="Times New Roman"/>
          <w:lang w:val="fr-CA"/>
        </w:rPr>
        <w:t xml:space="preserve">, l’art. 12 a pour objet d’accorder une protection à un « niveau individuel seulement ». En conformité avec le consensus mondial à cet égard, l’objet de cette disposition consiste à interdire à l’État d’infliger des douleurs et des souffrances physiques ou morales au moyen de traitements ou peines dégradants et déshumanisants. Cet article vise à protéger la dignité humaine et à respecter la valeur inhérente des individus. Pour paraphraser les propos du juge </w:t>
      </w:r>
      <w:r w:rsidRPr="008C13CD">
        <w:rPr>
          <w:rFonts w:cs="Times New Roman"/>
          <w:lang w:val="fr-CA"/>
        </w:rPr>
        <w:lastRenderedPageBreak/>
        <w:t xml:space="preserve">Sopinka dans l’arrêt </w:t>
      </w:r>
      <w:r w:rsidRPr="008C13CD">
        <w:rPr>
          <w:rFonts w:cs="Times New Roman"/>
          <w:i/>
          <w:lang w:val="fr-CA"/>
        </w:rPr>
        <w:t>Amway Corp</w:t>
      </w:r>
      <w:r w:rsidRPr="002656BE">
        <w:rPr>
          <w:rFonts w:cs="Times New Roman"/>
          <w:i/>
          <w:lang w:val="fr-CA"/>
        </w:rPr>
        <w:t>.</w:t>
      </w:r>
      <w:r w:rsidRPr="008C13CD">
        <w:rPr>
          <w:rFonts w:cs="Times New Roman"/>
          <w:lang w:val="fr-CA"/>
        </w:rPr>
        <w:t>, ce serait forcer l’interprétation de la notion de traitements ou peines cruels et inusités visée à l’art. 12 s’il était possible de soutenir qu’une personne morale, une entité artificielle, puisse subir de tels traitement ou peines.</w:t>
      </w:r>
    </w:p>
    <w:p w:rsidR="00182BDC" w:rsidRPr="008C13CD" w:rsidRDefault="00182BDC" w:rsidP="00182BDC">
      <w:pPr>
        <w:pStyle w:val="ParaNoNdepar-AltN"/>
        <w:tabs>
          <w:tab w:val="clear" w:pos="1152"/>
          <w:tab w:val="left" w:pos="1166"/>
        </w:tabs>
        <w:spacing w:before="0"/>
        <w:rPr>
          <w:rFonts w:cs="Times New Roman"/>
          <w:lang w:val="fr-CA"/>
        </w:rPr>
      </w:pPr>
      <w:r w:rsidRPr="008C13CD">
        <w:rPr>
          <w:rFonts w:cs="Times New Roman"/>
          <w:lang w:val="fr-CA"/>
        </w:rPr>
        <w:t>Les personnes morales ont indubitablement droit à une robuste protection juridique, constitutionnelle ou autre. Mais la protection d’un attribut que ne possèdent pas les personnes morales, à savoir la dignité humaine ou la capacité d’éprouver des douleurs ou souffrances physiques ou psychologiques, c’est un recours sans droit. Comme il est impossible d’affirmer que les personnes morales possèdent un intérêt relevant de l’objet de la garantie prévue à l’art. 12, elles ne relèvent donc pas du champ d’application de cette disposition.</w:t>
      </w:r>
    </w:p>
    <w:p w:rsidR="00CB161E" w:rsidRPr="002656BE" w:rsidRDefault="00182BDC" w:rsidP="00CB161E">
      <w:pPr>
        <w:pStyle w:val="ParaNoNdepar-AltN"/>
        <w:tabs>
          <w:tab w:val="clear" w:pos="1152"/>
          <w:tab w:val="left" w:pos="1166"/>
        </w:tabs>
        <w:spacing w:before="0"/>
        <w:rPr>
          <w:rStyle w:val="SCCCounselPartyRoleChar"/>
          <w:rFonts w:cs="Times New Roman"/>
          <w:lang w:val="fr-CA"/>
        </w:rPr>
      </w:pPr>
      <w:r w:rsidRPr="008C13CD">
        <w:rPr>
          <w:rFonts w:cs="Times New Roman"/>
          <w:lang w:val="fr-CA"/>
        </w:rPr>
        <w:t>Par conséquent, j’accueillerais le pourvoi.</w:t>
      </w:r>
    </w:p>
    <w:p w:rsidR="00182BDC" w:rsidRPr="002656BE" w:rsidRDefault="00182BDC" w:rsidP="00FB3954">
      <w:pPr>
        <w:spacing w:after="480" w:line="480" w:lineRule="auto"/>
        <w:ind w:left="1170"/>
        <w:rPr>
          <w:szCs w:val="24"/>
          <w:lang w:val="fr-CA"/>
        </w:rPr>
      </w:pPr>
      <w:r w:rsidRPr="002E46F5">
        <w:rPr>
          <w:szCs w:val="24"/>
          <w:lang w:val="fr-CA"/>
        </w:rPr>
        <w:t>Les motifs suivants ont été rendus par</w:t>
      </w:r>
    </w:p>
    <w:p w:rsidR="00182BDC" w:rsidRPr="00182BDC" w:rsidRDefault="002656BE" w:rsidP="00182BDC">
      <w:pPr>
        <w:pStyle w:val="ParaNoNdepar-AltN"/>
        <w:rPr>
          <w:lang w:val="fr-CA"/>
        </w:rPr>
      </w:pPr>
      <w:r w:rsidRPr="002656BE">
        <w:rPr>
          <w:smallCaps/>
          <w:lang w:val="fr-CA"/>
        </w:rPr>
        <w:t>Le juge Kasirer</w:t>
      </w:r>
      <w:r w:rsidRPr="002656BE">
        <w:rPr>
          <w:lang w:val="fr-CA"/>
        </w:rPr>
        <w:t xml:space="preserve"> — </w:t>
      </w:r>
      <w:r w:rsidR="00182BDC" w:rsidRPr="00182BDC">
        <w:rPr>
          <w:lang w:val="fr-CA"/>
        </w:rPr>
        <w:t xml:space="preserve">Pour les motifs exprimés par le juge Chamberland de la Cour d’appel, et avec égards pour l’avis contraire, j’estime, comme mes collègues, que l’appel doit être accueilli. Je partage en tous points l’avis du juge Chamberland selon lequel l’intimée 9147-0732 Québec inc., une personne morale, ne peut bénéficier de la protection de l’art. 12 de la </w:t>
      </w:r>
      <w:r w:rsidR="00182BDC" w:rsidRPr="00182BDC">
        <w:rPr>
          <w:i/>
          <w:lang w:val="fr-CA"/>
        </w:rPr>
        <w:t>Charte canadienne des droits et libertés</w:t>
      </w:r>
      <w:r w:rsidR="00182BDC" w:rsidRPr="00182BDC">
        <w:rPr>
          <w:lang w:val="fr-CA"/>
        </w:rPr>
        <w:t xml:space="preserve"> pour contester la constitutionnalité de l’art. 197.1 de la </w:t>
      </w:r>
      <w:r w:rsidR="00182BDC" w:rsidRPr="00182BDC">
        <w:rPr>
          <w:i/>
          <w:lang w:val="fr-CA"/>
        </w:rPr>
        <w:t>Loi sur le bâtiment</w:t>
      </w:r>
      <w:r w:rsidR="00182BDC" w:rsidRPr="00182BDC">
        <w:rPr>
          <w:lang w:val="fr-CA"/>
        </w:rPr>
        <w:t>, RLRQ, c. B-1.1.</w:t>
      </w:r>
    </w:p>
    <w:p w:rsidR="00182BDC" w:rsidRPr="009848EA" w:rsidRDefault="00182BDC" w:rsidP="00182BDC">
      <w:pPr>
        <w:pStyle w:val="ParaNoNdepar-AltN"/>
        <w:rPr>
          <w:rFonts w:cs="Times New Roman"/>
        </w:rPr>
      </w:pPr>
      <w:r w:rsidRPr="00182BDC">
        <w:rPr>
          <w:rFonts w:cs="Times New Roman"/>
          <w:lang w:val="fr-CA"/>
        </w:rPr>
        <w:lastRenderedPageBreak/>
        <w:t xml:space="preserve">Partant, à bon droit, du libellé de l’art. 12, comme le préconisent la juge Abella ainsi que les juges Brown et Rowe dans leurs motifs respectifs, le juge Chamberland y relève le mot « cruels » et raisonne que ce serait dénaturer le sens commun des mots que de dire que l’on peut faire preuve de cruauté envers une entité corporative (2019 QCCA 373, par. 53 (CanLII)). </w:t>
      </w:r>
      <w:r w:rsidRPr="009848EA">
        <w:rPr>
          <w:rFonts w:cs="Times New Roman"/>
        </w:rPr>
        <w:t>Je partage son avis.</w:t>
      </w:r>
    </w:p>
    <w:p w:rsidR="00182BDC" w:rsidRPr="00182BDC" w:rsidRDefault="00182BDC" w:rsidP="00182BDC">
      <w:pPr>
        <w:pStyle w:val="ParaNoNdepar-AltN"/>
        <w:rPr>
          <w:rFonts w:cs="Times New Roman"/>
          <w:lang w:val="fr-CA"/>
        </w:rPr>
      </w:pPr>
      <w:r w:rsidRPr="00182BDC">
        <w:rPr>
          <w:rFonts w:cs="Times New Roman"/>
          <w:lang w:val="fr-CA"/>
        </w:rPr>
        <w:t xml:space="preserve">Il prend soin de s’en tenir au principe selon lequel les droits conférés par la </w:t>
      </w:r>
      <w:r w:rsidRPr="00182BDC">
        <w:rPr>
          <w:rFonts w:cs="Times New Roman"/>
          <w:i/>
          <w:lang w:val="fr-CA"/>
        </w:rPr>
        <w:t>Charte</w:t>
      </w:r>
      <w:r w:rsidRPr="00182BDC">
        <w:rPr>
          <w:rFonts w:cs="Times New Roman"/>
          <w:lang w:val="fr-CA"/>
        </w:rPr>
        <w:t xml:space="preserve"> doivent être interprétés de façon large et libérale en fonction de l’objectif visé, principe dont la pertinence a été soulignée encore récemment par le juge en chef Wagner dans l’arrêt </w:t>
      </w:r>
      <w:r w:rsidRPr="00182BDC">
        <w:rPr>
          <w:rFonts w:cs="Times New Roman"/>
          <w:i/>
          <w:lang w:val="fr-CA"/>
        </w:rPr>
        <w:t>Conseil scolaire francophone de la Colombie-Britannique c. Colombie-Britannique</w:t>
      </w:r>
      <w:r w:rsidR="00580D92">
        <w:rPr>
          <w:rFonts w:cs="Times New Roman"/>
          <w:lang w:val="fr-CA"/>
        </w:rPr>
        <w:t>, 2020 CSC 13, [2020</w:t>
      </w:r>
      <w:r w:rsidR="00580D92" w:rsidRPr="00182BDC">
        <w:rPr>
          <w:rFonts w:cs="Times New Roman"/>
          <w:lang w:val="fr-CA"/>
        </w:rPr>
        <w:t>]</w:t>
      </w:r>
      <w:r w:rsidR="00951C33">
        <w:rPr>
          <w:rFonts w:cs="Times New Roman"/>
          <w:lang w:val="fr-CA"/>
        </w:rPr>
        <w:t xml:space="preserve"> 1</w:t>
      </w:r>
      <w:r w:rsidR="00580D92">
        <w:rPr>
          <w:rFonts w:cs="Times New Roman"/>
          <w:lang w:val="fr-CA"/>
        </w:rPr>
        <w:t xml:space="preserve"> R.C.S. </w:t>
      </w:r>
      <w:r w:rsidR="00951C33">
        <w:rPr>
          <w:rFonts w:cs="Times New Roman"/>
          <w:lang w:val="fr-CA"/>
        </w:rPr>
        <w:t>678</w:t>
      </w:r>
      <w:r w:rsidR="00580D92">
        <w:rPr>
          <w:rFonts w:cs="Times New Roman"/>
          <w:lang w:val="fr-CA"/>
        </w:rPr>
        <w:t>, par. 4</w:t>
      </w:r>
      <w:r w:rsidRPr="00182BDC">
        <w:rPr>
          <w:rFonts w:cs="Times New Roman"/>
          <w:lang w:val="fr-CA"/>
        </w:rPr>
        <w:t xml:space="preserve">. Au terme de son analyse qui s’appuie d’abord sur la jurisprudence de notre Cour, dont notamment l’arrêt </w:t>
      </w:r>
      <w:r w:rsidR="00A63224">
        <w:rPr>
          <w:rFonts w:cs="Times New Roman"/>
          <w:i/>
          <w:lang w:val="fr-CA"/>
        </w:rPr>
        <w:t>R. c. Smith</w:t>
      </w:r>
      <w:r w:rsidRPr="00182BDC">
        <w:rPr>
          <w:rFonts w:cs="Times New Roman"/>
          <w:lang w:val="fr-CA"/>
        </w:rPr>
        <w:t xml:space="preserve">, [1987] 1 R.C.S. 1045, le juge Chamberland conclut que, malgré un élargissement de la portée de l’art. 12 au fil des ans, « son évolution ne s’intéresse toujours qu’à l’être humain (la dignité humaine) et ne permet pas [. . .] d’en étendre l’application aux personnes morales » (par. 59). Il poursuit son raisonnement en précisant que « [l]’affirmation voulant que nul ne soit soumis à un traitement ou une peine cruel est indissociable de la dignité humaine » (par. 59). Pour en arriver à cette lecture de l’art. 12 — à mon avis sans reproche — le juge Chamberland s’appuie aussi sur des sources tirées du droit interne et du droit international, une démarche en parfait accord avec les principes d’interprétation de la </w:t>
      </w:r>
      <w:r w:rsidRPr="00182BDC">
        <w:rPr>
          <w:rFonts w:cs="Times New Roman"/>
          <w:i/>
          <w:lang w:val="fr-CA"/>
        </w:rPr>
        <w:t>Charte</w:t>
      </w:r>
      <w:r w:rsidRPr="00182BDC">
        <w:rPr>
          <w:rFonts w:cs="Times New Roman"/>
          <w:lang w:val="fr-CA"/>
        </w:rPr>
        <w:t xml:space="preserve">. </w:t>
      </w:r>
    </w:p>
    <w:p w:rsidR="00182BDC" w:rsidRPr="009848EA" w:rsidRDefault="00182BDC" w:rsidP="00182BDC">
      <w:pPr>
        <w:pStyle w:val="ParaNoNdepar-AltN"/>
        <w:rPr>
          <w:rFonts w:cs="Times New Roman"/>
        </w:rPr>
      </w:pPr>
      <w:r w:rsidRPr="00182BDC">
        <w:rPr>
          <w:rFonts w:cs="Times New Roman"/>
          <w:lang w:val="fr-CA"/>
        </w:rPr>
        <w:lastRenderedPageBreak/>
        <w:t xml:space="preserve">Quant au moyen d’appel selon lequel une personne morale pourrait, par l’entremise des personnes physiques qui lui sont intimement liées, bénéficier de la protection de l’art. 12, le juge Chamberland invoque la jurisprudence de notre Cour, mais aussi la jurisprudence anglaise et le </w:t>
      </w:r>
      <w:r w:rsidRPr="00182BDC">
        <w:rPr>
          <w:rFonts w:cs="Times New Roman"/>
          <w:i/>
          <w:lang w:val="fr-CA"/>
        </w:rPr>
        <w:t>Code civil du Québec</w:t>
      </w:r>
      <w:r w:rsidRPr="00182BDC">
        <w:rPr>
          <w:rFonts w:cs="Times New Roman"/>
          <w:lang w:val="fr-CA"/>
        </w:rPr>
        <w:t xml:space="preserve">, pour expliquer, de manière percutante, que l’intimée « fait ici valoir des droits qui ne sont pas les siens » (par. 75). </w:t>
      </w:r>
      <w:r w:rsidRPr="009848EA">
        <w:rPr>
          <w:rFonts w:cs="Times New Roman"/>
        </w:rPr>
        <w:t>Là encore, on ne fait voir aucune erreur.</w:t>
      </w:r>
      <w:r w:rsidRPr="009848EA">
        <w:rPr>
          <w:rFonts w:cs="Times New Roman"/>
          <w:szCs w:val="24"/>
        </w:rPr>
        <w:t xml:space="preserve"> </w:t>
      </w:r>
    </w:p>
    <w:p w:rsidR="00CB161E" w:rsidRPr="00A63224" w:rsidRDefault="00182BDC" w:rsidP="00CB161E">
      <w:pPr>
        <w:pStyle w:val="ParaNoNdepar-AltN"/>
        <w:rPr>
          <w:rFonts w:cs="Times New Roman"/>
          <w:lang w:val="fr-CA"/>
        </w:rPr>
      </w:pPr>
      <w:r w:rsidRPr="00182BDC">
        <w:rPr>
          <w:rFonts w:cs="Times New Roman"/>
          <w:szCs w:val="24"/>
          <w:lang w:val="fr-CA"/>
        </w:rPr>
        <w:t xml:space="preserve">En l’espèce, tous les facteurs pertinents abondent dans le même sens, soit que la protection offerte par l’art. 12 ne s’étend pas aux personnes morales. Je trouve donc inopportun de s’attarder davantage sur des questions liées à la démarche appropriée pour l’interprétation constitutionnelle ou sur la place du droit international et du droit comparé dans cette démarche. </w:t>
      </w:r>
      <w:r w:rsidRPr="00182BDC">
        <w:rPr>
          <w:rFonts w:cs="Times New Roman"/>
          <w:lang w:val="fr-CA"/>
        </w:rPr>
        <w:t>J’estime que les motifs du juge Chamberland nous permettent de conclure, sans dire plus, que l’appel doit être accueilli.</w:t>
      </w:r>
    </w:p>
    <w:p w:rsidR="004D7D95" w:rsidRPr="00EA7953" w:rsidRDefault="004D7D95" w:rsidP="00653396">
      <w:pPr>
        <w:pStyle w:val="SCCNormalDoubleSpacing"/>
        <w:spacing w:after="480"/>
        <w:rPr>
          <w:lang w:val="fr-CA"/>
        </w:rPr>
      </w:pPr>
      <w:r w:rsidRPr="00EA7953">
        <w:rPr>
          <w:lang w:val="fr-CA"/>
        </w:rPr>
        <w:tab/>
      </w:r>
      <w:r w:rsidR="00F81071" w:rsidRPr="0089094A">
        <w:rPr>
          <w:i/>
          <w:lang w:val="fr-CA"/>
        </w:rPr>
        <w:t>Pourvoi accueilli</w:t>
      </w:r>
      <w:r w:rsidR="005A2E64" w:rsidRPr="0089094A">
        <w:rPr>
          <w:i/>
          <w:lang w:val="fr-CA"/>
        </w:rPr>
        <w:t>.</w:t>
      </w:r>
    </w:p>
    <w:p w:rsidR="00F42B14" w:rsidRPr="00EA7953" w:rsidRDefault="00F42B14" w:rsidP="00653396">
      <w:pPr>
        <w:pStyle w:val="SCCLawFirm"/>
        <w:spacing w:after="480"/>
        <w:rPr>
          <w:lang w:val="fr-CA"/>
        </w:rPr>
      </w:pPr>
      <w:r>
        <w:rPr>
          <w:lang w:val="fr-CA"/>
        </w:rPr>
        <w:tab/>
        <w:t>Procureur</w:t>
      </w:r>
      <w:r w:rsidR="00A63224">
        <w:rPr>
          <w:lang w:val="fr-CA"/>
        </w:rPr>
        <w:t>e</w:t>
      </w:r>
      <w:r w:rsidRPr="00EA7953">
        <w:rPr>
          <w:lang w:val="fr-CA"/>
        </w:rPr>
        <w:t xml:space="preserve"> de l</w:t>
      </w:r>
      <w:r>
        <w:rPr>
          <w:lang w:val="fr-CA"/>
        </w:rPr>
        <w:t xml:space="preserve">’appelante la </w:t>
      </w:r>
      <w:r w:rsidR="00AB5DF7">
        <w:rPr>
          <w:lang w:val="fr-CA"/>
        </w:rPr>
        <w:t>p</w:t>
      </w:r>
      <w:r w:rsidRPr="00EA7953">
        <w:rPr>
          <w:lang w:val="fr-CA"/>
        </w:rPr>
        <w:t>rocureure générale du Québec</w:t>
      </w:r>
      <w:r w:rsidR="00730302">
        <w:rPr>
          <w:lang w:val="fr-CA"/>
        </w:rPr>
        <w:t> : </w:t>
      </w:r>
      <w:r w:rsidRPr="00EA7953">
        <w:rPr>
          <w:lang w:val="fr-CA"/>
        </w:rPr>
        <w:t>Procureure générale du Québec, Québec.</w:t>
      </w:r>
    </w:p>
    <w:p w:rsidR="003C7145" w:rsidRPr="00EA7953" w:rsidRDefault="00416A08" w:rsidP="00653396">
      <w:pPr>
        <w:pStyle w:val="SCCLawFirm"/>
        <w:spacing w:after="480"/>
        <w:rPr>
          <w:lang w:val="fr-CA"/>
        </w:rPr>
      </w:pPr>
      <w:r w:rsidRPr="00EA7953">
        <w:rPr>
          <w:lang w:val="fr-CA"/>
        </w:rPr>
        <w:tab/>
        <w:t>Procureur</w:t>
      </w:r>
      <w:r w:rsidR="00F42B14">
        <w:rPr>
          <w:lang w:val="fr-CA"/>
        </w:rPr>
        <w:t xml:space="preserve"> </w:t>
      </w:r>
      <w:r w:rsidRPr="00EA7953">
        <w:rPr>
          <w:lang w:val="fr-CA"/>
        </w:rPr>
        <w:t>de l</w:t>
      </w:r>
      <w:r w:rsidR="00EA7953">
        <w:rPr>
          <w:lang w:val="fr-CA"/>
        </w:rPr>
        <w:t>’</w:t>
      </w:r>
      <w:r w:rsidR="00AB5DF7">
        <w:rPr>
          <w:lang w:val="fr-CA"/>
        </w:rPr>
        <w:t>appelant le d</w:t>
      </w:r>
      <w:r w:rsidR="00F42B14">
        <w:rPr>
          <w:lang w:val="fr-CA"/>
        </w:rPr>
        <w:t xml:space="preserve">irecteur des </w:t>
      </w:r>
      <w:r w:rsidR="00F42B14" w:rsidRPr="00EA7953">
        <w:rPr>
          <w:lang w:val="fr-CA"/>
        </w:rPr>
        <w:t>poursuites criminelles et pénales</w:t>
      </w:r>
      <w:r w:rsidR="00730302">
        <w:rPr>
          <w:lang w:val="fr-CA"/>
        </w:rPr>
        <w:t> : </w:t>
      </w:r>
      <w:r w:rsidRPr="00EA7953">
        <w:rPr>
          <w:lang w:val="fr-CA"/>
        </w:rPr>
        <w:t>Directeur des poursuites criminelles et pénales, Québec.</w:t>
      </w:r>
    </w:p>
    <w:p w:rsidR="003C7145" w:rsidRPr="00EA7953" w:rsidRDefault="00416A08" w:rsidP="00653396">
      <w:pPr>
        <w:pStyle w:val="SCCLawFirm"/>
        <w:spacing w:after="480"/>
        <w:rPr>
          <w:lang w:val="fr-CA"/>
        </w:rPr>
      </w:pPr>
      <w:r w:rsidRPr="00EA7953">
        <w:rPr>
          <w:lang w:val="fr-CA"/>
        </w:rPr>
        <w:tab/>
        <w:t>Procureur</w:t>
      </w:r>
      <w:r w:rsidR="00F42B14">
        <w:rPr>
          <w:lang w:val="fr-CA"/>
        </w:rPr>
        <w:t xml:space="preserve">s </w:t>
      </w:r>
      <w:r w:rsidRPr="00EA7953">
        <w:rPr>
          <w:lang w:val="fr-CA"/>
        </w:rPr>
        <w:t>de l</w:t>
      </w:r>
      <w:r w:rsidR="00EA7953">
        <w:rPr>
          <w:lang w:val="fr-CA"/>
        </w:rPr>
        <w:t>’</w:t>
      </w:r>
      <w:r w:rsidR="00F42B14">
        <w:rPr>
          <w:lang w:val="fr-CA"/>
        </w:rPr>
        <w:t>intimée</w:t>
      </w:r>
      <w:r w:rsidR="00730302">
        <w:rPr>
          <w:lang w:val="fr-CA"/>
        </w:rPr>
        <w:t> : </w:t>
      </w:r>
      <w:r w:rsidRPr="00EA7953">
        <w:rPr>
          <w:lang w:val="fr-CA"/>
        </w:rPr>
        <w:t>Services juridiques de l</w:t>
      </w:r>
      <w:r w:rsidR="00EA7953">
        <w:rPr>
          <w:lang w:val="fr-CA"/>
        </w:rPr>
        <w:t>’</w:t>
      </w:r>
      <w:r w:rsidRPr="00EA7953">
        <w:rPr>
          <w:lang w:val="fr-CA"/>
        </w:rPr>
        <w:t>APCHQ inc., Québec.</w:t>
      </w:r>
    </w:p>
    <w:p w:rsidR="003C7145" w:rsidRPr="00EA7953" w:rsidRDefault="00F42B14" w:rsidP="00653396">
      <w:pPr>
        <w:pStyle w:val="SCCLawFirm"/>
        <w:spacing w:after="480"/>
        <w:rPr>
          <w:lang w:val="fr-CA"/>
        </w:rPr>
      </w:pPr>
      <w:r>
        <w:rPr>
          <w:lang w:val="fr-CA"/>
        </w:rPr>
        <w:lastRenderedPageBreak/>
        <w:tab/>
        <w:t xml:space="preserve">Procureur </w:t>
      </w:r>
      <w:r w:rsidR="00416A08" w:rsidRPr="00EA7953">
        <w:rPr>
          <w:lang w:val="fr-CA"/>
        </w:rPr>
        <w:t>de l</w:t>
      </w:r>
      <w:r w:rsidR="00EA7953">
        <w:rPr>
          <w:lang w:val="fr-CA"/>
        </w:rPr>
        <w:t>’</w:t>
      </w:r>
      <w:r w:rsidR="00416A08" w:rsidRPr="00EA7953">
        <w:rPr>
          <w:lang w:val="fr-CA"/>
        </w:rPr>
        <w:t>intervenant</w:t>
      </w:r>
      <w:r>
        <w:rPr>
          <w:lang w:val="fr-CA"/>
        </w:rPr>
        <w:t>e la</w:t>
      </w:r>
      <w:r w:rsidR="00AB5DF7">
        <w:rPr>
          <w:lang w:val="fr-CA"/>
        </w:rPr>
        <w:t xml:space="preserve"> d</w:t>
      </w:r>
      <w:r w:rsidR="00416A08" w:rsidRPr="00EA7953">
        <w:rPr>
          <w:lang w:val="fr-CA"/>
        </w:rPr>
        <w:t>irectrice des poursuites pénales</w:t>
      </w:r>
      <w:r w:rsidR="00730302">
        <w:rPr>
          <w:lang w:val="fr-CA"/>
        </w:rPr>
        <w:t> : </w:t>
      </w:r>
      <w:r w:rsidR="00A16A57">
        <w:rPr>
          <w:lang w:val="fr-CA"/>
        </w:rPr>
        <w:t>Service des poursuites pénales du Canada</w:t>
      </w:r>
      <w:r w:rsidR="00416A08" w:rsidRPr="00EA7953">
        <w:rPr>
          <w:lang w:val="fr-CA"/>
        </w:rPr>
        <w:t>, Ottawa.</w:t>
      </w:r>
    </w:p>
    <w:p w:rsidR="003C7145" w:rsidRPr="00EA7953" w:rsidRDefault="00F42B14" w:rsidP="00653396">
      <w:pPr>
        <w:pStyle w:val="SCCLawFirm"/>
        <w:spacing w:after="480"/>
        <w:rPr>
          <w:lang w:val="fr-CA"/>
        </w:rPr>
      </w:pPr>
      <w:r>
        <w:rPr>
          <w:lang w:val="fr-CA"/>
        </w:rPr>
        <w:tab/>
        <w:t>Procureur</w:t>
      </w:r>
      <w:r w:rsidR="00416A08" w:rsidRPr="00EA7953">
        <w:rPr>
          <w:lang w:val="fr-CA"/>
        </w:rPr>
        <w:t xml:space="preserve"> de l</w:t>
      </w:r>
      <w:r w:rsidR="00EA7953">
        <w:rPr>
          <w:lang w:val="fr-CA"/>
        </w:rPr>
        <w:t>’</w:t>
      </w:r>
      <w:r>
        <w:rPr>
          <w:lang w:val="fr-CA"/>
        </w:rPr>
        <w:t xml:space="preserve">intervenant le </w:t>
      </w:r>
      <w:r w:rsidR="00AB5DF7">
        <w:rPr>
          <w:lang w:val="fr-CA"/>
        </w:rPr>
        <w:t>p</w:t>
      </w:r>
      <w:r w:rsidR="00416A08" w:rsidRPr="00EA7953">
        <w:rPr>
          <w:lang w:val="fr-CA"/>
        </w:rPr>
        <w:t>rocureur général de l</w:t>
      </w:r>
      <w:r w:rsidR="00EA7953">
        <w:rPr>
          <w:lang w:val="fr-CA"/>
        </w:rPr>
        <w:t>’</w:t>
      </w:r>
      <w:r w:rsidR="00416A08" w:rsidRPr="00EA7953">
        <w:rPr>
          <w:lang w:val="fr-CA"/>
        </w:rPr>
        <w:t>Ontario</w:t>
      </w:r>
      <w:r w:rsidR="00730302">
        <w:rPr>
          <w:lang w:val="fr-CA"/>
        </w:rPr>
        <w:t> : </w:t>
      </w:r>
      <w:r w:rsidRPr="00EA7953">
        <w:rPr>
          <w:lang w:val="fr-CA"/>
        </w:rPr>
        <w:t xml:space="preserve">Procureur général de </w:t>
      </w:r>
      <w:r w:rsidR="00416A08" w:rsidRPr="00EA7953">
        <w:rPr>
          <w:lang w:val="fr-CA"/>
        </w:rPr>
        <w:t>l</w:t>
      </w:r>
      <w:r w:rsidR="00416A08">
        <w:rPr>
          <w:lang w:val="fr-CA"/>
        </w:rPr>
        <w:t>’</w:t>
      </w:r>
      <w:r w:rsidR="00416A08" w:rsidRPr="00EA7953">
        <w:rPr>
          <w:lang w:val="fr-CA"/>
        </w:rPr>
        <w:t>Ontario, Toronto.</w:t>
      </w:r>
    </w:p>
    <w:p w:rsidR="003C7145" w:rsidRPr="00EA7953" w:rsidRDefault="00416A08" w:rsidP="00653396">
      <w:pPr>
        <w:pStyle w:val="SCCLawFirm"/>
        <w:spacing w:after="480"/>
        <w:rPr>
          <w:lang w:val="fr-CA"/>
        </w:rPr>
      </w:pPr>
      <w:r w:rsidRPr="00EA7953">
        <w:rPr>
          <w:lang w:val="fr-CA"/>
        </w:rPr>
        <w:tab/>
        <w:t>Procureur</w:t>
      </w:r>
      <w:r w:rsidR="00F42B14">
        <w:rPr>
          <w:lang w:val="fr-CA"/>
        </w:rPr>
        <w:t>s</w:t>
      </w:r>
      <w:r w:rsidRPr="00EA7953">
        <w:rPr>
          <w:lang w:val="fr-CA"/>
        </w:rPr>
        <w:t xml:space="preserve"> de l</w:t>
      </w:r>
      <w:r w:rsidR="00EA7953">
        <w:rPr>
          <w:lang w:val="fr-CA"/>
        </w:rPr>
        <w:t>’</w:t>
      </w:r>
      <w:r w:rsidR="00F42B14">
        <w:rPr>
          <w:lang w:val="fr-CA"/>
        </w:rPr>
        <w:t>intervenante</w:t>
      </w:r>
      <w:r w:rsidRPr="00EA7953">
        <w:rPr>
          <w:lang w:val="fr-CA"/>
        </w:rPr>
        <w:t xml:space="preserve"> </w:t>
      </w:r>
      <w:r w:rsidR="00F42B14">
        <w:rPr>
          <w:lang w:val="fr-CA"/>
        </w:rPr>
        <w:t>l’</w:t>
      </w:r>
      <w:r w:rsidRPr="00EA7953">
        <w:rPr>
          <w:lang w:val="fr-CA"/>
        </w:rPr>
        <w:t>Association des avocats de la défense de Montréal</w:t>
      </w:r>
      <w:r w:rsidR="00730302">
        <w:rPr>
          <w:lang w:val="fr-CA"/>
        </w:rPr>
        <w:t> : </w:t>
      </w:r>
      <w:r w:rsidRPr="00EA7953">
        <w:rPr>
          <w:lang w:val="fr-CA"/>
        </w:rPr>
        <w:t>Dav</w:t>
      </w:r>
      <w:r w:rsidR="00F42B14">
        <w:rPr>
          <w:lang w:val="fr-CA"/>
        </w:rPr>
        <w:t>ies Ward Phillips &amp; Vineberg</w:t>
      </w:r>
      <w:r w:rsidRPr="00EA7953">
        <w:rPr>
          <w:lang w:val="fr-CA"/>
        </w:rPr>
        <w:t>, Montréal.</w:t>
      </w:r>
    </w:p>
    <w:p w:rsidR="003C7145" w:rsidRPr="00EA7953" w:rsidRDefault="00416A08" w:rsidP="00653396">
      <w:pPr>
        <w:pStyle w:val="SCCLawFirm"/>
        <w:spacing w:after="480"/>
        <w:rPr>
          <w:lang w:val="fr-CA"/>
        </w:rPr>
      </w:pPr>
      <w:r w:rsidRPr="00EA7953">
        <w:rPr>
          <w:lang w:val="fr-CA"/>
        </w:rPr>
        <w:tab/>
        <w:t>Procureur</w:t>
      </w:r>
      <w:r w:rsidR="00F42B14">
        <w:rPr>
          <w:lang w:val="fr-CA"/>
        </w:rPr>
        <w:t>s</w:t>
      </w:r>
      <w:r w:rsidRPr="00EA7953">
        <w:rPr>
          <w:lang w:val="fr-CA"/>
        </w:rPr>
        <w:t xml:space="preserve"> de l</w:t>
      </w:r>
      <w:r w:rsidR="00EA7953">
        <w:rPr>
          <w:lang w:val="fr-CA"/>
        </w:rPr>
        <w:t>’</w:t>
      </w:r>
      <w:r w:rsidRPr="00EA7953">
        <w:rPr>
          <w:lang w:val="fr-CA"/>
        </w:rPr>
        <w:t>intervenant</w:t>
      </w:r>
      <w:r w:rsidR="00F42B14">
        <w:rPr>
          <w:lang w:val="fr-CA"/>
        </w:rPr>
        <w:t>e</w:t>
      </w:r>
      <w:r w:rsidRPr="00EA7953">
        <w:rPr>
          <w:lang w:val="fr-CA"/>
        </w:rPr>
        <w:t xml:space="preserve"> British Columbia Civ</w:t>
      </w:r>
      <w:r w:rsidR="00F42B14">
        <w:rPr>
          <w:lang w:val="fr-CA"/>
        </w:rPr>
        <w:t>il Liberties Association</w:t>
      </w:r>
      <w:r w:rsidR="00730302">
        <w:rPr>
          <w:lang w:val="fr-CA"/>
        </w:rPr>
        <w:t> : </w:t>
      </w:r>
      <w:r w:rsidR="00F42B14">
        <w:rPr>
          <w:lang w:val="fr-CA"/>
        </w:rPr>
        <w:t>Gib v</w:t>
      </w:r>
      <w:r w:rsidRPr="00EA7953">
        <w:rPr>
          <w:lang w:val="fr-CA"/>
        </w:rPr>
        <w:t>an Ert Law, Ottawa.</w:t>
      </w:r>
    </w:p>
    <w:p w:rsidR="003C7145" w:rsidRPr="00EA7953" w:rsidRDefault="00416A08" w:rsidP="00653396">
      <w:pPr>
        <w:pStyle w:val="SCCLawFirm"/>
        <w:spacing w:after="480"/>
        <w:rPr>
          <w:lang w:val="fr-CA"/>
        </w:rPr>
      </w:pPr>
      <w:r w:rsidRPr="00EA7953">
        <w:rPr>
          <w:lang w:val="fr-CA"/>
        </w:rPr>
        <w:tab/>
        <w:t>Procureur</w:t>
      </w:r>
      <w:r w:rsidR="00F42B14">
        <w:rPr>
          <w:lang w:val="fr-CA"/>
        </w:rPr>
        <w:t>s</w:t>
      </w:r>
      <w:r w:rsidRPr="00EA7953">
        <w:rPr>
          <w:lang w:val="fr-CA"/>
        </w:rPr>
        <w:t xml:space="preserve"> de l</w:t>
      </w:r>
      <w:r w:rsidR="00EA7953">
        <w:rPr>
          <w:lang w:val="fr-CA"/>
        </w:rPr>
        <w:t>’</w:t>
      </w:r>
      <w:r w:rsidRPr="00EA7953">
        <w:rPr>
          <w:lang w:val="fr-CA"/>
        </w:rPr>
        <w:t>intervenant</w:t>
      </w:r>
      <w:r w:rsidR="00F42B14">
        <w:rPr>
          <w:lang w:val="fr-CA"/>
        </w:rPr>
        <w:t>e</w:t>
      </w:r>
      <w:r w:rsidRPr="00EA7953">
        <w:rPr>
          <w:lang w:val="fr-CA"/>
        </w:rPr>
        <w:t xml:space="preserve"> </w:t>
      </w:r>
      <w:r w:rsidR="00F42B14">
        <w:rPr>
          <w:lang w:val="fr-CA"/>
        </w:rPr>
        <w:t>l’</w:t>
      </w:r>
      <w:r w:rsidRPr="00EA7953">
        <w:rPr>
          <w:lang w:val="fr-CA"/>
        </w:rPr>
        <w:t>Association canadienne des lib</w:t>
      </w:r>
      <w:r w:rsidR="00F42B14">
        <w:rPr>
          <w:lang w:val="fr-CA"/>
        </w:rPr>
        <w:t>ertés civiles</w:t>
      </w:r>
      <w:r w:rsidR="00730302">
        <w:rPr>
          <w:lang w:val="fr-CA"/>
        </w:rPr>
        <w:t> : </w:t>
      </w:r>
      <w:r w:rsidR="00F42B14">
        <w:rPr>
          <w:lang w:val="fr-CA"/>
        </w:rPr>
        <w:t>Caza</w:t>
      </w:r>
      <w:r w:rsidR="00A16A57">
        <w:rPr>
          <w:lang w:val="fr-CA"/>
        </w:rPr>
        <w:t xml:space="preserve"> </w:t>
      </w:r>
      <w:r w:rsidR="00F42B14">
        <w:rPr>
          <w:lang w:val="fr-CA"/>
        </w:rPr>
        <w:t>Saikaley</w:t>
      </w:r>
      <w:r w:rsidRPr="00EA7953">
        <w:rPr>
          <w:lang w:val="fr-CA"/>
        </w:rPr>
        <w:t>, Ottawa</w:t>
      </w:r>
      <w:r w:rsidR="00F42B14">
        <w:rPr>
          <w:lang w:val="fr-CA"/>
        </w:rPr>
        <w:t>; Université d’Ottawa, Faculté de droit, Ottawa</w:t>
      </w:r>
      <w:r w:rsidRPr="00EA7953">
        <w:rPr>
          <w:lang w:val="fr-CA"/>
        </w:rPr>
        <w:t>.</w:t>
      </w:r>
    </w:p>
    <w:p w:rsidR="009B57B3" w:rsidRPr="00416A08" w:rsidRDefault="00416A08" w:rsidP="00F42B14">
      <w:pPr>
        <w:pStyle w:val="SCCLawFirm"/>
        <w:rPr>
          <w:lang w:val="fr-CA"/>
        </w:rPr>
      </w:pPr>
      <w:r w:rsidRPr="00EA7953">
        <w:rPr>
          <w:lang w:val="fr-CA"/>
        </w:rPr>
        <w:tab/>
        <w:t>Procureur</w:t>
      </w:r>
      <w:r w:rsidR="00F42B14">
        <w:rPr>
          <w:lang w:val="fr-CA"/>
        </w:rPr>
        <w:t>s</w:t>
      </w:r>
      <w:r w:rsidRPr="00EA7953">
        <w:rPr>
          <w:lang w:val="fr-CA"/>
        </w:rPr>
        <w:t xml:space="preserve"> de l</w:t>
      </w:r>
      <w:r w:rsidR="00EA7953">
        <w:rPr>
          <w:lang w:val="fr-CA"/>
        </w:rPr>
        <w:t>’</w:t>
      </w:r>
      <w:r w:rsidR="00F42B14">
        <w:rPr>
          <w:lang w:val="fr-CA"/>
        </w:rPr>
        <w:t xml:space="preserve">intervenante </w:t>
      </w:r>
      <w:r w:rsidRPr="00EA7953">
        <w:rPr>
          <w:lang w:val="fr-CA"/>
        </w:rPr>
        <w:t>Canadian Constitution Fo</w:t>
      </w:r>
      <w:r w:rsidR="00F42B14">
        <w:rPr>
          <w:lang w:val="fr-CA"/>
        </w:rPr>
        <w:t>undation</w:t>
      </w:r>
      <w:r w:rsidR="00730302">
        <w:rPr>
          <w:lang w:val="fr-CA"/>
        </w:rPr>
        <w:t> : </w:t>
      </w:r>
      <w:r w:rsidR="00F42B14">
        <w:rPr>
          <w:lang w:val="fr-CA"/>
        </w:rPr>
        <w:t>McCarthy Tétrault</w:t>
      </w:r>
      <w:r w:rsidRPr="00EA7953">
        <w:rPr>
          <w:lang w:val="fr-CA"/>
        </w:rPr>
        <w:t>, Toronto.</w:t>
      </w:r>
      <w:r w:rsidR="00F42B14" w:rsidRPr="00416A08">
        <w:rPr>
          <w:lang w:val="fr-CA"/>
        </w:rPr>
        <w:t xml:space="preserve"> </w:t>
      </w:r>
    </w:p>
    <w:sectPr w:rsidR="009B57B3" w:rsidRPr="00416A08" w:rsidSect="000648CC">
      <w:headerReference w:type="even" r:id="rId10"/>
      <w:headerReference w:type="default" r:id="rId11"/>
      <w:footerReference w:type="even" r:id="rId12"/>
      <w:footerReference w:type="default" r:id="rId13"/>
      <w:headerReference w:type="first" r:id="rId14"/>
      <w:footerReference w:type="first" r:id="rId15"/>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7C3" w:rsidRDefault="00BF67C3">
      <w:r>
        <w:separator/>
      </w:r>
    </w:p>
  </w:endnote>
  <w:endnote w:type="continuationSeparator" w:id="0">
    <w:p w:rsidR="00BF67C3" w:rsidRDefault="00BF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3" w:rsidRDefault="00951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3" w:rsidRDefault="00951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3" w:rsidRDefault="00951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7C3" w:rsidRDefault="00BF67C3">
      <w:r>
        <w:separator/>
      </w:r>
    </w:p>
  </w:footnote>
  <w:footnote w:type="continuationSeparator" w:id="0">
    <w:p w:rsidR="00BF67C3" w:rsidRDefault="00BF67C3">
      <w:r>
        <w:continuationSeparator/>
      </w:r>
    </w:p>
  </w:footnote>
  <w:footnote w:id="1">
    <w:p w:rsidR="00951C33" w:rsidRDefault="00951C33" w:rsidP="006E31AE">
      <w:pPr>
        <w:pStyle w:val="FootnoteText"/>
      </w:pPr>
      <w:r>
        <w:rPr>
          <w:rStyle w:val="FootnoteReference"/>
        </w:rPr>
        <w:footnoteRef/>
      </w:r>
      <w:r>
        <w:t xml:space="preserve">  La disposition en vigueur est libellée ainsi :</w:t>
      </w:r>
    </w:p>
    <w:p w:rsidR="00951C33" w:rsidRDefault="00951C33" w:rsidP="006E31AE">
      <w:pPr>
        <w:pStyle w:val="FootnoteText"/>
      </w:pPr>
    </w:p>
    <w:p w:rsidR="00951C33" w:rsidRPr="00AC7085" w:rsidRDefault="00951C33" w:rsidP="006E31AE">
      <w:pPr>
        <w:pStyle w:val="FootnoteText"/>
        <w:spacing w:after="240"/>
      </w:pPr>
      <w:r>
        <w:rPr>
          <w:b/>
        </w:rPr>
        <w:tab/>
      </w:r>
      <w:r w:rsidRPr="00AC7085">
        <w:rPr>
          <w:b/>
        </w:rPr>
        <w:t>197.1</w:t>
      </w:r>
      <w:r w:rsidRPr="00AC7085">
        <w:t xml:space="preserve"> Quiconque contrevient à l’un des articles</w:t>
      </w:r>
      <w:r>
        <w:t xml:space="preserve"> </w:t>
      </w:r>
      <w:r w:rsidRPr="00AC7085">
        <w:t>46 ou 48 commet une infraction et est passible, selon le cas, d’une amende</w:t>
      </w:r>
      <w:r>
        <w:t> </w:t>
      </w:r>
      <w:r w:rsidRPr="00AC7085">
        <w:t>:</w:t>
      </w:r>
    </w:p>
    <w:p w:rsidR="00951C33" w:rsidRPr="00AC7085" w:rsidRDefault="00951C33" w:rsidP="006E31AE">
      <w:pPr>
        <w:pStyle w:val="FootnoteText"/>
        <w:tabs>
          <w:tab w:val="clear" w:pos="180"/>
          <w:tab w:val="left" w:pos="187"/>
          <w:tab w:val="left" w:pos="360"/>
        </w:tabs>
        <w:spacing w:after="240"/>
        <w:ind w:left="180" w:firstLine="180"/>
      </w:pPr>
      <w:r>
        <w:t>(</w:t>
      </w:r>
      <w:r w:rsidRPr="00AC7085">
        <w:t>1</w:t>
      </w:r>
      <w:r>
        <w:t>)</w:t>
      </w:r>
      <w:r w:rsidRPr="00AC7085">
        <w:t xml:space="preserve"> de 5</w:t>
      </w:r>
      <w:r>
        <w:t> </w:t>
      </w:r>
      <w:r w:rsidRPr="00AC7085">
        <w:t>841</w:t>
      </w:r>
      <w:r>
        <w:t> </w:t>
      </w:r>
      <w:r w:rsidRPr="00AC7085">
        <w:t>$ à 29</w:t>
      </w:r>
      <w:r>
        <w:t> </w:t>
      </w:r>
      <w:r w:rsidRPr="00AC7085">
        <w:t>200</w:t>
      </w:r>
      <w:r>
        <w:t> </w:t>
      </w:r>
      <w:r w:rsidRPr="00AC7085">
        <w:t>$, dans le cas d’un individu, et de 17</w:t>
      </w:r>
      <w:r>
        <w:t> </w:t>
      </w:r>
      <w:r w:rsidRPr="00AC7085">
        <w:t>521</w:t>
      </w:r>
      <w:r>
        <w:t> </w:t>
      </w:r>
      <w:r w:rsidRPr="00AC7085">
        <w:t>$ à 87</w:t>
      </w:r>
      <w:r>
        <w:t> </w:t>
      </w:r>
      <w:r w:rsidRPr="00AC7085">
        <w:t>604</w:t>
      </w:r>
      <w:r>
        <w:t> </w:t>
      </w:r>
      <w:r w:rsidRPr="00AC7085">
        <w:t>$, dans le cas d’une personne morale, s’il n’est pas titulaire d’une licenc</w:t>
      </w:r>
      <w:r>
        <w:t>e ayant la catégorie ou la sous</w:t>
      </w:r>
      <w:r>
        <w:noBreakHyphen/>
      </w:r>
      <w:r w:rsidRPr="00AC7085">
        <w:t>catégorie appr</w:t>
      </w:r>
      <w:r>
        <w:t>opriée ou s’il utilise les serv</w:t>
      </w:r>
      <w:r w:rsidRPr="00AC7085">
        <w:t>ices d’une autre personne qui n’est pas titulaire d’une licenc</w:t>
      </w:r>
      <w:r>
        <w:t>e ayant la catégorie ou la sous</w:t>
      </w:r>
      <w:r>
        <w:noBreakHyphen/>
      </w:r>
      <w:r w:rsidRPr="00AC7085">
        <w:t>catégorie approprié</w:t>
      </w:r>
      <w:r>
        <w:t>e</w:t>
      </w:r>
      <w:r w:rsidRPr="00AC7085">
        <w:t>;</w:t>
      </w:r>
    </w:p>
    <w:p w:rsidR="00951C33" w:rsidRDefault="00951C33" w:rsidP="006E31AE">
      <w:pPr>
        <w:pStyle w:val="FootnoteText"/>
        <w:tabs>
          <w:tab w:val="left" w:pos="360"/>
        </w:tabs>
        <w:spacing w:after="240"/>
        <w:ind w:left="180" w:firstLine="180"/>
      </w:pPr>
      <w:r>
        <w:t>(</w:t>
      </w:r>
      <w:r w:rsidRPr="00AC7085">
        <w:t>2</w:t>
      </w:r>
      <w:r>
        <w:t>)</w:t>
      </w:r>
      <w:r w:rsidRPr="00AC7085">
        <w:t xml:space="preserve"> de 11</w:t>
      </w:r>
      <w:r>
        <w:t> </w:t>
      </w:r>
      <w:r w:rsidRPr="00AC7085">
        <w:t>682</w:t>
      </w:r>
      <w:r>
        <w:t> </w:t>
      </w:r>
      <w:r w:rsidRPr="00AC7085">
        <w:t>$ à 87</w:t>
      </w:r>
      <w:r>
        <w:t> </w:t>
      </w:r>
      <w:r w:rsidRPr="00AC7085">
        <w:t>604</w:t>
      </w:r>
      <w:r>
        <w:t> </w:t>
      </w:r>
      <w:r w:rsidRPr="00AC7085">
        <w:t>$, dans le cas d’un individu, et de 35</w:t>
      </w:r>
      <w:r>
        <w:t> </w:t>
      </w:r>
      <w:r w:rsidRPr="00AC7085">
        <w:t>041</w:t>
      </w:r>
      <w:r>
        <w:t> </w:t>
      </w:r>
      <w:r w:rsidRPr="00AC7085">
        <w:t>$ à 175</w:t>
      </w:r>
      <w:r>
        <w:t> </w:t>
      </w:r>
      <w:r w:rsidRPr="00AC7085">
        <w:t>206</w:t>
      </w:r>
      <w:r>
        <w:t> </w:t>
      </w:r>
      <w:r w:rsidRPr="00AC7085">
        <w:t>$, dans le cas d’une personne morale, s’il n’est pas titulaire d’une licence ou s’il utilise les services d’une autre personne qui n’est pas titulaire d’une licence.</w:t>
      </w:r>
    </w:p>
  </w:footnote>
  <w:footnote w:id="2">
    <w:p w:rsidR="00951C33" w:rsidRDefault="00951C33" w:rsidP="001E7A5F">
      <w:pPr>
        <w:pStyle w:val="FootnoteText"/>
      </w:pPr>
      <w:r>
        <w:rPr>
          <w:rStyle w:val="FootnoteReference"/>
        </w:rPr>
        <w:footnoteRef/>
      </w:r>
      <w:r>
        <w:t xml:space="preserve">  </w:t>
      </w:r>
      <w:r w:rsidRPr="00200F71">
        <w:t xml:space="preserve">Voir, p. ex., </w:t>
      </w:r>
      <w:r w:rsidRPr="00200F71">
        <w:rPr>
          <w:i/>
        </w:rPr>
        <w:t>R</w:t>
      </w:r>
      <w:r>
        <w:rPr>
          <w:i/>
        </w:rPr>
        <w:t>. c. Smith</w:t>
      </w:r>
      <w:r w:rsidRPr="00200F71">
        <w:t xml:space="preserve">, [1987] 1 R.C.S. 1045; </w:t>
      </w:r>
      <w:r w:rsidRPr="00200F71">
        <w:rPr>
          <w:i/>
        </w:rPr>
        <w:t>R</w:t>
      </w:r>
      <w:r>
        <w:rPr>
          <w:i/>
        </w:rPr>
        <w:t>.</w:t>
      </w:r>
      <w:r w:rsidRPr="00200F71">
        <w:rPr>
          <w:i/>
        </w:rPr>
        <w:t xml:space="preserve"> c. Lyons</w:t>
      </w:r>
      <w:r w:rsidRPr="00200F71">
        <w:t>,</w:t>
      </w:r>
      <w:r w:rsidRPr="00200F71">
        <w:rPr>
          <w:i/>
        </w:rPr>
        <w:t xml:space="preserve"> </w:t>
      </w:r>
      <w:r w:rsidRPr="00200F71">
        <w:t xml:space="preserve">[1987] 2 R.C.S. 309; </w:t>
      </w:r>
      <w:r w:rsidRPr="00200F71">
        <w:rPr>
          <w:i/>
        </w:rPr>
        <w:t>R</w:t>
      </w:r>
      <w:r>
        <w:rPr>
          <w:i/>
        </w:rPr>
        <w:t>.</w:t>
      </w:r>
      <w:r w:rsidRPr="00200F71">
        <w:rPr>
          <w:i/>
        </w:rPr>
        <w:t xml:space="preserve"> c. Luxton</w:t>
      </w:r>
      <w:r w:rsidRPr="00200F71">
        <w:t xml:space="preserve">, [1990] 2 R.C.S. 711; </w:t>
      </w:r>
      <w:r w:rsidRPr="00200F71">
        <w:rPr>
          <w:i/>
        </w:rPr>
        <w:t>Steele c. Établissement Mountain</w:t>
      </w:r>
      <w:r w:rsidRPr="00200F71">
        <w:t xml:space="preserve">, [1990] 2 R.C.S. 1385; </w:t>
      </w:r>
      <w:r w:rsidRPr="00200F71">
        <w:rPr>
          <w:i/>
        </w:rPr>
        <w:t>R</w:t>
      </w:r>
      <w:r>
        <w:rPr>
          <w:i/>
        </w:rPr>
        <w:t>.</w:t>
      </w:r>
      <w:r w:rsidRPr="00200F71">
        <w:rPr>
          <w:i/>
        </w:rPr>
        <w:t xml:space="preserve"> c. Goltz</w:t>
      </w:r>
      <w:r w:rsidRPr="00200F71">
        <w:t xml:space="preserve">, [1991] 3 R.C.S. 485; </w:t>
      </w:r>
      <w:r w:rsidRPr="00200F71">
        <w:rPr>
          <w:i/>
        </w:rPr>
        <w:t>R</w:t>
      </w:r>
      <w:r>
        <w:rPr>
          <w:i/>
        </w:rPr>
        <w:t>.</w:t>
      </w:r>
      <w:r w:rsidRPr="00200F71">
        <w:rPr>
          <w:i/>
        </w:rPr>
        <w:t xml:space="preserve"> c. Morrisey</w:t>
      </w:r>
      <w:r w:rsidRPr="00200F71">
        <w:t xml:space="preserve">, [2000] 2 R.C.S. 90; </w:t>
      </w:r>
      <w:r w:rsidRPr="00200F71">
        <w:rPr>
          <w:i/>
        </w:rPr>
        <w:t>R</w:t>
      </w:r>
      <w:r>
        <w:rPr>
          <w:i/>
        </w:rPr>
        <w:t>.</w:t>
      </w:r>
      <w:r w:rsidRPr="00200F71">
        <w:rPr>
          <w:i/>
        </w:rPr>
        <w:t xml:space="preserve"> c. Latimer</w:t>
      </w:r>
      <w:r w:rsidRPr="00200F71">
        <w:t xml:space="preserve">, [2001] 1 R.C.S. 3; </w:t>
      </w:r>
      <w:r w:rsidRPr="00200F71">
        <w:rPr>
          <w:i/>
        </w:rPr>
        <w:t>R</w:t>
      </w:r>
      <w:r>
        <w:rPr>
          <w:i/>
        </w:rPr>
        <w:t>.</w:t>
      </w:r>
      <w:r w:rsidRPr="00200F71">
        <w:rPr>
          <w:i/>
        </w:rPr>
        <w:t xml:space="preserve"> c. Ferguson</w:t>
      </w:r>
      <w:r w:rsidRPr="00200F71">
        <w:t xml:space="preserve">, [2008] 1 R.C.S. 96; </w:t>
      </w:r>
      <w:r w:rsidRPr="00200F71">
        <w:rPr>
          <w:i/>
        </w:rPr>
        <w:t>R</w:t>
      </w:r>
      <w:r>
        <w:rPr>
          <w:i/>
        </w:rPr>
        <w:t>.</w:t>
      </w:r>
      <w:r w:rsidRPr="00200F71">
        <w:rPr>
          <w:i/>
        </w:rPr>
        <w:t xml:space="preserve"> c. Nur</w:t>
      </w:r>
      <w:r w:rsidRPr="00200F71">
        <w:t xml:space="preserve">, [2015] 1 R.C.S. 773; </w:t>
      </w:r>
      <w:r w:rsidRPr="00200F71">
        <w:rPr>
          <w:i/>
        </w:rPr>
        <w:t>R</w:t>
      </w:r>
      <w:r>
        <w:rPr>
          <w:i/>
        </w:rPr>
        <w:t>.</w:t>
      </w:r>
      <w:r w:rsidRPr="00200F71">
        <w:rPr>
          <w:i/>
        </w:rPr>
        <w:t xml:space="preserve"> c. Lloyd</w:t>
      </w:r>
      <w:r w:rsidRPr="00200F71">
        <w:t xml:space="preserve">, [2016] 1 R.C.S. 130; </w:t>
      </w:r>
      <w:r w:rsidRPr="00200F71">
        <w:rPr>
          <w:i/>
        </w:rPr>
        <w:t>R. c. Boudreault</w:t>
      </w:r>
      <w:r w:rsidRPr="00200F71">
        <w:t>, [2018] 3 R.C.S. 599.</w:t>
      </w:r>
    </w:p>
  </w:footnote>
  <w:footnote w:id="3">
    <w:p w:rsidR="00951C33" w:rsidRDefault="00951C33">
      <w:pPr>
        <w:pStyle w:val="FootnoteText"/>
      </w:pPr>
      <w:r>
        <w:rPr>
          <w:rStyle w:val="FootnoteReference"/>
        </w:rPr>
        <w:footnoteRef/>
      </w:r>
      <w:r>
        <w:t xml:space="preserve">  Le textualisme a été décrit comme une théorie qui regroupe [</w:t>
      </w:r>
      <w:r w:rsidRPr="0009787D">
        <w:rPr>
          <w:smallCaps/>
        </w:rPr>
        <w:t>traduction</w:t>
      </w:r>
      <w:r>
        <w:t xml:space="preserve">] « à la fois la philosophie et les partisans de la méthode “originaliste” d’interprétation constitutionnelle » (voir </w:t>
      </w:r>
      <w:r>
        <w:rPr>
          <w:bCs/>
          <w:lang w:bidi="en-US"/>
        </w:rPr>
        <w:t>Stéphane Beaulac, « </w:t>
      </w:r>
      <w:r w:rsidRPr="0009787D">
        <w:rPr>
          <w:bCs/>
          <w:lang w:bidi="en-US"/>
        </w:rPr>
        <w:t>Parliamentary Debates in Statutory Interpretation</w:t>
      </w:r>
      <w:r>
        <w:rPr>
          <w:bCs/>
          <w:lang w:bidi="en-US"/>
        </w:rPr>
        <w:t> </w:t>
      </w:r>
      <w:r w:rsidRPr="0009787D">
        <w:rPr>
          <w:bCs/>
          <w:lang w:bidi="en-US"/>
        </w:rPr>
        <w:t>: A Question of Admissibility or of Weight?</w:t>
      </w:r>
      <w:r>
        <w:rPr>
          <w:bCs/>
          <w:lang w:bidi="en-US"/>
        </w:rPr>
        <w:t> »</w:t>
      </w:r>
      <w:r w:rsidRPr="0009787D">
        <w:rPr>
          <w:bCs/>
          <w:lang w:bidi="en-US"/>
        </w:rPr>
        <w:t xml:space="preserve"> (1998), 43 </w:t>
      </w:r>
      <w:r>
        <w:rPr>
          <w:bCs/>
          <w:i/>
          <w:lang w:bidi="en-US"/>
        </w:rPr>
        <w:t>R.D. McGill</w:t>
      </w:r>
      <w:r w:rsidRPr="0009787D">
        <w:rPr>
          <w:bCs/>
          <w:i/>
          <w:lang w:bidi="en-US"/>
        </w:rPr>
        <w:t xml:space="preserve"> </w:t>
      </w:r>
      <w:r>
        <w:rPr>
          <w:bCs/>
          <w:lang w:bidi="en-US"/>
        </w:rPr>
        <w:t>287, p. </w:t>
      </w:r>
      <w:r w:rsidRPr="0009787D">
        <w:rPr>
          <w:bCs/>
          <w:lang w:bidi="en-US"/>
        </w:rPr>
        <w:t>300</w:t>
      </w:r>
      <w:r>
        <w:rPr>
          <w:bCs/>
          <w:lang w:bidi="en-US"/>
        </w:rPr>
        <w:t>).</w:t>
      </w:r>
    </w:p>
  </w:footnote>
  <w:footnote w:id="4">
    <w:p w:rsidR="00951C33" w:rsidRDefault="00951C33">
      <w:pPr>
        <w:pStyle w:val="FootnoteText"/>
      </w:pPr>
      <w:r>
        <w:rPr>
          <w:rStyle w:val="FootnoteReference"/>
        </w:rPr>
        <w:footnoteRef/>
      </w:r>
      <w:r>
        <w:t xml:space="preserve">  La Cour a fait état de sources de droit comparé dans 50 domaines différents, tant en droit public qu’en droit privé. Les 10 domaines du droit dans lesquels on trouve le plus grand nombre de précédents étrangers sont : le droit constitutionnel, la responsabilité délictuelle, le droit criminel, l’assurance, la propriété intellectuelle, la procédure civile, le droit administratif, la preuve, les tribunaux et le droit du travail (Rado, Figure 5, p. 69; voir aussi p. 67). Au</w:t>
      </w:r>
      <w:r>
        <w:noBreakHyphen/>
        <w:t>delà des sources de droit comparé, la Cour s’est référée à des précédents internationaux dans 13 domaines différents du droit public et privé : le droit constitutionnel, le droit de l’immigration, le droit criminel, le droit administratif, la responsabilité délictuelle, le droit du travail, le droit législatif, la procédure civile, la propriété intellectuelle, les tribunaux, la preuve, le droit international, les contrats (Rado, Figure 6, p. 76; voir aussi p. 75) ainsi que les traités internationaux en matière de droit constitutionnel, de propriété intellectuelle, de droit international (public et privé), de droit de l’immigration, de droit administratif, de procédure civile, de droit du travail, de droit législatif, d’arbitrage, ainsi que dans 20 autres domaines du droit (Rado, Figure 7, p.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3" w:rsidRDefault="00951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3" w:rsidRPr="00450352" w:rsidRDefault="00951C33" w:rsidP="004503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3" w:rsidRDefault="00951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64595B"/>
    <w:multiLevelType w:val="hybridMultilevel"/>
    <w:tmpl w:val="8BBC4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C68BF"/>
    <w:multiLevelType w:val="hybridMultilevel"/>
    <w:tmpl w:val="69CC5400"/>
    <w:lvl w:ilvl="0" w:tplc="10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6"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4283EE8"/>
    <w:multiLevelType w:val="multilevel"/>
    <w:tmpl w:val="91F6F862"/>
    <w:lvl w:ilvl="0">
      <w:start w:val="1"/>
      <w:numFmt w:val="decimal"/>
      <w:pStyle w:val="ParaNoNdepar-AltN"/>
      <w:lvlText w:val="[%1]"/>
      <w:lvlJc w:val="left"/>
      <w:pPr>
        <w:tabs>
          <w:tab w:val="num" w:pos="1152"/>
        </w:tabs>
        <w:ind w:left="0" w:firstLine="0"/>
      </w:pPr>
      <w:rPr>
        <w:rFonts w:ascii="Times New Roman" w:hAnsi="Times New Roman" w:hint="default"/>
        <w:b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68C5EEE"/>
    <w:multiLevelType w:val="hybridMultilevel"/>
    <w:tmpl w:val="230A7D32"/>
    <w:lvl w:ilvl="0" w:tplc="1009000F">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4"/>
  </w:num>
  <w:num w:numId="8">
    <w:abstractNumId w:val="4"/>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A92"/>
    <w:rsid w:val="00000ED4"/>
    <w:rsid w:val="00023FC7"/>
    <w:rsid w:val="00025198"/>
    <w:rsid w:val="000578A3"/>
    <w:rsid w:val="00064186"/>
    <w:rsid w:val="000648CC"/>
    <w:rsid w:val="0008070B"/>
    <w:rsid w:val="000835F7"/>
    <w:rsid w:val="000849CD"/>
    <w:rsid w:val="00084FCE"/>
    <w:rsid w:val="000859AD"/>
    <w:rsid w:val="000946FF"/>
    <w:rsid w:val="000B6D7B"/>
    <w:rsid w:val="000C59B8"/>
    <w:rsid w:val="000C6AF0"/>
    <w:rsid w:val="000D0A77"/>
    <w:rsid w:val="000E4EAF"/>
    <w:rsid w:val="000E6724"/>
    <w:rsid w:val="000F7993"/>
    <w:rsid w:val="00104F33"/>
    <w:rsid w:val="00106A70"/>
    <w:rsid w:val="00111DE2"/>
    <w:rsid w:val="00116B38"/>
    <w:rsid w:val="00117506"/>
    <w:rsid w:val="00122722"/>
    <w:rsid w:val="001235B9"/>
    <w:rsid w:val="0012681A"/>
    <w:rsid w:val="00135406"/>
    <w:rsid w:val="00135459"/>
    <w:rsid w:val="00135972"/>
    <w:rsid w:val="00137535"/>
    <w:rsid w:val="0014065D"/>
    <w:rsid w:val="001426A9"/>
    <w:rsid w:val="001471DA"/>
    <w:rsid w:val="00150278"/>
    <w:rsid w:val="00154D7C"/>
    <w:rsid w:val="001570B0"/>
    <w:rsid w:val="0015752C"/>
    <w:rsid w:val="00157737"/>
    <w:rsid w:val="00165277"/>
    <w:rsid w:val="00170592"/>
    <w:rsid w:val="001720F7"/>
    <w:rsid w:val="00182BDC"/>
    <w:rsid w:val="001861C6"/>
    <w:rsid w:val="0019165D"/>
    <w:rsid w:val="00195D83"/>
    <w:rsid w:val="001A00C1"/>
    <w:rsid w:val="001B33E0"/>
    <w:rsid w:val="001B4573"/>
    <w:rsid w:val="001B683F"/>
    <w:rsid w:val="001C706E"/>
    <w:rsid w:val="001C779F"/>
    <w:rsid w:val="001D2AC1"/>
    <w:rsid w:val="001D4C22"/>
    <w:rsid w:val="001D4E88"/>
    <w:rsid w:val="001D7A09"/>
    <w:rsid w:val="001E6D7D"/>
    <w:rsid w:val="001E7A5F"/>
    <w:rsid w:val="001F6F2B"/>
    <w:rsid w:val="00200A71"/>
    <w:rsid w:val="0021012D"/>
    <w:rsid w:val="002172DE"/>
    <w:rsid w:val="00220FC2"/>
    <w:rsid w:val="002222F4"/>
    <w:rsid w:val="00222C40"/>
    <w:rsid w:val="00224FC0"/>
    <w:rsid w:val="00225EA4"/>
    <w:rsid w:val="0022670A"/>
    <w:rsid w:val="00226EAF"/>
    <w:rsid w:val="00231F3A"/>
    <w:rsid w:val="002406EE"/>
    <w:rsid w:val="00243EC8"/>
    <w:rsid w:val="002600C9"/>
    <w:rsid w:val="002656BE"/>
    <w:rsid w:val="00267D90"/>
    <w:rsid w:val="00270D93"/>
    <w:rsid w:val="002745CC"/>
    <w:rsid w:val="002B6D5B"/>
    <w:rsid w:val="002B6FBE"/>
    <w:rsid w:val="002B7924"/>
    <w:rsid w:val="002C10A6"/>
    <w:rsid w:val="002D28C3"/>
    <w:rsid w:val="002D39A4"/>
    <w:rsid w:val="002D5442"/>
    <w:rsid w:val="002E6705"/>
    <w:rsid w:val="0030329A"/>
    <w:rsid w:val="0031086F"/>
    <w:rsid w:val="0031414C"/>
    <w:rsid w:val="00314D51"/>
    <w:rsid w:val="00314E01"/>
    <w:rsid w:val="0032089D"/>
    <w:rsid w:val="003264AA"/>
    <w:rsid w:val="003310DE"/>
    <w:rsid w:val="003314FF"/>
    <w:rsid w:val="003323B0"/>
    <w:rsid w:val="00340A49"/>
    <w:rsid w:val="003453E5"/>
    <w:rsid w:val="0035169A"/>
    <w:rsid w:val="0035259D"/>
    <w:rsid w:val="00364B18"/>
    <w:rsid w:val="003767C2"/>
    <w:rsid w:val="003807AF"/>
    <w:rsid w:val="0039088C"/>
    <w:rsid w:val="00394BAF"/>
    <w:rsid w:val="003A125D"/>
    <w:rsid w:val="003A4C70"/>
    <w:rsid w:val="003A5764"/>
    <w:rsid w:val="003B215F"/>
    <w:rsid w:val="003C7145"/>
    <w:rsid w:val="003C799C"/>
    <w:rsid w:val="003D0399"/>
    <w:rsid w:val="003D0874"/>
    <w:rsid w:val="003D347D"/>
    <w:rsid w:val="003E1C71"/>
    <w:rsid w:val="003F327B"/>
    <w:rsid w:val="003F74EC"/>
    <w:rsid w:val="0040446A"/>
    <w:rsid w:val="00406166"/>
    <w:rsid w:val="0040704B"/>
    <w:rsid w:val="00410A55"/>
    <w:rsid w:val="00411300"/>
    <w:rsid w:val="00413F17"/>
    <w:rsid w:val="00415417"/>
    <w:rsid w:val="00416A08"/>
    <w:rsid w:val="00426659"/>
    <w:rsid w:val="004270CE"/>
    <w:rsid w:val="0044220B"/>
    <w:rsid w:val="00450260"/>
    <w:rsid w:val="00450352"/>
    <w:rsid w:val="00454BDB"/>
    <w:rsid w:val="00465132"/>
    <w:rsid w:val="00465E50"/>
    <w:rsid w:val="0047206F"/>
    <w:rsid w:val="00472573"/>
    <w:rsid w:val="00473AC0"/>
    <w:rsid w:val="00480C90"/>
    <w:rsid w:val="004814C2"/>
    <w:rsid w:val="0048157D"/>
    <w:rsid w:val="0048170D"/>
    <w:rsid w:val="0048396F"/>
    <w:rsid w:val="00493C18"/>
    <w:rsid w:val="00494ADC"/>
    <w:rsid w:val="0049599D"/>
    <w:rsid w:val="00496997"/>
    <w:rsid w:val="004A600C"/>
    <w:rsid w:val="004A6118"/>
    <w:rsid w:val="004A7594"/>
    <w:rsid w:val="004B301A"/>
    <w:rsid w:val="004C478D"/>
    <w:rsid w:val="004D7C6D"/>
    <w:rsid w:val="004D7D95"/>
    <w:rsid w:val="004E2C26"/>
    <w:rsid w:val="004E5E32"/>
    <w:rsid w:val="00500032"/>
    <w:rsid w:val="0050205F"/>
    <w:rsid w:val="00505851"/>
    <w:rsid w:val="00511ADD"/>
    <w:rsid w:val="005125A8"/>
    <w:rsid w:val="00517549"/>
    <w:rsid w:val="00520ABC"/>
    <w:rsid w:val="00521AE8"/>
    <w:rsid w:val="00527180"/>
    <w:rsid w:val="005273CF"/>
    <w:rsid w:val="00530768"/>
    <w:rsid w:val="00534246"/>
    <w:rsid w:val="00540855"/>
    <w:rsid w:val="00550A55"/>
    <w:rsid w:val="005515C0"/>
    <w:rsid w:val="005551D8"/>
    <w:rsid w:val="00555291"/>
    <w:rsid w:val="005564CA"/>
    <w:rsid w:val="00566AD1"/>
    <w:rsid w:val="005716D1"/>
    <w:rsid w:val="005803D0"/>
    <w:rsid w:val="00580D92"/>
    <w:rsid w:val="005825C3"/>
    <w:rsid w:val="00583EDE"/>
    <w:rsid w:val="00593417"/>
    <w:rsid w:val="005A2E64"/>
    <w:rsid w:val="005A6079"/>
    <w:rsid w:val="005B0371"/>
    <w:rsid w:val="005B109B"/>
    <w:rsid w:val="005B46D7"/>
    <w:rsid w:val="005C1108"/>
    <w:rsid w:val="005C11A2"/>
    <w:rsid w:val="005D004C"/>
    <w:rsid w:val="005D00BA"/>
    <w:rsid w:val="005E4698"/>
    <w:rsid w:val="005F3429"/>
    <w:rsid w:val="00603924"/>
    <w:rsid w:val="0060679A"/>
    <w:rsid w:val="00610539"/>
    <w:rsid w:val="00613969"/>
    <w:rsid w:val="00617662"/>
    <w:rsid w:val="00620712"/>
    <w:rsid w:val="00625C35"/>
    <w:rsid w:val="00641B19"/>
    <w:rsid w:val="00647E49"/>
    <w:rsid w:val="00653396"/>
    <w:rsid w:val="00656313"/>
    <w:rsid w:val="006565F4"/>
    <w:rsid w:val="00663D98"/>
    <w:rsid w:val="006777CC"/>
    <w:rsid w:val="00681BBE"/>
    <w:rsid w:val="00681D93"/>
    <w:rsid w:val="00684900"/>
    <w:rsid w:val="00684EEA"/>
    <w:rsid w:val="006911D4"/>
    <w:rsid w:val="0069689B"/>
    <w:rsid w:val="006B5FF5"/>
    <w:rsid w:val="006D1D3E"/>
    <w:rsid w:val="006E31AE"/>
    <w:rsid w:val="006F0084"/>
    <w:rsid w:val="006F30AF"/>
    <w:rsid w:val="00701759"/>
    <w:rsid w:val="00702690"/>
    <w:rsid w:val="00704D85"/>
    <w:rsid w:val="00705C15"/>
    <w:rsid w:val="00706496"/>
    <w:rsid w:val="007110F6"/>
    <w:rsid w:val="007208D1"/>
    <w:rsid w:val="00725402"/>
    <w:rsid w:val="00725AC4"/>
    <w:rsid w:val="0072663E"/>
    <w:rsid w:val="00730302"/>
    <w:rsid w:val="00730F90"/>
    <w:rsid w:val="00736B9C"/>
    <w:rsid w:val="00744518"/>
    <w:rsid w:val="00747288"/>
    <w:rsid w:val="00747DD3"/>
    <w:rsid w:val="007549C8"/>
    <w:rsid w:val="00761521"/>
    <w:rsid w:val="00762DF8"/>
    <w:rsid w:val="00766D14"/>
    <w:rsid w:val="00767A0F"/>
    <w:rsid w:val="00773AF9"/>
    <w:rsid w:val="00776995"/>
    <w:rsid w:val="00786734"/>
    <w:rsid w:val="00791272"/>
    <w:rsid w:val="007913B8"/>
    <w:rsid w:val="007A05F6"/>
    <w:rsid w:val="007B0C0E"/>
    <w:rsid w:val="007B6F4A"/>
    <w:rsid w:val="007B7EE7"/>
    <w:rsid w:val="007C738A"/>
    <w:rsid w:val="007D28CD"/>
    <w:rsid w:val="007E1C47"/>
    <w:rsid w:val="007E337A"/>
    <w:rsid w:val="007E5C70"/>
    <w:rsid w:val="007E6D86"/>
    <w:rsid w:val="007F2FF5"/>
    <w:rsid w:val="007F3F08"/>
    <w:rsid w:val="007F4230"/>
    <w:rsid w:val="00804CC6"/>
    <w:rsid w:val="00811FC0"/>
    <w:rsid w:val="008156D1"/>
    <w:rsid w:val="008160A8"/>
    <w:rsid w:val="00817190"/>
    <w:rsid w:val="008260E2"/>
    <w:rsid w:val="008304DB"/>
    <w:rsid w:val="008322BD"/>
    <w:rsid w:val="0083293C"/>
    <w:rsid w:val="00834F73"/>
    <w:rsid w:val="00835C02"/>
    <w:rsid w:val="008403D4"/>
    <w:rsid w:val="0084670D"/>
    <w:rsid w:val="008616EA"/>
    <w:rsid w:val="00864C8A"/>
    <w:rsid w:val="00864CF8"/>
    <w:rsid w:val="00871FEF"/>
    <w:rsid w:val="00874914"/>
    <w:rsid w:val="00874ECE"/>
    <w:rsid w:val="00876FEE"/>
    <w:rsid w:val="008901BE"/>
    <w:rsid w:val="0089094A"/>
    <w:rsid w:val="00891422"/>
    <w:rsid w:val="00892E1A"/>
    <w:rsid w:val="00895C88"/>
    <w:rsid w:val="008A0B2F"/>
    <w:rsid w:val="008A5225"/>
    <w:rsid w:val="008A7687"/>
    <w:rsid w:val="008B660A"/>
    <w:rsid w:val="008C01DA"/>
    <w:rsid w:val="008C15CD"/>
    <w:rsid w:val="008D3827"/>
    <w:rsid w:val="008D48E8"/>
    <w:rsid w:val="008E67FF"/>
    <w:rsid w:val="008F0947"/>
    <w:rsid w:val="008F2674"/>
    <w:rsid w:val="008F68DD"/>
    <w:rsid w:val="008F78E9"/>
    <w:rsid w:val="00916B79"/>
    <w:rsid w:val="009179F9"/>
    <w:rsid w:val="00917C7A"/>
    <w:rsid w:val="00933E5E"/>
    <w:rsid w:val="00935218"/>
    <w:rsid w:val="00935507"/>
    <w:rsid w:val="00937C52"/>
    <w:rsid w:val="009403F3"/>
    <w:rsid w:val="00951C33"/>
    <w:rsid w:val="0095532B"/>
    <w:rsid w:val="009555B7"/>
    <w:rsid w:val="009567AA"/>
    <w:rsid w:val="009602C9"/>
    <w:rsid w:val="009626B7"/>
    <w:rsid w:val="00965983"/>
    <w:rsid w:val="00967374"/>
    <w:rsid w:val="0097743D"/>
    <w:rsid w:val="009A1433"/>
    <w:rsid w:val="009A343A"/>
    <w:rsid w:val="009B2F23"/>
    <w:rsid w:val="009B57B3"/>
    <w:rsid w:val="009B6AFD"/>
    <w:rsid w:val="009B7FC9"/>
    <w:rsid w:val="009D086E"/>
    <w:rsid w:val="009D2654"/>
    <w:rsid w:val="009D2920"/>
    <w:rsid w:val="009D5AEB"/>
    <w:rsid w:val="009E239D"/>
    <w:rsid w:val="009E3A20"/>
    <w:rsid w:val="009F0E33"/>
    <w:rsid w:val="00A03F71"/>
    <w:rsid w:val="00A051CB"/>
    <w:rsid w:val="00A057C0"/>
    <w:rsid w:val="00A10354"/>
    <w:rsid w:val="00A149DF"/>
    <w:rsid w:val="00A1677D"/>
    <w:rsid w:val="00A16A57"/>
    <w:rsid w:val="00A1755C"/>
    <w:rsid w:val="00A21B90"/>
    <w:rsid w:val="00A22AAC"/>
    <w:rsid w:val="00A359DD"/>
    <w:rsid w:val="00A41805"/>
    <w:rsid w:val="00A51882"/>
    <w:rsid w:val="00A52AFB"/>
    <w:rsid w:val="00A548CB"/>
    <w:rsid w:val="00A5521C"/>
    <w:rsid w:val="00A56A70"/>
    <w:rsid w:val="00A63224"/>
    <w:rsid w:val="00A643E7"/>
    <w:rsid w:val="00A73C38"/>
    <w:rsid w:val="00A831BA"/>
    <w:rsid w:val="00A921A7"/>
    <w:rsid w:val="00A977CA"/>
    <w:rsid w:val="00AB5DF7"/>
    <w:rsid w:val="00AB670D"/>
    <w:rsid w:val="00AC7A42"/>
    <w:rsid w:val="00AF03C5"/>
    <w:rsid w:val="00B000D8"/>
    <w:rsid w:val="00B00F75"/>
    <w:rsid w:val="00B145B6"/>
    <w:rsid w:val="00B16E43"/>
    <w:rsid w:val="00B279EB"/>
    <w:rsid w:val="00B3116D"/>
    <w:rsid w:val="00B32744"/>
    <w:rsid w:val="00B357FD"/>
    <w:rsid w:val="00B40D5F"/>
    <w:rsid w:val="00B43439"/>
    <w:rsid w:val="00B50C81"/>
    <w:rsid w:val="00B557F8"/>
    <w:rsid w:val="00B72A3F"/>
    <w:rsid w:val="00B733FC"/>
    <w:rsid w:val="00B77744"/>
    <w:rsid w:val="00B815FC"/>
    <w:rsid w:val="00B844F4"/>
    <w:rsid w:val="00B871E1"/>
    <w:rsid w:val="00B92FDC"/>
    <w:rsid w:val="00B93FBC"/>
    <w:rsid w:val="00BA7DA0"/>
    <w:rsid w:val="00BB2EE4"/>
    <w:rsid w:val="00BB4C92"/>
    <w:rsid w:val="00BC2108"/>
    <w:rsid w:val="00BD0E9E"/>
    <w:rsid w:val="00BD1BEC"/>
    <w:rsid w:val="00BD32FF"/>
    <w:rsid w:val="00BD62BD"/>
    <w:rsid w:val="00BF64EF"/>
    <w:rsid w:val="00BF67C3"/>
    <w:rsid w:val="00BF6C8D"/>
    <w:rsid w:val="00BF6FE9"/>
    <w:rsid w:val="00C02092"/>
    <w:rsid w:val="00C1086B"/>
    <w:rsid w:val="00C117C7"/>
    <w:rsid w:val="00C20E34"/>
    <w:rsid w:val="00C24D91"/>
    <w:rsid w:val="00C26DB2"/>
    <w:rsid w:val="00C357A3"/>
    <w:rsid w:val="00C42B6A"/>
    <w:rsid w:val="00C53F14"/>
    <w:rsid w:val="00C600CF"/>
    <w:rsid w:val="00C6084F"/>
    <w:rsid w:val="00C62A66"/>
    <w:rsid w:val="00C66359"/>
    <w:rsid w:val="00C71458"/>
    <w:rsid w:val="00C7352C"/>
    <w:rsid w:val="00C74478"/>
    <w:rsid w:val="00C77613"/>
    <w:rsid w:val="00C828E7"/>
    <w:rsid w:val="00C86719"/>
    <w:rsid w:val="00C876BF"/>
    <w:rsid w:val="00C91DCB"/>
    <w:rsid w:val="00C921DD"/>
    <w:rsid w:val="00C93B47"/>
    <w:rsid w:val="00CA49F1"/>
    <w:rsid w:val="00CA6391"/>
    <w:rsid w:val="00CB161E"/>
    <w:rsid w:val="00CB36F9"/>
    <w:rsid w:val="00CE036E"/>
    <w:rsid w:val="00CE3171"/>
    <w:rsid w:val="00CE7A40"/>
    <w:rsid w:val="00CF1486"/>
    <w:rsid w:val="00CF1601"/>
    <w:rsid w:val="00CF6BEA"/>
    <w:rsid w:val="00D0172F"/>
    <w:rsid w:val="00D01E33"/>
    <w:rsid w:val="00D068A7"/>
    <w:rsid w:val="00D17476"/>
    <w:rsid w:val="00D17B0E"/>
    <w:rsid w:val="00D20278"/>
    <w:rsid w:val="00D2136C"/>
    <w:rsid w:val="00D24F22"/>
    <w:rsid w:val="00D32086"/>
    <w:rsid w:val="00D3408A"/>
    <w:rsid w:val="00D37A3F"/>
    <w:rsid w:val="00D4431D"/>
    <w:rsid w:val="00D4667A"/>
    <w:rsid w:val="00D56DE1"/>
    <w:rsid w:val="00D639EA"/>
    <w:rsid w:val="00D63A1C"/>
    <w:rsid w:val="00D7516F"/>
    <w:rsid w:val="00D8146C"/>
    <w:rsid w:val="00D850DC"/>
    <w:rsid w:val="00D95F8E"/>
    <w:rsid w:val="00DA0590"/>
    <w:rsid w:val="00DB238B"/>
    <w:rsid w:val="00DB7216"/>
    <w:rsid w:val="00DC1739"/>
    <w:rsid w:val="00DC1788"/>
    <w:rsid w:val="00DC71C7"/>
    <w:rsid w:val="00DE0E32"/>
    <w:rsid w:val="00DE2591"/>
    <w:rsid w:val="00DE319C"/>
    <w:rsid w:val="00DF0CA8"/>
    <w:rsid w:val="00DF2B48"/>
    <w:rsid w:val="00DF49A7"/>
    <w:rsid w:val="00E07EE2"/>
    <w:rsid w:val="00E07FD1"/>
    <w:rsid w:val="00E13D64"/>
    <w:rsid w:val="00E24573"/>
    <w:rsid w:val="00E25E1E"/>
    <w:rsid w:val="00E27EE7"/>
    <w:rsid w:val="00E33897"/>
    <w:rsid w:val="00E35404"/>
    <w:rsid w:val="00E45109"/>
    <w:rsid w:val="00E46062"/>
    <w:rsid w:val="00E47B7A"/>
    <w:rsid w:val="00E567A0"/>
    <w:rsid w:val="00E56A44"/>
    <w:rsid w:val="00E60269"/>
    <w:rsid w:val="00E66DC0"/>
    <w:rsid w:val="00E71919"/>
    <w:rsid w:val="00E8080E"/>
    <w:rsid w:val="00E8176B"/>
    <w:rsid w:val="00E82471"/>
    <w:rsid w:val="00E9064F"/>
    <w:rsid w:val="00E97830"/>
    <w:rsid w:val="00EA422F"/>
    <w:rsid w:val="00EA7953"/>
    <w:rsid w:val="00EC0903"/>
    <w:rsid w:val="00EC5574"/>
    <w:rsid w:val="00EE0830"/>
    <w:rsid w:val="00EE08A9"/>
    <w:rsid w:val="00EE13BA"/>
    <w:rsid w:val="00EE6CB8"/>
    <w:rsid w:val="00EF0683"/>
    <w:rsid w:val="00EF58C3"/>
    <w:rsid w:val="00F0070C"/>
    <w:rsid w:val="00F00EB7"/>
    <w:rsid w:val="00F01F7A"/>
    <w:rsid w:val="00F102F6"/>
    <w:rsid w:val="00F16F87"/>
    <w:rsid w:val="00F20800"/>
    <w:rsid w:val="00F23B0F"/>
    <w:rsid w:val="00F24C8C"/>
    <w:rsid w:val="00F35D18"/>
    <w:rsid w:val="00F36AB6"/>
    <w:rsid w:val="00F37A09"/>
    <w:rsid w:val="00F409CE"/>
    <w:rsid w:val="00F40F09"/>
    <w:rsid w:val="00F42B14"/>
    <w:rsid w:val="00F4379D"/>
    <w:rsid w:val="00F46F9E"/>
    <w:rsid w:val="00F50D2D"/>
    <w:rsid w:val="00F56C8B"/>
    <w:rsid w:val="00F604C1"/>
    <w:rsid w:val="00F62639"/>
    <w:rsid w:val="00F66810"/>
    <w:rsid w:val="00F81071"/>
    <w:rsid w:val="00F84610"/>
    <w:rsid w:val="00F84DF4"/>
    <w:rsid w:val="00F85C97"/>
    <w:rsid w:val="00F91B53"/>
    <w:rsid w:val="00F9209E"/>
    <w:rsid w:val="00FB37D2"/>
    <w:rsid w:val="00FB3954"/>
    <w:rsid w:val="00FB53AD"/>
    <w:rsid w:val="00FC4EFB"/>
    <w:rsid w:val="00FC6DD3"/>
    <w:rsid w:val="00FD068D"/>
    <w:rsid w:val="00FD3678"/>
    <w:rsid w:val="00FD4F28"/>
    <w:rsid w:val="00FE2A26"/>
    <w:rsid w:val="00FE47D4"/>
    <w:rsid w:val="00FE6784"/>
    <w:rsid w:val="00F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70"/>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nk">
    <w:name w:val="Hyperlink"/>
    <w:basedOn w:val="DefaultParagraphFont"/>
    <w:uiPriority w:val="99"/>
    <w:unhideWhenUsed/>
    <w:rsid w:val="003264AA"/>
    <w:rPr>
      <w:color w:val="0000FF" w:themeColor="hyperlink"/>
      <w:u w:val="single"/>
    </w:rPr>
  </w:style>
  <w:style w:type="character" w:styleId="FollowedHyperlink">
    <w:name w:val="FollowedHyperlink"/>
    <w:basedOn w:val="DefaultParagraphFont"/>
    <w:uiPriority w:val="99"/>
    <w:semiHidden/>
    <w:unhideWhenUsed/>
    <w:rsid w:val="003264AA"/>
    <w:rPr>
      <w:color w:val="800080" w:themeColor="followedHyperlink"/>
      <w:u w:val="single"/>
    </w:rPr>
  </w:style>
  <w:style w:type="paragraph" w:customStyle="1" w:styleId="ParaNoNdepar-AltN">
    <w:name w:val="Para. No. / Nº de par. - Alt N"/>
    <w:link w:val="ParaNoNdepar-AltNChar"/>
    <w:qFormat/>
    <w:rsid w:val="0083293C"/>
    <w:pPr>
      <w:numPr>
        <w:numId w:val="1"/>
      </w:numPr>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DefaultParagraphFont"/>
    <w:link w:val="ParaNoNdepar-AltN"/>
    <w:rsid w:val="0083293C"/>
    <w:rPr>
      <w:rFonts w:eastAsiaTheme="minorEastAsia" w:cstheme="minorBidi"/>
      <w:sz w:val="24"/>
      <w:szCs w:val="22"/>
      <w:lang w:eastAsia="en-US"/>
    </w:rPr>
  </w:style>
  <w:style w:type="paragraph" w:customStyle="1" w:styleId="SCCLsocOtherPartyRoleSeparator">
    <w:name w:val="SCC.Lsoc.OtherPartyRoleSeparator"/>
    <w:basedOn w:val="Normal"/>
    <w:next w:val="Normal"/>
    <w:link w:val="SCCLsocOtherPartyRoleSeparatorChar"/>
    <w:rsid w:val="00CB161E"/>
    <w:pPr>
      <w:spacing w:after="480"/>
    </w:pPr>
    <w:rPr>
      <w:rFonts w:eastAsiaTheme="minorHAnsi" w:cstheme="minorBidi"/>
      <w:szCs w:val="22"/>
      <w:lang w:val="fr-CA" w:eastAsia="en-US"/>
    </w:rPr>
  </w:style>
  <w:style w:type="paragraph" w:customStyle="1" w:styleId="SCCCoram">
    <w:name w:val="SCC.Coram"/>
    <w:basedOn w:val="Normal"/>
    <w:next w:val="Normal"/>
    <w:link w:val="SCCCoramChar"/>
    <w:rsid w:val="00CB161E"/>
    <w:pPr>
      <w:pBdr>
        <w:bottom w:val="single" w:sz="4" w:space="1" w:color="auto"/>
      </w:pBdr>
    </w:pPr>
    <w:rPr>
      <w:rFonts w:eastAsiaTheme="minorHAnsi" w:cstheme="minorBidi"/>
      <w:szCs w:val="22"/>
      <w:lang w:val="fr-CA" w:eastAsia="en-US"/>
    </w:rPr>
  </w:style>
  <w:style w:type="character" w:customStyle="1" w:styleId="SCCCoramChar">
    <w:name w:val="SCC.Coram Char"/>
    <w:basedOn w:val="DefaultParagraphFont"/>
    <w:link w:val="SCCCoram"/>
    <w:rsid w:val="00CB161E"/>
    <w:rPr>
      <w:rFonts w:eastAsiaTheme="minorHAnsi" w:cstheme="minorBidi"/>
      <w:sz w:val="24"/>
      <w:szCs w:val="22"/>
      <w:lang w:val="fr-CA" w:eastAsia="en-US"/>
    </w:rPr>
  </w:style>
  <w:style w:type="character" w:customStyle="1" w:styleId="SCCLsocOtherPartyRoleSeparatorChar">
    <w:name w:val="SCC.Lsoc.OtherPartyRoleSeparator Char"/>
    <w:basedOn w:val="DefaultParagraphFont"/>
    <w:link w:val="SCCLsocOtherPartyRoleSeparator"/>
    <w:rsid w:val="00CB161E"/>
    <w:rPr>
      <w:rFonts w:eastAsiaTheme="minorHAnsi" w:cstheme="minorBidi"/>
      <w:sz w:val="24"/>
      <w:szCs w:val="22"/>
      <w:lang w:val="fr-CA" w:eastAsia="en-US"/>
    </w:rPr>
  </w:style>
  <w:style w:type="character" w:customStyle="1" w:styleId="SCCBanSummaryChar">
    <w:name w:val="SCC.BanSummary Char"/>
    <w:basedOn w:val="DefaultParagraphFont"/>
    <w:link w:val="SCCBanSummary"/>
    <w:rsid w:val="00CB161E"/>
    <w:rPr>
      <w:b/>
      <w:sz w:val="24"/>
    </w:rPr>
  </w:style>
  <w:style w:type="table" w:styleId="TableGrid">
    <w:name w:val="Table Grid"/>
    <w:basedOn w:val="TableNormal"/>
    <w:uiPriority w:val="59"/>
    <w:rsid w:val="00CB161E"/>
    <w:rPr>
      <w:sz w:val="24"/>
      <w:szCs w:val="24"/>
      <w:lang w:val="fr-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CB161E"/>
    <w:pPr>
      <w:spacing w:after="720"/>
      <w:ind w:left="1166"/>
      <w:contextualSpacing/>
      <w:jc w:val="both"/>
    </w:pPr>
    <w:rPr>
      <w:sz w:val="24"/>
      <w:szCs w:val="24"/>
      <w:lang w:val="fr-CA"/>
    </w:rPr>
  </w:style>
  <w:style w:type="paragraph" w:customStyle="1" w:styleId="ContinueParaSuitedupar-AltP">
    <w:name w:val="Continue Para. / Suite du par. - Alt P"/>
    <w:next w:val="ParaNoNdepar-AltN"/>
    <w:uiPriority w:val="1"/>
    <w:qFormat/>
    <w:rsid w:val="00CB161E"/>
    <w:pPr>
      <w:spacing w:before="480" w:after="480" w:line="480" w:lineRule="auto"/>
      <w:jc w:val="both"/>
    </w:pPr>
    <w:rPr>
      <w:rFonts w:eastAsiaTheme="minorHAnsi" w:cstheme="minorBidi"/>
      <w:sz w:val="24"/>
      <w:szCs w:val="22"/>
      <w:lang w:val="fr-CA" w:eastAsia="en-US"/>
    </w:rPr>
  </w:style>
  <w:style w:type="paragraph" w:customStyle="1" w:styleId="JudgeJuge">
    <w:name w:val="Judge / Juge"/>
    <w:uiPriority w:val="3"/>
    <w:rsid w:val="00CB161E"/>
    <w:pPr>
      <w:tabs>
        <w:tab w:val="left" w:pos="1166"/>
      </w:tabs>
      <w:spacing w:after="480" w:line="480" w:lineRule="auto"/>
    </w:pPr>
    <w:rPr>
      <w:smallCaps/>
      <w:sz w:val="24"/>
      <w:szCs w:val="24"/>
      <w:lang w:val="fr-CA"/>
    </w:rPr>
  </w:style>
  <w:style w:type="paragraph" w:customStyle="1" w:styleId="Title1LevelTitre1Niveau-AltL">
    <w:name w:val="Title 1 Level / Titre 1 Niveau - Alt L"/>
    <w:next w:val="ParaNoNdepar-AltN"/>
    <w:uiPriority w:val="4"/>
    <w:qFormat/>
    <w:rsid w:val="00CB161E"/>
    <w:pPr>
      <w:numPr>
        <w:numId w:val="7"/>
      </w:numPr>
      <w:spacing w:before="480" w:after="720"/>
      <w:jc w:val="both"/>
      <w:outlineLvl w:val="0"/>
    </w:pPr>
    <w:rPr>
      <w:rFonts w:eastAsiaTheme="minorHAnsi" w:cstheme="minorBidi"/>
      <w:sz w:val="24"/>
      <w:szCs w:val="22"/>
      <w:u w:val="single"/>
      <w:lang w:val="fr-CA" w:eastAsia="en-US"/>
    </w:rPr>
  </w:style>
  <w:style w:type="paragraph" w:customStyle="1" w:styleId="Title2LevelTitre2Niveau">
    <w:name w:val="Title 2 Level / Titre 2 Niveau"/>
    <w:basedOn w:val="Title1LevelTitre1Niveau-AltL"/>
    <w:next w:val="ParaNoNdepar-AltN"/>
    <w:uiPriority w:val="4"/>
    <w:qFormat/>
    <w:rsid w:val="00CB161E"/>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CB161E"/>
    <w:pPr>
      <w:numPr>
        <w:ilvl w:val="2"/>
      </w:numPr>
      <w:outlineLvl w:val="2"/>
    </w:pPr>
  </w:style>
  <w:style w:type="paragraph" w:customStyle="1" w:styleId="Title4LevelTitre4Niveau">
    <w:name w:val="Title 4 Level / Titre 4 Niveau"/>
    <w:basedOn w:val="Title3LevelTitre3Niveau"/>
    <w:next w:val="ParaNoNdepar-AltN"/>
    <w:uiPriority w:val="4"/>
    <w:qFormat/>
    <w:rsid w:val="00CB161E"/>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CB161E"/>
    <w:pPr>
      <w:numPr>
        <w:ilvl w:val="4"/>
      </w:numPr>
      <w:outlineLvl w:val="4"/>
    </w:pPr>
  </w:style>
  <w:style w:type="paragraph" w:styleId="TOC1">
    <w:name w:val="toc 1"/>
    <w:basedOn w:val="Normal"/>
    <w:next w:val="Normal"/>
    <w:autoRedefine/>
    <w:uiPriority w:val="39"/>
    <w:unhideWhenUsed/>
    <w:rsid w:val="00CB161E"/>
    <w:pPr>
      <w:tabs>
        <w:tab w:val="left" w:pos="360"/>
        <w:tab w:val="right" w:leader="dot" w:pos="8270"/>
      </w:tabs>
      <w:spacing w:before="120" w:after="120"/>
    </w:pPr>
    <w:rPr>
      <w:noProof/>
      <w:u w:val="single"/>
      <w:lang w:val="fr-CA"/>
    </w:rPr>
  </w:style>
  <w:style w:type="paragraph" w:styleId="TOC2">
    <w:name w:val="toc 2"/>
    <w:basedOn w:val="Normal"/>
    <w:next w:val="Normal"/>
    <w:autoRedefine/>
    <w:uiPriority w:val="39"/>
    <w:unhideWhenUsed/>
    <w:rsid w:val="00CB161E"/>
    <w:pPr>
      <w:tabs>
        <w:tab w:val="left" w:pos="720"/>
        <w:tab w:val="right" w:leader="dot" w:pos="8270"/>
      </w:tabs>
      <w:spacing w:before="120" w:after="120"/>
      <w:ind w:left="432" w:hanging="432"/>
    </w:pPr>
    <w:rPr>
      <w:i/>
      <w:szCs w:val="24"/>
      <w:lang w:val="fr-CA"/>
    </w:rPr>
  </w:style>
  <w:style w:type="paragraph" w:styleId="TOC3">
    <w:name w:val="toc 3"/>
    <w:basedOn w:val="Normal"/>
    <w:next w:val="Normal"/>
    <w:autoRedefine/>
    <w:uiPriority w:val="39"/>
    <w:unhideWhenUsed/>
    <w:rsid w:val="00CB161E"/>
    <w:pPr>
      <w:tabs>
        <w:tab w:val="left" w:pos="1080"/>
        <w:tab w:val="right" w:leader="dot" w:pos="8270"/>
      </w:tabs>
      <w:spacing w:before="120" w:after="120"/>
      <w:ind w:left="864" w:hanging="432"/>
    </w:pPr>
    <w:rPr>
      <w:noProof/>
      <w:u w:val="single"/>
      <w:lang w:val="fr-CA"/>
    </w:rPr>
  </w:style>
  <w:style w:type="paragraph" w:styleId="TOC4">
    <w:name w:val="toc 4"/>
    <w:basedOn w:val="Normal"/>
    <w:next w:val="Normal"/>
    <w:autoRedefine/>
    <w:uiPriority w:val="39"/>
    <w:unhideWhenUsed/>
    <w:rsid w:val="00CB161E"/>
    <w:pPr>
      <w:tabs>
        <w:tab w:val="left" w:pos="900"/>
        <w:tab w:val="right" w:leader="dot" w:pos="8270"/>
      </w:tabs>
      <w:spacing w:before="120" w:after="120"/>
      <w:ind w:left="900" w:hanging="450"/>
    </w:pPr>
    <w:rPr>
      <w:rFonts w:eastAsiaTheme="minorEastAsia" w:cstheme="minorBidi"/>
      <w:i/>
      <w:noProof/>
      <w:szCs w:val="22"/>
      <w:lang w:val="fr-CA"/>
    </w:rPr>
  </w:style>
  <w:style w:type="paragraph" w:styleId="TOC5">
    <w:name w:val="toc 5"/>
    <w:basedOn w:val="Normal"/>
    <w:next w:val="Normal"/>
    <w:autoRedefine/>
    <w:uiPriority w:val="39"/>
    <w:unhideWhenUsed/>
    <w:rsid w:val="00CB161E"/>
    <w:pPr>
      <w:tabs>
        <w:tab w:val="left" w:pos="1440"/>
        <w:tab w:val="right" w:leader="dot" w:pos="8270"/>
      </w:tabs>
      <w:spacing w:before="120" w:after="120"/>
      <w:ind w:left="1454" w:hanging="547"/>
    </w:pPr>
    <w:rPr>
      <w:noProof/>
      <w:u w:val="single"/>
      <w:lang w:val="fr-CA"/>
    </w:rPr>
  </w:style>
  <w:style w:type="paragraph" w:styleId="TOC6">
    <w:name w:val="toc 6"/>
    <w:basedOn w:val="Normal"/>
    <w:next w:val="Normal"/>
    <w:autoRedefine/>
    <w:uiPriority w:val="39"/>
    <w:unhideWhenUsed/>
    <w:rsid w:val="00CB161E"/>
    <w:pPr>
      <w:tabs>
        <w:tab w:val="left" w:pos="2160"/>
        <w:tab w:val="right" w:leader="dot" w:pos="8270"/>
      </w:tabs>
      <w:spacing w:after="100"/>
      <w:ind w:left="1800"/>
    </w:pPr>
    <w:rPr>
      <w:noProof/>
      <w:lang w:val="fr-CA"/>
    </w:rPr>
  </w:style>
  <w:style w:type="table" w:customStyle="1" w:styleId="TableGrid1">
    <w:name w:val="Table Grid1"/>
    <w:basedOn w:val="TableNormal"/>
    <w:uiPriority w:val="59"/>
    <w:rsid w:val="00CB161E"/>
    <w:rPr>
      <w:sz w:val="24"/>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CB161E"/>
    <w:pPr>
      <w:tabs>
        <w:tab w:val="left" w:pos="360"/>
      </w:tabs>
      <w:spacing w:before="480" w:after="720"/>
      <w:ind w:left="360" w:hanging="360"/>
      <w:jc w:val="both"/>
      <w:outlineLvl w:val="0"/>
    </w:pPr>
    <w:rPr>
      <w:rFonts w:eastAsiaTheme="minorHAnsi" w:cstheme="minorBidi"/>
      <w:sz w:val="24"/>
      <w:szCs w:val="22"/>
      <w:lang w:val="fr-CA" w:eastAsia="en-US"/>
    </w:rPr>
  </w:style>
  <w:style w:type="paragraph" w:customStyle="1" w:styleId="Title6LevelTitre6Niveau">
    <w:name w:val="Title 6 Level / Titre 6 Niveau"/>
    <w:basedOn w:val="Title5LevelTitre5Niveau"/>
    <w:next w:val="ParaNoNdepar-AltN"/>
    <w:uiPriority w:val="4"/>
    <w:qFormat/>
    <w:rsid w:val="00CB161E"/>
    <w:pPr>
      <w:numPr>
        <w:ilvl w:val="5"/>
      </w:numPr>
      <w:outlineLvl w:val="5"/>
    </w:pPr>
    <w:rPr>
      <w:i/>
      <w:u w:val="none"/>
    </w:rPr>
  </w:style>
  <w:style w:type="paragraph" w:styleId="FootnoteText">
    <w:name w:val="footnote text"/>
    <w:basedOn w:val="Normal"/>
    <w:link w:val="FootnoteTextChar"/>
    <w:uiPriority w:val="99"/>
    <w:unhideWhenUsed/>
    <w:rsid w:val="00CB161E"/>
    <w:pPr>
      <w:tabs>
        <w:tab w:val="left" w:pos="180"/>
      </w:tabs>
      <w:ind w:left="187" w:hanging="187"/>
      <w:jc w:val="both"/>
    </w:pPr>
    <w:rPr>
      <w:sz w:val="20"/>
      <w:lang w:val="fr-CA"/>
    </w:rPr>
  </w:style>
  <w:style w:type="character" w:customStyle="1" w:styleId="FootnoteTextChar">
    <w:name w:val="Footnote Text Char"/>
    <w:basedOn w:val="DefaultParagraphFont"/>
    <w:link w:val="FootnoteText"/>
    <w:uiPriority w:val="99"/>
    <w:rsid w:val="00CB161E"/>
    <w:rPr>
      <w:lang w:val="fr-CA"/>
    </w:rPr>
  </w:style>
  <w:style w:type="character" w:styleId="FootnoteReference">
    <w:name w:val="footnote reference"/>
    <w:basedOn w:val="DefaultParagraphFont"/>
    <w:uiPriority w:val="99"/>
    <w:semiHidden/>
    <w:unhideWhenUsed/>
    <w:rsid w:val="00CB161E"/>
    <w:rPr>
      <w:vertAlign w:val="superscript"/>
    </w:rPr>
  </w:style>
  <w:style w:type="paragraph" w:styleId="ListParagraph">
    <w:name w:val="List Paragraph"/>
    <w:basedOn w:val="Normal"/>
    <w:uiPriority w:val="34"/>
    <w:qFormat/>
    <w:rsid w:val="00CB161E"/>
    <w:pPr>
      <w:ind w:left="720"/>
      <w:contextualSpacing/>
    </w:pPr>
    <w:rPr>
      <w:szCs w:val="24"/>
      <w:lang w:val="fr-CA"/>
    </w:rPr>
  </w:style>
  <w:style w:type="character" w:styleId="CommentReference">
    <w:name w:val="annotation reference"/>
    <w:basedOn w:val="DefaultParagraphFont"/>
    <w:uiPriority w:val="99"/>
    <w:semiHidden/>
    <w:unhideWhenUsed/>
    <w:rsid w:val="00CB161E"/>
    <w:rPr>
      <w:sz w:val="16"/>
      <w:szCs w:val="16"/>
    </w:rPr>
  </w:style>
  <w:style w:type="paragraph" w:styleId="CommentText">
    <w:name w:val="annotation text"/>
    <w:basedOn w:val="Normal"/>
    <w:link w:val="CommentTextChar"/>
    <w:uiPriority w:val="99"/>
    <w:unhideWhenUsed/>
    <w:rsid w:val="00CB161E"/>
    <w:rPr>
      <w:sz w:val="20"/>
      <w:lang w:val="fr-CA"/>
    </w:rPr>
  </w:style>
  <w:style w:type="character" w:customStyle="1" w:styleId="CommentTextChar">
    <w:name w:val="Comment Text Char"/>
    <w:basedOn w:val="DefaultParagraphFont"/>
    <w:link w:val="CommentText"/>
    <w:uiPriority w:val="99"/>
    <w:rsid w:val="00CB161E"/>
    <w:rPr>
      <w:lang w:val="fr-CA"/>
    </w:rPr>
  </w:style>
  <w:style w:type="paragraph" w:styleId="CommentSubject">
    <w:name w:val="annotation subject"/>
    <w:basedOn w:val="CommentText"/>
    <w:next w:val="CommentText"/>
    <w:link w:val="CommentSubjectChar"/>
    <w:uiPriority w:val="99"/>
    <w:semiHidden/>
    <w:unhideWhenUsed/>
    <w:rsid w:val="00CB161E"/>
    <w:rPr>
      <w:b/>
      <w:bCs/>
    </w:rPr>
  </w:style>
  <w:style w:type="character" w:customStyle="1" w:styleId="CommentSubjectChar">
    <w:name w:val="Comment Subject Char"/>
    <w:basedOn w:val="CommentTextChar"/>
    <w:link w:val="CommentSubject"/>
    <w:uiPriority w:val="99"/>
    <w:semiHidden/>
    <w:rsid w:val="00CB161E"/>
    <w:rPr>
      <w:b/>
      <w:bCs/>
      <w:lang w:val="fr-CA"/>
    </w:rPr>
  </w:style>
  <w:style w:type="paragraph" w:styleId="NoSpacing">
    <w:name w:val="No Spacing"/>
    <w:uiPriority w:val="1"/>
    <w:qFormat/>
    <w:rsid w:val="00182BDC"/>
    <w:pPr>
      <w:keepLines/>
    </w:pPr>
    <w:rPr>
      <w:rFonts w:eastAsiaTheme="minorHAnsi" w:cstheme="minorBidi"/>
      <w:sz w:val="24"/>
      <w:szCs w:val="22"/>
      <w:lang w:val="en-US" w:eastAsia="en-US" w:bidi="en-US"/>
    </w:rPr>
  </w:style>
  <w:style w:type="character" w:customStyle="1" w:styleId="sb8d990e2">
    <w:name w:val="sb8d990e2"/>
    <w:basedOn w:val="DefaultParagraphFont"/>
    <w:rsid w:val="00182BDC"/>
  </w:style>
  <w:style w:type="character" w:customStyle="1" w:styleId="reflex3-block">
    <w:name w:val="reflex3-block"/>
    <w:basedOn w:val="DefaultParagraphFont"/>
    <w:rsid w:val="00182BDC"/>
  </w:style>
  <w:style w:type="character" w:customStyle="1" w:styleId="reflex3-alt">
    <w:name w:val="reflex3-alt"/>
    <w:basedOn w:val="DefaultParagraphFont"/>
    <w:rsid w:val="00182BDC"/>
  </w:style>
  <w:style w:type="character" w:customStyle="1" w:styleId="solexhl">
    <w:name w:val="solexhl"/>
    <w:basedOn w:val="DefaultParagraphFont"/>
    <w:rsid w:val="00182BDC"/>
  </w:style>
  <w:style w:type="character" w:customStyle="1" w:styleId="reflex">
    <w:name w:val="reflex"/>
    <w:basedOn w:val="DefaultParagraphFont"/>
    <w:rsid w:val="00182BDC"/>
  </w:style>
  <w:style w:type="character" w:customStyle="1" w:styleId="decisia-reflex2-icon">
    <w:name w:val="decisia-reflex2-icon"/>
    <w:basedOn w:val="DefaultParagraphFont"/>
    <w:rsid w:val="00182BDC"/>
  </w:style>
  <w:style w:type="character" w:styleId="Emphasis">
    <w:name w:val="Emphasis"/>
    <w:basedOn w:val="DefaultParagraphFont"/>
    <w:uiPriority w:val="20"/>
    <w:qFormat/>
    <w:rsid w:val="00182BDC"/>
    <w:rPr>
      <w:i/>
      <w:iCs/>
    </w:rPr>
  </w:style>
  <w:style w:type="table" w:customStyle="1" w:styleId="TableGrid2">
    <w:name w:val="Table Grid2"/>
    <w:basedOn w:val="TableNormal"/>
    <w:next w:val="TableGrid"/>
    <w:uiPriority w:val="59"/>
    <w:rsid w:val="00182BDC"/>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9458">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36D7-5CB4-4A9A-9488-25B27D97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23950</Words>
  <Characters>131728</Characters>
  <Application>Microsoft Office Word</Application>
  <DocSecurity>0</DocSecurity>
  <Lines>1097</Lines>
  <Paragraphs>310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2021-05-19T12:10:00Z</dcterms:created>
  <dcterms:modified xsi:type="dcterms:W3CDTF">2023-07-26T13:02:00Z</dcterms:modified>
</cp:coreProperties>
</file>