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92"/>
        <w:gridCol w:w="1696"/>
        <w:gridCol w:w="3553"/>
        <w:gridCol w:w="19"/>
      </w:tblGrid>
      <w:tr w:rsidR="00514FC8" w:rsidTr="00514FC8">
        <w:trPr>
          <w:trHeight w:val="1786"/>
        </w:trPr>
        <w:tc>
          <w:tcPr>
            <w:tcW w:w="5000" w:type="pct"/>
            <w:gridSpan w:val="4"/>
            <w:hideMark/>
          </w:tcPr>
          <w:p w:rsidR="00514FC8" w:rsidRDefault="00514FC8">
            <w:pPr>
              <w:jc w:val="center"/>
              <w:rPr>
                <w:lang w:val="en-US"/>
              </w:rPr>
            </w:pPr>
            <w:r>
              <w:rPr>
                <w:rFonts w:eastAsia="Calibri"/>
                <w:lang w:val="en-US"/>
              </w:rPr>
              <w:object w:dxaOrig="1248" w:dyaOrig="1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64.2pt" o:ole="">
                  <v:imagedata r:id="rId6" o:title=""/>
                </v:shape>
                <o:OLEObject Type="Embed" ProgID="Presentations.Drawing.15" ShapeID="_x0000_i1025" DrawAspect="Content" ObjectID="_1751867491" r:id="rId7"/>
              </w:object>
            </w:r>
          </w:p>
          <w:p w:rsidR="00514FC8" w:rsidRDefault="00514FC8">
            <w:pPr>
              <w:spacing w:before="120" w:after="100" w:afterAutospacing="1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COUR SUPRÊME DU CANADA</w:t>
            </w:r>
          </w:p>
        </w:tc>
      </w:tr>
      <w:tr w:rsidR="00514FC8" w:rsidTr="00514FC8">
        <w:trPr>
          <w:gridAfter w:val="1"/>
          <w:wAfter w:w="10" w:type="pct"/>
        </w:trPr>
        <w:tc>
          <w:tcPr>
            <w:tcW w:w="2186" w:type="pct"/>
            <w:tcMar>
              <w:top w:w="284" w:type="dxa"/>
              <w:left w:w="57" w:type="dxa"/>
              <w:bottom w:w="57" w:type="dxa"/>
              <w:right w:w="57" w:type="dxa"/>
            </w:tcMar>
            <w:hideMark/>
          </w:tcPr>
          <w:p w:rsidR="00514FC8" w:rsidRPr="00514FC8" w:rsidRDefault="00514FC8">
            <w:pPr>
              <w:spacing w:before="100" w:beforeAutospacing="1"/>
              <w:rPr>
                <w:rFonts w:eastAsia="Calibri"/>
              </w:rPr>
            </w:pPr>
            <w:r w:rsidRPr="00514FC8">
              <w:rPr>
                <w:b/>
                <w:smallCaps/>
              </w:rPr>
              <w:t>Référence :</w:t>
            </w:r>
            <w:r w:rsidRPr="00514FC8">
              <w:t xml:space="preserve"> R. </w:t>
            </w:r>
            <w:r w:rsidRPr="00514FC8">
              <w:rPr>
                <w:i/>
              </w:rPr>
              <w:t xml:space="preserve">c. </w:t>
            </w:r>
            <w:r w:rsidRPr="00514FC8">
              <w:t>Riley, 2020 CSC 31</w:t>
            </w:r>
            <w:r>
              <w:t>, [2020] 3 R.C.S. 424</w:t>
            </w:r>
          </w:p>
        </w:tc>
        <w:tc>
          <w:tcPr>
            <w:tcW w:w="906" w:type="pct"/>
          </w:tcPr>
          <w:p w:rsidR="00514FC8" w:rsidRPr="00514FC8" w:rsidRDefault="00514FC8">
            <w:pPr>
              <w:rPr>
                <w:b/>
                <w:smallCaps/>
              </w:rPr>
            </w:pPr>
          </w:p>
        </w:tc>
        <w:tc>
          <w:tcPr>
            <w:tcW w:w="1898" w:type="pct"/>
            <w:tcMar>
              <w:top w:w="284" w:type="dxa"/>
              <w:left w:w="57" w:type="dxa"/>
              <w:bottom w:w="57" w:type="dxa"/>
              <w:right w:w="57" w:type="dxa"/>
            </w:tcMar>
            <w:hideMark/>
          </w:tcPr>
          <w:p w:rsidR="00514FC8" w:rsidRPr="00514FC8" w:rsidRDefault="00514FC8">
            <w:r w:rsidRPr="00514FC8">
              <w:rPr>
                <w:b/>
                <w:smallCaps/>
              </w:rPr>
              <w:t>Appel entendu :</w:t>
            </w:r>
            <w:r w:rsidRPr="00514FC8">
              <w:t xml:space="preserve"> 3 novembre 2020</w:t>
            </w:r>
          </w:p>
          <w:p w:rsidR="00514FC8" w:rsidRPr="00514FC8" w:rsidRDefault="00514FC8">
            <w:pPr>
              <w:rPr>
                <w:b/>
                <w:smallCaps/>
              </w:rPr>
            </w:pPr>
            <w:r w:rsidRPr="00514FC8">
              <w:rPr>
                <w:b/>
                <w:smallCaps/>
              </w:rPr>
              <w:t xml:space="preserve">Jugement rendu : </w:t>
            </w:r>
            <w:r w:rsidRPr="00514FC8">
              <w:t>3 novembre 2020</w:t>
            </w:r>
          </w:p>
          <w:p w:rsidR="00514FC8" w:rsidRDefault="00514FC8">
            <w:pPr>
              <w:rPr>
                <w:rFonts w:eastAsia="Calibri"/>
                <w:lang w:val="en-US"/>
              </w:rPr>
            </w:pPr>
            <w:r>
              <w:rPr>
                <w:b/>
                <w:smallCaps/>
                <w:lang w:val="en-US"/>
              </w:rPr>
              <w:t>Dossier :</w:t>
            </w:r>
            <w:r>
              <w:rPr>
                <w:lang w:val="en-US"/>
              </w:rPr>
              <w:t xml:space="preserve"> 39006</w:t>
            </w:r>
          </w:p>
        </w:tc>
      </w:tr>
    </w:tbl>
    <w:tbl>
      <w:tblPr>
        <w:tblStyle w:val="TableGrid2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03"/>
        <w:gridCol w:w="7963"/>
      </w:tblGrid>
      <w:tr w:rsidR="00514FC8" w:rsidTr="00514FC8">
        <w:trPr>
          <w:cantSplit/>
          <w:trHeight w:val="508"/>
        </w:trPr>
        <w:tc>
          <w:tcPr>
            <w:tcW w:w="5000" w:type="pct"/>
            <w:gridSpan w:val="2"/>
            <w:tcMar>
              <w:top w:w="284" w:type="dxa"/>
              <w:left w:w="58" w:type="dxa"/>
              <w:bottom w:w="57" w:type="dxa"/>
              <w:right w:w="58" w:type="dxa"/>
            </w:tcMar>
            <w:vAlign w:val="center"/>
          </w:tcPr>
          <w:p w:rsidR="00514FC8" w:rsidRPr="00514FC8" w:rsidRDefault="00514FC8">
            <w:pPr>
              <w:rPr>
                <w:rFonts w:eastAsiaTheme="minorHAnsi" w:cstheme="minorBidi"/>
                <w:b/>
                <w:smallCaps/>
              </w:rPr>
            </w:pPr>
            <w:r w:rsidRPr="00514FC8">
              <w:rPr>
                <w:rFonts w:eastAsiaTheme="minorHAnsi" w:cstheme="minorBidi"/>
                <w:b/>
                <w:smallCaps/>
              </w:rPr>
              <w:t>Entre :</w:t>
            </w:r>
          </w:p>
          <w:p w:rsidR="00514FC8" w:rsidRPr="00514FC8" w:rsidRDefault="00514FC8">
            <w:pPr>
              <w:rPr>
                <w:rFonts w:eastAsiaTheme="minorHAnsi" w:cstheme="minorBidi"/>
                <w:b/>
                <w:smallCaps/>
              </w:rPr>
            </w:pPr>
          </w:p>
          <w:p w:rsidR="00514FC8" w:rsidRPr="00514FC8" w:rsidRDefault="00514FC8">
            <w:pPr>
              <w:pStyle w:val="SCCLsocParty"/>
            </w:pPr>
            <w:r w:rsidRPr="00514FC8">
              <w:t>Randy Desmond Riley</w:t>
            </w:r>
          </w:p>
          <w:p w:rsidR="00514FC8" w:rsidRPr="00514FC8" w:rsidRDefault="00514FC8">
            <w:pPr>
              <w:pStyle w:val="SCCLsocPartyRole"/>
            </w:pPr>
            <w:r w:rsidRPr="00514FC8">
              <w:t>Appelant</w:t>
            </w:r>
          </w:p>
          <w:p w:rsidR="00514FC8" w:rsidRPr="00514FC8" w:rsidRDefault="00514FC8">
            <w:pPr>
              <w:pStyle w:val="SCCLsocVersus"/>
            </w:pPr>
          </w:p>
          <w:p w:rsidR="00514FC8" w:rsidRPr="00514FC8" w:rsidRDefault="00514FC8">
            <w:pPr>
              <w:pStyle w:val="SCCLsocVersus"/>
            </w:pPr>
            <w:r w:rsidRPr="00514FC8">
              <w:t>et</w:t>
            </w:r>
          </w:p>
          <w:p w:rsidR="00514FC8" w:rsidRPr="00514FC8" w:rsidRDefault="00514FC8">
            <w:pPr>
              <w:pStyle w:val="SCCLsocParty"/>
            </w:pPr>
          </w:p>
          <w:p w:rsidR="00514FC8" w:rsidRPr="00514FC8" w:rsidRDefault="00514FC8">
            <w:pPr>
              <w:pStyle w:val="SCCLsocParty"/>
            </w:pPr>
            <w:r w:rsidRPr="00514FC8">
              <w:t>Sa Majesté la Reine</w:t>
            </w:r>
          </w:p>
          <w:p w:rsidR="00514FC8" w:rsidRPr="00514FC8" w:rsidRDefault="00514FC8">
            <w:pPr>
              <w:pStyle w:val="SCCLsocPartyRole"/>
            </w:pPr>
            <w:r w:rsidRPr="00514FC8">
              <w:t>Intimée</w:t>
            </w:r>
          </w:p>
          <w:p w:rsidR="00514FC8" w:rsidRPr="00514FC8" w:rsidRDefault="00514FC8"/>
          <w:p w:rsidR="00514FC8" w:rsidRPr="00514FC8" w:rsidRDefault="00514FC8"/>
          <w:p w:rsidR="00514FC8" w:rsidRPr="00514FC8" w:rsidRDefault="00514FC8">
            <w:pPr>
              <w:jc w:val="center"/>
              <w:rPr>
                <w:b/>
                <w:smallCaps/>
              </w:rPr>
            </w:pPr>
            <w:r w:rsidRPr="00514FC8">
              <w:rPr>
                <w:b/>
                <w:smallCaps/>
              </w:rPr>
              <w:t>Traduction française officielle</w:t>
            </w:r>
          </w:p>
        </w:tc>
      </w:tr>
      <w:tr w:rsidR="00514FC8" w:rsidTr="00514FC8">
        <w:trPr>
          <w:cantSplit/>
          <w:trHeight w:val="508"/>
        </w:trPr>
        <w:tc>
          <w:tcPr>
            <w:tcW w:w="5000" w:type="pct"/>
            <w:gridSpan w:val="2"/>
            <w:tcMar>
              <w:top w:w="284" w:type="dxa"/>
              <w:left w:w="58" w:type="dxa"/>
              <w:bottom w:w="57" w:type="dxa"/>
              <w:right w:w="58" w:type="dxa"/>
            </w:tcMar>
            <w:vAlign w:val="center"/>
          </w:tcPr>
          <w:p w:rsidR="00514FC8" w:rsidRPr="00514FC8" w:rsidRDefault="00514FC8">
            <w:r w:rsidRPr="00514FC8">
              <w:rPr>
                <w:b/>
                <w:smallCaps/>
              </w:rPr>
              <w:t>Coram :</w:t>
            </w:r>
            <w:r w:rsidRPr="00514FC8">
              <w:t xml:space="preserve"> Les juges </w:t>
            </w:r>
            <w:proofErr w:type="spellStart"/>
            <w:r w:rsidRPr="00514FC8">
              <w:t>Karakatsanis</w:t>
            </w:r>
            <w:proofErr w:type="spellEnd"/>
            <w:r w:rsidRPr="00514FC8">
              <w:t xml:space="preserve">, Côté, Brown, Martin et </w:t>
            </w:r>
            <w:proofErr w:type="spellStart"/>
            <w:r w:rsidRPr="00514FC8">
              <w:t>Kasirer</w:t>
            </w:r>
            <w:proofErr w:type="spellEnd"/>
          </w:p>
          <w:p w:rsidR="00514FC8" w:rsidRPr="00514FC8" w:rsidRDefault="00514FC8"/>
        </w:tc>
      </w:tr>
      <w:tr w:rsidR="00514FC8" w:rsidTr="00514FC8">
        <w:trPr>
          <w:cantSplit/>
        </w:trPr>
        <w:tc>
          <w:tcPr>
            <w:tcW w:w="703" w:type="pct"/>
            <w:tcMar>
              <w:top w:w="284" w:type="dxa"/>
              <w:left w:w="58" w:type="dxa"/>
              <w:bottom w:w="57" w:type="dxa"/>
              <w:right w:w="58" w:type="dxa"/>
            </w:tcMar>
            <w:vAlign w:val="center"/>
            <w:hideMark/>
          </w:tcPr>
          <w:p w:rsidR="00514FC8" w:rsidRPr="00514FC8" w:rsidRDefault="00514FC8">
            <w:pPr>
              <w:rPr>
                <w:b/>
                <w:smallCaps/>
              </w:rPr>
            </w:pPr>
            <w:r w:rsidRPr="00514FC8">
              <w:rPr>
                <w:b/>
                <w:smallCaps/>
              </w:rPr>
              <w:t xml:space="preserve">Jugement </w:t>
            </w:r>
            <w:r w:rsidRPr="00514FC8">
              <w:rPr>
                <w:b/>
                <w:bCs/>
                <w:smallCaps/>
                <w:color w:val="000000"/>
              </w:rPr>
              <w:t xml:space="preserve">unanime </w:t>
            </w:r>
            <w:r w:rsidRPr="00514FC8">
              <w:rPr>
                <w:b/>
                <w:smallCaps/>
              </w:rPr>
              <w:t xml:space="preserve">lu par : </w:t>
            </w:r>
          </w:p>
          <w:p w:rsidR="00514FC8" w:rsidRPr="00514FC8" w:rsidRDefault="00514FC8">
            <w:pPr>
              <w:rPr>
                <w:b/>
                <w:smallCaps/>
              </w:rPr>
            </w:pPr>
            <w:r w:rsidRPr="00514FC8">
              <w:t>(par. 1)</w:t>
            </w:r>
          </w:p>
        </w:tc>
        <w:tc>
          <w:tcPr>
            <w:tcW w:w="4297" w:type="pct"/>
            <w:tcMar>
              <w:top w:w="284" w:type="dxa"/>
              <w:left w:w="58" w:type="dxa"/>
              <w:bottom w:w="58" w:type="dxa"/>
              <w:right w:w="58" w:type="dxa"/>
            </w:tcMar>
            <w:vAlign w:val="center"/>
          </w:tcPr>
          <w:p w:rsidR="00514FC8" w:rsidRDefault="00514FC8">
            <w:pPr>
              <w:rPr>
                <w:b/>
                <w:smallCaps/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juge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Karakatsanis</w:t>
            </w:r>
            <w:proofErr w:type="spellEnd"/>
          </w:p>
          <w:p w:rsidR="00514FC8" w:rsidRDefault="00514FC8">
            <w:pPr>
              <w:rPr>
                <w:b/>
                <w:smallCaps/>
                <w:lang w:val="en-US"/>
              </w:rPr>
            </w:pPr>
          </w:p>
        </w:tc>
      </w:tr>
    </w:tbl>
    <w:p w:rsidR="00514FC8" w:rsidRDefault="00514FC8" w:rsidP="00514FC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44"/>
        <w:gridCol w:w="2808"/>
      </w:tblGrid>
      <w:tr w:rsidR="00514FC8" w:rsidTr="00514FC8">
        <w:tc>
          <w:tcPr>
            <w:tcW w:w="1500" w:type="pct"/>
            <w:tcMar>
              <w:top w:w="284" w:type="dxa"/>
              <w:left w:w="108" w:type="dxa"/>
              <w:bottom w:w="0" w:type="dxa"/>
              <w:right w:w="108" w:type="dxa"/>
            </w:tcMar>
          </w:tcPr>
          <w:p w:rsidR="00514FC8" w:rsidRPr="00514FC8" w:rsidRDefault="00514FC8">
            <w:pPr>
              <w:rPr>
                <w:rFonts w:eastAsia="Calibri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4" w:type="dxa"/>
              <w:left w:w="108" w:type="dxa"/>
              <w:bottom w:w="0" w:type="dxa"/>
              <w:right w:w="108" w:type="dxa"/>
            </w:tcMar>
          </w:tcPr>
          <w:p w:rsidR="00514FC8" w:rsidRPr="00514FC8" w:rsidRDefault="00514FC8">
            <w:pPr>
              <w:rPr>
                <w:rFonts w:eastAsia="Calibri"/>
              </w:rPr>
            </w:pPr>
          </w:p>
        </w:tc>
        <w:tc>
          <w:tcPr>
            <w:tcW w:w="1500" w:type="pct"/>
            <w:tcMar>
              <w:top w:w="284" w:type="dxa"/>
              <w:left w:w="108" w:type="dxa"/>
              <w:bottom w:w="0" w:type="dxa"/>
              <w:right w:w="108" w:type="dxa"/>
            </w:tcMar>
          </w:tcPr>
          <w:p w:rsidR="00514FC8" w:rsidRPr="00514FC8" w:rsidRDefault="00514FC8">
            <w:pPr>
              <w:rPr>
                <w:rFonts w:eastAsia="Calibri"/>
              </w:rPr>
            </w:pPr>
          </w:p>
        </w:tc>
      </w:tr>
    </w:tbl>
    <w:p w:rsidR="00387ADA" w:rsidRDefault="00387ADA" w:rsidP="00514FC8"/>
    <w:p w:rsidR="00514FC8" w:rsidRDefault="00514FC8" w:rsidP="00514FC8">
      <w:bookmarkStart w:id="0" w:name="_GoBack"/>
      <w:bookmarkEnd w:id="0"/>
    </w:p>
    <w:p w:rsidR="00C31BFA" w:rsidRPr="00C31BFA" w:rsidRDefault="00C31BFA" w:rsidP="00C31BFA">
      <w:pPr>
        <w:spacing w:after="720"/>
        <w:jc w:val="both"/>
        <w:rPr>
          <w:rFonts w:eastAsia="Times New Roman" w:cs="Times New Roman"/>
          <w:szCs w:val="20"/>
          <w:lang w:val="en-US" w:eastAsia="en-CA"/>
        </w:rPr>
      </w:pPr>
      <w:r w:rsidRPr="00C31BFA">
        <w:rPr>
          <w:rFonts w:eastAsia="Times New Roman" w:cs="Times New Roman"/>
          <w:smallCaps/>
          <w:szCs w:val="20"/>
          <w:lang w:val="en-US" w:eastAsia="en-CA"/>
        </w:rPr>
        <w:t xml:space="preserve">r. </w:t>
      </w:r>
      <w:r w:rsidRPr="00C31BFA">
        <w:rPr>
          <w:rFonts w:eastAsia="Times New Roman" w:cs="Times New Roman"/>
          <w:i/>
          <w:szCs w:val="20"/>
          <w:lang w:val="en-US" w:eastAsia="en-CA"/>
        </w:rPr>
        <w:t>c.</w:t>
      </w:r>
      <w:r w:rsidRPr="00C31BFA">
        <w:rPr>
          <w:rFonts w:eastAsia="Times New Roman" w:cs="Times New Roman"/>
          <w:smallCaps/>
          <w:szCs w:val="20"/>
          <w:lang w:val="en-US" w:eastAsia="en-CA"/>
        </w:rPr>
        <w:t xml:space="preserve"> riley</w:t>
      </w:r>
    </w:p>
    <w:p w:rsidR="00C31BFA" w:rsidRPr="00C31BFA" w:rsidRDefault="00C31BFA" w:rsidP="00C31BFA">
      <w:pPr>
        <w:tabs>
          <w:tab w:val="right" w:pos="8222"/>
        </w:tabs>
        <w:spacing w:after="720"/>
        <w:rPr>
          <w:rFonts w:eastAsia="Times New Roman" w:cs="Times New Roman"/>
          <w:b/>
          <w:szCs w:val="20"/>
          <w:lang w:val="en-US" w:eastAsia="en-CA"/>
        </w:rPr>
      </w:pPr>
      <w:r w:rsidRPr="00C31BFA">
        <w:rPr>
          <w:rFonts w:eastAsia="Times New Roman" w:cs="Times New Roman"/>
          <w:b/>
          <w:szCs w:val="20"/>
          <w:lang w:val="en-US" w:eastAsia="en-CA"/>
        </w:rPr>
        <w:t>Randy Desmond Riley</w:t>
      </w:r>
      <w:r w:rsidRPr="00C31BFA">
        <w:rPr>
          <w:rFonts w:eastAsia="Times New Roman" w:cs="Times New Roman"/>
          <w:i/>
          <w:szCs w:val="20"/>
          <w:lang w:val="en-US" w:eastAsia="en-CA"/>
        </w:rPr>
        <w:tab/>
      </w:r>
      <w:proofErr w:type="spellStart"/>
      <w:r w:rsidRPr="00C31BFA">
        <w:rPr>
          <w:rFonts w:eastAsia="Times New Roman" w:cs="Times New Roman"/>
          <w:i/>
          <w:szCs w:val="20"/>
          <w:lang w:val="en-US" w:eastAsia="en-CA"/>
        </w:rPr>
        <w:t>Appelant</w:t>
      </w:r>
      <w:proofErr w:type="spellEnd"/>
    </w:p>
    <w:p w:rsidR="00C31BFA" w:rsidRPr="00C31BFA" w:rsidRDefault="00C31BFA" w:rsidP="00C31BFA">
      <w:pPr>
        <w:spacing w:after="720"/>
        <w:rPr>
          <w:rFonts w:eastAsia="Times New Roman" w:cs="Times New Roman"/>
          <w:i/>
          <w:szCs w:val="20"/>
          <w:lang w:eastAsia="en-CA"/>
        </w:rPr>
      </w:pPr>
      <w:proofErr w:type="gramStart"/>
      <w:r w:rsidRPr="00C31BFA">
        <w:rPr>
          <w:rFonts w:eastAsia="Times New Roman" w:cs="Times New Roman"/>
          <w:i/>
          <w:szCs w:val="20"/>
          <w:lang w:eastAsia="en-CA"/>
        </w:rPr>
        <w:lastRenderedPageBreak/>
        <w:t>c</w:t>
      </w:r>
      <w:proofErr w:type="gramEnd"/>
      <w:r w:rsidRPr="00C31BFA">
        <w:rPr>
          <w:rFonts w:eastAsia="Times New Roman" w:cs="Times New Roman"/>
          <w:i/>
          <w:szCs w:val="20"/>
          <w:lang w:eastAsia="en-CA"/>
        </w:rPr>
        <w:t>.</w:t>
      </w:r>
    </w:p>
    <w:p w:rsidR="00C31BFA" w:rsidRPr="00C31BFA" w:rsidRDefault="00C31BFA" w:rsidP="00C31BFA">
      <w:pPr>
        <w:tabs>
          <w:tab w:val="right" w:pos="8222"/>
        </w:tabs>
        <w:spacing w:after="720"/>
        <w:rPr>
          <w:rFonts w:eastAsia="Times New Roman" w:cs="Times New Roman"/>
          <w:b/>
          <w:szCs w:val="20"/>
          <w:lang w:eastAsia="en-CA"/>
        </w:rPr>
      </w:pPr>
      <w:r w:rsidRPr="00C31BFA">
        <w:rPr>
          <w:rFonts w:eastAsia="Times New Roman" w:cs="Times New Roman"/>
          <w:b/>
          <w:szCs w:val="20"/>
          <w:lang w:eastAsia="en-CA"/>
        </w:rPr>
        <w:t>Sa Majesté la Reine</w:t>
      </w:r>
      <w:r w:rsidRPr="00C31BFA">
        <w:rPr>
          <w:rFonts w:eastAsia="Times New Roman" w:cs="Times New Roman"/>
          <w:i/>
          <w:szCs w:val="20"/>
          <w:lang w:eastAsia="en-CA"/>
        </w:rPr>
        <w:tab/>
        <w:t>Intimée</w:t>
      </w:r>
    </w:p>
    <w:p w:rsidR="00C31BFA" w:rsidRPr="00C31BFA" w:rsidRDefault="00C31BFA" w:rsidP="00C31BFA">
      <w:pPr>
        <w:spacing w:after="720"/>
        <w:jc w:val="both"/>
        <w:rPr>
          <w:rFonts w:eastAsia="Times New Roman" w:cs="Times New Roman"/>
          <w:b/>
          <w:szCs w:val="20"/>
          <w:lang w:eastAsia="en-CA"/>
        </w:rPr>
      </w:pPr>
    </w:p>
    <w:p w:rsidR="00C31BFA" w:rsidRPr="00C31BFA" w:rsidRDefault="00C31BFA" w:rsidP="00C31BFA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r w:rsidRPr="00C31BFA">
        <w:rPr>
          <w:rFonts w:eastAsia="Times New Roman" w:cs="Times New Roman"/>
          <w:b/>
          <w:szCs w:val="20"/>
          <w:lang w:eastAsia="en-CA"/>
        </w:rPr>
        <w:t xml:space="preserve">Répertorié : R. </w:t>
      </w:r>
      <w:r w:rsidRPr="00C31BFA">
        <w:rPr>
          <w:rFonts w:eastAsia="Times New Roman" w:cs="Times New Roman"/>
          <w:b/>
          <w:i/>
          <w:szCs w:val="20"/>
          <w:lang w:eastAsia="en-CA"/>
        </w:rPr>
        <w:t>c.</w:t>
      </w:r>
      <w:r w:rsidRPr="00C31BFA">
        <w:rPr>
          <w:rFonts w:eastAsia="Times New Roman" w:cs="Times New Roman"/>
          <w:b/>
          <w:szCs w:val="20"/>
          <w:lang w:eastAsia="en-CA"/>
        </w:rPr>
        <w:t xml:space="preserve"> Riley</w:t>
      </w:r>
    </w:p>
    <w:p w:rsidR="00C31BFA" w:rsidRPr="00C31BFA" w:rsidRDefault="00C31BFA" w:rsidP="00C31BFA">
      <w:pPr>
        <w:spacing w:after="720"/>
        <w:jc w:val="both"/>
        <w:rPr>
          <w:rFonts w:eastAsia="Times New Roman" w:cs="Times New Roman"/>
          <w:b/>
          <w:szCs w:val="20"/>
          <w:lang w:eastAsia="en-CA"/>
        </w:rPr>
      </w:pPr>
      <w:r w:rsidRPr="00C31BFA">
        <w:rPr>
          <w:rFonts w:eastAsia="Times New Roman" w:cs="Times New Roman"/>
          <w:b/>
          <w:szCs w:val="20"/>
          <w:lang w:eastAsia="en-CA"/>
        </w:rPr>
        <w:t>2020 CSC 31</w:t>
      </w:r>
    </w:p>
    <w:p w:rsidR="00C31BFA" w:rsidRPr="00C31BFA" w:rsidRDefault="00C31BFA" w:rsidP="00C31BFA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r w:rsidRPr="00C31BFA">
        <w:rPr>
          <w:rFonts w:eastAsia="Times New Roman" w:cs="Times New Roman"/>
          <w:szCs w:val="20"/>
          <w:lang w:eastAsia="en-CA"/>
        </w:rPr>
        <w:t>N</w:t>
      </w:r>
      <w:r w:rsidRPr="00C31BFA">
        <w:rPr>
          <w:rFonts w:eastAsia="Times New Roman" w:cs="Times New Roman"/>
          <w:szCs w:val="20"/>
          <w:vertAlign w:val="superscript"/>
          <w:lang w:eastAsia="en-CA"/>
        </w:rPr>
        <w:t>o</w:t>
      </w:r>
      <w:r w:rsidRPr="00C31BFA">
        <w:rPr>
          <w:rFonts w:eastAsia="Times New Roman" w:cs="Times New Roman"/>
          <w:szCs w:val="20"/>
          <w:lang w:eastAsia="en-CA"/>
        </w:rPr>
        <w:t xml:space="preserve"> du greffe : 39006.</w:t>
      </w:r>
    </w:p>
    <w:p w:rsidR="00C31BFA" w:rsidRPr="00C31BFA" w:rsidRDefault="00C31BFA" w:rsidP="00C31BFA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r w:rsidRPr="00C31BFA">
        <w:rPr>
          <w:rFonts w:eastAsia="Times New Roman" w:cs="Times New Roman"/>
          <w:szCs w:val="20"/>
          <w:lang w:eastAsia="en-CA"/>
        </w:rPr>
        <w:t>2020 : 3 novembre.</w:t>
      </w:r>
    </w:p>
    <w:p w:rsidR="00C31BFA" w:rsidRPr="00C31BFA" w:rsidRDefault="00C31BFA" w:rsidP="00C31BFA">
      <w:pPr>
        <w:spacing w:after="720"/>
        <w:jc w:val="both"/>
        <w:rPr>
          <w:rFonts w:eastAsia="Times New Roman" w:cs="Times New Roman"/>
          <w:szCs w:val="20"/>
          <w:lang w:eastAsia="en-CA"/>
        </w:rPr>
      </w:pPr>
      <w:r w:rsidRPr="00C31BFA">
        <w:rPr>
          <w:rFonts w:eastAsia="Times New Roman" w:cs="Times New Roman"/>
          <w:szCs w:val="20"/>
          <w:lang w:eastAsia="en-CA"/>
        </w:rPr>
        <w:t xml:space="preserve">Présents : Les juges </w:t>
      </w:r>
      <w:proofErr w:type="spellStart"/>
      <w:r w:rsidRPr="00C31BFA">
        <w:rPr>
          <w:rFonts w:eastAsia="Times New Roman" w:cs="Times New Roman"/>
          <w:szCs w:val="20"/>
          <w:lang w:eastAsia="en-CA"/>
        </w:rPr>
        <w:t>Karakatsanis</w:t>
      </w:r>
      <w:proofErr w:type="spellEnd"/>
      <w:r w:rsidRPr="00C31BFA">
        <w:rPr>
          <w:rFonts w:eastAsia="Times New Roman" w:cs="Times New Roman"/>
          <w:szCs w:val="20"/>
          <w:lang w:eastAsia="en-CA"/>
        </w:rPr>
        <w:t xml:space="preserve">, Côté, Brown, Martin et </w:t>
      </w:r>
      <w:proofErr w:type="spellStart"/>
      <w:r w:rsidRPr="00C31BFA">
        <w:rPr>
          <w:rFonts w:eastAsia="Times New Roman" w:cs="Times New Roman"/>
          <w:szCs w:val="20"/>
          <w:lang w:eastAsia="en-CA"/>
        </w:rPr>
        <w:t>Kasirer</w:t>
      </w:r>
      <w:proofErr w:type="spellEnd"/>
      <w:r w:rsidRPr="00C31BFA">
        <w:rPr>
          <w:rFonts w:eastAsia="Times New Roman" w:cs="Times New Roman"/>
          <w:szCs w:val="20"/>
          <w:lang w:eastAsia="en-CA"/>
        </w:rPr>
        <w:t>.</w:t>
      </w:r>
    </w:p>
    <w:p w:rsidR="00C31BFA" w:rsidRPr="00C31BFA" w:rsidRDefault="00C31BFA" w:rsidP="00C31BFA">
      <w:pPr>
        <w:tabs>
          <w:tab w:val="left" w:pos="1168"/>
        </w:tabs>
        <w:spacing w:after="720"/>
        <w:jc w:val="both"/>
        <w:rPr>
          <w:rFonts w:eastAsia="Times New Roman" w:cs="Times New Roman"/>
          <w:smallCaps/>
          <w:szCs w:val="20"/>
          <w:lang w:eastAsia="en-CA"/>
        </w:rPr>
      </w:pPr>
      <w:r w:rsidRPr="00C31BFA">
        <w:rPr>
          <w:rFonts w:eastAsia="Times New Roman" w:cs="Times New Roman"/>
          <w:smallCaps/>
          <w:szCs w:val="20"/>
          <w:lang w:eastAsia="en-CA"/>
        </w:rPr>
        <w:t xml:space="preserve">en appel de la cour d’appel de la </w:t>
      </w:r>
      <w:proofErr w:type="spellStart"/>
      <w:r w:rsidRPr="00C31BFA">
        <w:rPr>
          <w:rFonts w:eastAsia="Times New Roman" w:cs="Times New Roman"/>
          <w:smallCaps/>
          <w:szCs w:val="20"/>
          <w:lang w:eastAsia="en-CA"/>
        </w:rPr>
        <w:t>nouvelle-écosse</w:t>
      </w:r>
      <w:proofErr w:type="spellEnd"/>
    </w:p>
    <w:p w:rsidR="00C31BFA" w:rsidRPr="00C31BFA" w:rsidRDefault="00C31BFA" w:rsidP="00C31BFA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C31BFA">
        <w:rPr>
          <w:rFonts w:eastAsia="Times New Roman" w:cs="Times New Roman"/>
          <w:szCs w:val="20"/>
          <w:lang w:eastAsia="en-CA"/>
        </w:rPr>
        <w:tab/>
      </w:r>
      <w:r w:rsidRPr="00C31BFA">
        <w:rPr>
          <w:rFonts w:eastAsia="Times New Roman" w:cs="Times New Roman"/>
          <w:i/>
          <w:szCs w:val="20"/>
          <w:lang w:eastAsia="en-CA"/>
        </w:rPr>
        <w:t xml:space="preserve">Droit criminel — </w:t>
      </w:r>
      <w:r w:rsidRPr="00C31BFA">
        <w:rPr>
          <w:rFonts w:eastAsia="Times New Roman" w:cs="Times New Roman"/>
          <w:i/>
          <w:iCs/>
          <w:szCs w:val="20"/>
          <w:lang w:eastAsia="en-CA"/>
        </w:rPr>
        <w:t>Exposé au jury</w:t>
      </w:r>
      <w:r w:rsidRPr="00C31BFA">
        <w:rPr>
          <w:rFonts w:eastAsia="Times New Roman" w:cs="Times New Roman"/>
          <w:i/>
          <w:szCs w:val="20"/>
          <w:lang w:eastAsia="en-CA"/>
        </w:rPr>
        <w:t xml:space="preserve"> — Mise en garde de type </w:t>
      </w:r>
      <w:proofErr w:type="spellStart"/>
      <w:r w:rsidRPr="00C31BFA">
        <w:rPr>
          <w:rFonts w:eastAsia="Times New Roman" w:cs="Times New Roman"/>
          <w:i/>
          <w:szCs w:val="20"/>
          <w:lang w:eastAsia="en-CA"/>
        </w:rPr>
        <w:t>Vetrovec</w:t>
      </w:r>
      <w:proofErr w:type="spellEnd"/>
      <w:r w:rsidRPr="00C31BFA">
        <w:rPr>
          <w:rFonts w:eastAsia="Times New Roman" w:cs="Times New Roman"/>
          <w:i/>
          <w:szCs w:val="20"/>
          <w:lang w:eastAsia="en-CA"/>
        </w:rPr>
        <w:t xml:space="preserve"> — Disposition réparatrice — Couronne faisant témoigner au procès un ancien coaccusé — Déposition du témoin disculpant l’accusé — Mise en garde de type </w:t>
      </w:r>
      <w:proofErr w:type="spellStart"/>
      <w:r w:rsidRPr="00C31BFA">
        <w:rPr>
          <w:rFonts w:eastAsia="Times New Roman" w:cs="Times New Roman"/>
          <w:i/>
          <w:szCs w:val="20"/>
          <w:lang w:eastAsia="en-CA"/>
        </w:rPr>
        <w:t>Vetrovec</w:t>
      </w:r>
      <w:proofErr w:type="spellEnd"/>
      <w:r w:rsidRPr="00C31BFA">
        <w:rPr>
          <w:rFonts w:eastAsia="Times New Roman" w:cs="Times New Roman"/>
          <w:i/>
          <w:szCs w:val="20"/>
          <w:lang w:eastAsia="en-CA"/>
        </w:rPr>
        <w:t xml:space="preserve"> donnée par le juge du procès aux jurés pour les inciter à la prudence à l’égard de la déposition du témoin — Accusé déclaré coupable par le jury de meurtre au deuxième degré et de possession illégale d’une arme à feu —</w:t>
      </w:r>
      <w:r w:rsidRPr="00C31BFA">
        <w:rPr>
          <w:rFonts w:eastAsia="Times New Roman" w:cs="Times New Roman"/>
          <w:i/>
          <w:iCs/>
          <w:color w:val="000000"/>
          <w:szCs w:val="20"/>
          <w:lang w:eastAsia="en-CA"/>
        </w:rPr>
        <w:t xml:space="preserve"> </w:t>
      </w:r>
      <w:r w:rsidRPr="00C31BFA">
        <w:rPr>
          <w:rFonts w:eastAsia="Times New Roman" w:cs="Times New Roman"/>
          <w:i/>
          <w:szCs w:val="20"/>
          <w:lang w:eastAsia="en-CA"/>
        </w:rPr>
        <w:t>Arrêt majoritaire de</w:t>
      </w:r>
      <w:r w:rsidRPr="00C31BFA">
        <w:rPr>
          <w:rFonts w:eastAsia="Times New Roman" w:cs="Times New Roman"/>
          <w:i/>
          <w:iCs/>
          <w:color w:val="000000"/>
          <w:szCs w:val="20"/>
          <w:lang w:eastAsia="en-CA"/>
        </w:rPr>
        <w:t xml:space="preserve"> la Cour d’appel concluant que</w:t>
      </w:r>
      <w:r w:rsidRPr="00C31BFA">
        <w:rPr>
          <w:rFonts w:eastAsia="Times New Roman" w:cs="Times New Roman"/>
          <w:i/>
          <w:szCs w:val="20"/>
          <w:lang w:eastAsia="en-CA"/>
        </w:rPr>
        <w:t xml:space="preserve"> le juge du procès a commis une erreur en donnant une mise en garde de type </w:t>
      </w:r>
      <w:proofErr w:type="spellStart"/>
      <w:r w:rsidRPr="00C31BFA">
        <w:rPr>
          <w:rFonts w:eastAsia="Times New Roman" w:cs="Times New Roman"/>
          <w:i/>
          <w:szCs w:val="20"/>
          <w:lang w:eastAsia="en-CA"/>
        </w:rPr>
        <w:t>Vetrovec</w:t>
      </w:r>
      <w:proofErr w:type="spellEnd"/>
      <w:r w:rsidRPr="00C31BFA">
        <w:rPr>
          <w:rFonts w:eastAsia="Times New Roman" w:cs="Times New Roman"/>
          <w:i/>
          <w:szCs w:val="20"/>
          <w:lang w:eastAsia="en-CA"/>
        </w:rPr>
        <w:t xml:space="preserve">, mais que cette erreur était inoffensive et sans incidence et que la </w:t>
      </w:r>
      <w:r w:rsidRPr="00C31BFA">
        <w:rPr>
          <w:rFonts w:eastAsia="Times New Roman" w:cs="Times New Roman"/>
          <w:i/>
          <w:szCs w:val="20"/>
          <w:lang w:eastAsia="en-CA"/>
        </w:rPr>
        <w:lastRenderedPageBreak/>
        <w:t>disposition réparatrice s’appliquait — Conclusion du juge dissident portant qu’il ne convenait pas d’appliquer la disposition réparatrice — Déclarations de culpabilité annulées et nouveau procès ordonné.</w:t>
      </w:r>
    </w:p>
    <w:p w:rsidR="00C31BFA" w:rsidRPr="00C31BFA" w:rsidRDefault="00C31BFA" w:rsidP="00C31BFA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C31BFA" w:rsidRPr="00C31BFA" w:rsidRDefault="00C31BFA" w:rsidP="00C31BFA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C31BFA">
        <w:rPr>
          <w:rFonts w:eastAsia="Times New Roman" w:cs="Times New Roman"/>
          <w:szCs w:val="20"/>
          <w:lang w:eastAsia="en-CA"/>
        </w:rPr>
        <w:tab/>
        <w:t xml:space="preserve">POURVOI contre un arrêt de la Cour d’appel de la Nouvelle-Écosse (les juges Beveridge, </w:t>
      </w:r>
      <w:proofErr w:type="spellStart"/>
      <w:r w:rsidRPr="00C31BFA">
        <w:rPr>
          <w:rFonts w:eastAsia="Times New Roman" w:cs="Times New Roman"/>
          <w:szCs w:val="20"/>
          <w:lang w:eastAsia="en-CA"/>
        </w:rPr>
        <w:t>Scanlan</w:t>
      </w:r>
      <w:proofErr w:type="spellEnd"/>
      <w:r w:rsidRPr="00C31BFA">
        <w:rPr>
          <w:rFonts w:eastAsia="Times New Roman" w:cs="Times New Roman"/>
          <w:szCs w:val="20"/>
          <w:lang w:eastAsia="en-CA"/>
        </w:rPr>
        <w:t xml:space="preserve"> et Bourgeois), 2019 NSCA 94, 450 D.L.R. (4th) 251, 160 W.C.B. (2d) 267, [2019] N.S.J. No. 524 (</w:t>
      </w:r>
      <w:proofErr w:type="spellStart"/>
      <w:r w:rsidRPr="00C31BFA">
        <w:rPr>
          <w:rFonts w:eastAsia="Times New Roman" w:cs="Times New Roman"/>
          <w:szCs w:val="20"/>
          <w:lang w:eastAsia="en-CA"/>
        </w:rPr>
        <w:t>QL</w:t>
      </w:r>
      <w:proofErr w:type="spellEnd"/>
      <w:r w:rsidRPr="00C31BFA">
        <w:rPr>
          <w:rFonts w:eastAsia="Times New Roman" w:cs="Times New Roman"/>
          <w:szCs w:val="20"/>
          <w:lang w:eastAsia="en-CA"/>
        </w:rPr>
        <w:t xml:space="preserve">), 2019 </w:t>
      </w:r>
      <w:proofErr w:type="spellStart"/>
      <w:r w:rsidRPr="00C31BFA">
        <w:rPr>
          <w:rFonts w:eastAsia="Times New Roman" w:cs="Times New Roman"/>
          <w:szCs w:val="20"/>
          <w:lang w:eastAsia="en-CA"/>
        </w:rPr>
        <w:t>CarswellNS</w:t>
      </w:r>
      <w:proofErr w:type="spellEnd"/>
      <w:r w:rsidRPr="00C31BFA">
        <w:rPr>
          <w:rFonts w:eastAsia="Times New Roman" w:cs="Times New Roman"/>
          <w:szCs w:val="20"/>
          <w:lang w:eastAsia="en-CA"/>
        </w:rPr>
        <w:t xml:space="preserve"> 875 (</w:t>
      </w:r>
      <w:proofErr w:type="spellStart"/>
      <w:r w:rsidRPr="00C31BFA">
        <w:rPr>
          <w:rFonts w:eastAsia="Times New Roman" w:cs="Times New Roman"/>
          <w:szCs w:val="20"/>
          <w:lang w:eastAsia="en-CA"/>
        </w:rPr>
        <w:t>WL</w:t>
      </w:r>
      <w:proofErr w:type="spellEnd"/>
      <w:r w:rsidRPr="00C31BFA">
        <w:rPr>
          <w:rFonts w:eastAsia="Times New Roman" w:cs="Times New Roman"/>
          <w:szCs w:val="20"/>
          <w:lang w:eastAsia="en-CA"/>
        </w:rPr>
        <w:t xml:space="preserve"> Can.), qui a confirmé les déclarations de culpabilité pour meurtre au deuxième degré et possession illégale d’une arme à feu prononcées contre l’accusé. Pourvoi accueilli.</w:t>
      </w:r>
    </w:p>
    <w:p w:rsidR="00C31BFA" w:rsidRPr="00C31BFA" w:rsidRDefault="00C31BFA" w:rsidP="00C31BFA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C31BFA" w:rsidRPr="00C31BFA" w:rsidRDefault="00C31BFA" w:rsidP="00C31BFA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C31BFA">
        <w:rPr>
          <w:rFonts w:eastAsia="Times New Roman" w:cs="Times New Roman"/>
          <w:szCs w:val="20"/>
          <w:lang w:eastAsia="en-CA"/>
        </w:rPr>
        <w:tab/>
      </w:r>
      <w:r w:rsidRPr="00C31BFA">
        <w:rPr>
          <w:rFonts w:eastAsiaTheme="majorEastAsia" w:cs="Times New Roman"/>
          <w:i/>
          <w:iCs/>
          <w:color w:val="000000"/>
          <w:szCs w:val="20"/>
          <w:lang w:eastAsia="en-CA"/>
        </w:rPr>
        <w:t xml:space="preserve">Lee V. </w:t>
      </w:r>
      <w:proofErr w:type="spellStart"/>
      <w:r w:rsidRPr="00C31BFA">
        <w:rPr>
          <w:rFonts w:eastAsiaTheme="majorEastAsia" w:cs="Times New Roman"/>
          <w:i/>
          <w:iCs/>
          <w:color w:val="000000"/>
          <w:szCs w:val="20"/>
          <w:lang w:eastAsia="en-CA"/>
        </w:rPr>
        <w:t>Seshagiri</w:t>
      </w:r>
      <w:proofErr w:type="spellEnd"/>
      <w:r w:rsidRPr="00C31BFA">
        <w:rPr>
          <w:rFonts w:eastAsiaTheme="majorEastAsia" w:cs="Times New Roman"/>
          <w:color w:val="000000"/>
          <w:szCs w:val="20"/>
          <w:lang w:eastAsia="en-CA"/>
        </w:rPr>
        <w:t> et </w:t>
      </w:r>
      <w:r w:rsidRPr="00C31BFA">
        <w:rPr>
          <w:rFonts w:eastAsiaTheme="majorEastAsia" w:cs="Times New Roman"/>
          <w:i/>
          <w:iCs/>
          <w:color w:val="000000"/>
          <w:szCs w:val="20"/>
          <w:lang w:eastAsia="en-CA"/>
        </w:rPr>
        <w:t xml:space="preserve">Roger A. </w:t>
      </w:r>
      <w:proofErr w:type="spellStart"/>
      <w:r w:rsidRPr="00C31BFA">
        <w:rPr>
          <w:rFonts w:eastAsiaTheme="majorEastAsia" w:cs="Times New Roman"/>
          <w:i/>
          <w:iCs/>
          <w:color w:val="000000"/>
          <w:szCs w:val="20"/>
          <w:lang w:eastAsia="en-CA"/>
        </w:rPr>
        <w:t>Burrill</w:t>
      </w:r>
      <w:proofErr w:type="spellEnd"/>
      <w:r w:rsidRPr="00C31BFA">
        <w:rPr>
          <w:rFonts w:eastAsia="Times New Roman" w:cs="Times New Roman"/>
          <w:szCs w:val="20"/>
          <w:lang w:eastAsia="en-CA"/>
        </w:rPr>
        <w:t>, pour l’appelant.</w:t>
      </w:r>
    </w:p>
    <w:p w:rsidR="00C31BFA" w:rsidRPr="00C31BFA" w:rsidRDefault="00C31BFA" w:rsidP="00C31BFA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</w:p>
    <w:p w:rsidR="00C31BFA" w:rsidRPr="00C31BFA" w:rsidRDefault="00C31BFA" w:rsidP="00C31BFA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szCs w:val="20"/>
          <w:lang w:eastAsia="en-CA"/>
        </w:rPr>
      </w:pPr>
      <w:r w:rsidRPr="00C31BFA">
        <w:rPr>
          <w:rFonts w:eastAsia="Times New Roman" w:cs="Times New Roman"/>
          <w:i/>
          <w:szCs w:val="20"/>
          <w:lang w:eastAsia="en-CA"/>
        </w:rPr>
        <w:tab/>
      </w:r>
      <w:r w:rsidRPr="00C31BFA">
        <w:rPr>
          <w:rFonts w:eastAsiaTheme="majorEastAsia" w:cs="Times New Roman"/>
          <w:i/>
          <w:iCs/>
          <w:color w:val="000000"/>
          <w:szCs w:val="20"/>
          <w:lang w:eastAsia="en-CA"/>
        </w:rPr>
        <w:t xml:space="preserve">James A. </w:t>
      </w:r>
      <w:proofErr w:type="spellStart"/>
      <w:r w:rsidRPr="00C31BFA">
        <w:rPr>
          <w:rFonts w:eastAsiaTheme="majorEastAsia" w:cs="Times New Roman"/>
          <w:i/>
          <w:iCs/>
          <w:color w:val="000000"/>
          <w:szCs w:val="20"/>
          <w:lang w:eastAsia="en-CA"/>
        </w:rPr>
        <w:t>Gumpert</w:t>
      </w:r>
      <w:proofErr w:type="spellEnd"/>
      <w:r w:rsidR="00C852CF">
        <w:rPr>
          <w:rFonts w:eastAsiaTheme="majorEastAsia" w:cs="Times New Roman"/>
          <w:color w:val="000000"/>
          <w:szCs w:val="20"/>
          <w:lang w:eastAsia="en-CA"/>
        </w:rPr>
        <w:t>,</w:t>
      </w:r>
      <w:r w:rsidRPr="00C31BFA">
        <w:rPr>
          <w:rFonts w:eastAsiaTheme="majorEastAsia" w:cs="Times New Roman"/>
          <w:color w:val="000000"/>
          <w:szCs w:val="20"/>
          <w:lang w:eastAsia="en-CA"/>
        </w:rPr>
        <w:t> </w:t>
      </w:r>
      <w:proofErr w:type="spellStart"/>
      <w:r w:rsidRPr="00C31BFA">
        <w:rPr>
          <w:rFonts w:eastAsiaTheme="majorEastAsia" w:cs="Times New Roman"/>
          <w:i/>
          <w:iCs/>
          <w:color w:val="000000"/>
          <w:szCs w:val="20"/>
          <w:lang w:eastAsia="en-CA"/>
        </w:rPr>
        <w:t>c.r</w:t>
      </w:r>
      <w:proofErr w:type="spellEnd"/>
      <w:r w:rsidRPr="00C31BFA">
        <w:rPr>
          <w:rFonts w:eastAsiaTheme="majorEastAsia" w:cs="Times New Roman"/>
          <w:i/>
          <w:iCs/>
          <w:color w:val="000000"/>
          <w:szCs w:val="20"/>
          <w:lang w:eastAsia="en-CA"/>
        </w:rPr>
        <w:t>.</w:t>
      </w:r>
      <w:r w:rsidRPr="00C31BFA">
        <w:rPr>
          <w:rFonts w:eastAsiaTheme="majorEastAsia" w:cs="Times New Roman"/>
          <w:color w:val="000000"/>
          <w:szCs w:val="20"/>
          <w:lang w:eastAsia="en-CA"/>
        </w:rPr>
        <w:t>, et </w:t>
      </w:r>
      <w:proofErr w:type="spellStart"/>
      <w:r w:rsidRPr="00C31BFA">
        <w:rPr>
          <w:rFonts w:eastAsiaTheme="majorEastAsia" w:cs="Times New Roman"/>
          <w:i/>
          <w:iCs/>
          <w:color w:val="000000"/>
          <w:szCs w:val="20"/>
          <w:lang w:eastAsia="en-CA"/>
        </w:rPr>
        <w:t>Melanie</w:t>
      </w:r>
      <w:proofErr w:type="spellEnd"/>
      <w:r w:rsidRPr="00C31BFA">
        <w:rPr>
          <w:rFonts w:eastAsiaTheme="majorEastAsia" w:cs="Times New Roman"/>
          <w:i/>
          <w:iCs/>
          <w:color w:val="000000"/>
          <w:szCs w:val="20"/>
          <w:lang w:eastAsia="en-CA"/>
        </w:rPr>
        <w:t xml:space="preserve"> Perry</w:t>
      </w:r>
      <w:r w:rsidRPr="00C31BFA">
        <w:rPr>
          <w:rFonts w:eastAsia="Times New Roman" w:cs="Times New Roman"/>
          <w:szCs w:val="20"/>
          <w:lang w:eastAsia="en-CA"/>
        </w:rPr>
        <w:t>, pour l’intimée.</w:t>
      </w:r>
    </w:p>
    <w:p w:rsidR="00C31BFA" w:rsidRPr="00C31BFA" w:rsidRDefault="00C31BFA" w:rsidP="00C31BFA">
      <w:pPr>
        <w:tabs>
          <w:tab w:val="left" w:pos="1168"/>
        </w:tabs>
        <w:spacing w:before="480" w:after="480" w:line="480" w:lineRule="auto"/>
        <w:jc w:val="both"/>
        <w:rPr>
          <w:rFonts w:eastAsia="Times New Roman" w:cs="Times New Roman"/>
          <w:szCs w:val="20"/>
          <w:lang w:eastAsia="en-CA"/>
        </w:rPr>
      </w:pPr>
      <w:r w:rsidRPr="00C31BFA">
        <w:rPr>
          <w:rFonts w:eastAsia="Times New Roman" w:cs="Times New Roman"/>
          <w:szCs w:val="20"/>
          <w:lang w:eastAsia="en-CA"/>
        </w:rPr>
        <w:tab/>
        <w:t>Version française du jugement de la Cour rendu oralement par</w:t>
      </w:r>
    </w:p>
    <w:p w:rsidR="00C31BFA" w:rsidRPr="00C31BFA" w:rsidRDefault="00C31BFA" w:rsidP="00C31BFA">
      <w:pPr>
        <w:tabs>
          <w:tab w:val="num" w:pos="1152"/>
        </w:tabs>
        <w:spacing w:before="480" w:after="480" w:line="480" w:lineRule="auto"/>
        <w:jc w:val="both"/>
        <w:rPr>
          <w:rFonts w:eastAsiaTheme="minorEastAsia"/>
          <w:szCs w:val="22"/>
        </w:rPr>
      </w:pPr>
      <w:r w:rsidRPr="00C31BFA">
        <w:rPr>
          <w:rFonts w:eastAsiaTheme="minorEastAsia"/>
          <w:smallCaps/>
          <w:color w:val="000000"/>
          <w:szCs w:val="22"/>
        </w:rPr>
        <w:t>[1] </w:t>
      </w:r>
      <w:r w:rsidRPr="00C31BFA">
        <w:rPr>
          <w:rFonts w:eastAsiaTheme="minorEastAsia"/>
          <w:smallCaps/>
          <w:color w:val="000000"/>
          <w:szCs w:val="22"/>
        </w:rPr>
        <w:tab/>
        <w:t xml:space="preserve">La juge </w:t>
      </w:r>
      <w:proofErr w:type="spellStart"/>
      <w:r w:rsidRPr="00C31BFA">
        <w:rPr>
          <w:rFonts w:eastAsiaTheme="minorEastAsia"/>
          <w:smallCaps/>
          <w:color w:val="000000"/>
          <w:szCs w:val="22"/>
        </w:rPr>
        <w:t>Karakatsanis</w:t>
      </w:r>
      <w:proofErr w:type="spellEnd"/>
      <w:r w:rsidRPr="00C31BFA">
        <w:rPr>
          <w:rFonts w:eastAsiaTheme="minorEastAsia"/>
          <w:color w:val="000000"/>
          <w:szCs w:val="22"/>
        </w:rPr>
        <w:t> —</w:t>
      </w:r>
      <w:r w:rsidRPr="00C31BFA">
        <w:rPr>
          <w:rFonts w:eastAsiaTheme="minorEastAsia"/>
          <w:smallCaps/>
          <w:color w:val="000000"/>
          <w:szCs w:val="22"/>
        </w:rPr>
        <w:t> </w:t>
      </w:r>
      <w:r w:rsidRPr="00C31BFA">
        <w:rPr>
          <w:rFonts w:eastAsiaTheme="minorEastAsia"/>
          <w:color w:val="000000"/>
          <w:szCs w:val="22"/>
        </w:rPr>
        <w:t xml:space="preserve">Nous sommes toutes et tous d’avis d’accueillir l’appel, et ce, pour les motifs exposés par le juge </w:t>
      </w:r>
      <w:proofErr w:type="spellStart"/>
      <w:r w:rsidRPr="00C31BFA">
        <w:rPr>
          <w:rFonts w:eastAsiaTheme="minorEastAsia"/>
          <w:color w:val="000000"/>
          <w:szCs w:val="22"/>
        </w:rPr>
        <w:t>Scanlan</w:t>
      </w:r>
      <w:proofErr w:type="spellEnd"/>
      <w:r w:rsidRPr="00C31BFA">
        <w:rPr>
          <w:rFonts w:eastAsiaTheme="minorEastAsia"/>
          <w:color w:val="000000"/>
          <w:szCs w:val="22"/>
        </w:rPr>
        <w:t xml:space="preserve"> de la Cour d’appel. L’appel est accueilli, les déclarations de culpabilité sont annulées et un nouveau procès est ordonné à l’égard des accusations de meurtre au deuxième degré et de possession illégale d’une arme à feu. En conséquence, il n’est pas nécessaire d’entendre la demande d’autorisation d’appel.</w:t>
      </w:r>
    </w:p>
    <w:p w:rsidR="00C31BFA" w:rsidRPr="00C31BFA" w:rsidRDefault="00C31BFA" w:rsidP="00C31BFA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C31BFA">
        <w:rPr>
          <w:rFonts w:eastAsia="Times New Roman" w:cs="Times New Roman"/>
          <w:szCs w:val="20"/>
          <w:lang w:eastAsia="en-CA"/>
        </w:rPr>
        <w:tab/>
      </w:r>
      <w:r w:rsidRPr="00C31BFA">
        <w:rPr>
          <w:rFonts w:eastAsia="Times New Roman" w:cs="Times New Roman"/>
          <w:i/>
          <w:szCs w:val="20"/>
          <w:lang w:eastAsia="en-CA"/>
        </w:rPr>
        <w:t>Jugement en conséquence.</w:t>
      </w:r>
    </w:p>
    <w:p w:rsidR="00C31BFA" w:rsidRPr="00C31BFA" w:rsidRDefault="00C31BFA" w:rsidP="00C31BFA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</w:p>
    <w:p w:rsidR="00C31BFA" w:rsidRPr="00C31BFA" w:rsidRDefault="00C31BFA" w:rsidP="00C31BFA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C31BFA">
        <w:rPr>
          <w:rFonts w:eastAsia="Times New Roman" w:cs="Times New Roman"/>
          <w:szCs w:val="20"/>
          <w:lang w:eastAsia="en-CA"/>
        </w:rPr>
        <w:lastRenderedPageBreak/>
        <w:tab/>
      </w:r>
      <w:r w:rsidRPr="00C31BFA">
        <w:rPr>
          <w:rFonts w:eastAsia="Times New Roman" w:cs="Times New Roman"/>
          <w:i/>
          <w:szCs w:val="20"/>
          <w:lang w:eastAsia="en-CA"/>
        </w:rPr>
        <w:t xml:space="preserve">Procureur de l’appelant : Nova </w:t>
      </w:r>
      <w:proofErr w:type="spellStart"/>
      <w:r w:rsidRPr="00C31BFA">
        <w:rPr>
          <w:rFonts w:eastAsia="Times New Roman" w:cs="Times New Roman"/>
          <w:i/>
          <w:szCs w:val="20"/>
          <w:lang w:eastAsia="en-CA"/>
        </w:rPr>
        <w:t>Scotia</w:t>
      </w:r>
      <w:proofErr w:type="spellEnd"/>
      <w:r w:rsidRPr="00C31BFA">
        <w:rPr>
          <w:rFonts w:eastAsia="Times New Roman" w:cs="Times New Roman"/>
          <w:i/>
          <w:szCs w:val="20"/>
          <w:lang w:eastAsia="en-CA"/>
        </w:rPr>
        <w:t xml:space="preserve"> </w:t>
      </w:r>
      <w:proofErr w:type="spellStart"/>
      <w:r w:rsidRPr="00C31BFA">
        <w:rPr>
          <w:rFonts w:eastAsia="Times New Roman" w:cs="Times New Roman"/>
          <w:i/>
          <w:szCs w:val="20"/>
          <w:lang w:eastAsia="en-CA"/>
        </w:rPr>
        <w:t>Legal</w:t>
      </w:r>
      <w:proofErr w:type="spellEnd"/>
      <w:r w:rsidRPr="00C31BFA">
        <w:rPr>
          <w:rFonts w:eastAsia="Times New Roman" w:cs="Times New Roman"/>
          <w:i/>
          <w:szCs w:val="20"/>
          <w:lang w:eastAsia="en-CA"/>
        </w:rPr>
        <w:t xml:space="preserve"> </w:t>
      </w:r>
      <w:proofErr w:type="spellStart"/>
      <w:r w:rsidRPr="00C31BFA">
        <w:rPr>
          <w:rFonts w:eastAsia="Times New Roman" w:cs="Times New Roman"/>
          <w:i/>
          <w:szCs w:val="20"/>
          <w:lang w:eastAsia="en-CA"/>
        </w:rPr>
        <w:t>Aid</w:t>
      </w:r>
      <w:proofErr w:type="spellEnd"/>
      <w:r w:rsidRPr="00C31BFA">
        <w:rPr>
          <w:rFonts w:eastAsia="Times New Roman" w:cs="Times New Roman"/>
          <w:i/>
          <w:szCs w:val="20"/>
          <w:lang w:eastAsia="en-CA"/>
        </w:rPr>
        <w:t>, Halifax.</w:t>
      </w:r>
    </w:p>
    <w:p w:rsidR="00C31BFA" w:rsidRPr="00C31BFA" w:rsidRDefault="00C31BFA" w:rsidP="00C31BFA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</w:p>
    <w:p w:rsidR="00C31BFA" w:rsidRPr="00C31BFA" w:rsidRDefault="00C31BFA" w:rsidP="00C31BFA">
      <w:pPr>
        <w:tabs>
          <w:tab w:val="left" w:pos="1168"/>
        </w:tabs>
        <w:spacing w:line="480" w:lineRule="auto"/>
        <w:jc w:val="both"/>
        <w:rPr>
          <w:rFonts w:eastAsia="Times New Roman" w:cs="Times New Roman"/>
          <w:i/>
          <w:szCs w:val="20"/>
          <w:lang w:eastAsia="en-CA"/>
        </w:rPr>
      </w:pPr>
      <w:r w:rsidRPr="00C31BFA">
        <w:rPr>
          <w:rFonts w:eastAsia="Times New Roman" w:cs="Times New Roman"/>
          <w:i/>
          <w:szCs w:val="20"/>
          <w:lang w:eastAsia="en-CA"/>
        </w:rPr>
        <w:tab/>
        <w:t xml:space="preserve">Procureur de l’intimée : Public </w:t>
      </w:r>
      <w:proofErr w:type="spellStart"/>
      <w:r w:rsidRPr="00C31BFA">
        <w:rPr>
          <w:rFonts w:eastAsia="Times New Roman" w:cs="Times New Roman"/>
          <w:i/>
          <w:szCs w:val="20"/>
          <w:lang w:eastAsia="en-CA"/>
        </w:rPr>
        <w:t>Prosecution</w:t>
      </w:r>
      <w:proofErr w:type="spellEnd"/>
      <w:r w:rsidRPr="00C31BFA">
        <w:rPr>
          <w:rFonts w:eastAsia="Times New Roman" w:cs="Times New Roman"/>
          <w:i/>
          <w:szCs w:val="20"/>
          <w:lang w:eastAsia="en-CA"/>
        </w:rPr>
        <w:t xml:space="preserve"> Service of Nova </w:t>
      </w:r>
      <w:proofErr w:type="spellStart"/>
      <w:r w:rsidRPr="00C31BFA">
        <w:rPr>
          <w:rFonts w:eastAsia="Times New Roman" w:cs="Times New Roman"/>
          <w:i/>
          <w:szCs w:val="20"/>
          <w:lang w:eastAsia="en-CA"/>
        </w:rPr>
        <w:t>Scotia</w:t>
      </w:r>
      <w:proofErr w:type="spellEnd"/>
      <w:r w:rsidRPr="00C31BFA">
        <w:rPr>
          <w:rFonts w:eastAsia="Times New Roman" w:cs="Times New Roman"/>
          <w:i/>
          <w:szCs w:val="20"/>
          <w:lang w:eastAsia="en-CA"/>
        </w:rPr>
        <w:t>, Halifax.</w:t>
      </w:r>
    </w:p>
    <w:p w:rsidR="00C31BFA" w:rsidRDefault="00C31BFA"/>
    <w:sectPr w:rsidR="00C31BFA" w:rsidSect="00F72014">
      <w:headerReference w:type="default" r:id="rId8"/>
      <w:pgSz w:w="12240" w:h="15840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DF" w:rsidRDefault="003839DF" w:rsidP="00F72014">
      <w:r>
        <w:separator/>
      </w:r>
    </w:p>
  </w:endnote>
  <w:endnote w:type="continuationSeparator" w:id="0">
    <w:p w:rsidR="003839DF" w:rsidRDefault="003839DF" w:rsidP="00F7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DF" w:rsidRDefault="003839DF" w:rsidP="00F72014">
      <w:r>
        <w:separator/>
      </w:r>
    </w:p>
  </w:footnote>
  <w:footnote w:type="continuationSeparator" w:id="0">
    <w:p w:rsidR="003839DF" w:rsidRDefault="003839DF" w:rsidP="00F72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882" w:rsidRDefault="00196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DA"/>
    <w:rsid w:val="00011E76"/>
    <w:rsid w:val="000F4467"/>
    <w:rsid w:val="001311DA"/>
    <w:rsid w:val="00196882"/>
    <w:rsid w:val="001D6B8C"/>
    <w:rsid w:val="001E12E2"/>
    <w:rsid w:val="001E5B5A"/>
    <w:rsid w:val="001F1F83"/>
    <w:rsid w:val="00256B56"/>
    <w:rsid w:val="0028675F"/>
    <w:rsid w:val="00290FF9"/>
    <w:rsid w:val="002F0B6C"/>
    <w:rsid w:val="00355967"/>
    <w:rsid w:val="0036772A"/>
    <w:rsid w:val="003733CD"/>
    <w:rsid w:val="003839DF"/>
    <w:rsid w:val="00384384"/>
    <w:rsid w:val="00387ADA"/>
    <w:rsid w:val="003B094F"/>
    <w:rsid w:val="003B2BE1"/>
    <w:rsid w:val="003B3C63"/>
    <w:rsid w:val="004175F6"/>
    <w:rsid w:val="00460AFC"/>
    <w:rsid w:val="004E69EC"/>
    <w:rsid w:val="004F090E"/>
    <w:rsid w:val="00514FC8"/>
    <w:rsid w:val="00535189"/>
    <w:rsid w:val="00582136"/>
    <w:rsid w:val="0058383C"/>
    <w:rsid w:val="005C0397"/>
    <w:rsid w:val="006034F1"/>
    <w:rsid w:val="0068083D"/>
    <w:rsid w:val="006936F1"/>
    <w:rsid w:val="006D697E"/>
    <w:rsid w:val="00701ABD"/>
    <w:rsid w:val="00726245"/>
    <w:rsid w:val="00751B63"/>
    <w:rsid w:val="007740CA"/>
    <w:rsid w:val="00790A1B"/>
    <w:rsid w:val="00793CED"/>
    <w:rsid w:val="00803557"/>
    <w:rsid w:val="008079FD"/>
    <w:rsid w:val="00842677"/>
    <w:rsid w:val="008714CB"/>
    <w:rsid w:val="00880B14"/>
    <w:rsid w:val="008B5797"/>
    <w:rsid w:val="008C75A4"/>
    <w:rsid w:val="008F4691"/>
    <w:rsid w:val="00904937"/>
    <w:rsid w:val="00956987"/>
    <w:rsid w:val="00996510"/>
    <w:rsid w:val="009F0F2D"/>
    <w:rsid w:val="00A51D10"/>
    <w:rsid w:val="00AB2201"/>
    <w:rsid w:val="00AD5278"/>
    <w:rsid w:val="00B95414"/>
    <w:rsid w:val="00BD4217"/>
    <w:rsid w:val="00C31BFA"/>
    <w:rsid w:val="00C557F7"/>
    <w:rsid w:val="00C852CF"/>
    <w:rsid w:val="00CA3730"/>
    <w:rsid w:val="00CD5B3B"/>
    <w:rsid w:val="00D030DA"/>
    <w:rsid w:val="00D751FC"/>
    <w:rsid w:val="00D76BDF"/>
    <w:rsid w:val="00DB1344"/>
    <w:rsid w:val="00E16ED9"/>
    <w:rsid w:val="00E356C7"/>
    <w:rsid w:val="00E53ED9"/>
    <w:rsid w:val="00E64FA7"/>
    <w:rsid w:val="00E770CB"/>
    <w:rsid w:val="00F01FC5"/>
    <w:rsid w:val="00F25646"/>
    <w:rsid w:val="00F6498A"/>
    <w:rsid w:val="00F716DF"/>
    <w:rsid w:val="00F72014"/>
    <w:rsid w:val="00F9518C"/>
    <w:rsid w:val="00FA59EF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88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03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2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014"/>
  </w:style>
  <w:style w:type="paragraph" w:styleId="Footer">
    <w:name w:val="footer"/>
    <w:basedOn w:val="Normal"/>
    <w:link w:val="FooterChar"/>
    <w:uiPriority w:val="99"/>
    <w:semiHidden/>
    <w:unhideWhenUsed/>
    <w:rsid w:val="00F72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014"/>
  </w:style>
  <w:style w:type="paragraph" w:customStyle="1" w:styleId="SCCRestrictionOnPublicationTitle">
    <w:name w:val="SCC.RestrictionOnPublicationTitle"/>
    <w:basedOn w:val="Normal"/>
    <w:next w:val="Normal"/>
    <w:link w:val="SCCRestrictionOnPublicationTitleChar"/>
    <w:rsid w:val="009F0F2D"/>
    <w:rPr>
      <w:b/>
      <w:smallCaps/>
    </w:rPr>
  </w:style>
  <w:style w:type="character" w:customStyle="1" w:styleId="SCCRestrictionOnPublicationTitleChar">
    <w:name w:val="SCC.RestrictionOnPublicationTitle Char"/>
    <w:basedOn w:val="DefaultParagraphFont"/>
    <w:link w:val="SCCRestrictionOnPublicationTitle"/>
    <w:rsid w:val="009F0F2D"/>
    <w:rPr>
      <w:b/>
      <w:smallCaps/>
      <w:lang w:val="fr-CA"/>
    </w:rPr>
  </w:style>
  <w:style w:type="paragraph" w:customStyle="1" w:styleId="SCCRestrictionOnPublicationText">
    <w:name w:val="SCC.RestrictionOnPublicationText"/>
    <w:basedOn w:val="Normal"/>
    <w:next w:val="Normal"/>
    <w:link w:val="SCCRestrictionOnPublicationTextChar"/>
    <w:rsid w:val="009F0F2D"/>
  </w:style>
  <w:style w:type="character" w:customStyle="1" w:styleId="SCCRestrictionOnPublicationTextChar">
    <w:name w:val="SCC.RestrictionOnPublicationText Char"/>
    <w:basedOn w:val="DefaultParagraphFont"/>
    <w:link w:val="SCCRestrictionOnPublicationText"/>
    <w:rsid w:val="009F0F2D"/>
    <w:rPr>
      <w:lang w:val="fr-CA"/>
    </w:rPr>
  </w:style>
  <w:style w:type="paragraph" w:customStyle="1" w:styleId="SCCLsocOtherPartyRole">
    <w:name w:val="SCC.Lsoc.OtherPartyRole"/>
    <w:basedOn w:val="Normal"/>
    <w:next w:val="Normal"/>
    <w:link w:val="SCCLsocOtherPartyRoleChar"/>
    <w:rsid w:val="008B5797"/>
    <w:pPr>
      <w:jc w:val="center"/>
    </w:pPr>
  </w:style>
  <w:style w:type="character" w:customStyle="1" w:styleId="SCCLsocOtherPartyRoleChar">
    <w:name w:val="SCC.Lsoc.OtherPartyRole Char"/>
    <w:basedOn w:val="DefaultParagraphFont"/>
    <w:link w:val="SCCLsocOtherPartyRole"/>
    <w:rsid w:val="008B5797"/>
    <w:rPr>
      <w:lang w:val="fr-CA"/>
    </w:rPr>
  </w:style>
  <w:style w:type="paragraph" w:customStyle="1" w:styleId="SCCLsocParty">
    <w:name w:val="SCC.Lsoc.Party"/>
    <w:basedOn w:val="Normal"/>
    <w:next w:val="Normal"/>
    <w:link w:val="SCCLsocPartyChar"/>
    <w:rsid w:val="008B5797"/>
    <w:pPr>
      <w:jc w:val="center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8B5797"/>
    <w:rPr>
      <w:b/>
      <w:lang w:val="fr-CA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5C0397"/>
    <w:rPr>
      <w:b/>
      <w:smallCaps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5C0397"/>
    <w:rPr>
      <w:b/>
      <w:smallCaps/>
      <w:lang w:val="fr-CA"/>
    </w:rPr>
  </w:style>
  <w:style w:type="paragraph" w:customStyle="1" w:styleId="SCCLsocVersus">
    <w:name w:val="SCC.Lsoc.Versus"/>
    <w:basedOn w:val="Normal"/>
    <w:next w:val="Normal"/>
    <w:link w:val="SCCLsocVersusChar"/>
    <w:rsid w:val="008B5797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8B5797"/>
    <w:rPr>
      <w:lang w:val="fr-CA"/>
    </w:rPr>
  </w:style>
  <w:style w:type="paragraph" w:customStyle="1" w:styleId="SCCLsocPartyRole">
    <w:name w:val="SCC.Lsoc.PartyRole"/>
    <w:basedOn w:val="Normal"/>
    <w:next w:val="Normal"/>
    <w:link w:val="SCCLsocPartyRoleChar"/>
    <w:rsid w:val="008B5797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8B5797"/>
    <w:rPr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5C0397"/>
    <w:rPr>
      <w:b/>
      <w:smallCaps/>
    </w:rPr>
  </w:style>
  <w:style w:type="character" w:customStyle="1" w:styleId="SCCLsocPrefixChar">
    <w:name w:val="SCC.Lsoc.Prefix Char"/>
    <w:basedOn w:val="DefaultParagraphFont"/>
    <w:link w:val="SCCLsocPrefix"/>
    <w:rsid w:val="005C0397"/>
    <w:rPr>
      <w:b/>
      <w:smallCaps/>
      <w:lang w:val="fr-CA"/>
    </w:rPr>
  </w:style>
  <w:style w:type="paragraph" w:customStyle="1" w:styleId="SCCHearingJudgmentDatesText">
    <w:name w:val="SCC.HearingJudgmentDatesText"/>
    <w:basedOn w:val="Normal"/>
    <w:next w:val="Normal"/>
    <w:link w:val="SCCHearingJudgmentDatesTextChar"/>
    <w:rsid w:val="00CA3730"/>
  </w:style>
  <w:style w:type="character" w:customStyle="1" w:styleId="SCCHearingJudgmentDatesTextChar">
    <w:name w:val="SCC.HearingJudgmentDatesText Char"/>
    <w:basedOn w:val="DefaultParagraphFont"/>
    <w:link w:val="SCCHearingJudgmentDatesText"/>
    <w:rsid w:val="00CA3730"/>
    <w:rPr>
      <w:lang w:val="fr-CA"/>
    </w:rPr>
  </w:style>
  <w:style w:type="paragraph" w:customStyle="1" w:styleId="SCCHearingJudgmentDatesTitle">
    <w:name w:val="SCC.HearingJudgmentDatesTitle"/>
    <w:basedOn w:val="Normal"/>
    <w:next w:val="Normal"/>
    <w:link w:val="SCCHearingJudgmentDatesTitleChar"/>
    <w:rsid w:val="00CA3730"/>
    <w:rPr>
      <w:b/>
      <w:smallCaps/>
    </w:rPr>
  </w:style>
  <w:style w:type="character" w:customStyle="1" w:styleId="SCCHearingJudgmentDatesTitleChar">
    <w:name w:val="SCC.HearingJudgmentDatesTitle Char"/>
    <w:basedOn w:val="DefaultParagraphFont"/>
    <w:link w:val="SCCHearingJudgmentDatesTitle"/>
    <w:rsid w:val="00CA3730"/>
    <w:rPr>
      <w:b/>
      <w:smallCaps/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196882"/>
    <w:pPr>
      <w:jc w:val="center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196882"/>
    <w:rPr>
      <w:lang w:val="fr-CA"/>
    </w:rPr>
  </w:style>
  <w:style w:type="paragraph" w:customStyle="1" w:styleId="SCCNormalDoubleSpacing">
    <w:name w:val="SCC.Normal.DoubleSpacing"/>
    <w:basedOn w:val="Normal"/>
    <w:link w:val="SCCNormalDoubleSpacingChar"/>
    <w:rsid w:val="00790A1B"/>
    <w:pPr>
      <w:tabs>
        <w:tab w:val="left" w:pos="1168"/>
      </w:tabs>
      <w:spacing w:line="480" w:lineRule="auto"/>
      <w:jc w:val="both"/>
    </w:pPr>
    <w:rPr>
      <w:rFonts w:eastAsia="Times New Roman" w:cs="Times New Roman"/>
      <w:szCs w:val="20"/>
      <w:lang w:val="en-CA" w:eastAsia="en-CA"/>
    </w:rPr>
  </w:style>
  <w:style w:type="character" w:customStyle="1" w:styleId="SCCNormalDoubleSpacingChar">
    <w:name w:val="SCC.Normal.DoubleSpacing Char"/>
    <w:basedOn w:val="DefaultParagraphFont"/>
    <w:link w:val="SCCNormalDoubleSpacing"/>
    <w:rsid w:val="00790A1B"/>
    <w:rPr>
      <w:rFonts w:eastAsia="Times New Roman" w:cs="Times New Roman"/>
      <w:szCs w:val="20"/>
      <w:lang w:val="en-CA" w:eastAsia="en-CA"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790A1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790A1B"/>
    <w:rPr>
      <w:rFonts w:eastAsia="Times New Roman" w:cs="Times New Roman"/>
      <w:i/>
      <w:szCs w:val="20"/>
      <w:lang w:val="en-CA" w:eastAsia="en-CA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790A1B"/>
  </w:style>
  <w:style w:type="character" w:customStyle="1" w:styleId="SCCCounselSeparatorChar">
    <w:name w:val="SCC.CounselSeparator Char"/>
    <w:basedOn w:val="SCCNormalDoubleSpacingChar"/>
    <w:link w:val="SCCCounselSeparator"/>
    <w:rsid w:val="00790A1B"/>
    <w:rPr>
      <w:rFonts w:eastAsia="Times New Roman" w:cs="Times New Roman"/>
      <w:szCs w:val="20"/>
      <w:lang w:val="en-CA" w:eastAsia="en-CA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790A1B"/>
  </w:style>
  <w:style w:type="character" w:customStyle="1" w:styleId="SCCCounselPartyRoleChar">
    <w:name w:val="SCC.CounselPartyRole Char"/>
    <w:basedOn w:val="SCCNormalDoubleSpacingChar"/>
    <w:link w:val="SCCCounselPartyRole"/>
    <w:rsid w:val="00790A1B"/>
    <w:rPr>
      <w:rFonts w:eastAsia="Times New Roman" w:cs="Times New Roman"/>
      <w:szCs w:val="20"/>
      <w:lang w:val="en-CA" w:eastAsia="en-CA"/>
    </w:rPr>
  </w:style>
  <w:style w:type="table" w:customStyle="1" w:styleId="TableGrid2">
    <w:name w:val="Table Grid2"/>
    <w:basedOn w:val="TableNormal"/>
    <w:next w:val="TableGrid"/>
    <w:uiPriority w:val="59"/>
    <w:rsid w:val="00C31BFA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2022-06-27T19:30:00Z</dcterms:created>
  <dcterms:modified xsi:type="dcterms:W3CDTF">2023-07-26T13:05:00Z</dcterms:modified>
</cp:coreProperties>
</file>