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2"/>
        <w:gridCol w:w="1696"/>
        <w:gridCol w:w="3553"/>
        <w:gridCol w:w="19"/>
      </w:tblGrid>
      <w:tr w:rsidR="000E31CF" w:rsidRPr="00B6491F" w:rsidTr="00F17C6B">
        <w:trPr>
          <w:trHeight w:val="1786"/>
        </w:trPr>
        <w:tc>
          <w:tcPr>
            <w:tcW w:w="5000" w:type="pct"/>
            <w:gridSpan w:val="4"/>
          </w:tcPr>
          <w:p w:rsidR="000E31CF" w:rsidRPr="00B6491F" w:rsidRDefault="000E31CF" w:rsidP="00F17C6B">
            <w:pPr>
              <w:jc w:val="center"/>
            </w:pPr>
            <w:r w:rsidRPr="00B6491F">
              <w:rPr>
                <w:rFonts w:eastAsia="Calibri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64.2pt" o:ole="">
                  <v:imagedata r:id="rId6" o:title=""/>
                </v:shape>
                <o:OLEObject Type="Embed" ProgID="Presentations.Drawing.15" ShapeID="_x0000_i1027" DrawAspect="Content" ObjectID="_1760191875" r:id="rId7"/>
              </w:object>
            </w:r>
          </w:p>
          <w:p w:rsidR="000E31CF" w:rsidRPr="00B6491F" w:rsidRDefault="000E31CF" w:rsidP="00F17C6B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B6491F">
              <w:rPr>
                <w:rFonts w:eastAsia="Calibri"/>
                <w:b/>
              </w:rPr>
              <w:t>COUR SUPRÊME DU CANADA</w:t>
            </w:r>
          </w:p>
        </w:tc>
      </w:tr>
      <w:tr w:rsidR="000E31CF" w:rsidRPr="00B6491F" w:rsidTr="00F17C6B">
        <w:trPr>
          <w:gridAfter w:val="1"/>
          <w:wAfter w:w="10" w:type="pct"/>
        </w:trPr>
        <w:tc>
          <w:tcPr>
            <w:tcW w:w="2186" w:type="pct"/>
            <w:tcMar>
              <w:top w:w="284" w:type="dxa"/>
            </w:tcMar>
          </w:tcPr>
          <w:p w:rsidR="000E31CF" w:rsidRPr="00B6491F" w:rsidRDefault="000E31CF" w:rsidP="00F17C6B">
            <w:pPr>
              <w:spacing w:before="100" w:beforeAutospacing="1"/>
              <w:rPr>
                <w:rFonts w:eastAsia="Calibri"/>
              </w:rPr>
            </w:pPr>
            <w:r w:rsidRPr="00B6491F">
              <w:rPr>
                <w:b/>
                <w:smallCaps/>
              </w:rPr>
              <w:t>Référence :</w:t>
            </w:r>
            <w:r w:rsidRPr="00B6491F">
              <w:t xml:space="preserve"> </w:t>
            </w:r>
            <w:r w:rsidRPr="00DF5126">
              <w:rPr>
                <w:bCs/>
                <w:color w:val="000000"/>
                <w:shd w:val="clear" w:color="auto" w:fill="FFFFFF"/>
              </w:rPr>
              <w:t xml:space="preserve">R. </w:t>
            </w:r>
            <w:r w:rsidRPr="00DF5126">
              <w:rPr>
                <w:bCs/>
                <w:i/>
                <w:color w:val="000000"/>
                <w:shd w:val="clear" w:color="auto" w:fill="FFFFFF"/>
              </w:rPr>
              <w:t>c</w:t>
            </w:r>
            <w:r w:rsidRPr="00DF5126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DF5126">
              <w:rPr>
                <w:bCs/>
                <w:color w:val="000000"/>
                <w:shd w:val="clear" w:color="auto" w:fill="FFFFFF"/>
              </w:rPr>
              <w:t>Kishayinew</w:t>
            </w:r>
            <w:proofErr w:type="spellEnd"/>
            <w:r w:rsidRPr="00DF5126">
              <w:t>, 2020 CSC 34</w:t>
            </w:r>
            <w:r>
              <w:t xml:space="preserve">, [2020] 3 </w:t>
            </w:r>
            <w:proofErr w:type="spellStart"/>
            <w:r>
              <w:t>R.C.S</w:t>
            </w:r>
            <w:proofErr w:type="spellEnd"/>
            <w:r>
              <w:t>. 502</w:t>
            </w:r>
            <w:bookmarkStart w:id="0" w:name="_GoBack"/>
            <w:bookmarkEnd w:id="0"/>
          </w:p>
        </w:tc>
        <w:tc>
          <w:tcPr>
            <w:tcW w:w="906" w:type="pct"/>
          </w:tcPr>
          <w:p w:rsidR="000E31CF" w:rsidRPr="00B6491F" w:rsidRDefault="000E31CF" w:rsidP="00F17C6B">
            <w:pPr>
              <w:rPr>
                <w:b/>
                <w:smallCaps/>
              </w:rPr>
            </w:pPr>
          </w:p>
        </w:tc>
        <w:tc>
          <w:tcPr>
            <w:tcW w:w="1898" w:type="pct"/>
            <w:tcMar>
              <w:top w:w="284" w:type="dxa"/>
            </w:tcMar>
          </w:tcPr>
          <w:p w:rsidR="000E31CF" w:rsidRPr="00DF5126" w:rsidRDefault="000E31CF" w:rsidP="00F17C6B">
            <w:r w:rsidRPr="00DF5126">
              <w:rPr>
                <w:b/>
                <w:smallCaps/>
              </w:rPr>
              <w:t>Appel entendu :</w:t>
            </w:r>
            <w:r w:rsidRPr="00DF5126">
              <w:t xml:space="preserve"> 5 novembre 2020</w:t>
            </w:r>
          </w:p>
          <w:p w:rsidR="000E31CF" w:rsidRPr="00DF5126" w:rsidRDefault="000E31CF" w:rsidP="00F17C6B">
            <w:r w:rsidRPr="00DF5126">
              <w:rPr>
                <w:b/>
                <w:smallCaps/>
              </w:rPr>
              <w:t xml:space="preserve">Jugement rendu : </w:t>
            </w:r>
            <w:r w:rsidRPr="00DF5126">
              <w:t>5 novembre 2020</w:t>
            </w:r>
          </w:p>
          <w:p w:rsidR="000E31CF" w:rsidRPr="00B6491F" w:rsidRDefault="000E31CF" w:rsidP="00F17C6B">
            <w:pPr>
              <w:rPr>
                <w:rFonts w:eastAsia="Calibri"/>
              </w:rPr>
            </w:pPr>
            <w:r w:rsidRPr="00DF5126">
              <w:rPr>
                <w:b/>
                <w:smallCaps/>
              </w:rPr>
              <w:t>Dossier :</w:t>
            </w:r>
            <w:r w:rsidRPr="00DF5126">
              <w:t xml:space="preserve"> 38962</w:t>
            </w: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39"/>
        <w:gridCol w:w="7100"/>
        <w:gridCol w:w="21"/>
      </w:tblGrid>
      <w:tr w:rsidR="000E31CF" w:rsidRPr="00B6491F" w:rsidTr="00F17C6B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0E31CF" w:rsidRPr="00DE534C" w:rsidRDefault="000E31CF" w:rsidP="00F17C6B">
            <w:pPr>
              <w:rPr>
                <w:rFonts w:eastAsiaTheme="minorHAnsi" w:cstheme="minorBidi"/>
                <w:b/>
                <w:smallCaps/>
              </w:rPr>
            </w:pPr>
            <w:r>
              <w:rPr>
                <w:rFonts w:eastAsiaTheme="minorHAnsi" w:cstheme="minorBidi"/>
                <w:b/>
                <w:smallCaps/>
              </w:rPr>
              <w:t>Entre </w:t>
            </w:r>
            <w:r w:rsidRPr="00DE534C">
              <w:rPr>
                <w:rFonts w:eastAsiaTheme="minorHAnsi" w:cstheme="minorBidi"/>
                <w:b/>
                <w:smallCaps/>
              </w:rPr>
              <w:t>:</w:t>
            </w:r>
          </w:p>
          <w:p w:rsidR="000E31CF" w:rsidRPr="00DE534C" w:rsidRDefault="000E31CF" w:rsidP="00F17C6B">
            <w:pPr>
              <w:rPr>
                <w:rFonts w:eastAsiaTheme="minorHAnsi" w:cstheme="minorBidi"/>
              </w:rPr>
            </w:pPr>
          </w:p>
          <w:p w:rsidR="000E31CF" w:rsidRPr="00DF5126" w:rsidRDefault="000E31CF" w:rsidP="00F17C6B">
            <w:pPr>
              <w:pStyle w:val="SCCLsocParty"/>
            </w:pPr>
            <w:r w:rsidRPr="00DF5126">
              <w:t>Sa Majesté la Reine</w:t>
            </w:r>
          </w:p>
          <w:p w:rsidR="000E31CF" w:rsidRPr="00DF5126" w:rsidRDefault="000E31CF" w:rsidP="00F17C6B">
            <w:pPr>
              <w:pStyle w:val="SCCLsocPartyRole"/>
            </w:pPr>
            <w:r w:rsidRPr="00DF5126">
              <w:t>Appelante</w:t>
            </w:r>
          </w:p>
          <w:p w:rsidR="000E31CF" w:rsidRPr="00DF5126" w:rsidRDefault="000E31CF" w:rsidP="00F17C6B"/>
          <w:p w:rsidR="000E31CF" w:rsidRPr="00DF5126" w:rsidRDefault="000E31CF" w:rsidP="00F17C6B">
            <w:pPr>
              <w:pStyle w:val="SCCLsocVersus"/>
            </w:pPr>
            <w:r w:rsidRPr="00DF5126">
              <w:t>et</w:t>
            </w:r>
          </w:p>
          <w:p w:rsidR="000E31CF" w:rsidRPr="00DF5126" w:rsidRDefault="000E31CF" w:rsidP="00F17C6B">
            <w:pPr>
              <w:pStyle w:val="SCCLsocParty"/>
              <w:rPr>
                <w:b w:val="0"/>
              </w:rPr>
            </w:pPr>
          </w:p>
          <w:p w:rsidR="000E31CF" w:rsidRPr="00DF5126" w:rsidRDefault="000E31CF" w:rsidP="00F17C6B">
            <w:pPr>
              <w:pStyle w:val="SCCLsocParty"/>
            </w:pPr>
            <w:r w:rsidRPr="00DF5126">
              <w:t xml:space="preserve">Monty Shane </w:t>
            </w:r>
            <w:proofErr w:type="spellStart"/>
            <w:r w:rsidRPr="00DF5126">
              <w:t>Kishayinew</w:t>
            </w:r>
            <w:proofErr w:type="spellEnd"/>
          </w:p>
          <w:p w:rsidR="000E31CF" w:rsidRPr="00DF5126" w:rsidRDefault="000E31CF" w:rsidP="00F17C6B">
            <w:pPr>
              <w:pStyle w:val="SCCLsocPartyRole"/>
            </w:pPr>
            <w:r w:rsidRPr="00DF5126">
              <w:t>Intimé</w:t>
            </w:r>
          </w:p>
          <w:p w:rsidR="000E31CF" w:rsidRPr="00D33C4B" w:rsidRDefault="000E31CF" w:rsidP="00F17C6B">
            <w:pPr>
              <w:rPr>
                <w:rFonts w:eastAsiaTheme="minorHAnsi" w:cstheme="minorBidi"/>
              </w:rPr>
            </w:pPr>
          </w:p>
          <w:p w:rsidR="000E31CF" w:rsidRPr="00B6491F" w:rsidRDefault="000E31CF" w:rsidP="00F17C6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Traduction française o</w:t>
            </w:r>
            <w:r w:rsidRPr="001E12E2">
              <w:rPr>
                <w:b/>
                <w:smallCaps/>
              </w:rPr>
              <w:t>ffici</w:t>
            </w:r>
            <w:r>
              <w:rPr>
                <w:b/>
                <w:smallCaps/>
              </w:rPr>
              <w:t>elle</w:t>
            </w:r>
          </w:p>
        </w:tc>
      </w:tr>
      <w:tr w:rsidR="000E31CF" w:rsidRPr="00B6491F" w:rsidTr="00F17C6B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0E31CF" w:rsidRPr="00B6491F" w:rsidRDefault="000E31CF" w:rsidP="00F17C6B">
            <w:r w:rsidRPr="00B6491F">
              <w:rPr>
                <w:b/>
                <w:smallCaps/>
              </w:rPr>
              <w:t>Coram :</w:t>
            </w:r>
            <w:r w:rsidRPr="00B6491F">
              <w:t xml:space="preserve"> </w:t>
            </w:r>
            <w:r w:rsidRPr="00DF5126">
              <w:t xml:space="preserve">Les juges </w:t>
            </w:r>
            <w:proofErr w:type="spellStart"/>
            <w:r w:rsidRPr="00DF5126">
              <w:t>Moldaver</w:t>
            </w:r>
            <w:proofErr w:type="spellEnd"/>
            <w:r w:rsidRPr="00DF5126">
              <w:t xml:space="preserve">, Côté, Rowe, Martin et </w:t>
            </w:r>
            <w:proofErr w:type="spellStart"/>
            <w:r w:rsidRPr="00DF5126">
              <w:t>Kasirer</w:t>
            </w:r>
            <w:proofErr w:type="spellEnd"/>
          </w:p>
          <w:p w:rsidR="000E31CF" w:rsidRPr="00B6491F" w:rsidRDefault="000E31CF" w:rsidP="00F17C6B"/>
        </w:tc>
      </w:tr>
      <w:tr w:rsidR="000E31CF" w:rsidRPr="00744F09" w:rsidTr="00F17C6B">
        <w:trPr>
          <w:gridAfter w:val="1"/>
          <w:wAfter w:w="11" w:type="pct"/>
          <w:cantSplit/>
        </w:trPr>
        <w:tc>
          <w:tcPr>
            <w:tcW w:w="1196" w:type="pct"/>
            <w:tcMar>
              <w:top w:w="284" w:type="dxa"/>
              <w:bottom w:w="57" w:type="dxa"/>
            </w:tcMar>
            <w:vAlign w:val="center"/>
          </w:tcPr>
          <w:p w:rsidR="000E31CF" w:rsidRPr="00982D32" w:rsidRDefault="000E31CF" w:rsidP="00F17C6B">
            <w:pPr>
              <w:rPr>
                <w:b/>
                <w:smallCaps/>
              </w:rPr>
            </w:pPr>
            <w:r w:rsidRPr="00982D32">
              <w:rPr>
                <w:b/>
                <w:smallCaps/>
              </w:rPr>
              <w:t xml:space="preserve">Jugement lu par : </w:t>
            </w:r>
          </w:p>
          <w:p w:rsidR="000E31CF" w:rsidRPr="00982D32" w:rsidRDefault="000E31CF" w:rsidP="00F17C6B">
            <w:pPr>
              <w:rPr>
                <w:b/>
                <w:smallCaps/>
              </w:rPr>
            </w:pPr>
            <w:r w:rsidRPr="00982D32">
              <w:t>(par. 1</w:t>
            </w:r>
            <w:r>
              <w:t xml:space="preserve"> à 3</w:t>
            </w:r>
            <w:r w:rsidRPr="00982D32">
              <w:t>)</w:t>
            </w:r>
          </w:p>
        </w:tc>
        <w:tc>
          <w:tcPr>
            <w:tcW w:w="3793" w:type="pct"/>
            <w:tcMar>
              <w:top w:w="284" w:type="dxa"/>
            </w:tcMar>
            <w:vAlign w:val="center"/>
          </w:tcPr>
          <w:p w:rsidR="000E31CF" w:rsidRPr="00262E3D" w:rsidRDefault="000E31CF" w:rsidP="00F17C6B">
            <w:r w:rsidRPr="00DF5126">
              <w:t xml:space="preserve">Le juge </w:t>
            </w:r>
            <w:proofErr w:type="spellStart"/>
            <w:r w:rsidRPr="00DF5126">
              <w:t>Moldaver</w:t>
            </w:r>
            <w:proofErr w:type="spellEnd"/>
          </w:p>
          <w:p w:rsidR="000E31CF" w:rsidRPr="007B3D74" w:rsidRDefault="000E31CF" w:rsidP="00F17C6B">
            <w:pPr>
              <w:rPr>
                <w:b/>
                <w:smallCaps/>
              </w:rPr>
            </w:pPr>
          </w:p>
        </w:tc>
      </w:tr>
      <w:tr w:rsidR="000E31CF" w:rsidRPr="00202C25" w:rsidTr="00F17C6B">
        <w:trPr>
          <w:gridAfter w:val="1"/>
          <w:wAfter w:w="11" w:type="pct"/>
          <w:cantSplit/>
        </w:trPr>
        <w:tc>
          <w:tcPr>
            <w:tcW w:w="1196" w:type="pct"/>
            <w:tcMar>
              <w:top w:w="284" w:type="dxa"/>
              <w:bottom w:w="57" w:type="dxa"/>
            </w:tcMar>
            <w:vAlign w:val="center"/>
          </w:tcPr>
          <w:p w:rsidR="000E31CF" w:rsidRPr="007B3D74" w:rsidRDefault="000E31CF" w:rsidP="00F17C6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Majorité :</w:t>
            </w:r>
          </w:p>
        </w:tc>
        <w:tc>
          <w:tcPr>
            <w:tcW w:w="3793" w:type="pct"/>
            <w:tcMar>
              <w:top w:w="284" w:type="dxa"/>
            </w:tcMar>
            <w:vAlign w:val="center"/>
          </w:tcPr>
          <w:p w:rsidR="000E31CF" w:rsidRDefault="000E31CF" w:rsidP="00F17C6B">
            <w:r w:rsidRPr="00DF5126">
              <w:t xml:space="preserve">Les juges </w:t>
            </w:r>
            <w:proofErr w:type="spellStart"/>
            <w:r w:rsidRPr="00DF5126">
              <w:t>Moldaver</w:t>
            </w:r>
            <w:proofErr w:type="spellEnd"/>
            <w:r w:rsidRPr="00DF5126">
              <w:t xml:space="preserve">, Rowe, Martin et </w:t>
            </w:r>
            <w:proofErr w:type="spellStart"/>
            <w:r w:rsidRPr="00DF5126">
              <w:t>Kasirer</w:t>
            </w:r>
            <w:proofErr w:type="spellEnd"/>
          </w:p>
          <w:p w:rsidR="000E31CF" w:rsidRDefault="000E31CF" w:rsidP="00F17C6B"/>
        </w:tc>
      </w:tr>
      <w:tr w:rsidR="000E31CF" w:rsidRPr="00202C25" w:rsidTr="00F17C6B">
        <w:trPr>
          <w:gridAfter w:val="1"/>
          <w:wAfter w:w="11" w:type="pct"/>
          <w:cantSplit/>
        </w:trPr>
        <w:tc>
          <w:tcPr>
            <w:tcW w:w="1196" w:type="pct"/>
            <w:tcMar>
              <w:top w:w="284" w:type="dxa"/>
              <w:bottom w:w="57" w:type="dxa"/>
            </w:tcMar>
            <w:vAlign w:val="center"/>
          </w:tcPr>
          <w:p w:rsidR="000E31CF" w:rsidRDefault="000E31CF" w:rsidP="00F17C6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Dissidence :</w:t>
            </w:r>
          </w:p>
        </w:tc>
        <w:tc>
          <w:tcPr>
            <w:tcW w:w="3793" w:type="pct"/>
            <w:tcMar>
              <w:top w:w="284" w:type="dxa"/>
            </w:tcMar>
            <w:vAlign w:val="center"/>
          </w:tcPr>
          <w:p w:rsidR="000E31CF" w:rsidRDefault="000E31CF" w:rsidP="00F17C6B">
            <w:r w:rsidRPr="00DF5126">
              <w:t>La juge Côté</w:t>
            </w:r>
          </w:p>
          <w:p w:rsidR="000E31CF" w:rsidRDefault="000E31CF" w:rsidP="00F17C6B"/>
        </w:tc>
      </w:tr>
    </w:tbl>
    <w:p w:rsidR="000E31CF" w:rsidRDefault="000E31CF" w:rsidP="000E31CF">
      <w:pPr>
        <w:rPr>
          <w:b/>
          <w:smallCap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0E31CF" w:rsidRPr="00B6491F" w:rsidTr="00F17C6B">
        <w:tc>
          <w:tcPr>
            <w:tcW w:w="1500" w:type="pct"/>
            <w:tcMar>
              <w:top w:w="284" w:type="dxa"/>
            </w:tcMar>
          </w:tcPr>
          <w:p w:rsidR="000E31CF" w:rsidRPr="00B6491F" w:rsidRDefault="000E31CF" w:rsidP="00F17C6B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0E31CF" w:rsidRPr="00B6491F" w:rsidRDefault="000E31CF" w:rsidP="00F17C6B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0E31CF" w:rsidRPr="00B6491F" w:rsidRDefault="000E31CF" w:rsidP="00F17C6B">
            <w:pPr>
              <w:rPr>
                <w:rFonts w:eastAsia="Calibri"/>
              </w:rPr>
            </w:pPr>
          </w:p>
        </w:tc>
      </w:tr>
    </w:tbl>
    <w:p w:rsidR="00B92F9D" w:rsidRPr="00B92F9D" w:rsidRDefault="000E31CF" w:rsidP="00B92F9D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DF5126">
        <w:br w:type="page"/>
      </w:r>
      <w:r w:rsidR="00B92F9D" w:rsidRPr="00B92F9D">
        <w:rPr>
          <w:rFonts w:eastAsia="Times New Roman" w:cs="Times New Roman"/>
          <w:b/>
          <w:szCs w:val="20"/>
          <w:lang w:eastAsia="en-CA"/>
        </w:rPr>
        <w:t>Sa Majesté la Reine</w:t>
      </w:r>
      <w:r w:rsidR="00B92F9D" w:rsidRPr="00B92F9D">
        <w:rPr>
          <w:rFonts w:eastAsia="Times New Roman" w:cs="Times New Roman"/>
          <w:i/>
          <w:szCs w:val="20"/>
          <w:lang w:eastAsia="en-CA"/>
        </w:rPr>
        <w:tab/>
        <w:t>Appelante</w:t>
      </w:r>
    </w:p>
    <w:p w:rsidR="00B92F9D" w:rsidRPr="000E31CF" w:rsidRDefault="00B92F9D" w:rsidP="00B92F9D">
      <w:pPr>
        <w:spacing w:after="720"/>
        <w:rPr>
          <w:rFonts w:eastAsia="Times New Roman" w:cs="Times New Roman"/>
          <w:i/>
          <w:szCs w:val="20"/>
          <w:lang w:eastAsia="en-CA"/>
        </w:rPr>
      </w:pPr>
      <w:proofErr w:type="gramStart"/>
      <w:r w:rsidRPr="000E31CF">
        <w:rPr>
          <w:rFonts w:eastAsia="Times New Roman" w:cs="Times New Roman"/>
          <w:i/>
          <w:szCs w:val="20"/>
          <w:lang w:eastAsia="en-CA"/>
        </w:rPr>
        <w:t>c</w:t>
      </w:r>
      <w:proofErr w:type="gramEnd"/>
      <w:r w:rsidRPr="000E31CF">
        <w:rPr>
          <w:rFonts w:eastAsia="Times New Roman" w:cs="Times New Roman"/>
          <w:i/>
          <w:szCs w:val="20"/>
          <w:lang w:eastAsia="en-CA"/>
        </w:rPr>
        <w:t>.</w:t>
      </w:r>
    </w:p>
    <w:p w:rsidR="00B92F9D" w:rsidRPr="000E31CF" w:rsidRDefault="00B92F9D" w:rsidP="00B92F9D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0E31CF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Monty Shane </w:t>
      </w:r>
      <w:proofErr w:type="spellStart"/>
      <w:r w:rsidRPr="000E31CF">
        <w:rPr>
          <w:rFonts w:eastAsia="Times New Roman" w:cs="Times New Roman"/>
          <w:b/>
          <w:bCs/>
          <w:color w:val="000000"/>
          <w:szCs w:val="20"/>
          <w:lang w:eastAsia="en-CA"/>
        </w:rPr>
        <w:t>Kishayinew</w:t>
      </w:r>
      <w:proofErr w:type="spellEnd"/>
      <w:r w:rsidRPr="000E31CF">
        <w:rPr>
          <w:rFonts w:eastAsia="Times New Roman" w:cs="Times New Roman"/>
          <w:i/>
          <w:szCs w:val="20"/>
          <w:lang w:eastAsia="en-CA"/>
        </w:rPr>
        <w:tab/>
        <w:t>Intimé</w:t>
      </w:r>
    </w:p>
    <w:p w:rsidR="00B92F9D" w:rsidRPr="000E31CF" w:rsidRDefault="00B92F9D" w:rsidP="00B92F9D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</w:p>
    <w:p w:rsidR="00B92F9D" w:rsidRPr="000E31CF" w:rsidRDefault="00B92F9D" w:rsidP="00B92F9D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0E31CF">
        <w:rPr>
          <w:rFonts w:eastAsia="Times New Roman" w:cs="Times New Roman"/>
          <w:b/>
          <w:szCs w:val="20"/>
          <w:lang w:eastAsia="en-CA"/>
        </w:rPr>
        <w:t xml:space="preserve">Répertorié : R. </w:t>
      </w:r>
      <w:r w:rsidRPr="000E31CF">
        <w:rPr>
          <w:rFonts w:eastAsia="Times New Roman" w:cs="Times New Roman"/>
          <w:b/>
          <w:i/>
          <w:szCs w:val="20"/>
          <w:lang w:eastAsia="en-CA"/>
        </w:rPr>
        <w:t>c.</w:t>
      </w:r>
      <w:r w:rsidRPr="000E31CF">
        <w:rPr>
          <w:rFonts w:eastAsia="Times New Roman" w:cs="Times New Roman"/>
          <w:b/>
          <w:szCs w:val="20"/>
          <w:lang w:eastAsia="en-CA"/>
        </w:rPr>
        <w:t xml:space="preserve"> </w:t>
      </w:r>
      <w:proofErr w:type="spellStart"/>
      <w:r w:rsidRPr="000E31CF">
        <w:rPr>
          <w:rFonts w:eastAsia="Times New Roman" w:cs="Times New Roman"/>
          <w:b/>
          <w:szCs w:val="20"/>
          <w:lang w:eastAsia="en-CA"/>
        </w:rPr>
        <w:t>Kishayinew</w:t>
      </w:r>
      <w:proofErr w:type="spellEnd"/>
    </w:p>
    <w:p w:rsidR="00B92F9D" w:rsidRPr="000E31CF" w:rsidRDefault="00B92F9D" w:rsidP="00B92F9D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0E31CF">
        <w:rPr>
          <w:rFonts w:eastAsia="Times New Roman" w:cs="Times New Roman"/>
          <w:b/>
          <w:szCs w:val="20"/>
          <w:lang w:eastAsia="en-CA"/>
        </w:rPr>
        <w:t>2020 CSC 34</w:t>
      </w:r>
    </w:p>
    <w:p w:rsidR="00B92F9D" w:rsidRPr="00B92F9D" w:rsidRDefault="00B92F9D" w:rsidP="00B92F9D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>N</w:t>
      </w:r>
      <w:r w:rsidRPr="00B92F9D">
        <w:rPr>
          <w:rFonts w:eastAsia="Times New Roman" w:cs="Times New Roman"/>
          <w:szCs w:val="20"/>
          <w:vertAlign w:val="superscript"/>
          <w:lang w:eastAsia="en-CA"/>
        </w:rPr>
        <w:t>o</w:t>
      </w:r>
      <w:r w:rsidRPr="00B92F9D">
        <w:rPr>
          <w:rFonts w:eastAsia="Times New Roman" w:cs="Times New Roman"/>
          <w:szCs w:val="20"/>
          <w:lang w:eastAsia="en-CA"/>
        </w:rPr>
        <w:t xml:space="preserve"> du greffe : </w:t>
      </w:r>
      <w:r w:rsidRPr="00B92F9D">
        <w:rPr>
          <w:rFonts w:eastAsia="Times New Roman" w:cs="Times New Roman"/>
          <w:color w:val="000000"/>
          <w:szCs w:val="20"/>
          <w:lang w:eastAsia="en-CA"/>
        </w:rPr>
        <w:t>38962</w:t>
      </w:r>
      <w:r w:rsidRPr="00B92F9D">
        <w:rPr>
          <w:rFonts w:eastAsia="Times New Roman" w:cs="Times New Roman"/>
          <w:szCs w:val="20"/>
          <w:lang w:eastAsia="en-CA"/>
        </w:rPr>
        <w:t>.</w:t>
      </w:r>
    </w:p>
    <w:p w:rsidR="00B92F9D" w:rsidRPr="00B92F9D" w:rsidRDefault="00B92F9D" w:rsidP="00B92F9D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>2020 : 5 novembre.</w:t>
      </w:r>
    </w:p>
    <w:p w:rsidR="00B92F9D" w:rsidRPr="00B92F9D" w:rsidRDefault="00B92F9D" w:rsidP="00B92F9D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 xml:space="preserve">Présents : Les juges </w:t>
      </w:r>
      <w:proofErr w:type="spellStart"/>
      <w:r w:rsidRPr="00B92F9D">
        <w:rPr>
          <w:rFonts w:eastAsia="Times New Roman" w:cs="Times New Roman"/>
          <w:szCs w:val="20"/>
          <w:lang w:eastAsia="en-CA"/>
        </w:rPr>
        <w:t>Moldaver</w:t>
      </w:r>
      <w:proofErr w:type="spellEnd"/>
      <w:r w:rsidRPr="00B92F9D">
        <w:rPr>
          <w:rFonts w:eastAsia="Times New Roman" w:cs="Times New Roman"/>
          <w:szCs w:val="20"/>
          <w:lang w:eastAsia="en-CA"/>
        </w:rPr>
        <w:t xml:space="preserve">, Côté, Rowe, Martin et </w:t>
      </w:r>
      <w:proofErr w:type="spellStart"/>
      <w:r w:rsidRPr="00B92F9D">
        <w:rPr>
          <w:rFonts w:eastAsia="Times New Roman" w:cs="Times New Roman"/>
          <w:szCs w:val="20"/>
          <w:lang w:eastAsia="en-CA"/>
        </w:rPr>
        <w:t>Kasirer</w:t>
      </w:r>
      <w:proofErr w:type="spellEnd"/>
      <w:r w:rsidRPr="00B92F9D">
        <w:rPr>
          <w:rFonts w:eastAsia="Times New Roman" w:cs="Times New Roman"/>
          <w:szCs w:val="20"/>
          <w:lang w:eastAsia="en-CA"/>
        </w:rPr>
        <w:t>.</w:t>
      </w:r>
    </w:p>
    <w:p w:rsidR="00B92F9D" w:rsidRPr="00B92F9D" w:rsidRDefault="00B92F9D" w:rsidP="00B92F9D">
      <w:pPr>
        <w:tabs>
          <w:tab w:val="left" w:pos="1168"/>
        </w:tabs>
        <w:spacing w:after="720"/>
        <w:jc w:val="both"/>
        <w:rPr>
          <w:rFonts w:eastAsia="Times New Roman" w:cs="Times New Roman"/>
          <w:smallCaps/>
          <w:szCs w:val="20"/>
          <w:lang w:eastAsia="en-CA"/>
        </w:rPr>
      </w:pPr>
      <w:r w:rsidRPr="00B92F9D">
        <w:rPr>
          <w:rFonts w:eastAsia="Times New Roman" w:cs="Times New Roman"/>
          <w:smallCaps/>
          <w:szCs w:val="20"/>
          <w:lang w:eastAsia="en-CA"/>
        </w:rPr>
        <w:t xml:space="preserve">en appel de la cour d’appel de la </w:t>
      </w:r>
      <w:proofErr w:type="spellStart"/>
      <w:r w:rsidRPr="00B92F9D">
        <w:rPr>
          <w:rFonts w:eastAsia="Times New Roman" w:cs="Times New Roman"/>
          <w:smallCaps/>
          <w:szCs w:val="20"/>
          <w:lang w:eastAsia="en-CA"/>
        </w:rPr>
        <w:t>saskatchewan</w:t>
      </w:r>
      <w:proofErr w:type="spellEnd"/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ab/>
      </w:r>
      <w:r w:rsidRPr="00B92F9D">
        <w:rPr>
          <w:rFonts w:eastAsia="Times New Roman" w:cs="Times New Roman"/>
          <w:i/>
          <w:szCs w:val="20"/>
          <w:lang w:eastAsia="en-CA"/>
        </w:rPr>
        <w:t>Droit criminel</w:t>
      </w:r>
      <w:r w:rsidRPr="00B92F9D">
        <w:rPr>
          <w:rFonts w:eastAsia="Times New Roman" w:cs="Times New Roman"/>
          <w:szCs w:val="20"/>
          <w:lang w:eastAsia="en-CA"/>
        </w:rPr>
        <w:t xml:space="preserve"> —</w:t>
      </w:r>
      <w:r w:rsidRPr="00B92F9D">
        <w:rPr>
          <w:rFonts w:eastAsia="Times New Roman" w:cs="Times New Roman"/>
          <w:i/>
          <w:szCs w:val="20"/>
          <w:lang w:eastAsia="en-CA"/>
        </w:rPr>
        <w:t xml:space="preserve"> Agression sexuelle — Verdict déraisonnable — Preuve — Appréciation — Fiabilité — Capacité à consentir — Accusé déclaré coupable d’agression sexuelle </w:t>
      </w:r>
      <w:r w:rsidRPr="00B92F9D">
        <w:rPr>
          <w:rFonts w:eastAsia="Times New Roman" w:cs="Times New Roman"/>
          <w:szCs w:val="20"/>
          <w:lang w:eastAsia="en-CA"/>
        </w:rPr>
        <w:t xml:space="preserve">— </w:t>
      </w:r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Arrêt majoritaire de la Cour d’appel</w:t>
      </w:r>
      <w:r w:rsidRPr="00B92F9D">
        <w:rPr>
          <w:rFonts w:eastAsia="Times New Roman" w:cs="Times New Roman"/>
          <w:i/>
          <w:szCs w:val="20"/>
          <w:lang w:eastAsia="en-CA"/>
        </w:rPr>
        <w:t xml:space="preserve"> portant que le juge du procès a commis une erreur</w:t>
      </w:r>
      <w:r w:rsidRPr="00B92F9D">
        <w:rPr>
          <w:rFonts w:eastAsia="Times New Roman" w:cs="Times New Roman"/>
          <w:i/>
          <w:color w:val="000000"/>
          <w:szCs w:val="20"/>
          <w:lang w:eastAsia="en-CA"/>
        </w:rPr>
        <w:t xml:space="preserve"> en tirant relativement à la fiabilité et à la capacité de consentir de la plaignante des conclusions de </w:t>
      </w:r>
      <w:r w:rsidRPr="00B92F9D">
        <w:rPr>
          <w:rFonts w:eastAsia="Times New Roman" w:cs="Times New Roman"/>
          <w:i/>
          <w:color w:val="000000"/>
          <w:szCs w:val="20"/>
          <w:lang w:eastAsia="en-CA"/>
        </w:rPr>
        <w:lastRenderedPageBreak/>
        <w:t>fait essentielles au verdict qui étaient incompatibles avec des éléments de preuve par ailleurs non contredits ou rejetés</w:t>
      </w:r>
      <w:r w:rsidRPr="00B92F9D">
        <w:rPr>
          <w:rFonts w:eastAsia="Times New Roman" w:cs="Times New Roman"/>
          <w:i/>
          <w:szCs w:val="20"/>
          <w:lang w:eastAsia="en-CA"/>
        </w:rPr>
        <w:t xml:space="preserve"> — Déclaration de culpabilité annulée par les juges majoritaires — Conclusion du juge dissident portant que le verdict était raisonnable puisque la décision du juge du procès</w:t>
      </w:r>
      <w:r w:rsidRPr="00B92F9D">
        <w:rPr>
          <w:rFonts w:eastAsia="Times New Roman" w:cs="Times New Roman"/>
          <w:i/>
          <w:color w:val="000000"/>
          <w:szCs w:val="20"/>
          <w:lang w:eastAsia="en-CA"/>
        </w:rPr>
        <w:t xml:space="preserve"> relativement à la fiabilité était raisonnable eu égard à la preuve</w:t>
      </w:r>
      <w:r w:rsidRPr="00B92F9D">
        <w:rPr>
          <w:rFonts w:eastAsia="Times New Roman" w:cs="Times New Roman"/>
          <w:color w:val="000000"/>
          <w:szCs w:val="20"/>
          <w:lang w:eastAsia="en-CA"/>
        </w:rPr>
        <w:t xml:space="preserve"> </w:t>
      </w:r>
      <w:r w:rsidRPr="00B92F9D">
        <w:rPr>
          <w:rFonts w:eastAsia="Times New Roman" w:cs="Times New Roman"/>
          <w:i/>
          <w:color w:val="000000"/>
          <w:szCs w:val="20"/>
          <w:lang w:eastAsia="en-CA"/>
        </w:rPr>
        <w:t>et qu’il n’a pas tiré de conclusions de fait contradictoires en ce qui a trait au consentement</w:t>
      </w:r>
      <w:r w:rsidRPr="00B92F9D">
        <w:rPr>
          <w:rFonts w:eastAsia="Times New Roman" w:cs="Times New Roman"/>
          <w:i/>
          <w:szCs w:val="20"/>
          <w:lang w:eastAsia="en-CA"/>
        </w:rPr>
        <w:t xml:space="preserve"> </w:t>
      </w:r>
      <w:r w:rsidRPr="00B92F9D">
        <w:rPr>
          <w:rFonts w:eastAsia="Times New Roman" w:cs="Times New Roman"/>
          <w:szCs w:val="20"/>
          <w:lang w:eastAsia="en-CA"/>
        </w:rPr>
        <w:t xml:space="preserve">— </w:t>
      </w:r>
      <w:r w:rsidRPr="00B92F9D">
        <w:rPr>
          <w:rFonts w:eastAsia="Times New Roman" w:cs="Times New Roman"/>
          <w:i/>
          <w:szCs w:val="20"/>
          <w:lang w:eastAsia="en-CA"/>
        </w:rPr>
        <w:t xml:space="preserve">Déclaration de culpabilité rétablie. </w:t>
      </w: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ab/>
        <w:t xml:space="preserve">POURVOI contre un arrêt de la Cour d’appel de la Saskatchewan (les juges Jackson, Barrington-Foote et </w:t>
      </w:r>
      <w:proofErr w:type="spellStart"/>
      <w:r w:rsidRPr="00B92F9D">
        <w:rPr>
          <w:rFonts w:eastAsia="Times New Roman" w:cs="Times New Roman"/>
          <w:szCs w:val="20"/>
          <w:lang w:eastAsia="en-CA"/>
        </w:rPr>
        <w:t>Tholl</w:t>
      </w:r>
      <w:proofErr w:type="spellEnd"/>
      <w:r w:rsidRPr="00B92F9D">
        <w:rPr>
          <w:rFonts w:eastAsia="Times New Roman" w:cs="Times New Roman"/>
          <w:szCs w:val="20"/>
          <w:lang w:eastAsia="en-CA"/>
        </w:rPr>
        <w:t xml:space="preserve">), </w:t>
      </w:r>
      <w:r w:rsidRPr="00B92F9D">
        <w:rPr>
          <w:rFonts w:eastAsia="Times New Roman" w:cs="Times New Roman"/>
          <w:color w:val="000000"/>
          <w:szCs w:val="20"/>
          <w:lang w:eastAsia="en-CA"/>
        </w:rPr>
        <w:t xml:space="preserve">2019 </w:t>
      </w:r>
      <w:proofErr w:type="spellStart"/>
      <w:r w:rsidRPr="00B92F9D">
        <w:rPr>
          <w:rFonts w:eastAsia="Times New Roman" w:cs="Times New Roman"/>
          <w:color w:val="000000"/>
          <w:szCs w:val="20"/>
          <w:lang w:eastAsia="en-CA"/>
        </w:rPr>
        <w:t>SKCA</w:t>
      </w:r>
      <w:proofErr w:type="spellEnd"/>
      <w:r w:rsidRPr="00B92F9D">
        <w:rPr>
          <w:rFonts w:eastAsia="Times New Roman" w:cs="Times New Roman"/>
          <w:color w:val="000000"/>
          <w:szCs w:val="20"/>
          <w:lang w:eastAsia="en-CA"/>
        </w:rPr>
        <w:t xml:space="preserve"> 127, 382 C.C.C. (3d) 560, 60 C.R. (7th) 51, [2019] S.J. No. 472 (</w:t>
      </w:r>
      <w:proofErr w:type="spellStart"/>
      <w:r w:rsidRPr="00B92F9D">
        <w:rPr>
          <w:rFonts w:eastAsia="Times New Roman" w:cs="Times New Roman"/>
          <w:color w:val="000000"/>
          <w:szCs w:val="20"/>
          <w:lang w:eastAsia="en-CA"/>
        </w:rPr>
        <w:t>QL</w:t>
      </w:r>
      <w:proofErr w:type="spellEnd"/>
      <w:r w:rsidRPr="00B92F9D">
        <w:rPr>
          <w:rFonts w:eastAsia="Times New Roman" w:cs="Times New Roman"/>
          <w:color w:val="000000"/>
          <w:szCs w:val="20"/>
          <w:lang w:eastAsia="en-CA"/>
        </w:rPr>
        <w:t xml:space="preserve">), 2019 </w:t>
      </w:r>
      <w:proofErr w:type="spellStart"/>
      <w:r w:rsidRPr="00B92F9D">
        <w:rPr>
          <w:rFonts w:eastAsia="Times New Roman" w:cs="Times New Roman"/>
          <w:color w:val="000000"/>
          <w:szCs w:val="20"/>
          <w:lang w:eastAsia="en-CA"/>
        </w:rPr>
        <w:t>CarswellSask</w:t>
      </w:r>
      <w:proofErr w:type="spellEnd"/>
      <w:r w:rsidRPr="00B92F9D">
        <w:rPr>
          <w:rFonts w:eastAsia="Times New Roman" w:cs="Times New Roman"/>
          <w:color w:val="000000"/>
          <w:szCs w:val="20"/>
          <w:lang w:eastAsia="en-CA"/>
        </w:rPr>
        <w:t xml:space="preserve"> 613 (</w:t>
      </w:r>
      <w:proofErr w:type="spellStart"/>
      <w:r w:rsidRPr="00B92F9D">
        <w:rPr>
          <w:rFonts w:eastAsia="Times New Roman" w:cs="Times New Roman"/>
          <w:color w:val="000000"/>
          <w:szCs w:val="20"/>
          <w:lang w:eastAsia="en-CA"/>
        </w:rPr>
        <w:t>WL</w:t>
      </w:r>
      <w:proofErr w:type="spellEnd"/>
      <w:r w:rsidRPr="00B92F9D">
        <w:rPr>
          <w:rFonts w:eastAsia="Times New Roman" w:cs="Times New Roman"/>
          <w:color w:val="000000"/>
          <w:szCs w:val="20"/>
          <w:lang w:eastAsia="en-CA"/>
        </w:rPr>
        <w:t xml:space="preserve"> Can.),</w:t>
      </w:r>
      <w:r w:rsidRPr="00B92F9D">
        <w:rPr>
          <w:rFonts w:eastAsia="Times New Roman" w:cs="Times New Roman"/>
          <w:szCs w:val="20"/>
          <w:lang w:eastAsia="en-CA"/>
        </w:rPr>
        <w:t xml:space="preserve"> qui a annulé la déclaration de culpabilité pour agression sexuelle prononcée par le juge Turcotte, 2017 SKQB 177, [2017] S.J. No. 287 (</w:t>
      </w:r>
      <w:proofErr w:type="spellStart"/>
      <w:r w:rsidRPr="00B92F9D">
        <w:rPr>
          <w:rFonts w:eastAsia="Times New Roman" w:cs="Times New Roman"/>
          <w:szCs w:val="20"/>
          <w:lang w:eastAsia="en-CA"/>
        </w:rPr>
        <w:t>QL</w:t>
      </w:r>
      <w:proofErr w:type="spellEnd"/>
      <w:r w:rsidRPr="00B92F9D">
        <w:rPr>
          <w:rFonts w:eastAsia="Times New Roman" w:cs="Times New Roman"/>
          <w:szCs w:val="20"/>
          <w:lang w:eastAsia="en-CA"/>
        </w:rPr>
        <w:t xml:space="preserve">), 2017 </w:t>
      </w:r>
      <w:proofErr w:type="spellStart"/>
      <w:r w:rsidRPr="00B92F9D">
        <w:rPr>
          <w:rFonts w:eastAsia="Times New Roman" w:cs="Times New Roman"/>
          <w:szCs w:val="20"/>
          <w:lang w:eastAsia="en-CA"/>
        </w:rPr>
        <w:t>CarswellSask</w:t>
      </w:r>
      <w:proofErr w:type="spellEnd"/>
      <w:r w:rsidRPr="00B92F9D">
        <w:rPr>
          <w:rFonts w:eastAsia="Times New Roman" w:cs="Times New Roman"/>
          <w:szCs w:val="20"/>
          <w:lang w:eastAsia="en-CA"/>
        </w:rPr>
        <w:t xml:space="preserve"> 339 (</w:t>
      </w:r>
      <w:proofErr w:type="spellStart"/>
      <w:r w:rsidRPr="00B92F9D">
        <w:rPr>
          <w:rFonts w:eastAsia="Times New Roman" w:cs="Times New Roman"/>
          <w:szCs w:val="20"/>
          <w:lang w:eastAsia="en-CA"/>
        </w:rPr>
        <w:t>WL</w:t>
      </w:r>
      <w:proofErr w:type="spellEnd"/>
      <w:r w:rsidRPr="00B92F9D">
        <w:rPr>
          <w:rFonts w:eastAsia="Times New Roman" w:cs="Times New Roman"/>
          <w:szCs w:val="20"/>
          <w:lang w:eastAsia="en-CA"/>
        </w:rPr>
        <w:t xml:space="preserve"> Can.), et ordonné un nouveau procès. Pourvoi accueilli, la juge Côté est dissidente.</w:t>
      </w: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ab/>
      </w:r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W. Dean Sinclair</w:t>
      </w:r>
      <w:r w:rsidRPr="00B92F9D">
        <w:rPr>
          <w:rFonts w:eastAsia="Times New Roman" w:cs="Times New Roman"/>
          <w:color w:val="000000"/>
          <w:szCs w:val="20"/>
          <w:lang w:eastAsia="en-CA"/>
        </w:rPr>
        <w:t>,</w:t>
      </w:r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 </w:t>
      </w:r>
      <w:proofErr w:type="spellStart"/>
      <w:proofErr w:type="gramStart"/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c.r</w:t>
      </w:r>
      <w:proofErr w:type="spellEnd"/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.</w:t>
      </w:r>
      <w:r w:rsidRPr="00B92F9D">
        <w:rPr>
          <w:rFonts w:eastAsia="Times New Roman" w:cs="Times New Roman"/>
          <w:szCs w:val="20"/>
          <w:lang w:eastAsia="en-CA"/>
        </w:rPr>
        <w:t>,</w:t>
      </w:r>
      <w:proofErr w:type="gramEnd"/>
      <w:r w:rsidRPr="00B92F9D">
        <w:rPr>
          <w:rFonts w:eastAsia="Times New Roman" w:cs="Times New Roman"/>
          <w:szCs w:val="20"/>
          <w:lang w:eastAsia="en-CA"/>
        </w:rPr>
        <w:t xml:space="preserve"> pour l’appelante.</w:t>
      </w: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B92F9D">
        <w:rPr>
          <w:rFonts w:eastAsia="Times New Roman" w:cs="Times New Roman"/>
          <w:i/>
          <w:szCs w:val="20"/>
          <w:lang w:eastAsia="en-CA"/>
        </w:rPr>
        <w:tab/>
      </w:r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 xml:space="preserve">Brian </w:t>
      </w:r>
      <w:proofErr w:type="spellStart"/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Pfefferle</w:t>
      </w:r>
      <w:proofErr w:type="spellEnd"/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 </w:t>
      </w:r>
      <w:r w:rsidRPr="00B92F9D">
        <w:rPr>
          <w:rFonts w:eastAsia="Times New Roman" w:cs="Times New Roman"/>
          <w:color w:val="000000"/>
          <w:szCs w:val="20"/>
          <w:lang w:eastAsia="en-CA"/>
        </w:rPr>
        <w:t>et </w:t>
      </w:r>
      <w:proofErr w:type="spellStart"/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Aleida</w:t>
      </w:r>
      <w:proofErr w:type="spellEnd"/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 xml:space="preserve"> Oberholzer</w:t>
      </w:r>
      <w:r w:rsidRPr="00B92F9D">
        <w:rPr>
          <w:rFonts w:eastAsia="Times New Roman" w:cs="Times New Roman"/>
          <w:szCs w:val="20"/>
          <w:lang w:eastAsia="en-CA"/>
        </w:rPr>
        <w:t>, pour l’intimé.</w:t>
      </w: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ab/>
      </w:r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Louis Belleau</w:t>
      </w:r>
      <w:r w:rsidRPr="00B92F9D">
        <w:rPr>
          <w:rFonts w:eastAsia="Times New Roman" w:cs="Times New Roman"/>
          <w:color w:val="000000"/>
          <w:szCs w:val="20"/>
          <w:lang w:eastAsia="en-CA"/>
        </w:rPr>
        <w:t>, en qualité d’</w:t>
      </w:r>
      <w:proofErr w:type="spellStart"/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amicus</w:t>
      </w:r>
      <w:proofErr w:type="spellEnd"/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 xml:space="preserve"> </w:t>
      </w:r>
      <w:proofErr w:type="spellStart"/>
      <w:r w:rsidRPr="00B92F9D">
        <w:rPr>
          <w:rFonts w:eastAsia="Times New Roman" w:cs="Times New Roman"/>
          <w:i/>
          <w:iCs/>
          <w:color w:val="000000"/>
          <w:szCs w:val="20"/>
          <w:lang w:eastAsia="en-CA"/>
        </w:rPr>
        <w:t>curiae</w:t>
      </w:r>
      <w:proofErr w:type="spellEnd"/>
      <w:r w:rsidRPr="00B92F9D">
        <w:rPr>
          <w:rFonts w:eastAsia="Times New Roman" w:cs="Times New Roman"/>
          <w:color w:val="000000"/>
          <w:szCs w:val="20"/>
          <w:lang w:eastAsia="en-CA"/>
        </w:rPr>
        <w:t>.</w:t>
      </w:r>
    </w:p>
    <w:p w:rsidR="00B92F9D" w:rsidRPr="00B92F9D" w:rsidRDefault="00B92F9D" w:rsidP="00B92F9D">
      <w:pPr>
        <w:tabs>
          <w:tab w:val="left" w:pos="1168"/>
        </w:tabs>
        <w:spacing w:before="480"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ab/>
        <w:t>Version française du jugement de la Cour rendu oralement par</w:t>
      </w:r>
    </w:p>
    <w:p w:rsidR="00B92F9D" w:rsidRPr="00B92F9D" w:rsidRDefault="00B92F9D" w:rsidP="00B92F9D">
      <w:pPr>
        <w:spacing w:line="480" w:lineRule="auto"/>
        <w:jc w:val="both"/>
        <w:rPr>
          <w:rFonts w:eastAsia="Times New Roman" w:cs="Times New Roman"/>
          <w:color w:val="000000"/>
          <w:szCs w:val="27"/>
        </w:rPr>
      </w:pPr>
      <w:r w:rsidRPr="00B92F9D">
        <w:rPr>
          <w:rFonts w:eastAsia="Times New Roman" w:cs="Times New Roman"/>
          <w:smallCaps/>
          <w:color w:val="000000"/>
          <w:szCs w:val="27"/>
        </w:rPr>
        <w:t>[1]</w:t>
      </w:r>
      <w:r w:rsidRPr="00B92F9D">
        <w:rPr>
          <w:rFonts w:eastAsia="Times New Roman" w:cs="Times New Roman"/>
          <w:smallCaps/>
          <w:color w:val="000000"/>
          <w:szCs w:val="27"/>
        </w:rPr>
        <w:tab/>
        <w:t xml:space="preserve">Le juge </w:t>
      </w:r>
      <w:proofErr w:type="spellStart"/>
      <w:r w:rsidRPr="00B92F9D">
        <w:rPr>
          <w:rFonts w:eastAsia="Times New Roman" w:cs="Times New Roman"/>
          <w:smallCaps/>
          <w:color w:val="000000"/>
          <w:szCs w:val="27"/>
        </w:rPr>
        <w:t>Moldaver</w:t>
      </w:r>
      <w:proofErr w:type="spellEnd"/>
      <w:r w:rsidRPr="00B92F9D">
        <w:rPr>
          <w:rFonts w:eastAsia="Times New Roman" w:cs="Times New Roman"/>
          <w:smallCaps/>
          <w:color w:val="000000"/>
          <w:szCs w:val="27"/>
        </w:rPr>
        <w:t xml:space="preserve"> </w:t>
      </w:r>
      <w:r w:rsidRPr="00B92F9D">
        <w:rPr>
          <w:rFonts w:eastAsia="Times New Roman" w:cs="Times New Roman"/>
          <w:color w:val="000000"/>
          <w:szCs w:val="27"/>
        </w:rPr>
        <w:t xml:space="preserve">— La Cour est d’avis à la majorité que, considérés dans leur contexte, les motifs du juge du procès indiquent clairement qu’il était convaincu, hors de tout doute raisonnable, que la plaignante n’avait pas subjectivement consenti à quelque activité sexuelle que ce soit avec M. </w:t>
      </w:r>
      <w:proofErr w:type="spellStart"/>
      <w:r w:rsidRPr="00B92F9D">
        <w:rPr>
          <w:rFonts w:eastAsia="Times New Roman" w:cs="Times New Roman"/>
          <w:color w:val="000000"/>
          <w:szCs w:val="27"/>
        </w:rPr>
        <w:t>Kishayinew</w:t>
      </w:r>
      <w:proofErr w:type="spellEnd"/>
      <w:r w:rsidRPr="00B92F9D">
        <w:rPr>
          <w:rFonts w:eastAsia="Times New Roman" w:cs="Times New Roman"/>
          <w:color w:val="000000"/>
          <w:szCs w:val="27"/>
        </w:rPr>
        <w:t xml:space="preserve">. Sur ce point, nous souscrivons aux motifs exposés par le juge </w:t>
      </w:r>
      <w:proofErr w:type="spellStart"/>
      <w:r w:rsidRPr="00B92F9D">
        <w:rPr>
          <w:rFonts w:eastAsia="Times New Roman" w:cs="Times New Roman"/>
          <w:color w:val="000000"/>
          <w:szCs w:val="27"/>
        </w:rPr>
        <w:t>Tholl</w:t>
      </w:r>
      <w:proofErr w:type="spellEnd"/>
      <w:r w:rsidRPr="00B92F9D">
        <w:rPr>
          <w:rFonts w:eastAsia="Times New Roman" w:cs="Times New Roman"/>
          <w:color w:val="000000"/>
          <w:szCs w:val="27"/>
        </w:rPr>
        <w:t xml:space="preserve">, en dissidence, aux </w:t>
      </w:r>
      <w:proofErr w:type="spellStart"/>
      <w:r w:rsidRPr="00B92F9D">
        <w:rPr>
          <w:rFonts w:eastAsia="Times New Roman" w:cs="Times New Roman"/>
          <w:color w:val="000000"/>
          <w:szCs w:val="27"/>
        </w:rPr>
        <w:t>par</w:t>
      </w:r>
      <w:proofErr w:type="spellEnd"/>
      <w:r w:rsidRPr="00B92F9D">
        <w:rPr>
          <w:rFonts w:eastAsia="Times New Roman" w:cs="Times New Roman"/>
          <w:color w:val="000000"/>
          <w:szCs w:val="27"/>
        </w:rPr>
        <w:t xml:space="preserve">. 52 à 78 de sa décision. Le juge du procès a à juste titre reconnu qu’en raison des trous de mémoire de la plaignante, la seule preuve qui existait quant à la question du consentement subjectif était la preuve circonstancielle suivante — la plaignante pleurait et était désorientée, elle ne voulait pas suivre M. </w:t>
      </w:r>
      <w:proofErr w:type="spellStart"/>
      <w:r w:rsidRPr="00B92F9D">
        <w:rPr>
          <w:rFonts w:eastAsia="Times New Roman" w:cs="Times New Roman"/>
          <w:color w:val="000000"/>
          <w:szCs w:val="27"/>
        </w:rPr>
        <w:t>Kishayinew</w:t>
      </w:r>
      <w:proofErr w:type="spellEnd"/>
      <w:r w:rsidRPr="00B92F9D">
        <w:rPr>
          <w:rFonts w:eastAsia="Times New Roman" w:cs="Times New Roman"/>
          <w:color w:val="000000"/>
          <w:szCs w:val="27"/>
        </w:rPr>
        <w:t>, elle n’avait pas consenti à ses tentatives de l’embrasser ou de la toucher, elle avait tenté de quitter la maison à plusieurs reprises, et, après son trou de mémoire, elle s’était sentie effrayée et [</w:t>
      </w:r>
      <w:r w:rsidRPr="00B92F9D">
        <w:rPr>
          <w:rFonts w:eastAsia="Times New Roman" w:cs="Times New Roman"/>
          <w:smallCaps/>
          <w:color w:val="000000"/>
          <w:szCs w:val="27"/>
        </w:rPr>
        <w:t>traduction</w:t>
      </w:r>
      <w:r w:rsidRPr="00B92F9D">
        <w:rPr>
          <w:rFonts w:eastAsia="Times New Roman" w:cs="Times New Roman"/>
          <w:color w:val="000000"/>
          <w:szCs w:val="27"/>
        </w:rPr>
        <w:t xml:space="preserve">] « bizarre dans le bas-ventre » et voulait s’échapper. À notre avis, ainsi qu’il ressort des </w:t>
      </w:r>
      <w:proofErr w:type="spellStart"/>
      <w:r w:rsidRPr="00B92F9D">
        <w:rPr>
          <w:rFonts w:eastAsia="Times New Roman" w:cs="Times New Roman"/>
          <w:color w:val="000000"/>
          <w:szCs w:val="27"/>
        </w:rPr>
        <w:t>par</w:t>
      </w:r>
      <w:proofErr w:type="spellEnd"/>
      <w:r w:rsidRPr="00B92F9D">
        <w:rPr>
          <w:rFonts w:eastAsia="Times New Roman" w:cs="Times New Roman"/>
          <w:color w:val="000000"/>
          <w:szCs w:val="27"/>
        </w:rPr>
        <w:t xml:space="preserve">. 94, 96 et 97 des motifs du juge du procès (2017 </w:t>
      </w:r>
      <w:proofErr w:type="spellStart"/>
      <w:r w:rsidRPr="00B92F9D">
        <w:rPr>
          <w:rFonts w:eastAsia="Times New Roman" w:cs="Times New Roman"/>
          <w:color w:val="000000"/>
          <w:szCs w:val="27"/>
        </w:rPr>
        <w:t>SKQB</w:t>
      </w:r>
      <w:proofErr w:type="spellEnd"/>
      <w:r w:rsidRPr="00B92F9D">
        <w:rPr>
          <w:rFonts w:eastAsia="Times New Roman" w:cs="Times New Roman"/>
          <w:color w:val="000000"/>
          <w:szCs w:val="27"/>
        </w:rPr>
        <w:t xml:space="preserve"> 177 (</w:t>
      </w:r>
      <w:proofErr w:type="spellStart"/>
      <w:r w:rsidRPr="00B92F9D">
        <w:rPr>
          <w:rFonts w:eastAsia="Times New Roman" w:cs="Times New Roman"/>
          <w:color w:val="000000"/>
          <w:szCs w:val="27"/>
        </w:rPr>
        <w:t>CanLII</w:t>
      </w:r>
      <w:proofErr w:type="spellEnd"/>
      <w:r w:rsidRPr="00B92F9D">
        <w:rPr>
          <w:rFonts w:eastAsia="Times New Roman" w:cs="Times New Roman"/>
          <w:color w:val="000000"/>
          <w:szCs w:val="27"/>
        </w:rPr>
        <w:t>)), une seule inférence peut raisonnablement être tirée de cette preuve</w:t>
      </w:r>
      <w:r>
        <w:rPr>
          <w:rFonts w:eastAsia="Times New Roman" w:cs="Times New Roman"/>
          <w:color w:val="000000"/>
          <w:szCs w:val="27"/>
        </w:rPr>
        <w:t> </w:t>
      </w:r>
      <w:r w:rsidRPr="00B92F9D">
        <w:rPr>
          <w:rFonts w:eastAsia="Times New Roman" w:cs="Times New Roman"/>
          <w:color w:val="000000"/>
          <w:szCs w:val="27"/>
        </w:rPr>
        <w:t xml:space="preserve">: la plaignante n’a consenti à aucun attouchement par M. </w:t>
      </w:r>
      <w:proofErr w:type="spellStart"/>
      <w:r w:rsidRPr="00B92F9D">
        <w:rPr>
          <w:rFonts w:eastAsia="Times New Roman" w:cs="Times New Roman"/>
          <w:color w:val="000000"/>
          <w:szCs w:val="27"/>
        </w:rPr>
        <w:t>Kishayinew</w:t>
      </w:r>
      <w:proofErr w:type="spellEnd"/>
      <w:r w:rsidRPr="00B92F9D">
        <w:rPr>
          <w:rFonts w:eastAsia="Times New Roman" w:cs="Times New Roman"/>
          <w:color w:val="000000"/>
          <w:szCs w:val="27"/>
        </w:rPr>
        <w:t>. Cette conclusion est suffisante pour appuyer la déclaration de culpabilité pour agression sexuelle.</w:t>
      </w:r>
    </w:p>
    <w:p w:rsidR="00B92F9D" w:rsidRPr="00B92F9D" w:rsidRDefault="00B92F9D" w:rsidP="00B92F9D">
      <w:pPr>
        <w:spacing w:line="480" w:lineRule="auto"/>
        <w:jc w:val="both"/>
        <w:rPr>
          <w:rFonts w:eastAsia="Times New Roman" w:cs="Times New Roman"/>
          <w:color w:val="000000"/>
          <w:szCs w:val="27"/>
        </w:rPr>
      </w:pPr>
      <w:r w:rsidRPr="00B92F9D">
        <w:rPr>
          <w:rFonts w:eastAsia="Times New Roman" w:cs="Times New Roman"/>
          <w:color w:val="000000"/>
          <w:szCs w:val="27"/>
        </w:rPr>
        <w:t> </w:t>
      </w:r>
    </w:p>
    <w:p w:rsidR="00B92F9D" w:rsidRPr="00B92F9D" w:rsidRDefault="00B92F9D" w:rsidP="00B92F9D">
      <w:pPr>
        <w:spacing w:line="480" w:lineRule="auto"/>
        <w:jc w:val="both"/>
        <w:rPr>
          <w:rFonts w:eastAsia="Times New Roman" w:cs="Times New Roman"/>
          <w:color w:val="000000"/>
          <w:szCs w:val="27"/>
        </w:rPr>
      </w:pPr>
      <w:r w:rsidRPr="00B92F9D">
        <w:rPr>
          <w:rFonts w:eastAsia="Times New Roman" w:cs="Times New Roman"/>
          <w:color w:val="000000"/>
          <w:szCs w:val="27"/>
        </w:rPr>
        <w:t>[2]</w:t>
      </w:r>
      <w:r w:rsidRPr="00B92F9D">
        <w:rPr>
          <w:rFonts w:eastAsia="Times New Roman" w:cs="Times New Roman"/>
          <w:color w:val="000000"/>
          <w:szCs w:val="27"/>
        </w:rPr>
        <w:tab/>
        <w:t>La juge Côté, dissidente, aurait rejeté l’appel, essentiellement pour les motifs exposés par les juges majoritaires de la Cour d’appel de la Saskatchewan.</w:t>
      </w:r>
    </w:p>
    <w:p w:rsidR="00B92F9D" w:rsidRPr="00B92F9D" w:rsidRDefault="00B92F9D" w:rsidP="00B92F9D">
      <w:pPr>
        <w:spacing w:line="480" w:lineRule="auto"/>
        <w:jc w:val="both"/>
        <w:rPr>
          <w:rFonts w:eastAsia="Times New Roman" w:cs="Times New Roman"/>
          <w:color w:val="000000"/>
          <w:szCs w:val="27"/>
        </w:rPr>
      </w:pPr>
      <w:r w:rsidRPr="00B92F9D">
        <w:rPr>
          <w:rFonts w:eastAsia="Times New Roman" w:cs="Times New Roman"/>
          <w:color w:val="000000"/>
          <w:szCs w:val="27"/>
        </w:rPr>
        <w:t> </w:t>
      </w:r>
    </w:p>
    <w:p w:rsidR="00B92F9D" w:rsidRPr="00B92F9D" w:rsidRDefault="00B92F9D" w:rsidP="00B92F9D">
      <w:pPr>
        <w:spacing w:line="480" w:lineRule="auto"/>
        <w:jc w:val="both"/>
        <w:rPr>
          <w:rFonts w:eastAsia="Times New Roman" w:cs="Times New Roman"/>
          <w:color w:val="000000"/>
          <w:szCs w:val="27"/>
        </w:rPr>
      </w:pPr>
      <w:r w:rsidRPr="00B92F9D">
        <w:rPr>
          <w:rFonts w:eastAsia="Times New Roman" w:cs="Times New Roman"/>
          <w:color w:val="000000"/>
          <w:szCs w:val="27"/>
        </w:rPr>
        <w:t>[3]</w:t>
      </w:r>
      <w:r w:rsidRPr="00B92F9D">
        <w:rPr>
          <w:rFonts w:eastAsia="Times New Roman" w:cs="Times New Roman"/>
          <w:color w:val="000000"/>
          <w:szCs w:val="27"/>
        </w:rPr>
        <w:tab/>
        <w:t>En conséquence, nous accueillons l’appel, rétablissons la déclaration de culpabilité pour agression sexuelle et renvoyons l’appel de la peine à la Cour d’appel.</w:t>
      </w: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ab/>
      </w:r>
      <w:r w:rsidRPr="00B92F9D">
        <w:rPr>
          <w:rFonts w:eastAsia="Times New Roman" w:cs="Times New Roman"/>
          <w:i/>
          <w:szCs w:val="20"/>
          <w:lang w:eastAsia="en-CA"/>
        </w:rPr>
        <w:t>Jugement en conséquence.</w:t>
      </w: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B92F9D">
        <w:rPr>
          <w:rFonts w:eastAsia="Times New Roman" w:cs="Times New Roman"/>
          <w:szCs w:val="20"/>
          <w:lang w:eastAsia="en-CA"/>
        </w:rPr>
        <w:tab/>
      </w:r>
      <w:r w:rsidRPr="00B92F9D">
        <w:rPr>
          <w:rFonts w:eastAsia="Times New Roman" w:cs="Times New Roman"/>
          <w:i/>
          <w:szCs w:val="20"/>
          <w:lang w:eastAsia="en-CA"/>
        </w:rPr>
        <w:t>Procureur de l’appelante : Procureur général de la Saskatchewan, Regina.</w:t>
      </w: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:rsidR="00B92F9D" w:rsidRPr="00B92F9D" w:rsidRDefault="00B92F9D" w:rsidP="00B92F9D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B92F9D">
        <w:rPr>
          <w:rFonts w:eastAsia="Times New Roman" w:cs="Times New Roman"/>
          <w:i/>
          <w:szCs w:val="20"/>
          <w:lang w:eastAsia="en-CA"/>
        </w:rPr>
        <w:tab/>
        <w:t xml:space="preserve">Procureurs de l’intimé : </w:t>
      </w:r>
      <w:proofErr w:type="spellStart"/>
      <w:r w:rsidRPr="00B92F9D">
        <w:rPr>
          <w:rFonts w:eastAsia="Times New Roman" w:cs="Times New Roman"/>
          <w:i/>
          <w:szCs w:val="20"/>
          <w:lang w:eastAsia="en-CA"/>
        </w:rPr>
        <w:t>Pfefferle</w:t>
      </w:r>
      <w:proofErr w:type="spellEnd"/>
      <w:r w:rsidRPr="00B92F9D">
        <w:rPr>
          <w:rFonts w:eastAsia="Times New Roman" w:cs="Times New Roman"/>
          <w:i/>
          <w:szCs w:val="20"/>
          <w:lang w:eastAsia="en-CA"/>
        </w:rPr>
        <w:t xml:space="preserve"> Law Office, Saskatoon.</w:t>
      </w:r>
    </w:p>
    <w:sectPr w:rsidR="00B92F9D" w:rsidRPr="00B92F9D" w:rsidSect="00F72014">
      <w:headerReference w:type="default" r:id="rId8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33" w:rsidRDefault="00DC1A33" w:rsidP="00F72014">
      <w:r>
        <w:separator/>
      </w:r>
    </w:p>
  </w:endnote>
  <w:endnote w:type="continuationSeparator" w:id="0">
    <w:p w:rsidR="00DC1A33" w:rsidRDefault="00DC1A33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33" w:rsidRDefault="00DC1A33" w:rsidP="00F72014">
      <w:r>
        <w:separator/>
      </w:r>
    </w:p>
  </w:footnote>
  <w:footnote w:type="continuationSeparator" w:id="0">
    <w:p w:rsidR="00DC1A33" w:rsidRDefault="00DC1A33" w:rsidP="00F7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2" w:rsidRDefault="00196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667D3"/>
    <w:rsid w:val="000E31CF"/>
    <w:rsid w:val="000F4467"/>
    <w:rsid w:val="001311DA"/>
    <w:rsid w:val="0014065C"/>
    <w:rsid w:val="00190D0A"/>
    <w:rsid w:val="00196882"/>
    <w:rsid w:val="001D6B8C"/>
    <w:rsid w:val="001E12E2"/>
    <w:rsid w:val="001E5B5A"/>
    <w:rsid w:val="001F1F83"/>
    <w:rsid w:val="00256B56"/>
    <w:rsid w:val="002614D7"/>
    <w:rsid w:val="0028675F"/>
    <w:rsid w:val="002A241A"/>
    <w:rsid w:val="002F0B6C"/>
    <w:rsid w:val="00355967"/>
    <w:rsid w:val="0036772A"/>
    <w:rsid w:val="00384384"/>
    <w:rsid w:val="003B2BE1"/>
    <w:rsid w:val="003B3C63"/>
    <w:rsid w:val="003C67DA"/>
    <w:rsid w:val="00460AFC"/>
    <w:rsid w:val="004E69EC"/>
    <w:rsid w:val="004F090E"/>
    <w:rsid w:val="00535189"/>
    <w:rsid w:val="00582136"/>
    <w:rsid w:val="0058383C"/>
    <w:rsid w:val="00586F79"/>
    <w:rsid w:val="005C0397"/>
    <w:rsid w:val="005C45E8"/>
    <w:rsid w:val="006034F1"/>
    <w:rsid w:val="006602F3"/>
    <w:rsid w:val="006936F1"/>
    <w:rsid w:val="006C47F1"/>
    <w:rsid w:val="006D697E"/>
    <w:rsid w:val="00701ABD"/>
    <w:rsid w:val="007740CA"/>
    <w:rsid w:val="007C2BA8"/>
    <w:rsid w:val="00803557"/>
    <w:rsid w:val="00842677"/>
    <w:rsid w:val="008714CB"/>
    <w:rsid w:val="00880B14"/>
    <w:rsid w:val="008B5797"/>
    <w:rsid w:val="008C75A4"/>
    <w:rsid w:val="008E5A19"/>
    <w:rsid w:val="008F4691"/>
    <w:rsid w:val="00904937"/>
    <w:rsid w:val="00971CC5"/>
    <w:rsid w:val="00996510"/>
    <w:rsid w:val="009F0F2D"/>
    <w:rsid w:val="00A27693"/>
    <w:rsid w:val="00A51D10"/>
    <w:rsid w:val="00AB2201"/>
    <w:rsid w:val="00B24235"/>
    <w:rsid w:val="00B92F9D"/>
    <w:rsid w:val="00BD4217"/>
    <w:rsid w:val="00CA3730"/>
    <w:rsid w:val="00D030DA"/>
    <w:rsid w:val="00D751FC"/>
    <w:rsid w:val="00D76BDF"/>
    <w:rsid w:val="00D83C28"/>
    <w:rsid w:val="00DC1A33"/>
    <w:rsid w:val="00DF5126"/>
    <w:rsid w:val="00E356C7"/>
    <w:rsid w:val="00E53ED9"/>
    <w:rsid w:val="00E64FA7"/>
    <w:rsid w:val="00E770CB"/>
    <w:rsid w:val="00F01FC5"/>
    <w:rsid w:val="00F25646"/>
    <w:rsid w:val="00F51B6A"/>
    <w:rsid w:val="00F72014"/>
    <w:rsid w:val="00F9518C"/>
    <w:rsid w:val="00FA59EF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table" w:customStyle="1" w:styleId="TableGrid2">
    <w:name w:val="Table Grid2"/>
    <w:basedOn w:val="TableNormal"/>
    <w:next w:val="TableGrid"/>
    <w:uiPriority w:val="59"/>
    <w:rsid w:val="00F51B6A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2022-06-27T19:42:00Z</dcterms:created>
  <dcterms:modified xsi:type="dcterms:W3CDTF">2023-10-30T21:24:00Z</dcterms:modified>
</cp:coreProperties>
</file>