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1DD87" w14:textId="77777777" w:rsidR="00A22985" w:rsidRDefault="00A22985" w:rsidP="00A22985">
      <w:pPr>
        <w:tabs>
          <w:tab w:val="center" w:pos="4680"/>
          <w:tab w:val="right" w:pos="9360"/>
        </w:tabs>
        <w:jc w:val="center"/>
        <w:rPr>
          <w:rFonts w:eastAsiaTheme="minorHAnsi" w:cstheme="minorBidi"/>
          <w:szCs w:val="24"/>
          <w:lang w:val="fr-CA" w:eastAsia="en-US"/>
        </w:rPr>
      </w:pPr>
      <w:r>
        <w:rPr>
          <w:rFonts w:eastAsiaTheme="minorHAnsi" w:cstheme="minorBidi"/>
          <w:szCs w:val="24"/>
          <w:lang w:val="fr-CA" w:eastAsia="en-US"/>
        </w:rPr>
        <w:ptab w:relativeTo="margin" w:alignment="center" w:leader="none"/>
      </w:r>
      <w:r>
        <w:rPr>
          <w:rFonts w:eastAsiaTheme="minorHAnsi" w:cstheme="minorBidi"/>
          <w:szCs w:val="24"/>
          <w:lang w:val="fr-CA" w:eastAsia="en-US"/>
        </w:rPr>
        <w:t xml:space="preserve"> </w:t>
      </w:r>
      <w:r>
        <w:rPr>
          <w:rFonts w:eastAsiaTheme="minorHAnsi" w:cstheme="minorBidi"/>
          <w:szCs w:val="24"/>
          <w:lang w:val="fr-CA" w:eastAsia="en-US"/>
        </w:rPr>
        <w:object w:dxaOrig="1212" w:dyaOrig="1296" w14:anchorId="4FE04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6pt;height:64.8pt" o:ole="">
            <v:imagedata r:id="rId8" o:title=""/>
          </v:shape>
          <o:OLEObject Type="Embed" ProgID="Presentations.Drawing.13" ShapeID="_x0000_i1031" DrawAspect="Content" ObjectID="_1760194145" r:id="rId9"/>
        </w:object>
      </w:r>
      <w:r>
        <w:rPr>
          <w:rFonts w:eastAsiaTheme="minorHAnsi" w:cstheme="minorBidi"/>
          <w:szCs w:val="24"/>
          <w:lang w:val="fr-CA" w:eastAsia="en-US"/>
        </w:rPr>
        <w:t xml:space="preserve"> </w:t>
      </w:r>
      <w:r>
        <w:rPr>
          <w:rFonts w:eastAsiaTheme="minorHAnsi" w:cstheme="minorBidi"/>
          <w:szCs w:val="24"/>
          <w:lang w:val="fr-CA" w:eastAsia="en-US"/>
        </w:rPr>
        <w:ptab w:relativeTo="margin" w:alignment="right" w:leader="none"/>
      </w:r>
      <w:r>
        <w:rPr>
          <w:rFonts w:eastAsiaTheme="minorHAnsi" w:cstheme="minorBidi"/>
          <w:szCs w:val="24"/>
          <w:lang w:val="fr-CA" w:eastAsia="en-US"/>
        </w:rPr>
        <w:t xml:space="preserve"> </w:t>
      </w:r>
    </w:p>
    <w:p w14:paraId="7ECC7D6C" w14:textId="77777777" w:rsidR="00A22985" w:rsidRDefault="00A22985" w:rsidP="00A22985">
      <w:pPr>
        <w:tabs>
          <w:tab w:val="center" w:pos="4680"/>
          <w:tab w:val="right" w:pos="9360"/>
        </w:tabs>
        <w:rPr>
          <w:rFonts w:eastAsiaTheme="minorHAnsi" w:cstheme="minorBidi"/>
          <w:szCs w:val="24"/>
          <w:lang w:val="fr-CA" w:eastAsia="en-US"/>
        </w:rPr>
      </w:pPr>
    </w:p>
    <w:p w14:paraId="05F4A255" w14:textId="77777777" w:rsidR="00A22985" w:rsidRDefault="00A22985" w:rsidP="00A22985">
      <w:pPr>
        <w:jc w:val="center"/>
        <w:rPr>
          <w:rFonts w:eastAsiaTheme="minorHAnsi" w:cstheme="minorBidi"/>
          <w:b/>
          <w:szCs w:val="24"/>
          <w:lang w:val="fr-CA" w:eastAsia="en-US"/>
        </w:rPr>
      </w:pPr>
      <w:r>
        <w:rPr>
          <w:rFonts w:eastAsiaTheme="minorHAnsi" w:cstheme="minorBidi"/>
          <w:b/>
          <w:szCs w:val="24"/>
          <w:lang w:val="fr-CA" w:eastAsia="en-US"/>
        </w:rPr>
        <w:t>COUR SUPRÊME DU CANADA</w:t>
      </w:r>
    </w:p>
    <w:p w14:paraId="1504415E" w14:textId="77777777" w:rsidR="00A22985" w:rsidRDefault="00A22985" w:rsidP="00A22985">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A22985" w14:paraId="2DDA427B" w14:textId="77777777" w:rsidTr="00A22985">
        <w:trPr>
          <w:cantSplit/>
        </w:trPr>
        <w:tc>
          <w:tcPr>
            <w:tcW w:w="5580" w:type="dxa"/>
            <w:hideMark/>
          </w:tcPr>
          <w:p w14:paraId="5F4C663F" w14:textId="73B42B82" w:rsidR="00A22985" w:rsidRDefault="00A22985">
            <w:pPr>
              <w:rPr>
                <w:lang w:val="fr-CA"/>
              </w:rPr>
            </w:pPr>
            <w:r>
              <w:rPr>
                <w:b/>
                <w:smallCaps/>
                <w:lang w:val="fr-CA"/>
              </w:rPr>
              <w:t>Référence :</w:t>
            </w:r>
            <w:r>
              <w:rPr>
                <w:lang w:val="fr-CA"/>
              </w:rPr>
              <w:t xml:space="preserve"> Ontario (Procureur général) </w:t>
            </w:r>
            <w:r>
              <w:rPr>
                <w:i/>
                <w:lang w:val="fr-CA"/>
              </w:rPr>
              <w:t>c</w:t>
            </w:r>
            <w:r>
              <w:rPr>
                <w:lang w:val="fr-CA"/>
              </w:rPr>
              <w:t>. G, 2020 CSC 38</w:t>
            </w:r>
            <w:r>
              <w:rPr>
                <w:lang w:val="fr-CA"/>
              </w:rPr>
              <w:t xml:space="preserve">, [2020] 3 </w:t>
            </w:r>
            <w:proofErr w:type="spellStart"/>
            <w:r>
              <w:rPr>
                <w:lang w:val="fr-CA"/>
              </w:rPr>
              <w:t>R.C.S</w:t>
            </w:r>
            <w:proofErr w:type="spellEnd"/>
            <w:r>
              <w:rPr>
                <w:lang w:val="fr-CA"/>
              </w:rPr>
              <w:t>. 629</w:t>
            </w:r>
          </w:p>
        </w:tc>
        <w:tc>
          <w:tcPr>
            <w:tcW w:w="3996" w:type="dxa"/>
            <w:hideMark/>
          </w:tcPr>
          <w:p w14:paraId="10FB7A72" w14:textId="77777777" w:rsidR="00A22985" w:rsidRDefault="00A22985">
            <w:pPr>
              <w:rPr>
                <w:lang w:val="fr-CA"/>
              </w:rPr>
            </w:pPr>
            <w:r>
              <w:rPr>
                <w:b/>
                <w:smallCaps/>
                <w:lang w:val="fr-CA"/>
              </w:rPr>
              <w:t>Appel entendu :</w:t>
            </w:r>
            <w:r>
              <w:rPr>
                <w:lang w:val="fr-CA"/>
              </w:rPr>
              <w:t xml:space="preserve"> 20 février 2020 </w:t>
            </w:r>
          </w:p>
          <w:p w14:paraId="1A952F0C" w14:textId="77777777" w:rsidR="00A22985" w:rsidRDefault="00A22985">
            <w:pPr>
              <w:rPr>
                <w:b/>
                <w:smallCaps/>
                <w:lang w:val="fr-CA"/>
              </w:rPr>
            </w:pPr>
            <w:r>
              <w:rPr>
                <w:b/>
                <w:smallCaps/>
                <w:lang w:val="fr-CA"/>
              </w:rPr>
              <w:t xml:space="preserve">Jugement rendu : </w:t>
            </w:r>
            <w:r>
              <w:rPr>
                <w:lang w:val="fr-CA"/>
              </w:rPr>
              <w:t>20 novembre 2020</w:t>
            </w:r>
          </w:p>
          <w:p w14:paraId="683AABB6" w14:textId="77777777" w:rsidR="00A22985" w:rsidRDefault="00A22985">
            <w:pPr>
              <w:rPr>
                <w:lang w:val="fr-CA"/>
              </w:rPr>
            </w:pPr>
            <w:r>
              <w:rPr>
                <w:b/>
                <w:smallCaps/>
                <w:lang w:val="fr-CA"/>
              </w:rPr>
              <w:t>Dossier :</w:t>
            </w:r>
            <w:r>
              <w:rPr>
                <w:lang w:val="fr-CA"/>
              </w:rPr>
              <w:t xml:space="preserve"> 38585</w:t>
            </w:r>
          </w:p>
        </w:tc>
      </w:tr>
    </w:tbl>
    <w:p w14:paraId="29352899" w14:textId="77777777" w:rsidR="00A22985" w:rsidRDefault="00A22985" w:rsidP="00A22985">
      <w:pPr>
        <w:rPr>
          <w:rFonts w:eastAsiaTheme="minorHAnsi" w:cstheme="minorBidi"/>
          <w:szCs w:val="24"/>
          <w:lang w:val="fr-CA" w:eastAsia="en-US"/>
        </w:rPr>
      </w:pPr>
    </w:p>
    <w:p w14:paraId="77634D18" w14:textId="77777777" w:rsidR="00A22985" w:rsidRDefault="00A22985" w:rsidP="00A22985">
      <w:pPr>
        <w:rPr>
          <w:rFonts w:eastAsiaTheme="minorHAnsi" w:cstheme="minorBidi"/>
          <w:b/>
          <w:smallCaps/>
          <w:szCs w:val="24"/>
          <w:lang w:val="fr-CA" w:eastAsia="en-US"/>
        </w:rPr>
      </w:pPr>
      <w:r>
        <w:rPr>
          <w:rFonts w:eastAsiaTheme="minorHAnsi" w:cstheme="minorBidi"/>
          <w:b/>
          <w:smallCaps/>
          <w:szCs w:val="24"/>
          <w:lang w:val="fr-CA" w:eastAsia="en-US"/>
        </w:rPr>
        <w:t>Entre :</w:t>
      </w:r>
    </w:p>
    <w:p w14:paraId="379197EB" w14:textId="77777777" w:rsidR="00A22985" w:rsidRDefault="00A22985" w:rsidP="00A22985">
      <w:pPr>
        <w:jc w:val="center"/>
        <w:rPr>
          <w:rFonts w:eastAsiaTheme="minorHAnsi" w:cstheme="minorBidi"/>
          <w:b/>
          <w:szCs w:val="24"/>
          <w:lang w:val="fr-CA" w:eastAsia="en-US"/>
        </w:rPr>
      </w:pPr>
      <w:r>
        <w:rPr>
          <w:rFonts w:eastAsiaTheme="minorHAnsi" w:cstheme="minorBidi"/>
          <w:b/>
          <w:szCs w:val="24"/>
          <w:lang w:val="fr-CA" w:eastAsia="en-US"/>
        </w:rPr>
        <w:t>Procureur général de l’Ontario</w:t>
      </w:r>
    </w:p>
    <w:p w14:paraId="677DD222" w14:textId="77777777" w:rsidR="00A22985" w:rsidRDefault="00A22985" w:rsidP="00A22985">
      <w:pPr>
        <w:jc w:val="center"/>
        <w:rPr>
          <w:rFonts w:eastAsiaTheme="minorHAnsi" w:cstheme="minorBidi"/>
          <w:szCs w:val="24"/>
          <w:lang w:val="fr-CA" w:eastAsia="en-US"/>
        </w:rPr>
      </w:pPr>
      <w:r>
        <w:rPr>
          <w:rFonts w:eastAsiaTheme="minorHAnsi" w:cstheme="minorBidi"/>
          <w:szCs w:val="24"/>
          <w:lang w:val="fr-CA" w:eastAsia="en-US"/>
        </w:rPr>
        <w:t>Appelant</w:t>
      </w:r>
    </w:p>
    <w:p w14:paraId="60F3524B" w14:textId="77777777" w:rsidR="00A22985" w:rsidRDefault="00A22985" w:rsidP="00A22985">
      <w:pPr>
        <w:jc w:val="center"/>
        <w:rPr>
          <w:rFonts w:eastAsiaTheme="minorHAnsi" w:cstheme="minorBidi"/>
          <w:szCs w:val="24"/>
          <w:lang w:val="fr-CA" w:eastAsia="en-US"/>
        </w:rPr>
      </w:pPr>
    </w:p>
    <w:p w14:paraId="71A8EF52" w14:textId="77777777" w:rsidR="00A22985" w:rsidRDefault="00A22985" w:rsidP="00A22985">
      <w:pPr>
        <w:jc w:val="center"/>
        <w:rPr>
          <w:rFonts w:eastAsiaTheme="minorHAnsi" w:cstheme="minorBidi"/>
          <w:szCs w:val="24"/>
          <w:lang w:val="fr-CA" w:eastAsia="en-US"/>
        </w:rPr>
      </w:pPr>
      <w:proofErr w:type="gramStart"/>
      <w:r>
        <w:rPr>
          <w:rFonts w:eastAsiaTheme="minorHAnsi" w:cstheme="minorBidi"/>
          <w:szCs w:val="24"/>
          <w:lang w:val="fr-CA" w:eastAsia="en-US"/>
        </w:rPr>
        <w:t>et</w:t>
      </w:r>
      <w:proofErr w:type="gramEnd"/>
    </w:p>
    <w:p w14:paraId="78F20217" w14:textId="77777777" w:rsidR="00A22985" w:rsidRDefault="00A22985" w:rsidP="00A22985">
      <w:pPr>
        <w:jc w:val="center"/>
        <w:rPr>
          <w:rFonts w:eastAsiaTheme="minorHAnsi" w:cstheme="minorBidi"/>
          <w:b/>
          <w:szCs w:val="24"/>
          <w:lang w:val="fr-CA" w:eastAsia="en-US"/>
        </w:rPr>
      </w:pPr>
    </w:p>
    <w:p w14:paraId="77471C5F" w14:textId="77777777" w:rsidR="00A22985" w:rsidRDefault="00A22985" w:rsidP="00A22985">
      <w:pPr>
        <w:jc w:val="center"/>
        <w:rPr>
          <w:rFonts w:eastAsiaTheme="minorHAnsi" w:cstheme="minorBidi"/>
          <w:b/>
          <w:szCs w:val="24"/>
          <w:lang w:val="fr-CA" w:eastAsia="en-US"/>
        </w:rPr>
      </w:pPr>
      <w:r>
        <w:rPr>
          <w:rFonts w:eastAsiaTheme="minorHAnsi" w:cstheme="minorBidi"/>
          <w:b/>
          <w:szCs w:val="24"/>
          <w:lang w:val="fr-CA" w:eastAsia="en-US"/>
        </w:rPr>
        <w:t>G</w:t>
      </w:r>
    </w:p>
    <w:p w14:paraId="7E1857A0" w14:textId="77777777" w:rsidR="00A22985" w:rsidRDefault="00A22985" w:rsidP="00A22985">
      <w:pPr>
        <w:jc w:val="center"/>
        <w:rPr>
          <w:rFonts w:eastAsiaTheme="minorHAnsi" w:cstheme="minorBidi"/>
          <w:szCs w:val="24"/>
          <w:lang w:val="fr-CA" w:eastAsia="en-US"/>
        </w:rPr>
      </w:pPr>
      <w:r>
        <w:rPr>
          <w:rFonts w:eastAsiaTheme="minorHAnsi" w:cstheme="minorBidi"/>
          <w:szCs w:val="24"/>
          <w:lang w:val="fr-CA" w:eastAsia="en-US"/>
        </w:rPr>
        <w:t>Intimé</w:t>
      </w:r>
    </w:p>
    <w:p w14:paraId="06E6A3B8" w14:textId="77777777" w:rsidR="00A22985" w:rsidRDefault="00A22985" w:rsidP="00A22985">
      <w:pPr>
        <w:jc w:val="center"/>
        <w:rPr>
          <w:rFonts w:eastAsiaTheme="minorHAnsi" w:cstheme="minorBidi"/>
          <w:szCs w:val="24"/>
          <w:lang w:val="fr-CA" w:eastAsia="en-US"/>
        </w:rPr>
      </w:pPr>
    </w:p>
    <w:p w14:paraId="5923706E" w14:textId="77777777" w:rsidR="00A22985" w:rsidRDefault="00A22985" w:rsidP="00A22985">
      <w:pPr>
        <w:jc w:val="center"/>
        <w:rPr>
          <w:rFonts w:eastAsiaTheme="minorHAnsi" w:cstheme="minorBidi"/>
          <w:szCs w:val="24"/>
          <w:lang w:val="fr-CA" w:eastAsia="en-US"/>
        </w:rPr>
      </w:pPr>
      <w:r>
        <w:rPr>
          <w:rFonts w:eastAsiaTheme="minorHAnsi" w:cstheme="minorBidi"/>
          <w:szCs w:val="24"/>
          <w:lang w:val="fr-CA" w:eastAsia="en-US"/>
        </w:rPr>
        <w:t>- et -</w:t>
      </w:r>
    </w:p>
    <w:p w14:paraId="3F9D1AB5" w14:textId="77777777" w:rsidR="00A22985" w:rsidRDefault="00A22985" w:rsidP="00A22985">
      <w:pPr>
        <w:jc w:val="center"/>
        <w:rPr>
          <w:rFonts w:eastAsiaTheme="minorHAnsi" w:cstheme="minorBidi"/>
          <w:b/>
          <w:szCs w:val="24"/>
          <w:lang w:val="fr-CA" w:eastAsia="en-US"/>
        </w:rPr>
      </w:pPr>
    </w:p>
    <w:p w14:paraId="09165711" w14:textId="77777777" w:rsidR="00A22985" w:rsidRDefault="00A22985" w:rsidP="00A22985">
      <w:pPr>
        <w:jc w:val="center"/>
        <w:rPr>
          <w:rFonts w:eastAsiaTheme="minorHAnsi" w:cstheme="minorBidi"/>
          <w:b/>
          <w:szCs w:val="24"/>
          <w:lang w:val="fr-CA" w:eastAsia="en-US"/>
        </w:rPr>
      </w:pPr>
      <w:r>
        <w:rPr>
          <w:rFonts w:eastAsiaTheme="minorHAnsi" w:cstheme="minorBidi"/>
          <w:b/>
          <w:szCs w:val="24"/>
          <w:lang w:val="fr-CA" w:eastAsia="en-US"/>
        </w:rPr>
        <w:t xml:space="preserve">Procureur général du Canada, </w:t>
      </w:r>
      <w:proofErr w:type="spellStart"/>
      <w:r>
        <w:rPr>
          <w:rFonts w:eastAsiaTheme="minorHAnsi" w:cstheme="minorBidi"/>
          <w:b/>
          <w:szCs w:val="24"/>
          <w:lang w:val="fr-CA" w:eastAsia="en-US"/>
        </w:rPr>
        <w:t>Criminal</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Lawyers</w:t>
      </w:r>
      <w:proofErr w:type="spellEnd"/>
      <w:r>
        <w:rPr>
          <w:rFonts w:eastAsiaTheme="minorHAnsi" w:cstheme="minorBidi"/>
          <w:b/>
          <w:szCs w:val="24"/>
          <w:lang w:val="fr-CA" w:eastAsia="en-US"/>
        </w:rPr>
        <w:t xml:space="preserve">’ Association (Ontario), Association canadienne des libertés civiles, David </w:t>
      </w:r>
      <w:proofErr w:type="spellStart"/>
      <w:r>
        <w:rPr>
          <w:rFonts w:eastAsiaTheme="minorHAnsi" w:cstheme="minorBidi"/>
          <w:b/>
          <w:szCs w:val="24"/>
          <w:lang w:val="fr-CA" w:eastAsia="en-US"/>
        </w:rPr>
        <w:t>Asper</w:t>
      </w:r>
      <w:proofErr w:type="spellEnd"/>
      <w:r>
        <w:rPr>
          <w:rFonts w:eastAsiaTheme="minorHAnsi" w:cstheme="minorBidi"/>
          <w:b/>
          <w:szCs w:val="24"/>
          <w:lang w:val="fr-CA" w:eastAsia="en-US"/>
        </w:rPr>
        <w:t xml:space="preserve"> Centre for </w:t>
      </w:r>
      <w:proofErr w:type="spellStart"/>
      <w:r>
        <w:rPr>
          <w:rFonts w:eastAsiaTheme="minorHAnsi" w:cstheme="minorBidi"/>
          <w:b/>
          <w:szCs w:val="24"/>
          <w:lang w:val="fr-CA" w:eastAsia="en-US"/>
        </w:rPr>
        <w:t>Constitutional</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Rights</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Empowerment</w:t>
      </w:r>
      <w:proofErr w:type="spellEnd"/>
      <w:r>
        <w:rPr>
          <w:rFonts w:eastAsiaTheme="minorHAnsi" w:cstheme="minorBidi"/>
          <w:b/>
          <w:szCs w:val="24"/>
          <w:lang w:val="fr-CA" w:eastAsia="en-US"/>
        </w:rPr>
        <w:t xml:space="preserve"> Council et Association canadienne pour la santé mentale, Ontario</w:t>
      </w:r>
    </w:p>
    <w:p w14:paraId="3916DB54" w14:textId="77777777" w:rsidR="00A22985" w:rsidRDefault="00A22985" w:rsidP="00A22985">
      <w:pPr>
        <w:jc w:val="center"/>
        <w:rPr>
          <w:rFonts w:eastAsiaTheme="minorHAnsi" w:cstheme="minorBidi"/>
          <w:szCs w:val="24"/>
          <w:lang w:val="fr-CA" w:eastAsia="en-US"/>
        </w:rPr>
      </w:pPr>
      <w:r>
        <w:rPr>
          <w:rFonts w:eastAsiaTheme="minorHAnsi" w:cstheme="minorBidi"/>
          <w:szCs w:val="24"/>
          <w:lang w:val="fr-CA" w:eastAsia="en-US"/>
        </w:rPr>
        <w:t>Intervenants</w:t>
      </w:r>
    </w:p>
    <w:p w14:paraId="3CE8E92D" w14:textId="77777777" w:rsidR="00A22985" w:rsidRDefault="00A22985" w:rsidP="00A22985">
      <w:pPr>
        <w:rPr>
          <w:rFonts w:eastAsiaTheme="minorHAnsi" w:cstheme="minorBidi"/>
          <w:szCs w:val="24"/>
          <w:lang w:val="fr-CA" w:eastAsia="en-US"/>
        </w:rPr>
      </w:pPr>
    </w:p>
    <w:p w14:paraId="4E463E03" w14:textId="77777777" w:rsidR="00A22985" w:rsidRDefault="00A22985" w:rsidP="00A22985">
      <w:pPr>
        <w:jc w:val="center"/>
        <w:rPr>
          <w:rFonts w:eastAsiaTheme="minorHAnsi" w:cstheme="minorBidi"/>
          <w:b/>
          <w:smallCaps/>
          <w:szCs w:val="24"/>
          <w:lang w:val="fr-CA" w:eastAsia="en-US"/>
        </w:rPr>
      </w:pPr>
      <w:r>
        <w:rPr>
          <w:rFonts w:eastAsiaTheme="minorHAnsi" w:cstheme="minorBidi"/>
          <w:b/>
          <w:smallCaps/>
          <w:szCs w:val="24"/>
          <w:lang w:val="fr-CA" w:eastAsia="en-US"/>
        </w:rPr>
        <w:t>Traduction française officielle</w:t>
      </w:r>
    </w:p>
    <w:p w14:paraId="77C5CAAF" w14:textId="77777777" w:rsidR="00A22985" w:rsidRDefault="00A22985" w:rsidP="00A22985">
      <w:pPr>
        <w:rPr>
          <w:rFonts w:eastAsiaTheme="minorHAnsi" w:cstheme="minorBidi"/>
          <w:szCs w:val="24"/>
          <w:lang w:val="fr-CA" w:eastAsia="en-US"/>
        </w:rPr>
      </w:pPr>
    </w:p>
    <w:p w14:paraId="79FD945B" w14:textId="77777777" w:rsidR="00A22985" w:rsidRDefault="00A22985" w:rsidP="00A22985">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w:t>
      </w:r>
      <w:proofErr w:type="spellStart"/>
      <w:r>
        <w:rPr>
          <w:rFonts w:eastAsiaTheme="minorHAnsi" w:cstheme="minorBidi"/>
          <w:szCs w:val="24"/>
          <w:lang w:val="fr-CA" w:eastAsia="en-US"/>
        </w:rPr>
        <w:t>Moldaver</w:t>
      </w:r>
      <w:proofErr w:type="spellEnd"/>
      <w:r>
        <w:rPr>
          <w:rFonts w:eastAsiaTheme="minorHAnsi" w:cstheme="minorBidi"/>
          <w:szCs w:val="24"/>
          <w:lang w:val="fr-CA" w:eastAsia="en-US"/>
        </w:rPr>
        <w:t xml:space="preserve">, </w:t>
      </w:r>
      <w:proofErr w:type="spellStart"/>
      <w:r>
        <w:rPr>
          <w:rFonts w:eastAsiaTheme="minorHAnsi" w:cstheme="minorBidi"/>
          <w:szCs w:val="24"/>
          <w:lang w:val="fr-CA" w:eastAsia="en-US"/>
        </w:rPr>
        <w:t>Karakatsanis</w:t>
      </w:r>
      <w:proofErr w:type="spellEnd"/>
      <w:r>
        <w:rPr>
          <w:rFonts w:eastAsiaTheme="minorHAnsi" w:cstheme="minorBidi"/>
          <w:szCs w:val="24"/>
          <w:lang w:val="fr-CA" w:eastAsia="en-US"/>
        </w:rPr>
        <w:t xml:space="preserve">, Côté, Brown, Rowe, Martin et </w:t>
      </w:r>
      <w:proofErr w:type="spellStart"/>
      <w:r>
        <w:rPr>
          <w:rFonts w:eastAsiaTheme="minorHAnsi" w:cstheme="minorBidi"/>
          <w:szCs w:val="24"/>
          <w:lang w:val="fr-CA" w:eastAsia="en-US"/>
        </w:rPr>
        <w:t>Kasirer</w:t>
      </w:r>
      <w:proofErr w:type="spellEnd"/>
    </w:p>
    <w:p w14:paraId="10315FC5" w14:textId="77777777" w:rsidR="00A22985" w:rsidRDefault="00A22985" w:rsidP="00A22985">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22985" w14:paraId="7B6EB5E0" w14:textId="77777777" w:rsidTr="00A22985">
        <w:trPr>
          <w:cantSplit/>
        </w:trPr>
        <w:tc>
          <w:tcPr>
            <w:tcW w:w="3618" w:type="dxa"/>
          </w:tcPr>
          <w:p w14:paraId="5133D405" w14:textId="77777777" w:rsidR="00A22985" w:rsidRDefault="00A22985">
            <w:pPr>
              <w:rPr>
                <w:b/>
                <w:smallCaps/>
                <w:lang w:val="fr-CA"/>
              </w:rPr>
            </w:pPr>
            <w:r>
              <w:rPr>
                <w:b/>
                <w:smallCaps/>
                <w:lang w:val="fr-CA"/>
              </w:rPr>
              <w:t>Motifs de jugement :</w:t>
            </w:r>
          </w:p>
          <w:p w14:paraId="4C599A49" w14:textId="77777777" w:rsidR="00A22985" w:rsidRDefault="00A22985">
            <w:pPr>
              <w:rPr>
                <w:lang w:val="fr-CA"/>
              </w:rPr>
            </w:pPr>
            <w:r>
              <w:rPr>
                <w:lang w:val="fr-CA"/>
              </w:rPr>
              <w:t>(par. 1 à 184)</w:t>
            </w:r>
          </w:p>
          <w:p w14:paraId="2480AD86" w14:textId="77777777" w:rsidR="00A22985" w:rsidRDefault="00A22985">
            <w:pPr>
              <w:rPr>
                <w:lang w:val="fr-CA"/>
              </w:rPr>
            </w:pPr>
          </w:p>
          <w:p w14:paraId="778DC0B2" w14:textId="77777777" w:rsidR="00A22985" w:rsidRDefault="00A22985">
            <w:pPr>
              <w:rPr>
                <w:b/>
                <w:smallCaps/>
                <w:lang w:val="fr-CA"/>
              </w:rPr>
            </w:pPr>
            <w:r>
              <w:rPr>
                <w:b/>
                <w:smallCaps/>
                <w:lang w:val="fr-CA"/>
              </w:rPr>
              <w:t>Motifs concordants :</w:t>
            </w:r>
          </w:p>
          <w:p w14:paraId="142676C3" w14:textId="77777777" w:rsidR="00A22985" w:rsidRDefault="00A22985">
            <w:pPr>
              <w:rPr>
                <w:lang w:val="fr-CA"/>
              </w:rPr>
            </w:pPr>
            <w:r>
              <w:rPr>
                <w:lang w:val="fr-CA"/>
              </w:rPr>
              <w:t>(par. 185 à 217)</w:t>
            </w:r>
          </w:p>
          <w:p w14:paraId="22A6C154" w14:textId="77777777" w:rsidR="00A22985" w:rsidRDefault="00A22985">
            <w:pPr>
              <w:rPr>
                <w:lang w:val="fr-CA"/>
              </w:rPr>
            </w:pPr>
          </w:p>
          <w:p w14:paraId="7253669D" w14:textId="77777777" w:rsidR="00A22985" w:rsidRDefault="00A22985">
            <w:pPr>
              <w:rPr>
                <w:b/>
                <w:smallCaps/>
                <w:lang w:val="fr-CA"/>
              </w:rPr>
            </w:pPr>
            <w:r>
              <w:rPr>
                <w:b/>
                <w:smallCaps/>
                <w:lang w:val="fr-CA"/>
              </w:rPr>
              <w:t xml:space="preserve">Motifs conjoints </w:t>
            </w:r>
          </w:p>
          <w:p w14:paraId="04949099" w14:textId="77777777" w:rsidR="00A22985" w:rsidRDefault="00A22985">
            <w:pPr>
              <w:rPr>
                <w:b/>
                <w:smallCaps/>
                <w:lang w:val="fr-CA"/>
              </w:rPr>
            </w:pPr>
            <w:r>
              <w:rPr>
                <w:b/>
                <w:smallCaps/>
                <w:lang w:val="fr-CA"/>
              </w:rPr>
              <w:t>dissidents en partie:</w:t>
            </w:r>
          </w:p>
          <w:p w14:paraId="527BDEED" w14:textId="77777777" w:rsidR="00A22985" w:rsidRDefault="00A22985">
            <w:pPr>
              <w:rPr>
                <w:b/>
                <w:smallCaps/>
                <w:lang w:val="fr-CA"/>
              </w:rPr>
            </w:pPr>
            <w:r>
              <w:rPr>
                <w:lang w:val="fr-CA"/>
              </w:rPr>
              <w:t>(par. 218 à 294)</w:t>
            </w:r>
          </w:p>
        </w:tc>
        <w:tc>
          <w:tcPr>
            <w:tcW w:w="5958" w:type="dxa"/>
          </w:tcPr>
          <w:p w14:paraId="7523FD6A" w14:textId="77777777" w:rsidR="00A22985" w:rsidRDefault="00A22985">
            <w:pPr>
              <w:rPr>
                <w:lang w:val="fr-CA"/>
              </w:rPr>
            </w:pPr>
            <w:r>
              <w:rPr>
                <w:lang w:val="fr-CA"/>
              </w:rPr>
              <w:t xml:space="preserve">La juge </w:t>
            </w:r>
            <w:proofErr w:type="spellStart"/>
            <w:r>
              <w:rPr>
                <w:lang w:val="fr-CA"/>
              </w:rPr>
              <w:t>Karakatsanis</w:t>
            </w:r>
            <w:proofErr w:type="spellEnd"/>
            <w:r>
              <w:rPr>
                <w:lang w:val="fr-CA"/>
              </w:rPr>
              <w:t xml:space="preserve"> (avec l’accord du juge en chef Wagner et des juges Abella, </w:t>
            </w:r>
            <w:proofErr w:type="spellStart"/>
            <w:r>
              <w:rPr>
                <w:lang w:val="fr-CA"/>
              </w:rPr>
              <w:t>Moldaver</w:t>
            </w:r>
            <w:proofErr w:type="spellEnd"/>
            <w:r>
              <w:rPr>
                <w:lang w:val="fr-CA"/>
              </w:rPr>
              <w:t xml:space="preserve">, Martin et </w:t>
            </w:r>
            <w:proofErr w:type="spellStart"/>
            <w:r>
              <w:rPr>
                <w:lang w:val="fr-CA"/>
              </w:rPr>
              <w:t>Kasirer</w:t>
            </w:r>
            <w:proofErr w:type="spellEnd"/>
            <w:r>
              <w:rPr>
                <w:lang w:val="fr-CA"/>
              </w:rPr>
              <w:t xml:space="preserve">) </w:t>
            </w:r>
          </w:p>
          <w:p w14:paraId="00BDCB1D" w14:textId="77777777" w:rsidR="00A22985" w:rsidRDefault="00A22985">
            <w:pPr>
              <w:rPr>
                <w:lang w:val="fr-CA"/>
              </w:rPr>
            </w:pPr>
          </w:p>
          <w:p w14:paraId="0C25D7E7" w14:textId="77777777" w:rsidR="00A22985" w:rsidRDefault="00A22985">
            <w:pPr>
              <w:rPr>
                <w:lang w:val="fr-CA"/>
              </w:rPr>
            </w:pPr>
            <w:r>
              <w:rPr>
                <w:lang w:val="fr-CA"/>
              </w:rPr>
              <w:t xml:space="preserve">Le juge Rowe </w:t>
            </w:r>
          </w:p>
          <w:p w14:paraId="22D86D85" w14:textId="77777777" w:rsidR="00A22985" w:rsidRDefault="00A22985">
            <w:pPr>
              <w:rPr>
                <w:lang w:val="fr-CA"/>
              </w:rPr>
            </w:pPr>
          </w:p>
          <w:p w14:paraId="63EE59EC" w14:textId="77777777" w:rsidR="00A22985" w:rsidRDefault="00A22985">
            <w:pPr>
              <w:rPr>
                <w:lang w:val="fr-CA"/>
              </w:rPr>
            </w:pPr>
          </w:p>
          <w:p w14:paraId="49FCA9AF" w14:textId="77777777" w:rsidR="00A22985" w:rsidRDefault="00A22985">
            <w:pPr>
              <w:rPr>
                <w:lang w:val="fr-CA"/>
              </w:rPr>
            </w:pPr>
            <w:r>
              <w:rPr>
                <w:lang w:val="fr-CA"/>
              </w:rPr>
              <w:t>Les juges Côté et Brown</w:t>
            </w:r>
          </w:p>
          <w:p w14:paraId="7D0672CA" w14:textId="77777777" w:rsidR="00A22985" w:rsidRDefault="00A22985">
            <w:pPr>
              <w:rPr>
                <w:lang w:val="fr-CA"/>
              </w:rPr>
            </w:pPr>
          </w:p>
        </w:tc>
      </w:tr>
    </w:tbl>
    <w:p w14:paraId="61445460" w14:textId="77777777" w:rsidR="00A22985" w:rsidRDefault="00A22985" w:rsidP="00A22985">
      <w:pPr>
        <w:rPr>
          <w:rFonts w:eastAsiaTheme="minorHAnsi" w:cstheme="minorBidi"/>
          <w:szCs w:val="24"/>
          <w:lang w:val="fr-CA" w:eastAsia="en-US"/>
        </w:rPr>
      </w:pPr>
    </w:p>
    <w:p w14:paraId="7C797452" w14:textId="6A3CDB21" w:rsidR="00A22985" w:rsidRDefault="00A22985" w:rsidP="00A22985">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14:anchorId="6A295CF6" wp14:editId="7B89A2F0">
                <wp:simplePos x="0" y="0"/>
                <wp:positionH relativeFrom="column">
                  <wp:posOffset>1609725</wp:posOffset>
                </wp:positionH>
                <wp:positionV relativeFrom="paragraph">
                  <wp:posOffset>184150</wp:posOffset>
                </wp:positionV>
                <wp:extent cx="25050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C2E11F" id="_x0000_t32" coordsize="21600,21600" o:spt="32" o:oned="t" path="m,l21600,21600e" filled="f">
                <v:path arrowok="t" fillok="f" o:connecttype="none"/>
                <o:lock v:ext="edit" shapetype="t"/>
              </v:shapetype>
              <v:shape id="Straight Arrow Connector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SC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3Qez+PHOUb05otIdgtU2tjPHDrkjRyboY6x&#10;gCSkIacXYz0tkt0CfFYJW9G2QQ6tRH2Ol/N0HgIMtIJ5pz9mdH0oWo1OxAsqPKFG57k/puEoWQBr&#10;OGGbwbZEtFfbJW+lx3OFOTqDdVXMj2W83Cw2i9lklj5sJrO4LCfP22I2edgmj/PyU1kUZfLTU0tm&#10;WSMY49Kzu6k3mf2dOoZ7dNXdqN+xDdF79NAvR/b2DqTDZP0wr7I4ALvs9G3iTrDh8HC5/I243zv7&#10;/hew/gU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MYWRIIlAgAASgQAAA4AAAAAAAAAAAAAAAAALgIAAGRycy9lMm9Eb2Mu&#10;eG1sUEsBAi0AFAAGAAgAAAAhAKpvgi7dAAAACQEAAA8AAAAAAAAAAAAAAAAAfwQAAGRycy9kb3du&#10;cmV2LnhtbFBLBQYAAAAABAAEAPMAAACJBQAAAAA=&#10;"/>
            </w:pict>
          </mc:Fallback>
        </mc:AlternateContent>
      </w:r>
    </w:p>
    <w:p w14:paraId="4FDB3D47" w14:textId="77777777" w:rsidR="00137AE7" w:rsidRPr="00E96209" w:rsidRDefault="00E8528C" w:rsidP="008A7C16">
      <w:pPr>
        <w:pStyle w:val="SCCLsocLastPartyInRole"/>
        <w:rPr>
          <w:lang w:val="fr-CA"/>
        </w:rPr>
      </w:pPr>
      <w:bookmarkStart w:id="0" w:name="_GoBack"/>
      <w:bookmarkEnd w:id="0"/>
      <w:r w:rsidRPr="00E96209">
        <w:rPr>
          <w:lang w:val="fr-CA"/>
        </w:rPr>
        <w:t>Procureur général de l</w:t>
      </w:r>
      <w:r w:rsidR="0068033A" w:rsidRPr="00E96209">
        <w:rPr>
          <w:lang w:val="fr-CA"/>
        </w:rPr>
        <w:t>’</w:t>
      </w:r>
      <w:r w:rsidRPr="00E96209">
        <w:rPr>
          <w:lang w:val="fr-CA"/>
        </w:rPr>
        <w:t>Ontario</w:t>
      </w:r>
      <w:r w:rsidR="0068033A" w:rsidRPr="00E96209">
        <w:rPr>
          <w:rStyle w:val="SCCLsocPartyRole"/>
          <w:lang w:val="fr-CA"/>
        </w:rPr>
        <w:tab/>
        <w:t>Appelant</w:t>
      </w:r>
    </w:p>
    <w:p w14:paraId="28CAA6DC" w14:textId="77777777" w:rsidR="00137AE7" w:rsidRPr="00E96209" w:rsidRDefault="00E8528C" w:rsidP="008A7C16">
      <w:pPr>
        <w:pStyle w:val="SCCLsocVersus"/>
        <w:rPr>
          <w:lang w:val="fr-CA"/>
        </w:rPr>
      </w:pPr>
      <w:proofErr w:type="gramStart"/>
      <w:r w:rsidRPr="00E96209">
        <w:rPr>
          <w:lang w:val="fr-CA"/>
        </w:rPr>
        <w:t>c</w:t>
      </w:r>
      <w:proofErr w:type="gramEnd"/>
      <w:r w:rsidRPr="00E96209">
        <w:rPr>
          <w:lang w:val="fr-CA"/>
        </w:rPr>
        <w:t>.</w:t>
      </w:r>
    </w:p>
    <w:p w14:paraId="01700624" w14:textId="77777777" w:rsidR="00137AE7" w:rsidRPr="00E96209" w:rsidRDefault="00E8528C" w:rsidP="008A7C16">
      <w:pPr>
        <w:pStyle w:val="SCCLsocLastPartyInRole"/>
        <w:rPr>
          <w:lang w:val="fr-CA"/>
        </w:rPr>
      </w:pPr>
      <w:r w:rsidRPr="00E96209">
        <w:rPr>
          <w:lang w:val="fr-CA"/>
        </w:rPr>
        <w:t>G</w:t>
      </w:r>
      <w:r w:rsidRPr="00E96209">
        <w:rPr>
          <w:rStyle w:val="SCCLsocPartyRole"/>
          <w:lang w:val="fr-CA"/>
        </w:rPr>
        <w:tab/>
        <w:t>Intimé</w:t>
      </w:r>
    </w:p>
    <w:p w14:paraId="41A839BE" w14:textId="77777777" w:rsidR="00137AE7" w:rsidRPr="00E96209" w:rsidRDefault="00E8528C" w:rsidP="008A7C16">
      <w:pPr>
        <w:pStyle w:val="SCCLsocOtherPartySeparator"/>
        <w:rPr>
          <w:lang w:val="fr-CA"/>
        </w:rPr>
      </w:pPr>
      <w:proofErr w:type="gramStart"/>
      <w:r w:rsidRPr="00E96209">
        <w:rPr>
          <w:lang w:val="fr-CA"/>
        </w:rPr>
        <w:t>et</w:t>
      </w:r>
      <w:proofErr w:type="gramEnd"/>
    </w:p>
    <w:p w14:paraId="6DBBFD5F" w14:textId="77777777" w:rsidR="00137AE7" w:rsidRPr="00E96209" w:rsidRDefault="00E8528C">
      <w:pPr>
        <w:pStyle w:val="SCCLsocParty"/>
        <w:rPr>
          <w:lang w:val="fr-CA"/>
        </w:rPr>
      </w:pPr>
      <w:r w:rsidRPr="00E96209">
        <w:rPr>
          <w:lang w:val="fr-CA"/>
        </w:rPr>
        <w:t>Procureur général du Canada,</w:t>
      </w:r>
    </w:p>
    <w:p w14:paraId="5FF41886" w14:textId="77777777" w:rsidR="00137AE7" w:rsidRPr="00E96209" w:rsidRDefault="00E8528C">
      <w:pPr>
        <w:pStyle w:val="SCCLsocParty"/>
        <w:rPr>
          <w:lang w:val="fr-CA"/>
        </w:rPr>
      </w:pPr>
      <w:proofErr w:type="spellStart"/>
      <w:r w:rsidRPr="00E96209">
        <w:rPr>
          <w:lang w:val="fr-CA"/>
        </w:rPr>
        <w:t>Criminal</w:t>
      </w:r>
      <w:proofErr w:type="spellEnd"/>
      <w:r w:rsidRPr="00E96209">
        <w:rPr>
          <w:lang w:val="fr-CA"/>
        </w:rPr>
        <w:t xml:space="preserve"> </w:t>
      </w:r>
      <w:proofErr w:type="spellStart"/>
      <w:r w:rsidRPr="00E96209">
        <w:rPr>
          <w:lang w:val="fr-CA"/>
        </w:rPr>
        <w:t>Lawyers</w:t>
      </w:r>
      <w:proofErr w:type="spellEnd"/>
      <w:r w:rsidR="002659D6" w:rsidRPr="00E96209">
        <w:rPr>
          <w:lang w:val="fr-CA"/>
        </w:rPr>
        <w:t>’</w:t>
      </w:r>
      <w:r w:rsidRPr="00E96209">
        <w:rPr>
          <w:lang w:val="fr-CA"/>
        </w:rPr>
        <w:t xml:space="preserve"> Association (Ontario),</w:t>
      </w:r>
    </w:p>
    <w:p w14:paraId="325DC5FD" w14:textId="77777777" w:rsidR="00137AE7" w:rsidRPr="00E96209" w:rsidRDefault="00E8528C">
      <w:pPr>
        <w:pStyle w:val="SCCLsocParty"/>
        <w:rPr>
          <w:lang w:val="fr-CA"/>
        </w:rPr>
      </w:pPr>
      <w:r w:rsidRPr="00E96209">
        <w:rPr>
          <w:lang w:val="fr-CA"/>
        </w:rPr>
        <w:t>Association canadienne des libertés civiles,</w:t>
      </w:r>
    </w:p>
    <w:p w14:paraId="528157AC" w14:textId="77777777" w:rsidR="00137AE7" w:rsidRPr="00E96209" w:rsidRDefault="00E8528C">
      <w:pPr>
        <w:pStyle w:val="SCCLsocParty"/>
      </w:pPr>
      <w:r w:rsidRPr="00E96209">
        <w:t>David Asper Centre for Constitutional Rights,</w:t>
      </w:r>
    </w:p>
    <w:p w14:paraId="470D3661" w14:textId="77777777" w:rsidR="00137AE7" w:rsidRPr="00E96209" w:rsidRDefault="00D10EDE">
      <w:pPr>
        <w:pStyle w:val="SCCLsocParty"/>
        <w:rPr>
          <w:lang w:val="fr-CA"/>
        </w:rPr>
      </w:pPr>
      <w:proofErr w:type="spellStart"/>
      <w:r w:rsidRPr="00E96209">
        <w:rPr>
          <w:lang w:val="fr-CA"/>
        </w:rPr>
        <w:t>Empowerment</w:t>
      </w:r>
      <w:proofErr w:type="spellEnd"/>
      <w:r w:rsidRPr="00E96209">
        <w:rPr>
          <w:lang w:val="fr-CA"/>
        </w:rPr>
        <w:t xml:space="preserve"> Council</w:t>
      </w:r>
      <w:r w:rsidR="0068033A" w:rsidRPr="00E96209">
        <w:rPr>
          <w:lang w:val="fr-CA"/>
        </w:rPr>
        <w:t xml:space="preserve"> et</w:t>
      </w:r>
    </w:p>
    <w:p w14:paraId="60EBF95C" w14:textId="77777777" w:rsidR="00137AE7" w:rsidRPr="00E96209" w:rsidRDefault="00E8528C" w:rsidP="008A7C16">
      <w:pPr>
        <w:pStyle w:val="SCCLsocLastPartyInRole"/>
        <w:rPr>
          <w:lang w:val="fr-CA"/>
        </w:rPr>
      </w:pPr>
      <w:r w:rsidRPr="00E96209">
        <w:rPr>
          <w:lang w:val="fr-CA"/>
        </w:rPr>
        <w:t>Association canadienne pour la santé mentale, Ontario</w:t>
      </w:r>
      <w:r w:rsidR="0068033A" w:rsidRPr="00E96209">
        <w:rPr>
          <w:rStyle w:val="SCCLsocPartyRole"/>
          <w:lang w:val="fr-CA"/>
        </w:rPr>
        <w:tab/>
        <w:t>Intervenant</w:t>
      </w:r>
      <w:r w:rsidRPr="00E96209">
        <w:rPr>
          <w:rStyle w:val="SCCLsocPartyRole"/>
          <w:lang w:val="fr-CA"/>
        </w:rPr>
        <w:t>s</w:t>
      </w:r>
    </w:p>
    <w:p w14:paraId="57CA1B42" w14:textId="61D407DA" w:rsidR="004D7D95" w:rsidRPr="00E96209" w:rsidRDefault="0068033A" w:rsidP="008A7C16">
      <w:pPr>
        <w:spacing w:after="720"/>
        <w:jc w:val="both"/>
        <w:rPr>
          <w:b/>
          <w:lang w:val="fr-CA"/>
        </w:rPr>
      </w:pPr>
      <w:r w:rsidRPr="00E96209">
        <w:rPr>
          <w:b/>
          <w:lang w:val="fr-CA"/>
        </w:rPr>
        <w:t>Répertorié</w:t>
      </w:r>
      <w:r w:rsidR="00E96209">
        <w:rPr>
          <w:b/>
          <w:lang w:val="fr-CA"/>
        </w:rPr>
        <w:t> :</w:t>
      </w:r>
      <w:r w:rsidRPr="00E96209">
        <w:rPr>
          <w:b/>
          <w:lang w:val="fr-CA"/>
        </w:rPr>
        <w:t> </w:t>
      </w:r>
      <w:r w:rsidR="004D7D95" w:rsidRPr="00E96209">
        <w:rPr>
          <w:rStyle w:val="SCCAppellantForIndexChar"/>
          <w:lang w:val="fr-CA"/>
        </w:rPr>
        <w:t>Ontario</w:t>
      </w:r>
      <w:r w:rsidRPr="00E96209">
        <w:rPr>
          <w:rStyle w:val="SCCAppellantForIndexChar"/>
          <w:lang w:val="fr-CA"/>
        </w:rPr>
        <w:t xml:space="preserve"> (Procureur général)</w:t>
      </w:r>
      <w:r w:rsidR="004D7D95" w:rsidRPr="00E96209">
        <w:rPr>
          <w:b/>
          <w:lang w:val="fr-CA"/>
        </w:rPr>
        <w:t xml:space="preserve"> </w:t>
      </w:r>
      <w:r w:rsidR="004D7D95" w:rsidRPr="00E96209">
        <w:rPr>
          <w:b/>
          <w:i/>
          <w:lang w:val="fr-CA"/>
        </w:rPr>
        <w:t>c.</w:t>
      </w:r>
      <w:r w:rsidR="004D7D95" w:rsidRPr="00E96209">
        <w:rPr>
          <w:b/>
          <w:lang w:val="fr-CA"/>
        </w:rPr>
        <w:t xml:space="preserve"> </w:t>
      </w:r>
      <w:r w:rsidR="004D7D95" w:rsidRPr="00E96209">
        <w:rPr>
          <w:rStyle w:val="SCCRespondentForIndexChar"/>
          <w:lang w:val="fr-CA"/>
        </w:rPr>
        <w:t>G</w:t>
      </w:r>
    </w:p>
    <w:p w14:paraId="7F848ED6" w14:textId="3E22F876" w:rsidR="004D7D95" w:rsidRPr="00E96209" w:rsidRDefault="00D17B0E" w:rsidP="008A7C16">
      <w:pPr>
        <w:pStyle w:val="SCCSystemYear"/>
        <w:spacing w:after="720"/>
        <w:jc w:val="both"/>
        <w:rPr>
          <w:lang w:val="fr-CA"/>
        </w:rPr>
      </w:pPr>
      <w:r w:rsidRPr="00E96209">
        <w:rPr>
          <w:lang w:val="fr-CA"/>
        </w:rPr>
        <w:t>2020</w:t>
      </w:r>
      <w:r w:rsidR="004D7D95" w:rsidRPr="00E96209">
        <w:rPr>
          <w:lang w:val="fr-CA"/>
        </w:rPr>
        <w:t xml:space="preserve"> CSC </w:t>
      </w:r>
      <w:r w:rsidR="00AE756F" w:rsidRPr="00E96209">
        <w:rPr>
          <w:lang w:val="fr-CA"/>
        </w:rPr>
        <w:t>38</w:t>
      </w:r>
    </w:p>
    <w:p w14:paraId="1B689C1C" w14:textId="5315E019" w:rsidR="004D7D95" w:rsidRPr="00E96209" w:rsidRDefault="004D7D95" w:rsidP="008A7C16">
      <w:pPr>
        <w:spacing w:after="720"/>
        <w:jc w:val="both"/>
        <w:rPr>
          <w:lang w:val="fr-CA"/>
        </w:rPr>
      </w:pPr>
      <w:r w:rsidRPr="00E96209">
        <w:rPr>
          <w:lang w:val="fr-CA"/>
        </w:rPr>
        <w:t>N</w:t>
      </w:r>
      <w:r w:rsidRPr="00E96209">
        <w:rPr>
          <w:vertAlign w:val="superscript"/>
          <w:lang w:val="fr-CA"/>
        </w:rPr>
        <w:t>o</w:t>
      </w:r>
      <w:r w:rsidRPr="00E96209">
        <w:rPr>
          <w:lang w:val="fr-CA"/>
        </w:rPr>
        <w:t xml:space="preserve"> du greffe</w:t>
      </w:r>
      <w:r w:rsidR="00E96209">
        <w:rPr>
          <w:lang w:val="fr-CA"/>
        </w:rPr>
        <w:t> :</w:t>
      </w:r>
      <w:r w:rsidRPr="00E96209">
        <w:rPr>
          <w:lang w:val="fr-CA"/>
        </w:rPr>
        <w:t> 38585.</w:t>
      </w:r>
    </w:p>
    <w:p w14:paraId="17399519" w14:textId="4D465240" w:rsidR="004D7D95" w:rsidRPr="00E96209" w:rsidRDefault="008A7C16" w:rsidP="008A7C16">
      <w:pPr>
        <w:spacing w:after="720"/>
        <w:jc w:val="both"/>
        <w:rPr>
          <w:lang w:val="fr-CA"/>
        </w:rPr>
      </w:pPr>
      <w:r w:rsidRPr="00E96209">
        <w:rPr>
          <w:lang w:val="fr-CA"/>
        </w:rPr>
        <w:t>2020</w:t>
      </w:r>
      <w:r w:rsidR="00E96209">
        <w:rPr>
          <w:lang w:val="fr-CA"/>
        </w:rPr>
        <w:t> :</w:t>
      </w:r>
      <w:r w:rsidRPr="00E96209">
        <w:rPr>
          <w:lang w:val="fr-CA"/>
        </w:rPr>
        <w:t> 20 </w:t>
      </w:r>
      <w:r w:rsidR="00D17B0E" w:rsidRPr="00E96209">
        <w:rPr>
          <w:lang w:val="fr-CA"/>
        </w:rPr>
        <w:t>février</w:t>
      </w:r>
      <w:r w:rsidR="004D7D95" w:rsidRPr="00E96209">
        <w:rPr>
          <w:lang w:val="fr-CA"/>
        </w:rPr>
        <w:t xml:space="preserve">; </w:t>
      </w:r>
      <w:r w:rsidR="00AE756F" w:rsidRPr="00E96209">
        <w:rPr>
          <w:lang w:val="fr-CA"/>
        </w:rPr>
        <w:t>2020</w:t>
      </w:r>
      <w:r w:rsidR="00E96209">
        <w:rPr>
          <w:lang w:val="fr-CA"/>
        </w:rPr>
        <w:t> :</w:t>
      </w:r>
      <w:r w:rsidR="007D76F6">
        <w:rPr>
          <w:lang w:val="fr-CA"/>
        </w:rPr>
        <w:t> 20 </w:t>
      </w:r>
      <w:r w:rsidR="00AE756F" w:rsidRPr="00E96209">
        <w:rPr>
          <w:lang w:val="fr-CA"/>
        </w:rPr>
        <w:t>novembre</w:t>
      </w:r>
      <w:r w:rsidR="004D7D95" w:rsidRPr="00E96209">
        <w:rPr>
          <w:lang w:val="fr-CA"/>
        </w:rPr>
        <w:t>.</w:t>
      </w:r>
    </w:p>
    <w:p w14:paraId="17199908" w14:textId="5A597D07" w:rsidR="004D7D95" w:rsidRPr="00E96209" w:rsidRDefault="004D7D95" w:rsidP="008A7C16">
      <w:pPr>
        <w:spacing w:after="720"/>
        <w:jc w:val="both"/>
        <w:rPr>
          <w:lang w:val="fr-CA"/>
        </w:rPr>
      </w:pPr>
      <w:r w:rsidRPr="00E96209">
        <w:rPr>
          <w:lang w:val="fr-CA"/>
        </w:rPr>
        <w:t>Présents</w:t>
      </w:r>
      <w:r w:rsidR="00E96209">
        <w:rPr>
          <w:lang w:val="fr-CA"/>
        </w:rPr>
        <w:t> :</w:t>
      </w:r>
      <w:r w:rsidRPr="00E96209">
        <w:rPr>
          <w:lang w:val="fr-CA"/>
        </w:rPr>
        <w:t xml:space="preserve"> Le juge en chef Wagner et les juges Abella, </w:t>
      </w:r>
      <w:proofErr w:type="spellStart"/>
      <w:r w:rsidRPr="00E96209">
        <w:rPr>
          <w:lang w:val="fr-CA"/>
        </w:rPr>
        <w:t>Moldaver</w:t>
      </w:r>
      <w:proofErr w:type="spellEnd"/>
      <w:r w:rsidRPr="00E96209">
        <w:rPr>
          <w:lang w:val="fr-CA"/>
        </w:rPr>
        <w:t xml:space="preserve">, </w:t>
      </w:r>
      <w:proofErr w:type="spellStart"/>
      <w:r w:rsidRPr="00E96209">
        <w:rPr>
          <w:lang w:val="fr-CA"/>
        </w:rPr>
        <w:t>Karakatsanis</w:t>
      </w:r>
      <w:proofErr w:type="spellEnd"/>
      <w:r w:rsidRPr="00E96209">
        <w:rPr>
          <w:lang w:val="fr-CA"/>
        </w:rPr>
        <w:t xml:space="preserve">, Côté, Brown, Rowe, Martin et </w:t>
      </w:r>
      <w:proofErr w:type="spellStart"/>
      <w:r w:rsidRPr="00E96209">
        <w:rPr>
          <w:lang w:val="fr-CA"/>
        </w:rPr>
        <w:t>Kasirer</w:t>
      </w:r>
      <w:proofErr w:type="spellEnd"/>
      <w:r w:rsidRPr="00E96209">
        <w:rPr>
          <w:lang w:val="fr-CA"/>
        </w:rPr>
        <w:t>.</w:t>
      </w:r>
    </w:p>
    <w:p w14:paraId="4C107D2E" w14:textId="77777777" w:rsidR="004D7D95" w:rsidRPr="00E96209" w:rsidRDefault="004D7D95" w:rsidP="008A7C16">
      <w:pPr>
        <w:spacing w:after="720"/>
        <w:jc w:val="both"/>
        <w:rPr>
          <w:smallCaps/>
          <w:lang w:val="fr-CA"/>
        </w:rPr>
      </w:pPr>
      <w:r w:rsidRPr="00E96209">
        <w:rPr>
          <w:smallCaps/>
          <w:lang w:val="fr-CA"/>
        </w:rPr>
        <w:lastRenderedPageBreak/>
        <w:t>en appel de la cour d</w:t>
      </w:r>
      <w:r w:rsidR="0068033A" w:rsidRPr="00E96209">
        <w:rPr>
          <w:smallCaps/>
          <w:lang w:val="fr-CA"/>
        </w:rPr>
        <w:t>’</w:t>
      </w:r>
      <w:r w:rsidRPr="00E96209">
        <w:rPr>
          <w:smallCaps/>
          <w:lang w:val="fr-CA"/>
        </w:rPr>
        <w:t xml:space="preserve">appel de </w:t>
      </w:r>
      <w:proofErr w:type="spellStart"/>
      <w:r w:rsidRPr="00E96209">
        <w:rPr>
          <w:smallCaps/>
          <w:lang w:val="fr-CA"/>
        </w:rPr>
        <w:t>l</w:t>
      </w:r>
      <w:r w:rsidR="0068033A" w:rsidRPr="00E96209">
        <w:rPr>
          <w:smallCaps/>
          <w:lang w:val="fr-CA"/>
        </w:rPr>
        <w:t>’</w:t>
      </w:r>
      <w:r w:rsidRPr="00E96209">
        <w:rPr>
          <w:smallCaps/>
          <w:lang w:val="fr-CA"/>
        </w:rPr>
        <w:t>ontario</w:t>
      </w:r>
      <w:proofErr w:type="spellEnd"/>
    </w:p>
    <w:p w14:paraId="55DF22FB" w14:textId="42D30389" w:rsidR="006A2D3E" w:rsidRPr="00E96209" w:rsidRDefault="004D7D95" w:rsidP="006A2D3E">
      <w:pPr>
        <w:pStyle w:val="SCCNormalDoubleSpacing"/>
        <w:spacing w:after="480"/>
        <w:rPr>
          <w:i/>
          <w:lang w:val="fr-CA"/>
        </w:rPr>
      </w:pPr>
      <w:r w:rsidRPr="00E96209">
        <w:rPr>
          <w:lang w:val="fr-CA"/>
        </w:rPr>
        <w:tab/>
      </w:r>
      <w:r w:rsidR="006A2D3E" w:rsidRPr="00E96209">
        <w:rPr>
          <w:i/>
          <w:lang w:val="fr-CA"/>
        </w:rPr>
        <w:t>Droit constitutionnel — Charte des droits — Droit à l’égalité — Discrimination fondée sur une déficience mentale ou physique — Régime d’enregistrement des délinquants sexuels de l’Ontario exigeant que soient consignés au registre les renseignements personnels des personnes déclarées coupables ou non responsables criminellement pour cause de troubles mentaux à l’égard d’infractions sexuelles et que ces personnes se présentent au poste de police au moins une fois par année pour mettre leurs renseignements à jour — Possibilités d’être dispensé des exigences offertes aux personnes déclarées coupables d’infractions sexuelles, mais non aux personnes déclarées non responsables criminellement pour cause de troubles mentaux qui ont bénéficié d’une libération inconditionnelle — Le régime provincial d’enregistrement des délinquants sexuels porte</w:t>
      </w:r>
      <w:r w:rsidR="00E96209">
        <w:rPr>
          <w:i/>
          <w:lang w:val="fr-CA"/>
        </w:rPr>
        <w:noBreakHyphen/>
      </w:r>
      <w:r w:rsidR="006A2D3E" w:rsidRPr="00E96209">
        <w:rPr>
          <w:i/>
          <w:lang w:val="fr-CA"/>
        </w:rPr>
        <w:t>t</w:t>
      </w:r>
      <w:r w:rsidR="00E96209">
        <w:rPr>
          <w:i/>
          <w:lang w:val="fr-CA"/>
        </w:rPr>
        <w:noBreakHyphen/>
      </w:r>
      <w:r w:rsidR="006A2D3E" w:rsidRPr="00E96209">
        <w:rPr>
          <w:i/>
          <w:lang w:val="fr-CA"/>
        </w:rPr>
        <w:t>il at</w:t>
      </w:r>
      <w:r w:rsidR="00A717D3">
        <w:rPr>
          <w:i/>
          <w:lang w:val="fr-CA"/>
        </w:rPr>
        <w:t>teinte au droit à l’égalité de ces</w:t>
      </w:r>
      <w:r w:rsidR="006A2D3E" w:rsidRPr="00E96209">
        <w:rPr>
          <w:i/>
          <w:lang w:val="fr-CA"/>
        </w:rPr>
        <w:t xml:space="preserve"> personnes déclarées non responsables criminellement pour cause de troubles mentaux? — Dans l’affirmative, l’atteinte est</w:t>
      </w:r>
      <w:r w:rsidR="00E96209">
        <w:rPr>
          <w:i/>
          <w:lang w:val="fr-CA"/>
        </w:rPr>
        <w:noBreakHyphen/>
      </w:r>
      <w:r w:rsidR="006A2D3E" w:rsidRPr="00E96209">
        <w:rPr>
          <w:i/>
          <w:lang w:val="fr-CA"/>
        </w:rPr>
        <w:t xml:space="preserve">elle justifiée? — Charte canadienne des droits et libertés, </w:t>
      </w:r>
      <w:r w:rsidR="00E96209">
        <w:rPr>
          <w:i/>
          <w:lang w:val="fr-CA"/>
        </w:rPr>
        <w:t>art. </w:t>
      </w:r>
      <w:r w:rsidR="006A2D3E" w:rsidRPr="00E96209">
        <w:rPr>
          <w:i/>
          <w:lang w:val="fr-CA"/>
        </w:rPr>
        <w:t xml:space="preserve">1, 15(1) — Loi Christopher de 2000 </w:t>
      </w:r>
      <w:r w:rsidR="006A2D3E" w:rsidRPr="00E96209">
        <w:rPr>
          <w:i/>
          <w:noProof/>
          <w:lang w:val="fr-CA"/>
        </w:rPr>
        <w:t>sur le registre des délinquants sexuels</w:t>
      </w:r>
      <w:r w:rsidR="006A2D3E" w:rsidRPr="00E96209">
        <w:rPr>
          <w:i/>
          <w:lang w:val="fr-CA"/>
        </w:rPr>
        <w:t>, L</w:t>
      </w:r>
      <w:r w:rsidR="007D76F6">
        <w:rPr>
          <w:i/>
          <w:lang w:val="fr-CA"/>
        </w:rPr>
        <w:t>.O. 2000, c. </w:t>
      </w:r>
      <w:r w:rsidR="006A2D3E" w:rsidRPr="00E96209">
        <w:rPr>
          <w:i/>
          <w:lang w:val="fr-CA"/>
        </w:rPr>
        <w:t>1.</w:t>
      </w:r>
    </w:p>
    <w:p w14:paraId="6C4DDE22" w14:textId="04ADA013" w:rsidR="006A2D3E" w:rsidRPr="00E96209" w:rsidRDefault="006A2D3E" w:rsidP="006A2D3E">
      <w:pPr>
        <w:pStyle w:val="SCCNormalDoubleSpacing"/>
        <w:spacing w:after="480"/>
        <w:rPr>
          <w:lang w:val="fr-CA"/>
        </w:rPr>
      </w:pPr>
      <w:r w:rsidRPr="00E96209">
        <w:rPr>
          <w:lang w:val="fr-CA"/>
        </w:rPr>
        <w:tab/>
      </w:r>
      <w:r w:rsidRPr="00E96209">
        <w:rPr>
          <w:i/>
          <w:lang w:val="fr-CA"/>
        </w:rPr>
        <w:t xml:space="preserve">Droit constitutionnel — Réparation — Déclaration d’invalidité — Suspension de l’effet d’une déclaration d’invalidité — Exemption individuelle de la suspension — Demandeur sollicitant un jugement déclaratoire selon lequel le régime d’enregistrement des délinquants sexuels de l’Ontario porte atteinte au droit à l’égalité des personnes déclarées non responsables criminellement pour cause de troubles mentaux qui ont bénéficié d’une libération inconditionnelle — Déclaration d’invalidité prononcée par la Cour d’appel, qui en a suspendu l’effet pour 12 mois et exempté le demandeur de la suspension — Démarche à adopter pour fixer la réparation en présence d’une loi inconstitutionnelle — Charte canadienne des droits et libertés, </w:t>
      </w:r>
      <w:r w:rsidR="00E96209">
        <w:rPr>
          <w:i/>
          <w:lang w:val="fr-CA"/>
        </w:rPr>
        <w:t>art. </w:t>
      </w:r>
      <w:r w:rsidRPr="00E96209">
        <w:rPr>
          <w:i/>
          <w:lang w:val="fr-CA"/>
        </w:rPr>
        <w:t xml:space="preserve">24(1) — Loi constitutionnelle de 1982, </w:t>
      </w:r>
      <w:r w:rsidR="00E96209">
        <w:rPr>
          <w:i/>
          <w:lang w:val="fr-CA"/>
        </w:rPr>
        <w:t>art. </w:t>
      </w:r>
      <w:r w:rsidRPr="00E96209">
        <w:rPr>
          <w:i/>
          <w:lang w:val="fr-CA"/>
        </w:rPr>
        <w:t>52(1)</w:t>
      </w:r>
      <w:r w:rsidRPr="00E96209">
        <w:rPr>
          <w:lang w:val="fr-CA"/>
        </w:rPr>
        <w:t>.</w:t>
      </w:r>
    </w:p>
    <w:p w14:paraId="024FAE39" w14:textId="5DE552D6" w:rsidR="006A2D3E" w:rsidRPr="00E96209" w:rsidRDefault="006A2D3E" w:rsidP="006A2D3E">
      <w:pPr>
        <w:pStyle w:val="SCCNormalDoubleSpacing"/>
        <w:spacing w:after="480"/>
        <w:rPr>
          <w:lang w:val="fr-CA"/>
        </w:rPr>
      </w:pPr>
      <w:r w:rsidRPr="00E96209">
        <w:rPr>
          <w:lang w:val="fr-CA"/>
        </w:rPr>
        <w:tab/>
        <w:t xml:space="preserve">En Ontario, la </w:t>
      </w:r>
      <w:r w:rsidRPr="00E96209">
        <w:rPr>
          <w:i/>
          <w:lang w:val="fr-CA"/>
        </w:rPr>
        <w:t xml:space="preserve">Loi Christopher </w:t>
      </w:r>
      <w:r w:rsidRPr="00E96209">
        <w:rPr>
          <w:noProof/>
          <w:lang w:val="fr-CA"/>
        </w:rPr>
        <w:t>exige des personnes déclarées coupables ou non responsables criminellement pour cause de troubles mentaux à l’égard d’une infraction sexuelle qu’elles se présentent en personne à un poste de police pour fournir leurs renseignements personnels afin que ceux</w:t>
      </w:r>
      <w:r w:rsidR="00E96209">
        <w:rPr>
          <w:noProof/>
          <w:lang w:val="fr-CA"/>
        </w:rPr>
        <w:noBreakHyphen/>
      </w:r>
      <w:r w:rsidRPr="00E96209">
        <w:rPr>
          <w:noProof/>
          <w:lang w:val="fr-CA"/>
        </w:rPr>
        <w:t>ci soient consignés au registre des délinquants sexuels de la province</w:t>
      </w:r>
      <w:r w:rsidRPr="00E96209">
        <w:rPr>
          <w:lang w:val="fr-CA"/>
        </w:rPr>
        <w:t>. L</w:t>
      </w:r>
      <w:r w:rsidRPr="00E96209">
        <w:rPr>
          <w:noProof/>
          <w:lang w:val="fr-CA"/>
        </w:rPr>
        <w:t xml:space="preserve">es délinquants sont tenus de se présenter en personne devant les autorités au moins une fois par année </w:t>
      </w:r>
      <w:r w:rsidRPr="00E96209">
        <w:rPr>
          <w:lang w:val="fr-CA"/>
        </w:rPr>
        <w:t xml:space="preserve">et </w:t>
      </w:r>
      <w:r w:rsidRPr="00E96209">
        <w:rPr>
          <w:noProof/>
          <w:lang w:val="fr-CA"/>
        </w:rPr>
        <w:t>chaque fois que certains de leurs renseignements changent</w:t>
      </w:r>
      <w:r w:rsidRPr="00E96209">
        <w:rPr>
          <w:lang w:val="fr-CA"/>
        </w:rPr>
        <w:t xml:space="preserve">. </w:t>
      </w:r>
      <w:r w:rsidRPr="00E96209">
        <w:rPr>
          <w:noProof/>
          <w:lang w:val="fr-CA"/>
        </w:rPr>
        <w:t>Les délinquants sont tenus de se conformer à ces obligations pendant une période de 10 ans si la peine maximale prévue pour l’infraction sexuelle qu’ils ont commise ne dépasse pas 10 ans, ou pendant le reste de leur vie si la peine maximale prévue dépasse 10 ans ou s’ils ont commis plus d’une infraction sexuelle</w:t>
      </w:r>
      <w:r w:rsidRPr="00E96209">
        <w:rPr>
          <w:lang w:val="fr-CA"/>
        </w:rPr>
        <w:t xml:space="preserve">. </w:t>
      </w:r>
      <w:r w:rsidRPr="00E96209">
        <w:rPr>
          <w:noProof/>
          <w:lang w:val="fr-CA"/>
        </w:rPr>
        <w:t>Il existe certaines possibilités pour les personnes déclarées coupables d’infractions sexuelles, après une évaluation individuelle, d’être retirées du registre, d’en être exemptées ou d’être dispensées de leur obligation de se présenter devant les autorités. À l’inverse</w:t>
      </w:r>
      <w:r w:rsidRPr="00E96209">
        <w:rPr>
          <w:lang w:val="fr-CA"/>
        </w:rPr>
        <w:t xml:space="preserve">, aucune personne déclarée non responsable criminellement pour cause de troubles mentaux à l’égard d’infractions sexuelles ne peut, à quelque moment que ce soit, être retirée du registre ou dispensée de l’obligation de se présenter devant les autorités, </w:t>
      </w:r>
      <w:r w:rsidRPr="00E96209">
        <w:rPr>
          <w:noProof/>
          <w:lang w:val="fr-CA"/>
        </w:rPr>
        <w:t xml:space="preserve">et ce, même si elles ont obtenu une libération inconditionnelle d’une commission d’examen. </w:t>
      </w:r>
    </w:p>
    <w:p w14:paraId="45DB7B87" w14:textId="30CD8FAE" w:rsidR="006A2D3E" w:rsidRPr="00E96209" w:rsidRDefault="006A2D3E" w:rsidP="006A2D3E">
      <w:pPr>
        <w:pStyle w:val="SCCNormalDoubleSpacing"/>
        <w:spacing w:after="480"/>
        <w:rPr>
          <w:lang w:val="fr-CA"/>
        </w:rPr>
      </w:pPr>
      <w:r w:rsidRPr="00E96209">
        <w:rPr>
          <w:lang w:val="fr-CA"/>
        </w:rPr>
        <w:tab/>
        <w:t xml:space="preserve">En juin 2002, G </w:t>
      </w:r>
      <w:r w:rsidRPr="00E96209">
        <w:rPr>
          <w:noProof/>
          <w:lang w:val="fr-CA"/>
        </w:rPr>
        <w:t>a été déclaré non responsable criminellement pour cause de troubles mentaux à l’égard de deux infractions sexuelles</w:t>
      </w:r>
      <w:r w:rsidRPr="00E96209">
        <w:rPr>
          <w:lang w:val="fr-CA"/>
        </w:rPr>
        <w:t xml:space="preserve">. En août 2003, la </w:t>
      </w:r>
      <w:r w:rsidRPr="00E96209">
        <w:rPr>
          <w:noProof/>
          <w:lang w:val="fr-CA"/>
        </w:rPr>
        <w:t>Commission ontarienne d’examen l’a libéré inconditionnellement au motif qu’il ne représentait plus un risque important pour la sécurité du public</w:t>
      </w:r>
      <w:r w:rsidRPr="00E96209">
        <w:rPr>
          <w:lang w:val="fr-CA"/>
        </w:rPr>
        <w:t xml:space="preserve">. Malgré cette libération, G </w:t>
      </w:r>
      <w:r w:rsidRPr="00E96209">
        <w:rPr>
          <w:noProof/>
          <w:lang w:val="fr-CA"/>
        </w:rPr>
        <w:t xml:space="preserve">a été inscrit au registre provincial des délinquants sexuels en août 2004, comme l’exige la </w:t>
      </w:r>
      <w:r w:rsidRPr="00E96209">
        <w:rPr>
          <w:i/>
          <w:noProof/>
          <w:lang w:val="fr-CA"/>
        </w:rPr>
        <w:t xml:space="preserve">Loi </w:t>
      </w:r>
      <w:r w:rsidRPr="00E96209">
        <w:rPr>
          <w:i/>
          <w:lang w:val="fr-CA"/>
        </w:rPr>
        <w:t>Christopher</w:t>
      </w:r>
      <w:r w:rsidRPr="00E96209">
        <w:rPr>
          <w:lang w:val="fr-CA"/>
        </w:rPr>
        <w:t xml:space="preserve">. G </w:t>
      </w:r>
      <w:r w:rsidRPr="00E96209">
        <w:rPr>
          <w:noProof/>
          <w:lang w:val="fr-CA"/>
        </w:rPr>
        <w:t xml:space="preserve">a introduit une requête afin de contester l’applicabilité de la </w:t>
      </w:r>
      <w:r w:rsidR="007D76F6">
        <w:rPr>
          <w:i/>
          <w:noProof/>
          <w:lang w:val="fr-CA"/>
        </w:rPr>
        <w:t>Loi Christopher</w:t>
      </w:r>
      <w:r w:rsidRPr="00E96209">
        <w:rPr>
          <w:i/>
          <w:noProof/>
          <w:lang w:val="fr-CA"/>
        </w:rPr>
        <w:t xml:space="preserve"> </w:t>
      </w:r>
      <w:r w:rsidRPr="00E96209">
        <w:rPr>
          <w:noProof/>
          <w:lang w:val="fr-CA"/>
        </w:rPr>
        <w:t xml:space="preserve">aux personnes déclarées non responsables criminellement pour cause de troubles mentaux à l’égard d’infractions sexuelles qui ont obtenu une libération inconditionnelle. </w:t>
      </w:r>
      <w:r w:rsidRPr="00E96209">
        <w:rPr>
          <w:lang w:val="fr-CA"/>
        </w:rPr>
        <w:t xml:space="preserve">Il a soutenu que l’impossibilité pour </w:t>
      </w:r>
      <w:r w:rsidRPr="00E96209">
        <w:rPr>
          <w:noProof/>
          <w:lang w:val="fr-CA"/>
        </w:rPr>
        <w:t>les personnes dans sa situation d’obtenir une exemption, d’être retirées du registre</w:t>
      </w:r>
      <w:r w:rsidRPr="00E96209">
        <w:rPr>
          <w:lang w:val="fr-CA"/>
        </w:rPr>
        <w:t xml:space="preserve"> provincial ou d’être dispensées de l’obligation de se présenter devant les autorités, contrairement aux personnes reconnues coupables des mêmes infractions, viole l’</w:t>
      </w:r>
      <w:r w:rsidR="00E96209">
        <w:rPr>
          <w:lang w:val="fr-CA"/>
        </w:rPr>
        <w:t>art. </w:t>
      </w:r>
      <w:r w:rsidRPr="00E96209">
        <w:rPr>
          <w:lang w:val="fr-CA"/>
        </w:rPr>
        <w:t xml:space="preserve">7 et le </w:t>
      </w:r>
      <w:r w:rsidR="00E96209">
        <w:rPr>
          <w:lang w:val="fr-CA"/>
        </w:rPr>
        <w:t>par. </w:t>
      </w:r>
      <w:r w:rsidRPr="00E96209">
        <w:rPr>
          <w:lang w:val="fr-CA"/>
        </w:rPr>
        <w:t xml:space="preserve">15(1) de la </w:t>
      </w:r>
      <w:r w:rsidRPr="00E96209">
        <w:rPr>
          <w:i/>
          <w:lang w:val="fr-CA"/>
        </w:rPr>
        <w:t>Charte</w:t>
      </w:r>
      <w:r w:rsidRPr="00E96209">
        <w:rPr>
          <w:lang w:val="fr-CA"/>
        </w:rPr>
        <w:t>.</w:t>
      </w:r>
    </w:p>
    <w:p w14:paraId="101EB414" w14:textId="5D38839F" w:rsidR="006A2D3E" w:rsidRPr="00E96209" w:rsidRDefault="006A2D3E" w:rsidP="006A2D3E">
      <w:pPr>
        <w:pStyle w:val="SCCNormalDoubleSpacing"/>
        <w:spacing w:after="480"/>
        <w:rPr>
          <w:lang w:val="fr-CA"/>
        </w:rPr>
      </w:pPr>
      <w:r w:rsidRPr="00E96209">
        <w:rPr>
          <w:lang w:val="fr-CA"/>
        </w:rPr>
        <w:tab/>
        <w:t xml:space="preserve">Le </w:t>
      </w:r>
      <w:r w:rsidRPr="00E96209">
        <w:rPr>
          <w:noProof/>
          <w:lang w:val="fr-CA"/>
        </w:rPr>
        <w:t xml:space="preserve">juge de première instance a rejeté la requête de G, mais la Cour d’appel </w:t>
      </w:r>
      <w:r w:rsidRPr="00E96209">
        <w:rPr>
          <w:lang w:val="fr-CA"/>
        </w:rPr>
        <w:t xml:space="preserve">a accueilli l’appel de G en s’appuyant sur sa demande concernant le </w:t>
      </w:r>
      <w:r w:rsidR="00E96209">
        <w:rPr>
          <w:lang w:val="fr-CA"/>
        </w:rPr>
        <w:t>par. </w:t>
      </w:r>
      <w:r w:rsidRPr="00E96209">
        <w:rPr>
          <w:lang w:val="fr-CA"/>
        </w:rPr>
        <w:t xml:space="preserve">15(1), et a conclu que la violation du </w:t>
      </w:r>
      <w:r w:rsidR="00E96209">
        <w:rPr>
          <w:lang w:val="fr-CA"/>
        </w:rPr>
        <w:t>par. </w:t>
      </w:r>
      <w:r w:rsidRPr="00E96209">
        <w:rPr>
          <w:lang w:val="fr-CA"/>
        </w:rPr>
        <w:t xml:space="preserve">15(1) n’était pas justifiée au regard de l’article premier de la </w:t>
      </w:r>
      <w:r w:rsidRPr="00E96209">
        <w:rPr>
          <w:i/>
          <w:lang w:val="fr-CA"/>
        </w:rPr>
        <w:t>Charte</w:t>
      </w:r>
      <w:r w:rsidRPr="00E96209">
        <w:rPr>
          <w:lang w:val="fr-CA"/>
        </w:rPr>
        <w:t xml:space="preserve">. Elle a déclaré </w:t>
      </w:r>
      <w:r w:rsidRPr="00E96209">
        <w:rPr>
          <w:noProof/>
          <w:lang w:val="fr-CA"/>
        </w:rPr>
        <w:t xml:space="preserve">que la </w:t>
      </w:r>
      <w:r w:rsidR="007D76F6">
        <w:rPr>
          <w:i/>
          <w:noProof/>
          <w:lang w:val="fr-CA"/>
        </w:rPr>
        <w:t>Loi Christopher</w:t>
      </w:r>
      <w:r w:rsidRPr="00E96209">
        <w:rPr>
          <w:i/>
          <w:noProof/>
          <w:lang w:val="fr-CA"/>
        </w:rPr>
        <w:t xml:space="preserve"> </w:t>
      </w:r>
      <w:r w:rsidRPr="00E96209">
        <w:rPr>
          <w:noProof/>
          <w:lang w:val="fr-CA"/>
        </w:rPr>
        <w:t xml:space="preserve">est inopérante à l’égard des personnes jugées non responsables criminellement pour cause de troubles mentaux qui </w:t>
      </w:r>
      <w:r w:rsidR="00A717D3">
        <w:rPr>
          <w:noProof/>
          <w:lang w:val="fr-CA"/>
        </w:rPr>
        <w:t>ont obtenu</w:t>
      </w:r>
      <w:r w:rsidRPr="00E96209">
        <w:rPr>
          <w:noProof/>
          <w:lang w:val="fr-CA"/>
        </w:rPr>
        <w:t xml:space="preserve"> une libération inconditionnelle, suspendu l’effet de la déclaration d’invalidité pendant une période de 12 mois, et exempté G de cette suspension en le dispensant de l’obligation de continuer de se conformer à la </w:t>
      </w:r>
      <w:r w:rsidRPr="00E96209">
        <w:rPr>
          <w:i/>
          <w:noProof/>
          <w:lang w:val="fr-CA"/>
        </w:rPr>
        <w:t xml:space="preserve">Loi </w:t>
      </w:r>
      <w:r w:rsidRPr="00E96209">
        <w:rPr>
          <w:noProof/>
          <w:lang w:val="fr-CA"/>
        </w:rPr>
        <w:t>et en ordonnant que ses renseignements soient supprimés du registre sur</w:t>
      </w:r>
      <w:r w:rsidR="00E96209">
        <w:rPr>
          <w:noProof/>
          <w:lang w:val="fr-CA"/>
        </w:rPr>
        <w:noBreakHyphen/>
      </w:r>
      <w:r w:rsidRPr="00E96209">
        <w:rPr>
          <w:noProof/>
          <w:lang w:val="fr-CA"/>
        </w:rPr>
        <w:t>le</w:t>
      </w:r>
      <w:r w:rsidR="00E96209">
        <w:rPr>
          <w:noProof/>
          <w:lang w:val="fr-CA"/>
        </w:rPr>
        <w:noBreakHyphen/>
      </w:r>
      <w:r w:rsidRPr="00E96209">
        <w:rPr>
          <w:noProof/>
          <w:lang w:val="fr-CA"/>
        </w:rPr>
        <w:t>cham</w:t>
      </w:r>
      <w:r w:rsidR="00E96209">
        <w:rPr>
          <w:noProof/>
          <w:lang w:val="fr-CA"/>
        </w:rPr>
        <w:t>p.</w:t>
      </w:r>
      <w:r w:rsidR="007D76F6">
        <w:rPr>
          <w:noProof/>
          <w:lang w:val="fr-CA"/>
        </w:rPr>
        <w:t xml:space="preserve"> </w:t>
      </w:r>
      <w:r w:rsidRPr="00E96209">
        <w:rPr>
          <w:lang w:val="fr-CA"/>
        </w:rPr>
        <w:t>Le procureur général de l’Ontario s’est pourvu en appel devant la Cour.</w:t>
      </w:r>
    </w:p>
    <w:p w14:paraId="04EF1911" w14:textId="43093D96" w:rsidR="006A2D3E" w:rsidRPr="00E96209" w:rsidRDefault="006A2D3E" w:rsidP="006A2D3E">
      <w:pPr>
        <w:pStyle w:val="SCCNormalDoubleSpacing"/>
        <w:spacing w:after="480"/>
        <w:rPr>
          <w:lang w:val="fr-CA"/>
        </w:rPr>
      </w:pPr>
      <w:r w:rsidRPr="00E96209">
        <w:rPr>
          <w:lang w:val="fr-CA"/>
        </w:rPr>
        <w:tab/>
      </w:r>
      <w:r w:rsidRPr="00E96209">
        <w:rPr>
          <w:i/>
          <w:lang w:val="fr-CA"/>
        </w:rPr>
        <w:t xml:space="preserve">Arrêt </w:t>
      </w:r>
      <w:r w:rsidRPr="00E96209">
        <w:rPr>
          <w:iCs/>
          <w:lang w:val="fr-CA"/>
        </w:rPr>
        <w:t>(les juges Côté et Brown sont dissidents en partie)</w:t>
      </w:r>
      <w:r w:rsidR="00E96209">
        <w:rPr>
          <w:iCs/>
          <w:lang w:val="fr-CA"/>
        </w:rPr>
        <w:t> :</w:t>
      </w:r>
      <w:r w:rsidRPr="00E96209">
        <w:rPr>
          <w:lang w:val="fr-CA"/>
        </w:rPr>
        <w:t xml:space="preserve"> Le pourvoi est rejeté. </w:t>
      </w:r>
    </w:p>
    <w:p w14:paraId="63A164AF" w14:textId="2B18C9EB" w:rsidR="006A2D3E" w:rsidRPr="00E96209" w:rsidRDefault="006A2D3E" w:rsidP="006A2D3E">
      <w:pPr>
        <w:pStyle w:val="SCCNormalDoubleSpacing"/>
        <w:spacing w:after="480"/>
        <w:rPr>
          <w:lang w:val="fr-CA"/>
        </w:rPr>
      </w:pPr>
      <w:r w:rsidRPr="00E96209">
        <w:rPr>
          <w:lang w:val="fr-CA"/>
        </w:rPr>
        <w:tab/>
      </w:r>
      <w:r w:rsidRPr="00E96209">
        <w:rPr>
          <w:i/>
          <w:lang w:val="fr-CA"/>
        </w:rPr>
        <w:t xml:space="preserve">Le </w:t>
      </w:r>
      <w:r w:rsidRPr="00E96209">
        <w:rPr>
          <w:lang w:val="fr-CA"/>
        </w:rPr>
        <w:t xml:space="preserve">juge en chef Wagner et les juges Abella, </w:t>
      </w:r>
      <w:proofErr w:type="spellStart"/>
      <w:r w:rsidRPr="00E96209">
        <w:rPr>
          <w:lang w:val="fr-CA"/>
        </w:rPr>
        <w:t>Moldaver</w:t>
      </w:r>
      <w:proofErr w:type="spellEnd"/>
      <w:r w:rsidRPr="00E96209">
        <w:rPr>
          <w:lang w:val="fr-CA"/>
        </w:rPr>
        <w:t xml:space="preserve">, </w:t>
      </w:r>
      <w:proofErr w:type="spellStart"/>
      <w:r w:rsidRPr="00A126A7">
        <w:rPr>
          <w:lang w:val="fr-CA"/>
        </w:rPr>
        <w:t>Karakatsanis</w:t>
      </w:r>
      <w:proofErr w:type="spellEnd"/>
      <w:r w:rsidRPr="00E96209">
        <w:rPr>
          <w:lang w:val="fr-CA"/>
        </w:rPr>
        <w:t xml:space="preserve">, Martin et </w:t>
      </w:r>
      <w:proofErr w:type="spellStart"/>
      <w:r w:rsidRPr="00E96209">
        <w:rPr>
          <w:lang w:val="fr-CA"/>
        </w:rPr>
        <w:t>Kasirer</w:t>
      </w:r>
      <w:proofErr w:type="spellEnd"/>
      <w:r w:rsidR="00E96209">
        <w:rPr>
          <w:lang w:val="fr-CA"/>
        </w:rPr>
        <w:t> :</w:t>
      </w:r>
      <w:r w:rsidRPr="00E96209">
        <w:rPr>
          <w:lang w:val="fr-CA"/>
        </w:rPr>
        <w:t xml:space="preserve"> La </w:t>
      </w:r>
      <w:r w:rsidRPr="00E96209">
        <w:rPr>
          <w:i/>
          <w:lang w:val="fr-CA"/>
        </w:rPr>
        <w:t xml:space="preserve">Loi Christopher </w:t>
      </w:r>
      <w:r w:rsidRPr="00E96209">
        <w:rPr>
          <w:noProof/>
          <w:lang w:val="fr-CA"/>
        </w:rPr>
        <w:t xml:space="preserve">crée des distinctions discriminatoires entre les personnes déclarées coupables et les personnes déclarées non responsables criminellement pour cause de troubles mentaux à l’égard d’infractions sexuelles sur le fondement de leur déficience mentale, ce qui va à l’encontre du </w:t>
      </w:r>
      <w:r w:rsidR="00E96209">
        <w:rPr>
          <w:noProof/>
          <w:lang w:val="fr-CA"/>
        </w:rPr>
        <w:t>par. </w:t>
      </w:r>
      <w:r w:rsidRPr="00E96209">
        <w:rPr>
          <w:noProof/>
          <w:lang w:val="fr-CA"/>
        </w:rPr>
        <w:t xml:space="preserve">15(1) de la </w:t>
      </w:r>
      <w:r w:rsidRPr="00E96209">
        <w:rPr>
          <w:i/>
          <w:noProof/>
          <w:lang w:val="fr-CA"/>
        </w:rPr>
        <w:t>Charte</w:t>
      </w:r>
      <w:r w:rsidRPr="00E96209">
        <w:rPr>
          <w:lang w:val="fr-CA"/>
        </w:rPr>
        <w:t xml:space="preserve">. Ces distinctions </w:t>
      </w:r>
      <w:r w:rsidRPr="00E96209">
        <w:rPr>
          <w:noProof/>
          <w:lang w:val="fr-CA"/>
        </w:rPr>
        <w:t>discriminatoires ne peuvent se justifier dans une société libre et démocratique</w:t>
      </w:r>
      <w:r w:rsidRPr="00E96209">
        <w:rPr>
          <w:lang w:val="fr-CA"/>
        </w:rPr>
        <w:t xml:space="preserve">. La réparation octroyée par la Cour d’appel était appropriée, et il y a lieu de confirmer ses ordonnances. </w:t>
      </w:r>
    </w:p>
    <w:p w14:paraId="41A080AA" w14:textId="23CD6C8E" w:rsidR="006A2D3E" w:rsidRPr="00E96209" w:rsidRDefault="006A2D3E" w:rsidP="006A2D3E">
      <w:pPr>
        <w:pStyle w:val="SCCNormalDoubleSpacing"/>
        <w:spacing w:after="480"/>
        <w:rPr>
          <w:lang w:val="fr-CA"/>
        </w:rPr>
      </w:pPr>
      <w:r w:rsidRPr="00E96209">
        <w:rPr>
          <w:lang w:val="fr-CA"/>
        </w:rPr>
        <w:tab/>
        <w:t xml:space="preserve">La première étape à suivre pour décider si une loi enfreint le </w:t>
      </w:r>
      <w:r w:rsidR="00E96209">
        <w:rPr>
          <w:lang w:val="fr-CA"/>
        </w:rPr>
        <w:t>par. </w:t>
      </w:r>
      <w:r w:rsidRPr="00E96209">
        <w:rPr>
          <w:lang w:val="fr-CA"/>
        </w:rPr>
        <w:t xml:space="preserve">15(1) de la </w:t>
      </w:r>
      <w:r w:rsidRPr="00E96209">
        <w:rPr>
          <w:i/>
          <w:lang w:val="fr-CA"/>
        </w:rPr>
        <w:t xml:space="preserve">Charte </w:t>
      </w:r>
      <w:r w:rsidRPr="00E96209">
        <w:rPr>
          <w:lang w:val="fr-CA"/>
        </w:rPr>
        <w:t xml:space="preserve">consiste à se demander si la loi </w:t>
      </w:r>
      <w:r w:rsidRPr="00E96209">
        <w:rPr>
          <w:noProof/>
          <w:lang w:val="fr-CA"/>
        </w:rPr>
        <w:t xml:space="preserve">crée, à première vue ou de par son effet, une distinction fondée sur un motif énuméré ou analogue. </w:t>
      </w:r>
      <w:r w:rsidRPr="00E96209">
        <w:rPr>
          <w:lang w:val="fr-CA"/>
        </w:rPr>
        <w:t xml:space="preserve">En l’espèce, </w:t>
      </w:r>
      <w:r w:rsidRPr="00E96209">
        <w:rPr>
          <w:noProof/>
          <w:lang w:val="fr-CA"/>
        </w:rPr>
        <w:t>des distinctions claires ont été faites sur le fondement du motif énuméré qu’est la déficience mentale</w:t>
      </w:r>
      <w:r w:rsidRPr="00E96209">
        <w:rPr>
          <w:lang w:val="fr-CA"/>
        </w:rPr>
        <w:t xml:space="preserve">. </w:t>
      </w:r>
      <w:r w:rsidRPr="00E96209">
        <w:rPr>
          <w:noProof/>
          <w:lang w:val="fr-CA"/>
        </w:rPr>
        <w:t xml:space="preserve">Les personnes déclarées coupables d’infractions sexuelles peuvent être dispensées au départ de l’obligation de se présenter devant les autorités afin de s’inscrire au registre si elles obtiennent une absolution lors de leur audience de détermination de la peine. Les personnes déclarées coupables peuvent aussi être retirées du registre des délinquants sexuels si elles obtiennent un pardon absolu, et elles peuvent être dispensées de l’obligation de continuer de se présenter devant les autorités si elles obtiennent un pardon absolu ou une suspension de leur casier judiciaire. </w:t>
      </w:r>
      <w:r w:rsidRPr="00E96209">
        <w:rPr>
          <w:lang w:val="fr-CA"/>
        </w:rPr>
        <w:t xml:space="preserve">Cependant, les personnes déclarées non responsables criminellement pour cause de troubles mentaux à l’égard des mêmes infractions ne bénéficient pas de telles occasions même si elles ont bénéficié d’une libération inconditionnelle. Les personnes déclarées non responsables criminellement pour cause de troubles mentaux </w:t>
      </w:r>
      <w:r w:rsidRPr="00E96209">
        <w:rPr>
          <w:noProof/>
          <w:lang w:val="fr-CA"/>
        </w:rPr>
        <w:t xml:space="preserve">font clairement l’objet d’une différence de traitement. </w:t>
      </w:r>
    </w:p>
    <w:p w14:paraId="4574D399" w14:textId="5EABA492" w:rsidR="006A2D3E" w:rsidRPr="00E96209" w:rsidRDefault="006A2D3E" w:rsidP="006A2D3E">
      <w:pPr>
        <w:pStyle w:val="SCCNormalDoubleSpacing"/>
        <w:spacing w:after="480"/>
        <w:rPr>
          <w:lang w:val="fr-CA"/>
        </w:rPr>
      </w:pPr>
      <w:r w:rsidRPr="00E96209">
        <w:rPr>
          <w:lang w:val="fr-CA"/>
        </w:rPr>
        <w:tab/>
      </w:r>
      <w:r w:rsidRPr="00E96209">
        <w:rPr>
          <w:noProof/>
          <w:lang w:val="fr-CA"/>
        </w:rPr>
        <w:t>La deuxième étape consiste à se demander si la loi contestée impose un fardeau ou nie un avantage d’une manière</w:t>
      </w:r>
      <w:r w:rsidRPr="00E96209">
        <w:rPr>
          <w:lang w:val="fr-CA"/>
        </w:rPr>
        <w:t xml:space="preserve"> qui </w:t>
      </w:r>
      <w:r w:rsidRPr="00E96209">
        <w:rPr>
          <w:noProof/>
          <w:lang w:val="fr-CA"/>
        </w:rPr>
        <w:t xml:space="preserve">a pour effet de renforcer, de perpétuer ou d’accentuer le désavantage, y compris le désavantage historique subi. </w:t>
      </w:r>
      <w:r w:rsidRPr="00E96209">
        <w:rPr>
          <w:lang w:val="fr-CA"/>
        </w:rPr>
        <w:t>E</w:t>
      </w:r>
      <w:r w:rsidRPr="00E96209">
        <w:rPr>
          <w:noProof/>
          <w:lang w:val="fr-CA"/>
        </w:rPr>
        <w:t xml:space="preserve">n refusant aux personnes déclarées non responsables criminellement pour cause de troubles mentaux la possibilité d’être dispensées de l’obligation de s’inscrire au registre des délinquants sexuels, d’être retirées du registre ou d’être dispensées de l’obligation de se présenter devant les autorités, la </w:t>
      </w:r>
      <w:r w:rsidR="007D76F6">
        <w:rPr>
          <w:i/>
          <w:noProof/>
          <w:lang w:val="fr-CA"/>
        </w:rPr>
        <w:t>Loi Christopher</w:t>
      </w:r>
      <w:r w:rsidRPr="00E96209">
        <w:rPr>
          <w:i/>
          <w:noProof/>
          <w:lang w:val="fr-CA"/>
        </w:rPr>
        <w:t xml:space="preserve"> </w:t>
      </w:r>
      <w:r w:rsidRPr="00E96209">
        <w:rPr>
          <w:noProof/>
          <w:lang w:val="fr-CA"/>
        </w:rPr>
        <w:t xml:space="preserve">présume effectivement qu’elles </w:t>
      </w:r>
      <w:r w:rsidRPr="00E96209">
        <w:rPr>
          <w:lang w:val="fr-CA"/>
        </w:rPr>
        <w:t xml:space="preserve">sont en soi dangereuses </w:t>
      </w:r>
      <w:r w:rsidRPr="00E96209">
        <w:rPr>
          <w:noProof/>
          <w:lang w:val="fr-CA"/>
        </w:rPr>
        <w:t>et présenteront toujours un danger</w:t>
      </w:r>
      <w:r w:rsidRPr="00E96209">
        <w:rPr>
          <w:lang w:val="fr-CA"/>
        </w:rPr>
        <w:t xml:space="preserve">. Elle </w:t>
      </w:r>
      <w:r w:rsidRPr="00E96209">
        <w:rPr>
          <w:noProof/>
          <w:lang w:val="fr-CA"/>
        </w:rPr>
        <w:t>indique que les personnes déclarées non responsables criminellement pour cause de troubles mentaux sont considérées comme une menace perpétuelle pour le public</w:t>
      </w:r>
      <w:r w:rsidRPr="00E96209">
        <w:rPr>
          <w:lang w:val="fr-CA"/>
        </w:rPr>
        <w:t xml:space="preserve">. La </w:t>
      </w:r>
      <w:r w:rsidR="007D76F6">
        <w:rPr>
          <w:i/>
          <w:lang w:val="fr-CA"/>
        </w:rPr>
        <w:t>Loi Christopher</w:t>
      </w:r>
      <w:r w:rsidRPr="00E96209">
        <w:rPr>
          <w:lang w:val="fr-CA"/>
        </w:rPr>
        <w:t xml:space="preserve"> impose </w:t>
      </w:r>
      <w:r w:rsidRPr="00E96209">
        <w:rPr>
          <w:noProof/>
          <w:lang w:val="fr-CA"/>
        </w:rPr>
        <w:t xml:space="preserve">un fardeau aux personnes déclarées non responsables criminellement pour cause de troubles mentaux d’une manière qui viole le </w:t>
      </w:r>
      <w:r w:rsidR="00E96209">
        <w:rPr>
          <w:noProof/>
          <w:lang w:val="fr-CA"/>
        </w:rPr>
        <w:t>par. </w:t>
      </w:r>
      <w:r w:rsidRPr="00E96209">
        <w:rPr>
          <w:noProof/>
          <w:lang w:val="fr-CA"/>
        </w:rPr>
        <w:t>15(1) de deux façons</w:t>
      </w:r>
      <w:r w:rsidR="00E96209">
        <w:rPr>
          <w:noProof/>
          <w:lang w:val="fr-CA"/>
        </w:rPr>
        <w:t> :</w:t>
      </w:r>
      <w:r w:rsidRPr="00E96209">
        <w:rPr>
          <w:lang w:val="fr-CA"/>
        </w:rPr>
        <w:t xml:space="preserve"> </w:t>
      </w:r>
      <w:r w:rsidRPr="00E96209">
        <w:rPr>
          <w:noProof/>
          <w:lang w:val="fr-CA"/>
        </w:rPr>
        <w:t>d’une part, la loi</w:t>
      </w:r>
      <w:r w:rsidRPr="00E96209">
        <w:rPr>
          <w:i/>
          <w:noProof/>
          <w:lang w:val="fr-CA"/>
        </w:rPr>
        <w:t xml:space="preserve"> </w:t>
      </w:r>
      <w:r w:rsidRPr="00E96209">
        <w:rPr>
          <w:noProof/>
          <w:lang w:val="fr-CA"/>
        </w:rPr>
        <w:t>elle</w:t>
      </w:r>
      <w:r w:rsidR="00E96209">
        <w:rPr>
          <w:noProof/>
          <w:lang w:val="fr-CA"/>
        </w:rPr>
        <w:noBreakHyphen/>
      </w:r>
      <w:r w:rsidRPr="00E96209">
        <w:rPr>
          <w:noProof/>
          <w:lang w:val="fr-CA"/>
        </w:rPr>
        <w:t xml:space="preserve">même applique des préjugés et des stéréotypes envers les personnes souffrant de troubles mentaux; d’autre part, la loi place les personnes déclarées non responsables criminellement pour cause de troubles mentaux dans une situation pire que celle des personnes déclarées coupables. </w:t>
      </w:r>
      <w:r w:rsidR="007D76F6">
        <w:rPr>
          <w:noProof/>
          <w:lang w:val="fr-CA"/>
        </w:rPr>
        <w:t xml:space="preserve">Ces deux </w:t>
      </w:r>
      <w:r w:rsidRPr="00E96209">
        <w:rPr>
          <w:noProof/>
          <w:lang w:val="fr-CA"/>
        </w:rPr>
        <w:t>effets perpétuent le désavantage historique que continuent de subir les personnes souffrant de troubles mentaux</w:t>
      </w:r>
      <w:r w:rsidRPr="00E96209">
        <w:rPr>
          <w:lang w:val="fr-CA"/>
        </w:rPr>
        <w:t xml:space="preserve">. </w:t>
      </w:r>
      <w:r w:rsidRPr="00E96209">
        <w:rPr>
          <w:noProof/>
          <w:lang w:val="fr-CA"/>
        </w:rPr>
        <w:t xml:space="preserve">Les distinctions créées par la </w:t>
      </w:r>
      <w:r w:rsidR="007D76F6">
        <w:rPr>
          <w:i/>
          <w:noProof/>
          <w:lang w:val="fr-CA"/>
        </w:rPr>
        <w:t>Loi Christopher</w:t>
      </w:r>
      <w:r w:rsidRPr="00E96209">
        <w:rPr>
          <w:i/>
          <w:noProof/>
          <w:lang w:val="fr-CA"/>
        </w:rPr>
        <w:t xml:space="preserve"> </w:t>
      </w:r>
      <w:r w:rsidRPr="00E96209">
        <w:rPr>
          <w:lang w:val="fr-CA"/>
        </w:rPr>
        <w:t xml:space="preserve">sont par conséquent discriminatoires. </w:t>
      </w:r>
    </w:p>
    <w:p w14:paraId="2DE66641" w14:textId="4A1215F9" w:rsidR="006A2D3E" w:rsidRPr="00E96209" w:rsidRDefault="006A2D3E" w:rsidP="006A2D3E">
      <w:pPr>
        <w:pStyle w:val="SCCNormalDoubleSpacing"/>
        <w:spacing w:after="480"/>
        <w:rPr>
          <w:lang w:val="fr-CA"/>
        </w:rPr>
      </w:pPr>
      <w:r w:rsidRPr="00E96209">
        <w:rPr>
          <w:lang w:val="fr-CA"/>
        </w:rPr>
        <w:tab/>
        <w:t xml:space="preserve">Le fardeau d’établir que </w:t>
      </w:r>
      <w:r w:rsidRPr="00E96209">
        <w:rPr>
          <w:noProof/>
          <w:lang w:val="fr-CA"/>
        </w:rPr>
        <w:t xml:space="preserve">la contravention au </w:t>
      </w:r>
      <w:r w:rsidR="00E96209">
        <w:rPr>
          <w:noProof/>
          <w:lang w:val="fr-CA"/>
        </w:rPr>
        <w:t>par. </w:t>
      </w:r>
      <w:r w:rsidRPr="00E96209">
        <w:rPr>
          <w:noProof/>
          <w:lang w:val="fr-CA"/>
        </w:rPr>
        <w:t>15(1) est justifiée au regard de l’article premier</w:t>
      </w:r>
      <w:r w:rsidRPr="00E96209">
        <w:rPr>
          <w:lang w:val="fr-CA"/>
        </w:rPr>
        <w:t xml:space="preserve"> de la </w:t>
      </w:r>
      <w:r w:rsidRPr="00E96209">
        <w:rPr>
          <w:i/>
          <w:lang w:val="fr-CA"/>
        </w:rPr>
        <w:t>Charte</w:t>
      </w:r>
      <w:r w:rsidRPr="00E96209">
        <w:rPr>
          <w:lang w:val="fr-CA"/>
        </w:rPr>
        <w:t xml:space="preserve"> incombe au procureur général, selon la prépondérance des probabilités. </w:t>
      </w:r>
      <w:r w:rsidRPr="00E96209">
        <w:rPr>
          <w:noProof/>
          <w:lang w:val="fr-CA"/>
        </w:rPr>
        <w:t>Premièrement, l’objectif que vise la mesure attentatoire doit être urgent et réel</w:t>
      </w:r>
      <w:r w:rsidRPr="00E96209">
        <w:rPr>
          <w:lang w:val="fr-CA"/>
        </w:rPr>
        <w:t xml:space="preserve">. </w:t>
      </w:r>
      <w:r w:rsidRPr="00E96209">
        <w:rPr>
          <w:noProof/>
          <w:lang w:val="fr-CA"/>
        </w:rPr>
        <w:t xml:space="preserve">Deuxièmement, la mesure attentatoire ne doit pas porter atteinte de manière disproportionnée au droit que garantit le </w:t>
      </w:r>
      <w:r w:rsidR="00E96209">
        <w:rPr>
          <w:noProof/>
          <w:lang w:val="fr-CA"/>
        </w:rPr>
        <w:t>par. </w:t>
      </w:r>
      <w:r w:rsidRPr="00E96209">
        <w:rPr>
          <w:noProof/>
          <w:lang w:val="fr-CA"/>
        </w:rPr>
        <w:t>15(1)</w:t>
      </w:r>
      <w:r w:rsidRPr="00E96209">
        <w:rPr>
          <w:lang w:val="fr-CA"/>
        </w:rPr>
        <w:t xml:space="preserve">; elle doit avoir </w:t>
      </w:r>
      <w:r w:rsidRPr="00E96209">
        <w:rPr>
          <w:noProof/>
          <w:lang w:val="fr-CA"/>
        </w:rPr>
        <w:t xml:space="preserve">un lien rationnel avec l’objectif, les moyens choisis doivent porter le moins possible atteinte au droit que garantit le </w:t>
      </w:r>
      <w:r w:rsidR="00E96209">
        <w:rPr>
          <w:noProof/>
          <w:lang w:val="fr-CA"/>
        </w:rPr>
        <w:t>par. </w:t>
      </w:r>
      <w:r w:rsidRPr="00E96209">
        <w:rPr>
          <w:noProof/>
          <w:lang w:val="fr-CA"/>
        </w:rPr>
        <w:t xml:space="preserve">15(1), et les avantages de la mesure attentatoire doivent l’emporter sur ses effets préjudiciables. </w:t>
      </w:r>
      <w:r w:rsidRPr="00E96209">
        <w:rPr>
          <w:lang w:val="fr-CA"/>
        </w:rPr>
        <w:t>Dans la présente affaire, l</w:t>
      </w:r>
      <w:r w:rsidRPr="00E96209">
        <w:rPr>
          <w:noProof/>
          <w:lang w:val="fr-CA"/>
        </w:rPr>
        <w:t xml:space="preserve">es parties conviennent que l’objectif de la </w:t>
      </w:r>
      <w:r w:rsidR="007D76F6">
        <w:rPr>
          <w:i/>
          <w:noProof/>
          <w:lang w:val="fr-CA"/>
        </w:rPr>
        <w:t>Loi Christopher</w:t>
      </w:r>
      <w:r w:rsidRPr="00E96209">
        <w:rPr>
          <w:i/>
          <w:noProof/>
          <w:lang w:val="fr-CA"/>
        </w:rPr>
        <w:t xml:space="preserve"> </w:t>
      </w:r>
      <w:r w:rsidRPr="00E96209">
        <w:rPr>
          <w:noProof/>
          <w:lang w:val="fr-CA"/>
        </w:rPr>
        <w:t xml:space="preserve">est de faciliter les enquêtes sur des infractions sexuelles et la prévention de ces infractions, que cet objectif est urgent et réel, et que les limites que la </w:t>
      </w:r>
      <w:r w:rsidRPr="00E96209">
        <w:rPr>
          <w:i/>
          <w:noProof/>
          <w:lang w:val="fr-CA"/>
        </w:rPr>
        <w:t xml:space="preserve">Loi </w:t>
      </w:r>
      <w:r w:rsidRPr="00E96209">
        <w:rPr>
          <w:noProof/>
          <w:lang w:val="fr-CA"/>
        </w:rPr>
        <w:t xml:space="preserve">impose aux droits garantis par la </w:t>
      </w:r>
      <w:r w:rsidRPr="00E96209">
        <w:rPr>
          <w:i/>
          <w:noProof/>
          <w:lang w:val="fr-CA"/>
        </w:rPr>
        <w:t xml:space="preserve">Charte </w:t>
      </w:r>
      <w:r w:rsidRPr="00E96209">
        <w:rPr>
          <w:noProof/>
          <w:lang w:val="fr-CA"/>
        </w:rPr>
        <w:t xml:space="preserve">sont rationnellement liées à cet objectif. Cependant, </w:t>
      </w:r>
      <w:r w:rsidRPr="00E96209">
        <w:rPr>
          <w:lang w:val="fr-CA"/>
        </w:rPr>
        <w:t xml:space="preserve">la </w:t>
      </w:r>
      <w:r w:rsidR="007D76F6">
        <w:rPr>
          <w:i/>
          <w:lang w:val="fr-CA"/>
        </w:rPr>
        <w:t>Loi Christopher</w:t>
      </w:r>
      <w:r w:rsidRPr="00E96209">
        <w:rPr>
          <w:lang w:val="fr-CA"/>
        </w:rPr>
        <w:t xml:space="preserve"> </w:t>
      </w:r>
      <w:r w:rsidRPr="00E96209">
        <w:rPr>
          <w:noProof/>
          <w:lang w:val="fr-CA"/>
        </w:rPr>
        <w:t xml:space="preserve">ne porte pas atteinte de façon minimale aux droits garantis par le </w:t>
      </w:r>
      <w:r w:rsidR="00E96209">
        <w:rPr>
          <w:noProof/>
          <w:lang w:val="fr-CA"/>
        </w:rPr>
        <w:t>par. </w:t>
      </w:r>
      <w:r w:rsidRPr="00E96209">
        <w:rPr>
          <w:noProof/>
          <w:lang w:val="fr-CA"/>
        </w:rPr>
        <w:t>15(1) aux personnes déclarées non responsables criminellement pour cause de troubles mentaux</w:t>
      </w:r>
      <w:r w:rsidRPr="00E96209">
        <w:rPr>
          <w:lang w:val="fr-CA"/>
        </w:rPr>
        <w:t xml:space="preserve">. </w:t>
      </w:r>
      <w:r w:rsidRPr="00E96209">
        <w:rPr>
          <w:noProof/>
          <w:lang w:val="fr-CA"/>
        </w:rPr>
        <w:t>L’inclusion de toute méthode permettant aux personnes déclarées non responsables criminellement pour cause de troubles mentaux d’être dispensées des obligations qui leur incombent et d’être retirées du registre à la suite d’une évaluation individuelle serait moins attentatoire</w:t>
      </w:r>
      <w:r w:rsidRPr="00E96209">
        <w:rPr>
          <w:lang w:val="fr-CA"/>
        </w:rPr>
        <w:t xml:space="preserve">. Par conséquent, le procureur général n’a pas justifié la violation du </w:t>
      </w:r>
      <w:r w:rsidR="00E96209">
        <w:rPr>
          <w:lang w:val="fr-CA"/>
        </w:rPr>
        <w:t>par. </w:t>
      </w:r>
      <w:r w:rsidRPr="00E96209">
        <w:rPr>
          <w:lang w:val="fr-CA"/>
        </w:rPr>
        <w:t>15(1).</w:t>
      </w:r>
    </w:p>
    <w:p w14:paraId="7AEDA500" w14:textId="4BBDAB14" w:rsidR="006A2D3E" w:rsidRPr="00E96209" w:rsidRDefault="006A2D3E" w:rsidP="006A2D3E">
      <w:pPr>
        <w:pStyle w:val="SCCNormalDoubleSpacing"/>
        <w:spacing w:after="480"/>
        <w:rPr>
          <w:i/>
          <w:lang w:val="fr-CA"/>
        </w:rPr>
      </w:pPr>
      <w:r w:rsidRPr="00E96209">
        <w:rPr>
          <w:lang w:val="fr-CA"/>
        </w:rPr>
        <w:tab/>
        <w:t xml:space="preserve">Il faut utiliser une méthode fondée sur des principes pour </w:t>
      </w:r>
      <w:r w:rsidRPr="00E96209">
        <w:rPr>
          <w:noProof/>
          <w:lang w:val="fr-CA"/>
        </w:rPr>
        <w:t xml:space="preserve">déterminer les réparations qu’il convient d’accorder lorsque des textes législatifs violent la </w:t>
      </w:r>
      <w:r w:rsidRPr="00E96209">
        <w:rPr>
          <w:i/>
          <w:lang w:val="fr-CA"/>
        </w:rPr>
        <w:t>Charte</w:t>
      </w:r>
      <w:r w:rsidRPr="00E96209">
        <w:rPr>
          <w:lang w:val="fr-CA"/>
        </w:rPr>
        <w:t xml:space="preserve">. Selon les termes absolus édictés au </w:t>
      </w:r>
      <w:proofErr w:type="spellStart"/>
      <w:r w:rsidR="00E96209">
        <w:rPr>
          <w:lang w:val="fr-CA"/>
        </w:rPr>
        <w:t>par</w:t>
      </w:r>
      <w:proofErr w:type="spellEnd"/>
      <w:r w:rsidR="00E96209">
        <w:rPr>
          <w:lang w:val="fr-CA"/>
        </w:rPr>
        <w:t>. </w:t>
      </w:r>
      <w:r w:rsidRPr="00E96209">
        <w:rPr>
          <w:lang w:val="fr-CA"/>
        </w:rPr>
        <w:t xml:space="preserve">52(1) de la </w:t>
      </w:r>
      <w:r w:rsidRPr="00E96209">
        <w:rPr>
          <w:i/>
          <w:lang w:val="fr-CA"/>
        </w:rPr>
        <w:t>Loi constitutionnelle de 1982</w:t>
      </w:r>
      <w:r w:rsidRPr="00E96209">
        <w:rPr>
          <w:lang w:val="fr-CA"/>
        </w:rPr>
        <w:t xml:space="preserve">, </w:t>
      </w:r>
      <w:r w:rsidRPr="00E96209">
        <w:rPr>
          <w:noProof/>
          <w:lang w:val="fr-CA"/>
        </w:rPr>
        <w:t>la Constitution rend inopérantes les dispositions incompatibles de toute autre règle de droit</w:t>
      </w:r>
      <w:r w:rsidRPr="00E96209">
        <w:rPr>
          <w:lang w:val="fr-CA"/>
        </w:rPr>
        <w:t>. U</w:t>
      </w:r>
      <w:r w:rsidRPr="00E96209">
        <w:rPr>
          <w:noProof/>
          <w:lang w:val="fr-CA"/>
        </w:rPr>
        <w:t xml:space="preserve">ne déclaration générale est le moyen par lequel les tribunaux donnent aux termes généraux du </w:t>
      </w:r>
      <w:r w:rsidR="00E96209">
        <w:rPr>
          <w:noProof/>
          <w:lang w:val="fr-CA"/>
        </w:rPr>
        <w:t>par. </w:t>
      </w:r>
      <w:r w:rsidRPr="00E96209">
        <w:rPr>
          <w:noProof/>
          <w:lang w:val="fr-CA"/>
        </w:rPr>
        <w:t xml:space="preserve">52(1) leur plein effet. </w:t>
      </w:r>
      <w:r w:rsidRPr="00E96209">
        <w:rPr>
          <w:lang w:val="fr-CA"/>
        </w:rPr>
        <w:t>L</w:t>
      </w:r>
      <w:r w:rsidRPr="00E96209">
        <w:rPr>
          <w:noProof/>
          <w:lang w:val="fr-CA"/>
        </w:rPr>
        <w:t xml:space="preserve">e tribunal qui est appelé à statuer sur la contestation constitutionnelle d’une loi doit déterminer dans quelle mesure la loi contestée est inconstitutionnelle et la déclarer telle. </w:t>
      </w:r>
      <w:r w:rsidRPr="00E96209">
        <w:rPr>
          <w:lang w:val="fr-CA"/>
        </w:rPr>
        <w:t>Un</w:t>
      </w:r>
      <w:r w:rsidRPr="00E96209">
        <w:rPr>
          <w:noProof/>
          <w:lang w:val="fr-CA"/>
        </w:rPr>
        <w:t xml:space="preserve"> degré de discrétion est inévitable pour décider comment répondre à l’incompatibilité entre des dispositions législatives et la Constitution</w:t>
      </w:r>
      <w:r w:rsidRPr="00E96209">
        <w:rPr>
          <w:lang w:val="fr-CA"/>
        </w:rPr>
        <w:t>. M</w:t>
      </w:r>
      <w:r w:rsidRPr="00E96209">
        <w:rPr>
          <w:noProof/>
          <w:lang w:val="fr-CA"/>
        </w:rPr>
        <w:t xml:space="preserve">ême si le </w:t>
      </w:r>
      <w:r w:rsidR="00E96209">
        <w:rPr>
          <w:noProof/>
          <w:lang w:val="fr-CA"/>
        </w:rPr>
        <w:t>par. </w:t>
      </w:r>
      <w:r w:rsidRPr="00E96209">
        <w:rPr>
          <w:noProof/>
          <w:lang w:val="fr-CA"/>
        </w:rPr>
        <w:t xml:space="preserve">52(1) reconnaît la primauté de la Constitution, de même que les droits et libertés fondamentaux des individus et des groupes qui sont garantis par la </w:t>
      </w:r>
      <w:r w:rsidRPr="00E96209">
        <w:rPr>
          <w:i/>
          <w:noProof/>
          <w:lang w:val="fr-CA"/>
        </w:rPr>
        <w:t>Charte</w:t>
      </w:r>
      <w:r w:rsidRPr="00E96209">
        <w:rPr>
          <w:noProof/>
          <w:lang w:val="fr-CA"/>
        </w:rPr>
        <w:t>, l’élaboration de mesures de réparation constitutionnelles commande inévitablement l’application d’autres principes constitutionnels qui sont parfois contradictoires</w:t>
      </w:r>
      <w:r w:rsidRPr="00E96209">
        <w:rPr>
          <w:lang w:val="fr-CA"/>
        </w:rPr>
        <w:t xml:space="preserve">. </w:t>
      </w:r>
      <w:r w:rsidRPr="00E96209">
        <w:rPr>
          <w:noProof/>
          <w:lang w:val="fr-CA"/>
        </w:rPr>
        <w:t xml:space="preserve">Les tribunaux doivent établir un juste équilibre entre ces principes lorsqu’ils sont appelés à déterminer comment donner effet au </w:t>
      </w:r>
      <w:r w:rsidR="00E96209">
        <w:rPr>
          <w:noProof/>
          <w:lang w:val="fr-CA"/>
        </w:rPr>
        <w:t>par. </w:t>
      </w:r>
      <w:r w:rsidRPr="00E96209">
        <w:rPr>
          <w:noProof/>
          <w:lang w:val="fr-CA"/>
        </w:rPr>
        <w:t xml:space="preserve">52(1) d’une manière qui concorde le mieux avec l’ordre constitutionnel du Canada. </w:t>
      </w:r>
    </w:p>
    <w:p w14:paraId="09DFE598" w14:textId="1495E771" w:rsidR="006A2D3E" w:rsidRPr="00E96209" w:rsidRDefault="006A2D3E" w:rsidP="006A2D3E">
      <w:pPr>
        <w:pStyle w:val="SCCNormalDoubleSpacing"/>
        <w:spacing w:after="480"/>
        <w:rPr>
          <w:lang w:val="fr-CA"/>
        </w:rPr>
      </w:pPr>
      <w:r w:rsidRPr="00E96209">
        <w:rPr>
          <w:i/>
          <w:lang w:val="fr-CA"/>
        </w:rPr>
        <w:tab/>
      </w:r>
      <w:r w:rsidRPr="00E96209">
        <w:rPr>
          <w:lang w:val="fr-CA"/>
        </w:rPr>
        <w:t>L</w:t>
      </w:r>
      <w:r w:rsidRPr="00E96209">
        <w:rPr>
          <w:noProof/>
          <w:lang w:val="fr-CA"/>
        </w:rPr>
        <w:t xml:space="preserve">’arrêt de principe de la Cour sur les réparations à accorder lorsque des lois violent la </w:t>
      </w:r>
      <w:r w:rsidRPr="00E96209">
        <w:rPr>
          <w:i/>
          <w:noProof/>
          <w:lang w:val="fr-CA"/>
        </w:rPr>
        <w:t>Charte</w:t>
      </w:r>
      <w:r w:rsidRPr="00E96209">
        <w:rPr>
          <w:noProof/>
          <w:lang w:val="fr-CA"/>
        </w:rPr>
        <w:t xml:space="preserve">, l’arrêt </w:t>
      </w:r>
      <w:r w:rsidRPr="00E96209">
        <w:rPr>
          <w:i/>
          <w:noProof/>
          <w:lang w:val="fr-CA"/>
        </w:rPr>
        <w:t>Schachter c. Canada</w:t>
      </w:r>
      <w:r w:rsidRPr="00E96209">
        <w:rPr>
          <w:noProof/>
          <w:lang w:val="fr-CA"/>
        </w:rPr>
        <w:t>, [1992] 2 R.C.S 679, inspire l’approche que suivent les tribunaux pour concevoir une réparation adaptée et efficace lorsque des textes législatifs sont inconstitutionnels. Dans l’arrêt </w:t>
      </w:r>
      <w:r w:rsidRPr="00E96209">
        <w:rPr>
          <w:i/>
          <w:noProof/>
          <w:lang w:val="fr-CA"/>
        </w:rPr>
        <w:t>Schachter</w:t>
      </w:r>
      <w:r w:rsidRPr="00E96209">
        <w:rPr>
          <w:noProof/>
          <w:lang w:val="fr-CA"/>
        </w:rPr>
        <w:t>, la Cour a énoncé une façon générale d’accorder des réparations. Elle a approuvé l’octroi de réparations qui sont adaptées à la portée des violations des droits, ce qui permet de conserver les dispositions conformes sur le plan constitutionnel de lois inconstitutionnelles, et a reconnu qu’en de rares circonstances, l’effet d’une déclaration d’invalidité peut être suspendu pendant un certain temps pour protéger l’intérêt public.</w:t>
      </w:r>
      <w:r w:rsidRPr="00E96209">
        <w:rPr>
          <w:lang w:val="fr-CA"/>
        </w:rPr>
        <w:t xml:space="preserve"> </w:t>
      </w:r>
      <w:r w:rsidRPr="00E96209">
        <w:rPr>
          <w:noProof/>
          <w:lang w:val="fr-CA"/>
        </w:rPr>
        <w:t xml:space="preserve">Dans </w:t>
      </w:r>
      <w:r w:rsidRPr="00E96209">
        <w:rPr>
          <w:i/>
          <w:noProof/>
          <w:lang w:val="fr-CA"/>
        </w:rPr>
        <w:t>Schachter</w:t>
      </w:r>
      <w:r w:rsidRPr="00E96209">
        <w:rPr>
          <w:noProof/>
          <w:lang w:val="fr-CA"/>
        </w:rPr>
        <w:t xml:space="preserve">, la Cour s’est également demandé s’il y a lieu d’accorder des réparations prévues par le </w:t>
      </w:r>
      <w:r w:rsidR="00E96209">
        <w:rPr>
          <w:noProof/>
          <w:lang w:val="fr-CA"/>
        </w:rPr>
        <w:t>par. </w:t>
      </w:r>
      <w:r w:rsidRPr="00E96209">
        <w:rPr>
          <w:noProof/>
          <w:lang w:val="fr-CA"/>
        </w:rPr>
        <w:t xml:space="preserve">52(1) en même temps qu’une mesure de réparation individuelle pour des violations de la </w:t>
      </w:r>
      <w:r w:rsidRPr="00E96209">
        <w:rPr>
          <w:i/>
          <w:noProof/>
          <w:lang w:val="fr-CA"/>
        </w:rPr>
        <w:t>Charte</w:t>
      </w:r>
      <w:r w:rsidRPr="00E96209">
        <w:rPr>
          <w:lang w:val="fr-CA"/>
        </w:rPr>
        <w:t>, et elle s’est notamm</w:t>
      </w:r>
      <w:r w:rsidR="00A717D3">
        <w:rPr>
          <w:lang w:val="fr-CA"/>
        </w:rPr>
        <w:t>ent posé</w:t>
      </w:r>
      <w:r w:rsidRPr="00E96209">
        <w:rPr>
          <w:lang w:val="fr-CA"/>
        </w:rPr>
        <w:t xml:space="preserve"> la question de savoir </w:t>
      </w:r>
      <w:r w:rsidRPr="00E96209">
        <w:rPr>
          <w:noProof/>
          <w:lang w:val="fr-CA"/>
        </w:rPr>
        <w:t>si le demandeur devrait être dispensé individuellement d’une suspension, ce qui permet aux demandeurs ayant eu gain de cause de jouir de l’avantage que procure immédiatement une déclaration d’invalidité.</w:t>
      </w:r>
      <w:r w:rsidR="00E96209">
        <w:rPr>
          <w:noProof/>
          <w:lang w:val="fr-CA"/>
        </w:rPr>
        <w:t xml:space="preserve"> </w:t>
      </w:r>
    </w:p>
    <w:p w14:paraId="6D779D9B" w14:textId="0AF47149" w:rsidR="006A2D3E" w:rsidRPr="00E96209" w:rsidRDefault="006A2D3E" w:rsidP="006A2D3E">
      <w:pPr>
        <w:pStyle w:val="SCCNormalDoubleSpacing"/>
        <w:spacing w:after="480"/>
        <w:rPr>
          <w:lang w:val="fr-CA"/>
        </w:rPr>
      </w:pPr>
      <w:r w:rsidRPr="00E96209">
        <w:rPr>
          <w:lang w:val="fr-CA"/>
        </w:rPr>
        <w:tab/>
      </w:r>
      <w:r w:rsidR="007D76F6">
        <w:rPr>
          <w:noProof/>
          <w:lang w:val="fr-CA"/>
        </w:rPr>
        <w:t xml:space="preserve">En s’inspirant de l’arrêt </w:t>
      </w:r>
      <w:r w:rsidRPr="00E96209">
        <w:rPr>
          <w:i/>
          <w:noProof/>
          <w:lang w:val="fr-CA"/>
        </w:rPr>
        <w:t xml:space="preserve">Schachter </w:t>
      </w:r>
      <w:r w:rsidRPr="00E96209">
        <w:rPr>
          <w:noProof/>
          <w:lang w:val="fr-CA"/>
        </w:rPr>
        <w:t xml:space="preserve">et en l’employant pour définir le type et la portée des déclarations d’invalidité, </w:t>
      </w:r>
      <w:r w:rsidR="00A717D3">
        <w:rPr>
          <w:noProof/>
          <w:lang w:val="fr-CA"/>
        </w:rPr>
        <w:t xml:space="preserve">ainsi que pour </w:t>
      </w:r>
      <w:r w:rsidRPr="00E96209">
        <w:rPr>
          <w:noProof/>
          <w:lang w:val="fr-CA"/>
        </w:rPr>
        <w:t>suspendre l’effet de ces déclarations et exempter des personnes de ces suspensions, la jurisprudence de la Cour a intégré un groupe de principes fondamentaux en matière de réparation qui structurent l’exercice du pouvoir discrétionnaire de réparation fondé sur des principes</w:t>
      </w:r>
      <w:r w:rsidRPr="00E96209">
        <w:rPr>
          <w:lang w:val="fr-CA"/>
        </w:rPr>
        <w:t xml:space="preserve"> et </w:t>
      </w:r>
      <w:r w:rsidRPr="00E96209">
        <w:rPr>
          <w:noProof/>
          <w:lang w:val="fr-CA"/>
        </w:rPr>
        <w:t>jettent les bases de l’octroi de réparations utiles dans différents contextes.</w:t>
      </w:r>
      <w:r w:rsidRPr="00E96209">
        <w:rPr>
          <w:lang w:val="fr-CA"/>
        </w:rPr>
        <w:t xml:space="preserve"> Premièrement, la protection des droits est un aspect fondamental de l’octroi de réparations sous le régime de la </w:t>
      </w:r>
      <w:r w:rsidRPr="00E96209">
        <w:rPr>
          <w:i/>
          <w:lang w:val="fr-CA"/>
        </w:rPr>
        <w:t>Charte</w:t>
      </w:r>
      <w:r w:rsidRPr="00E96209">
        <w:rPr>
          <w:lang w:val="fr-CA"/>
        </w:rPr>
        <w:t xml:space="preserve">, car la </w:t>
      </w:r>
      <w:r w:rsidRPr="00E96209">
        <w:rPr>
          <w:i/>
          <w:lang w:val="fr-CA"/>
        </w:rPr>
        <w:t xml:space="preserve">Charte </w:t>
      </w:r>
      <w:r w:rsidRPr="00E96209">
        <w:rPr>
          <w:lang w:val="fr-CA"/>
        </w:rPr>
        <w:t>vise à protéger les droits, les libertés et la dignité inhérente des personnes. Deuxièmement, il est dans l’intérêt du public que les lois soient conformes à la Constitution. Troisièmement, le public a droit au bénéfice de la loi, sur laquelle les individus s’appuient pour organiser leur vie et se protéger. Quatrièmement, les tribunaux et les législateurs jouent des rôles institutionnels différents</w:t>
      </w:r>
      <w:r w:rsidR="00E96209">
        <w:rPr>
          <w:lang w:val="fr-CA"/>
        </w:rPr>
        <w:t> :</w:t>
      </w:r>
      <w:r w:rsidRPr="00E96209">
        <w:rPr>
          <w:lang w:val="fr-CA"/>
        </w:rPr>
        <w:t xml:space="preserve"> la législature est souveraine en ce sens qu’elle jouit du pouvoir exclusif</w:t>
      </w:r>
      <w:r w:rsidRPr="00E96209">
        <w:rPr>
          <w:i/>
          <w:lang w:val="fr-CA"/>
        </w:rPr>
        <w:t xml:space="preserve"> </w:t>
      </w:r>
      <w:r w:rsidRPr="00E96209">
        <w:rPr>
          <w:lang w:val="fr-CA"/>
        </w:rPr>
        <w:t>d’adopter, de modifier et d’abroger des lois comme elle l’entend</w:t>
      </w:r>
      <w:r w:rsidRPr="00E96209">
        <w:rPr>
          <w:shd w:val="clear" w:color="auto" w:fill="FFFFFF"/>
          <w:lang w:val="fr-CA"/>
        </w:rPr>
        <w:t>, tandis que les tribunaux demeurent les</w:t>
      </w:r>
      <w:r w:rsidR="007D76F6">
        <w:rPr>
          <w:shd w:val="clear" w:color="auto" w:fill="FFFFFF"/>
          <w:lang w:val="fr-CA"/>
        </w:rPr>
        <w:t xml:space="preserve"> </w:t>
      </w:r>
      <w:r w:rsidRPr="00E96209">
        <w:rPr>
          <w:shd w:val="clear" w:color="auto" w:fill="FFFFFF"/>
          <w:lang w:val="fr-CA"/>
        </w:rPr>
        <w:t>gardiens de la Constitution et des droits qu’elle confère aux particuliers</w:t>
      </w:r>
      <w:r w:rsidRPr="00E96209">
        <w:rPr>
          <w:lang w:val="fr-CA"/>
        </w:rPr>
        <w:t xml:space="preserve">. Ces principes guident les tribunaux et les encouragent à expliquer de façon transparente leurs décisions au chapitre des réparations. </w:t>
      </w:r>
    </w:p>
    <w:p w14:paraId="20E635A7" w14:textId="15D21036" w:rsidR="006A2D3E" w:rsidRPr="00E96209" w:rsidRDefault="006A2D3E" w:rsidP="006A2D3E">
      <w:pPr>
        <w:pStyle w:val="SCCNormalDoubleSpacing"/>
        <w:spacing w:after="480"/>
        <w:rPr>
          <w:lang w:val="fr-CA"/>
        </w:rPr>
      </w:pPr>
      <w:r w:rsidRPr="00E96209">
        <w:rPr>
          <w:lang w:val="fr-CA"/>
        </w:rPr>
        <w:tab/>
        <w:t xml:space="preserve">Comme le prescrit le libellé du </w:t>
      </w:r>
      <w:r w:rsidR="00E96209">
        <w:rPr>
          <w:lang w:val="fr-CA"/>
        </w:rPr>
        <w:t>par. </w:t>
      </w:r>
      <w:r w:rsidRPr="00E96209">
        <w:rPr>
          <w:lang w:val="fr-CA"/>
        </w:rPr>
        <w:t xml:space="preserve">52(1), la première étape de l’élaboration de la réparation qu’il convient d’accorder consiste à déterminer l’étendue de l’incompatibilité de la loi et de la Constitution. L’analyse de la réparation qu’il convient d’accorder est fondée sur la nature et l’étendue de la violation de la </w:t>
      </w:r>
      <w:r w:rsidRPr="00E96209">
        <w:rPr>
          <w:i/>
          <w:lang w:val="fr-CA"/>
        </w:rPr>
        <w:t>Charte</w:t>
      </w:r>
      <w:r w:rsidRPr="00E96209">
        <w:rPr>
          <w:lang w:val="fr-CA"/>
        </w:rPr>
        <w:t>, car la portée de la réparation qui est finalement accordée dépend notamment de l’étendue de la violation. Le choix du type de déclaration constitue la deuxième étape. Des réparations autres que des déclarations d’invalidité intégrales devraient être accordées lorsque la nature de la violation et l’intention du législateur le justifient.</w:t>
      </w:r>
      <w:r w:rsidR="00E96209">
        <w:rPr>
          <w:lang w:val="fr-CA"/>
        </w:rPr>
        <w:t xml:space="preserve"> </w:t>
      </w:r>
      <w:r w:rsidRPr="00E96209">
        <w:rPr>
          <w:lang w:val="fr-CA"/>
        </w:rPr>
        <w:t>Cependant, si les circonstances ne se prêtent pas à l’octroi de réparations adaptées, il se peut que les réparations empiètent sur la sphère législative. Pour respecter les rôles différents des tribunaux et des législateurs, le choix d’annuler une loi dans sa totalité ou d’accorder une réparation adaptée en donnant à cette loi une interprétation large, une interprétation atténuée ou en retranchant une de ses dispositions dépend de la réponse à la question</w:t>
      </w:r>
      <w:r w:rsidRPr="00E96209">
        <w:rPr>
          <w:noProof/>
          <w:szCs w:val="24"/>
          <w:lang w:val="fr-CA"/>
        </w:rPr>
        <w:t xml:space="preserve"> </w:t>
      </w:r>
      <w:r w:rsidRPr="00E96209">
        <w:rPr>
          <w:lang w:val="fr-CA"/>
        </w:rPr>
        <w:t xml:space="preserve">de savoir si l’intention du législateur était telle qu’il aurait adopté la loi telle que l’a modifiée la cour. </w:t>
      </w:r>
    </w:p>
    <w:p w14:paraId="3AA50256" w14:textId="77777777" w:rsidR="006A2D3E" w:rsidRPr="00E96209" w:rsidRDefault="006A2D3E" w:rsidP="006A2D3E">
      <w:pPr>
        <w:pStyle w:val="SCCNormalDoubleSpacing"/>
        <w:spacing w:after="480"/>
        <w:rPr>
          <w:lang w:val="fr-CA"/>
        </w:rPr>
      </w:pPr>
      <w:r w:rsidRPr="00E96209">
        <w:rPr>
          <w:lang w:val="fr-CA"/>
        </w:rPr>
        <w:tab/>
      </w:r>
      <w:r w:rsidRPr="00E96209">
        <w:rPr>
          <w:noProof/>
          <w:szCs w:val="24"/>
          <w:lang w:val="fr-CA"/>
        </w:rPr>
        <w:t>Lors</w:t>
      </w:r>
      <w:r w:rsidRPr="00E96209">
        <w:rPr>
          <w:lang w:val="fr-CA"/>
        </w:rPr>
        <w:t xml:space="preserve">qu’une déclaration d’invalidité avec effet immédiat est susceptible de porter atteinte à un intérêt qui revêt une importance si grande que, tout bien considéré, les avantages qu’il y a à suspendre l’effet de cette déclaration l’emportent sur les inconvénients du maintien d’une loi inconstitutionnelle, le tribunal peut suspendre l’effet de la déclaration. Le pouvoir de suspendre l’effet d’une déclaration d’invalidité découle de la prise en compte de considérations constitutionnelles générales, et ce pouvoir est compris dans celui de déclarer une loi invalide. L’effet de déclarations d’invalidité devrait être suspendu en de rares cas; l’effet d’une déclaration ne devrait pas être suspendu à moins que le gouvernement ne démontre qu’une déclaration avec effet immédiat menacerait un intérêt public impérieux qui l’emporte sur l’importance de se conformer immédiatement à la Constitution et sur une réparation qui s’appliquerait immédiatement aux personnes dont les droits garantis par la </w:t>
      </w:r>
      <w:r w:rsidRPr="00E96209">
        <w:rPr>
          <w:i/>
          <w:lang w:val="fr-CA"/>
        </w:rPr>
        <w:t xml:space="preserve">Charte </w:t>
      </w:r>
      <w:r w:rsidRPr="00E96209">
        <w:rPr>
          <w:lang w:val="fr-CA"/>
        </w:rPr>
        <w:t>seront violés. Lorsqu’une telle mesure est justifiée, la période de suspension devrait être suffisamment longue pour donner au législateur le temps dont il a besoin pour s’acquitter avec diligence et efficacité de l’obligation qui lui incombe, tout en reconnaissant que chaque jour additionnel pendant lequel les droits sont violés constitue un contrepoids important à l’octroi de temps supplémentaire au législateur.</w:t>
      </w:r>
    </w:p>
    <w:p w14:paraId="67577FB2" w14:textId="2AE12C68" w:rsidR="006A2D3E" w:rsidRPr="00E96209" w:rsidRDefault="006A2D3E" w:rsidP="006A2D3E">
      <w:pPr>
        <w:pStyle w:val="SCCNormalDoubleSpacing"/>
        <w:spacing w:before="240" w:after="480"/>
        <w:rPr>
          <w:lang w:val="fr-CA"/>
        </w:rPr>
      </w:pPr>
      <w:r w:rsidRPr="00E96209">
        <w:rPr>
          <w:lang w:val="fr-CA"/>
        </w:rPr>
        <w:tab/>
        <w:t xml:space="preserve">Lorsque l’effet d’une déclaration d’invalidité est suspendu, il sera souvent convenable et juste d’accorder une réparation individuelle au demandeur en vertu du </w:t>
      </w:r>
      <w:r w:rsidR="00E96209">
        <w:rPr>
          <w:lang w:val="fr-CA"/>
        </w:rPr>
        <w:t>par. </w:t>
      </w:r>
      <w:r w:rsidRPr="00E96209">
        <w:rPr>
          <w:lang w:val="fr-CA"/>
        </w:rPr>
        <w:t xml:space="preserve">24(1) de la </w:t>
      </w:r>
      <w:r w:rsidRPr="00E96209">
        <w:rPr>
          <w:i/>
          <w:lang w:val="fr-CA"/>
        </w:rPr>
        <w:t>Charte</w:t>
      </w:r>
      <w:r w:rsidRPr="00E96209">
        <w:rPr>
          <w:lang w:val="fr-CA"/>
        </w:rPr>
        <w:t xml:space="preserve"> sous forme d’exemption individuelle de la suspension. Une réparation fondée sur le </w:t>
      </w:r>
      <w:r w:rsidR="00E96209">
        <w:rPr>
          <w:lang w:val="fr-CA"/>
        </w:rPr>
        <w:t>par. </w:t>
      </w:r>
      <w:r w:rsidRPr="00E96209">
        <w:rPr>
          <w:lang w:val="fr-CA"/>
        </w:rPr>
        <w:t xml:space="preserve">24(1) devrait permettre de défendre utilement le droit du demandeur, respecter la séparation des pouvoirs, mettre à contribution le rôle et les pouvoirs d’un tribunal, être équitable pour la partie visée par la réparation et permettre au </w:t>
      </w:r>
      <w:proofErr w:type="spellStart"/>
      <w:r w:rsidR="00E96209">
        <w:rPr>
          <w:lang w:val="fr-CA"/>
        </w:rPr>
        <w:t>par</w:t>
      </w:r>
      <w:proofErr w:type="spellEnd"/>
      <w:r w:rsidR="00E96209">
        <w:rPr>
          <w:lang w:val="fr-CA"/>
        </w:rPr>
        <w:t>. </w:t>
      </w:r>
      <w:r w:rsidRPr="00E96209">
        <w:rPr>
          <w:lang w:val="fr-CA"/>
        </w:rPr>
        <w:t xml:space="preserve">24(1) d’évoluer de manière à relever les défis de chaque cas. La manière dont le tribunal aborde les réparations accordées sur le fondement du </w:t>
      </w:r>
      <w:r w:rsidR="00E96209">
        <w:rPr>
          <w:lang w:val="fr-CA"/>
        </w:rPr>
        <w:t>par. </w:t>
      </w:r>
      <w:r w:rsidRPr="00E96209">
        <w:rPr>
          <w:lang w:val="fr-CA"/>
        </w:rPr>
        <w:t xml:space="preserve">24(1) doit rester souple et prendre en considération les besoins en cause. On sert bien le public en encourageant </w:t>
      </w:r>
      <w:r w:rsidR="00A717D3">
        <w:rPr>
          <w:lang w:val="fr-CA"/>
        </w:rPr>
        <w:t xml:space="preserve">le recours aux tribunaux qui </w:t>
      </w:r>
      <w:proofErr w:type="gramStart"/>
      <w:r w:rsidR="00A717D3">
        <w:rPr>
          <w:lang w:val="fr-CA"/>
        </w:rPr>
        <w:t>favorise</w:t>
      </w:r>
      <w:proofErr w:type="gramEnd"/>
      <w:r w:rsidRPr="00E96209">
        <w:rPr>
          <w:lang w:val="fr-CA"/>
        </w:rPr>
        <w:t xml:space="preserve"> l’intérêt public en mettant au jour l’inconstitutionnalité d’une loi, et les demandeurs consacrent du temps et des ressources pour intenter des actions dans l’intérêt public. Par conséquent, si, à tous autres égards, une exemption constitue une réparation convenable et juste, les demandeurs devraient être exemptés des suspensions s’il n’existe aucun motif impérieux de ne pas leur accorder une telle réparation. </w:t>
      </w:r>
    </w:p>
    <w:p w14:paraId="22CAC36E" w14:textId="291866B2" w:rsidR="006A2D3E" w:rsidRPr="00E96209" w:rsidRDefault="006A2D3E" w:rsidP="006A2D3E">
      <w:pPr>
        <w:pStyle w:val="SCCNormalDoubleSpacing"/>
        <w:spacing w:after="480"/>
        <w:rPr>
          <w:lang w:val="fr-CA"/>
        </w:rPr>
      </w:pPr>
      <w:r w:rsidRPr="00E96209">
        <w:rPr>
          <w:lang w:val="fr-CA"/>
        </w:rPr>
        <w:tab/>
      </w:r>
      <w:r w:rsidR="00A717D3">
        <w:rPr>
          <w:lang w:val="fr-CA"/>
        </w:rPr>
        <w:t>Dans la présente affaire</w:t>
      </w:r>
      <w:r w:rsidRPr="00E96209">
        <w:rPr>
          <w:lang w:val="fr-CA"/>
        </w:rPr>
        <w:t xml:space="preserve">, la déclaration d’invalidité a, à juste titre, été limitée aux personnes déclarées non responsables criminellement pour cause de troubles mentaux à l’égard d’une infraction sexuelle qui ont obtenu une libération inconditionnelle. Il convenait manifestement d’accorder une réparation adaptée en l’espèce, car l’octroi d’une telle réparation permet de mieux protéger l’intérêt qu’a le public </w:t>
      </w:r>
      <w:r w:rsidR="00A717D3">
        <w:rPr>
          <w:lang w:val="fr-CA"/>
        </w:rPr>
        <w:t>dans</w:t>
      </w:r>
      <w:r w:rsidRPr="00E96209">
        <w:rPr>
          <w:lang w:val="fr-CA"/>
        </w:rPr>
        <w:t xml:space="preserve"> des lois adoptées pour son bénéfice, comme la </w:t>
      </w:r>
      <w:r w:rsidR="007D76F6">
        <w:rPr>
          <w:i/>
          <w:lang w:val="fr-CA"/>
        </w:rPr>
        <w:t>Loi Christopher</w:t>
      </w:r>
      <w:r w:rsidRPr="00E96209">
        <w:rPr>
          <w:lang w:val="fr-CA"/>
        </w:rPr>
        <w:t xml:space="preserve">, et de mieux respecter le rôle du législateur tout en protégeant aussi les droits garantis par la </w:t>
      </w:r>
      <w:r w:rsidRPr="00A717D3">
        <w:rPr>
          <w:i/>
          <w:lang w:val="fr-CA"/>
        </w:rPr>
        <w:t>Charte</w:t>
      </w:r>
      <w:r w:rsidRPr="00E96209">
        <w:rPr>
          <w:lang w:val="fr-CA"/>
        </w:rPr>
        <w:t xml:space="preserve"> et en défendant l’intérêt du public à ce que les lois soie</w:t>
      </w:r>
      <w:r w:rsidR="007D76F6">
        <w:rPr>
          <w:lang w:val="fr-CA"/>
        </w:rPr>
        <w:t>nt conformes à la Constitution.</w:t>
      </w:r>
    </w:p>
    <w:p w14:paraId="57B81ECA" w14:textId="51972C71" w:rsidR="006A2D3E" w:rsidRPr="00E96209" w:rsidRDefault="006A2D3E" w:rsidP="006A2D3E">
      <w:pPr>
        <w:pStyle w:val="SCCNormalDoubleSpacing"/>
        <w:spacing w:after="480"/>
        <w:rPr>
          <w:lang w:val="fr-CA"/>
        </w:rPr>
      </w:pPr>
      <w:r w:rsidRPr="00E96209">
        <w:rPr>
          <w:lang w:val="fr-CA"/>
        </w:rPr>
        <w:tab/>
        <w:t xml:space="preserve">La déclaration d’invalidité a également été suspendue à juste titre pendant une période de 12 mois. Bien que le libellé du </w:t>
      </w:r>
      <w:r w:rsidR="00E96209">
        <w:rPr>
          <w:lang w:val="fr-CA"/>
        </w:rPr>
        <w:t>par. </w:t>
      </w:r>
      <w:r w:rsidRPr="00E96209">
        <w:rPr>
          <w:lang w:val="fr-CA"/>
        </w:rPr>
        <w:t xml:space="preserve">52(1) et la nécessité de protéger les droits garantis par la </w:t>
      </w:r>
      <w:r w:rsidRPr="00E96209">
        <w:rPr>
          <w:i/>
          <w:lang w:val="fr-CA"/>
        </w:rPr>
        <w:t xml:space="preserve">Charte </w:t>
      </w:r>
      <w:r w:rsidRPr="00E96209">
        <w:rPr>
          <w:lang w:val="fr-CA"/>
        </w:rPr>
        <w:t xml:space="preserve">et de veiller à ce que toutes les lois soient conformes à la Constitution militent fortement en faveur d’une déclaration avec effet immédiat, ces éléments doivent être mis en balance avec la protection de l’intérêt qu’a le public </w:t>
      </w:r>
      <w:r w:rsidR="00A717D3">
        <w:rPr>
          <w:lang w:val="fr-CA"/>
        </w:rPr>
        <w:t>dans</w:t>
      </w:r>
      <w:r w:rsidRPr="00E96209">
        <w:rPr>
          <w:lang w:val="fr-CA"/>
        </w:rPr>
        <w:t xml:space="preserve"> des lois adoptées pour son bénéfice. Pour ce faire, il faut tenir compte de la nature et de la portée des violations continues des droits, ainsi que du fait qu’une déclaration d’invalidité avec effet immédiat pourrait compromettre un intérêt public en particulier.</w:t>
      </w:r>
    </w:p>
    <w:p w14:paraId="4D81FE54" w14:textId="126123F1" w:rsidR="006A2D3E" w:rsidRPr="00E96209" w:rsidRDefault="006A2D3E" w:rsidP="006A2D3E">
      <w:pPr>
        <w:pStyle w:val="SCCNormalDoubleSpacing"/>
        <w:spacing w:after="480"/>
        <w:rPr>
          <w:lang w:val="fr-CA"/>
        </w:rPr>
      </w:pPr>
      <w:r w:rsidRPr="00E96209">
        <w:rPr>
          <w:lang w:val="fr-CA"/>
        </w:rPr>
        <w:tab/>
        <w:t xml:space="preserve">En l’espèce, la sécurité du public </w:t>
      </w:r>
      <w:r w:rsidR="00AB5444">
        <w:rPr>
          <w:lang w:val="fr-CA"/>
        </w:rPr>
        <w:t>a été identifiée comme étant</w:t>
      </w:r>
      <w:r w:rsidRPr="00E96209">
        <w:rPr>
          <w:lang w:val="fr-CA"/>
        </w:rPr>
        <w:t xml:space="preserve"> l’intérêt public qui justifie une suspension. </w:t>
      </w:r>
      <w:r w:rsidRPr="00E96209">
        <w:rPr>
          <w:noProof/>
          <w:lang w:val="fr-CA"/>
        </w:rPr>
        <w:t>Statistiquement parlant, les personnes déclarées non responsables criminellement pour cause de troubles mentaux risquent davantage de contrevenir à la loi que la population générale</w:t>
      </w:r>
      <w:r w:rsidRPr="00E96209">
        <w:rPr>
          <w:lang w:val="fr-CA"/>
        </w:rPr>
        <w:t xml:space="preserve">. </w:t>
      </w:r>
      <w:r w:rsidRPr="00E96209">
        <w:rPr>
          <w:noProof/>
          <w:lang w:val="fr-CA"/>
        </w:rPr>
        <w:t>Une déclaration avec effet immédiat menacerait donc, dans une certaine mesure, l’intérêt qu’a le public d’être protégé</w:t>
      </w:r>
      <w:r w:rsidRPr="00E96209">
        <w:rPr>
          <w:lang w:val="fr-CA"/>
        </w:rPr>
        <w:t>. Le registre contribue à la sécurité du public en accroissant la capacité des corps de police de prévenir les infractions sexuelles et d’enquêter sur celles</w:t>
      </w:r>
      <w:r w:rsidR="00E96209">
        <w:rPr>
          <w:lang w:val="fr-CA"/>
        </w:rPr>
        <w:noBreakHyphen/>
      </w:r>
      <w:r w:rsidRPr="00E96209">
        <w:rPr>
          <w:lang w:val="fr-CA"/>
        </w:rPr>
        <w:t xml:space="preserve">ci. </w:t>
      </w:r>
      <w:r w:rsidR="001E023E">
        <w:rPr>
          <w:lang w:val="fr-CA"/>
        </w:rPr>
        <w:t>Le fait de d</w:t>
      </w:r>
      <w:r w:rsidRPr="00E96209">
        <w:rPr>
          <w:lang w:val="fr-CA"/>
        </w:rPr>
        <w:t xml:space="preserve">ispenser immédiatement les personnes qui risquent de commettre des infractions sexuelles de l’obligation de se présenter devant les autorités et </w:t>
      </w:r>
      <w:r w:rsidR="001E023E">
        <w:rPr>
          <w:lang w:val="fr-CA"/>
        </w:rPr>
        <w:t xml:space="preserve">de leur </w:t>
      </w:r>
      <w:r w:rsidRPr="00E96209">
        <w:rPr>
          <w:lang w:val="fr-CA"/>
        </w:rPr>
        <w:t xml:space="preserve">permettre de solliciter le retrait des renseignements les concernant du registre pourrait diminuer cette capacité accrue. La menace qui pèse sur le public est donc sérieuse. </w:t>
      </w:r>
      <w:r w:rsidRPr="00E96209">
        <w:rPr>
          <w:noProof/>
          <w:lang w:val="fr-CA"/>
        </w:rPr>
        <w:t>Toutefois, cette menace est limitée puisque des libérations inconditionnelles ne sont pas accordées aux personnes déclarées non responsables criminellement pour cause de troubles mentaux qui présentent manifestement le risque le plus élevé de récidive.</w:t>
      </w:r>
      <w:r w:rsidRPr="00E96209">
        <w:rPr>
          <w:lang w:val="fr-CA"/>
        </w:rPr>
        <w:t xml:space="preserve"> L’autre intérêt public en jeu est le respect du législateur</w:t>
      </w:r>
      <w:r w:rsidR="00E96209">
        <w:rPr>
          <w:lang w:val="fr-CA"/>
        </w:rPr>
        <w:t> :</w:t>
      </w:r>
      <w:r w:rsidRPr="00E96209">
        <w:rPr>
          <w:lang w:val="fr-CA"/>
        </w:rPr>
        <w:t xml:space="preserve"> une déclaration d’invalidité avec effet immédiat risque de compromettre la capacité du législateur de s’acquitter de son rôle et de</w:t>
      </w:r>
      <w:r w:rsidRPr="00E96209">
        <w:rPr>
          <w:noProof/>
          <w:szCs w:val="24"/>
          <w:lang w:val="fr-CA"/>
        </w:rPr>
        <w:t xml:space="preserve"> </w:t>
      </w:r>
      <w:r w:rsidRPr="00E96209">
        <w:rPr>
          <w:lang w:val="fr-CA"/>
        </w:rPr>
        <w:t xml:space="preserve">limiter l’efficacité de toute nouvelle version de la </w:t>
      </w:r>
      <w:r w:rsidRPr="00E96209">
        <w:rPr>
          <w:i/>
          <w:lang w:val="fr-CA"/>
        </w:rPr>
        <w:t xml:space="preserve">Loi Christopher </w:t>
      </w:r>
      <w:r w:rsidRPr="00E96209">
        <w:rPr>
          <w:lang w:val="fr-CA"/>
        </w:rPr>
        <w:t>qui sera un jour adoptée. Ces considérations sont contrebalancées par l’importance de la violation des droits qui persisterait temporairement si l’effet de la déclaration d’invalidité était suspendu</w:t>
      </w:r>
      <w:r w:rsidR="00E96209">
        <w:rPr>
          <w:lang w:val="fr-CA"/>
        </w:rPr>
        <w:t> :</w:t>
      </w:r>
      <w:r w:rsidRPr="00E96209">
        <w:rPr>
          <w:lang w:val="fr-CA"/>
        </w:rPr>
        <w:t xml:space="preserve"> les personnes déclarées non responsables criminellement pour cause de troubles mentaux continuent de faire l’objet de stéréotypes méprisants qui leur sont imposés par la </w:t>
      </w:r>
      <w:r w:rsidR="007D76F6">
        <w:rPr>
          <w:i/>
          <w:lang w:val="fr-CA"/>
        </w:rPr>
        <w:t>Loi Christopher</w:t>
      </w:r>
      <w:r w:rsidRPr="00E96209">
        <w:rPr>
          <w:lang w:val="fr-CA"/>
        </w:rPr>
        <w:t>, et ce, sans qu’il soit donné aux autorités l’occasion de déterminer si elles posent un risque suffisant. Tout bien considéré, la combinaison de ces deux intérêts</w:t>
      </w:r>
      <w:r w:rsidRPr="00E96209">
        <w:rPr>
          <w:noProof/>
          <w:szCs w:val="24"/>
          <w:lang w:val="fr-CA"/>
        </w:rPr>
        <w:t xml:space="preserve"> </w:t>
      </w:r>
      <w:r w:rsidRPr="00E96209">
        <w:rPr>
          <w:lang w:val="fr-CA"/>
        </w:rPr>
        <w:t xml:space="preserve">justifie que l’on prive temporairement les personnes touchées de l’avantage que procure immédiatement la déclaration. </w:t>
      </w:r>
    </w:p>
    <w:p w14:paraId="0F06B948" w14:textId="52CD3C0B" w:rsidR="006A2D3E" w:rsidRPr="00E96209" w:rsidRDefault="006A2D3E" w:rsidP="007D76F6">
      <w:pPr>
        <w:pStyle w:val="SCCNormalDoubleSpacing"/>
        <w:spacing w:after="480"/>
        <w:rPr>
          <w:lang w:val="fr-CA"/>
        </w:rPr>
      </w:pPr>
      <w:r w:rsidRPr="00E96209">
        <w:rPr>
          <w:lang w:val="fr-CA"/>
        </w:rPr>
        <w:tab/>
        <w:t>Enfin, l’exercice par la Cour d’appel de son pouvoir discrétionnaire afin d’accorder une exemption individuelle de la suspension à G</w:t>
      </w:r>
      <w:r w:rsidRPr="00E96209">
        <w:rPr>
          <w:noProof/>
          <w:szCs w:val="24"/>
          <w:lang w:val="fr-CA"/>
        </w:rPr>
        <w:t xml:space="preserve"> </w:t>
      </w:r>
      <w:r w:rsidRPr="00E96209">
        <w:rPr>
          <w:lang w:val="fr-CA"/>
        </w:rPr>
        <w:t xml:space="preserve">commande une certaine retenue. Depuis sa remise en liberté il y a 17 ans, G n’a </w:t>
      </w:r>
      <w:r w:rsidR="00801779">
        <w:rPr>
          <w:lang w:val="fr-CA"/>
        </w:rPr>
        <w:t>rien à se reprocher</w:t>
      </w:r>
      <w:r w:rsidRPr="00E96209">
        <w:rPr>
          <w:lang w:val="fr-CA"/>
        </w:rPr>
        <w:t xml:space="preserve"> et rien n’indique qu’il présente un risque pour la sécurité du public. Une exemption fait en sorte que G bénéficie d’une réparation efficace et qu’il n’est pas privé de l’avantage d’avoir eu gain de cause sur le fond de ses contestations constitutionnelles. </w:t>
      </w:r>
    </w:p>
    <w:p w14:paraId="385A0B0F" w14:textId="1E58B41A" w:rsidR="006A2D3E" w:rsidRPr="00E96209" w:rsidRDefault="006A2D3E" w:rsidP="007D76F6">
      <w:pPr>
        <w:pStyle w:val="SCCNormalDoubleSpacing"/>
        <w:spacing w:after="480"/>
        <w:rPr>
          <w:lang w:val="fr-CA"/>
        </w:rPr>
      </w:pPr>
      <w:r w:rsidRPr="00E96209">
        <w:rPr>
          <w:lang w:val="fr-CA"/>
        </w:rPr>
        <w:tab/>
      </w:r>
      <w:r w:rsidRPr="00E96209">
        <w:rPr>
          <w:i/>
          <w:lang w:val="fr-CA"/>
        </w:rPr>
        <w:t>Le</w:t>
      </w:r>
      <w:r w:rsidRPr="00E96209">
        <w:rPr>
          <w:lang w:val="fr-CA"/>
        </w:rPr>
        <w:t xml:space="preserve"> juge </w:t>
      </w:r>
      <w:r w:rsidRPr="00A126A7">
        <w:rPr>
          <w:lang w:val="fr-CA"/>
        </w:rPr>
        <w:t>Rowe</w:t>
      </w:r>
      <w:r w:rsidR="00E96209">
        <w:rPr>
          <w:lang w:val="fr-CA"/>
        </w:rPr>
        <w:t> :</w:t>
      </w:r>
      <w:r w:rsidRPr="00E96209">
        <w:rPr>
          <w:lang w:val="fr-CA"/>
        </w:rPr>
        <w:t xml:space="preserve"> Le pourvoi doit être rejeté. Il y a accord avec les juges Côté et Brown en ce qui concerne le </w:t>
      </w:r>
      <w:r w:rsidR="00E96209">
        <w:rPr>
          <w:lang w:val="fr-CA"/>
        </w:rPr>
        <w:t>par. </w:t>
      </w:r>
      <w:r w:rsidRPr="00E96209">
        <w:rPr>
          <w:lang w:val="fr-CA"/>
        </w:rPr>
        <w:t xml:space="preserve">15(1) de la </w:t>
      </w:r>
      <w:r w:rsidRPr="00E96209">
        <w:rPr>
          <w:i/>
          <w:lang w:val="fr-CA"/>
        </w:rPr>
        <w:t>Charte</w:t>
      </w:r>
      <w:r w:rsidRPr="00E96209">
        <w:rPr>
          <w:lang w:val="fr-CA"/>
        </w:rPr>
        <w:t xml:space="preserve"> et la démarche générale qu’ils proposent lorsqu’il s’agit d’accorder, en vertu du </w:t>
      </w:r>
      <w:r w:rsidR="00E96209">
        <w:rPr>
          <w:lang w:val="fr-CA"/>
        </w:rPr>
        <w:t>par. </w:t>
      </w:r>
      <w:r w:rsidRPr="00E96209">
        <w:rPr>
          <w:lang w:val="fr-CA"/>
        </w:rPr>
        <w:t xml:space="preserve">24(1), une exemption </w:t>
      </w:r>
      <w:r w:rsidR="00801779">
        <w:rPr>
          <w:lang w:val="fr-CA"/>
        </w:rPr>
        <w:t>individuelle</w:t>
      </w:r>
      <w:r w:rsidRPr="00E96209">
        <w:rPr>
          <w:lang w:val="fr-CA"/>
        </w:rPr>
        <w:t xml:space="preserve"> de la suspension de l’effet d’une déclaration d’invalidité prononcée au titre du </w:t>
      </w:r>
      <w:r w:rsidR="00E96209">
        <w:rPr>
          <w:lang w:val="fr-CA"/>
        </w:rPr>
        <w:t>par. </w:t>
      </w:r>
      <w:r w:rsidRPr="00E96209">
        <w:rPr>
          <w:lang w:val="fr-CA"/>
        </w:rPr>
        <w:t xml:space="preserve">52(1) de la </w:t>
      </w:r>
      <w:r w:rsidRPr="00E96209">
        <w:rPr>
          <w:i/>
          <w:lang w:val="fr-CA"/>
        </w:rPr>
        <w:t>Loi constitutionnelle de 1982</w:t>
      </w:r>
      <w:r w:rsidRPr="00E96209">
        <w:rPr>
          <w:lang w:val="fr-CA"/>
        </w:rPr>
        <w:t xml:space="preserve">. Toutefois, il y a désaccord en ce qui a trait à la méthode qu’il convient d’employer pour suspendre l’effet d’une déclaration d’invalidité en vertu du </w:t>
      </w:r>
      <w:r w:rsidR="00E96209">
        <w:rPr>
          <w:lang w:val="fr-CA"/>
        </w:rPr>
        <w:t>par. </w:t>
      </w:r>
      <w:r w:rsidRPr="00E96209">
        <w:rPr>
          <w:lang w:val="fr-CA"/>
        </w:rPr>
        <w:t xml:space="preserve">52(1). L’approche suivie par la Cour dans l’arrêt </w:t>
      </w:r>
      <w:proofErr w:type="spellStart"/>
      <w:r w:rsidRPr="00E96209">
        <w:rPr>
          <w:i/>
          <w:lang w:val="fr-CA"/>
        </w:rPr>
        <w:t>Schachter</w:t>
      </w:r>
      <w:proofErr w:type="spellEnd"/>
      <w:r w:rsidRPr="00E96209">
        <w:rPr>
          <w:lang w:val="fr-CA"/>
        </w:rPr>
        <w:t xml:space="preserve"> est celle qui devrait être confirmée.</w:t>
      </w:r>
    </w:p>
    <w:p w14:paraId="1B8E9B62" w14:textId="023F6955" w:rsidR="006A2D3E" w:rsidRPr="00E96209" w:rsidRDefault="006A2D3E" w:rsidP="007D76F6">
      <w:pPr>
        <w:pStyle w:val="SCCNormalDoubleSpacing"/>
        <w:spacing w:after="480"/>
        <w:rPr>
          <w:lang w:val="fr-CA"/>
        </w:rPr>
      </w:pPr>
      <w:r w:rsidRPr="00E96209">
        <w:rPr>
          <w:lang w:val="fr-CA"/>
        </w:rPr>
        <w:tab/>
        <w:t xml:space="preserve">L’approche dite du pouvoir discrétionnaire fondé sur des principes qu’ont adoptée les juges majoritaires quant à la suspension de l’effet de déclarations d’invalidité est mal structurée sur le plan analytique, et les quatre principes qui en découlent sont tellement vagues et évidents qu’ils n’offrent aucune ligne directrice utile. Cette approche axée sur l’exercice d’un pouvoir discrétionnaire pourrait contribuer à maintenir la tendance actuelle, selon laquelle on suspend l’effet de déclarations d’invalidité de façon totalement arbitraire. Il n’y a aucune raison légitime d’intégrer, par voie d’interprétation, un pouvoir de réparation au </w:t>
      </w:r>
      <w:proofErr w:type="spellStart"/>
      <w:r w:rsidR="00E96209">
        <w:rPr>
          <w:lang w:val="fr-CA"/>
        </w:rPr>
        <w:t>par</w:t>
      </w:r>
      <w:proofErr w:type="spellEnd"/>
      <w:r w:rsidR="00E96209">
        <w:rPr>
          <w:lang w:val="fr-CA"/>
        </w:rPr>
        <w:t>. </w:t>
      </w:r>
      <w:r w:rsidRPr="00E96209">
        <w:rPr>
          <w:lang w:val="fr-CA"/>
        </w:rPr>
        <w:t xml:space="preserve">52(1). L’absence de pouvoir discrétionnaire en matière de réparation au </w:t>
      </w:r>
      <w:proofErr w:type="spellStart"/>
      <w:r w:rsidR="00E96209">
        <w:rPr>
          <w:lang w:val="fr-CA"/>
        </w:rPr>
        <w:t>par</w:t>
      </w:r>
      <w:proofErr w:type="spellEnd"/>
      <w:r w:rsidR="00E96209">
        <w:rPr>
          <w:lang w:val="fr-CA"/>
        </w:rPr>
        <w:t>. </w:t>
      </w:r>
      <w:r w:rsidRPr="00E96209">
        <w:rPr>
          <w:lang w:val="fr-CA"/>
        </w:rPr>
        <w:t>52(1) n’est pas attribuable à un oubli, et</w:t>
      </w:r>
      <w:r w:rsidRPr="00E96209">
        <w:rPr>
          <w:szCs w:val="24"/>
          <w:lang w:val="fr-CA"/>
        </w:rPr>
        <w:t xml:space="preserve"> </w:t>
      </w:r>
      <w:r w:rsidRPr="00E96209">
        <w:rPr>
          <w:lang w:val="fr-CA"/>
        </w:rPr>
        <w:t xml:space="preserve">la compétence inhérente du tribunal ne constitue pas un fondement juridique valable ou suffisant pour écarter l’effet immédiat du </w:t>
      </w:r>
      <w:r w:rsidR="00E96209">
        <w:rPr>
          <w:lang w:val="fr-CA"/>
        </w:rPr>
        <w:t>par. </w:t>
      </w:r>
      <w:r w:rsidRPr="00E96209">
        <w:rPr>
          <w:lang w:val="fr-CA"/>
        </w:rPr>
        <w:t>52(1). La seule condition à laquelle un tribunal peut ordonner l’application d’une loi inconstitutionnelle nonobstant son illégalité est que la déclarer telle sur</w:t>
      </w:r>
      <w:r w:rsidR="00E96209">
        <w:rPr>
          <w:lang w:val="fr-CA"/>
        </w:rPr>
        <w:noBreakHyphen/>
      </w:r>
      <w:r w:rsidRPr="00E96209">
        <w:rPr>
          <w:lang w:val="fr-CA"/>
        </w:rPr>
        <w:t>le</w:t>
      </w:r>
      <w:r w:rsidR="00E96209">
        <w:rPr>
          <w:lang w:val="fr-CA"/>
        </w:rPr>
        <w:noBreakHyphen/>
      </w:r>
      <w:r w:rsidRPr="00E96209">
        <w:rPr>
          <w:lang w:val="fr-CA"/>
        </w:rPr>
        <w:t>champ irait à l’encontre d’un autre principe constitutionnel.</w:t>
      </w:r>
    </w:p>
    <w:p w14:paraId="191ACCE6" w14:textId="6693A3CA" w:rsidR="006A2D3E" w:rsidRPr="00E96209" w:rsidRDefault="006A2D3E" w:rsidP="007D76F6">
      <w:pPr>
        <w:pStyle w:val="SCCNormalDoubleSpacing"/>
        <w:spacing w:after="480"/>
        <w:rPr>
          <w:lang w:val="fr-CA"/>
        </w:rPr>
      </w:pPr>
      <w:r w:rsidRPr="00E96209">
        <w:rPr>
          <w:lang w:val="fr-CA"/>
        </w:rPr>
        <w:tab/>
        <w:t xml:space="preserve">L’arrêt </w:t>
      </w:r>
      <w:proofErr w:type="spellStart"/>
      <w:r w:rsidRPr="00E96209">
        <w:rPr>
          <w:i/>
          <w:lang w:val="fr-CA"/>
        </w:rPr>
        <w:t>Schachter</w:t>
      </w:r>
      <w:proofErr w:type="spellEnd"/>
      <w:r w:rsidRPr="00E96209">
        <w:rPr>
          <w:i/>
          <w:lang w:val="fr-CA"/>
        </w:rPr>
        <w:t xml:space="preserve"> </w:t>
      </w:r>
      <w:r w:rsidRPr="00E96209">
        <w:rPr>
          <w:lang w:val="fr-CA"/>
        </w:rPr>
        <w:t>repose sur l’idée que la suspension de l’effet de déclarations d’invalidité est exceptionnelle et ne devrait être prononcée que</w:t>
      </w:r>
      <w:r w:rsidRPr="00E96209">
        <w:rPr>
          <w:szCs w:val="24"/>
          <w:lang w:val="fr-CA"/>
        </w:rPr>
        <w:t xml:space="preserve"> </w:t>
      </w:r>
      <w:r w:rsidRPr="00E96209">
        <w:rPr>
          <w:lang w:val="fr-CA"/>
        </w:rPr>
        <w:t>dans l’un ou l’autre des cas suivants</w:t>
      </w:r>
      <w:r w:rsidR="00E96209">
        <w:rPr>
          <w:lang w:val="fr-CA"/>
        </w:rPr>
        <w:t> :</w:t>
      </w:r>
      <w:r w:rsidR="007D76F6">
        <w:rPr>
          <w:lang w:val="fr-CA"/>
        </w:rPr>
        <w:t xml:space="preserve"> (1) </w:t>
      </w:r>
      <w:r w:rsidRPr="00E96209">
        <w:rPr>
          <w:lang w:val="fr-CA"/>
        </w:rPr>
        <w:t>la déclaration d’invalidité avec effet immédiat serait susceptible de présente</w:t>
      </w:r>
      <w:r w:rsidR="007D76F6">
        <w:rPr>
          <w:lang w:val="fr-CA"/>
        </w:rPr>
        <w:t>r un danger pour le public; (2) </w:t>
      </w:r>
      <w:r w:rsidRPr="00E96209">
        <w:rPr>
          <w:lang w:val="fr-CA"/>
        </w:rPr>
        <w:t>la déclaration menacerait d’une autre manière la primauté du droit;</w:t>
      </w:r>
      <w:r w:rsidR="007D76F6">
        <w:rPr>
          <w:lang w:val="fr-CA"/>
        </w:rPr>
        <w:t xml:space="preserve"> (3) </w:t>
      </w:r>
      <w:r w:rsidRPr="00E96209">
        <w:rPr>
          <w:lang w:val="fr-CA"/>
        </w:rPr>
        <w:t xml:space="preserve">la loi contestée a une portée trop limitative et le tribunal n’est pas en mesure de se prononcer en toute connaissance de cause sur l’opportunité de l’annuler ou d’accorder des avantages à un groupe non visé par la loi. Ces catégories illustrent les circonstances dans lesquelles des principes constitutionnels faisant contrepoids constituent une raison valable de suspendre la déclaration d’invalidité avec effet immédiat. Bien qu’elles ne soient pas exhaustives, il n’y a lieu d’élargir les catégories établies dans l’arrêt </w:t>
      </w:r>
      <w:proofErr w:type="spellStart"/>
      <w:r w:rsidRPr="00E96209">
        <w:rPr>
          <w:i/>
          <w:lang w:val="fr-CA"/>
        </w:rPr>
        <w:t>Schachter</w:t>
      </w:r>
      <w:proofErr w:type="spellEnd"/>
      <w:r w:rsidRPr="00E96209">
        <w:rPr>
          <w:lang w:val="fr-CA"/>
        </w:rPr>
        <w:t xml:space="preserve"> que si une déclaration d’invalidité avec effet immédiat enfreignait un principe constitutionnel.</w:t>
      </w:r>
    </w:p>
    <w:p w14:paraId="3282DE2D" w14:textId="77777777" w:rsidR="006A2D3E" w:rsidRPr="00E96209" w:rsidRDefault="006A2D3E" w:rsidP="006A2D3E">
      <w:pPr>
        <w:pStyle w:val="SCCNormalDoubleSpacing"/>
        <w:spacing w:after="480"/>
        <w:rPr>
          <w:lang w:val="fr-CA"/>
        </w:rPr>
      </w:pPr>
      <w:r w:rsidRPr="00E96209">
        <w:rPr>
          <w:lang w:val="fr-CA"/>
        </w:rPr>
        <w:tab/>
        <w:t>En l’espèce, l’effet de la déclaration d’invalidité a été suspendu pour des raisons de sécurité publique. Toutefois, comme la suspension de 12 mois de la déclaration d’invalidité décrétée par la Cour d’appel est venue à expiration, la question est désormais théorique, tout comme celle de l’ordonnance d’exemption individuelle à l’égard de G. Par conséquent, il n’y a pas lieu de décider si l’effet de la déclaration a été suspendu à bon droit, ou si l’exemption individuelle a été accordée à bon droit en l’espèce.</w:t>
      </w:r>
    </w:p>
    <w:p w14:paraId="61923C63" w14:textId="25390AE4" w:rsidR="006A2D3E" w:rsidRPr="00E96209" w:rsidRDefault="006A2D3E" w:rsidP="007D76F6">
      <w:pPr>
        <w:pStyle w:val="SCCNormalDoubleSpacing"/>
        <w:spacing w:after="480"/>
        <w:rPr>
          <w:lang w:val="fr-CA"/>
        </w:rPr>
      </w:pPr>
      <w:r w:rsidRPr="00E96209">
        <w:rPr>
          <w:i/>
          <w:lang w:val="fr-CA"/>
        </w:rPr>
        <w:tab/>
        <w:t>Les</w:t>
      </w:r>
      <w:r w:rsidRPr="00E96209">
        <w:rPr>
          <w:lang w:val="fr-CA"/>
        </w:rPr>
        <w:t xml:space="preserve"> juges </w:t>
      </w:r>
      <w:r w:rsidRPr="00F25D5D">
        <w:rPr>
          <w:lang w:val="fr-CA"/>
        </w:rPr>
        <w:t>Côté</w:t>
      </w:r>
      <w:r w:rsidRPr="00E96209">
        <w:rPr>
          <w:lang w:val="fr-CA"/>
        </w:rPr>
        <w:t xml:space="preserve"> et </w:t>
      </w:r>
      <w:r w:rsidRPr="00F25D5D">
        <w:rPr>
          <w:lang w:val="fr-CA"/>
        </w:rPr>
        <w:t>Brown</w:t>
      </w:r>
      <w:r w:rsidRPr="00E96209">
        <w:rPr>
          <w:lang w:val="fr-CA"/>
        </w:rPr>
        <w:t xml:space="preserve"> (dissidents en partie)</w:t>
      </w:r>
      <w:r w:rsidR="00E96209">
        <w:rPr>
          <w:lang w:val="fr-CA"/>
        </w:rPr>
        <w:t> :</w:t>
      </w:r>
      <w:r w:rsidRPr="00E96209">
        <w:rPr>
          <w:lang w:val="fr-CA"/>
        </w:rPr>
        <w:t xml:space="preserve"> Il y a accord avec la conclusion des juges majoritaires suivant laquelle</w:t>
      </w:r>
      <w:r w:rsidRPr="00E96209">
        <w:rPr>
          <w:szCs w:val="24"/>
          <w:lang w:val="fr-CA" w:eastAsia="fr-CA"/>
        </w:rPr>
        <w:t xml:space="preserve"> </w:t>
      </w:r>
      <w:r w:rsidRPr="00E96209">
        <w:rPr>
          <w:lang w:val="fr-CA"/>
        </w:rPr>
        <w:t xml:space="preserve">la </w:t>
      </w:r>
      <w:r w:rsidRPr="00E96209">
        <w:rPr>
          <w:i/>
          <w:lang w:val="fr-CA"/>
        </w:rPr>
        <w:t xml:space="preserve">Loi Christopher </w:t>
      </w:r>
      <w:r w:rsidRPr="00E96209">
        <w:rPr>
          <w:lang w:val="fr-CA"/>
        </w:rPr>
        <w:t xml:space="preserve">porte atteinte au droit à l’égalité de traitement que le </w:t>
      </w:r>
      <w:r w:rsidR="00E96209">
        <w:rPr>
          <w:lang w:val="fr-CA"/>
        </w:rPr>
        <w:t>par. </w:t>
      </w:r>
      <w:r w:rsidRPr="00E96209">
        <w:rPr>
          <w:lang w:val="fr-CA"/>
        </w:rPr>
        <w:t xml:space="preserve">15(1) de la </w:t>
      </w:r>
      <w:r w:rsidRPr="00E96209">
        <w:rPr>
          <w:i/>
          <w:iCs/>
          <w:lang w:val="fr-CA"/>
        </w:rPr>
        <w:t xml:space="preserve">Charte </w:t>
      </w:r>
      <w:r w:rsidRPr="00E96209">
        <w:rPr>
          <w:iCs/>
          <w:lang w:val="fr-CA"/>
        </w:rPr>
        <w:t>reconnaît à G</w:t>
      </w:r>
      <w:r w:rsidRPr="00E96209">
        <w:rPr>
          <w:lang w:val="fr-CA"/>
        </w:rPr>
        <w:t>, et suivant laquelle l’effet de la déclaration d’invalidité a été suspendu à bon droit pendant une période de 12 mois. Toutefois, la suspension de l’effet de la déclaration d’invalidité ne devrait être justifiée que s’il existe une menace à la primauté du droit qui se manifesterait autrement, en l’espèce, sous la forme d’un danger pour la sécurité publique. Compte tenu du rôle limité du pouvoir judiciaire vis</w:t>
      </w:r>
      <w:r w:rsidR="00E96209">
        <w:rPr>
          <w:lang w:val="fr-CA"/>
        </w:rPr>
        <w:noBreakHyphen/>
      </w:r>
      <w:r w:rsidRPr="00E96209">
        <w:rPr>
          <w:lang w:val="fr-CA"/>
        </w:rPr>
        <w:t>à</w:t>
      </w:r>
      <w:r w:rsidR="00E96209">
        <w:rPr>
          <w:lang w:val="fr-CA"/>
        </w:rPr>
        <w:noBreakHyphen/>
      </w:r>
      <w:r w:rsidRPr="00E96209">
        <w:rPr>
          <w:lang w:val="fr-CA"/>
        </w:rPr>
        <w:t>vis le pouvoir législatif, une exemption individuelle de la suspension de l’effet de la déclaration d’invalidité ne devrait pas être accordée. Le pourvoi devrait donc être accueilli en partie.</w:t>
      </w:r>
    </w:p>
    <w:p w14:paraId="68C6E32F" w14:textId="69AF6E1A" w:rsidR="006A2D3E" w:rsidRPr="00E96209" w:rsidRDefault="006A2D3E" w:rsidP="007D76F6">
      <w:pPr>
        <w:pStyle w:val="SCCNormalDoubleSpacing"/>
        <w:spacing w:after="480"/>
        <w:rPr>
          <w:lang w:val="fr-CA"/>
        </w:rPr>
      </w:pPr>
      <w:r w:rsidRPr="00E96209">
        <w:rPr>
          <w:lang w:val="fr-CA"/>
        </w:rPr>
        <w:tab/>
      </w:r>
      <w:r w:rsidRPr="00E96209">
        <w:rPr>
          <w:szCs w:val="24"/>
          <w:lang w:val="fr-CA" w:eastAsia="fr-CA"/>
        </w:rPr>
        <w:t xml:space="preserve">Il est facile de trancher la question du </w:t>
      </w:r>
      <w:r w:rsidR="00E96209">
        <w:rPr>
          <w:szCs w:val="24"/>
          <w:lang w:val="fr-CA" w:eastAsia="fr-CA"/>
        </w:rPr>
        <w:t>par. </w:t>
      </w:r>
      <w:r w:rsidRPr="00E96209">
        <w:rPr>
          <w:szCs w:val="24"/>
          <w:lang w:val="fr-CA" w:eastAsia="fr-CA"/>
        </w:rPr>
        <w:t>15(1)</w:t>
      </w:r>
      <w:r w:rsidRPr="00E96209">
        <w:rPr>
          <w:lang w:val="fr-CA"/>
        </w:rPr>
        <w:t>. L</w:t>
      </w:r>
      <w:r w:rsidRPr="00E96209">
        <w:rPr>
          <w:szCs w:val="24"/>
          <w:lang w:val="fr-CA" w:eastAsia="fr-CA"/>
        </w:rPr>
        <w:t>a</w:t>
      </w:r>
      <w:r w:rsidRPr="00E96209">
        <w:rPr>
          <w:i/>
          <w:noProof/>
          <w:szCs w:val="24"/>
          <w:lang w:val="fr-CA" w:eastAsia="fr-CA"/>
        </w:rPr>
        <w:t> </w:t>
      </w:r>
      <w:r w:rsidR="007D76F6">
        <w:rPr>
          <w:i/>
          <w:noProof/>
          <w:szCs w:val="24"/>
          <w:lang w:val="fr-CA" w:eastAsia="fr-CA"/>
        </w:rPr>
        <w:t>Loi Christopher</w:t>
      </w:r>
      <w:r w:rsidRPr="00E96209">
        <w:rPr>
          <w:i/>
          <w:noProof/>
          <w:szCs w:val="24"/>
          <w:lang w:val="fr-CA" w:eastAsia="fr-CA"/>
        </w:rPr>
        <w:t xml:space="preserve"> </w:t>
      </w:r>
      <w:r w:rsidRPr="00E96209">
        <w:rPr>
          <w:szCs w:val="24"/>
          <w:lang w:val="fr-CA" w:eastAsia="fr-CA"/>
        </w:rPr>
        <w:t>établit une distinction entre les personnes déclarées non responsables criminellement pour cause de troubles mentaux et les personnes reconnues coupables</w:t>
      </w:r>
      <w:r w:rsidRPr="00E96209">
        <w:rPr>
          <w:lang w:val="fr-CA"/>
        </w:rPr>
        <w:t xml:space="preserve">. </w:t>
      </w:r>
      <w:r w:rsidRPr="00E96209">
        <w:rPr>
          <w:szCs w:val="24"/>
          <w:lang w:val="fr-CA"/>
        </w:rPr>
        <w:t>Cette distinction accentue un désavantage préexistant en perpétuant le stéréotype selon lequel les personnes souffrant de troubles mentaux sont en soi dangereuses</w:t>
      </w:r>
      <w:r w:rsidRPr="00E96209">
        <w:rPr>
          <w:lang w:val="fr-CA"/>
        </w:rPr>
        <w:t xml:space="preserve">. </w:t>
      </w:r>
      <w:r w:rsidRPr="00E96209">
        <w:rPr>
          <w:szCs w:val="24"/>
          <w:lang w:val="fr-CA"/>
        </w:rPr>
        <w:t>Les personnes déclarées coupables d’</w:t>
      </w:r>
      <w:r w:rsidRPr="00E96209">
        <w:rPr>
          <w:lang w:val="fr-CA"/>
        </w:rPr>
        <w:t>infractions d’ordre sexuel</w:t>
      </w:r>
      <w:r w:rsidRPr="00E96209">
        <w:rPr>
          <w:szCs w:val="24"/>
          <w:lang w:val="fr-CA"/>
        </w:rPr>
        <w:t xml:space="preserve"> disposent de </w:t>
      </w:r>
      <w:r w:rsidR="00801779">
        <w:rPr>
          <w:szCs w:val="24"/>
          <w:lang w:val="fr-CA"/>
        </w:rPr>
        <w:t>plusieurs voies</w:t>
      </w:r>
      <w:r w:rsidRPr="00E96209">
        <w:rPr>
          <w:szCs w:val="24"/>
          <w:lang w:val="fr-CA"/>
        </w:rPr>
        <w:t xml:space="preserve"> de sortie qui leur permettent d’être dispensées de l’obligation de se conformer à la </w:t>
      </w:r>
      <w:r w:rsidRPr="00E96209">
        <w:rPr>
          <w:i/>
          <w:szCs w:val="24"/>
          <w:lang w:val="fr-CA"/>
        </w:rPr>
        <w:t>Loi Christopher</w:t>
      </w:r>
      <w:r w:rsidRPr="00E96209">
        <w:rPr>
          <w:szCs w:val="24"/>
          <w:lang w:val="fr-CA"/>
        </w:rPr>
        <w:t xml:space="preserve">, </w:t>
      </w:r>
      <w:r w:rsidRPr="00E96209">
        <w:rPr>
          <w:lang w:val="fr-CA"/>
        </w:rPr>
        <w:t>mais les</w:t>
      </w:r>
      <w:r w:rsidRPr="00E96209">
        <w:rPr>
          <w:szCs w:val="24"/>
          <w:lang w:val="fr-CA" w:eastAsia="fr-CA"/>
        </w:rPr>
        <w:t xml:space="preserve"> personnes déclarées non responsables criminellement pour cause de troubles mentaux</w:t>
      </w:r>
      <w:r w:rsidRPr="00E96209">
        <w:rPr>
          <w:lang w:val="fr-CA"/>
        </w:rPr>
        <w:t xml:space="preserve"> </w:t>
      </w:r>
      <w:r w:rsidRPr="00E96209">
        <w:rPr>
          <w:szCs w:val="24"/>
          <w:lang w:val="fr-CA"/>
        </w:rPr>
        <w:t>n’</w:t>
      </w:r>
      <w:r w:rsidR="00801779">
        <w:rPr>
          <w:szCs w:val="24"/>
          <w:lang w:val="fr-CA"/>
        </w:rPr>
        <w:t xml:space="preserve">y </w:t>
      </w:r>
      <w:r w:rsidRPr="00E96209">
        <w:rPr>
          <w:szCs w:val="24"/>
          <w:lang w:val="fr-CA"/>
        </w:rPr>
        <w:t xml:space="preserve">ont pas accès, même lorsque la Commission ontarienne d’examen a jugé qu’elles ne </w:t>
      </w:r>
      <w:r w:rsidRPr="00E96209">
        <w:rPr>
          <w:noProof/>
          <w:lang w:val="fr-CA"/>
        </w:rPr>
        <w:t>représentaient plus un risque important pour la sécurité du public</w:t>
      </w:r>
      <w:r w:rsidRPr="00E96209">
        <w:rPr>
          <w:szCs w:val="24"/>
          <w:lang w:val="fr-CA"/>
        </w:rPr>
        <w:t xml:space="preserve"> et qu’elle leur a accordé une libération inconditionnelle</w:t>
      </w:r>
      <w:r w:rsidRPr="00E96209">
        <w:rPr>
          <w:lang w:val="fr-CA"/>
        </w:rPr>
        <w:t xml:space="preserve">. </w:t>
      </w:r>
      <w:r w:rsidRPr="00E96209">
        <w:rPr>
          <w:szCs w:val="24"/>
          <w:lang w:val="fr-CA"/>
        </w:rPr>
        <w:t>Ceci constitue une différence de traitement fondée sur un motif énuméré</w:t>
      </w:r>
      <w:r w:rsidR="00E96209">
        <w:rPr>
          <w:szCs w:val="24"/>
          <w:lang w:val="fr-CA"/>
        </w:rPr>
        <w:t> :</w:t>
      </w:r>
      <w:r w:rsidRPr="00E96209">
        <w:rPr>
          <w:szCs w:val="24"/>
          <w:lang w:val="fr-CA"/>
        </w:rPr>
        <w:t xml:space="preserve"> la déficience mentale</w:t>
      </w:r>
      <w:r w:rsidRPr="00E96209">
        <w:rPr>
          <w:lang w:val="fr-CA"/>
        </w:rPr>
        <w:t xml:space="preserve">. </w:t>
      </w:r>
      <w:r w:rsidRPr="00E96209">
        <w:rPr>
          <w:szCs w:val="24"/>
          <w:lang w:val="fr-CA"/>
        </w:rPr>
        <w:t xml:space="preserve">La réparation appropriée consiste à exiger de la législature qu’elle offre aux personnes déclarées non responsables </w:t>
      </w:r>
      <w:r w:rsidRPr="007D76F6">
        <w:rPr>
          <w:lang w:val="fr-CA"/>
        </w:rPr>
        <w:t>criminellement</w:t>
      </w:r>
      <w:r w:rsidRPr="00E96209">
        <w:rPr>
          <w:szCs w:val="24"/>
          <w:lang w:val="fr-CA"/>
        </w:rPr>
        <w:t xml:space="preserve"> pour cause de troubles mentaux, qui ont été libérées inconditionnellement, la possibilité de bénéficier d’une exemption et d’être retirées du registre prévu par la </w:t>
      </w:r>
      <w:r w:rsidRPr="00E96209">
        <w:rPr>
          <w:i/>
          <w:szCs w:val="24"/>
          <w:lang w:val="fr-CA"/>
        </w:rPr>
        <w:t>Loi Christopher</w:t>
      </w:r>
      <w:r w:rsidRPr="00E96209">
        <w:rPr>
          <w:lang w:val="fr-CA"/>
        </w:rPr>
        <w:t>.</w:t>
      </w:r>
      <w:r w:rsidR="00E96209">
        <w:rPr>
          <w:lang w:val="fr-CA"/>
        </w:rPr>
        <w:t xml:space="preserve"> </w:t>
      </w:r>
    </w:p>
    <w:p w14:paraId="5EAA3307" w14:textId="4C1CF3C7" w:rsidR="006A2D3E" w:rsidRPr="00E96209" w:rsidRDefault="006A2D3E" w:rsidP="007D76F6">
      <w:pPr>
        <w:pStyle w:val="SCCNormalDoubleSpacing"/>
        <w:spacing w:after="480"/>
        <w:rPr>
          <w:lang w:val="fr-CA"/>
        </w:rPr>
      </w:pPr>
      <w:r w:rsidRPr="00E96209">
        <w:rPr>
          <w:lang w:val="fr-CA"/>
        </w:rPr>
        <w:tab/>
        <w:t xml:space="preserve">Il y a trois principales raisons pour lesquelles une suspension de l’effet de déclarations d’invalidité est justifiée uniquement lorsque la primauté du droit est menacée. Tout d’abord, c’est le scénario qu’envisageait la Cour lorsqu’elle a exercé pour la première fois le pouvoir de prononcer la suspension de l’effet d’une déclaration d’invalidité dans le </w:t>
      </w:r>
      <w:r w:rsidR="004A6852" w:rsidRPr="004A6852">
        <w:rPr>
          <w:i/>
          <w:noProof/>
          <w:lang w:val="fr-CA"/>
        </w:rPr>
        <w:t>Renvoi relatif aux droits linguistiques au Manitoba</w:t>
      </w:r>
      <w:r w:rsidRPr="00E96209">
        <w:rPr>
          <w:noProof/>
          <w:lang w:val="fr-CA"/>
        </w:rPr>
        <w:t>, [1985] 1 R.C.S. 721</w:t>
      </w:r>
      <w:r w:rsidRPr="00E96209">
        <w:rPr>
          <w:lang w:val="fr-CA"/>
        </w:rPr>
        <w:t xml:space="preserve">. La Cour a, dans le </w:t>
      </w:r>
      <w:r w:rsidRPr="00E96209">
        <w:rPr>
          <w:i/>
          <w:lang w:val="fr-CA"/>
        </w:rPr>
        <w:t>Renvoi relatif au Manitoba</w:t>
      </w:r>
      <w:r w:rsidRPr="00E96209">
        <w:rPr>
          <w:lang w:val="fr-CA"/>
        </w:rPr>
        <w:t xml:space="preserve">, rigoureusement limité le recours à la suspension de l’effet des déclarations d’invalidité aux situations dans lesquelles il est nécessaire d’y recourir afin de préserver la primauté du droit en situation d’urgence, lorsqu’il est impossible d’observer les droits constitutionnels. Mais depuis le </w:t>
      </w:r>
      <w:r w:rsidRPr="00E96209">
        <w:rPr>
          <w:i/>
          <w:lang w:val="fr-CA"/>
        </w:rPr>
        <w:t>Renvoi relatif au Manitoba</w:t>
      </w:r>
      <w:r w:rsidRPr="00E96209">
        <w:rPr>
          <w:lang w:val="fr-CA"/>
        </w:rPr>
        <w:t>, la Cour s’est égarée et a eu recours à la suspension de l’effet des déclarations d’invalidité presque automatiquement, souvent sans justifier sa décision ni se soucier de la primauté du droit.</w:t>
      </w:r>
    </w:p>
    <w:p w14:paraId="0AA0173B" w14:textId="2A7CDF27" w:rsidR="006A2D3E" w:rsidRPr="00E96209" w:rsidRDefault="006A2D3E" w:rsidP="007D76F6">
      <w:pPr>
        <w:pStyle w:val="SCCNormalDoubleSpacing"/>
        <w:spacing w:after="480"/>
        <w:rPr>
          <w:lang w:val="fr-CA"/>
        </w:rPr>
      </w:pPr>
      <w:r w:rsidRPr="00E96209">
        <w:rPr>
          <w:lang w:val="fr-CA"/>
        </w:rPr>
        <w:tab/>
        <w:t xml:space="preserve">Deuxièmement, la Constitution prévoit que la règle est le prononcé d’une déclaration avec effet immédiat, sous réserve uniquement d’une préoccupation quant à la primauté du droit. Dès lors qu’une loi est jugée incompatible avec la Constitution, le </w:t>
      </w:r>
      <w:r w:rsidR="00E96209">
        <w:rPr>
          <w:lang w:val="fr-CA"/>
        </w:rPr>
        <w:t>par. </w:t>
      </w:r>
      <w:r w:rsidRPr="00E96209">
        <w:rPr>
          <w:lang w:val="fr-CA"/>
        </w:rPr>
        <w:t xml:space="preserve">52(1) limite le rôle des tribunaux à déclarer une loi inopérante. Bien que la Constitution ne permette pas expressément aux tribunaux de suspendre l’effet d’une déclaration d’invalidité, elle offre </w:t>
      </w:r>
      <w:r w:rsidRPr="00E96209">
        <w:rPr>
          <w:iCs/>
          <w:lang w:val="fr-CA"/>
        </w:rPr>
        <w:t>effectivement</w:t>
      </w:r>
      <w:r w:rsidRPr="00E96209">
        <w:rPr>
          <w:lang w:val="fr-CA"/>
        </w:rPr>
        <w:t xml:space="preserve"> au </w:t>
      </w:r>
      <w:r w:rsidRPr="00E96209">
        <w:rPr>
          <w:iCs/>
          <w:lang w:val="fr-CA"/>
        </w:rPr>
        <w:t>Parlement et aux législatures provinciales</w:t>
      </w:r>
      <w:r w:rsidRPr="00E96209">
        <w:rPr>
          <w:lang w:val="fr-CA"/>
        </w:rPr>
        <w:t xml:space="preserve"> la possibilité de le faire dans certains cas prévus au </w:t>
      </w:r>
      <w:proofErr w:type="spellStart"/>
      <w:r w:rsidR="00E96209">
        <w:rPr>
          <w:lang w:val="fr-CA"/>
        </w:rPr>
        <w:t>par</w:t>
      </w:r>
      <w:proofErr w:type="spellEnd"/>
      <w:r w:rsidR="00E96209">
        <w:rPr>
          <w:lang w:val="fr-CA"/>
        </w:rPr>
        <w:t>. </w:t>
      </w:r>
      <w:r w:rsidRPr="00E96209">
        <w:rPr>
          <w:lang w:val="fr-CA"/>
        </w:rPr>
        <w:t xml:space="preserve">33(1). Ainsi, les tribunaux doivent faire preuve de discernement et de circonspection et se fonder sur des principes lorsqu’ils exercent le pouvoir </w:t>
      </w:r>
      <w:r w:rsidRPr="00E96209">
        <w:rPr>
          <w:iCs/>
          <w:lang w:val="fr-CA"/>
        </w:rPr>
        <w:t>d’origine prétorienne de</w:t>
      </w:r>
      <w:r w:rsidRPr="00E96209">
        <w:rPr>
          <w:lang w:val="fr-CA"/>
        </w:rPr>
        <w:t xml:space="preserve"> suspendre l’effet d’une déclaration d’invalidité. Les tribunaux ne sont autorisés à écarter temporairement les droits reconnus par la </w:t>
      </w:r>
      <w:r w:rsidRPr="00E96209">
        <w:rPr>
          <w:i/>
          <w:lang w:val="fr-CA"/>
        </w:rPr>
        <w:t>Charte</w:t>
      </w:r>
      <w:r w:rsidRPr="00E96209">
        <w:rPr>
          <w:lang w:val="fr-CA"/>
        </w:rPr>
        <w:t xml:space="preserve"> par l’application de la suspension de l’effet de la déclaration d’invalidité que lorsque cela est nécessaire afin de préserver la primauté du droit et pour en assurer le maintien. En pareil cas, les tribunaux n’exercent pas de façon illégitime un rôle législatif, comme ils le feraient autrement en suspendant l’effet d’une déclaration d’invalidité, mais bien un rôle </w:t>
      </w:r>
      <w:r w:rsidRPr="00E96209">
        <w:rPr>
          <w:iCs/>
          <w:lang w:val="fr-CA"/>
        </w:rPr>
        <w:t>judiciaire</w:t>
      </w:r>
      <w:r w:rsidRPr="00E96209">
        <w:rPr>
          <w:lang w:val="fr-CA"/>
        </w:rPr>
        <w:t>.</w:t>
      </w:r>
    </w:p>
    <w:p w14:paraId="5576D577" w14:textId="20B49CAF" w:rsidR="006A2D3E" w:rsidRPr="00E96209" w:rsidRDefault="006A2D3E" w:rsidP="007D76F6">
      <w:pPr>
        <w:pStyle w:val="SCCNormalDoubleSpacing"/>
        <w:spacing w:after="480"/>
        <w:rPr>
          <w:lang w:val="fr-CA"/>
        </w:rPr>
      </w:pPr>
      <w:r w:rsidRPr="00E96209">
        <w:rPr>
          <w:lang w:val="fr-CA"/>
        </w:rPr>
        <w:tab/>
        <w:t xml:space="preserve">Troisièmement, les enseignements tirés des jugements qui ont été rendus dans la foulée de l’arrêt </w:t>
      </w:r>
      <w:proofErr w:type="spellStart"/>
      <w:r w:rsidRPr="00E96209">
        <w:rPr>
          <w:i/>
          <w:lang w:val="fr-CA"/>
        </w:rPr>
        <w:t>Schachter</w:t>
      </w:r>
      <w:proofErr w:type="spellEnd"/>
      <w:r w:rsidRPr="00E96209">
        <w:rPr>
          <w:lang w:val="fr-CA"/>
        </w:rPr>
        <w:t xml:space="preserve"> démontrent pourquoi il est essentiel de limiter le pouvoir discrétionnaire des tribunaux. Il est impératif que les tribunaux fassent preuve de retenue, parce qu’ils risquent d’outrepasser les limites de leurs compétence et capacité institutionnelles et d’empiéter sur la fonction du législateur en suspendant l’effet d’une déclaration. De plus, les tribunaux sont </w:t>
      </w:r>
      <w:r w:rsidR="00801779">
        <w:rPr>
          <w:lang w:val="fr-CA"/>
        </w:rPr>
        <w:t>mal outillés pour</w:t>
      </w:r>
      <w:r w:rsidR="007D76F6">
        <w:rPr>
          <w:lang w:val="fr-CA"/>
        </w:rPr>
        <w:t xml:space="preserve"> </w:t>
      </w:r>
      <w:r w:rsidRPr="00E96209">
        <w:rPr>
          <w:lang w:val="fr-CA"/>
        </w:rPr>
        <w:t>déterminer le délai pendant lequel</w:t>
      </w:r>
      <w:r w:rsidR="007D76F6">
        <w:rPr>
          <w:lang w:val="fr-CA"/>
        </w:rPr>
        <w:t xml:space="preserve"> </w:t>
      </w:r>
      <w:r w:rsidRPr="00E96209">
        <w:rPr>
          <w:lang w:val="fr-CA"/>
        </w:rPr>
        <w:t xml:space="preserve">l’effet d’une déclaration d’invalidité devrait être suspendu. Qui plus est, en permettant à une loi inconstitutionnelle de rester en vigueur, on refuse non seulement au demandeur qui a obtenu gain de cause la réparation immédiate à laquelle il a expressément droit en vertu du </w:t>
      </w:r>
      <w:r w:rsidR="00E96209">
        <w:rPr>
          <w:lang w:val="fr-CA"/>
        </w:rPr>
        <w:t>par. </w:t>
      </w:r>
      <w:r w:rsidRPr="00E96209">
        <w:rPr>
          <w:lang w:val="fr-CA"/>
        </w:rPr>
        <w:t xml:space="preserve">52(1), mais on permet à cette loi qui a été invalidée de continuer à causer un préjudice. Enfin, la suspension de l’effet d’une déclaration d’invalidité est susceptible d’aggraver un désavantage préexistant et de dissuader dès le départ les titulaires de droits de présenter des demandes fondées sur la </w:t>
      </w:r>
      <w:r w:rsidRPr="00E96209">
        <w:rPr>
          <w:i/>
          <w:lang w:val="fr-CA"/>
        </w:rPr>
        <w:t>Charte</w:t>
      </w:r>
      <w:r w:rsidRPr="00E96209">
        <w:rPr>
          <w:lang w:val="fr-CA"/>
        </w:rPr>
        <w:t>.</w:t>
      </w:r>
    </w:p>
    <w:p w14:paraId="42560460" w14:textId="5740FE1E" w:rsidR="006A2D3E" w:rsidRPr="00E96209" w:rsidRDefault="006A2D3E" w:rsidP="007D76F6">
      <w:pPr>
        <w:pStyle w:val="SCCNormalDoubleSpacing"/>
        <w:spacing w:after="480"/>
        <w:rPr>
          <w:lang w:val="fr-CA"/>
        </w:rPr>
      </w:pPr>
      <w:r w:rsidRPr="00E96209">
        <w:rPr>
          <w:lang w:val="fr-CA"/>
        </w:rPr>
        <w:tab/>
        <w:t>Lorsqu’utilisée de manière inappropriée, la suspension de l’effet d’une déclaration d’invalidité risque de miner de deux façons la primauté du droit qu’elle était censée protéger</w:t>
      </w:r>
      <w:r w:rsidR="00E96209">
        <w:rPr>
          <w:lang w:val="fr-CA"/>
        </w:rPr>
        <w:t> :</w:t>
      </w:r>
      <w:r w:rsidRPr="00E96209">
        <w:rPr>
          <w:lang w:val="fr-CA"/>
        </w:rPr>
        <w:t xml:space="preserve"> elle peut créer de l’incertitude dans le droit pendant la période de suspension; et est susceptible d’atténuer les conséquences auxquelles s’expose le législateur qui a édicté une loi qui viole la </w:t>
      </w:r>
      <w:r w:rsidRPr="00E96209">
        <w:rPr>
          <w:i/>
          <w:lang w:val="fr-CA"/>
        </w:rPr>
        <w:t>Charte</w:t>
      </w:r>
      <w:r w:rsidRPr="00E96209">
        <w:rPr>
          <w:lang w:val="fr-CA"/>
        </w:rPr>
        <w:t>, ce qui, à son tour, réduit les incitatifs à respecter les droits lorsqu’il légifère.</w:t>
      </w:r>
    </w:p>
    <w:p w14:paraId="13D6729C" w14:textId="7ABEA823" w:rsidR="006A2D3E" w:rsidRPr="00E96209" w:rsidRDefault="006A2D3E" w:rsidP="007D76F6">
      <w:pPr>
        <w:pStyle w:val="SCCNormalDoubleSpacing"/>
        <w:spacing w:after="480"/>
        <w:rPr>
          <w:lang w:val="fr-CA"/>
        </w:rPr>
      </w:pPr>
      <w:r w:rsidRPr="00E96209">
        <w:rPr>
          <w:lang w:val="fr-CA"/>
        </w:rPr>
        <w:tab/>
        <w:t xml:space="preserve">Prononcer une déclaration d’invalidité avec effet immédiat en l’espèce constituerait une menace à la sécurité publique et, par conséquent, à la primauté du droit, puisque cela signifierait que le registre des délinquants sexuels prévu par la </w:t>
      </w:r>
      <w:r w:rsidRPr="00E96209">
        <w:rPr>
          <w:i/>
          <w:lang w:val="fr-CA"/>
        </w:rPr>
        <w:t xml:space="preserve">Loi Christopher </w:t>
      </w:r>
      <w:r w:rsidRPr="00E96209">
        <w:rPr>
          <w:lang w:val="fr-CA"/>
        </w:rPr>
        <w:t xml:space="preserve">ne s’appliquerait pas à l’ensemble des personnes déclarées non responsables criminellement pour cause de troubles mentaux qui se sont vu accorder une libération inconditionnelle par la Commission ontarienne d’examen. Quoique la </w:t>
      </w:r>
      <w:r w:rsidRPr="00E96209">
        <w:rPr>
          <w:i/>
          <w:lang w:val="fr-CA"/>
        </w:rPr>
        <w:t>Loi Christopher</w:t>
      </w:r>
      <w:r w:rsidRPr="00E96209">
        <w:rPr>
          <w:lang w:val="fr-CA"/>
        </w:rPr>
        <w:t xml:space="preserve"> s’applique vraisemblablement aux personnes qui ne présentent pas un risque élevé de récidive, elle vise aussi de nombreuses personnes qui présentent un tel risque. Plus important encore, il faut se rappeler que le risque de récidive</w:t>
      </w:r>
      <w:r w:rsidR="007D76F6">
        <w:rPr>
          <w:lang w:val="fr-CA"/>
        </w:rPr>
        <w:t xml:space="preserve"> </w:t>
      </w:r>
      <w:r w:rsidRPr="00E96209">
        <w:rPr>
          <w:lang w:val="fr-CA"/>
        </w:rPr>
        <w:t>est celui de commettre des infractions d’ordre sexuel, des crimes violents qui causent un tort immense aux membres les plus vulnérables de la société. Étant donné qu’elle retirerait du registre les personnes déclarées non responsables criminellement pour cause de troubles mentaux qui sont potentiellement dangereuses, une déclaration d’invalidité avec effet immédiat créerait une faille dans le régime qui présenterait incontestablement un danger pour le public et, partant, une menace à la primauté du droit.</w:t>
      </w:r>
    </w:p>
    <w:p w14:paraId="4650423C" w14:textId="77777777" w:rsidR="006A2D3E" w:rsidRPr="00E96209" w:rsidRDefault="006A2D3E" w:rsidP="007D76F6">
      <w:pPr>
        <w:pStyle w:val="SCCNormalDoubleSpacing"/>
        <w:spacing w:after="480"/>
        <w:rPr>
          <w:lang w:val="fr-CA"/>
        </w:rPr>
      </w:pPr>
      <w:r w:rsidRPr="00E96209">
        <w:rPr>
          <w:lang w:val="fr-CA"/>
        </w:rPr>
        <w:tab/>
      </w:r>
      <w:r w:rsidRPr="00E96209">
        <w:rPr>
          <w:szCs w:val="24"/>
          <w:lang w:val="fr-CA"/>
        </w:rPr>
        <w:t>Si une suspension de l’effet d’une déclaration d’invalidité doit rarement être accordée, une exemption individuelle de cette suspension ne doit l’être que dans des cas rarissimes</w:t>
      </w:r>
      <w:r w:rsidRPr="00E96209">
        <w:rPr>
          <w:lang w:val="fr-CA"/>
        </w:rPr>
        <w:t>. Il y a désaccord avec les juges majoritaires qui estiment que</w:t>
      </w:r>
      <w:r w:rsidRPr="00E96209">
        <w:rPr>
          <w:lang w:val="fr-CA" w:bidi="en-US"/>
        </w:rPr>
        <w:t xml:space="preserve"> les juges sont bien placés pour effectuer une évaluation individualisée en vue de décider si une exemption compromettrait la sécurité du public.</w:t>
      </w:r>
      <w:r w:rsidRPr="00E96209">
        <w:rPr>
          <w:lang w:val="fr-CA"/>
        </w:rPr>
        <w:t xml:space="preserve"> En réalité,</w:t>
      </w:r>
      <w:r w:rsidRPr="00E96209">
        <w:rPr>
          <w:szCs w:val="24"/>
          <w:lang w:val="fr-CA"/>
        </w:rPr>
        <w:t xml:space="preserve"> pour déterminer s’il y a lieu d’accorder une exemption individuelle, il est utile de se poser la question de savoir s’il est nécessaire d’accorder une exemption pour empêcher qu’un préjudice </w:t>
      </w:r>
      <w:r w:rsidRPr="007D76F6">
        <w:rPr>
          <w:lang w:val="fr-CA"/>
        </w:rPr>
        <w:t>irréparable</w:t>
      </w:r>
      <w:r w:rsidRPr="00E96209">
        <w:rPr>
          <w:szCs w:val="24"/>
          <w:lang w:val="fr-CA"/>
        </w:rPr>
        <w:t xml:space="preserve"> soit causé aux droits que la </w:t>
      </w:r>
      <w:r w:rsidRPr="00E96209">
        <w:rPr>
          <w:i/>
          <w:szCs w:val="24"/>
          <w:lang w:val="fr-CA"/>
        </w:rPr>
        <w:t xml:space="preserve">Charte </w:t>
      </w:r>
      <w:r w:rsidRPr="00E96209">
        <w:rPr>
          <w:szCs w:val="24"/>
          <w:lang w:val="fr-CA"/>
        </w:rPr>
        <w:t>est censée protéger au cours de la suspension</w:t>
      </w:r>
      <w:r w:rsidRPr="00E96209">
        <w:rPr>
          <w:lang w:val="fr-CA"/>
        </w:rPr>
        <w:t>.</w:t>
      </w:r>
      <w:r w:rsidRPr="00E96209">
        <w:rPr>
          <w:szCs w:val="24"/>
          <w:lang w:val="fr-CA"/>
        </w:rPr>
        <w:t xml:space="preserve"> Les arguments fondés sur l’existence d’un préjudice irréparable doivent être convaincants au point de surmonter l’importante nécessité de laisser au législateur le soin de décider comment il convient de redresser une violation de la Constitution</w:t>
      </w:r>
      <w:r w:rsidRPr="00E96209">
        <w:rPr>
          <w:lang w:val="fr-CA"/>
        </w:rPr>
        <w:t xml:space="preserve">. </w:t>
      </w:r>
    </w:p>
    <w:p w14:paraId="6393EDB2" w14:textId="77777777" w:rsidR="006A2D3E" w:rsidRPr="00E96209" w:rsidRDefault="006A2D3E" w:rsidP="007D76F6">
      <w:pPr>
        <w:pStyle w:val="SCCNormalDoubleSpacing"/>
        <w:spacing w:after="480"/>
        <w:rPr>
          <w:lang w:val="fr-CA"/>
        </w:rPr>
      </w:pPr>
      <w:r w:rsidRPr="00E96209">
        <w:rPr>
          <w:lang w:val="fr-CA"/>
        </w:rPr>
        <w:tab/>
        <w:t xml:space="preserve">Même si G a démontré qu’il a droit </w:t>
      </w:r>
      <w:r w:rsidRPr="00E96209">
        <w:rPr>
          <w:szCs w:val="24"/>
          <w:lang w:val="fr-CA"/>
        </w:rPr>
        <w:t xml:space="preserve">à la </w:t>
      </w:r>
      <w:r w:rsidRPr="00E96209">
        <w:rPr>
          <w:iCs/>
          <w:szCs w:val="24"/>
          <w:lang w:val="fr-CA"/>
        </w:rPr>
        <w:t xml:space="preserve">possibilité </w:t>
      </w:r>
      <w:r w:rsidRPr="00E96209">
        <w:rPr>
          <w:szCs w:val="24"/>
          <w:lang w:val="fr-CA"/>
        </w:rPr>
        <w:t>de bénéficier d’une exemption et d’être retiré du registre,</w:t>
      </w:r>
      <w:r w:rsidRPr="00E96209">
        <w:rPr>
          <w:lang w:val="fr-CA"/>
        </w:rPr>
        <w:t> </w:t>
      </w:r>
      <w:r w:rsidRPr="00E96209">
        <w:rPr>
          <w:szCs w:val="24"/>
          <w:lang w:val="fr-CA"/>
        </w:rPr>
        <w:t>il ne s’agit pas d’un de ces rares cas où une exemption individuelle est justifiée</w:t>
      </w:r>
      <w:r w:rsidRPr="00E96209">
        <w:rPr>
          <w:lang w:val="fr-CA"/>
        </w:rPr>
        <w:t xml:space="preserve">. </w:t>
      </w:r>
      <w:r w:rsidRPr="00E96209">
        <w:rPr>
          <w:szCs w:val="24"/>
          <w:lang w:val="fr-CA"/>
        </w:rPr>
        <w:t>G ne se verra pas refuser une réparation efficace parce qu’il doit attendre pour l’obtenir et il ne sera pas empêché de saisir la prochaine occasion pour se prévaloir d’une exemption, peu importe la forme qu’elle prendra.</w:t>
      </w:r>
      <w:r w:rsidRPr="00E96209">
        <w:rPr>
          <w:lang w:val="fr-CA"/>
        </w:rPr>
        <w:t xml:space="preserve"> En outre, G devra tout au plus se présenter au poste de police une fois de plus pour satisfaire à son obligation de se présenter chaque année aux autorités, ce qui est loin d’un préjudice irréparable. Dans le cas de G, comme dans la plupart des autres, l’élaboration d’une exemption individuelle déborde le cadre de la compétence de la Cour et empiète sur ce qui est une question que doit résoudre le législateur, qui est bien mieux placé pour décider quel est le mécanisme qui convient le mieux pour offrir aux personnes déclarées non responsables criminellement pour cause de troubles mentaux la possibilité de bénéficier d’une exemption. </w:t>
      </w:r>
    </w:p>
    <w:p w14:paraId="115248F3" w14:textId="55125E00" w:rsidR="006A2D3E" w:rsidRPr="00E96209" w:rsidRDefault="006A2D3E" w:rsidP="007D76F6">
      <w:pPr>
        <w:pStyle w:val="SCCNormalDoubleSpacing"/>
        <w:spacing w:after="480"/>
        <w:rPr>
          <w:lang w:val="fr-CA"/>
        </w:rPr>
      </w:pPr>
      <w:r w:rsidRPr="00E96209">
        <w:rPr>
          <w:lang w:val="fr-CA"/>
        </w:rPr>
        <w:tab/>
        <w:t>Accorder une exemption individuelle à G suscite également la crainte d’une iniquité horizontale, c’est</w:t>
      </w:r>
      <w:r w:rsidR="00E96209">
        <w:rPr>
          <w:lang w:val="fr-CA"/>
        </w:rPr>
        <w:noBreakHyphen/>
      </w:r>
      <w:r w:rsidRPr="00E96209">
        <w:rPr>
          <w:lang w:val="fr-CA"/>
        </w:rPr>
        <w:t>à</w:t>
      </w:r>
      <w:r w:rsidR="00E96209">
        <w:rPr>
          <w:lang w:val="fr-CA"/>
        </w:rPr>
        <w:noBreakHyphen/>
      </w:r>
      <w:r w:rsidRPr="00E96209">
        <w:rPr>
          <w:lang w:val="fr-CA"/>
        </w:rPr>
        <w:t>dire la crainte que G bénéficie d’un traitement plus favorable que celui réservé aux autres personnes qui se trouvent dans une situation semblable. Dans une affaire constitutionnelle portant sur la validité d’une loi d’application générale, un plaideur ne devrait pas avoir droit à une réparation constitutionnelle meilleure ou plus immédiate que toute autre personne se trouvant dans une situation semblable du seul fait qu’il a intenté l’action.</w:t>
      </w:r>
    </w:p>
    <w:p w14:paraId="6B6C6C7C" w14:textId="77777777" w:rsidR="004D7D95" w:rsidRPr="00E96209" w:rsidRDefault="004D7D95" w:rsidP="008A7C16">
      <w:pPr>
        <w:pStyle w:val="SCCNormalDoubleSpacing"/>
        <w:spacing w:after="720" w:line="240" w:lineRule="auto"/>
        <w:rPr>
          <w:b/>
          <w:lang w:val="fr-CA"/>
        </w:rPr>
      </w:pPr>
      <w:r w:rsidRPr="00E96209">
        <w:rPr>
          <w:b/>
          <w:lang w:val="fr-CA"/>
        </w:rPr>
        <w:t>Jurisprudence</w:t>
      </w:r>
    </w:p>
    <w:p w14:paraId="017719B6" w14:textId="77777777" w:rsidR="001D13A0" w:rsidRPr="00E96209" w:rsidRDefault="001D13A0" w:rsidP="001D13A0">
      <w:pPr>
        <w:pStyle w:val="SCCNormalDoubleSpacing"/>
        <w:spacing w:after="480"/>
        <w:rPr>
          <w:lang w:val="fr-CA"/>
        </w:rPr>
      </w:pPr>
      <w:r w:rsidRPr="00E96209">
        <w:rPr>
          <w:lang w:val="fr-CA"/>
        </w:rPr>
        <w:t xml:space="preserve">Citée par la juge </w:t>
      </w:r>
      <w:proofErr w:type="spellStart"/>
      <w:r w:rsidRPr="00E96209">
        <w:rPr>
          <w:lang w:val="fr-CA"/>
        </w:rPr>
        <w:t>Karakatsanis</w:t>
      </w:r>
      <w:proofErr w:type="spellEnd"/>
    </w:p>
    <w:p w14:paraId="08F0303C" w14:textId="32608D2B" w:rsidR="001D13A0" w:rsidRPr="00E96209" w:rsidRDefault="001D13A0" w:rsidP="00992A4D">
      <w:pPr>
        <w:pStyle w:val="SCCNormalDoubleSpacing"/>
        <w:spacing w:after="480"/>
        <w:rPr>
          <w:lang w:val="fr-CA"/>
        </w:rPr>
      </w:pPr>
      <w:r w:rsidRPr="00E96209">
        <w:rPr>
          <w:i/>
          <w:lang w:val="fr-CA"/>
        </w:rPr>
        <w:tab/>
      </w:r>
      <w:r w:rsidR="00C55690" w:rsidRPr="00E96209">
        <w:rPr>
          <w:b/>
          <w:lang w:val="fr-CA"/>
        </w:rPr>
        <w:t>Arrêt analysé</w:t>
      </w:r>
      <w:r w:rsidR="00E96209">
        <w:rPr>
          <w:b/>
          <w:lang w:val="fr-CA"/>
        </w:rPr>
        <w:t> :</w:t>
      </w:r>
      <w:r w:rsidR="00C55690" w:rsidRPr="00E96209">
        <w:rPr>
          <w:lang w:val="fr-CA"/>
        </w:rPr>
        <w:t xml:space="preserve"> </w:t>
      </w:r>
      <w:proofErr w:type="spellStart"/>
      <w:r w:rsidR="00C55690" w:rsidRPr="00E96209">
        <w:rPr>
          <w:i/>
          <w:lang w:val="fr-CA"/>
        </w:rPr>
        <w:t>Schachter</w:t>
      </w:r>
      <w:proofErr w:type="spellEnd"/>
      <w:r w:rsidR="00C55690" w:rsidRPr="00E96209">
        <w:rPr>
          <w:i/>
          <w:lang w:val="fr-CA"/>
        </w:rPr>
        <w:t xml:space="preserve"> c. Canada</w:t>
      </w:r>
      <w:r w:rsidR="00C55690" w:rsidRPr="00E96209">
        <w:rPr>
          <w:lang w:val="fr-CA"/>
        </w:rPr>
        <w:t xml:space="preserve">, [1992] 2 R.C.S. 679; </w:t>
      </w:r>
      <w:r w:rsidR="00C55690" w:rsidRPr="00E96209">
        <w:rPr>
          <w:b/>
          <w:lang w:val="fr-CA"/>
        </w:rPr>
        <w:t>arrêts examinés</w:t>
      </w:r>
      <w:r w:rsidR="00E96209">
        <w:rPr>
          <w:b/>
          <w:lang w:val="fr-CA"/>
        </w:rPr>
        <w:t> :</w:t>
      </w:r>
      <w:r w:rsidR="00C55690" w:rsidRPr="00E96209">
        <w:rPr>
          <w:b/>
          <w:lang w:val="fr-CA"/>
        </w:rPr>
        <w:t xml:space="preserve"> </w:t>
      </w:r>
      <w:r w:rsidR="00C55690" w:rsidRPr="00E96209">
        <w:rPr>
          <w:i/>
          <w:lang w:val="fr-CA"/>
        </w:rPr>
        <w:t xml:space="preserve">R. c. </w:t>
      </w:r>
      <w:proofErr w:type="spellStart"/>
      <w:r w:rsidR="00C55690" w:rsidRPr="00E96209">
        <w:rPr>
          <w:i/>
          <w:lang w:val="fr-CA"/>
        </w:rPr>
        <w:t>Swain</w:t>
      </w:r>
      <w:proofErr w:type="spellEnd"/>
      <w:r w:rsidR="00C55690" w:rsidRPr="00E96209">
        <w:rPr>
          <w:lang w:val="fr-CA"/>
        </w:rPr>
        <w:t xml:space="preserve">, </w:t>
      </w:r>
      <w:r w:rsidR="00C55690" w:rsidRPr="00E96209">
        <w:rPr>
          <w:spacing w:val="-3"/>
          <w:lang w:val="fr-CA"/>
        </w:rPr>
        <w:t xml:space="preserve">[1991] 1 </w:t>
      </w:r>
      <w:proofErr w:type="spellStart"/>
      <w:r w:rsidR="00C55690" w:rsidRPr="00E96209">
        <w:rPr>
          <w:lang w:val="fr-CA"/>
        </w:rPr>
        <w:t>R.C.S</w:t>
      </w:r>
      <w:proofErr w:type="spellEnd"/>
      <w:r w:rsidR="00C55690" w:rsidRPr="00E96209">
        <w:rPr>
          <w:lang w:val="fr-CA"/>
        </w:rPr>
        <w:t xml:space="preserve">. </w:t>
      </w:r>
      <w:r w:rsidR="00C55690" w:rsidRPr="00E96209">
        <w:rPr>
          <w:spacing w:val="-3"/>
          <w:lang w:val="fr-CA"/>
        </w:rPr>
        <w:t xml:space="preserve">933; </w:t>
      </w:r>
      <w:r w:rsidR="00C55690" w:rsidRPr="00E96209">
        <w:rPr>
          <w:i/>
          <w:lang w:val="fr-CA"/>
        </w:rPr>
        <w:t>Renvoi relatif aux droits linguistiques au Manitoba</w:t>
      </w:r>
      <w:r w:rsidR="00C55690" w:rsidRPr="00E96209">
        <w:rPr>
          <w:lang w:val="fr-CA"/>
        </w:rPr>
        <w:t xml:space="preserve">, [1985] 1 R.C.S. 721; </w:t>
      </w:r>
      <w:r w:rsidR="00C55690" w:rsidRPr="00E96209">
        <w:rPr>
          <w:b/>
          <w:lang w:val="fr-CA"/>
        </w:rPr>
        <w:t xml:space="preserve">arrêts </w:t>
      </w:r>
      <w:r w:rsidR="005F7726" w:rsidRPr="00E96209">
        <w:rPr>
          <w:b/>
          <w:lang w:val="fr-CA"/>
        </w:rPr>
        <w:t>mentionnés</w:t>
      </w:r>
      <w:r w:rsidR="00E96209">
        <w:rPr>
          <w:b/>
          <w:lang w:val="fr-CA"/>
        </w:rPr>
        <w:t> :</w:t>
      </w:r>
      <w:r w:rsidR="005F7726" w:rsidRPr="00E96209">
        <w:rPr>
          <w:b/>
          <w:lang w:val="fr-CA"/>
        </w:rPr>
        <w:t xml:space="preserve"> </w:t>
      </w:r>
      <w:r w:rsidRPr="00E96209">
        <w:rPr>
          <w:i/>
          <w:lang w:val="fr-CA"/>
        </w:rPr>
        <w:t>R. c. Dyck</w:t>
      </w:r>
      <w:r w:rsidRPr="00E96209">
        <w:rPr>
          <w:lang w:val="fr-CA"/>
        </w:rPr>
        <w:t xml:space="preserve">, 2008 ONCA 309, 90 O.R. (3d) 409; </w:t>
      </w:r>
      <w:r w:rsidRPr="00E96209">
        <w:rPr>
          <w:i/>
          <w:lang w:val="fr-CA"/>
        </w:rPr>
        <w:t>R. c. Long</w:t>
      </w:r>
      <w:r w:rsidRPr="00E96209">
        <w:rPr>
          <w:lang w:val="fr-CA"/>
        </w:rPr>
        <w:t>, 2018 ONCA 282, 45 C.R. (</w:t>
      </w:r>
      <w:proofErr w:type="spellStart"/>
      <w:r w:rsidRPr="00E96209">
        <w:rPr>
          <w:lang w:val="fr-CA"/>
        </w:rPr>
        <w:t>7th</w:t>
      </w:r>
      <w:proofErr w:type="spellEnd"/>
      <w:r w:rsidRPr="00E96209">
        <w:rPr>
          <w:lang w:val="fr-CA"/>
        </w:rPr>
        <w:t xml:space="preserve">) 98; </w:t>
      </w:r>
      <w:proofErr w:type="spellStart"/>
      <w:r w:rsidRPr="00E96209">
        <w:rPr>
          <w:i/>
          <w:lang w:val="fr-CA"/>
        </w:rPr>
        <w:t>Winko</w:t>
      </w:r>
      <w:proofErr w:type="spellEnd"/>
      <w:r w:rsidRPr="00E96209">
        <w:rPr>
          <w:i/>
          <w:lang w:val="fr-CA"/>
        </w:rPr>
        <w:t xml:space="preserve"> c. Colombie</w:t>
      </w:r>
      <w:r w:rsidR="00E96209">
        <w:rPr>
          <w:i/>
          <w:lang w:val="fr-CA"/>
        </w:rPr>
        <w:noBreakHyphen/>
      </w:r>
      <w:r w:rsidRPr="00E96209">
        <w:rPr>
          <w:i/>
          <w:lang w:val="fr-CA"/>
        </w:rPr>
        <w:t>Britannique (</w:t>
      </w:r>
      <w:proofErr w:type="spellStart"/>
      <w:r w:rsidRPr="00E96209">
        <w:rPr>
          <w:i/>
          <w:lang w:val="fr-CA"/>
        </w:rPr>
        <w:t>Forensic</w:t>
      </w:r>
      <w:proofErr w:type="spellEnd"/>
      <w:r w:rsidRPr="00E96209">
        <w:rPr>
          <w:i/>
          <w:lang w:val="fr-CA"/>
        </w:rPr>
        <w:t xml:space="preserve"> </w:t>
      </w:r>
      <w:proofErr w:type="spellStart"/>
      <w:r w:rsidRPr="00E96209">
        <w:rPr>
          <w:i/>
          <w:lang w:val="fr-CA"/>
        </w:rPr>
        <w:t>Psychiatric</w:t>
      </w:r>
      <w:proofErr w:type="spellEnd"/>
      <w:r w:rsidRPr="00E96209">
        <w:rPr>
          <w:i/>
          <w:lang w:val="fr-CA"/>
        </w:rPr>
        <w:t xml:space="preserve"> Institute)</w:t>
      </w:r>
      <w:r w:rsidRPr="00E96209">
        <w:rPr>
          <w:lang w:val="fr-CA"/>
        </w:rPr>
        <w:t xml:space="preserve">, [1999] 2 R.C.S. 625; </w:t>
      </w:r>
      <w:proofErr w:type="spellStart"/>
      <w:r w:rsidRPr="00E96209">
        <w:rPr>
          <w:i/>
          <w:lang w:val="fr-CA"/>
        </w:rPr>
        <w:t>Hinse</w:t>
      </w:r>
      <w:proofErr w:type="spellEnd"/>
      <w:r w:rsidRPr="00E96209">
        <w:rPr>
          <w:i/>
          <w:lang w:val="fr-CA"/>
        </w:rPr>
        <w:t xml:space="preserve"> c. Canada (Procureur général)</w:t>
      </w:r>
      <w:r w:rsidRPr="00E96209">
        <w:rPr>
          <w:lang w:val="fr-CA"/>
        </w:rPr>
        <w:t xml:space="preserve">, 2015 CSC 35, [2015] 2 R.C.S. 621; </w:t>
      </w:r>
      <w:r w:rsidRPr="00E96209">
        <w:rPr>
          <w:i/>
          <w:lang w:val="fr-CA"/>
        </w:rPr>
        <w:t>Law </w:t>
      </w:r>
      <w:r w:rsidRPr="00E96209">
        <w:rPr>
          <w:i/>
          <w:iCs/>
          <w:lang w:val="fr-CA"/>
        </w:rPr>
        <w:t>c</w:t>
      </w:r>
      <w:r w:rsidRPr="00E96209">
        <w:rPr>
          <w:i/>
          <w:lang w:val="fr-CA"/>
        </w:rPr>
        <w:t>. Canada (Ministre de l’Emploi et de l’Immigration)</w:t>
      </w:r>
      <w:r w:rsidRPr="00E96209">
        <w:rPr>
          <w:lang w:val="fr-CA"/>
        </w:rPr>
        <w:t xml:space="preserve">, [1999] 1 R.C.S. 497; </w:t>
      </w:r>
      <w:r w:rsidRPr="00E96209">
        <w:rPr>
          <w:i/>
          <w:lang w:val="fr-CA"/>
        </w:rPr>
        <w:t>Andrews</w:t>
      </w:r>
      <w:r w:rsidRPr="00E96209">
        <w:rPr>
          <w:i/>
          <w:iCs/>
          <w:lang w:val="fr-CA"/>
        </w:rPr>
        <w:t xml:space="preserve"> c.</w:t>
      </w:r>
      <w:r w:rsidRPr="00E96209">
        <w:rPr>
          <w:i/>
          <w:lang w:val="fr-CA"/>
        </w:rPr>
        <w:t> Law Society of British Columbia</w:t>
      </w:r>
      <w:r w:rsidRPr="00E96209">
        <w:rPr>
          <w:lang w:val="fr-CA"/>
        </w:rPr>
        <w:t xml:space="preserve">, [1989] 1 R.C.S. 143; </w:t>
      </w:r>
      <w:r w:rsidRPr="00E96209">
        <w:rPr>
          <w:i/>
          <w:lang w:val="fr-CA"/>
        </w:rPr>
        <w:t>Québec (Procureur général) c. A</w:t>
      </w:r>
      <w:r w:rsidRPr="00E96209">
        <w:rPr>
          <w:lang w:val="fr-CA"/>
        </w:rPr>
        <w:t xml:space="preserve">, 2013 CSC 5, [2013] 1 R.C.S. 61; </w:t>
      </w:r>
      <w:proofErr w:type="spellStart"/>
      <w:r w:rsidRPr="00E96209">
        <w:rPr>
          <w:i/>
          <w:lang w:val="fr-CA"/>
        </w:rPr>
        <w:t>Eldridge</w:t>
      </w:r>
      <w:proofErr w:type="spellEnd"/>
      <w:r w:rsidRPr="00E96209">
        <w:rPr>
          <w:i/>
          <w:lang w:val="fr-CA"/>
        </w:rPr>
        <w:t xml:space="preserve"> c. Colombie</w:t>
      </w:r>
      <w:r w:rsidR="00E96209">
        <w:rPr>
          <w:i/>
          <w:lang w:val="fr-CA"/>
        </w:rPr>
        <w:noBreakHyphen/>
      </w:r>
      <w:r w:rsidRPr="00E96209">
        <w:rPr>
          <w:i/>
          <w:lang w:val="fr-CA"/>
        </w:rPr>
        <w:t>Britannique (Procureur général)</w:t>
      </w:r>
      <w:r w:rsidRPr="00E96209">
        <w:rPr>
          <w:lang w:val="fr-CA"/>
        </w:rPr>
        <w:t xml:space="preserve">, [1997] 3 R.C.S. 624; </w:t>
      </w:r>
      <w:r w:rsidRPr="00E96209">
        <w:rPr>
          <w:i/>
          <w:lang w:val="fr-CA"/>
        </w:rPr>
        <w:t>Centrale des syndicats du Québec</w:t>
      </w:r>
      <w:r w:rsidRPr="00E96209">
        <w:rPr>
          <w:b/>
          <w:bCs/>
          <w:i/>
          <w:lang w:val="fr-CA"/>
        </w:rPr>
        <w:t> </w:t>
      </w:r>
      <w:r w:rsidRPr="00E96209">
        <w:rPr>
          <w:i/>
          <w:iCs/>
          <w:lang w:val="fr-CA"/>
        </w:rPr>
        <w:t>c.</w:t>
      </w:r>
      <w:r w:rsidRPr="00E96209">
        <w:rPr>
          <w:i/>
          <w:lang w:val="fr-CA"/>
        </w:rPr>
        <w:t> Québec (Procureure générale)</w:t>
      </w:r>
      <w:r w:rsidRPr="00E96209">
        <w:rPr>
          <w:lang w:val="fr-CA"/>
        </w:rPr>
        <w:t xml:space="preserve">, 2018 CSC 18, [2018] 1 R.C.S. 522; </w:t>
      </w:r>
      <w:r w:rsidRPr="00E96209">
        <w:rPr>
          <w:i/>
          <w:lang w:val="fr-CA"/>
        </w:rPr>
        <w:t xml:space="preserve">Première Nation de </w:t>
      </w:r>
      <w:proofErr w:type="spellStart"/>
      <w:r w:rsidRPr="00E96209">
        <w:rPr>
          <w:i/>
          <w:lang w:val="fr-CA"/>
        </w:rPr>
        <w:t>Kahkewistahaw</w:t>
      </w:r>
      <w:proofErr w:type="spellEnd"/>
      <w:r w:rsidRPr="00E96209">
        <w:rPr>
          <w:i/>
          <w:lang w:val="fr-CA"/>
        </w:rPr>
        <w:t> </w:t>
      </w:r>
      <w:r w:rsidRPr="00E96209">
        <w:rPr>
          <w:i/>
          <w:iCs/>
          <w:lang w:val="fr-CA"/>
        </w:rPr>
        <w:t>c.</w:t>
      </w:r>
      <w:r w:rsidRPr="00E96209">
        <w:rPr>
          <w:i/>
          <w:lang w:val="fr-CA"/>
        </w:rPr>
        <w:t> </w:t>
      </w:r>
      <w:proofErr w:type="spellStart"/>
      <w:r w:rsidRPr="00E96209">
        <w:rPr>
          <w:i/>
          <w:lang w:val="fr-CA"/>
        </w:rPr>
        <w:t>Taypotat</w:t>
      </w:r>
      <w:proofErr w:type="spellEnd"/>
      <w:r w:rsidRPr="00E96209">
        <w:rPr>
          <w:lang w:val="fr-CA"/>
        </w:rPr>
        <w:t xml:space="preserve">, 2015 CSC 30, [2015] 2 R.C.S. 548; </w:t>
      </w:r>
      <w:r w:rsidRPr="00E96209">
        <w:rPr>
          <w:i/>
          <w:lang w:val="fr-CA"/>
        </w:rPr>
        <w:t>Québec (Procureure générale) c. Alliance du personnel professionnel et technique de la santé et des services sociaux</w:t>
      </w:r>
      <w:r w:rsidRPr="00E96209">
        <w:rPr>
          <w:lang w:val="fr-CA"/>
        </w:rPr>
        <w:t xml:space="preserve">, 2018 CSC 17, [2018] 1 R.C.S. 464; </w:t>
      </w:r>
      <w:r w:rsidRPr="00E96209">
        <w:rPr>
          <w:i/>
          <w:lang w:val="fr-CA"/>
        </w:rPr>
        <w:t>Fraser c. Canada (Procureur général)</w:t>
      </w:r>
      <w:r w:rsidRPr="00E96209">
        <w:rPr>
          <w:lang w:val="fr-CA"/>
        </w:rPr>
        <w:t xml:space="preserve">, </w:t>
      </w:r>
      <w:r w:rsidR="005B0DF7">
        <w:rPr>
          <w:lang w:val="fr-CA"/>
        </w:rPr>
        <w:t>2020 CSC 28, [2020] 3</w:t>
      </w:r>
      <w:r w:rsidR="004A6852">
        <w:rPr>
          <w:lang w:val="fr-CA"/>
        </w:rPr>
        <w:t xml:space="preserve"> </w:t>
      </w:r>
      <w:proofErr w:type="spellStart"/>
      <w:r w:rsidR="004A6852">
        <w:rPr>
          <w:lang w:val="fr-CA"/>
        </w:rPr>
        <w:t>R.C.S</w:t>
      </w:r>
      <w:proofErr w:type="spellEnd"/>
      <w:r w:rsidR="004A6852">
        <w:rPr>
          <w:lang w:val="fr-CA"/>
        </w:rPr>
        <w:t xml:space="preserve">. </w:t>
      </w:r>
      <w:r w:rsidR="005B0DF7">
        <w:rPr>
          <w:lang w:val="fr-CA"/>
        </w:rPr>
        <w:t>113</w:t>
      </w:r>
      <w:r w:rsidRPr="00E96209">
        <w:rPr>
          <w:lang w:val="fr-CA"/>
        </w:rPr>
        <w:t>;</w:t>
      </w:r>
      <w:r w:rsidRPr="00E96209">
        <w:rPr>
          <w:szCs w:val="24"/>
          <w:lang w:val="fr-CA"/>
        </w:rPr>
        <w:t xml:space="preserve"> </w:t>
      </w:r>
      <w:proofErr w:type="spellStart"/>
      <w:r w:rsidRPr="00E96209">
        <w:rPr>
          <w:i/>
          <w:lang w:val="fr-CA"/>
        </w:rPr>
        <w:t>Vriend</w:t>
      </w:r>
      <w:proofErr w:type="spellEnd"/>
      <w:r w:rsidRPr="00E96209">
        <w:rPr>
          <w:lang w:val="fr-CA"/>
        </w:rPr>
        <w:t xml:space="preserve"> </w:t>
      </w:r>
      <w:r w:rsidRPr="00E96209">
        <w:rPr>
          <w:i/>
          <w:lang w:val="fr-CA"/>
        </w:rPr>
        <w:t>c. Alberta</w:t>
      </w:r>
      <w:r w:rsidRPr="00E96209">
        <w:rPr>
          <w:lang w:val="fr-CA"/>
        </w:rPr>
        <w:t xml:space="preserve">, [1998] 1 R.C.S. 493; </w:t>
      </w:r>
      <w:proofErr w:type="spellStart"/>
      <w:r w:rsidRPr="00E96209">
        <w:rPr>
          <w:i/>
          <w:szCs w:val="24"/>
          <w:lang w:val="fr-CA"/>
        </w:rPr>
        <w:t>Withler</w:t>
      </w:r>
      <w:proofErr w:type="spellEnd"/>
      <w:r w:rsidRPr="00E96209">
        <w:rPr>
          <w:i/>
          <w:szCs w:val="24"/>
          <w:lang w:val="fr-CA"/>
        </w:rPr>
        <w:t xml:space="preserve"> c. Canada (Procureur général)</w:t>
      </w:r>
      <w:r w:rsidRPr="00E96209">
        <w:rPr>
          <w:szCs w:val="24"/>
          <w:lang w:val="fr-CA"/>
        </w:rPr>
        <w:t xml:space="preserve">, 2011 CSC 12, [2011] 1 </w:t>
      </w:r>
      <w:r w:rsidRPr="00E96209">
        <w:rPr>
          <w:lang w:val="fr-CA"/>
        </w:rPr>
        <w:t xml:space="preserve">R.C.S. </w:t>
      </w:r>
      <w:r w:rsidRPr="00E96209">
        <w:rPr>
          <w:szCs w:val="24"/>
          <w:lang w:val="fr-CA"/>
        </w:rPr>
        <w:t xml:space="preserve">396; </w:t>
      </w:r>
      <w:r w:rsidRPr="00E96209">
        <w:rPr>
          <w:i/>
          <w:lang w:val="fr-CA"/>
        </w:rPr>
        <w:t>R. c. Kapp</w:t>
      </w:r>
      <w:r w:rsidRPr="00E96209">
        <w:rPr>
          <w:lang w:val="fr-CA"/>
        </w:rPr>
        <w:t xml:space="preserve">, 2008 CSC 41, [2008] 2 R.C.S. 483; </w:t>
      </w:r>
      <w:r w:rsidRPr="00E96209">
        <w:rPr>
          <w:i/>
          <w:lang w:val="fr-CA"/>
        </w:rPr>
        <w:t>Egan c. Canada</w:t>
      </w:r>
      <w:r w:rsidRPr="00E96209">
        <w:rPr>
          <w:lang w:val="fr-CA"/>
        </w:rPr>
        <w:t xml:space="preserve">, [1995] 2 R.C.S. 513; </w:t>
      </w:r>
      <w:r w:rsidRPr="00E96209">
        <w:rPr>
          <w:i/>
          <w:lang w:val="fr-CA"/>
        </w:rPr>
        <w:t>R. c. Campbell</w:t>
      </w:r>
      <w:r w:rsidRPr="00E96209">
        <w:rPr>
          <w:lang w:val="fr-CA"/>
        </w:rPr>
        <w:t xml:space="preserve">, 2013 BCCA 43, 334 B.C.A.C. 16; </w:t>
      </w:r>
      <w:r w:rsidRPr="00E96209">
        <w:rPr>
          <w:i/>
          <w:lang w:val="x-none"/>
        </w:rPr>
        <w:t xml:space="preserve">R. </w:t>
      </w:r>
      <w:r w:rsidRPr="00E96209">
        <w:rPr>
          <w:i/>
          <w:lang w:val="fr-CA"/>
        </w:rPr>
        <w:t>c</w:t>
      </w:r>
      <w:r w:rsidRPr="00E96209">
        <w:rPr>
          <w:i/>
          <w:lang w:val="x-none"/>
        </w:rPr>
        <w:t>. C.C.</w:t>
      </w:r>
      <w:r w:rsidRPr="00E96209">
        <w:rPr>
          <w:lang w:val="x-none"/>
        </w:rPr>
        <w:t>,</w:t>
      </w:r>
      <w:r w:rsidRPr="00E96209">
        <w:rPr>
          <w:i/>
          <w:lang w:val="x-none"/>
        </w:rPr>
        <w:t xml:space="preserve"> </w:t>
      </w:r>
      <w:r w:rsidRPr="00E96209">
        <w:rPr>
          <w:lang w:val="x-none"/>
        </w:rPr>
        <w:t>2007 ABPC 337</w:t>
      </w:r>
      <w:r w:rsidRPr="00E96209">
        <w:rPr>
          <w:lang w:val="fr-CA"/>
        </w:rPr>
        <w:t xml:space="preserve">, 435 A.R. 215; </w:t>
      </w:r>
      <w:r w:rsidRPr="00E96209">
        <w:rPr>
          <w:i/>
          <w:lang w:val="x-none"/>
        </w:rPr>
        <w:t>R</w:t>
      </w:r>
      <w:r w:rsidRPr="00E96209">
        <w:rPr>
          <w:i/>
          <w:lang w:val="fr-CA"/>
        </w:rPr>
        <w:t>.</w:t>
      </w:r>
      <w:r w:rsidRPr="00E96209">
        <w:rPr>
          <w:i/>
          <w:lang w:val="x-none"/>
        </w:rPr>
        <w:t xml:space="preserve"> c</w:t>
      </w:r>
      <w:r w:rsidRPr="00E96209">
        <w:rPr>
          <w:i/>
          <w:lang w:val="fr-CA"/>
        </w:rPr>
        <w:t>.</w:t>
      </w:r>
      <w:r w:rsidRPr="00E96209">
        <w:rPr>
          <w:i/>
          <w:lang w:val="x-none"/>
        </w:rPr>
        <w:t xml:space="preserve"> Redhead</w:t>
      </w:r>
      <w:r w:rsidRPr="00E96209">
        <w:rPr>
          <w:lang w:val="x-none"/>
        </w:rPr>
        <w:t>,</w:t>
      </w:r>
      <w:r w:rsidRPr="00E96209">
        <w:rPr>
          <w:i/>
          <w:lang w:val="x-none"/>
        </w:rPr>
        <w:t xml:space="preserve"> </w:t>
      </w:r>
      <w:r w:rsidRPr="00E96209">
        <w:rPr>
          <w:lang w:val="x-none"/>
        </w:rPr>
        <w:t>2006 ABCA 84</w:t>
      </w:r>
      <w:r w:rsidRPr="00E96209">
        <w:rPr>
          <w:lang w:val="fr-CA"/>
        </w:rPr>
        <w:t xml:space="preserve">, 384 A.R. 206; </w:t>
      </w:r>
      <w:r w:rsidRPr="00E96209">
        <w:rPr>
          <w:i/>
          <w:lang w:val="fr-CA"/>
        </w:rPr>
        <w:t xml:space="preserve">R. c. </w:t>
      </w:r>
      <w:proofErr w:type="spellStart"/>
      <w:r w:rsidRPr="00E96209">
        <w:rPr>
          <w:i/>
          <w:lang w:val="fr-CA"/>
        </w:rPr>
        <w:t>Oakes</w:t>
      </w:r>
      <w:proofErr w:type="spellEnd"/>
      <w:r w:rsidRPr="00E96209">
        <w:rPr>
          <w:lang w:val="fr-CA"/>
        </w:rPr>
        <w:t xml:space="preserve">, [1986] 1 </w:t>
      </w:r>
      <w:proofErr w:type="spellStart"/>
      <w:r w:rsidRPr="00E96209">
        <w:rPr>
          <w:lang w:val="fr-CA"/>
        </w:rPr>
        <w:t>R.C.S</w:t>
      </w:r>
      <w:proofErr w:type="spellEnd"/>
      <w:r w:rsidRPr="00E96209">
        <w:rPr>
          <w:lang w:val="fr-CA"/>
        </w:rPr>
        <w:t xml:space="preserve">. 103; </w:t>
      </w:r>
      <w:r w:rsidRPr="00E96209">
        <w:rPr>
          <w:i/>
          <w:lang w:val="fr-CA"/>
        </w:rPr>
        <w:t xml:space="preserve">Alberta c. </w:t>
      </w:r>
      <w:proofErr w:type="spellStart"/>
      <w:r w:rsidRPr="00E96209">
        <w:rPr>
          <w:i/>
          <w:lang w:val="fr-CA"/>
        </w:rPr>
        <w:t>Hutterian</w:t>
      </w:r>
      <w:proofErr w:type="spellEnd"/>
      <w:r w:rsidRPr="00E96209">
        <w:rPr>
          <w:i/>
          <w:lang w:val="fr-CA"/>
        </w:rPr>
        <w:t xml:space="preserve"> </w:t>
      </w:r>
      <w:proofErr w:type="spellStart"/>
      <w:r w:rsidRPr="00E96209">
        <w:rPr>
          <w:i/>
          <w:lang w:val="fr-CA"/>
        </w:rPr>
        <w:t>Brethren</w:t>
      </w:r>
      <w:proofErr w:type="spellEnd"/>
      <w:r w:rsidRPr="00E96209">
        <w:rPr>
          <w:i/>
          <w:lang w:val="fr-CA"/>
        </w:rPr>
        <w:t xml:space="preserve"> of Wilson </w:t>
      </w:r>
      <w:proofErr w:type="spellStart"/>
      <w:r w:rsidRPr="00E96209">
        <w:rPr>
          <w:i/>
          <w:lang w:val="fr-CA"/>
        </w:rPr>
        <w:t>Colony</w:t>
      </w:r>
      <w:proofErr w:type="spellEnd"/>
      <w:r w:rsidRPr="00E96209">
        <w:rPr>
          <w:lang w:val="fr-CA"/>
        </w:rPr>
        <w:t xml:space="preserve">, </w:t>
      </w:r>
      <w:r w:rsidRPr="00E96209">
        <w:rPr>
          <w:lang w:val="x-none"/>
        </w:rPr>
        <w:t xml:space="preserve">2009 </w:t>
      </w:r>
      <w:r w:rsidRPr="00E96209">
        <w:rPr>
          <w:lang w:val="fr-CA"/>
        </w:rPr>
        <w:t>CSC</w:t>
      </w:r>
      <w:r w:rsidRPr="00E96209">
        <w:rPr>
          <w:lang w:val="x-none"/>
        </w:rPr>
        <w:t xml:space="preserve"> 37</w:t>
      </w:r>
      <w:r w:rsidRPr="00E96209">
        <w:rPr>
          <w:lang w:val="fr-CA"/>
        </w:rPr>
        <w:t xml:space="preserve">, [2009] 2 R.C.S. 567; </w:t>
      </w:r>
      <w:proofErr w:type="spellStart"/>
      <w:r w:rsidRPr="00E96209">
        <w:rPr>
          <w:i/>
          <w:iCs/>
          <w:lang w:val="fr-CA"/>
        </w:rPr>
        <w:t>RJR</w:t>
      </w:r>
      <w:r w:rsidR="00E96209">
        <w:rPr>
          <w:i/>
          <w:iCs/>
          <w:lang w:val="fr-CA"/>
        </w:rPr>
        <w:noBreakHyphen/>
      </w:r>
      <w:r w:rsidRPr="00E96209">
        <w:rPr>
          <w:i/>
          <w:iCs/>
          <w:lang w:val="fr-CA"/>
        </w:rPr>
        <w:t>MacDonald</w:t>
      </w:r>
      <w:proofErr w:type="spellEnd"/>
      <w:r w:rsidRPr="00E96209">
        <w:rPr>
          <w:i/>
          <w:iCs/>
          <w:lang w:val="fr-CA"/>
        </w:rPr>
        <w:t xml:space="preserve"> Inc. c. Canada (Procureur général)</w:t>
      </w:r>
      <w:r w:rsidRPr="00E96209">
        <w:rPr>
          <w:lang w:val="fr-CA"/>
        </w:rPr>
        <w:t xml:space="preserve">, [1995] 3 R.C.S. 199; </w:t>
      </w:r>
      <w:r w:rsidRPr="00E96209">
        <w:rPr>
          <w:i/>
          <w:lang w:val="fr-CA"/>
        </w:rPr>
        <w:t xml:space="preserve">Toronto Star </w:t>
      </w:r>
      <w:proofErr w:type="spellStart"/>
      <w:r w:rsidRPr="00E96209">
        <w:rPr>
          <w:i/>
          <w:lang w:val="fr-CA"/>
        </w:rPr>
        <w:t>Newspapers</w:t>
      </w:r>
      <w:proofErr w:type="spellEnd"/>
      <w:r w:rsidRPr="00E96209">
        <w:rPr>
          <w:i/>
          <w:lang w:val="fr-CA"/>
        </w:rPr>
        <w:t xml:space="preserve"> Ltd. c. Canada</w:t>
      </w:r>
      <w:r w:rsidRPr="00E96209">
        <w:rPr>
          <w:lang w:val="fr-CA"/>
        </w:rPr>
        <w:t xml:space="preserve">, </w:t>
      </w:r>
      <w:r w:rsidR="00F25D5D">
        <w:rPr>
          <w:lang w:val="fr-CA"/>
        </w:rPr>
        <w:t>2010 CSC 21, [2010] 1 R.C.S. 721</w:t>
      </w:r>
      <w:r w:rsidRPr="00E96209">
        <w:rPr>
          <w:lang w:val="fr-CA"/>
        </w:rPr>
        <w:t xml:space="preserve">; </w:t>
      </w:r>
      <w:r w:rsidRPr="00E96209">
        <w:rPr>
          <w:i/>
          <w:lang w:val="fr-CA"/>
        </w:rPr>
        <w:t xml:space="preserve">R. c. </w:t>
      </w:r>
      <w:proofErr w:type="spellStart"/>
      <w:r w:rsidRPr="00E96209">
        <w:rPr>
          <w:i/>
          <w:lang w:val="fr-CA"/>
        </w:rPr>
        <w:t>Ndhlovu</w:t>
      </w:r>
      <w:proofErr w:type="spellEnd"/>
      <w:r w:rsidRPr="00E96209">
        <w:rPr>
          <w:lang w:val="fr-CA"/>
        </w:rPr>
        <w:t>,</w:t>
      </w:r>
      <w:r w:rsidR="00F10369" w:rsidRPr="00E96209">
        <w:rPr>
          <w:lang w:val="fr-CA"/>
        </w:rPr>
        <w:t xml:space="preserve"> 2020 </w:t>
      </w:r>
      <w:proofErr w:type="spellStart"/>
      <w:r w:rsidR="00F10369" w:rsidRPr="00E96209">
        <w:rPr>
          <w:lang w:val="fr-CA"/>
        </w:rPr>
        <w:t>ABCA</w:t>
      </w:r>
      <w:proofErr w:type="spellEnd"/>
      <w:r w:rsidR="00F10369" w:rsidRPr="00E96209">
        <w:rPr>
          <w:lang w:val="fr-CA"/>
        </w:rPr>
        <w:t xml:space="preserve"> 307, inf.</w:t>
      </w:r>
      <w:r w:rsidRPr="00E96209">
        <w:rPr>
          <w:lang w:val="fr-CA"/>
        </w:rPr>
        <w:t xml:space="preserve"> 2016 ABQB 595, 44 Alta. L.R. (6th) 382; </w:t>
      </w:r>
      <w:r w:rsidRPr="00E96209">
        <w:rPr>
          <w:i/>
          <w:lang w:val="fr-CA"/>
        </w:rPr>
        <w:t xml:space="preserve">Canada (Procureur général) c. </w:t>
      </w:r>
      <w:proofErr w:type="spellStart"/>
      <w:r w:rsidRPr="00E96209">
        <w:rPr>
          <w:i/>
          <w:lang w:val="fr-CA"/>
        </w:rPr>
        <w:t>Hislop</w:t>
      </w:r>
      <w:proofErr w:type="spellEnd"/>
      <w:r w:rsidRPr="00E96209">
        <w:rPr>
          <w:lang w:val="fr-CA"/>
        </w:rPr>
        <w:t xml:space="preserve">, 2007 CSC 10, [2007] 1 R.C.S. 429; </w:t>
      </w:r>
      <w:r w:rsidRPr="00E96209">
        <w:rPr>
          <w:i/>
          <w:lang w:val="fr-CA"/>
        </w:rPr>
        <w:t>Nouvelle</w:t>
      </w:r>
      <w:r w:rsidR="00E96209">
        <w:rPr>
          <w:i/>
          <w:lang w:val="fr-CA"/>
        </w:rPr>
        <w:noBreakHyphen/>
      </w:r>
      <w:r w:rsidRPr="00E96209">
        <w:rPr>
          <w:i/>
          <w:lang w:val="fr-CA"/>
        </w:rPr>
        <w:t>Écosse (</w:t>
      </w:r>
      <w:proofErr w:type="spellStart"/>
      <w:r w:rsidRPr="00E96209">
        <w:rPr>
          <w:i/>
          <w:lang w:val="fr-CA"/>
        </w:rPr>
        <w:t>Workers</w:t>
      </w:r>
      <w:proofErr w:type="spellEnd"/>
      <w:r w:rsidRPr="00E96209">
        <w:rPr>
          <w:i/>
          <w:lang w:val="fr-CA"/>
        </w:rPr>
        <w:t xml:space="preserve">’ Compensation </w:t>
      </w:r>
      <w:proofErr w:type="spellStart"/>
      <w:r w:rsidRPr="00E96209">
        <w:rPr>
          <w:i/>
          <w:lang w:val="fr-CA"/>
        </w:rPr>
        <w:t>Board</w:t>
      </w:r>
      <w:proofErr w:type="spellEnd"/>
      <w:r w:rsidRPr="00E96209">
        <w:rPr>
          <w:i/>
          <w:lang w:val="fr-CA"/>
        </w:rPr>
        <w:t>) c. Martin</w:t>
      </w:r>
      <w:r w:rsidRPr="00E96209">
        <w:rPr>
          <w:lang w:val="fr-CA"/>
        </w:rPr>
        <w:t xml:space="preserve">, 2003 CSC 54, [2003] 2 R.C.S. 504; </w:t>
      </w:r>
      <w:r w:rsidRPr="00E96209">
        <w:rPr>
          <w:i/>
          <w:lang w:val="fr-CA"/>
        </w:rPr>
        <w:t xml:space="preserve">Renvoi relatif à la Loi sur la Cour suprême, </w:t>
      </w:r>
      <w:r w:rsidR="00E96209">
        <w:rPr>
          <w:i/>
          <w:lang w:val="fr-CA"/>
        </w:rPr>
        <w:t>art. </w:t>
      </w:r>
      <w:r w:rsidRPr="00E96209">
        <w:rPr>
          <w:i/>
          <w:lang w:val="fr-CA"/>
        </w:rPr>
        <w:t xml:space="preserve">5 </w:t>
      </w:r>
      <w:r w:rsidR="00F10369" w:rsidRPr="00E96209">
        <w:rPr>
          <w:i/>
          <w:lang w:val="fr-CA"/>
        </w:rPr>
        <w:t>et</w:t>
      </w:r>
      <w:r w:rsidRPr="00E96209">
        <w:rPr>
          <w:i/>
          <w:lang w:val="fr-CA"/>
        </w:rPr>
        <w:t xml:space="preserve"> 6</w:t>
      </w:r>
      <w:r w:rsidRPr="00E96209">
        <w:rPr>
          <w:lang w:val="fr-CA"/>
        </w:rPr>
        <w:t xml:space="preserve">, 2014 CSC 21, [2014] 1 R.C.S. 433; </w:t>
      </w:r>
      <w:r w:rsidRPr="00E96209">
        <w:rPr>
          <w:i/>
          <w:lang w:val="fr-CA"/>
        </w:rPr>
        <w:t>R. c. Lloyd</w:t>
      </w:r>
      <w:r w:rsidRPr="00E96209">
        <w:rPr>
          <w:lang w:val="fr-CA"/>
        </w:rPr>
        <w:t xml:space="preserve">, 2016 CSC 13, [2016] 1 R.C.S. 130; </w:t>
      </w:r>
      <w:r w:rsidRPr="00E96209">
        <w:rPr>
          <w:i/>
          <w:lang w:val="fr-CA"/>
        </w:rPr>
        <w:t>Office canadien de commercialisation des œufs c. Richardson</w:t>
      </w:r>
      <w:r w:rsidRPr="00E96209">
        <w:rPr>
          <w:lang w:val="fr-CA"/>
        </w:rPr>
        <w:t xml:space="preserve">, [1998] 3 R.C.S. 157; </w:t>
      </w:r>
      <w:r w:rsidRPr="00E96209">
        <w:rPr>
          <w:i/>
          <w:lang w:val="fr-CA"/>
        </w:rPr>
        <w:t>Osborne c. Canada (Conseil du Trésor)</w:t>
      </w:r>
      <w:r w:rsidRPr="00E96209">
        <w:rPr>
          <w:lang w:val="fr-CA"/>
        </w:rPr>
        <w:t xml:space="preserve">, [1991] 2 R.C.S. 69; </w:t>
      </w:r>
      <w:r w:rsidRPr="00E96209">
        <w:rPr>
          <w:i/>
          <w:lang w:val="fr-CA"/>
        </w:rPr>
        <w:t xml:space="preserve">R. c. </w:t>
      </w:r>
      <w:proofErr w:type="spellStart"/>
      <w:r w:rsidRPr="00E96209">
        <w:rPr>
          <w:i/>
          <w:lang w:val="fr-CA"/>
        </w:rPr>
        <w:t>Nur</w:t>
      </w:r>
      <w:proofErr w:type="spellEnd"/>
      <w:r w:rsidRPr="00E96209">
        <w:rPr>
          <w:lang w:val="fr-CA"/>
        </w:rPr>
        <w:t xml:space="preserve">, 2015 CSC 15, [2015] 1 R.C.S. 773; </w:t>
      </w:r>
      <w:r w:rsidRPr="00E96209">
        <w:rPr>
          <w:i/>
          <w:lang w:val="fr-CA"/>
        </w:rPr>
        <w:t xml:space="preserve">Canada (Procureur général) c. </w:t>
      </w:r>
      <w:proofErr w:type="spellStart"/>
      <w:r w:rsidRPr="00E96209">
        <w:rPr>
          <w:i/>
          <w:lang w:val="fr-CA"/>
        </w:rPr>
        <w:t>Downtown</w:t>
      </w:r>
      <w:proofErr w:type="spellEnd"/>
      <w:r w:rsidRPr="00E96209">
        <w:rPr>
          <w:i/>
          <w:lang w:val="fr-CA"/>
        </w:rPr>
        <w:t xml:space="preserve"> </w:t>
      </w:r>
      <w:proofErr w:type="spellStart"/>
      <w:r w:rsidRPr="00E96209">
        <w:rPr>
          <w:i/>
          <w:lang w:val="fr-CA"/>
        </w:rPr>
        <w:t>Eastside</w:t>
      </w:r>
      <w:proofErr w:type="spellEnd"/>
      <w:r w:rsidRPr="00E96209">
        <w:rPr>
          <w:lang w:val="fr-CA"/>
        </w:rPr>
        <w:t xml:space="preserve"> </w:t>
      </w:r>
      <w:proofErr w:type="spellStart"/>
      <w:r w:rsidRPr="00E96209">
        <w:rPr>
          <w:i/>
          <w:lang w:val="fr-CA"/>
        </w:rPr>
        <w:t>Sex</w:t>
      </w:r>
      <w:proofErr w:type="spellEnd"/>
      <w:r w:rsidRPr="00E96209">
        <w:rPr>
          <w:i/>
          <w:lang w:val="fr-CA"/>
        </w:rPr>
        <w:t xml:space="preserve"> </w:t>
      </w:r>
      <w:proofErr w:type="spellStart"/>
      <w:r w:rsidRPr="00E96209">
        <w:rPr>
          <w:i/>
          <w:lang w:val="fr-CA"/>
        </w:rPr>
        <w:t>Workers</w:t>
      </w:r>
      <w:proofErr w:type="spellEnd"/>
      <w:r w:rsidRPr="00E96209">
        <w:rPr>
          <w:i/>
          <w:lang w:val="fr-CA"/>
        </w:rPr>
        <w:t xml:space="preserve"> United Against Violence Society</w:t>
      </w:r>
      <w:r w:rsidRPr="00E96209">
        <w:rPr>
          <w:lang w:val="fr-CA"/>
        </w:rPr>
        <w:t xml:space="preserve">, 2012 CSC 45, [2012] 2 R.C.S. 524; </w:t>
      </w:r>
      <w:r w:rsidRPr="00E96209">
        <w:rPr>
          <w:i/>
          <w:szCs w:val="24"/>
          <w:lang w:val="fr-CA"/>
        </w:rPr>
        <w:t xml:space="preserve">Manitoba (Procureur général) c. </w:t>
      </w:r>
      <w:proofErr w:type="spellStart"/>
      <w:r w:rsidRPr="00E96209">
        <w:rPr>
          <w:i/>
          <w:szCs w:val="24"/>
          <w:lang w:val="fr-CA"/>
        </w:rPr>
        <w:t>Metropolitan</w:t>
      </w:r>
      <w:proofErr w:type="spellEnd"/>
      <w:r w:rsidRPr="00E96209">
        <w:rPr>
          <w:i/>
          <w:szCs w:val="24"/>
          <w:lang w:val="fr-CA"/>
        </w:rPr>
        <w:t xml:space="preserve"> Stores Ltd.</w:t>
      </w:r>
      <w:r w:rsidRPr="00E96209">
        <w:rPr>
          <w:szCs w:val="24"/>
          <w:lang w:val="fr-CA"/>
        </w:rPr>
        <w:t xml:space="preserve">, [1987] 1 </w:t>
      </w:r>
      <w:r w:rsidRPr="00E96209">
        <w:rPr>
          <w:lang w:val="fr-CA"/>
        </w:rPr>
        <w:t xml:space="preserve">R.C.S. </w:t>
      </w:r>
      <w:r w:rsidRPr="00E96209">
        <w:rPr>
          <w:szCs w:val="24"/>
          <w:lang w:val="fr-CA"/>
        </w:rPr>
        <w:t xml:space="preserve">110; </w:t>
      </w:r>
      <w:r w:rsidRPr="00E96209">
        <w:rPr>
          <w:i/>
          <w:szCs w:val="24"/>
          <w:lang w:val="fr-CA"/>
        </w:rPr>
        <w:t>Harper c. Canada (Procureur général)</w:t>
      </w:r>
      <w:r w:rsidRPr="00E96209">
        <w:rPr>
          <w:szCs w:val="24"/>
          <w:lang w:val="fr-CA"/>
        </w:rPr>
        <w:t xml:space="preserve">, 2000 CSC 57, [2000] 2 </w:t>
      </w:r>
      <w:r w:rsidRPr="00E96209">
        <w:rPr>
          <w:lang w:val="fr-CA"/>
        </w:rPr>
        <w:t xml:space="preserve">R.C.S. </w:t>
      </w:r>
      <w:r w:rsidRPr="00E96209">
        <w:rPr>
          <w:szCs w:val="24"/>
          <w:lang w:val="fr-CA"/>
        </w:rPr>
        <w:t xml:space="preserve">764; </w:t>
      </w:r>
      <w:r w:rsidRPr="00E96209">
        <w:rPr>
          <w:i/>
          <w:lang w:val="fr-CA"/>
        </w:rPr>
        <w:t>Renvoi relatif à la réglementation pancanadienne des valeurs mobilières</w:t>
      </w:r>
      <w:r w:rsidRPr="00E96209">
        <w:rPr>
          <w:lang w:val="fr-CA"/>
        </w:rPr>
        <w:t xml:space="preserve">, 2018 CSC 48, [2018] 3 R.C.S. 189; </w:t>
      </w:r>
      <w:r w:rsidRPr="00E96209">
        <w:rPr>
          <w:i/>
          <w:lang w:val="fr-CA"/>
        </w:rPr>
        <w:t>Renvoi relatif à la sécession du Québec</w:t>
      </w:r>
      <w:r w:rsidRPr="00E96209">
        <w:rPr>
          <w:lang w:val="fr-CA"/>
        </w:rPr>
        <w:t xml:space="preserve">, [1998] 2 R.C.S. 217; </w:t>
      </w:r>
      <w:r w:rsidRPr="00E96209">
        <w:rPr>
          <w:i/>
          <w:lang w:val="fr-CA"/>
        </w:rPr>
        <w:t xml:space="preserve">Hunter c. </w:t>
      </w:r>
      <w:proofErr w:type="spellStart"/>
      <w:r w:rsidRPr="00E96209">
        <w:rPr>
          <w:i/>
          <w:lang w:val="fr-CA"/>
        </w:rPr>
        <w:t>Southam</w:t>
      </w:r>
      <w:proofErr w:type="spellEnd"/>
      <w:r w:rsidRPr="00E96209">
        <w:rPr>
          <w:i/>
          <w:lang w:val="fr-CA"/>
        </w:rPr>
        <w:t xml:space="preserve"> Inc.</w:t>
      </w:r>
      <w:r w:rsidRPr="00E96209">
        <w:rPr>
          <w:lang w:val="fr-CA"/>
        </w:rPr>
        <w:t xml:space="preserve">, [1984] 2 R.C.S. 145; </w:t>
      </w:r>
      <w:r w:rsidRPr="00E96209">
        <w:rPr>
          <w:i/>
          <w:lang w:val="fr-CA"/>
        </w:rPr>
        <w:t>Doucet</w:t>
      </w:r>
      <w:r w:rsidR="00E96209">
        <w:rPr>
          <w:i/>
          <w:lang w:val="fr-CA"/>
        </w:rPr>
        <w:noBreakHyphen/>
      </w:r>
      <w:r w:rsidRPr="00E96209">
        <w:rPr>
          <w:i/>
          <w:lang w:val="fr-CA"/>
        </w:rPr>
        <w:t>Boudreau c. Nouvelle</w:t>
      </w:r>
      <w:r w:rsidR="00E96209">
        <w:rPr>
          <w:i/>
          <w:lang w:val="fr-CA"/>
        </w:rPr>
        <w:noBreakHyphen/>
      </w:r>
      <w:r w:rsidRPr="00E96209">
        <w:rPr>
          <w:i/>
          <w:lang w:val="fr-CA"/>
        </w:rPr>
        <w:t>Écosse (Ministre de l’Éducation)</w:t>
      </w:r>
      <w:r w:rsidRPr="00E96209">
        <w:rPr>
          <w:lang w:val="fr-CA"/>
        </w:rPr>
        <w:t xml:space="preserve">, 2003 CSC 62, [2003] 3 R.C.S. 3; </w:t>
      </w:r>
      <w:proofErr w:type="spellStart"/>
      <w:r w:rsidRPr="00E96209">
        <w:rPr>
          <w:i/>
          <w:lang w:val="fr-CA"/>
        </w:rPr>
        <w:t>Marbury</w:t>
      </w:r>
      <w:proofErr w:type="spellEnd"/>
      <w:r w:rsidRPr="00E96209">
        <w:rPr>
          <w:i/>
          <w:lang w:val="fr-CA"/>
        </w:rPr>
        <w:t xml:space="preserve"> c. Madison</w:t>
      </w:r>
      <w:r w:rsidRPr="00E96209">
        <w:rPr>
          <w:lang w:val="fr-CA"/>
        </w:rPr>
        <w:t xml:space="preserve">, 5 U.S. (1 </w:t>
      </w:r>
      <w:proofErr w:type="spellStart"/>
      <w:r w:rsidRPr="00E96209">
        <w:rPr>
          <w:lang w:val="fr-CA"/>
        </w:rPr>
        <w:t>Cranch</w:t>
      </w:r>
      <w:proofErr w:type="spellEnd"/>
      <w:r w:rsidRPr="00E96209">
        <w:rPr>
          <w:lang w:val="fr-CA"/>
        </w:rPr>
        <w:t xml:space="preserve">) 137 (1803); </w:t>
      </w:r>
      <w:r w:rsidRPr="00E96209">
        <w:rPr>
          <w:i/>
          <w:lang w:val="fr-CA"/>
        </w:rPr>
        <w:t xml:space="preserve">R. c. </w:t>
      </w:r>
      <w:proofErr w:type="spellStart"/>
      <w:r w:rsidRPr="00E96209">
        <w:rPr>
          <w:i/>
          <w:lang w:val="fr-CA"/>
        </w:rPr>
        <w:t>Big</w:t>
      </w:r>
      <w:proofErr w:type="spellEnd"/>
      <w:r w:rsidRPr="00E96209">
        <w:rPr>
          <w:i/>
          <w:lang w:val="fr-CA"/>
        </w:rPr>
        <w:t xml:space="preserve"> M Drug </w:t>
      </w:r>
      <w:proofErr w:type="spellStart"/>
      <w:r w:rsidRPr="00E96209">
        <w:rPr>
          <w:i/>
          <w:lang w:val="fr-CA"/>
        </w:rPr>
        <w:t>Mart</w:t>
      </w:r>
      <w:proofErr w:type="spellEnd"/>
      <w:r w:rsidRPr="00E96209">
        <w:rPr>
          <w:i/>
          <w:lang w:val="fr-CA"/>
        </w:rPr>
        <w:t xml:space="preserve"> Ltd.</w:t>
      </w:r>
      <w:r w:rsidRPr="00E96209">
        <w:rPr>
          <w:lang w:val="fr-CA"/>
        </w:rPr>
        <w:t xml:space="preserve">, [1985] 1 R.C.S. 295; </w:t>
      </w:r>
      <w:r w:rsidRPr="00E96209">
        <w:rPr>
          <w:i/>
          <w:lang w:val="fr-CA"/>
        </w:rPr>
        <w:t>Carter c. Canada (Procureur général)</w:t>
      </w:r>
      <w:r w:rsidRPr="00E96209">
        <w:rPr>
          <w:lang w:val="fr-CA"/>
        </w:rPr>
        <w:t xml:space="preserve">, 2015 CSC 5, [2015] 1 R.C.S. 331; </w:t>
      </w:r>
      <w:r w:rsidRPr="00E96209">
        <w:rPr>
          <w:i/>
          <w:lang w:val="fr-CA"/>
        </w:rPr>
        <w:t>R. c. Sharpe</w:t>
      </w:r>
      <w:r w:rsidRPr="00E96209">
        <w:rPr>
          <w:lang w:val="fr-CA"/>
        </w:rPr>
        <w:t xml:space="preserve">, 2001 CSC 2, [2001] 1 R.C.S. 45; </w:t>
      </w:r>
      <w:r w:rsidRPr="00E96209">
        <w:rPr>
          <w:i/>
          <w:lang w:val="fr-CA"/>
        </w:rPr>
        <w:t xml:space="preserve">R. c. </w:t>
      </w:r>
      <w:proofErr w:type="spellStart"/>
      <w:r w:rsidRPr="00E96209">
        <w:rPr>
          <w:i/>
          <w:lang w:val="fr-CA"/>
        </w:rPr>
        <w:t>Barabash</w:t>
      </w:r>
      <w:proofErr w:type="spellEnd"/>
      <w:r w:rsidRPr="00E96209">
        <w:rPr>
          <w:lang w:val="fr-CA"/>
        </w:rPr>
        <w:t xml:space="preserve">, 2015 CSC 29, [2015] 2 R.C.S. 522; </w:t>
      </w:r>
      <w:r w:rsidRPr="00E96209">
        <w:rPr>
          <w:i/>
          <w:lang w:val="fr-CA"/>
        </w:rPr>
        <w:t xml:space="preserve">R. c. </w:t>
      </w:r>
      <w:proofErr w:type="spellStart"/>
      <w:r w:rsidRPr="00E96209">
        <w:rPr>
          <w:i/>
          <w:lang w:val="fr-CA"/>
        </w:rPr>
        <w:t>Appulonappa</w:t>
      </w:r>
      <w:proofErr w:type="spellEnd"/>
      <w:r w:rsidRPr="00E96209">
        <w:rPr>
          <w:lang w:val="fr-CA"/>
        </w:rPr>
        <w:t xml:space="preserve">, 2015 CSC 59, [2015] 3 R.C.S. 754; </w:t>
      </w:r>
      <w:r w:rsidRPr="00E96209">
        <w:rPr>
          <w:i/>
          <w:lang w:val="fr-CA"/>
        </w:rPr>
        <w:t xml:space="preserve">R. c. </w:t>
      </w:r>
      <w:proofErr w:type="spellStart"/>
      <w:r w:rsidRPr="00E96209">
        <w:rPr>
          <w:i/>
          <w:lang w:val="fr-CA"/>
        </w:rPr>
        <w:t>Rajaratnam</w:t>
      </w:r>
      <w:proofErr w:type="spellEnd"/>
      <w:r w:rsidRPr="00E96209">
        <w:rPr>
          <w:lang w:val="fr-CA"/>
        </w:rPr>
        <w:t xml:space="preserve">, 2019 </w:t>
      </w:r>
      <w:proofErr w:type="spellStart"/>
      <w:r w:rsidRPr="00E96209">
        <w:rPr>
          <w:lang w:val="fr-CA"/>
        </w:rPr>
        <w:t>BCCA</w:t>
      </w:r>
      <w:proofErr w:type="spellEnd"/>
      <w:r w:rsidRPr="00E96209">
        <w:rPr>
          <w:lang w:val="fr-CA"/>
        </w:rPr>
        <w:t xml:space="preserve"> 209, 376 C.C.C. (3d) 181; </w:t>
      </w:r>
      <w:r w:rsidRPr="00E96209">
        <w:rPr>
          <w:i/>
          <w:lang w:val="fr-CA"/>
        </w:rPr>
        <w:t>R. c. Smith</w:t>
      </w:r>
      <w:r w:rsidRPr="00E96209">
        <w:rPr>
          <w:lang w:val="fr-CA"/>
        </w:rPr>
        <w:t xml:space="preserve">, 2015 CSC 34, [2015] 2 R.C.S. 602; </w:t>
      </w:r>
      <w:r w:rsidRPr="00E96209">
        <w:rPr>
          <w:i/>
          <w:lang w:val="fr-CA"/>
        </w:rPr>
        <w:t xml:space="preserve">Saskatchewan </w:t>
      </w:r>
      <w:proofErr w:type="spellStart"/>
      <w:r w:rsidRPr="00E96209">
        <w:rPr>
          <w:i/>
          <w:lang w:val="fr-CA"/>
        </w:rPr>
        <w:t>Federation</w:t>
      </w:r>
      <w:proofErr w:type="spellEnd"/>
      <w:r w:rsidRPr="00E96209">
        <w:rPr>
          <w:i/>
          <w:lang w:val="fr-CA"/>
        </w:rPr>
        <w:t xml:space="preserve"> of Labour c. Saskatchewan</w:t>
      </w:r>
      <w:r w:rsidRPr="00E96209">
        <w:rPr>
          <w:lang w:val="fr-CA"/>
        </w:rPr>
        <w:t>,</w:t>
      </w:r>
      <w:r w:rsidR="007B4C21" w:rsidRPr="00E96209">
        <w:rPr>
          <w:lang w:val="fr-CA"/>
        </w:rPr>
        <w:t xml:space="preserve"> 2015 CSC 4, [2015] 1 R.C.S. 245</w:t>
      </w:r>
      <w:r w:rsidRPr="00E96209">
        <w:rPr>
          <w:lang w:val="fr-CA"/>
        </w:rPr>
        <w:t xml:space="preserve">; </w:t>
      </w:r>
      <w:r w:rsidRPr="00E96209">
        <w:rPr>
          <w:i/>
          <w:lang w:val="fr-CA"/>
        </w:rPr>
        <w:t xml:space="preserve">Alberta (Information and </w:t>
      </w:r>
      <w:proofErr w:type="spellStart"/>
      <w:r w:rsidRPr="00E96209">
        <w:rPr>
          <w:i/>
          <w:lang w:val="fr-CA"/>
        </w:rPr>
        <w:t>Privacy</w:t>
      </w:r>
      <w:proofErr w:type="spellEnd"/>
      <w:r w:rsidRPr="00E96209">
        <w:rPr>
          <w:i/>
          <w:lang w:val="fr-CA"/>
        </w:rPr>
        <w:t xml:space="preserve"> </w:t>
      </w:r>
      <w:proofErr w:type="spellStart"/>
      <w:r w:rsidRPr="00E96209">
        <w:rPr>
          <w:i/>
          <w:lang w:val="fr-CA"/>
        </w:rPr>
        <w:t>Commissioner</w:t>
      </w:r>
      <w:proofErr w:type="spellEnd"/>
      <w:r w:rsidRPr="00E96209">
        <w:rPr>
          <w:i/>
          <w:lang w:val="fr-CA"/>
        </w:rPr>
        <w:t>) c. Travailleurs et travailleuses unis de l’alimentation et du commerce, section locale 401</w:t>
      </w:r>
      <w:r w:rsidRPr="00E96209">
        <w:rPr>
          <w:lang w:val="fr-CA"/>
        </w:rPr>
        <w:t xml:space="preserve">, 2013 CSC 62, [2013] 3 R.C.S. 733; </w:t>
      </w:r>
      <w:proofErr w:type="spellStart"/>
      <w:r w:rsidRPr="00E96209">
        <w:rPr>
          <w:i/>
          <w:lang w:val="fr-CA"/>
        </w:rPr>
        <w:t>Mackin</w:t>
      </w:r>
      <w:proofErr w:type="spellEnd"/>
      <w:r w:rsidRPr="00E96209">
        <w:rPr>
          <w:i/>
          <w:lang w:val="fr-CA"/>
        </w:rPr>
        <w:t xml:space="preserve"> c. Nouveau</w:t>
      </w:r>
      <w:r w:rsidR="00E96209">
        <w:rPr>
          <w:i/>
          <w:lang w:val="fr-CA"/>
        </w:rPr>
        <w:noBreakHyphen/>
      </w:r>
      <w:r w:rsidRPr="00E96209">
        <w:rPr>
          <w:i/>
          <w:lang w:val="fr-CA"/>
        </w:rPr>
        <w:t>Brunswick (Ministre des Finances)</w:t>
      </w:r>
      <w:r w:rsidRPr="00E96209">
        <w:rPr>
          <w:lang w:val="fr-CA"/>
        </w:rPr>
        <w:t xml:space="preserve">, 2002 CSC 13, [2002] 1 R.C.S. 405; </w:t>
      </w:r>
      <w:r w:rsidRPr="00E96209">
        <w:rPr>
          <w:i/>
          <w:lang w:val="fr-CA"/>
        </w:rPr>
        <w:t>Ramsden c. Peterborough (Ville)</w:t>
      </w:r>
      <w:r w:rsidRPr="00E96209">
        <w:rPr>
          <w:lang w:val="fr-CA"/>
        </w:rPr>
        <w:t xml:space="preserve">, [1993] 2 R.C.S. 1084; </w:t>
      </w:r>
      <w:r w:rsidRPr="00E96209">
        <w:rPr>
          <w:i/>
          <w:lang w:val="fr-CA"/>
        </w:rPr>
        <w:t>R. c. Généreux</w:t>
      </w:r>
      <w:r w:rsidRPr="00E96209">
        <w:rPr>
          <w:lang w:val="fr-CA"/>
        </w:rPr>
        <w:t xml:space="preserve">, [1992] 1 R.C.S. 259; </w:t>
      </w:r>
      <w:r w:rsidRPr="00E96209">
        <w:rPr>
          <w:i/>
          <w:lang w:val="fr-CA"/>
        </w:rPr>
        <w:t>Attorney</w:t>
      </w:r>
      <w:r w:rsidR="00E96209">
        <w:rPr>
          <w:i/>
          <w:lang w:val="fr-CA"/>
        </w:rPr>
        <w:noBreakHyphen/>
      </w:r>
      <w:r w:rsidRPr="00E96209">
        <w:rPr>
          <w:i/>
          <w:lang w:val="fr-CA"/>
        </w:rPr>
        <w:t>General c. Taylor</w:t>
      </w:r>
      <w:r w:rsidRPr="00E96209">
        <w:rPr>
          <w:lang w:val="fr-CA"/>
        </w:rPr>
        <w:t xml:space="preserve">, [2018] NZSC 104, [2019] 1 N.Z.L.R. 213; </w:t>
      </w:r>
      <w:r w:rsidRPr="00E96209">
        <w:rPr>
          <w:i/>
          <w:lang w:val="fr-CA"/>
        </w:rPr>
        <w:t>Attorney</w:t>
      </w:r>
      <w:r w:rsidR="00E96209">
        <w:rPr>
          <w:i/>
          <w:lang w:val="fr-CA"/>
        </w:rPr>
        <w:noBreakHyphen/>
      </w:r>
      <w:r w:rsidRPr="00E96209">
        <w:rPr>
          <w:i/>
          <w:lang w:val="fr-CA"/>
        </w:rPr>
        <w:t>General for Alberta c. Attorney</w:t>
      </w:r>
      <w:r w:rsidR="00E96209">
        <w:rPr>
          <w:i/>
          <w:lang w:val="fr-CA"/>
        </w:rPr>
        <w:noBreakHyphen/>
      </w:r>
      <w:r w:rsidRPr="00E96209">
        <w:rPr>
          <w:i/>
          <w:lang w:val="fr-CA"/>
        </w:rPr>
        <w:t>General for Canada</w:t>
      </w:r>
      <w:r w:rsidRPr="00E96209">
        <w:rPr>
          <w:lang w:val="fr-CA"/>
        </w:rPr>
        <w:t xml:space="preserve">, [1947] A.C. 503; </w:t>
      </w:r>
      <w:r w:rsidRPr="00E96209">
        <w:rPr>
          <w:i/>
          <w:lang w:val="fr-CA"/>
        </w:rPr>
        <w:t>R. c. Hall</w:t>
      </w:r>
      <w:r w:rsidRPr="00E96209">
        <w:rPr>
          <w:lang w:val="fr-CA"/>
        </w:rPr>
        <w:t xml:space="preserve">, 2002 CSC 64, [2002] 3 R.C.S. 309; </w:t>
      </w:r>
      <w:r w:rsidRPr="00E96209">
        <w:rPr>
          <w:i/>
          <w:lang w:val="fr-CA"/>
        </w:rPr>
        <w:t>Frank c. Canada (Procureur général)</w:t>
      </w:r>
      <w:r w:rsidRPr="00E96209">
        <w:rPr>
          <w:lang w:val="fr-CA"/>
        </w:rPr>
        <w:t xml:space="preserve">, 2019 CSC 1, [2019] 1 R.C.S. 3; </w:t>
      </w:r>
      <w:r w:rsidRPr="00E96209">
        <w:rPr>
          <w:i/>
          <w:lang w:val="fr-CA"/>
        </w:rPr>
        <w:t>R. c. K.R.J.</w:t>
      </w:r>
      <w:r w:rsidRPr="00E96209">
        <w:rPr>
          <w:lang w:val="fr-CA"/>
        </w:rPr>
        <w:t xml:space="preserve">, 2016 CSC 31, [2016] 1 R.C.S. 906; </w:t>
      </w:r>
      <w:r w:rsidRPr="00E96209">
        <w:rPr>
          <w:i/>
          <w:lang w:val="fr-CA"/>
        </w:rPr>
        <w:t>Canada (Procureur général) c. Fédération des ordres professionnels de juristes du Canada</w:t>
      </w:r>
      <w:r w:rsidRPr="00E96209">
        <w:rPr>
          <w:lang w:val="fr-CA"/>
        </w:rPr>
        <w:t xml:space="preserve">, 2015 CSC 7, [2015] 1 R.C.S. 401; </w:t>
      </w:r>
      <w:r w:rsidRPr="00E96209">
        <w:rPr>
          <w:i/>
          <w:lang w:val="fr-CA"/>
        </w:rPr>
        <w:t>Canada (Procureur général) c. Bedford</w:t>
      </w:r>
      <w:r w:rsidRPr="00E96209">
        <w:rPr>
          <w:lang w:val="fr-CA"/>
        </w:rPr>
        <w:t>, 2</w:t>
      </w:r>
      <w:r w:rsidR="007673C5">
        <w:rPr>
          <w:lang w:val="fr-CA"/>
        </w:rPr>
        <w:t>013 CSC 72, [2013] 3 R.C.S. 1101</w:t>
      </w:r>
      <w:r w:rsidRPr="00E96209">
        <w:rPr>
          <w:lang w:val="fr-CA"/>
        </w:rPr>
        <w:t xml:space="preserve">; </w:t>
      </w:r>
      <w:r w:rsidRPr="00E96209">
        <w:rPr>
          <w:i/>
          <w:lang w:val="fr-CA"/>
        </w:rPr>
        <w:t>Saskatchewan (</w:t>
      </w:r>
      <w:proofErr w:type="spellStart"/>
      <w:r w:rsidRPr="00E96209">
        <w:rPr>
          <w:i/>
          <w:lang w:val="fr-CA"/>
        </w:rPr>
        <w:t>Human</w:t>
      </w:r>
      <w:proofErr w:type="spellEnd"/>
      <w:r w:rsidRPr="00E96209">
        <w:rPr>
          <w:i/>
          <w:lang w:val="fr-CA"/>
        </w:rPr>
        <w:t xml:space="preserve"> </w:t>
      </w:r>
      <w:proofErr w:type="spellStart"/>
      <w:r w:rsidRPr="00E96209">
        <w:rPr>
          <w:i/>
          <w:lang w:val="fr-CA"/>
        </w:rPr>
        <w:t>Rights</w:t>
      </w:r>
      <w:proofErr w:type="spellEnd"/>
      <w:r w:rsidRPr="00E96209">
        <w:rPr>
          <w:i/>
          <w:lang w:val="fr-CA"/>
        </w:rPr>
        <w:t xml:space="preserve"> Commission) c. </w:t>
      </w:r>
      <w:proofErr w:type="spellStart"/>
      <w:r w:rsidRPr="00E96209">
        <w:rPr>
          <w:i/>
          <w:lang w:val="fr-CA"/>
        </w:rPr>
        <w:t>Whatcott</w:t>
      </w:r>
      <w:proofErr w:type="spellEnd"/>
      <w:r w:rsidRPr="00E96209">
        <w:rPr>
          <w:lang w:val="fr-CA"/>
        </w:rPr>
        <w:t xml:space="preserve">, 2013 CSC 11, [2013] 1 R.C.S. 467; </w:t>
      </w:r>
      <w:proofErr w:type="spellStart"/>
      <w:r w:rsidRPr="00E96209">
        <w:rPr>
          <w:i/>
          <w:lang w:val="fr-CA"/>
        </w:rPr>
        <w:t>Charkaoui</w:t>
      </w:r>
      <w:proofErr w:type="spellEnd"/>
      <w:r w:rsidRPr="00E96209">
        <w:rPr>
          <w:i/>
          <w:lang w:val="fr-CA"/>
        </w:rPr>
        <w:t xml:space="preserve"> c. Canada (Citoyenneté et Immigration)</w:t>
      </w:r>
      <w:r w:rsidRPr="00E96209">
        <w:rPr>
          <w:lang w:val="fr-CA"/>
        </w:rPr>
        <w:t xml:space="preserve">, 2007 CSC 9, [2007] 1 R.C.S. 350; </w:t>
      </w:r>
      <w:proofErr w:type="spellStart"/>
      <w:r w:rsidRPr="00E96209">
        <w:rPr>
          <w:i/>
          <w:lang w:val="fr-CA"/>
        </w:rPr>
        <w:t>Dunmore</w:t>
      </w:r>
      <w:proofErr w:type="spellEnd"/>
      <w:r w:rsidRPr="00E96209">
        <w:rPr>
          <w:i/>
          <w:lang w:val="fr-CA"/>
        </w:rPr>
        <w:t xml:space="preserve"> c. Ontario (Procureur général)</w:t>
      </w:r>
      <w:r w:rsidRPr="00E96209">
        <w:rPr>
          <w:lang w:val="fr-CA"/>
        </w:rPr>
        <w:t xml:space="preserve">, 2001 CSC 94, [2001] 3 R.C.S. 1016; </w:t>
      </w:r>
      <w:r w:rsidRPr="00E96209">
        <w:rPr>
          <w:i/>
          <w:lang w:val="fr-CA"/>
        </w:rPr>
        <w:t xml:space="preserve">R. c. </w:t>
      </w:r>
      <w:proofErr w:type="spellStart"/>
      <w:r w:rsidRPr="00E96209">
        <w:rPr>
          <w:i/>
          <w:lang w:val="fr-CA"/>
        </w:rPr>
        <w:t>Ruzic</w:t>
      </w:r>
      <w:proofErr w:type="spellEnd"/>
      <w:r w:rsidRPr="00E96209">
        <w:rPr>
          <w:lang w:val="fr-CA"/>
        </w:rPr>
        <w:t xml:space="preserve">, 2001 CSC 24, [2001] 1 R.C.S. 687; </w:t>
      </w:r>
      <w:proofErr w:type="spellStart"/>
      <w:r w:rsidRPr="00E96209">
        <w:rPr>
          <w:i/>
          <w:lang w:val="fr-CA"/>
        </w:rPr>
        <w:t>Little</w:t>
      </w:r>
      <w:proofErr w:type="spellEnd"/>
      <w:r w:rsidRPr="00E96209">
        <w:rPr>
          <w:i/>
          <w:lang w:val="fr-CA"/>
        </w:rPr>
        <w:t xml:space="preserve"> Sisters Book and Art Emporium c. Canada (Ministre de la Justice)</w:t>
      </w:r>
      <w:r w:rsidRPr="00E96209">
        <w:rPr>
          <w:lang w:val="fr-CA"/>
        </w:rPr>
        <w:t xml:space="preserve">, 2000 CSC 69, [2000] 2 R.C.S. 1120; </w:t>
      </w:r>
      <w:proofErr w:type="spellStart"/>
      <w:r w:rsidRPr="00E96209">
        <w:rPr>
          <w:i/>
          <w:lang w:val="fr-CA"/>
        </w:rPr>
        <w:t>Corbiere</w:t>
      </w:r>
      <w:proofErr w:type="spellEnd"/>
      <w:r w:rsidRPr="00E96209">
        <w:rPr>
          <w:i/>
          <w:lang w:val="fr-CA"/>
        </w:rPr>
        <w:t xml:space="preserve"> c. Canada (Ministre des Affaires indiennes et du Nord canadien)</w:t>
      </w:r>
      <w:r w:rsidRPr="00E96209">
        <w:rPr>
          <w:lang w:val="fr-CA"/>
        </w:rPr>
        <w:t xml:space="preserve">, [1999] 2 R.C.S. 203; </w:t>
      </w:r>
      <w:r w:rsidRPr="00E96209">
        <w:rPr>
          <w:i/>
          <w:lang w:val="fr-CA"/>
        </w:rPr>
        <w:t>Renvoi relatif à la rémunération des juges de la Cour provinciale de l’Île</w:t>
      </w:r>
      <w:r w:rsidR="00E96209">
        <w:rPr>
          <w:i/>
          <w:lang w:val="fr-CA"/>
        </w:rPr>
        <w:noBreakHyphen/>
      </w:r>
      <w:r w:rsidRPr="00E96209">
        <w:rPr>
          <w:i/>
          <w:lang w:val="fr-CA"/>
        </w:rPr>
        <w:t>du</w:t>
      </w:r>
      <w:r w:rsidR="00E96209">
        <w:rPr>
          <w:i/>
          <w:lang w:val="fr-CA"/>
        </w:rPr>
        <w:noBreakHyphen/>
      </w:r>
      <w:r w:rsidRPr="00E96209">
        <w:rPr>
          <w:i/>
          <w:lang w:val="fr-CA"/>
        </w:rPr>
        <w:t>Prince</w:t>
      </w:r>
      <w:r w:rsidR="00E96209">
        <w:rPr>
          <w:i/>
          <w:lang w:val="fr-CA"/>
        </w:rPr>
        <w:noBreakHyphen/>
      </w:r>
      <w:r w:rsidRPr="00E96209">
        <w:rPr>
          <w:i/>
          <w:lang w:val="fr-CA"/>
        </w:rPr>
        <w:t>Édouard</w:t>
      </w:r>
      <w:r w:rsidRPr="00E96209">
        <w:rPr>
          <w:lang w:val="fr-CA"/>
        </w:rPr>
        <w:t xml:space="preserve">, [1997] 3 R.C.S. 3; </w:t>
      </w:r>
      <w:r w:rsidRPr="00E96209">
        <w:rPr>
          <w:i/>
          <w:lang w:val="fr-CA"/>
        </w:rPr>
        <w:t>Benner c. Canada (Secrétaire d’État)</w:t>
      </w:r>
      <w:r w:rsidRPr="00E96209">
        <w:rPr>
          <w:lang w:val="fr-CA"/>
        </w:rPr>
        <w:t xml:space="preserve">, [1997] 1 R.C.S. 358; </w:t>
      </w:r>
      <w:r w:rsidRPr="00E96209">
        <w:rPr>
          <w:i/>
          <w:lang w:val="fr-CA"/>
        </w:rPr>
        <w:t>Miron c. Trudel</w:t>
      </w:r>
      <w:r w:rsidRPr="00E96209">
        <w:rPr>
          <w:lang w:val="fr-CA"/>
        </w:rPr>
        <w:t xml:space="preserve">, [1995] 2 R.C.S. 418; </w:t>
      </w:r>
      <w:r w:rsidRPr="00E96209">
        <w:rPr>
          <w:i/>
          <w:lang w:val="fr-CA"/>
        </w:rPr>
        <w:t xml:space="preserve">R. c. </w:t>
      </w:r>
      <w:proofErr w:type="spellStart"/>
      <w:r w:rsidRPr="00E96209">
        <w:rPr>
          <w:i/>
          <w:lang w:val="fr-CA"/>
        </w:rPr>
        <w:t>Laba</w:t>
      </w:r>
      <w:proofErr w:type="spellEnd"/>
      <w:r w:rsidRPr="00E96209">
        <w:rPr>
          <w:lang w:val="fr-CA"/>
        </w:rPr>
        <w:t xml:space="preserve">, [1994] 3 </w:t>
      </w:r>
      <w:proofErr w:type="spellStart"/>
      <w:r w:rsidRPr="00E96209">
        <w:rPr>
          <w:lang w:val="fr-CA"/>
        </w:rPr>
        <w:t>R.C.S</w:t>
      </w:r>
      <w:proofErr w:type="spellEnd"/>
      <w:r w:rsidRPr="00E96209">
        <w:rPr>
          <w:lang w:val="fr-CA"/>
        </w:rPr>
        <w:t xml:space="preserve">. 965; </w:t>
      </w:r>
      <w:r w:rsidRPr="00E96209">
        <w:rPr>
          <w:i/>
          <w:lang w:val="fr-CA"/>
        </w:rPr>
        <w:t>R. c. Grant</w:t>
      </w:r>
      <w:r w:rsidRPr="00E96209">
        <w:rPr>
          <w:lang w:val="fr-CA"/>
        </w:rPr>
        <w:t xml:space="preserve">, [1993] 3 R.C.S. 223; </w:t>
      </w:r>
      <w:r w:rsidRPr="00E96209">
        <w:rPr>
          <w:i/>
          <w:lang w:val="fr-CA"/>
        </w:rPr>
        <w:t>R. c. Morales</w:t>
      </w:r>
      <w:r w:rsidRPr="00E96209">
        <w:rPr>
          <w:lang w:val="fr-CA"/>
        </w:rPr>
        <w:t xml:space="preserve">, [1992] 3 R.C.S. 711; </w:t>
      </w:r>
      <w:r w:rsidRPr="00E96209">
        <w:rPr>
          <w:i/>
          <w:lang w:val="fr-CA"/>
        </w:rPr>
        <w:t>R. c. Hess</w:t>
      </w:r>
      <w:r w:rsidRPr="00E96209">
        <w:rPr>
          <w:lang w:val="fr-CA"/>
        </w:rPr>
        <w:t xml:space="preserve">, [1990] 2 R.C.S. 906; </w:t>
      </w:r>
      <w:r w:rsidRPr="00E96209">
        <w:rPr>
          <w:i/>
          <w:lang w:val="fr-CA"/>
        </w:rPr>
        <w:t xml:space="preserve">Procureur général du Québec c. </w:t>
      </w:r>
      <w:proofErr w:type="spellStart"/>
      <w:r w:rsidRPr="00E96209">
        <w:rPr>
          <w:i/>
          <w:lang w:val="fr-CA"/>
        </w:rPr>
        <w:t>Quebec</w:t>
      </w:r>
      <w:proofErr w:type="spellEnd"/>
      <w:r w:rsidRPr="00E96209">
        <w:rPr>
          <w:i/>
          <w:lang w:val="fr-CA"/>
        </w:rPr>
        <w:t xml:space="preserve"> Association of Protestant </w:t>
      </w:r>
      <w:proofErr w:type="spellStart"/>
      <w:r w:rsidRPr="00E96209">
        <w:rPr>
          <w:i/>
          <w:lang w:val="fr-CA"/>
        </w:rPr>
        <w:t>School</w:t>
      </w:r>
      <w:proofErr w:type="spellEnd"/>
      <w:r w:rsidRPr="00E96209">
        <w:rPr>
          <w:i/>
          <w:lang w:val="fr-CA"/>
        </w:rPr>
        <w:t xml:space="preserve"> </w:t>
      </w:r>
      <w:proofErr w:type="spellStart"/>
      <w:r w:rsidRPr="00E96209">
        <w:rPr>
          <w:i/>
          <w:lang w:val="fr-CA"/>
        </w:rPr>
        <w:t>Boards</w:t>
      </w:r>
      <w:proofErr w:type="spellEnd"/>
      <w:r w:rsidRPr="00E96209">
        <w:rPr>
          <w:lang w:val="fr-CA"/>
        </w:rPr>
        <w:t xml:space="preserve">, [1984] 2 R.C.S. 66; </w:t>
      </w:r>
      <w:r w:rsidRPr="00E96209">
        <w:rPr>
          <w:i/>
          <w:lang w:val="fr-CA"/>
        </w:rPr>
        <w:t>R. c. Morrison</w:t>
      </w:r>
      <w:r w:rsidRPr="00E96209">
        <w:rPr>
          <w:lang w:val="fr-CA"/>
        </w:rPr>
        <w:t xml:space="preserve">, 2019 CSC 15, [2019] 2 R.C.S. 3; </w:t>
      </w:r>
      <w:r w:rsidRPr="00E96209">
        <w:rPr>
          <w:i/>
          <w:lang w:val="fr-CA"/>
        </w:rPr>
        <w:t xml:space="preserve">R. c. </w:t>
      </w:r>
      <w:proofErr w:type="spellStart"/>
      <w:r w:rsidRPr="00E96209">
        <w:rPr>
          <w:i/>
          <w:lang w:val="fr-CA"/>
        </w:rPr>
        <w:t>Boudreault</w:t>
      </w:r>
      <w:proofErr w:type="spellEnd"/>
      <w:r w:rsidRPr="00E96209">
        <w:rPr>
          <w:lang w:val="fr-CA"/>
        </w:rPr>
        <w:t xml:space="preserve">, 2018 CSC 58, [2018] 3 R.C.S. 599; </w:t>
      </w:r>
      <w:r w:rsidRPr="00E96209">
        <w:rPr>
          <w:i/>
          <w:lang w:val="fr-CA"/>
        </w:rPr>
        <w:t>Conférence des juges de paix magistrats du Québec c. Québec (Procureure générale)</w:t>
      </w:r>
      <w:r w:rsidRPr="00E96209">
        <w:rPr>
          <w:lang w:val="fr-CA"/>
        </w:rPr>
        <w:t xml:space="preserve">, 2016 CSC 39, [2016] 2 R.C.S. 116; </w:t>
      </w:r>
      <w:r w:rsidRPr="00E96209">
        <w:rPr>
          <w:i/>
          <w:lang w:val="fr-CA"/>
        </w:rPr>
        <w:t>Canada (Procureur général) c. Chambre des notaires du Québec</w:t>
      </w:r>
      <w:r w:rsidRPr="00E96209">
        <w:rPr>
          <w:lang w:val="fr-CA"/>
        </w:rPr>
        <w:t>, 2016 CSC 20, [2016] 1 R.C.S. 336; </w:t>
      </w:r>
      <w:r w:rsidRPr="00E96209">
        <w:rPr>
          <w:i/>
          <w:lang w:val="fr-CA"/>
        </w:rPr>
        <w:t xml:space="preserve">R. c. </w:t>
      </w:r>
      <w:proofErr w:type="spellStart"/>
      <w:r w:rsidRPr="00E96209">
        <w:rPr>
          <w:i/>
          <w:lang w:val="fr-CA"/>
        </w:rPr>
        <w:t>Safarzadeh</w:t>
      </w:r>
      <w:r w:rsidR="00E96209">
        <w:rPr>
          <w:i/>
          <w:lang w:val="fr-CA"/>
        </w:rPr>
        <w:noBreakHyphen/>
      </w:r>
      <w:r w:rsidRPr="00E96209">
        <w:rPr>
          <w:i/>
          <w:lang w:val="fr-CA"/>
        </w:rPr>
        <w:t>Markhali</w:t>
      </w:r>
      <w:proofErr w:type="spellEnd"/>
      <w:r w:rsidRPr="00E96209">
        <w:rPr>
          <w:lang w:val="fr-CA"/>
        </w:rPr>
        <w:t xml:space="preserve">, 2016 CSC 14, [2016] 1 R.C.S. 180; </w:t>
      </w:r>
      <w:r w:rsidRPr="00E96209">
        <w:rPr>
          <w:i/>
          <w:lang w:val="fr-CA"/>
        </w:rPr>
        <w:t>Association de la police montée de l’Ontario c. Canada (Procureur général)</w:t>
      </w:r>
      <w:r w:rsidRPr="00E96209">
        <w:rPr>
          <w:lang w:val="fr-CA"/>
        </w:rPr>
        <w:t xml:space="preserve">, 2015 CSC 1, [2015] 1 R.C.S. 3; </w:t>
      </w:r>
      <w:r w:rsidRPr="00E96209">
        <w:rPr>
          <w:i/>
          <w:lang w:val="fr-CA"/>
        </w:rPr>
        <w:t xml:space="preserve">Canada (Procureur général) c. </w:t>
      </w:r>
      <w:proofErr w:type="spellStart"/>
      <w:r w:rsidRPr="00E96209">
        <w:rPr>
          <w:i/>
          <w:lang w:val="fr-CA"/>
        </w:rPr>
        <w:t>Whaling</w:t>
      </w:r>
      <w:proofErr w:type="spellEnd"/>
      <w:r w:rsidRPr="00E96209">
        <w:rPr>
          <w:lang w:val="fr-CA"/>
        </w:rPr>
        <w:t xml:space="preserve">, 2014 CSC 20, [2014] 1 R.C.S. 392; </w:t>
      </w:r>
      <w:r w:rsidRPr="00E96209">
        <w:rPr>
          <w:i/>
          <w:lang w:val="fr-CA"/>
        </w:rPr>
        <w:t>R. c. Tse</w:t>
      </w:r>
      <w:r w:rsidRPr="00E96209">
        <w:rPr>
          <w:lang w:val="fr-CA"/>
        </w:rPr>
        <w:t xml:space="preserve">, 2012 CSC 16, [2012] 1 R.C.S. 531; </w:t>
      </w:r>
      <w:r w:rsidR="00946E42" w:rsidRPr="00E96209">
        <w:rPr>
          <w:i/>
          <w:lang w:val="fr-CA"/>
        </w:rPr>
        <w:t>Québec (Éducation, Loisir et</w:t>
      </w:r>
      <w:r w:rsidRPr="00E96209">
        <w:rPr>
          <w:i/>
          <w:lang w:val="fr-CA"/>
        </w:rPr>
        <w:t xml:space="preserve"> Sport) c. Nguyen</w:t>
      </w:r>
      <w:r w:rsidRPr="00E96209">
        <w:rPr>
          <w:lang w:val="fr-CA"/>
        </w:rPr>
        <w:t xml:space="preserve">, 2009 CSC 47, [2009] 3 R.C.S. 208; </w:t>
      </w:r>
      <w:proofErr w:type="spellStart"/>
      <w:r w:rsidRPr="00E96209">
        <w:rPr>
          <w:i/>
          <w:lang w:val="fr-CA"/>
        </w:rPr>
        <w:t>Greater</w:t>
      </w:r>
      <w:proofErr w:type="spellEnd"/>
      <w:r w:rsidRPr="00E96209">
        <w:rPr>
          <w:i/>
          <w:lang w:val="fr-CA"/>
        </w:rPr>
        <w:t xml:space="preserve"> Vancouver Transportation </w:t>
      </w:r>
      <w:proofErr w:type="spellStart"/>
      <w:r w:rsidRPr="00E96209">
        <w:rPr>
          <w:i/>
          <w:lang w:val="fr-CA"/>
        </w:rPr>
        <w:t>Authority</w:t>
      </w:r>
      <w:proofErr w:type="spellEnd"/>
      <w:r w:rsidRPr="00E96209">
        <w:rPr>
          <w:i/>
          <w:lang w:val="fr-CA"/>
        </w:rPr>
        <w:t xml:space="preserve"> c. Fédération canadienne des étudiantes et étudiants — Section Colombie</w:t>
      </w:r>
      <w:r w:rsidR="00E96209">
        <w:rPr>
          <w:i/>
          <w:lang w:val="fr-CA"/>
        </w:rPr>
        <w:noBreakHyphen/>
      </w:r>
      <w:r w:rsidRPr="00E96209">
        <w:rPr>
          <w:i/>
          <w:lang w:val="fr-CA"/>
        </w:rPr>
        <w:t>Britannique</w:t>
      </w:r>
      <w:r w:rsidRPr="00E96209">
        <w:rPr>
          <w:lang w:val="fr-CA"/>
        </w:rPr>
        <w:t xml:space="preserve">, 2009 CSC 31, [2009] 2 R.C.S. 295; </w:t>
      </w:r>
      <w:proofErr w:type="spellStart"/>
      <w:r w:rsidRPr="00E96209">
        <w:rPr>
          <w:i/>
          <w:lang w:val="fr-CA"/>
        </w:rPr>
        <w:t>Health</w:t>
      </w:r>
      <w:proofErr w:type="spellEnd"/>
      <w:r w:rsidRPr="00E96209">
        <w:rPr>
          <w:i/>
          <w:lang w:val="fr-CA"/>
        </w:rPr>
        <w:t xml:space="preserve"> Services and Support — </w:t>
      </w:r>
      <w:proofErr w:type="spellStart"/>
      <w:r w:rsidRPr="00E96209">
        <w:rPr>
          <w:i/>
          <w:lang w:val="fr-CA"/>
        </w:rPr>
        <w:t>Facilities</w:t>
      </w:r>
      <w:proofErr w:type="spellEnd"/>
      <w:r w:rsidRPr="00E96209">
        <w:rPr>
          <w:i/>
          <w:lang w:val="fr-CA"/>
        </w:rPr>
        <w:t xml:space="preserve"> </w:t>
      </w:r>
      <w:proofErr w:type="spellStart"/>
      <w:r w:rsidRPr="00E96209">
        <w:rPr>
          <w:i/>
          <w:lang w:val="fr-CA"/>
        </w:rPr>
        <w:t>Subsector</w:t>
      </w:r>
      <w:proofErr w:type="spellEnd"/>
      <w:r w:rsidRPr="00E96209">
        <w:rPr>
          <w:i/>
          <w:lang w:val="fr-CA"/>
        </w:rPr>
        <w:t xml:space="preserve"> </w:t>
      </w:r>
      <w:proofErr w:type="spellStart"/>
      <w:r w:rsidRPr="00E96209">
        <w:rPr>
          <w:i/>
          <w:lang w:val="fr-CA"/>
        </w:rPr>
        <w:t>Bargaining</w:t>
      </w:r>
      <w:proofErr w:type="spellEnd"/>
      <w:r w:rsidRPr="00E96209">
        <w:rPr>
          <w:i/>
          <w:lang w:val="fr-CA"/>
        </w:rPr>
        <w:t xml:space="preserve"> </w:t>
      </w:r>
      <w:proofErr w:type="spellStart"/>
      <w:r w:rsidRPr="00E96209">
        <w:rPr>
          <w:i/>
          <w:lang w:val="fr-CA"/>
        </w:rPr>
        <w:t>Assn</w:t>
      </w:r>
      <w:proofErr w:type="spellEnd"/>
      <w:r w:rsidRPr="00E96209">
        <w:rPr>
          <w:i/>
          <w:lang w:val="fr-CA"/>
        </w:rPr>
        <w:t>. c. Colombie</w:t>
      </w:r>
      <w:r w:rsidR="00E96209">
        <w:rPr>
          <w:i/>
          <w:lang w:val="fr-CA"/>
        </w:rPr>
        <w:noBreakHyphen/>
      </w:r>
      <w:r w:rsidRPr="00E96209">
        <w:rPr>
          <w:i/>
          <w:lang w:val="fr-CA"/>
        </w:rPr>
        <w:t>Britannique</w:t>
      </w:r>
      <w:r w:rsidRPr="00E96209">
        <w:rPr>
          <w:lang w:val="fr-CA"/>
        </w:rPr>
        <w:t xml:space="preserve">, 2007 CSC 27, [2007] 2 R.C.S. 391; </w:t>
      </w:r>
      <w:r w:rsidRPr="00E96209">
        <w:rPr>
          <w:i/>
          <w:lang w:val="fr-CA"/>
        </w:rPr>
        <w:t>R. c. Demers</w:t>
      </w:r>
      <w:r w:rsidRPr="00E96209">
        <w:rPr>
          <w:lang w:val="fr-CA"/>
        </w:rPr>
        <w:t xml:space="preserve">, 2004 CSC 46, [2004] 2 R.C.S. 489; </w:t>
      </w:r>
      <w:proofErr w:type="spellStart"/>
      <w:r w:rsidRPr="00E96209">
        <w:rPr>
          <w:i/>
          <w:lang w:val="fr-CA"/>
        </w:rPr>
        <w:t>Figueroa</w:t>
      </w:r>
      <w:proofErr w:type="spellEnd"/>
      <w:r w:rsidRPr="00E96209">
        <w:rPr>
          <w:i/>
          <w:lang w:val="fr-CA"/>
        </w:rPr>
        <w:t xml:space="preserve"> c. Canada (Procureur général)</w:t>
      </w:r>
      <w:r w:rsidRPr="00E96209">
        <w:rPr>
          <w:lang w:val="fr-CA"/>
        </w:rPr>
        <w:t xml:space="preserve">, 2003 CSC 37, [2003] 1 R.C.S. 912; </w:t>
      </w:r>
      <w:proofErr w:type="spellStart"/>
      <w:r w:rsidRPr="00E96209">
        <w:rPr>
          <w:i/>
          <w:lang w:val="fr-CA"/>
        </w:rPr>
        <w:t>Trociuk</w:t>
      </w:r>
      <w:proofErr w:type="spellEnd"/>
      <w:r w:rsidRPr="00E96209">
        <w:rPr>
          <w:i/>
          <w:lang w:val="fr-CA"/>
        </w:rPr>
        <w:t xml:space="preserve"> c. Colombie</w:t>
      </w:r>
      <w:r w:rsidR="00E96209">
        <w:rPr>
          <w:i/>
          <w:lang w:val="fr-CA"/>
        </w:rPr>
        <w:noBreakHyphen/>
      </w:r>
      <w:r w:rsidRPr="00E96209">
        <w:rPr>
          <w:i/>
          <w:lang w:val="fr-CA"/>
        </w:rPr>
        <w:t>Britannique (Procureur général)</w:t>
      </w:r>
      <w:r w:rsidRPr="00E96209">
        <w:rPr>
          <w:lang w:val="fr-CA"/>
        </w:rPr>
        <w:t xml:space="preserve">, 2003 CSC 34, [2003] 1 R.C.S. 835; </w:t>
      </w:r>
      <w:r w:rsidRPr="00E96209">
        <w:rPr>
          <w:i/>
          <w:lang w:val="fr-CA"/>
        </w:rPr>
        <w:t>Sauvé c. Canada (Directeur général des élections</w:t>
      </w:r>
      <w:r w:rsidRPr="00E96209">
        <w:rPr>
          <w:lang w:val="fr-CA"/>
        </w:rPr>
        <w:t xml:space="preserve">), 2002 CSC 68, [2002] 3 R.C.S. 519; </w:t>
      </w:r>
      <w:proofErr w:type="spellStart"/>
      <w:r w:rsidRPr="00E96209">
        <w:rPr>
          <w:i/>
          <w:lang w:val="fr-CA"/>
        </w:rPr>
        <w:t>Lavallee</w:t>
      </w:r>
      <w:proofErr w:type="spellEnd"/>
      <w:r w:rsidRPr="00E96209">
        <w:rPr>
          <w:i/>
          <w:lang w:val="fr-CA"/>
        </w:rPr>
        <w:t xml:space="preserve">, </w:t>
      </w:r>
      <w:proofErr w:type="spellStart"/>
      <w:r w:rsidRPr="00E96209">
        <w:rPr>
          <w:i/>
          <w:lang w:val="fr-CA"/>
        </w:rPr>
        <w:t>Rackel</w:t>
      </w:r>
      <w:proofErr w:type="spellEnd"/>
      <w:r w:rsidRPr="00E96209">
        <w:rPr>
          <w:i/>
          <w:lang w:val="fr-CA"/>
        </w:rPr>
        <w:t xml:space="preserve"> &amp; </w:t>
      </w:r>
      <w:proofErr w:type="spellStart"/>
      <w:r w:rsidRPr="00E96209">
        <w:rPr>
          <w:i/>
          <w:lang w:val="fr-CA"/>
        </w:rPr>
        <w:t>Heintz</w:t>
      </w:r>
      <w:proofErr w:type="spellEnd"/>
      <w:r w:rsidRPr="00E96209">
        <w:rPr>
          <w:i/>
          <w:lang w:val="fr-CA"/>
        </w:rPr>
        <w:t xml:space="preserve"> c. Canada (Procureur général), </w:t>
      </w:r>
      <w:r w:rsidRPr="00E96209">
        <w:rPr>
          <w:lang w:val="fr-CA"/>
        </w:rPr>
        <w:t xml:space="preserve">2002 CSC 61, [2002] 3 R.C.S. 209; </w:t>
      </w:r>
      <w:r w:rsidRPr="00E96209">
        <w:rPr>
          <w:i/>
          <w:lang w:val="fr-CA"/>
        </w:rPr>
        <w:t>R. c. Guignard</w:t>
      </w:r>
      <w:r w:rsidRPr="00E96209">
        <w:rPr>
          <w:lang w:val="fr-CA"/>
        </w:rPr>
        <w:t xml:space="preserve">, 2002 CSC 14, [2002] 1 R.C.S. 472; </w:t>
      </w:r>
      <w:r w:rsidRPr="00E96209">
        <w:rPr>
          <w:i/>
          <w:lang w:val="fr-CA"/>
        </w:rPr>
        <w:t xml:space="preserve">T.U.A.C., section locale 1518 c. </w:t>
      </w:r>
      <w:proofErr w:type="spellStart"/>
      <w:r w:rsidRPr="00E96209">
        <w:rPr>
          <w:i/>
          <w:lang w:val="fr-CA"/>
        </w:rPr>
        <w:t>KMart</w:t>
      </w:r>
      <w:proofErr w:type="spellEnd"/>
      <w:r w:rsidRPr="00E96209">
        <w:rPr>
          <w:i/>
          <w:lang w:val="fr-CA"/>
        </w:rPr>
        <w:t xml:space="preserve"> Canada Ltd.</w:t>
      </w:r>
      <w:r w:rsidRPr="00E96209">
        <w:rPr>
          <w:lang w:val="fr-CA"/>
        </w:rPr>
        <w:t xml:space="preserve">, [1999] 2 R.C.S. 1083; </w:t>
      </w:r>
      <w:r w:rsidRPr="00E96209">
        <w:rPr>
          <w:i/>
          <w:lang w:val="fr-CA"/>
        </w:rPr>
        <w:t>M. c. H.</w:t>
      </w:r>
      <w:r w:rsidRPr="00E96209">
        <w:rPr>
          <w:lang w:val="fr-CA"/>
        </w:rPr>
        <w:t xml:space="preserve">, [1999] 2 R.C.S. 3; </w:t>
      </w:r>
      <w:r w:rsidRPr="00E96209">
        <w:rPr>
          <w:i/>
          <w:lang w:val="fr-CA"/>
        </w:rPr>
        <w:t xml:space="preserve">Thomson </w:t>
      </w:r>
      <w:proofErr w:type="spellStart"/>
      <w:r w:rsidRPr="00E96209">
        <w:rPr>
          <w:i/>
          <w:lang w:val="fr-CA"/>
        </w:rPr>
        <w:t>Newspapers</w:t>
      </w:r>
      <w:proofErr w:type="spellEnd"/>
      <w:r w:rsidRPr="00E96209">
        <w:rPr>
          <w:i/>
          <w:lang w:val="fr-CA"/>
        </w:rPr>
        <w:t xml:space="preserve"> Co. c. Canada (Procureur général)</w:t>
      </w:r>
      <w:r w:rsidRPr="00E96209">
        <w:rPr>
          <w:lang w:val="fr-CA"/>
        </w:rPr>
        <w:t xml:space="preserve">, [1998] 1 R.C.S. 877; </w:t>
      </w:r>
      <w:proofErr w:type="spellStart"/>
      <w:r w:rsidRPr="00E96209">
        <w:rPr>
          <w:i/>
          <w:lang w:val="fr-CA"/>
        </w:rPr>
        <w:t>Libman</w:t>
      </w:r>
      <w:proofErr w:type="spellEnd"/>
      <w:r w:rsidRPr="00E96209">
        <w:rPr>
          <w:i/>
          <w:lang w:val="fr-CA"/>
        </w:rPr>
        <w:t xml:space="preserve"> c. Québec (Procureur général)</w:t>
      </w:r>
      <w:r w:rsidRPr="00E96209">
        <w:rPr>
          <w:lang w:val="fr-CA"/>
        </w:rPr>
        <w:t xml:space="preserve">, [1997] 3 R.C.S. 569; </w:t>
      </w:r>
      <w:r w:rsidRPr="00E96209">
        <w:rPr>
          <w:i/>
          <w:lang w:val="fr-CA"/>
        </w:rPr>
        <w:t>R. c. Heywood</w:t>
      </w:r>
      <w:r w:rsidRPr="00E96209">
        <w:rPr>
          <w:lang w:val="fr-CA"/>
        </w:rPr>
        <w:t>, [1994] 3 R.C.S. 761;</w:t>
      </w:r>
      <w:r w:rsidRPr="00E96209">
        <w:rPr>
          <w:i/>
          <w:lang w:val="fr-CA"/>
        </w:rPr>
        <w:t xml:space="preserve"> Sauvé c. Canada (Procureur général)</w:t>
      </w:r>
      <w:r w:rsidRPr="00E96209">
        <w:rPr>
          <w:lang w:val="fr-CA"/>
        </w:rPr>
        <w:t xml:space="preserve">, [1993] 2 R.C.S. 438; </w:t>
      </w:r>
      <w:proofErr w:type="spellStart"/>
      <w:r w:rsidRPr="00E96209">
        <w:rPr>
          <w:i/>
          <w:lang w:val="fr-CA"/>
        </w:rPr>
        <w:t>Kourtessis</w:t>
      </w:r>
      <w:proofErr w:type="spellEnd"/>
      <w:r w:rsidRPr="00E96209">
        <w:rPr>
          <w:i/>
          <w:lang w:val="fr-CA"/>
        </w:rPr>
        <w:t xml:space="preserve"> c. M.R.N.</w:t>
      </w:r>
      <w:r w:rsidRPr="00E96209">
        <w:rPr>
          <w:lang w:val="fr-CA"/>
        </w:rPr>
        <w:t xml:space="preserve">, [1993] 2 R.C.S. 53; </w:t>
      </w:r>
      <w:r w:rsidRPr="00E96209">
        <w:rPr>
          <w:i/>
          <w:lang w:val="fr-CA"/>
        </w:rPr>
        <w:t>R. c. Zundel</w:t>
      </w:r>
      <w:r w:rsidRPr="00E96209">
        <w:rPr>
          <w:lang w:val="fr-CA"/>
        </w:rPr>
        <w:t xml:space="preserve">, [1992] 2 R.C.S. 731; </w:t>
      </w:r>
      <w:r w:rsidRPr="00E96209">
        <w:rPr>
          <w:i/>
          <w:lang w:val="fr-CA"/>
        </w:rPr>
        <w:t>R. c. Bain</w:t>
      </w:r>
      <w:r w:rsidRPr="00E96209">
        <w:rPr>
          <w:lang w:val="fr-CA"/>
        </w:rPr>
        <w:t xml:space="preserve">, [1992] 1 R.C.S. 91; </w:t>
      </w:r>
      <w:r w:rsidRPr="00E96209">
        <w:rPr>
          <w:i/>
          <w:lang w:val="fr-CA"/>
        </w:rPr>
        <w:t xml:space="preserve">R. c. </w:t>
      </w:r>
      <w:proofErr w:type="spellStart"/>
      <w:r w:rsidRPr="00E96209">
        <w:rPr>
          <w:i/>
          <w:lang w:val="fr-CA"/>
        </w:rPr>
        <w:t>Wholesale</w:t>
      </w:r>
      <w:proofErr w:type="spellEnd"/>
      <w:r w:rsidRPr="00E96209">
        <w:rPr>
          <w:i/>
          <w:lang w:val="fr-CA"/>
        </w:rPr>
        <w:t xml:space="preserve"> </w:t>
      </w:r>
      <w:proofErr w:type="spellStart"/>
      <w:r w:rsidRPr="00E96209">
        <w:rPr>
          <w:i/>
          <w:lang w:val="fr-CA"/>
        </w:rPr>
        <w:t>Travel</w:t>
      </w:r>
      <w:proofErr w:type="spellEnd"/>
      <w:r w:rsidRPr="00E96209">
        <w:rPr>
          <w:i/>
          <w:lang w:val="fr-CA"/>
        </w:rPr>
        <w:t xml:space="preserve"> Group Inc.</w:t>
      </w:r>
      <w:r w:rsidRPr="00E96209">
        <w:rPr>
          <w:lang w:val="fr-CA"/>
        </w:rPr>
        <w:t xml:space="preserve">, [1991] 3 R.C.S. 154; </w:t>
      </w:r>
      <w:r w:rsidRPr="00E96209">
        <w:rPr>
          <w:i/>
          <w:lang w:val="fr-CA"/>
        </w:rPr>
        <w:t xml:space="preserve">R. c. </w:t>
      </w:r>
      <w:proofErr w:type="spellStart"/>
      <w:r w:rsidRPr="00E96209">
        <w:rPr>
          <w:i/>
          <w:lang w:val="fr-CA"/>
        </w:rPr>
        <w:t>Sit</w:t>
      </w:r>
      <w:proofErr w:type="spellEnd"/>
      <w:r w:rsidRPr="00E96209">
        <w:rPr>
          <w:lang w:val="fr-CA"/>
        </w:rPr>
        <w:t xml:space="preserve">, [1991] 3 </w:t>
      </w:r>
      <w:proofErr w:type="spellStart"/>
      <w:r w:rsidRPr="00E96209">
        <w:rPr>
          <w:lang w:val="fr-CA"/>
        </w:rPr>
        <w:t>R.C.S</w:t>
      </w:r>
      <w:proofErr w:type="spellEnd"/>
      <w:r w:rsidRPr="00E96209">
        <w:rPr>
          <w:lang w:val="fr-CA"/>
        </w:rPr>
        <w:t xml:space="preserve">. 124; </w:t>
      </w:r>
      <w:r w:rsidRPr="00E96209">
        <w:rPr>
          <w:i/>
          <w:lang w:val="fr-CA"/>
        </w:rPr>
        <w:t xml:space="preserve">R. c. </w:t>
      </w:r>
      <w:proofErr w:type="spellStart"/>
      <w:r w:rsidRPr="00E96209">
        <w:rPr>
          <w:i/>
          <w:lang w:val="fr-CA"/>
        </w:rPr>
        <w:t>Seaboyer</w:t>
      </w:r>
      <w:proofErr w:type="spellEnd"/>
      <w:r w:rsidRPr="00E96209">
        <w:rPr>
          <w:lang w:val="fr-CA"/>
        </w:rPr>
        <w:t xml:space="preserve">, [1991] 2 </w:t>
      </w:r>
      <w:proofErr w:type="spellStart"/>
      <w:r w:rsidRPr="00E96209">
        <w:rPr>
          <w:lang w:val="fr-CA"/>
        </w:rPr>
        <w:t>R.C.S</w:t>
      </w:r>
      <w:proofErr w:type="spellEnd"/>
      <w:r w:rsidRPr="00E96209">
        <w:rPr>
          <w:lang w:val="fr-CA"/>
        </w:rPr>
        <w:t>. 577;</w:t>
      </w:r>
      <w:r w:rsidRPr="00E96209">
        <w:rPr>
          <w:i/>
          <w:lang w:val="fr-CA"/>
        </w:rPr>
        <w:t xml:space="preserve"> </w:t>
      </w:r>
      <w:proofErr w:type="spellStart"/>
      <w:r w:rsidRPr="00E96209">
        <w:rPr>
          <w:i/>
          <w:lang w:val="fr-CA"/>
        </w:rPr>
        <w:t>Tétreault</w:t>
      </w:r>
      <w:r w:rsidR="00E96209">
        <w:rPr>
          <w:i/>
          <w:lang w:val="fr-CA"/>
        </w:rPr>
        <w:noBreakHyphen/>
      </w:r>
      <w:r w:rsidRPr="00E96209">
        <w:rPr>
          <w:i/>
          <w:lang w:val="fr-CA"/>
        </w:rPr>
        <w:t>Gadoury</w:t>
      </w:r>
      <w:proofErr w:type="spellEnd"/>
      <w:r w:rsidRPr="00E96209">
        <w:rPr>
          <w:i/>
          <w:lang w:val="fr-CA"/>
        </w:rPr>
        <w:t xml:space="preserve"> c. Canada (Commission de l’emploi et de l’immigration)</w:t>
      </w:r>
      <w:r w:rsidRPr="00E96209">
        <w:rPr>
          <w:lang w:val="fr-CA"/>
        </w:rPr>
        <w:t xml:space="preserve">, [1991] 2 R.C.S. 22; </w:t>
      </w:r>
      <w:r w:rsidRPr="00E96209">
        <w:rPr>
          <w:i/>
          <w:lang w:val="fr-CA"/>
        </w:rPr>
        <w:t>Comité pour la République du Canada c. Canada</w:t>
      </w:r>
      <w:r w:rsidRPr="00E96209">
        <w:rPr>
          <w:lang w:val="fr-CA"/>
        </w:rPr>
        <w:t xml:space="preserve">, [1991] 1 R.C.S. 139; </w:t>
      </w:r>
      <w:r w:rsidRPr="00E96209">
        <w:rPr>
          <w:i/>
          <w:lang w:val="fr-CA"/>
        </w:rPr>
        <w:t xml:space="preserve">R. c. </w:t>
      </w:r>
      <w:proofErr w:type="spellStart"/>
      <w:r w:rsidRPr="00E96209">
        <w:rPr>
          <w:i/>
          <w:lang w:val="fr-CA"/>
        </w:rPr>
        <w:t>Arkell</w:t>
      </w:r>
      <w:proofErr w:type="spellEnd"/>
      <w:r w:rsidRPr="00E96209">
        <w:rPr>
          <w:lang w:val="fr-CA"/>
        </w:rPr>
        <w:t xml:space="preserve">, [1990] 2 </w:t>
      </w:r>
      <w:proofErr w:type="spellStart"/>
      <w:r w:rsidRPr="00E96209">
        <w:rPr>
          <w:lang w:val="fr-CA"/>
        </w:rPr>
        <w:t>R.C.S</w:t>
      </w:r>
      <w:proofErr w:type="spellEnd"/>
      <w:r w:rsidRPr="00E96209">
        <w:rPr>
          <w:lang w:val="fr-CA"/>
        </w:rPr>
        <w:t xml:space="preserve">. 695; </w:t>
      </w:r>
      <w:r w:rsidRPr="00E96209">
        <w:rPr>
          <w:i/>
          <w:lang w:val="fr-CA"/>
        </w:rPr>
        <w:t>R. c. Martineau</w:t>
      </w:r>
      <w:r w:rsidRPr="00E96209">
        <w:rPr>
          <w:lang w:val="fr-CA"/>
        </w:rPr>
        <w:t xml:space="preserve">, [1990] 2 R.C.S. 633; </w:t>
      </w:r>
      <w:r w:rsidRPr="00E96209">
        <w:rPr>
          <w:i/>
          <w:lang w:val="fr-CA"/>
        </w:rPr>
        <w:t xml:space="preserve">Rocket c. Collège royal des </w:t>
      </w:r>
      <w:proofErr w:type="spellStart"/>
      <w:r w:rsidRPr="00E96209">
        <w:rPr>
          <w:i/>
          <w:lang w:val="fr-CA"/>
        </w:rPr>
        <w:t>chirurgiens dentistes</w:t>
      </w:r>
      <w:proofErr w:type="spellEnd"/>
      <w:r w:rsidRPr="00E96209">
        <w:rPr>
          <w:i/>
          <w:lang w:val="fr-CA"/>
        </w:rPr>
        <w:t xml:space="preserve"> d’Ontario</w:t>
      </w:r>
      <w:r w:rsidRPr="00E96209">
        <w:rPr>
          <w:lang w:val="fr-CA"/>
        </w:rPr>
        <w:t xml:space="preserve">, [1990] 2 R.C.S. 232; </w:t>
      </w:r>
      <w:r w:rsidRPr="00E96209">
        <w:rPr>
          <w:i/>
          <w:lang w:val="fr-CA"/>
        </w:rPr>
        <w:t>Mahe c. Alberta</w:t>
      </w:r>
      <w:r w:rsidRPr="00E96209">
        <w:rPr>
          <w:lang w:val="fr-CA"/>
        </w:rPr>
        <w:t xml:space="preserve">, [1990] 1 R.C.S. 342; </w:t>
      </w:r>
      <w:r w:rsidRPr="00E96209">
        <w:rPr>
          <w:i/>
          <w:lang w:val="fr-CA"/>
        </w:rPr>
        <w:t>Edmonton Journal c. Alberta (Procureur général)</w:t>
      </w:r>
      <w:r w:rsidRPr="00E96209">
        <w:rPr>
          <w:lang w:val="fr-CA"/>
        </w:rPr>
        <w:t xml:space="preserve">, [1989] 2 R.C.S. 1326; </w:t>
      </w:r>
      <w:r w:rsidRPr="00E96209">
        <w:rPr>
          <w:i/>
          <w:lang w:val="fr-CA"/>
        </w:rPr>
        <w:t>Black c. Law Society of Alberta</w:t>
      </w:r>
      <w:r w:rsidRPr="00E96209">
        <w:rPr>
          <w:lang w:val="fr-CA"/>
        </w:rPr>
        <w:t xml:space="preserve">, [1989] 1 R.C.S. 591; </w:t>
      </w:r>
      <w:r w:rsidRPr="00E96209">
        <w:rPr>
          <w:i/>
          <w:lang w:val="fr-CA"/>
        </w:rPr>
        <w:t>Ford c. Québec (Procureur général)</w:t>
      </w:r>
      <w:r w:rsidRPr="00E96209">
        <w:rPr>
          <w:lang w:val="fr-CA"/>
        </w:rPr>
        <w:t xml:space="preserve">, [1988] 2 R.C.S. 712; </w:t>
      </w:r>
      <w:r w:rsidRPr="00E96209">
        <w:rPr>
          <w:i/>
          <w:lang w:val="fr-CA"/>
        </w:rPr>
        <w:t>Devine c. Québec (Procureur général)</w:t>
      </w:r>
      <w:r w:rsidRPr="00E96209">
        <w:rPr>
          <w:lang w:val="fr-CA"/>
        </w:rPr>
        <w:t xml:space="preserve">, [1988] 2 R.C.S. 790; </w:t>
      </w:r>
      <w:r w:rsidRPr="00E96209">
        <w:rPr>
          <w:i/>
          <w:lang w:val="fr-CA"/>
        </w:rPr>
        <w:t>Corporation professionnelle des médecins du Québec c. Thibault</w:t>
      </w:r>
      <w:r w:rsidRPr="00E96209">
        <w:rPr>
          <w:lang w:val="fr-CA"/>
        </w:rPr>
        <w:t>, [1988] 1 R.C.S. 1033;</w:t>
      </w:r>
      <w:r w:rsidRPr="00E96209">
        <w:rPr>
          <w:i/>
          <w:lang w:val="fr-CA"/>
        </w:rPr>
        <w:t xml:space="preserve"> R. c. Morgentaler</w:t>
      </w:r>
      <w:r w:rsidRPr="00E96209">
        <w:rPr>
          <w:lang w:val="fr-CA"/>
        </w:rPr>
        <w:t xml:space="preserve">, [1988] 1 R.C.S. 30; </w:t>
      </w:r>
      <w:r w:rsidRPr="00E96209">
        <w:rPr>
          <w:i/>
          <w:lang w:val="fr-CA"/>
        </w:rPr>
        <w:t>R. c. Smith</w:t>
      </w:r>
      <w:r w:rsidRPr="00E96209">
        <w:rPr>
          <w:lang w:val="fr-CA"/>
        </w:rPr>
        <w:t xml:space="preserve">, [1987] 1 R.C.S. 1045; </w:t>
      </w:r>
      <w:r w:rsidR="00210D97">
        <w:rPr>
          <w:i/>
          <w:lang w:val="fr-CA"/>
        </w:rPr>
        <w:t>Renvoi</w:t>
      </w:r>
      <w:r w:rsidR="00AA60CD">
        <w:rPr>
          <w:i/>
          <w:lang w:val="fr-CA"/>
        </w:rPr>
        <w:t xml:space="preserve"> </w:t>
      </w:r>
      <w:r w:rsidR="00210D97">
        <w:rPr>
          <w:i/>
          <w:lang w:val="fr-CA"/>
        </w:rPr>
        <w:t xml:space="preserve">sur la </w:t>
      </w:r>
      <w:proofErr w:type="spellStart"/>
      <w:r w:rsidR="00210D97">
        <w:rPr>
          <w:i/>
          <w:lang w:val="fr-CA"/>
        </w:rPr>
        <w:t>Motor</w:t>
      </w:r>
      <w:proofErr w:type="spellEnd"/>
      <w:r w:rsidR="00210D97">
        <w:rPr>
          <w:i/>
          <w:lang w:val="fr-CA"/>
        </w:rPr>
        <w:t xml:space="preserve"> </w:t>
      </w:r>
      <w:proofErr w:type="spellStart"/>
      <w:r w:rsidR="00210D97">
        <w:rPr>
          <w:i/>
          <w:lang w:val="fr-CA"/>
        </w:rPr>
        <w:t>Vehicle</w:t>
      </w:r>
      <w:proofErr w:type="spellEnd"/>
      <w:r w:rsidR="00210D97">
        <w:rPr>
          <w:i/>
          <w:lang w:val="fr-CA"/>
        </w:rPr>
        <w:t xml:space="preserve"> </w:t>
      </w:r>
      <w:proofErr w:type="spellStart"/>
      <w:r w:rsidR="00210D97">
        <w:rPr>
          <w:i/>
          <w:lang w:val="fr-CA"/>
        </w:rPr>
        <w:t>Act</w:t>
      </w:r>
      <w:proofErr w:type="spellEnd"/>
      <w:r w:rsidR="00210D97">
        <w:rPr>
          <w:i/>
          <w:lang w:val="fr-CA"/>
        </w:rPr>
        <w:t xml:space="preserve"> (</w:t>
      </w:r>
      <w:proofErr w:type="spellStart"/>
      <w:r w:rsidRPr="00E96209">
        <w:rPr>
          <w:i/>
          <w:lang w:val="fr-CA"/>
        </w:rPr>
        <w:t>C.</w:t>
      </w:r>
      <w:r w:rsidR="00E96209">
        <w:rPr>
          <w:i/>
          <w:lang w:val="fr-CA"/>
        </w:rPr>
        <w:noBreakHyphen/>
      </w:r>
      <w:r w:rsidRPr="00E96209">
        <w:rPr>
          <w:i/>
          <w:lang w:val="fr-CA"/>
        </w:rPr>
        <w:t>B</w:t>
      </w:r>
      <w:proofErr w:type="spellEnd"/>
      <w:r w:rsidRPr="00E96209">
        <w:rPr>
          <w:i/>
          <w:lang w:val="fr-CA"/>
        </w:rPr>
        <w:t>.</w:t>
      </w:r>
      <w:r w:rsidR="00210D97">
        <w:rPr>
          <w:i/>
          <w:lang w:val="fr-CA"/>
        </w:rPr>
        <w:t>)</w:t>
      </w:r>
      <w:r w:rsidRPr="00E96209">
        <w:rPr>
          <w:lang w:val="fr-CA"/>
        </w:rPr>
        <w:t xml:space="preserve">, [1985] 2 </w:t>
      </w:r>
      <w:r w:rsidR="003208E1" w:rsidRPr="00E96209">
        <w:rPr>
          <w:lang w:val="fr-CA"/>
        </w:rPr>
        <w:t>R.C.S.</w:t>
      </w:r>
      <w:r w:rsidRPr="00E96209">
        <w:rPr>
          <w:lang w:val="fr-CA"/>
        </w:rPr>
        <w:t xml:space="preserve"> 486; </w:t>
      </w:r>
      <w:r w:rsidRPr="00E96209">
        <w:rPr>
          <w:i/>
          <w:lang w:val="fr-CA"/>
        </w:rPr>
        <w:t>R. c. Ferguson</w:t>
      </w:r>
      <w:r w:rsidRPr="00E96209">
        <w:rPr>
          <w:lang w:val="fr-CA"/>
        </w:rPr>
        <w:t xml:space="preserve">, 2008 CSC 6, [2008] 1 R.C.S. 96; </w:t>
      </w:r>
      <w:r w:rsidRPr="00E96209">
        <w:rPr>
          <w:i/>
          <w:lang w:val="fr-CA"/>
        </w:rPr>
        <w:t>R. c. Comeau</w:t>
      </w:r>
      <w:r w:rsidRPr="00E96209">
        <w:rPr>
          <w:lang w:val="fr-CA"/>
        </w:rPr>
        <w:t xml:space="preserve">, 2018 CSC 15, [2018] 1 R.C.S. 342; </w:t>
      </w:r>
      <w:proofErr w:type="spellStart"/>
      <w:r w:rsidRPr="00E96209">
        <w:rPr>
          <w:i/>
          <w:lang w:val="fr-CA"/>
        </w:rPr>
        <w:t>Koo</w:t>
      </w:r>
      <w:proofErr w:type="spellEnd"/>
      <w:r w:rsidRPr="00E96209">
        <w:rPr>
          <w:i/>
          <w:lang w:val="fr-CA"/>
        </w:rPr>
        <w:t xml:space="preserve"> </w:t>
      </w:r>
      <w:proofErr w:type="spellStart"/>
      <w:r w:rsidRPr="00E96209">
        <w:rPr>
          <w:i/>
          <w:lang w:val="fr-CA"/>
        </w:rPr>
        <w:t>Sze</w:t>
      </w:r>
      <w:proofErr w:type="spellEnd"/>
      <w:r w:rsidRPr="00E96209">
        <w:rPr>
          <w:i/>
          <w:lang w:val="fr-CA"/>
        </w:rPr>
        <w:t xml:space="preserve"> </w:t>
      </w:r>
      <w:proofErr w:type="spellStart"/>
      <w:r w:rsidRPr="00E96209">
        <w:rPr>
          <w:i/>
          <w:lang w:val="fr-CA"/>
        </w:rPr>
        <w:t>Yiu</w:t>
      </w:r>
      <w:proofErr w:type="spellEnd"/>
      <w:r w:rsidRPr="00E96209">
        <w:rPr>
          <w:i/>
          <w:lang w:val="fr-CA"/>
        </w:rPr>
        <w:t xml:space="preserve"> c. Chief </w:t>
      </w:r>
      <w:proofErr w:type="spellStart"/>
      <w:r w:rsidRPr="00E96209">
        <w:rPr>
          <w:i/>
          <w:lang w:val="fr-CA"/>
        </w:rPr>
        <w:t>Executive</w:t>
      </w:r>
      <w:proofErr w:type="spellEnd"/>
      <w:r w:rsidRPr="00E96209">
        <w:rPr>
          <w:i/>
          <w:lang w:val="fr-CA"/>
        </w:rPr>
        <w:t xml:space="preserve"> of the </w:t>
      </w:r>
      <w:proofErr w:type="spellStart"/>
      <w:r w:rsidRPr="00E96209">
        <w:rPr>
          <w:i/>
          <w:lang w:val="fr-CA"/>
        </w:rPr>
        <w:t>HKSAR</w:t>
      </w:r>
      <w:proofErr w:type="spellEnd"/>
      <w:r w:rsidRPr="00E96209">
        <w:rPr>
          <w:lang w:val="fr-CA"/>
        </w:rPr>
        <w:t xml:space="preserve">, [2006] 3 H.K.L.R.D. 455; </w:t>
      </w:r>
      <w:r w:rsidRPr="00E96209">
        <w:rPr>
          <w:i/>
          <w:lang w:val="fr-CA"/>
        </w:rPr>
        <w:t>Air Canada c. Colombie</w:t>
      </w:r>
      <w:r w:rsidR="00E96209">
        <w:rPr>
          <w:i/>
          <w:lang w:val="fr-CA"/>
        </w:rPr>
        <w:noBreakHyphen/>
      </w:r>
      <w:r w:rsidRPr="00E96209">
        <w:rPr>
          <w:i/>
          <w:lang w:val="fr-CA"/>
        </w:rPr>
        <w:t>Britannique</w:t>
      </w:r>
      <w:r w:rsidRPr="00E96209">
        <w:rPr>
          <w:lang w:val="fr-CA"/>
        </w:rPr>
        <w:t xml:space="preserve">, [1989] 1 R.C.S. 1161; </w:t>
      </w:r>
      <w:r w:rsidRPr="00E96209">
        <w:rPr>
          <w:i/>
          <w:lang w:val="fr-CA"/>
        </w:rPr>
        <w:t xml:space="preserve">R. c. </w:t>
      </w:r>
      <w:proofErr w:type="spellStart"/>
      <w:r w:rsidRPr="00E96209">
        <w:rPr>
          <w:i/>
          <w:lang w:val="fr-CA"/>
        </w:rPr>
        <w:t>Powley</w:t>
      </w:r>
      <w:proofErr w:type="spellEnd"/>
      <w:r w:rsidRPr="00E96209">
        <w:rPr>
          <w:lang w:val="fr-CA"/>
        </w:rPr>
        <w:t xml:space="preserve">, 2003 CSC 43, [2003] 2 R.C.S. 207; </w:t>
      </w:r>
      <w:r w:rsidRPr="00E96209">
        <w:rPr>
          <w:i/>
          <w:lang w:val="fr-CA"/>
        </w:rPr>
        <w:t xml:space="preserve">Coetzee c. </w:t>
      </w:r>
      <w:proofErr w:type="spellStart"/>
      <w:r w:rsidRPr="00E96209">
        <w:rPr>
          <w:i/>
          <w:lang w:val="fr-CA"/>
        </w:rPr>
        <w:t>Government</w:t>
      </w:r>
      <w:proofErr w:type="spellEnd"/>
      <w:r w:rsidRPr="00E96209">
        <w:rPr>
          <w:i/>
          <w:lang w:val="fr-CA"/>
        </w:rPr>
        <w:t xml:space="preserve"> of the </w:t>
      </w:r>
      <w:proofErr w:type="spellStart"/>
      <w:r w:rsidRPr="00E96209">
        <w:rPr>
          <w:i/>
          <w:lang w:val="fr-CA"/>
        </w:rPr>
        <w:t>Republic</w:t>
      </w:r>
      <w:proofErr w:type="spellEnd"/>
      <w:r w:rsidRPr="00E96209">
        <w:rPr>
          <w:i/>
          <w:lang w:val="fr-CA"/>
        </w:rPr>
        <w:t xml:space="preserve"> of South </w:t>
      </w:r>
      <w:proofErr w:type="spellStart"/>
      <w:r w:rsidRPr="00E96209">
        <w:rPr>
          <w:i/>
          <w:lang w:val="fr-CA"/>
        </w:rPr>
        <w:t>Africa</w:t>
      </w:r>
      <w:proofErr w:type="spellEnd"/>
      <w:r w:rsidRPr="00E96209">
        <w:rPr>
          <w:lang w:val="fr-CA"/>
        </w:rPr>
        <w:t xml:space="preserve">, [1995] </w:t>
      </w:r>
      <w:proofErr w:type="spellStart"/>
      <w:r w:rsidRPr="00E96209">
        <w:rPr>
          <w:lang w:val="fr-CA"/>
        </w:rPr>
        <w:t>ZACC</w:t>
      </w:r>
      <w:proofErr w:type="spellEnd"/>
      <w:r w:rsidRPr="00E96209">
        <w:rPr>
          <w:lang w:val="fr-CA"/>
        </w:rPr>
        <w:t xml:space="preserve"> 7, 1995 (4) S</w:t>
      </w:r>
      <w:r w:rsidR="00AA60CD">
        <w:rPr>
          <w:lang w:val="fr-CA"/>
        </w:rPr>
        <w:t xml:space="preserve">.A. 631; </w:t>
      </w:r>
      <w:proofErr w:type="spellStart"/>
      <w:r w:rsidR="00AA60CD">
        <w:rPr>
          <w:lang w:val="fr-CA"/>
        </w:rPr>
        <w:t>BVerfG</w:t>
      </w:r>
      <w:proofErr w:type="spellEnd"/>
      <w:r w:rsidR="00AA60CD">
        <w:rPr>
          <w:lang w:val="fr-CA"/>
        </w:rPr>
        <w:t xml:space="preserve">, 2 </w:t>
      </w:r>
      <w:proofErr w:type="spellStart"/>
      <w:r w:rsidR="00AA60CD">
        <w:rPr>
          <w:lang w:val="fr-CA"/>
        </w:rPr>
        <w:t>BvC</w:t>
      </w:r>
      <w:proofErr w:type="spellEnd"/>
      <w:r w:rsidR="00AA60CD">
        <w:rPr>
          <w:lang w:val="fr-CA"/>
        </w:rPr>
        <w:t xml:space="preserve"> 62/14, dé</w:t>
      </w:r>
      <w:r w:rsidRPr="00E96209">
        <w:rPr>
          <w:lang w:val="fr-CA"/>
        </w:rPr>
        <w:t xml:space="preserve">cision </w:t>
      </w:r>
      <w:r w:rsidR="00AA60CD">
        <w:rPr>
          <w:lang w:val="fr-CA"/>
        </w:rPr>
        <w:t>du 29 janvier</w:t>
      </w:r>
      <w:r w:rsidR="00553154">
        <w:rPr>
          <w:lang w:val="fr-CA"/>
        </w:rPr>
        <w:t>,</w:t>
      </w:r>
      <w:r w:rsidRPr="00E96209">
        <w:rPr>
          <w:lang w:val="fr-CA"/>
        </w:rPr>
        <w:t xml:space="preserve"> 2019 (</w:t>
      </w:r>
      <w:r w:rsidR="00AA60CD">
        <w:rPr>
          <w:lang w:val="fr-CA"/>
        </w:rPr>
        <w:t>Allemagne</w:t>
      </w:r>
      <w:r w:rsidRPr="00E96209">
        <w:rPr>
          <w:lang w:val="fr-CA"/>
        </w:rPr>
        <w:t>);</w:t>
      </w:r>
      <w:r w:rsidR="00931E55" w:rsidRPr="00E96209">
        <w:rPr>
          <w:i/>
          <w:lang w:val="fr-CA"/>
        </w:rPr>
        <w:t xml:space="preserve"> Carter c. Canada (Procureur général)</w:t>
      </w:r>
      <w:r w:rsidR="00553154">
        <w:rPr>
          <w:lang w:val="fr-CA"/>
        </w:rPr>
        <w:t>, 2016 CSC 4, [2016] 1 R.C.S. 13</w:t>
      </w:r>
      <w:r w:rsidR="00931E55" w:rsidRPr="00E96209">
        <w:rPr>
          <w:lang w:val="fr-CA"/>
        </w:rPr>
        <w:t>;</w:t>
      </w:r>
      <w:r w:rsidRPr="00E96209">
        <w:rPr>
          <w:lang w:val="fr-CA"/>
        </w:rPr>
        <w:t xml:space="preserve"> </w:t>
      </w:r>
      <w:r w:rsidRPr="00E96209">
        <w:rPr>
          <w:i/>
          <w:lang w:val="fr-CA"/>
        </w:rPr>
        <w:t xml:space="preserve">Harper c. Virginia </w:t>
      </w:r>
      <w:proofErr w:type="spellStart"/>
      <w:r w:rsidRPr="00E96209">
        <w:rPr>
          <w:i/>
          <w:lang w:val="fr-CA"/>
        </w:rPr>
        <w:t>Department</w:t>
      </w:r>
      <w:proofErr w:type="spellEnd"/>
      <w:r w:rsidRPr="00E96209">
        <w:rPr>
          <w:i/>
          <w:lang w:val="fr-CA"/>
        </w:rPr>
        <w:t xml:space="preserve"> of Taxation</w:t>
      </w:r>
      <w:r w:rsidRPr="00E96209">
        <w:rPr>
          <w:lang w:val="fr-CA"/>
        </w:rPr>
        <w:t xml:space="preserve">, 509 U.S. 86 (1993); </w:t>
      </w:r>
      <w:proofErr w:type="spellStart"/>
      <w:r w:rsidRPr="00E96209">
        <w:rPr>
          <w:i/>
          <w:lang w:val="fr-CA"/>
        </w:rPr>
        <w:t>Reynoldsville</w:t>
      </w:r>
      <w:proofErr w:type="spellEnd"/>
      <w:r w:rsidRPr="00E96209">
        <w:rPr>
          <w:i/>
          <w:lang w:val="fr-CA"/>
        </w:rPr>
        <w:t xml:space="preserve"> </w:t>
      </w:r>
      <w:proofErr w:type="spellStart"/>
      <w:r w:rsidRPr="00E96209">
        <w:rPr>
          <w:i/>
          <w:lang w:val="fr-CA"/>
        </w:rPr>
        <w:t>Casket</w:t>
      </w:r>
      <w:proofErr w:type="spellEnd"/>
      <w:r w:rsidRPr="00E96209">
        <w:rPr>
          <w:i/>
          <w:lang w:val="fr-CA"/>
        </w:rPr>
        <w:t xml:space="preserve"> Co. c. Hyde</w:t>
      </w:r>
      <w:r w:rsidRPr="00E96209">
        <w:rPr>
          <w:lang w:val="fr-CA"/>
        </w:rPr>
        <w:t xml:space="preserve">, 514 U.S. 749 (1995); </w:t>
      </w:r>
      <w:proofErr w:type="spellStart"/>
      <w:r w:rsidRPr="00E96209">
        <w:rPr>
          <w:i/>
          <w:lang w:val="fr-CA"/>
        </w:rPr>
        <w:t>Thorson</w:t>
      </w:r>
      <w:proofErr w:type="spellEnd"/>
      <w:r w:rsidRPr="00E96209">
        <w:rPr>
          <w:i/>
          <w:lang w:val="fr-CA"/>
        </w:rPr>
        <w:t xml:space="preserve"> c. Procureur général du Canada</w:t>
      </w:r>
      <w:r w:rsidRPr="00E96209">
        <w:rPr>
          <w:lang w:val="fr-CA"/>
        </w:rPr>
        <w:t xml:space="preserve">, [1975] 1 R.C.S. 138; </w:t>
      </w:r>
      <w:r w:rsidRPr="00E96209">
        <w:rPr>
          <w:i/>
          <w:lang w:val="fr-CA"/>
        </w:rPr>
        <w:t>Vancouver (Ville) c. Ward</w:t>
      </w:r>
      <w:r w:rsidRPr="00E96209">
        <w:rPr>
          <w:lang w:val="fr-CA"/>
        </w:rPr>
        <w:t xml:space="preserve">, 2010 CSC 27, [2010] 2 R.C.S. 28; </w:t>
      </w:r>
      <w:r w:rsidRPr="00E96209">
        <w:rPr>
          <w:i/>
          <w:lang w:val="fr-CA"/>
        </w:rPr>
        <w:t>Conseil canadien des Églises c. Canada (Ministre de l’Emploi et de l’Immigration)</w:t>
      </w:r>
      <w:r w:rsidRPr="00E96209">
        <w:rPr>
          <w:lang w:val="fr-CA"/>
        </w:rPr>
        <w:t xml:space="preserve">, [1992] 1 R.C.S. 236; </w:t>
      </w:r>
      <w:proofErr w:type="spellStart"/>
      <w:r w:rsidRPr="00E96209">
        <w:rPr>
          <w:i/>
          <w:lang w:val="fr-CA"/>
        </w:rPr>
        <w:t>Guindon</w:t>
      </w:r>
      <w:proofErr w:type="spellEnd"/>
      <w:r w:rsidRPr="00E96209">
        <w:rPr>
          <w:rFonts w:eastAsiaTheme="minorHAnsi"/>
          <w:bCs/>
          <w:i/>
          <w:szCs w:val="24"/>
          <w:lang w:val="fr-CA"/>
        </w:rPr>
        <w:t xml:space="preserve"> </w:t>
      </w:r>
      <w:r w:rsidRPr="00E96209">
        <w:rPr>
          <w:bCs/>
          <w:i/>
          <w:lang w:val="fr-CA"/>
        </w:rPr>
        <w:t>c. Canada</w:t>
      </w:r>
      <w:r w:rsidRPr="00E96209">
        <w:rPr>
          <w:bCs/>
          <w:lang w:val="fr-CA"/>
        </w:rPr>
        <w:t xml:space="preserve">, 2015 CSC 41, [2015] 3 R.C.S. 3; </w:t>
      </w:r>
      <w:r w:rsidRPr="00E96209">
        <w:rPr>
          <w:i/>
          <w:lang w:val="fr-CA"/>
        </w:rPr>
        <w:t xml:space="preserve">R. c. </w:t>
      </w:r>
      <w:proofErr w:type="spellStart"/>
      <w:r w:rsidRPr="00E96209">
        <w:rPr>
          <w:i/>
          <w:lang w:val="fr-CA"/>
        </w:rPr>
        <w:t>Debidin</w:t>
      </w:r>
      <w:proofErr w:type="spellEnd"/>
      <w:r w:rsidRPr="00E96209">
        <w:rPr>
          <w:lang w:val="fr-CA"/>
        </w:rPr>
        <w:t xml:space="preserve">, 2008 </w:t>
      </w:r>
      <w:proofErr w:type="spellStart"/>
      <w:r w:rsidRPr="00E96209">
        <w:rPr>
          <w:lang w:val="fr-CA"/>
        </w:rPr>
        <w:t>ONCA</w:t>
      </w:r>
      <w:proofErr w:type="spellEnd"/>
      <w:r w:rsidRPr="00E96209">
        <w:rPr>
          <w:lang w:val="fr-CA"/>
        </w:rPr>
        <w:t xml:space="preserve"> 868, 94 O.R. (3d) 421.</w:t>
      </w:r>
    </w:p>
    <w:p w14:paraId="0F0458D5" w14:textId="77777777" w:rsidR="000F0F90" w:rsidRPr="00E96209" w:rsidRDefault="000F0F90" w:rsidP="008A7C16">
      <w:pPr>
        <w:pStyle w:val="SCCNormalDoubleSpacing"/>
        <w:spacing w:after="720" w:line="240" w:lineRule="auto"/>
        <w:rPr>
          <w:lang w:val="fr-CA"/>
        </w:rPr>
      </w:pPr>
      <w:r w:rsidRPr="00E96209">
        <w:rPr>
          <w:lang w:val="fr-CA"/>
        </w:rPr>
        <w:t>Citée par le juge Rowe</w:t>
      </w:r>
    </w:p>
    <w:p w14:paraId="34D09462" w14:textId="67ECC991" w:rsidR="000F0F90" w:rsidRPr="00E96209" w:rsidRDefault="00BC3322" w:rsidP="008A7C16">
      <w:pPr>
        <w:pStyle w:val="SCCNormalDoubleSpacing"/>
        <w:spacing w:after="480"/>
        <w:rPr>
          <w:lang w:val="fr-CA"/>
        </w:rPr>
      </w:pPr>
      <w:r w:rsidRPr="00E96209">
        <w:rPr>
          <w:i/>
          <w:lang w:val="fr-CA"/>
        </w:rPr>
        <w:tab/>
      </w:r>
      <w:r w:rsidR="004B4D0B" w:rsidRPr="00E96209">
        <w:rPr>
          <w:b/>
          <w:lang w:val="fr-CA"/>
        </w:rPr>
        <w:t>Arrêt</w:t>
      </w:r>
      <w:r w:rsidR="005F7726" w:rsidRPr="00E96209">
        <w:rPr>
          <w:b/>
          <w:lang w:val="fr-CA"/>
        </w:rPr>
        <w:t xml:space="preserve"> </w:t>
      </w:r>
      <w:r w:rsidR="004B4D0B" w:rsidRPr="00E96209">
        <w:rPr>
          <w:b/>
          <w:lang w:val="fr-CA"/>
        </w:rPr>
        <w:t>appliqué</w:t>
      </w:r>
      <w:r w:rsidR="00E96209">
        <w:rPr>
          <w:b/>
          <w:lang w:val="fr-CA"/>
        </w:rPr>
        <w:t> :</w:t>
      </w:r>
      <w:r w:rsidR="005F7726" w:rsidRPr="00E96209">
        <w:rPr>
          <w:b/>
          <w:lang w:val="fr-CA"/>
        </w:rPr>
        <w:t xml:space="preserve"> </w:t>
      </w:r>
      <w:proofErr w:type="spellStart"/>
      <w:r w:rsidR="000F0F90" w:rsidRPr="00E96209">
        <w:rPr>
          <w:i/>
          <w:lang w:val="fr-CA"/>
        </w:rPr>
        <w:t>Schachter</w:t>
      </w:r>
      <w:proofErr w:type="spellEnd"/>
      <w:r w:rsidR="000F0F90" w:rsidRPr="00E96209">
        <w:rPr>
          <w:i/>
          <w:lang w:val="fr-CA"/>
        </w:rPr>
        <w:t xml:space="preserve"> c. Canada</w:t>
      </w:r>
      <w:r w:rsidR="000F0F90" w:rsidRPr="00E96209">
        <w:rPr>
          <w:lang w:val="fr-CA"/>
        </w:rPr>
        <w:t xml:space="preserve">, [1992] 2 R.C.S. 679; </w:t>
      </w:r>
      <w:r w:rsidR="004B4D0B" w:rsidRPr="00E96209">
        <w:rPr>
          <w:b/>
          <w:lang w:val="fr-CA"/>
        </w:rPr>
        <w:t>arrêt examiné</w:t>
      </w:r>
      <w:r w:rsidR="00E96209">
        <w:rPr>
          <w:b/>
          <w:lang w:val="fr-CA"/>
        </w:rPr>
        <w:t> :</w:t>
      </w:r>
      <w:r w:rsidR="004B4D0B" w:rsidRPr="00E96209">
        <w:rPr>
          <w:b/>
          <w:lang w:val="fr-CA"/>
        </w:rPr>
        <w:t xml:space="preserve"> </w:t>
      </w:r>
      <w:r w:rsidR="004B4D0B" w:rsidRPr="00E96209">
        <w:rPr>
          <w:i/>
          <w:lang w:val="fr-CA"/>
        </w:rPr>
        <w:t>Canada (Procureur général) c. Bedford</w:t>
      </w:r>
      <w:r w:rsidR="004B4D0B" w:rsidRPr="00E96209">
        <w:rPr>
          <w:lang w:val="fr-CA"/>
        </w:rPr>
        <w:t xml:space="preserve">, 2013 CSC 72, [2013] 3 R.C.S. 1101; </w:t>
      </w:r>
      <w:r w:rsidR="004B4D0B" w:rsidRPr="00E96209">
        <w:rPr>
          <w:b/>
          <w:lang w:val="fr-CA"/>
        </w:rPr>
        <w:t>arrêts mentionnés</w:t>
      </w:r>
      <w:r w:rsidR="00E96209">
        <w:rPr>
          <w:b/>
          <w:lang w:val="fr-CA"/>
        </w:rPr>
        <w:t> :</w:t>
      </w:r>
      <w:r w:rsidR="004B4D0B" w:rsidRPr="00E96209">
        <w:rPr>
          <w:b/>
          <w:lang w:val="fr-CA"/>
        </w:rPr>
        <w:t xml:space="preserve"> </w:t>
      </w:r>
      <w:r w:rsidR="000F0F90" w:rsidRPr="00E96209">
        <w:rPr>
          <w:i/>
          <w:lang w:val="fr-CA"/>
        </w:rPr>
        <w:t xml:space="preserve">Canada (Ministre de la Citoyenneté et de l’Immigration) c. </w:t>
      </w:r>
      <w:proofErr w:type="spellStart"/>
      <w:r w:rsidR="000F0F90" w:rsidRPr="00E96209">
        <w:rPr>
          <w:i/>
          <w:lang w:val="fr-CA"/>
        </w:rPr>
        <w:t>Vavilov</w:t>
      </w:r>
      <w:proofErr w:type="spellEnd"/>
      <w:r w:rsidR="000F0F90" w:rsidRPr="00E96209">
        <w:rPr>
          <w:lang w:val="fr-CA"/>
        </w:rPr>
        <w:t>, 2019 CSC 65</w:t>
      </w:r>
      <w:r w:rsidR="00553154">
        <w:rPr>
          <w:lang w:val="fr-CA"/>
        </w:rPr>
        <w:t>, [2019</w:t>
      </w:r>
      <w:r w:rsidR="00553154" w:rsidRPr="00E96209">
        <w:rPr>
          <w:lang w:val="fr-CA"/>
        </w:rPr>
        <w:t>]</w:t>
      </w:r>
      <w:r w:rsidR="00553154">
        <w:rPr>
          <w:lang w:val="fr-CA"/>
        </w:rPr>
        <w:t xml:space="preserve"> 4 R.C.S. 653</w:t>
      </w:r>
      <w:r w:rsidR="000F0F90" w:rsidRPr="00E96209">
        <w:rPr>
          <w:lang w:val="fr-CA"/>
        </w:rPr>
        <w:t xml:space="preserve">; </w:t>
      </w:r>
      <w:r w:rsidR="000F0F90" w:rsidRPr="00E96209">
        <w:rPr>
          <w:i/>
          <w:lang w:val="fr-CA"/>
        </w:rPr>
        <w:t xml:space="preserve">R. c. </w:t>
      </w:r>
      <w:proofErr w:type="spellStart"/>
      <w:r w:rsidR="000F0F90" w:rsidRPr="00E96209">
        <w:rPr>
          <w:i/>
          <w:lang w:val="fr-CA"/>
        </w:rPr>
        <w:t>Big</w:t>
      </w:r>
      <w:proofErr w:type="spellEnd"/>
      <w:r w:rsidR="000F0F90" w:rsidRPr="00E96209">
        <w:rPr>
          <w:i/>
          <w:lang w:val="fr-CA"/>
        </w:rPr>
        <w:t xml:space="preserve"> M Drug </w:t>
      </w:r>
      <w:proofErr w:type="spellStart"/>
      <w:r w:rsidR="000F0F90" w:rsidRPr="00E96209">
        <w:rPr>
          <w:i/>
          <w:lang w:val="fr-CA"/>
        </w:rPr>
        <w:t>Mart</w:t>
      </w:r>
      <w:proofErr w:type="spellEnd"/>
      <w:r w:rsidR="000F0F90" w:rsidRPr="00E96209">
        <w:rPr>
          <w:i/>
          <w:lang w:val="fr-CA"/>
        </w:rPr>
        <w:t xml:space="preserve"> Ltd.</w:t>
      </w:r>
      <w:r w:rsidR="000F0F90" w:rsidRPr="00E96209">
        <w:rPr>
          <w:lang w:val="fr-CA"/>
        </w:rPr>
        <w:t xml:space="preserve">, [1985] 1 R.C.S. 295; </w:t>
      </w:r>
      <w:r w:rsidR="000F0F90" w:rsidRPr="00E96209">
        <w:rPr>
          <w:i/>
          <w:lang w:val="fr-CA"/>
        </w:rPr>
        <w:t xml:space="preserve">Law Society of British Columbia c. Trinity Western </w:t>
      </w:r>
      <w:proofErr w:type="spellStart"/>
      <w:r w:rsidR="000F0F90" w:rsidRPr="00E96209">
        <w:rPr>
          <w:i/>
          <w:lang w:val="fr-CA"/>
        </w:rPr>
        <w:t>University</w:t>
      </w:r>
      <w:proofErr w:type="spellEnd"/>
      <w:r w:rsidR="000F0F90" w:rsidRPr="00E96209">
        <w:rPr>
          <w:lang w:val="fr-CA"/>
        </w:rPr>
        <w:t xml:space="preserve">, 2018 CSC 32, [2018] 2 R.C.S. 293; </w:t>
      </w:r>
      <w:r w:rsidR="000F0F90" w:rsidRPr="00E96209">
        <w:rPr>
          <w:i/>
          <w:lang w:val="fr-CA"/>
        </w:rPr>
        <w:t>R. c. Comeau</w:t>
      </w:r>
      <w:r w:rsidR="000F0F90" w:rsidRPr="00E96209">
        <w:rPr>
          <w:lang w:val="fr-CA"/>
        </w:rPr>
        <w:t xml:space="preserve">, 2018 CSC 15, [2018] 1 R.C.S. 342; </w:t>
      </w:r>
      <w:r w:rsidR="000F0F90" w:rsidRPr="00E96209">
        <w:rPr>
          <w:i/>
          <w:lang w:val="fr-CA"/>
        </w:rPr>
        <w:t>Mills c. La Reine</w:t>
      </w:r>
      <w:r w:rsidR="000F0F90" w:rsidRPr="00E96209">
        <w:rPr>
          <w:lang w:val="fr-CA"/>
        </w:rPr>
        <w:t xml:space="preserve">, [1986] 1 R.C.S. 863; </w:t>
      </w:r>
      <w:r w:rsidRPr="00E96209">
        <w:rPr>
          <w:i/>
          <w:lang w:val="fr-CA"/>
        </w:rPr>
        <w:t>Renvoi relatif aux droits linguistiques au Manitoba</w:t>
      </w:r>
      <w:r w:rsidR="000F0F90" w:rsidRPr="00E96209">
        <w:rPr>
          <w:lang w:val="fr-CA"/>
        </w:rPr>
        <w:t xml:space="preserve">, [1985] 1 R.C.S. 721; </w:t>
      </w:r>
      <w:r w:rsidR="000F0F90" w:rsidRPr="00E96209">
        <w:rPr>
          <w:i/>
          <w:lang w:val="fr-CA"/>
        </w:rPr>
        <w:t xml:space="preserve">R. c. </w:t>
      </w:r>
      <w:proofErr w:type="spellStart"/>
      <w:r w:rsidR="000F0F90" w:rsidRPr="00E96209">
        <w:rPr>
          <w:i/>
          <w:lang w:val="fr-CA"/>
        </w:rPr>
        <w:t>Swain</w:t>
      </w:r>
      <w:proofErr w:type="spellEnd"/>
      <w:r w:rsidR="000F0F90" w:rsidRPr="00E96209">
        <w:rPr>
          <w:lang w:val="fr-CA"/>
        </w:rPr>
        <w:t xml:space="preserve">, [1991] 1 </w:t>
      </w:r>
      <w:proofErr w:type="spellStart"/>
      <w:r w:rsidR="000F0F90" w:rsidRPr="00E96209">
        <w:rPr>
          <w:lang w:val="fr-CA"/>
        </w:rPr>
        <w:t>R.C.S</w:t>
      </w:r>
      <w:proofErr w:type="spellEnd"/>
      <w:r w:rsidR="000F0F90" w:rsidRPr="00E96209">
        <w:rPr>
          <w:lang w:val="fr-CA"/>
        </w:rPr>
        <w:t xml:space="preserve">. 933; </w:t>
      </w:r>
      <w:r w:rsidR="000F0F90" w:rsidRPr="00E96209">
        <w:rPr>
          <w:i/>
          <w:lang w:val="fr-CA"/>
        </w:rPr>
        <w:t>R. c. Morales</w:t>
      </w:r>
      <w:r w:rsidR="000F0F90" w:rsidRPr="00E96209">
        <w:rPr>
          <w:lang w:val="fr-CA"/>
        </w:rPr>
        <w:t xml:space="preserve">, [1992] 3 R.C.S. 711; </w:t>
      </w:r>
      <w:proofErr w:type="spellStart"/>
      <w:r w:rsidR="000F0F90" w:rsidRPr="00E96209">
        <w:rPr>
          <w:i/>
          <w:lang w:val="fr-CA"/>
        </w:rPr>
        <w:t>Vriend</w:t>
      </w:r>
      <w:proofErr w:type="spellEnd"/>
      <w:r w:rsidR="000F0F90" w:rsidRPr="00E96209">
        <w:rPr>
          <w:i/>
          <w:lang w:val="fr-CA"/>
        </w:rPr>
        <w:t xml:space="preserve"> c. Alberta</w:t>
      </w:r>
      <w:r w:rsidR="000F0F90" w:rsidRPr="00E96209">
        <w:rPr>
          <w:lang w:val="fr-CA"/>
        </w:rPr>
        <w:t xml:space="preserve">, [1998] 1 R.C.S. 493; </w:t>
      </w:r>
      <w:r w:rsidR="000F0F90" w:rsidRPr="00E96209">
        <w:rPr>
          <w:i/>
          <w:lang w:val="fr-CA"/>
        </w:rPr>
        <w:t>Canada (Procureur général) c. Fédération des ordres professionnels de juristes du Canada</w:t>
      </w:r>
      <w:r w:rsidR="000F0F90" w:rsidRPr="00E96209">
        <w:rPr>
          <w:lang w:val="fr-CA"/>
        </w:rPr>
        <w:t>, 2</w:t>
      </w:r>
      <w:r w:rsidR="004B4D0B" w:rsidRPr="00E96209">
        <w:rPr>
          <w:lang w:val="fr-CA"/>
        </w:rPr>
        <w:t xml:space="preserve">015 CSC 7, [2015] 1 R.C.S. 401; </w:t>
      </w:r>
      <w:r w:rsidRPr="00E96209">
        <w:rPr>
          <w:i/>
          <w:lang w:val="fr-CA"/>
        </w:rPr>
        <w:t>Renvoi relatif à la sécession du Québec</w:t>
      </w:r>
      <w:r w:rsidR="000F0F90" w:rsidRPr="00E96209">
        <w:rPr>
          <w:lang w:val="fr-CA"/>
        </w:rPr>
        <w:t>,</w:t>
      </w:r>
      <w:r w:rsidR="000F0F90" w:rsidRPr="00E96209">
        <w:rPr>
          <w:i/>
          <w:lang w:val="fr-CA"/>
        </w:rPr>
        <w:t xml:space="preserve"> </w:t>
      </w:r>
      <w:r w:rsidR="000F0F90" w:rsidRPr="00E96209">
        <w:rPr>
          <w:lang w:val="fr-CA"/>
        </w:rPr>
        <w:t xml:space="preserve">[1998] 2 R.C.S. 217; </w:t>
      </w:r>
      <w:r w:rsidR="000F0F90" w:rsidRPr="00E96209">
        <w:rPr>
          <w:i/>
          <w:lang w:val="fr-CA"/>
        </w:rPr>
        <w:t>R. c. Demers</w:t>
      </w:r>
      <w:r w:rsidR="000F0F90" w:rsidRPr="00E96209">
        <w:rPr>
          <w:lang w:val="fr-CA"/>
        </w:rPr>
        <w:t xml:space="preserve">, 2004 CSC 46, [2004] 2 R.C.S. 489; </w:t>
      </w:r>
      <w:proofErr w:type="spellStart"/>
      <w:r w:rsidR="000F0F90" w:rsidRPr="00E96209">
        <w:rPr>
          <w:i/>
          <w:lang w:val="fr-CA"/>
        </w:rPr>
        <w:t>Charkaoui</w:t>
      </w:r>
      <w:proofErr w:type="spellEnd"/>
      <w:r w:rsidR="000F0F90" w:rsidRPr="00E96209">
        <w:rPr>
          <w:i/>
          <w:lang w:val="fr-CA"/>
        </w:rPr>
        <w:t xml:space="preserve"> c. Canada (Citoyenneté et Immigration)</w:t>
      </w:r>
      <w:r w:rsidR="000F0F90" w:rsidRPr="00E96209">
        <w:rPr>
          <w:lang w:val="fr-CA"/>
        </w:rPr>
        <w:t xml:space="preserve">, 2007 CSC 9, [2007] 1 R.C.S. 350; </w:t>
      </w:r>
      <w:r w:rsidR="000F0F90" w:rsidRPr="00E96209">
        <w:rPr>
          <w:i/>
          <w:lang w:val="fr-CA"/>
        </w:rPr>
        <w:t>Ontario (Procureur</w:t>
      </w:r>
      <w:r w:rsidR="00A11ACE">
        <w:rPr>
          <w:i/>
          <w:lang w:val="fr-CA"/>
        </w:rPr>
        <w:t>e</w:t>
      </w:r>
      <w:r w:rsidR="000F0F90" w:rsidRPr="00E96209">
        <w:rPr>
          <w:i/>
          <w:lang w:val="fr-CA"/>
        </w:rPr>
        <w:t xml:space="preserve"> général</w:t>
      </w:r>
      <w:r w:rsidR="00A11ACE">
        <w:rPr>
          <w:i/>
          <w:lang w:val="fr-CA"/>
        </w:rPr>
        <w:t>e</w:t>
      </w:r>
      <w:r w:rsidR="000F0F90" w:rsidRPr="00E96209">
        <w:rPr>
          <w:i/>
          <w:lang w:val="fr-CA"/>
        </w:rPr>
        <w:t>) c. G</w:t>
      </w:r>
      <w:r w:rsidR="000F0F90" w:rsidRPr="00E96209">
        <w:rPr>
          <w:lang w:val="fr-CA"/>
        </w:rPr>
        <w:t>, 2019 CSC 36</w:t>
      </w:r>
      <w:r w:rsidR="00A11ACE">
        <w:rPr>
          <w:lang w:val="fr-CA"/>
        </w:rPr>
        <w:t>, [2019</w:t>
      </w:r>
      <w:r w:rsidR="00A11ACE" w:rsidRPr="00E96209">
        <w:rPr>
          <w:lang w:val="fr-CA"/>
        </w:rPr>
        <w:t>]</w:t>
      </w:r>
      <w:r w:rsidR="00A11ACE">
        <w:rPr>
          <w:lang w:val="fr-CA"/>
        </w:rPr>
        <w:t xml:space="preserve"> 2 R.C.S. 990</w:t>
      </w:r>
      <w:r w:rsidR="000F0F90" w:rsidRPr="00E96209">
        <w:rPr>
          <w:lang w:val="fr-CA"/>
        </w:rPr>
        <w:t>.</w:t>
      </w:r>
    </w:p>
    <w:p w14:paraId="5BC5B907" w14:textId="1D9C80DF" w:rsidR="001D13A0" w:rsidRPr="00E96209" w:rsidRDefault="001D13A0" w:rsidP="001D13A0">
      <w:pPr>
        <w:pStyle w:val="SCCNormalDoubleSpacing"/>
        <w:spacing w:after="720" w:line="240" w:lineRule="auto"/>
        <w:rPr>
          <w:lang w:val="fr-CA"/>
        </w:rPr>
      </w:pPr>
      <w:r w:rsidRPr="00E96209">
        <w:rPr>
          <w:lang w:val="fr-CA"/>
        </w:rPr>
        <w:t>Citée par les juges Côté et Brown</w:t>
      </w:r>
      <w:r w:rsidR="005F7726" w:rsidRPr="00E96209">
        <w:rPr>
          <w:lang w:val="fr-CA"/>
        </w:rPr>
        <w:t xml:space="preserve"> (dissidents en partie)</w:t>
      </w:r>
    </w:p>
    <w:p w14:paraId="11C347C6" w14:textId="4CACF5D5" w:rsidR="001D13A0" w:rsidRPr="00E96209" w:rsidRDefault="001D13A0" w:rsidP="008A7C16">
      <w:pPr>
        <w:pStyle w:val="SCCNormalDoubleSpacing"/>
        <w:spacing w:after="480"/>
        <w:rPr>
          <w:lang w:val="fr-CA"/>
        </w:rPr>
      </w:pPr>
      <w:r w:rsidRPr="00E96209">
        <w:rPr>
          <w:lang w:val="fr-CA"/>
        </w:rPr>
        <w:tab/>
      </w:r>
      <w:proofErr w:type="spellStart"/>
      <w:r w:rsidRPr="00E96209">
        <w:rPr>
          <w:i/>
          <w:lang w:val="fr-CA"/>
        </w:rPr>
        <w:t>Schachter</w:t>
      </w:r>
      <w:proofErr w:type="spellEnd"/>
      <w:r w:rsidRPr="00E96209">
        <w:rPr>
          <w:i/>
          <w:lang w:val="fr-CA"/>
        </w:rPr>
        <w:t xml:space="preserve"> c. Canada</w:t>
      </w:r>
      <w:r w:rsidRPr="00E96209">
        <w:rPr>
          <w:lang w:val="fr-CA"/>
        </w:rPr>
        <w:t xml:space="preserve">, [1992] 2 R.C.S. 679; </w:t>
      </w:r>
      <w:r w:rsidRPr="00E96209">
        <w:rPr>
          <w:i/>
          <w:lang w:val="fr-CA"/>
        </w:rPr>
        <w:t xml:space="preserve">Première Nation de </w:t>
      </w:r>
      <w:proofErr w:type="spellStart"/>
      <w:r w:rsidRPr="00E96209">
        <w:rPr>
          <w:i/>
          <w:szCs w:val="24"/>
          <w:lang w:val="fr-CA"/>
        </w:rPr>
        <w:t>Kahkewistahaw</w:t>
      </w:r>
      <w:proofErr w:type="spellEnd"/>
      <w:r w:rsidRPr="00E96209">
        <w:rPr>
          <w:i/>
          <w:szCs w:val="24"/>
          <w:lang w:val="fr-CA"/>
        </w:rPr>
        <w:t xml:space="preserve"> c. </w:t>
      </w:r>
      <w:proofErr w:type="spellStart"/>
      <w:r w:rsidRPr="00E96209">
        <w:rPr>
          <w:i/>
          <w:szCs w:val="24"/>
          <w:lang w:val="fr-CA"/>
        </w:rPr>
        <w:t>Taypotat</w:t>
      </w:r>
      <w:proofErr w:type="spellEnd"/>
      <w:r w:rsidRPr="00E96209">
        <w:rPr>
          <w:szCs w:val="24"/>
          <w:lang w:val="fr-CA"/>
        </w:rPr>
        <w:t xml:space="preserve">, 2015 CSC 30, [2015] 2 R.C.S. 548; </w:t>
      </w:r>
      <w:proofErr w:type="spellStart"/>
      <w:r w:rsidRPr="00E96209">
        <w:rPr>
          <w:i/>
          <w:lang w:val="fr-CA"/>
        </w:rPr>
        <w:t>Vriend</w:t>
      </w:r>
      <w:proofErr w:type="spellEnd"/>
      <w:r w:rsidRPr="00E96209">
        <w:rPr>
          <w:lang w:val="fr-CA"/>
        </w:rPr>
        <w:t xml:space="preserve"> </w:t>
      </w:r>
      <w:r w:rsidRPr="00E96209">
        <w:rPr>
          <w:i/>
          <w:lang w:val="fr-CA"/>
        </w:rPr>
        <w:t>c. Alberta</w:t>
      </w:r>
      <w:r w:rsidRPr="00E96209">
        <w:rPr>
          <w:lang w:val="fr-CA"/>
        </w:rPr>
        <w:t xml:space="preserve">, [1998] 1 </w:t>
      </w:r>
      <w:r w:rsidR="003208E1" w:rsidRPr="00E96209">
        <w:rPr>
          <w:lang w:val="fr-CA"/>
        </w:rPr>
        <w:t>R.C.S.</w:t>
      </w:r>
      <w:r w:rsidRPr="00E96209">
        <w:rPr>
          <w:lang w:val="fr-CA"/>
        </w:rPr>
        <w:t xml:space="preserve"> 493; </w:t>
      </w:r>
      <w:proofErr w:type="spellStart"/>
      <w:r w:rsidRPr="00E96209">
        <w:rPr>
          <w:i/>
          <w:szCs w:val="24"/>
          <w:lang w:val="fr-CA"/>
        </w:rPr>
        <w:t>Withler</w:t>
      </w:r>
      <w:proofErr w:type="spellEnd"/>
      <w:r w:rsidRPr="00E96209">
        <w:rPr>
          <w:i/>
          <w:szCs w:val="24"/>
          <w:lang w:val="fr-CA"/>
        </w:rPr>
        <w:t xml:space="preserve"> c. Canada (Procureur général)</w:t>
      </w:r>
      <w:r w:rsidRPr="00E96209">
        <w:rPr>
          <w:szCs w:val="24"/>
          <w:lang w:val="fr-CA"/>
        </w:rPr>
        <w:t xml:space="preserve">, 2011 </w:t>
      </w:r>
      <w:r w:rsidR="003208E1" w:rsidRPr="00E96209">
        <w:rPr>
          <w:szCs w:val="24"/>
          <w:lang w:val="fr-CA"/>
        </w:rPr>
        <w:t>CSC</w:t>
      </w:r>
      <w:r w:rsidRPr="00E96209">
        <w:rPr>
          <w:szCs w:val="24"/>
          <w:lang w:val="fr-CA"/>
        </w:rPr>
        <w:t xml:space="preserve"> 12, [2011] 1 </w:t>
      </w:r>
      <w:r w:rsidR="003208E1" w:rsidRPr="00E96209">
        <w:rPr>
          <w:szCs w:val="24"/>
          <w:lang w:val="fr-CA"/>
        </w:rPr>
        <w:t>R.C.S.</w:t>
      </w:r>
      <w:r w:rsidRPr="00E96209">
        <w:rPr>
          <w:szCs w:val="24"/>
          <w:lang w:val="fr-CA"/>
        </w:rPr>
        <w:t xml:space="preserve"> 396; </w:t>
      </w:r>
      <w:r w:rsidRPr="00E96209">
        <w:rPr>
          <w:i/>
          <w:szCs w:val="24"/>
          <w:lang w:val="fr-CA"/>
        </w:rPr>
        <w:t>R. c. Henry</w:t>
      </w:r>
      <w:r w:rsidRPr="00E96209">
        <w:rPr>
          <w:szCs w:val="24"/>
          <w:lang w:val="fr-CA"/>
        </w:rPr>
        <w:t xml:space="preserve">, 2005 </w:t>
      </w:r>
      <w:r w:rsidR="003208E1" w:rsidRPr="00E96209">
        <w:rPr>
          <w:szCs w:val="24"/>
          <w:lang w:val="fr-CA"/>
        </w:rPr>
        <w:t>CSC</w:t>
      </w:r>
      <w:r w:rsidRPr="00E96209">
        <w:rPr>
          <w:szCs w:val="24"/>
          <w:lang w:val="fr-CA"/>
        </w:rPr>
        <w:t xml:space="preserve"> 76, [2005] 3 </w:t>
      </w:r>
      <w:r w:rsidR="003208E1" w:rsidRPr="00E96209">
        <w:rPr>
          <w:szCs w:val="24"/>
          <w:lang w:val="fr-CA"/>
        </w:rPr>
        <w:t>R.C.S.</w:t>
      </w:r>
      <w:r w:rsidRPr="00E96209">
        <w:rPr>
          <w:szCs w:val="24"/>
          <w:lang w:val="fr-CA"/>
        </w:rPr>
        <w:t xml:space="preserve"> 609; </w:t>
      </w:r>
      <w:r w:rsidRPr="00E96209">
        <w:rPr>
          <w:i/>
          <w:lang w:val="fr-CA"/>
        </w:rPr>
        <w:t>Renvoi relatif aux droits linguistiques au Manitoba</w:t>
      </w:r>
      <w:r w:rsidRPr="00E96209">
        <w:rPr>
          <w:lang w:val="fr-CA"/>
        </w:rPr>
        <w:t xml:space="preserve">, [1985] 1 </w:t>
      </w:r>
      <w:r w:rsidR="00DB5E2B" w:rsidRPr="00E96209">
        <w:rPr>
          <w:lang w:val="fr-CA"/>
        </w:rPr>
        <w:t>R.C.S.</w:t>
      </w:r>
      <w:r w:rsidRPr="00E96209">
        <w:rPr>
          <w:lang w:val="fr-CA"/>
        </w:rPr>
        <w:t xml:space="preserve"> 721; </w:t>
      </w:r>
      <w:r w:rsidRPr="00E96209">
        <w:rPr>
          <w:i/>
          <w:lang w:val="fr-CA"/>
        </w:rPr>
        <w:t>Association de la police montée de l’Ontario c. Canada (Procureur général)</w:t>
      </w:r>
      <w:r w:rsidRPr="00E96209">
        <w:rPr>
          <w:lang w:val="fr-CA"/>
        </w:rPr>
        <w:t xml:space="preserve">, 2015 </w:t>
      </w:r>
      <w:r w:rsidR="003208E1" w:rsidRPr="00E96209">
        <w:rPr>
          <w:lang w:val="fr-CA"/>
        </w:rPr>
        <w:t>CSC</w:t>
      </w:r>
      <w:r w:rsidRPr="00E96209">
        <w:rPr>
          <w:lang w:val="fr-CA"/>
        </w:rPr>
        <w:t xml:space="preserve"> 1, [2015] 1 </w:t>
      </w:r>
      <w:r w:rsidR="003208E1" w:rsidRPr="00E96209">
        <w:rPr>
          <w:lang w:val="fr-CA"/>
        </w:rPr>
        <w:t>R.C.S.</w:t>
      </w:r>
      <w:r w:rsidRPr="00E96209">
        <w:rPr>
          <w:lang w:val="fr-CA"/>
        </w:rPr>
        <w:t xml:space="preserve"> 3; </w:t>
      </w:r>
      <w:r w:rsidRPr="00E96209">
        <w:rPr>
          <w:i/>
          <w:lang w:val="fr-CA"/>
        </w:rPr>
        <w:t xml:space="preserve">Saskatchewan </w:t>
      </w:r>
      <w:proofErr w:type="spellStart"/>
      <w:r w:rsidRPr="00E96209">
        <w:rPr>
          <w:i/>
          <w:lang w:val="fr-CA"/>
        </w:rPr>
        <w:t>Federation</w:t>
      </w:r>
      <w:proofErr w:type="spellEnd"/>
      <w:r w:rsidRPr="00E96209">
        <w:rPr>
          <w:i/>
          <w:lang w:val="fr-CA"/>
        </w:rPr>
        <w:t xml:space="preserve"> of Labour c. Saskatchewan</w:t>
      </w:r>
      <w:r w:rsidRPr="00E96209">
        <w:rPr>
          <w:lang w:val="fr-CA"/>
        </w:rPr>
        <w:t xml:space="preserve">, 2015 </w:t>
      </w:r>
      <w:r w:rsidR="003208E1" w:rsidRPr="00E96209">
        <w:rPr>
          <w:lang w:val="fr-CA"/>
        </w:rPr>
        <w:t>CSC</w:t>
      </w:r>
      <w:r w:rsidRPr="00E96209">
        <w:rPr>
          <w:lang w:val="fr-CA"/>
        </w:rPr>
        <w:t xml:space="preserve"> 4, [2015] 1 </w:t>
      </w:r>
      <w:r w:rsidR="003208E1" w:rsidRPr="00E96209">
        <w:rPr>
          <w:lang w:val="fr-CA"/>
        </w:rPr>
        <w:t>R.C.S.</w:t>
      </w:r>
      <w:r w:rsidRPr="00E96209">
        <w:rPr>
          <w:lang w:val="fr-CA"/>
        </w:rPr>
        <w:t xml:space="preserve"> 245; </w:t>
      </w:r>
      <w:r w:rsidRPr="00E96209">
        <w:rPr>
          <w:i/>
          <w:lang w:val="fr-CA"/>
        </w:rPr>
        <w:t xml:space="preserve">T.U.A.C., section locale 1518 c. </w:t>
      </w:r>
      <w:proofErr w:type="spellStart"/>
      <w:r w:rsidRPr="00E96209">
        <w:rPr>
          <w:i/>
          <w:lang w:val="fr-CA"/>
        </w:rPr>
        <w:t>KMart</w:t>
      </w:r>
      <w:proofErr w:type="spellEnd"/>
      <w:r w:rsidRPr="00E96209">
        <w:rPr>
          <w:i/>
          <w:lang w:val="fr-CA"/>
        </w:rPr>
        <w:t xml:space="preserve"> Canada Ltd.</w:t>
      </w:r>
      <w:r w:rsidRPr="00E96209">
        <w:rPr>
          <w:lang w:val="fr-CA"/>
        </w:rPr>
        <w:t xml:space="preserve">, [1999] 2 </w:t>
      </w:r>
      <w:r w:rsidR="003208E1" w:rsidRPr="00E96209">
        <w:rPr>
          <w:lang w:val="fr-CA"/>
        </w:rPr>
        <w:t>R.C.S.</w:t>
      </w:r>
      <w:r w:rsidRPr="00E96209">
        <w:rPr>
          <w:lang w:val="fr-CA"/>
        </w:rPr>
        <w:t xml:space="preserve"> 1083; </w:t>
      </w:r>
      <w:proofErr w:type="spellStart"/>
      <w:r w:rsidR="00064AE0" w:rsidRPr="00E96209">
        <w:rPr>
          <w:i/>
          <w:lang w:val="fr-CA"/>
        </w:rPr>
        <w:t>Health</w:t>
      </w:r>
      <w:proofErr w:type="spellEnd"/>
      <w:r w:rsidR="00064AE0" w:rsidRPr="00E96209">
        <w:rPr>
          <w:i/>
          <w:lang w:val="fr-CA"/>
        </w:rPr>
        <w:t xml:space="preserve"> Services and Support </w:t>
      </w:r>
      <w:r w:rsidR="007D4FBB" w:rsidRPr="00E96209">
        <w:rPr>
          <w:i/>
          <w:lang w:val="fr-CA"/>
        </w:rPr>
        <w:t>—</w:t>
      </w:r>
      <w:r w:rsidRPr="00E96209">
        <w:rPr>
          <w:i/>
          <w:lang w:val="fr-CA"/>
        </w:rPr>
        <w:t xml:space="preserve"> </w:t>
      </w:r>
      <w:proofErr w:type="spellStart"/>
      <w:r w:rsidRPr="00E96209">
        <w:rPr>
          <w:i/>
          <w:lang w:val="fr-CA"/>
        </w:rPr>
        <w:t>Facilities</w:t>
      </w:r>
      <w:proofErr w:type="spellEnd"/>
      <w:r w:rsidRPr="00E96209">
        <w:rPr>
          <w:i/>
          <w:lang w:val="fr-CA"/>
        </w:rPr>
        <w:t xml:space="preserve"> </w:t>
      </w:r>
      <w:proofErr w:type="spellStart"/>
      <w:r w:rsidRPr="00E96209">
        <w:rPr>
          <w:i/>
          <w:lang w:val="fr-CA"/>
        </w:rPr>
        <w:t>Subsector</w:t>
      </w:r>
      <w:proofErr w:type="spellEnd"/>
      <w:r w:rsidRPr="00E96209">
        <w:rPr>
          <w:i/>
          <w:lang w:val="fr-CA"/>
        </w:rPr>
        <w:t xml:space="preserve"> </w:t>
      </w:r>
      <w:proofErr w:type="spellStart"/>
      <w:r w:rsidRPr="00E96209">
        <w:rPr>
          <w:i/>
          <w:lang w:val="fr-CA"/>
        </w:rPr>
        <w:t>Bargaining</w:t>
      </w:r>
      <w:proofErr w:type="spellEnd"/>
      <w:r w:rsidRPr="00E96209">
        <w:rPr>
          <w:i/>
          <w:lang w:val="fr-CA"/>
        </w:rPr>
        <w:t xml:space="preserve"> </w:t>
      </w:r>
      <w:proofErr w:type="spellStart"/>
      <w:r w:rsidRPr="00E96209">
        <w:rPr>
          <w:i/>
          <w:lang w:val="fr-CA"/>
        </w:rPr>
        <w:t>Assn</w:t>
      </w:r>
      <w:proofErr w:type="spellEnd"/>
      <w:r w:rsidRPr="00E96209">
        <w:rPr>
          <w:i/>
          <w:lang w:val="fr-CA"/>
        </w:rPr>
        <w:t>. c. Colombie</w:t>
      </w:r>
      <w:r w:rsidR="00E96209">
        <w:rPr>
          <w:i/>
          <w:lang w:val="fr-CA"/>
        </w:rPr>
        <w:noBreakHyphen/>
      </w:r>
      <w:r w:rsidRPr="00E96209">
        <w:rPr>
          <w:i/>
          <w:lang w:val="fr-CA"/>
        </w:rPr>
        <w:t>Britannique</w:t>
      </w:r>
      <w:r w:rsidRPr="00E96209">
        <w:rPr>
          <w:lang w:val="fr-CA"/>
        </w:rPr>
        <w:t xml:space="preserve">, 2007 </w:t>
      </w:r>
      <w:r w:rsidR="003208E1" w:rsidRPr="00E96209">
        <w:rPr>
          <w:lang w:val="fr-CA"/>
        </w:rPr>
        <w:t>CSC</w:t>
      </w:r>
      <w:r w:rsidRPr="00E96209">
        <w:rPr>
          <w:lang w:val="fr-CA"/>
        </w:rPr>
        <w:t xml:space="preserve"> 27, [2007] 2 </w:t>
      </w:r>
      <w:r w:rsidR="003208E1" w:rsidRPr="00E96209">
        <w:rPr>
          <w:lang w:val="fr-CA"/>
        </w:rPr>
        <w:t>R.C.S.</w:t>
      </w:r>
      <w:r w:rsidRPr="00E96209">
        <w:rPr>
          <w:lang w:val="fr-CA"/>
        </w:rPr>
        <w:t xml:space="preserve"> 391; </w:t>
      </w:r>
      <w:r w:rsidRPr="00E96209">
        <w:rPr>
          <w:i/>
          <w:lang w:val="fr-CA"/>
        </w:rPr>
        <w:t>R. c. Guignard</w:t>
      </w:r>
      <w:r w:rsidR="00064AE0" w:rsidRPr="00E96209">
        <w:rPr>
          <w:lang w:val="fr-CA"/>
        </w:rPr>
        <w:t>,</w:t>
      </w:r>
      <w:r w:rsidRPr="00E96209">
        <w:rPr>
          <w:lang w:val="fr-CA"/>
        </w:rPr>
        <w:t xml:space="preserve"> 2002 </w:t>
      </w:r>
      <w:r w:rsidR="003208E1" w:rsidRPr="00E96209">
        <w:rPr>
          <w:lang w:val="fr-CA"/>
        </w:rPr>
        <w:t>CSC</w:t>
      </w:r>
      <w:r w:rsidRPr="00E96209">
        <w:rPr>
          <w:lang w:val="fr-CA"/>
        </w:rPr>
        <w:t xml:space="preserve"> 14, [2002] 1 </w:t>
      </w:r>
      <w:r w:rsidR="003208E1" w:rsidRPr="00E96209">
        <w:rPr>
          <w:lang w:val="fr-CA"/>
        </w:rPr>
        <w:t>R.C.S.</w:t>
      </w:r>
      <w:r w:rsidRPr="00E96209">
        <w:rPr>
          <w:lang w:val="fr-CA"/>
        </w:rPr>
        <w:t xml:space="preserve"> 472; </w:t>
      </w:r>
      <w:proofErr w:type="spellStart"/>
      <w:r w:rsidRPr="00E96209">
        <w:rPr>
          <w:i/>
          <w:lang w:val="fr-CA"/>
        </w:rPr>
        <w:t>Trociuk</w:t>
      </w:r>
      <w:proofErr w:type="spellEnd"/>
      <w:r w:rsidRPr="00E96209">
        <w:rPr>
          <w:i/>
          <w:lang w:val="fr-CA"/>
        </w:rPr>
        <w:t xml:space="preserve"> c. Colombie</w:t>
      </w:r>
      <w:r w:rsidR="00E96209">
        <w:rPr>
          <w:i/>
          <w:lang w:val="fr-CA"/>
        </w:rPr>
        <w:noBreakHyphen/>
      </w:r>
      <w:r w:rsidRPr="00E96209">
        <w:rPr>
          <w:i/>
          <w:lang w:val="fr-CA"/>
        </w:rPr>
        <w:t>Britannique (Procureur général)</w:t>
      </w:r>
      <w:r w:rsidRPr="00E96209">
        <w:rPr>
          <w:lang w:val="fr-CA"/>
        </w:rPr>
        <w:t xml:space="preserve">, 2003 </w:t>
      </w:r>
      <w:r w:rsidR="003208E1" w:rsidRPr="00E96209">
        <w:rPr>
          <w:lang w:val="fr-CA"/>
        </w:rPr>
        <w:t>CSC</w:t>
      </w:r>
      <w:r w:rsidRPr="00E96209">
        <w:rPr>
          <w:lang w:val="fr-CA"/>
        </w:rPr>
        <w:t xml:space="preserve"> 34,</w:t>
      </w:r>
      <w:r w:rsidR="00E96209">
        <w:rPr>
          <w:lang w:val="fr-CA"/>
        </w:rPr>
        <w:t xml:space="preserve"> </w:t>
      </w:r>
      <w:r w:rsidRPr="00E96209">
        <w:rPr>
          <w:lang w:val="fr-CA"/>
        </w:rPr>
        <w:t xml:space="preserve">[2003] 1 </w:t>
      </w:r>
      <w:r w:rsidR="003208E1" w:rsidRPr="00E96209">
        <w:rPr>
          <w:lang w:val="fr-CA"/>
        </w:rPr>
        <w:t>R.C.S.</w:t>
      </w:r>
      <w:r w:rsidRPr="00E96209">
        <w:rPr>
          <w:lang w:val="fr-CA"/>
        </w:rPr>
        <w:t xml:space="preserve"> 835; </w:t>
      </w:r>
      <w:proofErr w:type="spellStart"/>
      <w:r w:rsidRPr="00E96209">
        <w:rPr>
          <w:i/>
          <w:lang w:val="fr-CA"/>
        </w:rPr>
        <w:t>Figueroa</w:t>
      </w:r>
      <w:proofErr w:type="spellEnd"/>
      <w:r w:rsidRPr="00E96209">
        <w:rPr>
          <w:i/>
          <w:lang w:val="fr-CA"/>
        </w:rPr>
        <w:t xml:space="preserve"> c. Canada (Procureur général)</w:t>
      </w:r>
      <w:r w:rsidRPr="00E96209">
        <w:rPr>
          <w:lang w:val="fr-CA"/>
        </w:rPr>
        <w:t xml:space="preserve">, 2003 </w:t>
      </w:r>
      <w:r w:rsidR="003208E1" w:rsidRPr="00E96209">
        <w:rPr>
          <w:lang w:val="fr-CA"/>
        </w:rPr>
        <w:t>CSC</w:t>
      </w:r>
      <w:r w:rsidRPr="00E96209">
        <w:rPr>
          <w:lang w:val="fr-CA"/>
        </w:rPr>
        <w:t xml:space="preserve"> 37, [2003] 1 </w:t>
      </w:r>
      <w:r w:rsidR="003208E1" w:rsidRPr="00E96209">
        <w:rPr>
          <w:lang w:val="fr-CA"/>
        </w:rPr>
        <w:t>R.C.S.</w:t>
      </w:r>
      <w:r w:rsidR="007D4FBB" w:rsidRPr="00E96209">
        <w:rPr>
          <w:lang w:val="fr-CA"/>
        </w:rPr>
        <w:t xml:space="preserve"> </w:t>
      </w:r>
      <w:r w:rsidRPr="00E96209">
        <w:rPr>
          <w:lang w:val="fr-CA"/>
        </w:rPr>
        <w:t xml:space="preserve">912; </w:t>
      </w:r>
      <w:proofErr w:type="spellStart"/>
      <w:r w:rsidRPr="00E96209">
        <w:rPr>
          <w:i/>
          <w:lang w:val="fr-CA"/>
        </w:rPr>
        <w:t>Corbiere</w:t>
      </w:r>
      <w:proofErr w:type="spellEnd"/>
      <w:r w:rsidRPr="00E96209">
        <w:rPr>
          <w:i/>
          <w:lang w:val="fr-CA"/>
        </w:rPr>
        <w:t xml:space="preserve"> c. Canada (Ministre des Affaires indiennes et du Nord canadien)</w:t>
      </w:r>
      <w:r w:rsidRPr="00E96209">
        <w:rPr>
          <w:lang w:val="fr-CA"/>
        </w:rPr>
        <w:t xml:space="preserve">, [1999] 2 </w:t>
      </w:r>
      <w:r w:rsidR="003208E1" w:rsidRPr="00E96209">
        <w:rPr>
          <w:lang w:val="fr-CA"/>
        </w:rPr>
        <w:t>R.C.S.</w:t>
      </w:r>
      <w:r w:rsidRPr="00E96209">
        <w:rPr>
          <w:lang w:val="fr-CA"/>
        </w:rPr>
        <w:t xml:space="preserve"> 203; </w:t>
      </w:r>
      <w:r w:rsidRPr="00E96209">
        <w:rPr>
          <w:i/>
          <w:lang w:val="fr-CA"/>
        </w:rPr>
        <w:t>Carter c. Canada (Procureur général)</w:t>
      </w:r>
      <w:r w:rsidRPr="00E96209">
        <w:rPr>
          <w:lang w:val="fr-CA"/>
        </w:rPr>
        <w:t xml:space="preserve">, 2015 </w:t>
      </w:r>
      <w:r w:rsidR="003208E1" w:rsidRPr="00E96209">
        <w:rPr>
          <w:lang w:val="fr-CA"/>
        </w:rPr>
        <w:t>CSC</w:t>
      </w:r>
      <w:r w:rsidRPr="00E96209">
        <w:rPr>
          <w:lang w:val="fr-CA"/>
        </w:rPr>
        <w:t xml:space="preserve"> 5, [2015] 1 </w:t>
      </w:r>
      <w:r w:rsidR="003208E1" w:rsidRPr="00E96209">
        <w:rPr>
          <w:lang w:val="fr-CA"/>
        </w:rPr>
        <w:t>R.C.S.</w:t>
      </w:r>
      <w:r w:rsidRPr="00E96209">
        <w:rPr>
          <w:lang w:val="fr-CA"/>
        </w:rPr>
        <w:t xml:space="preserve"> 331;</w:t>
      </w:r>
      <w:r w:rsidR="00F843EB" w:rsidRPr="00E96209">
        <w:rPr>
          <w:i/>
          <w:lang w:val="fr-CA"/>
        </w:rPr>
        <w:t xml:space="preserve"> Canada (Procureur général) c. Bedford</w:t>
      </w:r>
      <w:r w:rsidR="00F843EB" w:rsidRPr="00E96209">
        <w:rPr>
          <w:lang w:val="fr-CA"/>
        </w:rPr>
        <w:t>, 2013 CSC 72, [2013] 3 R.C.S. 1101;</w:t>
      </w:r>
      <w:r w:rsidRPr="00E96209">
        <w:rPr>
          <w:lang w:val="fr-CA"/>
        </w:rPr>
        <w:t xml:space="preserve"> </w:t>
      </w:r>
      <w:r w:rsidRPr="00E96209">
        <w:rPr>
          <w:i/>
          <w:lang w:val="fr-CA"/>
        </w:rPr>
        <w:t>R. c. Morrison</w:t>
      </w:r>
      <w:r w:rsidRPr="00E96209">
        <w:rPr>
          <w:lang w:val="fr-CA"/>
        </w:rPr>
        <w:t xml:space="preserve">, 2019 </w:t>
      </w:r>
      <w:r w:rsidR="003208E1" w:rsidRPr="00E96209">
        <w:rPr>
          <w:lang w:val="fr-CA"/>
        </w:rPr>
        <w:t>CSC</w:t>
      </w:r>
      <w:r w:rsidRPr="00E96209">
        <w:rPr>
          <w:lang w:val="fr-CA"/>
        </w:rPr>
        <w:t xml:space="preserve"> 15, [2019] 2 </w:t>
      </w:r>
      <w:r w:rsidR="003208E1" w:rsidRPr="00E96209">
        <w:rPr>
          <w:lang w:val="fr-CA"/>
        </w:rPr>
        <w:t>R.C.S.</w:t>
      </w:r>
      <w:r w:rsidRPr="00E96209">
        <w:rPr>
          <w:lang w:val="fr-CA"/>
        </w:rPr>
        <w:t xml:space="preserve"> 3; </w:t>
      </w:r>
      <w:r w:rsidRPr="00E96209">
        <w:rPr>
          <w:i/>
          <w:lang w:val="fr-CA"/>
        </w:rPr>
        <w:t>Québec (Procureure générale) c. Alliance du personnel professionnel et technique de la santé et des services sociaux</w:t>
      </w:r>
      <w:r w:rsidRPr="00E96209">
        <w:rPr>
          <w:lang w:val="fr-CA"/>
        </w:rPr>
        <w:t xml:space="preserve">, 2018 </w:t>
      </w:r>
      <w:r w:rsidR="003208E1" w:rsidRPr="00E96209">
        <w:rPr>
          <w:lang w:val="fr-CA"/>
        </w:rPr>
        <w:t>CSC</w:t>
      </w:r>
      <w:r w:rsidRPr="00E96209">
        <w:rPr>
          <w:lang w:val="fr-CA"/>
        </w:rPr>
        <w:t xml:space="preserve"> 17, [2018] 1 </w:t>
      </w:r>
      <w:r w:rsidR="003208E1" w:rsidRPr="00E96209">
        <w:rPr>
          <w:lang w:val="fr-CA"/>
        </w:rPr>
        <w:t>R.C.S.</w:t>
      </w:r>
      <w:r w:rsidRPr="00E96209">
        <w:rPr>
          <w:lang w:val="fr-CA"/>
        </w:rPr>
        <w:t xml:space="preserve"> 464; </w:t>
      </w:r>
      <w:r w:rsidRPr="00E96209">
        <w:rPr>
          <w:i/>
          <w:lang w:val="fr-CA"/>
        </w:rPr>
        <w:t xml:space="preserve">R. c. </w:t>
      </w:r>
      <w:proofErr w:type="spellStart"/>
      <w:r w:rsidRPr="00E96209">
        <w:rPr>
          <w:i/>
          <w:lang w:val="fr-CA"/>
        </w:rPr>
        <w:t>Boudreault</w:t>
      </w:r>
      <w:proofErr w:type="spellEnd"/>
      <w:r w:rsidRPr="00E96209">
        <w:rPr>
          <w:lang w:val="fr-CA"/>
        </w:rPr>
        <w:t xml:space="preserve">, 2018 </w:t>
      </w:r>
      <w:r w:rsidR="003208E1" w:rsidRPr="00E96209">
        <w:rPr>
          <w:lang w:val="fr-CA"/>
        </w:rPr>
        <w:t>CSC</w:t>
      </w:r>
      <w:r w:rsidRPr="00E96209">
        <w:rPr>
          <w:lang w:val="fr-CA"/>
        </w:rPr>
        <w:t xml:space="preserve"> 58, [2018] 3 </w:t>
      </w:r>
      <w:r w:rsidR="003208E1" w:rsidRPr="00E96209">
        <w:rPr>
          <w:lang w:val="fr-CA"/>
        </w:rPr>
        <w:t>R.C.S.</w:t>
      </w:r>
      <w:r w:rsidRPr="00E96209">
        <w:rPr>
          <w:lang w:val="fr-CA"/>
        </w:rPr>
        <w:t xml:space="preserve"> </w:t>
      </w:r>
      <w:r w:rsidR="00946E42" w:rsidRPr="00E96209">
        <w:rPr>
          <w:lang w:val="fr-CA"/>
        </w:rPr>
        <w:t>599</w:t>
      </w:r>
      <w:r w:rsidRPr="00E96209">
        <w:rPr>
          <w:lang w:val="fr-CA"/>
        </w:rPr>
        <w:t xml:space="preserve">; </w:t>
      </w:r>
      <w:r w:rsidRPr="00E96209">
        <w:rPr>
          <w:i/>
          <w:lang w:val="fr-FR"/>
        </w:rPr>
        <w:t>Conférence des juges de paix magistrats du Québec c. Québec (Procureure générale)</w:t>
      </w:r>
      <w:r w:rsidRPr="00E96209">
        <w:rPr>
          <w:lang w:val="fr-FR"/>
        </w:rPr>
        <w:t xml:space="preserve">, 2016 </w:t>
      </w:r>
      <w:r w:rsidR="003208E1" w:rsidRPr="00E96209">
        <w:rPr>
          <w:lang w:val="fr-FR"/>
        </w:rPr>
        <w:t>CSC</w:t>
      </w:r>
      <w:r w:rsidRPr="00E96209">
        <w:rPr>
          <w:lang w:val="fr-FR"/>
        </w:rPr>
        <w:t xml:space="preserve"> 39, </w:t>
      </w:r>
      <w:r w:rsidRPr="00E96209">
        <w:rPr>
          <w:lang w:val="fr-CA"/>
        </w:rPr>
        <w:t xml:space="preserve">[2016] 2 </w:t>
      </w:r>
      <w:r w:rsidR="003208E1" w:rsidRPr="00E96209">
        <w:rPr>
          <w:lang w:val="fr-CA"/>
        </w:rPr>
        <w:t>R.C.S.</w:t>
      </w:r>
      <w:r w:rsidRPr="00E96209">
        <w:rPr>
          <w:lang w:val="fr-CA"/>
        </w:rPr>
        <w:t xml:space="preserve"> 116; </w:t>
      </w:r>
      <w:r w:rsidRPr="00E96209">
        <w:rPr>
          <w:i/>
          <w:lang w:val="fr-CA"/>
        </w:rPr>
        <w:t xml:space="preserve">R. </w:t>
      </w:r>
      <w:r w:rsidR="003208E1" w:rsidRPr="00E96209">
        <w:rPr>
          <w:i/>
          <w:lang w:val="fr-CA"/>
        </w:rPr>
        <w:t>c.</w:t>
      </w:r>
      <w:r w:rsidRPr="00E96209">
        <w:rPr>
          <w:i/>
          <w:lang w:val="fr-CA"/>
        </w:rPr>
        <w:t xml:space="preserve"> Smith</w:t>
      </w:r>
      <w:r w:rsidRPr="00E96209">
        <w:rPr>
          <w:lang w:val="fr-CA"/>
        </w:rPr>
        <w:t xml:space="preserve">, 2015 </w:t>
      </w:r>
      <w:r w:rsidR="003208E1" w:rsidRPr="00E96209">
        <w:rPr>
          <w:lang w:val="fr-CA"/>
        </w:rPr>
        <w:t>CSC</w:t>
      </w:r>
      <w:r w:rsidRPr="00E96209">
        <w:rPr>
          <w:lang w:val="fr-CA"/>
        </w:rPr>
        <w:t xml:space="preserve"> 34, [2015] 2 </w:t>
      </w:r>
      <w:r w:rsidR="003208E1" w:rsidRPr="00E96209">
        <w:rPr>
          <w:lang w:val="fr-CA"/>
        </w:rPr>
        <w:t>R.C.S.</w:t>
      </w:r>
      <w:r w:rsidRPr="00E96209">
        <w:rPr>
          <w:lang w:val="fr-CA"/>
        </w:rPr>
        <w:t xml:space="preserve"> 602; </w:t>
      </w:r>
      <w:r w:rsidRPr="00E96209">
        <w:rPr>
          <w:i/>
          <w:lang w:val="fr-CA"/>
        </w:rPr>
        <w:t xml:space="preserve">Canada (Procureur général) </w:t>
      </w:r>
      <w:r w:rsidR="003208E1" w:rsidRPr="00E96209">
        <w:rPr>
          <w:i/>
          <w:lang w:val="fr-CA"/>
        </w:rPr>
        <w:t>c.</w:t>
      </w:r>
      <w:r w:rsidRPr="00E96209">
        <w:rPr>
          <w:i/>
          <w:lang w:val="fr-CA"/>
        </w:rPr>
        <w:t xml:space="preserve"> </w:t>
      </w:r>
      <w:proofErr w:type="spellStart"/>
      <w:r w:rsidRPr="00E96209">
        <w:rPr>
          <w:i/>
          <w:lang w:val="fr-CA"/>
        </w:rPr>
        <w:t>Whaling</w:t>
      </w:r>
      <w:proofErr w:type="spellEnd"/>
      <w:r w:rsidRPr="00E96209">
        <w:rPr>
          <w:lang w:val="fr-CA"/>
        </w:rPr>
        <w:t xml:space="preserve">, 2014 </w:t>
      </w:r>
      <w:r w:rsidR="003208E1" w:rsidRPr="00E96209">
        <w:rPr>
          <w:lang w:val="fr-CA"/>
        </w:rPr>
        <w:t>CSC</w:t>
      </w:r>
      <w:r w:rsidRPr="00E96209">
        <w:rPr>
          <w:lang w:val="fr-CA"/>
        </w:rPr>
        <w:t xml:space="preserve"> 20, [2014] 1 </w:t>
      </w:r>
      <w:r w:rsidR="003208E1" w:rsidRPr="00E96209">
        <w:rPr>
          <w:lang w:val="fr-CA"/>
        </w:rPr>
        <w:t>R.C.S.</w:t>
      </w:r>
      <w:r w:rsidRPr="00E96209">
        <w:rPr>
          <w:lang w:val="fr-CA"/>
        </w:rPr>
        <w:t xml:space="preserve"> 392; </w:t>
      </w:r>
      <w:r w:rsidRPr="00E96209">
        <w:rPr>
          <w:i/>
          <w:lang w:val="fr-CA"/>
        </w:rPr>
        <w:t xml:space="preserve">Alberta (Information and </w:t>
      </w:r>
      <w:proofErr w:type="spellStart"/>
      <w:r w:rsidRPr="00E96209">
        <w:rPr>
          <w:i/>
          <w:lang w:val="fr-CA"/>
        </w:rPr>
        <w:t>Privacy</w:t>
      </w:r>
      <w:proofErr w:type="spellEnd"/>
      <w:r w:rsidRPr="00E96209">
        <w:rPr>
          <w:i/>
          <w:lang w:val="fr-CA"/>
        </w:rPr>
        <w:t xml:space="preserve"> </w:t>
      </w:r>
      <w:proofErr w:type="spellStart"/>
      <w:r w:rsidRPr="00E96209">
        <w:rPr>
          <w:i/>
          <w:lang w:val="fr-CA"/>
        </w:rPr>
        <w:t>Commissioner</w:t>
      </w:r>
      <w:proofErr w:type="spellEnd"/>
      <w:r w:rsidRPr="00E96209">
        <w:rPr>
          <w:i/>
          <w:lang w:val="fr-CA"/>
        </w:rPr>
        <w:t xml:space="preserve">) </w:t>
      </w:r>
      <w:r w:rsidR="003208E1" w:rsidRPr="00E96209">
        <w:rPr>
          <w:i/>
          <w:lang w:val="fr-CA"/>
        </w:rPr>
        <w:t>c.</w:t>
      </w:r>
      <w:r w:rsidRPr="00E96209">
        <w:rPr>
          <w:i/>
          <w:lang w:val="fr-CA"/>
        </w:rPr>
        <w:t xml:space="preserve"> Travailleurs et travailleuses unis de l’alimentation et du commerce, section locale 401</w:t>
      </w:r>
      <w:r w:rsidRPr="00E96209">
        <w:rPr>
          <w:lang w:val="fr-CA"/>
        </w:rPr>
        <w:t xml:space="preserve">, 2013 </w:t>
      </w:r>
      <w:r w:rsidR="003208E1" w:rsidRPr="00E96209">
        <w:rPr>
          <w:lang w:val="fr-CA"/>
        </w:rPr>
        <w:t>CSC</w:t>
      </w:r>
      <w:r w:rsidRPr="00E96209">
        <w:rPr>
          <w:lang w:val="fr-CA"/>
        </w:rPr>
        <w:t xml:space="preserve"> 62, [2013] 3 </w:t>
      </w:r>
      <w:r w:rsidR="003208E1" w:rsidRPr="00E96209">
        <w:rPr>
          <w:lang w:val="fr-CA"/>
        </w:rPr>
        <w:t>R.C.S.</w:t>
      </w:r>
      <w:r w:rsidRPr="00E96209">
        <w:rPr>
          <w:lang w:val="fr-CA"/>
        </w:rPr>
        <w:t xml:space="preserve"> 733; </w:t>
      </w:r>
      <w:r w:rsidRPr="00E96209">
        <w:rPr>
          <w:i/>
          <w:lang w:val="fr-CA"/>
        </w:rPr>
        <w:t xml:space="preserve">R. </w:t>
      </w:r>
      <w:r w:rsidR="003208E1" w:rsidRPr="00E96209">
        <w:rPr>
          <w:i/>
          <w:lang w:val="fr-CA"/>
        </w:rPr>
        <w:t>c.</w:t>
      </w:r>
      <w:r w:rsidRPr="00E96209">
        <w:rPr>
          <w:i/>
          <w:lang w:val="fr-CA"/>
        </w:rPr>
        <w:t xml:space="preserve"> Tse</w:t>
      </w:r>
      <w:r w:rsidRPr="00E96209">
        <w:rPr>
          <w:lang w:val="fr-CA"/>
        </w:rPr>
        <w:t xml:space="preserve">, 2012 </w:t>
      </w:r>
      <w:r w:rsidR="003208E1" w:rsidRPr="00E96209">
        <w:rPr>
          <w:lang w:val="fr-CA"/>
        </w:rPr>
        <w:t>CSC</w:t>
      </w:r>
      <w:r w:rsidRPr="00E96209">
        <w:rPr>
          <w:lang w:val="fr-CA"/>
        </w:rPr>
        <w:t xml:space="preserve"> 16, [2012] 1 </w:t>
      </w:r>
      <w:r w:rsidR="003208E1" w:rsidRPr="00E96209">
        <w:rPr>
          <w:lang w:val="fr-CA"/>
        </w:rPr>
        <w:t>R.C.S.</w:t>
      </w:r>
      <w:r w:rsidRPr="00E96209">
        <w:rPr>
          <w:lang w:val="fr-CA"/>
        </w:rPr>
        <w:t xml:space="preserve"> 531; </w:t>
      </w:r>
      <w:r w:rsidRPr="00E96209">
        <w:rPr>
          <w:i/>
          <w:lang w:val="fr-CA"/>
        </w:rPr>
        <w:t xml:space="preserve">Québec (Éducation, Loisir et Sport) </w:t>
      </w:r>
      <w:r w:rsidR="003208E1" w:rsidRPr="00E96209">
        <w:rPr>
          <w:i/>
          <w:lang w:val="fr-CA"/>
        </w:rPr>
        <w:t>c.</w:t>
      </w:r>
      <w:r w:rsidRPr="00E96209">
        <w:rPr>
          <w:i/>
          <w:lang w:val="fr-CA"/>
        </w:rPr>
        <w:t xml:space="preserve"> Nguyen</w:t>
      </w:r>
      <w:r w:rsidRPr="00E96209">
        <w:rPr>
          <w:lang w:val="fr-CA"/>
        </w:rPr>
        <w:t xml:space="preserve">, 2009 </w:t>
      </w:r>
      <w:r w:rsidR="003208E1" w:rsidRPr="00E96209">
        <w:rPr>
          <w:lang w:val="fr-CA"/>
        </w:rPr>
        <w:t>CSC</w:t>
      </w:r>
      <w:r w:rsidRPr="00E96209">
        <w:rPr>
          <w:lang w:val="fr-CA"/>
        </w:rPr>
        <w:t xml:space="preserve"> 47, [2009] 3 </w:t>
      </w:r>
      <w:r w:rsidR="003208E1" w:rsidRPr="00E96209">
        <w:rPr>
          <w:lang w:val="fr-CA"/>
        </w:rPr>
        <w:t>R.C.S.</w:t>
      </w:r>
      <w:r w:rsidRPr="00E96209">
        <w:rPr>
          <w:lang w:val="fr-CA"/>
        </w:rPr>
        <w:t xml:space="preserve"> 208; </w:t>
      </w:r>
      <w:proofErr w:type="spellStart"/>
      <w:r w:rsidR="00783FAD" w:rsidRPr="00E96209">
        <w:rPr>
          <w:i/>
          <w:lang w:val="fr-CA"/>
        </w:rPr>
        <w:t>Greater</w:t>
      </w:r>
      <w:proofErr w:type="spellEnd"/>
      <w:r w:rsidR="00783FAD" w:rsidRPr="00E96209">
        <w:rPr>
          <w:i/>
          <w:lang w:val="fr-CA"/>
        </w:rPr>
        <w:t xml:space="preserve"> Vancouver Transportation </w:t>
      </w:r>
      <w:proofErr w:type="spellStart"/>
      <w:r w:rsidR="00783FAD" w:rsidRPr="00E96209">
        <w:rPr>
          <w:i/>
          <w:lang w:val="fr-CA"/>
        </w:rPr>
        <w:t>Authority</w:t>
      </w:r>
      <w:proofErr w:type="spellEnd"/>
      <w:r w:rsidR="00783FAD" w:rsidRPr="00E96209">
        <w:rPr>
          <w:i/>
          <w:lang w:val="fr-CA"/>
        </w:rPr>
        <w:t xml:space="preserve"> c. Fédération canadienne des étudiantes et étudiants — Section Colombie</w:t>
      </w:r>
      <w:r w:rsidR="00E96209">
        <w:rPr>
          <w:i/>
          <w:lang w:val="fr-CA"/>
        </w:rPr>
        <w:noBreakHyphen/>
      </w:r>
      <w:r w:rsidR="00783FAD" w:rsidRPr="00E96209">
        <w:rPr>
          <w:i/>
          <w:lang w:val="fr-CA"/>
        </w:rPr>
        <w:t>Britannique</w:t>
      </w:r>
      <w:r w:rsidRPr="00E96209">
        <w:rPr>
          <w:lang w:val="fr-CA"/>
        </w:rPr>
        <w:t xml:space="preserve">, 2009 </w:t>
      </w:r>
      <w:r w:rsidR="003208E1" w:rsidRPr="00E96209">
        <w:rPr>
          <w:lang w:val="fr-CA"/>
        </w:rPr>
        <w:t>CSC</w:t>
      </w:r>
      <w:r w:rsidRPr="00E96209">
        <w:rPr>
          <w:lang w:val="fr-CA"/>
        </w:rPr>
        <w:t xml:space="preserve"> 31, [2009] 2 </w:t>
      </w:r>
      <w:r w:rsidR="003208E1" w:rsidRPr="00E96209">
        <w:rPr>
          <w:lang w:val="fr-CA"/>
        </w:rPr>
        <w:t>R.C.S.</w:t>
      </w:r>
      <w:r w:rsidR="00783FAD" w:rsidRPr="00E96209">
        <w:rPr>
          <w:lang w:val="fr-CA"/>
        </w:rPr>
        <w:t xml:space="preserve"> 295</w:t>
      </w:r>
      <w:r w:rsidRPr="00E96209">
        <w:rPr>
          <w:lang w:val="fr-CA"/>
        </w:rPr>
        <w:t xml:space="preserve">; </w:t>
      </w:r>
      <w:r w:rsidRPr="00E96209">
        <w:rPr>
          <w:i/>
          <w:lang w:val="fr-CA"/>
        </w:rPr>
        <w:t xml:space="preserve">R. </w:t>
      </w:r>
      <w:r w:rsidR="003208E1" w:rsidRPr="00E96209">
        <w:rPr>
          <w:i/>
          <w:lang w:val="fr-CA"/>
        </w:rPr>
        <w:t>c.</w:t>
      </w:r>
      <w:r w:rsidRPr="00E96209">
        <w:rPr>
          <w:i/>
          <w:lang w:val="fr-CA"/>
        </w:rPr>
        <w:t xml:space="preserve"> D.B.</w:t>
      </w:r>
      <w:r w:rsidRPr="00E96209">
        <w:rPr>
          <w:lang w:val="fr-CA"/>
        </w:rPr>
        <w:t xml:space="preserve">, 2008 </w:t>
      </w:r>
      <w:r w:rsidR="003208E1" w:rsidRPr="00E96209">
        <w:rPr>
          <w:lang w:val="fr-CA"/>
        </w:rPr>
        <w:t>CSC</w:t>
      </w:r>
      <w:r w:rsidRPr="00E96209">
        <w:rPr>
          <w:lang w:val="fr-CA"/>
        </w:rPr>
        <w:t xml:space="preserve"> 25, [2008] 2 </w:t>
      </w:r>
      <w:r w:rsidR="003208E1" w:rsidRPr="00E96209">
        <w:rPr>
          <w:lang w:val="fr-CA"/>
        </w:rPr>
        <w:t>R.C.S.</w:t>
      </w:r>
      <w:r w:rsidRPr="00E96209">
        <w:rPr>
          <w:lang w:val="fr-CA"/>
        </w:rPr>
        <w:t xml:space="preserve"> 3; </w:t>
      </w:r>
      <w:proofErr w:type="spellStart"/>
      <w:r w:rsidRPr="00E96209">
        <w:rPr>
          <w:i/>
          <w:lang w:val="fr-CA"/>
        </w:rPr>
        <w:t>Charkaoui</w:t>
      </w:r>
      <w:proofErr w:type="spellEnd"/>
      <w:r w:rsidRPr="00E96209">
        <w:rPr>
          <w:i/>
          <w:lang w:val="fr-CA"/>
        </w:rPr>
        <w:t xml:space="preserve"> </w:t>
      </w:r>
      <w:r w:rsidR="003208E1" w:rsidRPr="00E96209">
        <w:rPr>
          <w:i/>
          <w:lang w:val="fr-CA"/>
        </w:rPr>
        <w:t>c.</w:t>
      </w:r>
      <w:r w:rsidRPr="00E96209">
        <w:rPr>
          <w:i/>
          <w:lang w:val="fr-CA"/>
        </w:rPr>
        <w:t xml:space="preserve"> Canada (Citoyenneté et Immigration)</w:t>
      </w:r>
      <w:r w:rsidRPr="00E96209">
        <w:rPr>
          <w:lang w:val="fr-CA"/>
        </w:rPr>
        <w:t xml:space="preserve">, 2007 </w:t>
      </w:r>
      <w:r w:rsidR="003208E1" w:rsidRPr="00E96209">
        <w:rPr>
          <w:lang w:val="fr-CA"/>
        </w:rPr>
        <w:t>CSC</w:t>
      </w:r>
      <w:r w:rsidRPr="00E96209">
        <w:rPr>
          <w:lang w:val="fr-CA"/>
        </w:rPr>
        <w:t xml:space="preserve"> 9, [2007] 1 R.C.S. 350; </w:t>
      </w:r>
      <w:r w:rsidRPr="00E96209">
        <w:rPr>
          <w:i/>
          <w:lang w:val="fr-CA"/>
        </w:rPr>
        <w:t xml:space="preserve">Canada (Procureur général) </w:t>
      </w:r>
      <w:r w:rsidR="003208E1" w:rsidRPr="00E96209">
        <w:rPr>
          <w:i/>
          <w:lang w:val="fr-CA"/>
        </w:rPr>
        <w:t>c.</w:t>
      </w:r>
      <w:r w:rsidRPr="00E96209">
        <w:rPr>
          <w:i/>
          <w:lang w:val="fr-CA"/>
        </w:rPr>
        <w:t xml:space="preserve"> </w:t>
      </w:r>
      <w:proofErr w:type="spellStart"/>
      <w:r w:rsidRPr="00E96209">
        <w:rPr>
          <w:i/>
          <w:lang w:val="fr-CA"/>
        </w:rPr>
        <w:t>Hislop</w:t>
      </w:r>
      <w:proofErr w:type="spellEnd"/>
      <w:r w:rsidRPr="00E96209">
        <w:rPr>
          <w:lang w:val="fr-CA"/>
        </w:rPr>
        <w:t xml:space="preserve">, 2007 </w:t>
      </w:r>
      <w:r w:rsidR="003208E1" w:rsidRPr="00E96209">
        <w:rPr>
          <w:lang w:val="fr-CA"/>
        </w:rPr>
        <w:t>CSC</w:t>
      </w:r>
      <w:r w:rsidRPr="00E96209">
        <w:rPr>
          <w:lang w:val="fr-CA"/>
        </w:rPr>
        <w:t xml:space="preserve"> 10, [2007] 1 </w:t>
      </w:r>
      <w:r w:rsidR="003208E1" w:rsidRPr="00E96209">
        <w:rPr>
          <w:lang w:val="fr-CA"/>
        </w:rPr>
        <w:t>R.C.S.</w:t>
      </w:r>
      <w:r w:rsidRPr="00E96209">
        <w:rPr>
          <w:lang w:val="fr-CA"/>
        </w:rPr>
        <w:t xml:space="preserve"> 429; </w:t>
      </w:r>
      <w:proofErr w:type="spellStart"/>
      <w:r w:rsidRPr="00E96209">
        <w:rPr>
          <w:i/>
          <w:lang w:val="fr-CA"/>
        </w:rPr>
        <w:t>Chaoulli</w:t>
      </w:r>
      <w:proofErr w:type="spellEnd"/>
      <w:r w:rsidRPr="00E96209">
        <w:rPr>
          <w:i/>
          <w:lang w:val="fr-CA"/>
        </w:rPr>
        <w:t xml:space="preserve"> </w:t>
      </w:r>
      <w:r w:rsidR="003208E1" w:rsidRPr="00E96209">
        <w:rPr>
          <w:i/>
          <w:lang w:val="fr-CA"/>
        </w:rPr>
        <w:t>c.</w:t>
      </w:r>
      <w:r w:rsidRPr="00E96209">
        <w:rPr>
          <w:i/>
          <w:lang w:val="fr-CA"/>
        </w:rPr>
        <w:t xml:space="preserve"> Québec (Procureur général)</w:t>
      </w:r>
      <w:r w:rsidRPr="00E96209">
        <w:rPr>
          <w:lang w:val="fr-CA"/>
        </w:rPr>
        <w:t xml:space="preserve">, 2005 </w:t>
      </w:r>
      <w:r w:rsidR="003208E1" w:rsidRPr="00E96209">
        <w:rPr>
          <w:lang w:val="fr-CA"/>
        </w:rPr>
        <w:t>CSC</w:t>
      </w:r>
      <w:r w:rsidRPr="00E96209">
        <w:rPr>
          <w:lang w:val="fr-CA"/>
        </w:rPr>
        <w:t xml:space="preserve"> 35, [2005] 1 </w:t>
      </w:r>
      <w:r w:rsidR="003208E1" w:rsidRPr="00E96209">
        <w:rPr>
          <w:lang w:val="fr-CA"/>
        </w:rPr>
        <w:t>R.C.S.</w:t>
      </w:r>
      <w:r w:rsidRPr="00E96209">
        <w:rPr>
          <w:lang w:val="fr-CA"/>
        </w:rPr>
        <w:t xml:space="preserve"> 791; </w:t>
      </w:r>
      <w:r w:rsidRPr="00E96209">
        <w:rPr>
          <w:i/>
          <w:lang w:val="fr-CA"/>
        </w:rPr>
        <w:t xml:space="preserve">R. </w:t>
      </w:r>
      <w:r w:rsidR="003208E1" w:rsidRPr="00E96209">
        <w:rPr>
          <w:i/>
          <w:lang w:val="fr-CA"/>
        </w:rPr>
        <w:t>c.</w:t>
      </w:r>
      <w:r w:rsidRPr="00E96209">
        <w:rPr>
          <w:i/>
          <w:lang w:val="fr-CA"/>
        </w:rPr>
        <w:t xml:space="preserve"> Demers</w:t>
      </w:r>
      <w:r w:rsidRPr="00E96209">
        <w:rPr>
          <w:lang w:val="fr-CA"/>
        </w:rPr>
        <w:t xml:space="preserve">, 2004 </w:t>
      </w:r>
      <w:r w:rsidR="003208E1" w:rsidRPr="00E96209">
        <w:rPr>
          <w:lang w:val="fr-CA"/>
        </w:rPr>
        <w:t>CSC</w:t>
      </w:r>
      <w:r w:rsidRPr="00E96209">
        <w:rPr>
          <w:lang w:val="fr-CA"/>
        </w:rPr>
        <w:t xml:space="preserve"> 46, [2004] 2 </w:t>
      </w:r>
      <w:r w:rsidR="003208E1" w:rsidRPr="00E96209">
        <w:rPr>
          <w:lang w:val="fr-CA"/>
        </w:rPr>
        <w:t>R.C.S.</w:t>
      </w:r>
      <w:r w:rsidRPr="00E96209">
        <w:rPr>
          <w:lang w:val="fr-CA"/>
        </w:rPr>
        <w:t xml:space="preserve"> 489;</w:t>
      </w:r>
      <w:r w:rsidRPr="00E96209">
        <w:rPr>
          <w:b/>
          <w:lang w:val="fr-CA"/>
        </w:rPr>
        <w:t xml:space="preserve"> </w:t>
      </w:r>
      <w:r w:rsidRPr="00E96209">
        <w:rPr>
          <w:i/>
          <w:lang w:val="fr-CA"/>
        </w:rPr>
        <w:t>Nouvelle</w:t>
      </w:r>
      <w:r w:rsidR="00E96209">
        <w:rPr>
          <w:i/>
          <w:lang w:val="fr-CA"/>
        </w:rPr>
        <w:noBreakHyphen/>
      </w:r>
      <w:r w:rsidRPr="00E96209">
        <w:rPr>
          <w:i/>
          <w:lang w:val="fr-CA"/>
        </w:rPr>
        <w:t>Écosse (</w:t>
      </w:r>
      <w:proofErr w:type="spellStart"/>
      <w:r w:rsidRPr="00E96209">
        <w:rPr>
          <w:i/>
          <w:lang w:val="fr-CA"/>
        </w:rPr>
        <w:t>Workers</w:t>
      </w:r>
      <w:proofErr w:type="spellEnd"/>
      <w:r w:rsidRPr="00E96209">
        <w:rPr>
          <w:i/>
          <w:lang w:val="fr-CA"/>
        </w:rPr>
        <w:t xml:space="preserve">’ Compensation </w:t>
      </w:r>
      <w:proofErr w:type="spellStart"/>
      <w:r w:rsidRPr="00E96209">
        <w:rPr>
          <w:i/>
          <w:lang w:val="fr-CA"/>
        </w:rPr>
        <w:t>Board</w:t>
      </w:r>
      <w:proofErr w:type="spellEnd"/>
      <w:r w:rsidRPr="00E96209">
        <w:rPr>
          <w:i/>
          <w:lang w:val="fr-CA"/>
        </w:rPr>
        <w:t xml:space="preserve">) </w:t>
      </w:r>
      <w:r w:rsidR="003208E1" w:rsidRPr="00E96209">
        <w:rPr>
          <w:i/>
          <w:lang w:val="fr-CA"/>
        </w:rPr>
        <w:t>c.</w:t>
      </w:r>
      <w:r w:rsidRPr="00E96209">
        <w:rPr>
          <w:i/>
          <w:lang w:val="fr-CA"/>
        </w:rPr>
        <w:t xml:space="preserve"> Martin</w:t>
      </w:r>
      <w:r w:rsidRPr="00E96209">
        <w:rPr>
          <w:lang w:val="fr-CA"/>
        </w:rPr>
        <w:t xml:space="preserve">, 2003 </w:t>
      </w:r>
      <w:r w:rsidR="003208E1" w:rsidRPr="00E96209">
        <w:rPr>
          <w:lang w:val="fr-CA"/>
        </w:rPr>
        <w:t>CSC</w:t>
      </w:r>
      <w:r w:rsidRPr="00E96209">
        <w:rPr>
          <w:lang w:val="fr-CA"/>
        </w:rPr>
        <w:t xml:space="preserve"> 54,</w:t>
      </w:r>
      <w:r w:rsidRPr="00E96209">
        <w:rPr>
          <w:b/>
          <w:lang w:val="fr-CA"/>
        </w:rPr>
        <w:t xml:space="preserve"> </w:t>
      </w:r>
      <w:r w:rsidRPr="00E96209">
        <w:rPr>
          <w:lang w:val="fr-CA"/>
        </w:rPr>
        <w:t xml:space="preserve">[2003] 2 </w:t>
      </w:r>
      <w:r w:rsidR="003208E1" w:rsidRPr="00E96209">
        <w:rPr>
          <w:lang w:val="fr-CA"/>
        </w:rPr>
        <w:t>R.C.S.</w:t>
      </w:r>
      <w:r w:rsidRPr="00E96209">
        <w:rPr>
          <w:lang w:val="fr-CA"/>
        </w:rPr>
        <w:t xml:space="preserve"> 504;</w:t>
      </w:r>
      <w:r w:rsidRPr="00E96209">
        <w:rPr>
          <w:b/>
          <w:lang w:val="fr-CA"/>
        </w:rPr>
        <w:t xml:space="preserve"> </w:t>
      </w:r>
      <w:proofErr w:type="spellStart"/>
      <w:r w:rsidRPr="00E96209">
        <w:rPr>
          <w:i/>
          <w:lang w:val="fr-CA"/>
        </w:rPr>
        <w:t>Mackin</w:t>
      </w:r>
      <w:proofErr w:type="spellEnd"/>
      <w:r w:rsidRPr="00E96209">
        <w:rPr>
          <w:i/>
          <w:lang w:val="fr-CA"/>
        </w:rPr>
        <w:t xml:space="preserve"> </w:t>
      </w:r>
      <w:r w:rsidR="003208E1" w:rsidRPr="00E96209">
        <w:rPr>
          <w:i/>
          <w:lang w:val="fr-CA"/>
        </w:rPr>
        <w:t>c.</w:t>
      </w:r>
      <w:r w:rsidRPr="00E96209">
        <w:rPr>
          <w:i/>
          <w:lang w:val="fr-CA"/>
        </w:rPr>
        <w:t xml:space="preserve"> N</w:t>
      </w:r>
      <w:r w:rsidR="003208E1" w:rsidRPr="00E96209">
        <w:rPr>
          <w:i/>
          <w:lang w:val="fr-CA"/>
        </w:rPr>
        <w:t>ouveau</w:t>
      </w:r>
      <w:r w:rsidR="00E96209">
        <w:rPr>
          <w:i/>
          <w:lang w:val="fr-CA"/>
        </w:rPr>
        <w:noBreakHyphen/>
      </w:r>
      <w:r w:rsidRPr="00E96209">
        <w:rPr>
          <w:i/>
          <w:lang w:val="fr-CA"/>
        </w:rPr>
        <w:t>Brunswick (Ministre des Finances)</w:t>
      </w:r>
      <w:r w:rsidRPr="00E96209">
        <w:rPr>
          <w:lang w:val="fr-CA"/>
        </w:rPr>
        <w:t xml:space="preserve">, 2002 CSC 13, [2002] 1 </w:t>
      </w:r>
      <w:r w:rsidR="00DB5E2B" w:rsidRPr="00E96209">
        <w:rPr>
          <w:lang w:val="fr-CA"/>
        </w:rPr>
        <w:t>R.C.S.</w:t>
      </w:r>
      <w:r w:rsidRPr="00E96209">
        <w:rPr>
          <w:lang w:val="fr-CA"/>
        </w:rPr>
        <w:t xml:space="preserve"> 405;</w:t>
      </w:r>
      <w:r w:rsidRPr="00E96209">
        <w:rPr>
          <w:b/>
          <w:lang w:val="fr-CA" w:bidi="en-US"/>
        </w:rPr>
        <w:t xml:space="preserve"> </w:t>
      </w:r>
      <w:r w:rsidRPr="00E96209">
        <w:rPr>
          <w:i/>
          <w:lang w:val="fr-CA"/>
        </w:rPr>
        <w:t xml:space="preserve">Sauvé </w:t>
      </w:r>
      <w:r w:rsidR="003208E1" w:rsidRPr="00E96209">
        <w:rPr>
          <w:i/>
          <w:lang w:val="fr-CA"/>
        </w:rPr>
        <w:t>c.</w:t>
      </w:r>
      <w:r w:rsidRPr="00E96209">
        <w:rPr>
          <w:i/>
          <w:lang w:val="fr-CA"/>
        </w:rPr>
        <w:t xml:space="preserve"> Canada (Directeur général des élections</w:t>
      </w:r>
      <w:r w:rsidRPr="00E96209">
        <w:rPr>
          <w:lang w:val="fr-CA"/>
        </w:rPr>
        <w:t xml:space="preserve">), 2002 </w:t>
      </w:r>
      <w:r w:rsidR="003208E1" w:rsidRPr="00E96209">
        <w:rPr>
          <w:lang w:val="fr-CA"/>
        </w:rPr>
        <w:t>CSC</w:t>
      </w:r>
      <w:r w:rsidR="00EE065C" w:rsidRPr="00E96209">
        <w:rPr>
          <w:lang w:val="fr-CA"/>
        </w:rPr>
        <w:t xml:space="preserve"> 68, [200</w:t>
      </w:r>
      <w:r w:rsidRPr="00E96209">
        <w:rPr>
          <w:lang w:val="fr-CA"/>
        </w:rPr>
        <w:t xml:space="preserve">2] 3 </w:t>
      </w:r>
      <w:r w:rsidR="003208E1" w:rsidRPr="00E96209">
        <w:rPr>
          <w:lang w:val="fr-CA"/>
        </w:rPr>
        <w:t>R.C.S.</w:t>
      </w:r>
      <w:r w:rsidRPr="00E96209">
        <w:rPr>
          <w:lang w:val="fr-CA"/>
        </w:rPr>
        <w:t xml:space="preserve"> 519; </w:t>
      </w:r>
      <w:proofErr w:type="spellStart"/>
      <w:r w:rsidRPr="00E96209">
        <w:rPr>
          <w:i/>
          <w:lang w:val="fr-CA"/>
        </w:rPr>
        <w:t>Lavallee</w:t>
      </w:r>
      <w:proofErr w:type="spellEnd"/>
      <w:r w:rsidRPr="00E96209">
        <w:rPr>
          <w:i/>
          <w:lang w:val="fr-CA"/>
        </w:rPr>
        <w:t xml:space="preserve">, </w:t>
      </w:r>
      <w:proofErr w:type="spellStart"/>
      <w:r w:rsidRPr="00E96209">
        <w:rPr>
          <w:i/>
          <w:lang w:val="fr-CA"/>
        </w:rPr>
        <w:t>Rackel</w:t>
      </w:r>
      <w:proofErr w:type="spellEnd"/>
      <w:r w:rsidRPr="00E96209">
        <w:rPr>
          <w:i/>
          <w:lang w:val="fr-CA"/>
        </w:rPr>
        <w:t xml:space="preserve"> &amp; </w:t>
      </w:r>
      <w:proofErr w:type="spellStart"/>
      <w:r w:rsidRPr="00E96209">
        <w:rPr>
          <w:i/>
          <w:lang w:val="fr-CA"/>
        </w:rPr>
        <w:t>Heintz</w:t>
      </w:r>
      <w:proofErr w:type="spellEnd"/>
      <w:r w:rsidRPr="00E96209">
        <w:rPr>
          <w:i/>
          <w:lang w:val="fr-CA"/>
        </w:rPr>
        <w:t xml:space="preserve"> </w:t>
      </w:r>
      <w:r w:rsidR="003208E1" w:rsidRPr="00E96209">
        <w:rPr>
          <w:i/>
          <w:lang w:val="fr-CA"/>
        </w:rPr>
        <w:t>c.</w:t>
      </w:r>
      <w:r w:rsidRPr="00E96209">
        <w:rPr>
          <w:i/>
          <w:lang w:val="fr-CA"/>
        </w:rPr>
        <w:t xml:space="preserve"> Canada (</w:t>
      </w:r>
      <w:r w:rsidR="00EC0044" w:rsidRPr="00E96209">
        <w:rPr>
          <w:i/>
          <w:lang w:val="fr-CA"/>
        </w:rPr>
        <w:t>Procureur général</w:t>
      </w:r>
      <w:r w:rsidRPr="00E96209">
        <w:rPr>
          <w:i/>
          <w:lang w:val="fr-CA"/>
        </w:rPr>
        <w:t>)</w:t>
      </w:r>
      <w:r w:rsidRPr="00E96209">
        <w:rPr>
          <w:lang w:val="fr-CA"/>
        </w:rPr>
        <w:t xml:space="preserve">, 2002 </w:t>
      </w:r>
      <w:r w:rsidR="003208E1" w:rsidRPr="00E96209">
        <w:rPr>
          <w:lang w:val="fr-CA"/>
        </w:rPr>
        <w:t>CSC</w:t>
      </w:r>
      <w:r w:rsidRPr="00E96209">
        <w:rPr>
          <w:lang w:val="fr-CA"/>
        </w:rPr>
        <w:t xml:space="preserve"> 61, [2002] 3 </w:t>
      </w:r>
      <w:r w:rsidR="003208E1" w:rsidRPr="00E96209">
        <w:rPr>
          <w:lang w:val="fr-CA"/>
        </w:rPr>
        <w:t>R.C.S.</w:t>
      </w:r>
      <w:r w:rsidRPr="00E96209">
        <w:rPr>
          <w:lang w:val="fr-CA"/>
        </w:rPr>
        <w:t xml:space="preserve"> 209; </w:t>
      </w:r>
      <w:proofErr w:type="spellStart"/>
      <w:r w:rsidRPr="00E96209">
        <w:rPr>
          <w:i/>
          <w:lang w:val="fr-CA"/>
        </w:rPr>
        <w:t>Dunmore</w:t>
      </w:r>
      <w:proofErr w:type="spellEnd"/>
      <w:r w:rsidRPr="00E96209">
        <w:rPr>
          <w:i/>
          <w:lang w:val="fr-CA"/>
        </w:rPr>
        <w:t xml:space="preserve"> </w:t>
      </w:r>
      <w:r w:rsidR="003208E1" w:rsidRPr="00E96209">
        <w:rPr>
          <w:i/>
          <w:lang w:val="fr-CA"/>
        </w:rPr>
        <w:t>c.</w:t>
      </w:r>
      <w:r w:rsidRPr="00E96209">
        <w:rPr>
          <w:i/>
          <w:lang w:val="fr-CA"/>
        </w:rPr>
        <w:t xml:space="preserve"> Ontario (Procureur général)</w:t>
      </w:r>
      <w:r w:rsidRPr="00E96209">
        <w:rPr>
          <w:lang w:val="fr-CA"/>
        </w:rPr>
        <w:t xml:space="preserve">, 2001 </w:t>
      </w:r>
      <w:r w:rsidR="003208E1" w:rsidRPr="00E96209">
        <w:rPr>
          <w:lang w:val="fr-CA"/>
        </w:rPr>
        <w:t>CSC</w:t>
      </w:r>
      <w:r w:rsidRPr="00E96209">
        <w:rPr>
          <w:lang w:val="fr-CA"/>
        </w:rPr>
        <w:t xml:space="preserve"> 94, [2001] 3 </w:t>
      </w:r>
      <w:r w:rsidR="003208E1" w:rsidRPr="00E96209">
        <w:rPr>
          <w:lang w:val="fr-CA"/>
        </w:rPr>
        <w:t>R.C.S.</w:t>
      </w:r>
      <w:r w:rsidRPr="00E96209">
        <w:rPr>
          <w:lang w:val="fr-CA"/>
        </w:rPr>
        <w:t xml:space="preserve"> 1016; </w:t>
      </w:r>
      <w:r w:rsidRPr="00E96209">
        <w:rPr>
          <w:i/>
          <w:lang w:val="fr-CA"/>
        </w:rPr>
        <w:t xml:space="preserve">R. </w:t>
      </w:r>
      <w:r w:rsidR="003208E1" w:rsidRPr="00E96209">
        <w:rPr>
          <w:i/>
          <w:lang w:val="fr-CA"/>
        </w:rPr>
        <w:t>c.</w:t>
      </w:r>
      <w:r w:rsidRPr="00E96209">
        <w:rPr>
          <w:i/>
          <w:lang w:val="fr-CA"/>
        </w:rPr>
        <w:t xml:space="preserve"> </w:t>
      </w:r>
      <w:proofErr w:type="spellStart"/>
      <w:r w:rsidRPr="00E96209">
        <w:rPr>
          <w:i/>
          <w:lang w:val="fr-CA"/>
        </w:rPr>
        <w:t>Ruzic</w:t>
      </w:r>
      <w:proofErr w:type="spellEnd"/>
      <w:r w:rsidRPr="00E96209">
        <w:rPr>
          <w:lang w:val="fr-CA"/>
        </w:rPr>
        <w:t xml:space="preserve">, 2001 </w:t>
      </w:r>
      <w:r w:rsidR="003208E1" w:rsidRPr="00E96209">
        <w:rPr>
          <w:lang w:val="fr-CA"/>
        </w:rPr>
        <w:t>CSC</w:t>
      </w:r>
      <w:r w:rsidRPr="00E96209">
        <w:rPr>
          <w:lang w:val="fr-CA"/>
        </w:rPr>
        <w:t xml:space="preserve"> 24, [2001] 1 </w:t>
      </w:r>
      <w:r w:rsidR="003208E1" w:rsidRPr="00E96209">
        <w:rPr>
          <w:lang w:val="fr-CA"/>
        </w:rPr>
        <w:t>R.C.S.</w:t>
      </w:r>
      <w:r w:rsidRPr="00E96209">
        <w:rPr>
          <w:lang w:val="fr-CA"/>
        </w:rPr>
        <w:t xml:space="preserve"> 687; </w:t>
      </w:r>
      <w:proofErr w:type="spellStart"/>
      <w:r w:rsidRPr="00E96209">
        <w:rPr>
          <w:i/>
          <w:lang w:val="fr-CA"/>
        </w:rPr>
        <w:t>Little</w:t>
      </w:r>
      <w:proofErr w:type="spellEnd"/>
      <w:r w:rsidRPr="00E96209">
        <w:rPr>
          <w:i/>
          <w:lang w:val="fr-CA"/>
        </w:rPr>
        <w:t xml:space="preserve"> Sisters Book and Art Emporium </w:t>
      </w:r>
      <w:r w:rsidR="003208E1" w:rsidRPr="00E96209">
        <w:rPr>
          <w:i/>
          <w:lang w:val="fr-CA"/>
        </w:rPr>
        <w:t>c.</w:t>
      </w:r>
      <w:r w:rsidRPr="00E96209">
        <w:rPr>
          <w:i/>
          <w:lang w:val="fr-CA"/>
        </w:rPr>
        <w:t xml:space="preserve"> Canada (Ministre de la Justice)</w:t>
      </w:r>
      <w:r w:rsidRPr="00E96209">
        <w:rPr>
          <w:lang w:val="fr-CA"/>
        </w:rPr>
        <w:t xml:space="preserve">, 2000 </w:t>
      </w:r>
      <w:r w:rsidR="003208E1" w:rsidRPr="00E96209">
        <w:rPr>
          <w:lang w:val="fr-CA"/>
        </w:rPr>
        <w:t>CSC</w:t>
      </w:r>
      <w:r w:rsidRPr="00E96209">
        <w:rPr>
          <w:lang w:val="fr-CA"/>
        </w:rPr>
        <w:t xml:space="preserve"> 69, [2000] 2 </w:t>
      </w:r>
      <w:r w:rsidR="003208E1" w:rsidRPr="00E96209">
        <w:rPr>
          <w:lang w:val="fr-CA"/>
        </w:rPr>
        <w:t>R.C.S.</w:t>
      </w:r>
      <w:r w:rsidRPr="00E96209">
        <w:rPr>
          <w:lang w:val="fr-CA"/>
        </w:rPr>
        <w:t xml:space="preserve"> 1120; </w:t>
      </w:r>
      <w:r w:rsidRPr="00E96209">
        <w:rPr>
          <w:i/>
          <w:lang w:val="fr-CA"/>
        </w:rPr>
        <w:t xml:space="preserve">M. </w:t>
      </w:r>
      <w:r w:rsidR="003208E1" w:rsidRPr="00E96209">
        <w:rPr>
          <w:i/>
          <w:lang w:val="fr-CA"/>
        </w:rPr>
        <w:t>c.</w:t>
      </w:r>
      <w:r w:rsidRPr="00E96209">
        <w:rPr>
          <w:i/>
          <w:lang w:val="fr-CA"/>
        </w:rPr>
        <w:t xml:space="preserve"> H.</w:t>
      </w:r>
      <w:r w:rsidRPr="00E96209">
        <w:rPr>
          <w:lang w:val="fr-CA"/>
        </w:rPr>
        <w:t xml:space="preserve">, [1999] 2 </w:t>
      </w:r>
      <w:r w:rsidR="003208E1" w:rsidRPr="00E96209">
        <w:rPr>
          <w:lang w:val="fr-CA"/>
        </w:rPr>
        <w:t>R.C.S.</w:t>
      </w:r>
      <w:r w:rsidRPr="00E96209">
        <w:rPr>
          <w:lang w:val="fr-CA"/>
        </w:rPr>
        <w:t xml:space="preserve"> 3; </w:t>
      </w:r>
      <w:r w:rsidRPr="00E96209">
        <w:rPr>
          <w:i/>
          <w:lang w:val="fr-CA"/>
        </w:rPr>
        <w:t xml:space="preserve">Thomson </w:t>
      </w:r>
      <w:proofErr w:type="spellStart"/>
      <w:r w:rsidRPr="00E96209">
        <w:rPr>
          <w:i/>
          <w:lang w:val="fr-CA"/>
        </w:rPr>
        <w:t>Newspapers</w:t>
      </w:r>
      <w:proofErr w:type="spellEnd"/>
      <w:r w:rsidRPr="00E96209">
        <w:rPr>
          <w:i/>
          <w:lang w:val="fr-CA"/>
        </w:rPr>
        <w:t xml:space="preserve"> Co. </w:t>
      </w:r>
      <w:r w:rsidR="003208E1" w:rsidRPr="00E96209">
        <w:rPr>
          <w:i/>
          <w:lang w:val="fr-CA"/>
        </w:rPr>
        <w:t>c.</w:t>
      </w:r>
      <w:r w:rsidRPr="00E96209">
        <w:rPr>
          <w:i/>
          <w:lang w:val="fr-CA"/>
        </w:rPr>
        <w:t xml:space="preserve"> Canada (Procureur général)</w:t>
      </w:r>
      <w:r w:rsidRPr="00E96209">
        <w:rPr>
          <w:lang w:val="fr-CA"/>
        </w:rPr>
        <w:t xml:space="preserve">, [1998] 1 </w:t>
      </w:r>
      <w:r w:rsidR="003208E1" w:rsidRPr="00E96209">
        <w:rPr>
          <w:lang w:val="fr-CA"/>
        </w:rPr>
        <w:t>R.C.S.</w:t>
      </w:r>
      <w:r w:rsidRPr="00E96209">
        <w:rPr>
          <w:lang w:val="fr-CA"/>
        </w:rPr>
        <w:t xml:space="preserve"> 877; </w:t>
      </w:r>
      <w:proofErr w:type="spellStart"/>
      <w:r w:rsidRPr="00E96209">
        <w:rPr>
          <w:i/>
          <w:lang w:val="fr-CA"/>
        </w:rPr>
        <w:t>Eldridge</w:t>
      </w:r>
      <w:proofErr w:type="spellEnd"/>
      <w:r w:rsidRPr="00E96209">
        <w:rPr>
          <w:lang w:val="fr-CA"/>
        </w:rPr>
        <w:t xml:space="preserve"> </w:t>
      </w:r>
      <w:r w:rsidR="003208E1" w:rsidRPr="00E96209">
        <w:rPr>
          <w:i/>
          <w:lang w:val="fr-CA"/>
        </w:rPr>
        <w:t>c.</w:t>
      </w:r>
      <w:r w:rsidRPr="00E96209">
        <w:rPr>
          <w:i/>
          <w:lang w:val="fr-CA"/>
        </w:rPr>
        <w:t xml:space="preserve"> Colombie</w:t>
      </w:r>
      <w:r w:rsidR="00E96209">
        <w:rPr>
          <w:i/>
          <w:lang w:val="fr-CA"/>
        </w:rPr>
        <w:noBreakHyphen/>
      </w:r>
      <w:r w:rsidRPr="00E96209">
        <w:rPr>
          <w:i/>
          <w:lang w:val="fr-CA"/>
        </w:rPr>
        <w:t>Britannique (Procureur général)</w:t>
      </w:r>
      <w:r w:rsidRPr="00E96209">
        <w:rPr>
          <w:lang w:val="fr-CA"/>
        </w:rPr>
        <w:t xml:space="preserve">, [1997] 3 </w:t>
      </w:r>
      <w:r w:rsidR="003208E1" w:rsidRPr="00E96209">
        <w:rPr>
          <w:lang w:val="fr-CA"/>
        </w:rPr>
        <w:t>R.C.S.</w:t>
      </w:r>
      <w:r w:rsidRPr="00E96209">
        <w:rPr>
          <w:lang w:val="fr-CA"/>
        </w:rPr>
        <w:t xml:space="preserve"> 624; </w:t>
      </w:r>
      <w:proofErr w:type="spellStart"/>
      <w:r w:rsidRPr="00E96209">
        <w:rPr>
          <w:i/>
          <w:lang w:val="fr-CA"/>
        </w:rPr>
        <w:t>Libman</w:t>
      </w:r>
      <w:proofErr w:type="spellEnd"/>
      <w:r w:rsidRPr="00E96209">
        <w:rPr>
          <w:i/>
          <w:lang w:val="fr-CA"/>
        </w:rPr>
        <w:t xml:space="preserve"> </w:t>
      </w:r>
      <w:r w:rsidR="003208E1" w:rsidRPr="00E96209">
        <w:rPr>
          <w:i/>
          <w:lang w:val="fr-CA"/>
        </w:rPr>
        <w:t>c.</w:t>
      </w:r>
      <w:r w:rsidRPr="00E96209">
        <w:rPr>
          <w:i/>
          <w:lang w:val="fr-CA"/>
        </w:rPr>
        <w:t xml:space="preserve"> Québec (Procureur général)</w:t>
      </w:r>
      <w:r w:rsidRPr="00E96209">
        <w:rPr>
          <w:lang w:val="fr-CA"/>
        </w:rPr>
        <w:t xml:space="preserve">, [1997] 3 </w:t>
      </w:r>
      <w:r w:rsidR="003208E1" w:rsidRPr="00E96209">
        <w:rPr>
          <w:lang w:val="fr-CA"/>
        </w:rPr>
        <w:t>R.C.S.</w:t>
      </w:r>
      <w:r w:rsidRPr="00E96209">
        <w:rPr>
          <w:lang w:val="fr-CA"/>
        </w:rPr>
        <w:t xml:space="preserve"> 569; </w:t>
      </w:r>
      <w:r w:rsidRPr="00E96209">
        <w:rPr>
          <w:i/>
          <w:lang w:val="fr-CA"/>
        </w:rPr>
        <w:t xml:space="preserve">Benner </w:t>
      </w:r>
      <w:r w:rsidR="003208E1" w:rsidRPr="00E96209">
        <w:rPr>
          <w:i/>
          <w:lang w:val="fr-CA"/>
        </w:rPr>
        <w:t>c.</w:t>
      </w:r>
      <w:r w:rsidRPr="00E96209">
        <w:rPr>
          <w:i/>
          <w:lang w:val="fr-CA"/>
        </w:rPr>
        <w:t xml:space="preserve"> Canada (Secrétaire d’État)</w:t>
      </w:r>
      <w:r w:rsidRPr="00E96209">
        <w:rPr>
          <w:lang w:val="fr-CA"/>
        </w:rPr>
        <w:t xml:space="preserve">, [1997] 1 </w:t>
      </w:r>
      <w:r w:rsidR="003208E1" w:rsidRPr="00E96209">
        <w:rPr>
          <w:lang w:val="fr-CA"/>
        </w:rPr>
        <w:t>R.C.S.</w:t>
      </w:r>
      <w:r w:rsidRPr="00E96209">
        <w:rPr>
          <w:lang w:val="fr-CA"/>
        </w:rPr>
        <w:t xml:space="preserve"> 358; </w:t>
      </w:r>
      <w:r w:rsidRPr="00E96209">
        <w:rPr>
          <w:i/>
          <w:lang w:val="fr-CA"/>
        </w:rPr>
        <w:t>Renvoi relatif à la rémunération des juges de la Cour provinciale de l’Île</w:t>
      </w:r>
      <w:r w:rsidR="00E96209">
        <w:rPr>
          <w:i/>
          <w:lang w:val="fr-CA"/>
        </w:rPr>
        <w:noBreakHyphen/>
      </w:r>
      <w:r w:rsidRPr="00E96209">
        <w:rPr>
          <w:i/>
          <w:lang w:val="fr-CA"/>
        </w:rPr>
        <w:t>du</w:t>
      </w:r>
      <w:r w:rsidR="00E96209">
        <w:rPr>
          <w:i/>
          <w:lang w:val="fr-CA"/>
        </w:rPr>
        <w:noBreakHyphen/>
      </w:r>
      <w:r w:rsidRPr="00E96209">
        <w:rPr>
          <w:i/>
          <w:lang w:val="fr-CA"/>
        </w:rPr>
        <w:t>Prince</w:t>
      </w:r>
      <w:r w:rsidR="00E96209">
        <w:rPr>
          <w:i/>
          <w:lang w:val="fr-CA"/>
        </w:rPr>
        <w:noBreakHyphen/>
      </w:r>
      <w:r w:rsidRPr="00E96209">
        <w:rPr>
          <w:i/>
          <w:lang w:val="fr-CA"/>
        </w:rPr>
        <w:t>Édouard</w:t>
      </w:r>
      <w:r w:rsidRPr="00E96209">
        <w:rPr>
          <w:lang w:val="fr-CA"/>
        </w:rPr>
        <w:t xml:space="preserve">, [1997] 3 </w:t>
      </w:r>
      <w:r w:rsidR="003208E1" w:rsidRPr="00E96209">
        <w:rPr>
          <w:lang w:val="fr-CA"/>
        </w:rPr>
        <w:t>R.C.S.</w:t>
      </w:r>
      <w:r w:rsidRPr="00E96209">
        <w:rPr>
          <w:lang w:val="fr-CA"/>
        </w:rPr>
        <w:t xml:space="preserve"> 3; </w:t>
      </w:r>
      <w:proofErr w:type="spellStart"/>
      <w:r w:rsidRPr="00E96209">
        <w:rPr>
          <w:i/>
          <w:lang w:val="fr-CA"/>
        </w:rPr>
        <w:t>RJR</w:t>
      </w:r>
      <w:r w:rsidR="00E96209">
        <w:rPr>
          <w:i/>
          <w:lang w:val="fr-CA"/>
        </w:rPr>
        <w:noBreakHyphen/>
      </w:r>
      <w:r w:rsidRPr="00E96209">
        <w:rPr>
          <w:i/>
          <w:lang w:val="fr-CA"/>
        </w:rPr>
        <w:t>MacDonald</w:t>
      </w:r>
      <w:proofErr w:type="spellEnd"/>
      <w:r w:rsidRPr="00E96209">
        <w:rPr>
          <w:i/>
          <w:lang w:val="fr-CA"/>
        </w:rPr>
        <w:t xml:space="preserve"> Inc. </w:t>
      </w:r>
      <w:r w:rsidR="003208E1" w:rsidRPr="00E96209">
        <w:rPr>
          <w:i/>
          <w:lang w:val="fr-CA"/>
        </w:rPr>
        <w:t>c.</w:t>
      </w:r>
      <w:r w:rsidRPr="00E96209">
        <w:rPr>
          <w:i/>
          <w:lang w:val="fr-CA"/>
        </w:rPr>
        <w:t xml:space="preserve"> Canada (Procureur général)</w:t>
      </w:r>
      <w:r w:rsidRPr="00E96209">
        <w:rPr>
          <w:lang w:val="fr-CA"/>
        </w:rPr>
        <w:t xml:space="preserve">, [1995] 3 </w:t>
      </w:r>
      <w:r w:rsidR="003208E1" w:rsidRPr="00E96209">
        <w:rPr>
          <w:lang w:val="fr-CA"/>
        </w:rPr>
        <w:t>R.C.S.</w:t>
      </w:r>
      <w:r w:rsidRPr="00E96209">
        <w:rPr>
          <w:lang w:val="fr-CA"/>
        </w:rPr>
        <w:t xml:space="preserve"> 199; </w:t>
      </w:r>
      <w:r w:rsidRPr="00E96209">
        <w:rPr>
          <w:i/>
          <w:lang w:val="fr-CA"/>
        </w:rPr>
        <w:t xml:space="preserve">R. </w:t>
      </w:r>
      <w:r w:rsidR="003208E1" w:rsidRPr="00E96209">
        <w:rPr>
          <w:i/>
          <w:lang w:val="fr-CA"/>
        </w:rPr>
        <w:t>c.</w:t>
      </w:r>
      <w:r w:rsidRPr="00E96209">
        <w:rPr>
          <w:i/>
          <w:lang w:val="fr-CA"/>
        </w:rPr>
        <w:t xml:space="preserve"> Heywood</w:t>
      </w:r>
      <w:r w:rsidRPr="00E96209">
        <w:rPr>
          <w:lang w:val="fr-CA"/>
        </w:rPr>
        <w:t xml:space="preserve">, [1994] 3 </w:t>
      </w:r>
      <w:r w:rsidR="003208E1" w:rsidRPr="00E96209">
        <w:rPr>
          <w:lang w:val="fr-CA"/>
        </w:rPr>
        <w:t>R.C.S.</w:t>
      </w:r>
      <w:r w:rsidRPr="00E96209">
        <w:rPr>
          <w:lang w:val="fr-CA"/>
        </w:rPr>
        <w:t xml:space="preserve"> 761; </w:t>
      </w:r>
      <w:r w:rsidRPr="00E96209">
        <w:rPr>
          <w:i/>
          <w:lang w:val="fr-CA"/>
        </w:rPr>
        <w:t xml:space="preserve">Sauvé </w:t>
      </w:r>
      <w:r w:rsidR="003208E1" w:rsidRPr="00E96209">
        <w:rPr>
          <w:i/>
          <w:lang w:val="fr-CA"/>
        </w:rPr>
        <w:t>c.</w:t>
      </w:r>
      <w:r w:rsidRPr="00E96209">
        <w:rPr>
          <w:i/>
          <w:lang w:val="fr-CA"/>
        </w:rPr>
        <w:t xml:space="preserve"> Canada (</w:t>
      </w:r>
      <w:r w:rsidR="00EC0044" w:rsidRPr="00E96209">
        <w:rPr>
          <w:i/>
          <w:lang w:val="fr-CA"/>
        </w:rPr>
        <w:t>Procureur général</w:t>
      </w:r>
      <w:r w:rsidRPr="00E96209">
        <w:rPr>
          <w:i/>
          <w:lang w:val="fr-CA"/>
        </w:rPr>
        <w:t>)</w:t>
      </w:r>
      <w:r w:rsidRPr="00E96209">
        <w:rPr>
          <w:lang w:val="fr-CA"/>
        </w:rPr>
        <w:t xml:space="preserve">, [1993] 2 </w:t>
      </w:r>
      <w:r w:rsidR="003208E1" w:rsidRPr="00E96209">
        <w:rPr>
          <w:lang w:val="fr-CA"/>
        </w:rPr>
        <w:t>R.C.S.</w:t>
      </w:r>
      <w:r w:rsidRPr="00E96209">
        <w:rPr>
          <w:lang w:val="fr-CA"/>
        </w:rPr>
        <w:t xml:space="preserve"> 438; </w:t>
      </w:r>
      <w:r w:rsidRPr="00E96209">
        <w:rPr>
          <w:i/>
          <w:lang w:val="fr-CA"/>
        </w:rPr>
        <w:t xml:space="preserve">Ramsden </w:t>
      </w:r>
      <w:r w:rsidR="003208E1" w:rsidRPr="00E96209">
        <w:rPr>
          <w:i/>
          <w:lang w:val="fr-CA"/>
        </w:rPr>
        <w:t>c.</w:t>
      </w:r>
      <w:r w:rsidRPr="00E96209">
        <w:rPr>
          <w:i/>
          <w:lang w:val="fr-CA"/>
        </w:rPr>
        <w:t xml:space="preserve"> Peterborough (Ville)</w:t>
      </w:r>
      <w:r w:rsidRPr="00E96209">
        <w:rPr>
          <w:lang w:val="fr-CA"/>
        </w:rPr>
        <w:t xml:space="preserve">, [1993] 2 </w:t>
      </w:r>
      <w:r w:rsidR="003208E1" w:rsidRPr="00E96209">
        <w:rPr>
          <w:lang w:val="fr-CA"/>
        </w:rPr>
        <w:t>R.C.S.</w:t>
      </w:r>
      <w:r w:rsidRPr="00E96209">
        <w:rPr>
          <w:lang w:val="fr-CA"/>
        </w:rPr>
        <w:t xml:space="preserve"> 1084; </w:t>
      </w:r>
      <w:r w:rsidRPr="00E96209">
        <w:rPr>
          <w:i/>
          <w:lang w:val="fr-CA"/>
        </w:rPr>
        <w:t xml:space="preserve">Baron </w:t>
      </w:r>
      <w:r w:rsidR="003208E1" w:rsidRPr="00E96209">
        <w:rPr>
          <w:i/>
          <w:lang w:val="fr-CA"/>
        </w:rPr>
        <w:t>c.</w:t>
      </w:r>
      <w:r w:rsidRPr="00E96209">
        <w:rPr>
          <w:i/>
          <w:lang w:val="fr-CA"/>
        </w:rPr>
        <w:t xml:space="preserve"> Canada</w:t>
      </w:r>
      <w:r w:rsidRPr="00E96209">
        <w:rPr>
          <w:lang w:val="fr-CA"/>
        </w:rPr>
        <w:t xml:space="preserve">, [1993] 1 </w:t>
      </w:r>
      <w:r w:rsidR="003208E1" w:rsidRPr="00E96209">
        <w:rPr>
          <w:lang w:val="fr-CA"/>
        </w:rPr>
        <w:t>R.C.S.</w:t>
      </w:r>
      <w:r w:rsidRPr="00E96209">
        <w:rPr>
          <w:lang w:val="fr-CA"/>
        </w:rPr>
        <w:t xml:space="preserve"> 416; </w:t>
      </w:r>
      <w:r w:rsidRPr="00E96209">
        <w:rPr>
          <w:i/>
          <w:lang w:val="fr-CA"/>
        </w:rPr>
        <w:t xml:space="preserve">R. </w:t>
      </w:r>
      <w:r w:rsidR="003208E1" w:rsidRPr="00E96209">
        <w:rPr>
          <w:i/>
          <w:lang w:val="fr-CA"/>
        </w:rPr>
        <w:t>c.</w:t>
      </w:r>
      <w:r w:rsidRPr="00E96209">
        <w:rPr>
          <w:i/>
          <w:lang w:val="fr-CA"/>
        </w:rPr>
        <w:t xml:space="preserve"> Zundel</w:t>
      </w:r>
      <w:r w:rsidRPr="00E96209">
        <w:rPr>
          <w:lang w:val="fr-CA"/>
        </w:rPr>
        <w:t xml:space="preserve">, [1992] 2 </w:t>
      </w:r>
      <w:r w:rsidR="003208E1" w:rsidRPr="00E96209">
        <w:rPr>
          <w:lang w:val="fr-CA"/>
        </w:rPr>
        <w:t>R.C.S.</w:t>
      </w:r>
      <w:r w:rsidRPr="00E96209">
        <w:rPr>
          <w:lang w:val="fr-CA"/>
        </w:rPr>
        <w:t xml:space="preserve"> 731; </w:t>
      </w:r>
      <w:r w:rsidRPr="00E96209">
        <w:rPr>
          <w:i/>
          <w:lang w:val="fr-CA"/>
        </w:rPr>
        <w:t xml:space="preserve">R. </w:t>
      </w:r>
      <w:r w:rsidR="003208E1" w:rsidRPr="00E96209">
        <w:rPr>
          <w:i/>
          <w:lang w:val="fr-CA"/>
        </w:rPr>
        <w:t>c.</w:t>
      </w:r>
      <w:r w:rsidRPr="00E96209">
        <w:rPr>
          <w:i/>
          <w:lang w:val="fr-CA"/>
        </w:rPr>
        <w:t xml:space="preserve"> </w:t>
      </w:r>
      <w:proofErr w:type="spellStart"/>
      <w:r w:rsidRPr="00E96209">
        <w:rPr>
          <w:i/>
          <w:lang w:val="fr-CA"/>
        </w:rPr>
        <w:t>Big</w:t>
      </w:r>
      <w:proofErr w:type="spellEnd"/>
      <w:r w:rsidRPr="00E96209">
        <w:rPr>
          <w:i/>
          <w:lang w:val="fr-CA"/>
        </w:rPr>
        <w:t xml:space="preserve"> M Drug </w:t>
      </w:r>
      <w:proofErr w:type="spellStart"/>
      <w:r w:rsidRPr="00E96209">
        <w:rPr>
          <w:i/>
          <w:lang w:val="fr-CA"/>
        </w:rPr>
        <w:t>Mart</w:t>
      </w:r>
      <w:proofErr w:type="spellEnd"/>
      <w:r w:rsidRPr="00E96209">
        <w:rPr>
          <w:i/>
          <w:lang w:val="fr-CA"/>
        </w:rPr>
        <w:t xml:space="preserve"> Ltd.</w:t>
      </w:r>
      <w:r w:rsidRPr="00E96209">
        <w:rPr>
          <w:lang w:val="fr-CA"/>
        </w:rPr>
        <w:t xml:space="preserve">, [1985] 1 </w:t>
      </w:r>
      <w:r w:rsidR="003208E1" w:rsidRPr="00E96209">
        <w:rPr>
          <w:lang w:val="fr-CA"/>
        </w:rPr>
        <w:t>R.C.S.</w:t>
      </w:r>
      <w:r w:rsidRPr="00E96209">
        <w:rPr>
          <w:lang w:val="fr-CA"/>
        </w:rPr>
        <w:t xml:space="preserve"> 295; </w:t>
      </w:r>
      <w:r w:rsidRPr="00E96209">
        <w:rPr>
          <w:i/>
          <w:lang w:val="fr-CA"/>
        </w:rPr>
        <w:t xml:space="preserve">R. </w:t>
      </w:r>
      <w:r w:rsidR="003208E1" w:rsidRPr="00E96209">
        <w:rPr>
          <w:i/>
          <w:lang w:val="fr-CA"/>
        </w:rPr>
        <w:t>c.</w:t>
      </w:r>
      <w:r w:rsidRPr="00E96209">
        <w:rPr>
          <w:i/>
          <w:lang w:val="fr-CA"/>
        </w:rPr>
        <w:t xml:space="preserve"> Ferguson</w:t>
      </w:r>
      <w:r w:rsidRPr="00E96209">
        <w:rPr>
          <w:lang w:val="fr-CA"/>
        </w:rPr>
        <w:t xml:space="preserve">, 2008 </w:t>
      </w:r>
      <w:r w:rsidR="003208E1" w:rsidRPr="00E96209">
        <w:rPr>
          <w:lang w:val="fr-CA"/>
        </w:rPr>
        <w:t>CSC</w:t>
      </w:r>
      <w:r w:rsidRPr="00E96209">
        <w:rPr>
          <w:lang w:val="fr-CA"/>
        </w:rPr>
        <w:t xml:space="preserve"> 6, [2008] 1 </w:t>
      </w:r>
      <w:r w:rsidR="003208E1" w:rsidRPr="00E96209">
        <w:rPr>
          <w:lang w:val="fr-CA"/>
        </w:rPr>
        <w:t>R.C.S.</w:t>
      </w:r>
      <w:r w:rsidRPr="00E96209">
        <w:rPr>
          <w:lang w:val="fr-CA"/>
        </w:rPr>
        <w:t xml:space="preserve"> 96</w:t>
      </w:r>
      <w:r w:rsidR="00EF4950" w:rsidRPr="00E96209">
        <w:rPr>
          <w:lang w:val="fr-CA"/>
        </w:rPr>
        <w:t>;</w:t>
      </w:r>
      <w:r w:rsidRPr="00E96209">
        <w:rPr>
          <w:lang w:val="fr-CA"/>
        </w:rPr>
        <w:t xml:space="preserve"> </w:t>
      </w:r>
      <w:proofErr w:type="spellStart"/>
      <w:r w:rsidR="00EF4950" w:rsidRPr="00E96209">
        <w:rPr>
          <w:i/>
          <w:lang w:val="fr-CA"/>
        </w:rPr>
        <w:t>Roncarelli</w:t>
      </w:r>
      <w:proofErr w:type="spellEnd"/>
      <w:r w:rsidR="00EF4950" w:rsidRPr="00E96209">
        <w:rPr>
          <w:i/>
          <w:lang w:val="fr-CA"/>
        </w:rPr>
        <w:t xml:space="preserve"> </w:t>
      </w:r>
      <w:r w:rsidR="00B038EB" w:rsidRPr="00E96209">
        <w:rPr>
          <w:i/>
          <w:lang w:val="fr-CA"/>
        </w:rPr>
        <w:t>c.</w:t>
      </w:r>
      <w:r w:rsidR="00EF4950" w:rsidRPr="00E96209">
        <w:rPr>
          <w:i/>
          <w:lang w:val="fr-CA"/>
        </w:rPr>
        <w:t xml:space="preserve"> Duplessis</w:t>
      </w:r>
      <w:r w:rsidR="00EF4950" w:rsidRPr="00E96209">
        <w:rPr>
          <w:lang w:val="fr-CA"/>
        </w:rPr>
        <w:t xml:space="preserve">, [1959] </w:t>
      </w:r>
      <w:r w:rsidR="00D6222C" w:rsidRPr="00E96209">
        <w:rPr>
          <w:lang w:val="fr-CA"/>
        </w:rPr>
        <w:t>R.C.S.</w:t>
      </w:r>
      <w:r w:rsidR="00EF4950" w:rsidRPr="00E96209">
        <w:rPr>
          <w:lang w:val="fr-CA"/>
        </w:rPr>
        <w:t xml:space="preserve"> 121; </w:t>
      </w:r>
      <w:r w:rsidR="00EF4950" w:rsidRPr="00E96209">
        <w:rPr>
          <w:i/>
          <w:lang w:val="fr-CA"/>
        </w:rPr>
        <w:t xml:space="preserve">B.C.G.E.U. </w:t>
      </w:r>
      <w:r w:rsidR="00B038EB" w:rsidRPr="00E96209">
        <w:rPr>
          <w:i/>
          <w:lang w:val="fr-CA"/>
        </w:rPr>
        <w:t>c.</w:t>
      </w:r>
      <w:r w:rsidR="00EF4950" w:rsidRPr="00E96209">
        <w:rPr>
          <w:i/>
          <w:lang w:val="fr-CA"/>
        </w:rPr>
        <w:t xml:space="preserve"> </w:t>
      </w:r>
      <w:r w:rsidR="00D6222C" w:rsidRPr="00E96209">
        <w:rPr>
          <w:i/>
          <w:lang w:val="fr-CA"/>
        </w:rPr>
        <w:t>Colombie</w:t>
      </w:r>
      <w:r w:rsidR="00E96209">
        <w:rPr>
          <w:i/>
          <w:lang w:val="fr-CA"/>
        </w:rPr>
        <w:noBreakHyphen/>
      </w:r>
      <w:r w:rsidR="00D6222C" w:rsidRPr="00E96209">
        <w:rPr>
          <w:i/>
          <w:lang w:val="fr-CA"/>
        </w:rPr>
        <w:t>Britannique</w:t>
      </w:r>
      <w:r w:rsidR="00EF4950" w:rsidRPr="00E96209">
        <w:rPr>
          <w:i/>
          <w:lang w:val="fr-CA"/>
        </w:rPr>
        <w:t xml:space="preserve"> (</w:t>
      </w:r>
      <w:r w:rsidR="00D6222C" w:rsidRPr="00E96209">
        <w:rPr>
          <w:i/>
          <w:lang w:val="fr-CA"/>
        </w:rPr>
        <w:t>Procureur général</w:t>
      </w:r>
      <w:r w:rsidR="00EF4950" w:rsidRPr="00E96209">
        <w:rPr>
          <w:i/>
          <w:lang w:val="fr-CA"/>
        </w:rPr>
        <w:t>)</w:t>
      </w:r>
      <w:r w:rsidR="00EF4950" w:rsidRPr="00E96209">
        <w:rPr>
          <w:lang w:val="fr-CA"/>
        </w:rPr>
        <w:t xml:space="preserve">, [1988] 2 </w:t>
      </w:r>
      <w:r w:rsidR="00D6222C" w:rsidRPr="00E96209">
        <w:rPr>
          <w:lang w:val="fr-CA"/>
        </w:rPr>
        <w:t>R.C.S.</w:t>
      </w:r>
      <w:r w:rsidR="00EF4950" w:rsidRPr="00E96209">
        <w:rPr>
          <w:lang w:val="fr-CA"/>
        </w:rPr>
        <w:t xml:space="preserve"> 214; </w:t>
      </w:r>
      <w:r w:rsidR="000B37DF" w:rsidRPr="00E96209">
        <w:rPr>
          <w:i/>
          <w:lang w:val="fr-CA"/>
        </w:rPr>
        <w:t>Renvoi relatif à la sécession du Québec</w:t>
      </w:r>
      <w:r w:rsidR="00EF4950" w:rsidRPr="00E96209">
        <w:rPr>
          <w:lang w:val="fr-CA"/>
        </w:rPr>
        <w:t xml:space="preserve">, [1998] 2 </w:t>
      </w:r>
      <w:r w:rsidR="00D6222C" w:rsidRPr="00E96209">
        <w:rPr>
          <w:lang w:val="fr-CA"/>
        </w:rPr>
        <w:t>R.C.S.</w:t>
      </w:r>
      <w:r w:rsidR="00EF4950" w:rsidRPr="00E96209">
        <w:rPr>
          <w:lang w:val="fr-CA"/>
        </w:rPr>
        <w:t xml:space="preserve"> 217; </w:t>
      </w:r>
      <w:r w:rsidR="00EF4950" w:rsidRPr="00E96209">
        <w:rPr>
          <w:i/>
          <w:lang w:val="fr-CA"/>
        </w:rPr>
        <w:t xml:space="preserve">Hunter </w:t>
      </w:r>
      <w:r w:rsidR="00B038EB" w:rsidRPr="00E96209">
        <w:rPr>
          <w:i/>
          <w:lang w:val="fr-CA"/>
        </w:rPr>
        <w:t>c.</w:t>
      </w:r>
      <w:r w:rsidR="00EF4950" w:rsidRPr="00E96209">
        <w:rPr>
          <w:i/>
          <w:lang w:val="fr-CA"/>
        </w:rPr>
        <w:t xml:space="preserve"> </w:t>
      </w:r>
      <w:proofErr w:type="spellStart"/>
      <w:r w:rsidR="00EF4950" w:rsidRPr="00E96209">
        <w:rPr>
          <w:i/>
          <w:lang w:val="fr-CA"/>
        </w:rPr>
        <w:t>Southam</w:t>
      </w:r>
      <w:proofErr w:type="spellEnd"/>
      <w:r w:rsidR="00EF4950" w:rsidRPr="00E96209">
        <w:rPr>
          <w:i/>
          <w:lang w:val="fr-CA"/>
        </w:rPr>
        <w:t xml:space="preserve"> Inc.</w:t>
      </w:r>
      <w:r w:rsidR="00EF4950" w:rsidRPr="00E96209">
        <w:rPr>
          <w:lang w:val="fr-CA"/>
        </w:rPr>
        <w:t xml:space="preserve">, [1984] 2 </w:t>
      </w:r>
      <w:r w:rsidR="00D6222C" w:rsidRPr="00E96209">
        <w:rPr>
          <w:lang w:val="fr-CA"/>
        </w:rPr>
        <w:t>R.C.S.</w:t>
      </w:r>
      <w:r w:rsidR="00EF4950" w:rsidRPr="00E96209">
        <w:rPr>
          <w:lang w:val="fr-CA"/>
        </w:rPr>
        <w:t xml:space="preserve"> 145; </w:t>
      </w:r>
      <w:r w:rsidR="00EF4950" w:rsidRPr="00E96209">
        <w:rPr>
          <w:i/>
          <w:lang w:val="fr-CA"/>
        </w:rPr>
        <w:t xml:space="preserve">Attorney General of the </w:t>
      </w:r>
      <w:proofErr w:type="spellStart"/>
      <w:r w:rsidR="00EF4950" w:rsidRPr="00E96209">
        <w:rPr>
          <w:i/>
          <w:lang w:val="fr-CA"/>
        </w:rPr>
        <w:t>Republic</w:t>
      </w:r>
      <w:proofErr w:type="spellEnd"/>
      <w:r w:rsidR="00EF4950" w:rsidRPr="00E96209">
        <w:rPr>
          <w:i/>
          <w:lang w:val="fr-CA"/>
        </w:rPr>
        <w:t xml:space="preserve"> </w:t>
      </w:r>
      <w:r w:rsidR="00B038EB" w:rsidRPr="00E96209">
        <w:rPr>
          <w:i/>
          <w:lang w:val="fr-CA"/>
        </w:rPr>
        <w:t>c.</w:t>
      </w:r>
      <w:r w:rsidR="00EF4950" w:rsidRPr="00E96209">
        <w:rPr>
          <w:i/>
          <w:lang w:val="fr-CA"/>
        </w:rPr>
        <w:t xml:space="preserve"> Mustafa Ibrahim</w:t>
      </w:r>
      <w:r w:rsidR="00EF4950" w:rsidRPr="00E96209">
        <w:rPr>
          <w:lang w:val="fr-CA"/>
        </w:rPr>
        <w:t xml:space="preserve">, [1964] </w:t>
      </w:r>
      <w:proofErr w:type="spellStart"/>
      <w:r w:rsidR="00EF4950" w:rsidRPr="00E96209">
        <w:rPr>
          <w:lang w:val="fr-CA"/>
        </w:rPr>
        <w:t>Cyprus</w:t>
      </w:r>
      <w:proofErr w:type="spellEnd"/>
      <w:r w:rsidR="00EF4950" w:rsidRPr="00E96209">
        <w:rPr>
          <w:lang w:val="fr-CA"/>
        </w:rPr>
        <w:t xml:space="preserve"> Law Reports 195; </w:t>
      </w:r>
      <w:proofErr w:type="spellStart"/>
      <w:r w:rsidR="00EF4950" w:rsidRPr="00E96209">
        <w:rPr>
          <w:i/>
          <w:lang w:val="fr-CA"/>
        </w:rPr>
        <w:t>Tétreault</w:t>
      </w:r>
      <w:r w:rsidR="00E96209">
        <w:rPr>
          <w:i/>
          <w:lang w:val="fr-CA"/>
        </w:rPr>
        <w:noBreakHyphen/>
      </w:r>
      <w:r w:rsidR="00EF4950" w:rsidRPr="00E96209">
        <w:rPr>
          <w:i/>
          <w:lang w:val="fr-CA"/>
        </w:rPr>
        <w:t>Gadoury</w:t>
      </w:r>
      <w:proofErr w:type="spellEnd"/>
      <w:r w:rsidR="00EF4950" w:rsidRPr="00E96209">
        <w:rPr>
          <w:i/>
          <w:lang w:val="fr-CA"/>
        </w:rPr>
        <w:t xml:space="preserve"> </w:t>
      </w:r>
      <w:r w:rsidR="00B038EB" w:rsidRPr="00E96209">
        <w:rPr>
          <w:i/>
          <w:lang w:val="fr-CA"/>
        </w:rPr>
        <w:t>c.</w:t>
      </w:r>
      <w:r w:rsidR="00EF4950" w:rsidRPr="00E96209">
        <w:rPr>
          <w:i/>
          <w:lang w:val="fr-CA"/>
        </w:rPr>
        <w:t xml:space="preserve"> Canada (</w:t>
      </w:r>
      <w:r w:rsidR="000B37DF" w:rsidRPr="00E96209">
        <w:rPr>
          <w:i/>
          <w:lang w:val="fr-CA"/>
        </w:rPr>
        <w:t>Commission de l’emploi et de l’immigration</w:t>
      </w:r>
      <w:r w:rsidR="00EF4950" w:rsidRPr="00E96209">
        <w:rPr>
          <w:i/>
          <w:lang w:val="fr-CA"/>
        </w:rPr>
        <w:t>)</w:t>
      </w:r>
      <w:r w:rsidR="00EF4950" w:rsidRPr="00E96209">
        <w:rPr>
          <w:lang w:val="fr-CA"/>
        </w:rPr>
        <w:t xml:space="preserve">, [1991] 2 </w:t>
      </w:r>
      <w:r w:rsidR="00D6222C" w:rsidRPr="00E96209">
        <w:rPr>
          <w:lang w:val="fr-CA"/>
        </w:rPr>
        <w:t>R.C.S.</w:t>
      </w:r>
      <w:r w:rsidR="00EF4950" w:rsidRPr="00E96209">
        <w:rPr>
          <w:lang w:val="fr-CA"/>
        </w:rPr>
        <w:t xml:space="preserve"> 22; </w:t>
      </w:r>
      <w:proofErr w:type="spellStart"/>
      <w:r w:rsidR="00EF4950" w:rsidRPr="00E96209">
        <w:rPr>
          <w:i/>
          <w:lang w:val="fr-CA"/>
        </w:rPr>
        <w:t>Northern</w:t>
      </w:r>
      <w:proofErr w:type="spellEnd"/>
      <w:r w:rsidR="00EF4950" w:rsidRPr="00E96209">
        <w:rPr>
          <w:i/>
          <w:lang w:val="fr-CA"/>
        </w:rPr>
        <w:t xml:space="preserve"> Pipeline Construction Co. </w:t>
      </w:r>
      <w:r w:rsidR="00B038EB" w:rsidRPr="00E96209">
        <w:rPr>
          <w:i/>
          <w:lang w:val="fr-CA"/>
        </w:rPr>
        <w:t>c.</w:t>
      </w:r>
      <w:r w:rsidR="00EF4950" w:rsidRPr="00E96209">
        <w:rPr>
          <w:i/>
          <w:lang w:val="fr-CA"/>
        </w:rPr>
        <w:t xml:space="preserve"> Marathon </w:t>
      </w:r>
      <w:proofErr w:type="spellStart"/>
      <w:r w:rsidR="00EF4950" w:rsidRPr="00E96209">
        <w:rPr>
          <w:i/>
          <w:lang w:val="fr-CA"/>
        </w:rPr>
        <w:t>Pipe Line</w:t>
      </w:r>
      <w:proofErr w:type="spellEnd"/>
      <w:r w:rsidR="00EF4950" w:rsidRPr="00E96209">
        <w:rPr>
          <w:i/>
          <w:lang w:val="fr-CA"/>
        </w:rPr>
        <w:t xml:space="preserve"> Co.</w:t>
      </w:r>
      <w:r w:rsidR="00EF4950" w:rsidRPr="00E96209">
        <w:rPr>
          <w:lang w:val="fr-CA"/>
        </w:rPr>
        <w:t xml:space="preserve">, 458 U.S. 50 (1982); </w:t>
      </w:r>
      <w:r w:rsidR="00EF4950" w:rsidRPr="00E96209">
        <w:rPr>
          <w:i/>
          <w:lang w:val="fr-CA"/>
        </w:rPr>
        <w:t xml:space="preserve">R. </w:t>
      </w:r>
      <w:r w:rsidR="00B038EB" w:rsidRPr="00E96209">
        <w:rPr>
          <w:i/>
          <w:lang w:val="fr-CA"/>
        </w:rPr>
        <w:t>c.</w:t>
      </w:r>
      <w:r w:rsidR="00EF4950" w:rsidRPr="00E96209">
        <w:rPr>
          <w:i/>
          <w:lang w:val="fr-CA"/>
        </w:rPr>
        <w:t xml:space="preserve"> Morgentaler</w:t>
      </w:r>
      <w:r w:rsidR="00EF4950" w:rsidRPr="00E96209">
        <w:rPr>
          <w:lang w:val="fr-CA"/>
        </w:rPr>
        <w:t xml:space="preserve">, [1988] 1 </w:t>
      </w:r>
      <w:r w:rsidR="00D6222C" w:rsidRPr="00E96209">
        <w:rPr>
          <w:lang w:val="fr-CA"/>
        </w:rPr>
        <w:t>R.C.S.</w:t>
      </w:r>
      <w:r w:rsidR="00EF4950" w:rsidRPr="00E96209">
        <w:rPr>
          <w:lang w:val="fr-CA"/>
        </w:rPr>
        <w:t xml:space="preserve"> 30; </w:t>
      </w:r>
      <w:r w:rsidR="00EF4950" w:rsidRPr="00E96209">
        <w:rPr>
          <w:i/>
          <w:lang w:val="fr-CA"/>
        </w:rPr>
        <w:t xml:space="preserve">Saumur </w:t>
      </w:r>
      <w:r w:rsidR="00B038EB" w:rsidRPr="00E96209">
        <w:rPr>
          <w:i/>
          <w:lang w:val="fr-CA"/>
        </w:rPr>
        <w:t>c.</w:t>
      </w:r>
      <w:r w:rsidR="00EF4950" w:rsidRPr="00E96209">
        <w:rPr>
          <w:i/>
          <w:lang w:val="fr-CA"/>
        </w:rPr>
        <w:t xml:space="preserve"> City of </w:t>
      </w:r>
      <w:proofErr w:type="spellStart"/>
      <w:r w:rsidR="00EF4950" w:rsidRPr="00E96209">
        <w:rPr>
          <w:i/>
          <w:lang w:val="fr-CA"/>
        </w:rPr>
        <w:t>Quebec</w:t>
      </w:r>
      <w:proofErr w:type="spellEnd"/>
      <w:r w:rsidR="00EF4950" w:rsidRPr="00E96209">
        <w:rPr>
          <w:lang w:val="fr-CA"/>
        </w:rPr>
        <w:t xml:space="preserve">, [1953] 2 </w:t>
      </w:r>
      <w:proofErr w:type="spellStart"/>
      <w:r w:rsidR="00D6222C" w:rsidRPr="00E96209">
        <w:rPr>
          <w:lang w:val="fr-CA"/>
        </w:rPr>
        <w:t>R.C.S</w:t>
      </w:r>
      <w:proofErr w:type="spellEnd"/>
      <w:r w:rsidR="00D6222C" w:rsidRPr="00E96209">
        <w:rPr>
          <w:lang w:val="fr-CA"/>
        </w:rPr>
        <w:t>.</w:t>
      </w:r>
      <w:r w:rsidR="00EF4950" w:rsidRPr="00E96209">
        <w:rPr>
          <w:lang w:val="fr-CA"/>
        </w:rPr>
        <w:t xml:space="preserve"> 299; </w:t>
      </w:r>
      <w:r w:rsidR="00EF4950" w:rsidRPr="00E96209">
        <w:rPr>
          <w:i/>
          <w:lang w:val="fr-CA"/>
        </w:rPr>
        <w:t xml:space="preserve">R. </w:t>
      </w:r>
      <w:r w:rsidR="00B038EB" w:rsidRPr="00E96209">
        <w:rPr>
          <w:i/>
          <w:lang w:val="fr-CA"/>
        </w:rPr>
        <w:t>c.</w:t>
      </w:r>
      <w:r w:rsidR="00EF4950" w:rsidRPr="00E96209">
        <w:rPr>
          <w:i/>
          <w:lang w:val="fr-CA"/>
        </w:rPr>
        <w:t xml:space="preserve"> </w:t>
      </w:r>
      <w:proofErr w:type="spellStart"/>
      <w:r w:rsidR="00EF4950" w:rsidRPr="00E96209">
        <w:rPr>
          <w:i/>
          <w:lang w:val="fr-CA"/>
        </w:rPr>
        <w:t>Oakes</w:t>
      </w:r>
      <w:proofErr w:type="spellEnd"/>
      <w:r w:rsidR="00EF4950" w:rsidRPr="00E96209">
        <w:rPr>
          <w:lang w:val="fr-CA"/>
        </w:rPr>
        <w:t xml:space="preserve">, [1986] 1 </w:t>
      </w:r>
      <w:proofErr w:type="spellStart"/>
      <w:r w:rsidR="00D6222C" w:rsidRPr="00E96209">
        <w:rPr>
          <w:lang w:val="fr-CA"/>
        </w:rPr>
        <w:t>R.C.S</w:t>
      </w:r>
      <w:proofErr w:type="spellEnd"/>
      <w:r w:rsidR="00D6222C" w:rsidRPr="00E96209">
        <w:rPr>
          <w:lang w:val="fr-CA"/>
        </w:rPr>
        <w:t>.</w:t>
      </w:r>
      <w:r w:rsidR="00EF4950" w:rsidRPr="00E96209">
        <w:rPr>
          <w:lang w:val="fr-CA"/>
        </w:rPr>
        <w:t xml:space="preserve"> 103; </w:t>
      </w:r>
      <w:r w:rsidR="00CC45D7" w:rsidRPr="00E96209">
        <w:rPr>
          <w:i/>
          <w:lang w:val="fr-CA"/>
        </w:rPr>
        <w:t>Renvoi relatif à la Loi anti</w:t>
      </w:r>
      <w:r w:rsidR="00E96209">
        <w:rPr>
          <w:i/>
          <w:lang w:val="fr-CA"/>
        </w:rPr>
        <w:noBreakHyphen/>
      </w:r>
      <w:r w:rsidR="00CC45D7" w:rsidRPr="00E96209">
        <w:rPr>
          <w:i/>
          <w:lang w:val="fr-CA"/>
        </w:rPr>
        <w:t>inflation</w:t>
      </w:r>
      <w:r w:rsidR="00EF4950" w:rsidRPr="00E96209">
        <w:rPr>
          <w:lang w:val="fr-CA"/>
        </w:rPr>
        <w:t xml:space="preserve">, [1976] 2 </w:t>
      </w:r>
      <w:r w:rsidR="00D6222C" w:rsidRPr="00E96209">
        <w:rPr>
          <w:lang w:val="fr-CA"/>
        </w:rPr>
        <w:t>R.C.S.</w:t>
      </w:r>
      <w:r w:rsidR="00EF4950" w:rsidRPr="00E96209">
        <w:rPr>
          <w:lang w:val="fr-CA"/>
        </w:rPr>
        <w:t xml:space="preserve"> 373;</w:t>
      </w:r>
      <w:r w:rsidR="00475DB0" w:rsidRPr="00E96209">
        <w:rPr>
          <w:lang w:val="fr-CA"/>
        </w:rPr>
        <w:t xml:space="preserve"> </w:t>
      </w:r>
      <w:r w:rsidR="00475DB0" w:rsidRPr="00E96209">
        <w:rPr>
          <w:i/>
          <w:lang w:val="fr-CA"/>
        </w:rPr>
        <w:t>Carter c. Canada (Procureur général)</w:t>
      </w:r>
      <w:r w:rsidR="00475DB0" w:rsidRPr="00E96209">
        <w:rPr>
          <w:lang w:val="fr-CA"/>
        </w:rPr>
        <w:t>, 2016 CSC 4, [2016] 1 R.C.S. 13;</w:t>
      </w:r>
      <w:r w:rsidR="00EF4950" w:rsidRPr="00E96209">
        <w:rPr>
          <w:lang w:val="fr-CA"/>
        </w:rPr>
        <w:t xml:space="preserve"> </w:t>
      </w:r>
      <w:r w:rsidR="00EF4950" w:rsidRPr="00E96209">
        <w:rPr>
          <w:i/>
          <w:lang w:val="fr-CA"/>
        </w:rPr>
        <w:t xml:space="preserve">Scott </w:t>
      </w:r>
      <w:r w:rsidR="00B038EB" w:rsidRPr="00E96209">
        <w:rPr>
          <w:i/>
          <w:lang w:val="fr-CA"/>
        </w:rPr>
        <w:t>c.</w:t>
      </w:r>
      <w:r w:rsidR="00EF4950" w:rsidRPr="00E96209">
        <w:rPr>
          <w:i/>
          <w:lang w:val="fr-CA"/>
        </w:rPr>
        <w:t xml:space="preserve"> Scott</w:t>
      </w:r>
      <w:r w:rsidR="00EF4950" w:rsidRPr="00E96209">
        <w:rPr>
          <w:lang w:val="fr-CA"/>
        </w:rPr>
        <w:t xml:space="preserve">, [1913] A.C. 417; </w:t>
      </w:r>
      <w:r w:rsidR="00EF4950" w:rsidRPr="00E96209">
        <w:rPr>
          <w:i/>
          <w:lang w:val="fr-CA"/>
        </w:rPr>
        <w:t xml:space="preserve">R. </w:t>
      </w:r>
      <w:r w:rsidR="00B038EB" w:rsidRPr="00E96209">
        <w:rPr>
          <w:i/>
          <w:lang w:val="fr-CA"/>
        </w:rPr>
        <w:t>c.</w:t>
      </w:r>
      <w:r w:rsidR="00EF4950" w:rsidRPr="00E96209">
        <w:rPr>
          <w:i/>
          <w:lang w:val="fr-CA"/>
        </w:rPr>
        <w:t xml:space="preserve"> </w:t>
      </w:r>
      <w:proofErr w:type="spellStart"/>
      <w:r w:rsidR="00EF4950" w:rsidRPr="00E96209">
        <w:rPr>
          <w:i/>
          <w:lang w:val="fr-CA"/>
        </w:rPr>
        <w:t>Swain</w:t>
      </w:r>
      <w:proofErr w:type="spellEnd"/>
      <w:r w:rsidR="00EF4950" w:rsidRPr="00E96209">
        <w:rPr>
          <w:lang w:val="fr-CA"/>
        </w:rPr>
        <w:t xml:space="preserve">, [1991] 1 </w:t>
      </w:r>
      <w:proofErr w:type="spellStart"/>
      <w:r w:rsidR="00D6222C" w:rsidRPr="00E96209">
        <w:rPr>
          <w:lang w:val="fr-CA"/>
        </w:rPr>
        <w:t>R.C.S</w:t>
      </w:r>
      <w:proofErr w:type="spellEnd"/>
      <w:r w:rsidR="00D6222C" w:rsidRPr="00E96209">
        <w:rPr>
          <w:lang w:val="fr-CA"/>
        </w:rPr>
        <w:t>.</w:t>
      </w:r>
      <w:r w:rsidR="00EF4950" w:rsidRPr="00E96209">
        <w:rPr>
          <w:lang w:val="fr-CA"/>
        </w:rPr>
        <w:t xml:space="preserve"> 933; </w:t>
      </w:r>
      <w:r w:rsidR="00EF4950" w:rsidRPr="00E96209">
        <w:rPr>
          <w:i/>
          <w:lang w:val="fr-CA"/>
        </w:rPr>
        <w:t xml:space="preserve">Ferguson </w:t>
      </w:r>
      <w:r w:rsidR="00B038EB" w:rsidRPr="00E96209">
        <w:rPr>
          <w:i/>
          <w:lang w:val="fr-CA"/>
        </w:rPr>
        <w:t>c.</w:t>
      </w:r>
      <w:r w:rsidR="00EF4950" w:rsidRPr="00E96209">
        <w:rPr>
          <w:i/>
          <w:lang w:val="fr-CA"/>
        </w:rPr>
        <w:t xml:space="preserve"> </w:t>
      </w:r>
      <w:proofErr w:type="spellStart"/>
      <w:r w:rsidR="00EF4950" w:rsidRPr="00E96209">
        <w:rPr>
          <w:i/>
          <w:lang w:val="fr-CA"/>
        </w:rPr>
        <w:t>Regional</w:t>
      </w:r>
      <w:proofErr w:type="spellEnd"/>
      <w:r w:rsidR="00EF4950" w:rsidRPr="00E96209">
        <w:rPr>
          <w:i/>
          <w:lang w:val="fr-CA"/>
        </w:rPr>
        <w:t xml:space="preserve"> Mental </w:t>
      </w:r>
      <w:proofErr w:type="spellStart"/>
      <w:r w:rsidR="00EF4950" w:rsidRPr="00E96209">
        <w:rPr>
          <w:i/>
          <w:lang w:val="fr-CA"/>
        </w:rPr>
        <w:t>Health</w:t>
      </w:r>
      <w:proofErr w:type="spellEnd"/>
      <w:r w:rsidR="00EF4950" w:rsidRPr="00E96209">
        <w:rPr>
          <w:i/>
          <w:lang w:val="fr-CA"/>
        </w:rPr>
        <w:t xml:space="preserve"> Care St. Thomas</w:t>
      </w:r>
      <w:r w:rsidR="00EF4950" w:rsidRPr="00E96209">
        <w:rPr>
          <w:lang w:val="fr-CA"/>
        </w:rPr>
        <w:t xml:space="preserve">, 2010 ONCA 810, 271 O.A.C. 104; </w:t>
      </w:r>
      <w:proofErr w:type="spellStart"/>
      <w:r w:rsidR="00EF4950" w:rsidRPr="00E96209">
        <w:rPr>
          <w:i/>
          <w:lang w:val="fr-CA"/>
        </w:rPr>
        <w:t>Kassa</w:t>
      </w:r>
      <w:proofErr w:type="spellEnd"/>
      <w:r w:rsidR="00EF4950" w:rsidRPr="00E96209">
        <w:rPr>
          <w:i/>
          <w:lang w:val="fr-CA"/>
        </w:rPr>
        <w:t xml:space="preserve"> (</w:t>
      </w:r>
      <w:proofErr w:type="spellStart"/>
      <w:r w:rsidR="00EF4950" w:rsidRPr="00E96209">
        <w:rPr>
          <w:i/>
          <w:lang w:val="fr-CA"/>
        </w:rPr>
        <w:t>Re</w:t>
      </w:r>
      <w:proofErr w:type="spellEnd"/>
      <w:r w:rsidR="00EF4950" w:rsidRPr="00E96209">
        <w:rPr>
          <w:i/>
          <w:lang w:val="fr-CA"/>
        </w:rPr>
        <w:t>)</w:t>
      </w:r>
      <w:r w:rsidR="00EF4950" w:rsidRPr="00E96209">
        <w:rPr>
          <w:lang w:val="fr-CA"/>
        </w:rPr>
        <w:t xml:space="preserve">, 2019 </w:t>
      </w:r>
      <w:proofErr w:type="spellStart"/>
      <w:r w:rsidR="00EF4950" w:rsidRPr="00E96209">
        <w:rPr>
          <w:lang w:val="fr-CA"/>
        </w:rPr>
        <w:t>ONCA</w:t>
      </w:r>
      <w:proofErr w:type="spellEnd"/>
      <w:r w:rsidR="00EF4950" w:rsidRPr="00E96209">
        <w:rPr>
          <w:lang w:val="fr-CA"/>
        </w:rPr>
        <w:t xml:space="preserve"> 313; </w:t>
      </w:r>
      <w:r w:rsidR="00EF4950" w:rsidRPr="00E96209">
        <w:rPr>
          <w:i/>
          <w:lang w:val="fr-CA"/>
        </w:rPr>
        <w:t xml:space="preserve">R. </w:t>
      </w:r>
      <w:r w:rsidR="00B038EB" w:rsidRPr="00E96209">
        <w:rPr>
          <w:i/>
          <w:lang w:val="fr-CA"/>
        </w:rPr>
        <w:t>c.</w:t>
      </w:r>
      <w:r w:rsidR="00EF4950" w:rsidRPr="00E96209">
        <w:rPr>
          <w:i/>
          <w:lang w:val="fr-CA"/>
        </w:rPr>
        <w:t xml:space="preserve"> Friesen</w:t>
      </w:r>
      <w:r w:rsidR="00EF4950" w:rsidRPr="00E96209">
        <w:rPr>
          <w:lang w:val="fr-CA"/>
        </w:rPr>
        <w:t xml:space="preserve">, 2020 </w:t>
      </w:r>
      <w:r w:rsidR="00D6222C" w:rsidRPr="00E96209">
        <w:rPr>
          <w:lang w:val="fr-CA"/>
        </w:rPr>
        <w:t>CSC</w:t>
      </w:r>
      <w:r w:rsidR="00EF4950" w:rsidRPr="00E96209">
        <w:rPr>
          <w:lang w:val="fr-CA"/>
        </w:rPr>
        <w:t xml:space="preserve"> 9</w:t>
      </w:r>
      <w:r w:rsidR="004D4DC5">
        <w:rPr>
          <w:lang w:val="fr-CA"/>
        </w:rPr>
        <w:t>, [2020] 1 R.C.S. xxx</w:t>
      </w:r>
      <w:r w:rsidR="00EF4950" w:rsidRPr="00E96209">
        <w:rPr>
          <w:lang w:val="fr-CA"/>
        </w:rPr>
        <w:t xml:space="preserve">; </w:t>
      </w:r>
      <w:r w:rsidR="00EF4950" w:rsidRPr="00E96209">
        <w:rPr>
          <w:i/>
          <w:lang w:val="fr-CA"/>
        </w:rPr>
        <w:t xml:space="preserve">R. </w:t>
      </w:r>
      <w:r w:rsidR="00B038EB" w:rsidRPr="00E96209">
        <w:rPr>
          <w:i/>
          <w:lang w:val="fr-CA"/>
        </w:rPr>
        <w:t>c.</w:t>
      </w:r>
      <w:r w:rsidR="00EF4950" w:rsidRPr="00E96209">
        <w:rPr>
          <w:i/>
          <w:lang w:val="fr-CA"/>
        </w:rPr>
        <w:t xml:space="preserve"> 974649 Ontario Inc.</w:t>
      </w:r>
      <w:r w:rsidR="00EF4950" w:rsidRPr="00E96209">
        <w:rPr>
          <w:lang w:val="fr-CA"/>
        </w:rPr>
        <w:t xml:space="preserve">, 2001 </w:t>
      </w:r>
      <w:r w:rsidR="00D6222C" w:rsidRPr="00E96209">
        <w:rPr>
          <w:lang w:val="fr-CA"/>
        </w:rPr>
        <w:t>CSC</w:t>
      </w:r>
      <w:r w:rsidR="00EF4950" w:rsidRPr="00E96209">
        <w:rPr>
          <w:lang w:val="fr-CA"/>
        </w:rPr>
        <w:t xml:space="preserve"> 81, [2001] 3 </w:t>
      </w:r>
      <w:r w:rsidR="00D6222C" w:rsidRPr="00E96209">
        <w:rPr>
          <w:lang w:val="fr-CA"/>
        </w:rPr>
        <w:t>R.C.S.</w:t>
      </w:r>
      <w:r w:rsidR="00EF4950" w:rsidRPr="00E96209">
        <w:rPr>
          <w:lang w:val="fr-CA"/>
        </w:rPr>
        <w:t xml:space="preserve"> 575; </w:t>
      </w:r>
      <w:r w:rsidR="00EF4950" w:rsidRPr="00E96209">
        <w:rPr>
          <w:i/>
          <w:lang w:val="fr-CA"/>
        </w:rPr>
        <w:t>Doucet</w:t>
      </w:r>
      <w:r w:rsidR="00E96209">
        <w:rPr>
          <w:i/>
          <w:lang w:val="fr-CA"/>
        </w:rPr>
        <w:noBreakHyphen/>
      </w:r>
      <w:r w:rsidR="00EF4950" w:rsidRPr="00E96209">
        <w:rPr>
          <w:i/>
          <w:lang w:val="fr-CA"/>
        </w:rPr>
        <w:t xml:space="preserve">Boudreau </w:t>
      </w:r>
      <w:r w:rsidR="00B038EB" w:rsidRPr="00E96209">
        <w:rPr>
          <w:i/>
          <w:lang w:val="fr-CA"/>
        </w:rPr>
        <w:t>c.</w:t>
      </w:r>
      <w:r w:rsidR="00EF4950" w:rsidRPr="00E96209">
        <w:rPr>
          <w:i/>
          <w:lang w:val="fr-CA"/>
        </w:rPr>
        <w:t xml:space="preserve"> </w:t>
      </w:r>
      <w:r w:rsidR="00AB50D8" w:rsidRPr="00E96209">
        <w:rPr>
          <w:i/>
          <w:lang w:val="fr-CA"/>
        </w:rPr>
        <w:t>Nouvelle</w:t>
      </w:r>
      <w:r w:rsidR="00E96209">
        <w:rPr>
          <w:i/>
          <w:lang w:val="fr-CA"/>
        </w:rPr>
        <w:noBreakHyphen/>
      </w:r>
      <w:r w:rsidR="00AB50D8" w:rsidRPr="00E96209">
        <w:rPr>
          <w:i/>
          <w:lang w:val="fr-CA"/>
        </w:rPr>
        <w:t>Écosse</w:t>
      </w:r>
      <w:r w:rsidR="00EF4950" w:rsidRPr="00E96209">
        <w:rPr>
          <w:i/>
          <w:lang w:val="fr-CA"/>
        </w:rPr>
        <w:t xml:space="preserve"> (</w:t>
      </w:r>
      <w:r w:rsidR="00AB50D8" w:rsidRPr="00E96209">
        <w:rPr>
          <w:i/>
          <w:lang w:val="fr-CA"/>
        </w:rPr>
        <w:t>Ministre de l’Éducation</w:t>
      </w:r>
      <w:r w:rsidR="00EF4950" w:rsidRPr="00E96209">
        <w:rPr>
          <w:i/>
          <w:lang w:val="fr-CA"/>
        </w:rPr>
        <w:t>)</w:t>
      </w:r>
      <w:r w:rsidR="00EF4950" w:rsidRPr="00E96209">
        <w:rPr>
          <w:lang w:val="fr-CA"/>
        </w:rPr>
        <w:t xml:space="preserve">, 2003 </w:t>
      </w:r>
      <w:r w:rsidR="00D6222C" w:rsidRPr="00E96209">
        <w:rPr>
          <w:lang w:val="fr-CA"/>
        </w:rPr>
        <w:t>CSC</w:t>
      </w:r>
      <w:r w:rsidR="00EF4950" w:rsidRPr="00E96209">
        <w:rPr>
          <w:lang w:val="fr-CA"/>
        </w:rPr>
        <w:t xml:space="preserve"> 62, [2003] 3 </w:t>
      </w:r>
      <w:r w:rsidR="00D6222C" w:rsidRPr="00E96209">
        <w:rPr>
          <w:lang w:val="fr-CA"/>
        </w:rPr>
        <w:t>R.C.S.</w:t>
      </w:r>
      <w:r w:rsidR="00EF4950" w:rsidRPr="00E96209">
        <w:rPr>
          <w:lang w:val="fr-CA"/>
        </w:rPr>
        <w:t xml:space="preserve"> 3; </w:t>
      </w:r>
      <w:r w:rsidR="00EF4950" w:rsidRPr="00E96209">
        <w:rPr>
          <w:i/>
          <w:lang w:val="fr-CA"/>
        </w:rPr>
        <w:t xml:space="preserve">R. </w:t>
      </w:r>
      <w:r w:rsidR="00B038EB" w:rsidRPr="00E96209">
        <w:rPr>
          <w:i/>
          <w:lang w:val="fr-CA"/>
        </w:rPr>
        <w:t>c.</w:t>
      </w:r>
      <w:r w:rsidR="00EF4950" w:rsidRPr="00E96209">
        <w:rPr>
          <w:i/>
          <w:lang w:val="fr-CA"/>
        </w:rPr>
        <w:t xml:space="preserve"> </w:t>
      </w:r>
      <w:proofErr w:type="spellStart"/>
      <w:r w:rsidR="00EF4950" w:rsidRPr="00E96209">
        <w:rPr>
          <w:i/>
          <w:lang w:val="fr-CA"/>
        </w:rPr>
        <w:t>Peckham</w:t>
      </w:r>
      <w:proofErr w:type="spellEnd"/>
      <w:r w:rsidR="00EF4950" w:rsidRPr="00E96209">
        <w:rPr>
          <w:lang w:val="fr-CA"/>
        </w:rPr>
        <w:t xml:space="preserve"> (1994), 93 </w:t>
      </w:r>
      <w:proofErr w:type="spellStart"/>
      <w:r w:rsidR="00EF4950" w:rsidRPr="00E96209">
        <w:rPr>
          <w:lang w:val="fr-CA"/>
        </w:rPr>
        <w:t>C.C.C</w:t>
      </w:r>
      <w:proofErr w:type="spellEnd"/>
      <w:r w:rsidR="00EF4950" w:rsidRPr="00E96209">
        <w:rPr>
          <w:lang w:val="fr-CA"/>
        </w:rPr>
        <w:t xml:space="preserve">. (3d) 443; </w:t>
      </w:r>
      <w:r w:rsidR="00EF4950" w:rsidRPr="00E96209">
        <w:rPr>
          <w:i/>
          <w:lang w:val="fr-CA"/>
        </w:rPr>
        <w:t xml:space="preserve">R. </w:t>
      </w:r>
      <w:r w:rsidR="00B038EB" w:rsidRPr="00E96209">
        <w:rPr>
          <w:i/>
          <w:lang w:val="fr-CA"/>
        </w:rPr>
        <w:t>c.</w:t>
      </w:r>
      <w:r w:rsidR="00EF4950" w:rsidRPr="00E96209">
        <w:rPr>
          <w:i/>
          <w:lang w:val="fr-CA"/>
        </w:rPr>
        <w:t xml:space="preserve"> Redhead</w:t>
      </w:r>
      <w:r w:rsidR="00EF4950" w:rsidRPr="00E96209">
        <w:rPr>
          <w:lang w:val="fr-CA"/>
        </w:rPr>
        <w:t xml:space="preserve">, 2006 ABCA 84, 384 A.R. 206; </w:t>
      </w:r>
      <w:r w:rsidR="00EF4950" w:rsidRPr="00E96209">
        <w:rPr>
          <w:i/>
          <w:lang w:val="fr-CA"/>
        </w:rPr>
        <w:t xml:space="preserve">R. </w:t>
      </w:r>
      <w:r w:rsidR="00B038EB" w:rsidRPr="00E96209">
        <w:rPr>
          <w:i/>
          <w:lang w:val="fr-CA"/>
        </w:rPr>
        <w:t>c.</w:t>
      </w:r>
      <w:r w:rsidR="00EF4950" w:rsidRPr="00E96209">
        <w:rPr>
          <w:i/>
          <w:lang w:val="fr-CA"/>
        </w:rPr>
        <w:t xml:space="preserve"> R.L.</w:t>
      </w:r>
      <w:r w:rsidR="00EF4950" w:rsidRPr="00E96209">
        <w:rPr>
          <w:lang w:val="fr-CA"/>
        </w:rPr>
        <w:t xml:space="preserve">, 2007 ONCA 347; </w:t>
      </w:r>
      <w:r w:rsidR="00D1661B" w:rsidRPr="00E96209">
        <w:rPr>
          <w:i/>
          <w:lang w:val="fr-CA"/>
        </w:rPr>
        <w:t xml:space="preserve">R. c. </w:t>
      </w:r>
      <w:proofErr w:type="spellStart"/>
      <w:r w:rsidR="00D1661B" w:rsidRPr="00E96209">
        <w:rPr>
          <w:i/>
          <w:lang w:val="fr-CA"/>
        </w:rPr>
        <w:t>Debidin</w:t>
      </w:r>
      <w:proofErr w:type="spellEnd"/>
      <w:r w:rsidR="00D1661B" w:rsidRPr="00E96209">
        <w:rPr>
          <w:lang w:val="fr-CA"/>
        </w:rPr>
        <w:t xml:space="preserve">, 2008 </w:t>
      </w:r>
      <w:proofErr w:type="spellStart"/>
      <w:r w:rsidR="00D1661B" w:rsidRPr="00E96209">
        <w:rPr>
          <w:lang w:val="fr-CA"/>
        </w:rPr>
        <w:t>ONCA</w:t>
      </w:r>
      <w:proofErr w:type="spellEnd"/>
      <w:r w:rsidR="00D1661B" w:rsidRPr="00E96209">
        <w:rPr>
          <w:lang w:val="fr-CA"/>
        </w:rPr>
        <w:t xml:space="preserve"> 868, 94 O.R. (3d) 421</w:t>
      </w:r>
      <w:r w:rsidR="00D1661B">
        <w:rPr>
          <w:lang w:val="fr-CA"/>
        </w:rPr>
        <w:t xml:space="preserve">; </w:t>
      </w:r>
      <w:r w:rsidR="00AB50D8" w:rsidRPr="00E96209">
        <w:rPr>
          <w:i/>
          <w:lang w:val="fr-CA"/>
        </w:rPr>
        <w:t>Colombie</w:t>
      </w:r>
      <w:r w:rsidR="00E96209">
        <w:rPr>
          <w:i/>
          <w:lang w:val="fr-CA"/>
        </w:rPr>
        <w:noBreakHyphen/>
      </w:r>
      <w:r w:rsidR="00AB50D8" w:rsidRPr="00E96209">
        <w:rPr>
          <w:i/>
          <w:lang w:val="fr-CA"/>
        </w:rPr>
        <w:t>Britannique</w:t>
      </w:r>
      <w:r w:rsidR="00EF4950" w:rsidRPr="00E96209">
        <w:rPr>
          <w:i/>
          <w:lang w:val="fr-CA"/>
        </w:rPr>
        <w:t xml:space="preserve"> (</w:t>
      </w:r>
      <w:r w:rsidR="00AB50D8" w:rsidRPr="00E96209">
        <w:rPr>
          <w:i/>
          <w:lang w:val="fr-CA"/>
        </w:rPr>
        <w:t>Ministre des Forêts</w:t>
      </w:r>
      <w:r w:rsidR="00EF4950" w:rsidRPr="00E96209">
        <w:rPr>
          <w:i/>
          <w:lang w:val="fr-CA"/>
        </w:rPr>
        <w:t xml:space="preserve">) </w:t>
      </w:r>
      <w:r w:rsidR="00B038EB" w:rsidRPr="00E96209">
        <w:rPr>
          <w:i/>
          <w:lang w:val="fr-CA"/>
        </w:rPr>
        <w:t>c.</w:t>
      </w:r>
      <w:r w:rsidR="00EF4950" w:rsidRPr="00E96209">
        <w:rPr>
          <w:i/>
          <w:lang w:val="fr-CA"/>
        </w:rPr>
        <w:t xml:space="preserve"> </w:t>
      </w:r>
      <w:r w:rsidR="00AB50D8" w:rsidRPr="00E96209">
        <w:rPr>
          <w:i/>
          <w:lang w:val="fr-CA"/>
        </w:rPr>
        <w:t xml:space="preserve">Bande indienne </w:t>
      </w:r>
      <w:proofErr w:type="spellStart"/>
      <w:r w:rsidR="00EF4950" w:rsidRPr="00E96209">
        <w:rPr>
          <w:i/>
          <w:lang w:val="fr-CA"/>
        </w:rPr>
        <w:t>Okanagan</w:t>
      </w:r>
      <w:proofErr w:type="spellEnd"/>
      <w:r w:rsidR="00EF4950" w:rsidRPr="00E96209">
        <w:rPr>
          <w:lang w:val="fr-CA"/>
        </w:rPr>
        <w:t xml:space="preserve">, 2003 </w:t>
      </w:r>
      <w:r w:rsidR="00D6222C" w:rsidRPr="00E96209">
        <w:rPr>
          <w:lang w:val="fr-CA"/>
        </w:rPr>
        <w:t>CSC</w:t>
      </w:r>
      <w:r w:rsidR="00EF4950" w:rsidRPr="00E96209">
        <w:rPr>
          <w:lang w:val="fr-CA"/>
        </w:rPr>
        <w:t xml:space="preserve"> 71, [</w:t>
      </w:r>
      <w:r w:rsidR="00475DB0" w:rsidRPr="00E96209">
        <w:rPr>
          <w:lang w:val="fr-CA"/>
        </w:rPr>
        <w:t>2003</w:t>
      </w:r>
      <w:r w:rsidR="00EF4950" w:rsidRPr="00E96209">
        <w:rPr>
          <w:lang w:val="fr-CA"/>
        </w:rPr>
        <w:t xml:space="preserve">] 3 </w:t>
      </w:r>
      <w:r w:rsidR="00D6222C" w:rsidRPr="00E96209">
        <w:rPr>
          <w:lang w:val="fr-CA"/>
        </w:rPr>
        <w:t>R.C.S.</w:t>
      </w:r>
      <w:r w:rsidR="00EF4950" w:rsidRPr="00E96209">
        <w:rPr>
          <w:lang w:val="fr-CA"/>
        </w:rPr>
        <w:t xml:space="preserve"> 371; </w:t>
      </w:r>
      <w:r w:rsidR="00EF4950" w:rsidRPr="00E96209">
        <w:rPr>
          <w:i/>
          <w:lang w:val="fr-CA"/>
        </w:rPr>
        <w:t>Canada (</w:t>
      </w:r>
      <w:r w:rsidR="00D6222C" w:rsidRPr="00E96209">
        <w:rPr>
          <w:i/>
          <w:lang w:val="fr-CA"/>
        </w:rPr>
        <w:t>Procureur général</w:t>
      </w:r>
      <w:r w:rsidR="00EF4950" w:rsidRPr="00E96209">
        <w:rPr>
          <w:i/>
          <w:lang w:val="fr-CA"/>
        </w:rPr>
        <w:t xml:space="preserve">) </w:t>
      </w:r>
      <w:r w:rsidR="00B038EB" w:rsidRPr="00E96209">
        <w:rPr>
          <w:i/>
          <w:lang w:val="fr-CA"/>
        </w:rPr>
        <w:t>c.</w:t>
      </w:r>
      <w:r w:rsidR="00EF4950" w:rsidRPr="00E96209">
        <w:rPr>
          <w:i/>
          <w:lang w:val="fr-CA"/>
        </w:rPr>
        <w:t xml:space="preserve"> </w:t>
      </w:r>
      <w:proofErr w:type="spellStart"/>
      <w:r w:rsidR="00EF4950" w:rsidRPr="00E96209">
        <w:rPr>
          <w:i/>
          <w:lang w:val="fr-CA"/>
        </w:rPr>
        <w:t>Downtown</w:t>
      </w:r>
      <w:proofErr w:type="spellEnd"/>
      <w:r w:rsidR="00EF4950" w:rsidRPr="00E96209">
        <w:rPr>
          <w:i/>
          <w:lang w:val="fr-CA"/>
        </w:rPr>
        <w:t xml:space="preserve"> </w:t>
      </w:r>
      <w:proofErr w:type="spellStart"/>
      <w:r w:rsidR="00EF4950" w:rsidRPr="00E96209">
        <w:rPr>
          <w:i/>
          <w:lang w:val="fr-CA"/>
        </w:rPr>
        <w:t>Eastside</w:t>
      </w:r>
      <w:proofErr w:type="spellEnd"/>
      <w:r w:rsidR="00EF4950" w:rsidRPr="00E96209">
        <w:rPr>
          <w:i/>
          <w:lang w:val="fr-CA"/>
        </w:rPr>
        <w:t xml:space="preserve"> </w:t>
      </w:r>
      <w:proofErr w:type="spellStart"/>
      <w:r w:rsidR="00EF4950" w:rsidRPr="00E96209">
        <w:rPr>
          <w:i/>
          <w:lang w:val="fr-CA"/>
        </w:rPr>
        <w:t>Sex</w:t>
      </w:r>
      <w:proofErr w:type="spellEnd"/>
      <w:r w:rsidR="00EF4950" w:rsidRPr="00E96209">
        <w:rPr>
          <w:i/>
          <w:lang w:val="fr-CA"/>
        </w:rPr>
        <w:t xml:space="preserve"> </w:t>
      </w:r>
      <w:proofErr w:type="spellStart"/>
      <w:r w:rsidR="00EF4950" w:rsidRPr="00E96209">
        <w:rPr>
          <w:i/>
          <w:lang w:val="fr-CA"/>
        </w:rPr>
        <w:t>Workers</w:t>
      </w:r>
      <w:proofErr w:type="spellEnd"/>
      <w:r w:rsidR="00EF4950" w:rsidRPr="00E96209">
        <w:rPr>
          <w:i/>
          <w:lang w:val="fr-CA"/>
        </w:rPr>
        <w:t xml:space="preserve"> United Against Violence Society</w:t>
      </w:r>
      <w:r w:rsidR="00EF4950" w:rsidRPr="00E96209">
        <w:rPr>
          <w:lang w:val="fr-CA"/>
        </w:rPr>
        <w:t xml:space="preserve">, 2012 </w:t>
      </w:r>
      <w:r w:rsidR="00D6222C" w:rsidRPr="00E96209">
        <w:rPr>
          <w:lang w:val="fr-CA"/>
        </w:rPr>
        <w:t>CSC</w:t>
      </w:r>
      <w:r w:rsidR="00EF4950" w:rsidRPr="00E96209">
        <w:rPr>
          <w:lang w:val="fr-CA"/>
        </w:rPr>
        <w:t xml:space="preserve"> 45, [2012] 2 </w:t>
      </w:r>
      <w:r w:rsidR="00D6222C" w:rsidRPr="00E96209">
        <w:rPr>
          <w:lang w:val="fr-CA"/>
        </w:rPr>
        <w:t>R.C.S.</w:t>
      </w:r>
      <w:r w:rsidR="00EF4950" w:rsidRPr="00E96209">
        <w:rPr>
          <w:lang w:val="fr-CA"/>
        </w:rPr>
        <w:t xml:space="preserve"> 524; </w:t>
      </w:r>
      <w:r w:rsidR="00EF4950" w:rsidRPr="00E96209">
        <w:rPr>
          <w:i/>
          <w:lang w:val="fr-CA"/>
        </w:rPr>
        <w:t xml:space="preserve">Miron </w:t>
      </w:r>
      <w:r w:rsidR="00B038EB" w:rsidRPr="00E96209">
        <w:rPr>
          <w:i/>
          <w:lang w:val="fr-CA"/>
        </w:rPr>
        <w:t>c.</w:t>
      </w:r>
      <w:r w:rsidR="00EF4950" w:rsidRPr="00E96209">
        <w:rPr>
          <w:i/>
          <w:lang w:val="fr-CA"/>
        </w:rPr>
        <w:t xml:space="preserve"> Trudel</w:t>
      </w:r>
      <w:r w:rsidR="00EF4950" w:rsidRPr="00E96209">
        <w:rPr>
          <w:lang w:val="fr-CA"/>
        </w:rPr>
        <w:t>,</w:t>
      </w:r>
      <w:r w:rsidR="00EF4950" w:rsidRPr="00E96209">
        <w:rPr>
          <w:i/>
          <w:lang w:val="fr-CA"/>
        </w:rPr>
        <w:t xml:space="preserve"> </w:t>
      </w:r>
      <w:r w:rsidR="00EF4950" w:rsidRPr="00E96209">
        <w:rPr>
          <w:lang w:val="fr-CA"/>
        </w:rPr>
        <w:t xml:space="preserve">[1995] 2 </w:t>
      </w:r>
      <w:r w:rsidR="00D6222C" w:rsidRPr="00E96209">
        <w:rPr>
          <w:lang w:val="fr-CA"/>
        </w:rPr>
        <w:t>R.C.S.</w:t>
      </w:r>
      <w:r w:rsidR="00EF4950" w:rsidRPr="00E96209">
        <w:rPr>
          <w:lang w:val="fr-CA"/>
        </w:rPr>
        <w:t xml:space="preserve"> 418.</w:t>
      </w:r>
    </w:p>
    <w:p w14:paraId="01C5EF31" w14:textId="77777777" w:rsidR="004D7D95" w:rsidRPr="00E96209" w:rsidRDefault="004D7D95" w:rsidP="008A7C16">
      <w:pPr>
        <w:pStyle w:val="SCCNormalDoubleSpacing"/>
        <w:spacing w:after="720" w:line="240" w:lineRule="auto"/>
        <w:rPr>
          <w:b/>
          <w:lang w:val="fr-CA"/>
        </w:rPr>
      </w:pPr>
      <w:r w:rsidRPr="00E96209">
        <w:rPr>
          <w:b/>
          <w:lang w:val="fr-CA"/>
        </w:rPr>
        <w:t>Lois et règlements cités</w:t>
      </w:r>
    </w:p>
    <w:p w14:paraId="2175D151" w14:textId="273B8F0F" w:rsidR="000F0F90" w:rsidRPr="00E96209" w:rsidRDefault="000F0F90" w:rsidP="00CD08F2">
      <w:pPr>
        <w:pStyle w:val="SCCNormalDoubleSpacing"/>
        <w:spacing w:after="240" w:line="240" w:lineRule="auto"/>
        <w:ind w:left="540" w:hanging="540"/>
        <w:rPr>
          <w:lang w:val="fr-CA"/>
        </w:rPr>
      </w:pPr>
      <w:r w:rsidRPr="00E96209">
        <w:rPr>
          <w:i/>
          <w:lang w:val="fr-CA"/>
        </w:rPr>
        <w:t>Charte canadienne des droits et libertés</w:t>
      </w:r>
      <w:r w:rsidRPr="00E96209">
        <w:rPr>
          <w:lang w:val="fr-CA"/>
        </w:rPr>
        <w:t xml:space="preserve">, </w:t>
      </w:r>
      <w:r w:rsidR="002B05FF" w:rsidRPr="00E96209">
        <w:rPr>
          <w:lang w:val="fr-CA"/>
        </w:rPr>
        <w:t xml:space="preserve">préambule, </w:t>
      </w:r>
      <w:r w:rsidR="00E96209">
        <w:rPr>
          <w:lang w:val="fr-CA"/>
        </w:rPr>
        <w:t>art. </w:t>
      </w:r>
      <w:r w:rsidRPr="00E96209">
        <w:rPr>
          <w:lang w:val="fr-CA"/>
        </w:rPr>
        <w:t xml:space="preserve">1, </w:t>
      </w:r>
      <w:r w:rsidR="0056596C" w:rsidRPr="00E96209">
        <w:rPr>
          <w:lang w:val="fr-CA"/>
        </w:rPr>
        <w:t xml:space="preserve">2, </w:t>
      </w:r>
      <w:r w:rsidR="00F80608" w:rsidRPr="00E96209">
        <w:rPr>
          <w:lang w:val="fr-CA"/>
        </w:rPr>
        <w:t xml:space="preserve">3, 4, </w:t>
      </w:r>
      <w:r w:rsidR="0056596C" w:rsidRPr="00E96209">
        <w:rPr>
          <w:lang w:val="fr-CA"/>
        </w:rPr>
        <w:t>7 à</w:t>
      </w:r>
      <w:r w:rsidRPr="00E96209">
        <w:rPr>
          <w:lang w:val="fr-CA"/>
        </w:rPr>
        <w:t xml:space="preserve"> 15, 24</w:t>
      </w:r>
      <w:r w:rsidR="00035910" w:rsidRPr="00E96209">
        <w:rPr>
          <w:lang w:val="fr-CA"/>
        </w:rPr>
        <w:t>(1), (2)</w:t>
      </w:r>
      <w:r w:rsidRPr="00E96209">
        <w:rPr>
          <w:lang w:val="fr-CA"/>
        </w:rPr>
        <w:t xml:space="preserve">, </w:t>
      </w:r>
      <w:r w:rsidR="00F44A9A" w:rsidRPr="00E96209">
        <w:rPr>
          <w:lang w:val="fr-CA"/>
        </w:rPr>
        <w:t xml:space="preserve">32(1), </w:t>
      </w:r>
      <w:r w:rsidR="00382550" w:rsidRPr="00E96209">
        <w:rPr>
          <w:lang w:val="fr-CA"/>
        </w:rPr>
        <w:t>33</w:t>
      </w:r>
      <w:r w:rsidRPr="00E96209">
        <w:rPr>
          <w:lang w:val="fr-CA"/>
        </w:rPr>
        <w:t>.</w:t>
      </w:r>
    </w:p>
    <w:p w14:paraId="3FEBD1D7" w14:textId="2430299A" w:rsidR="00B9612F" w:rsidRPr="00E96209" w:rsidRDefault="00B9612F" w:rsidP="00CD08F2">
      <w:pPr>
        <w:pStyle w:val="SCCNormalDoubleSpacing"/>
        <w:spacing w:after="240" w:line="240" w:lineRule="auto"/>
        <w:ind w:left="540" w:hanging="540"/>
        <w:rPr>
          <w:lang w:val="fr-CA"/>
        </w:rPr>
      </w:pPr>
      <w:r w:rsidRPr="00E96209">
        <w:rPr>
          <w:i/>
          <w:lang w:val="fr-CA"/>
        </w:rPr>
        <w:t>Code criminel</w:t>
      </w:r>
      <w:r w:rsidRPr="00E96209">
        <w:rPr>
          <w:lang w:val="fr-CA"/>
        </w:rPr>
        <w:t>, L.R.C. 1985, c.</w:t>
      </w:r>
      <w:r w:rsidR="00FF7AB8" w:rsidRPr="00E96209">
        <w:rPr>
          <w:lang w:val="fr-CA"/>
        </w:rPr>
        <w:t> </w:t>
      </w:r>
      <w:r w:rsidRPr="00E96209">
        <w:rPr>
          <w:lang w:val="fr-CA"/>
        </w:rPr>
        <w:t>C</w:t>
      </w:r>
      <w:r w:rsidR="00E96209">
        <w:rPr>
          <w:lang w:val="fr-CA"/>
        </w:rPr>
        <w:noBreakHyphen/>
      </w:r>
      <w:r w:rsidRPr="00E96209">
        <w:rPr>
          <w:lang w:val="fr-CA"/>
        </w:rPr>
        <w:t xml:space="preserve">46, </w:t>
      </w:r>
      <w:r w:rsidR="00E96209">
        <w:rPr>
          <w:lang w:val="fr-CA"/>
        </w:rPr>
        <w:t>art. </w:t>
      </w:r>
      <w:r w:rsidR="00543CEF" w:rsidRPr="00E96209">
        <w:rPr>
          <w:lang w:val="fr-CA"/>
        </w:rPr>
        <w:t xml:space="preserve">16(1), </w:t>
      </w:r>
      <w:r w:rsidR="00B57E74" w:rsidRPr="00E96209">
        <w:rPr>
          <w:lang w:val="fr-CA"/>
        </w:rPr>
        <w:t xml:space="preserve">490.012(4) </w:t>
      </w:r>
      <w:r w:rsidR="00FF7AB8" w:rsidRPr="00E96209">
        <w:rPr>
          <w:lang w:val="fr-CA"/>
        </w:rPr>
        <w:t>[</w:t>
      </w:r>
      <w:proofErr w:type="spellStart"/>
      <w:r w:rsidR="00FF7AB8" w:rsidRPr="00E96209">
        <w:rPr>
          <w:lang w:val="fr-CA"/>
        </w:rPr>
        <w:t>aj</w:t>
      </w:r>
      <w:proofErr w:type="spellEnd"/>
      <w:r w:rsidR="00FF7AB8" w:rsidRPr="00E96209">
        <w:rPr>
          <w:lang w:val="fr-CA"/>
        </w:rPr>
        <w:t>. 2004, c. 10, s. </w:t>
      </w:r>
      <w:r w:rsidR="00B57E74" w:rsidRPr="00E96209">
        <w:rPr>
          <w:lang w:val="fr-CA"/>
        </w:rPr>
        <w:t>20]</w:t>
      </w:r>
      <w:r w:rsidR="00A43541" w:rsidRPr="00E96209">
        <w:rPr>
          <w:lang w:val="fr-CA"/>
        </w:rPr>
        <w:t xml:space="preserve">, </w:t>
      </w:r>
      <w:r w:rsidR="00671D9D" w:rsidRPr="00E96209">
        <w:rPr>
          <w:lang w:val="fr-CA"/>
        </w:rPr>
        <w:t xml:space="preserve">490.016(1), 490.023(2), </w:t>
      </w:r>
      <w:r w:rsidR="00FC4D00" w:rsidRPr="00E96209">
        <w:rPr>
          <w:lang w:val="fr-CA"/>
        </w:rPr>
        <w:t>p</w:t>
      </w:r>
      <w:r w:rsidR="00E8181E" w:rsidRPr="00E96209">
        <w:rPr>
          <w:lang w:val="fr-CA"/>
        </w:rPr>
        <w:t>artie XX.1,</w:t>
      </w:r>
      <w:r w:rsidR="006A715C" w:rsidRPr="00E96209">
        <w:rPr>
          <w:lang w:val="fr-CA"/>
        </w:rPr>
        <w:t xml:space="preserve"> 672.1(1)</w:t>
      </w:r>
      <w:r w:rsidR="00E8181E" w:rsidRPr="00E96209">
        <w:rPr>
          <w:lang w:val="fr-CA"/>
        </w:rPr>
        <w:t xml:space="preserve"> </w:t>
      </w:r>
      <w:r w:rsidR="00481865" w:rsidRPr="00E96209">
        <w:rPr>
          <w:lang w:val="fr-CA"/>
        </w:rPr>
        <w:t>672.34,</w:t>
      </w:r>
      <w:r w:rsidR="006A715C" w:rsidRPr="00E96209">
        <w:rPr>
          <w:lang w:val="fr-CA"/>
        </w:rPr>
        <w:t xml:space="preserve"> 672.35,</w:t>
      </w:r>
      <w:r w:rsidR="00481865" w:rsidRPr="00E96209">
        <w:rPr>
          <w:lang w:val="fr-CA"/>
        </w:rPr>
        <w:t xml:space="preserve"> </w:t>
      </w:r>
      <w:r w:rsidR="00D3579A" w:rsidRPr="00E96209">
        <w:rPr>
          <w:lang w:val="fr-CA"/>
        </w:rPr>
        <w:t xml:space="preserve">672.47, </w:t>
      </w:r>
      <w:r w:rsidR="00084023" w:rsidRPr="00E96209">
        <w:rPr>
          <w:lang w:val="fr-CA"/>
        </w:rPr>
        <w:t xml:space="preserve">672.54, </w:t>
      </w:r>
      <w:r w:rsidR="0058269F" w:rsidRPr="00E96209">
        <w:rPr>
          <w:lang w:val="fr-CA"/>
        </w:rPr>
        <w:t xml:space="preserve">672.55, </w:t>
      </w:r>
      <w:r w:rsidR="00D3579A" w:rsidRPr="00E96209">
        <w:rPr>
          <w:lang w:val="fr-CA"/>
        </w:rPr>
        <w:t xml:space="preserve">672.81, </w:t>
      </w:r>
      <w:r w:rsidRPr="00E96209">
        <w:rPr>
          <w:lang w:val="fr-CA"/>
        </w:rPr>
        <w:t>730</w:t>
      </w:r>
      <w:r w:rsidR="00AE3EBF" w:rsidRPr="00E96209">
        <w:rPr>
          <w:lang w:val="fr-CA"/>
        </w:rPr>
        <w:t>, 748</w:t>
      </w:r>
      <w:r w:rsidR="000D0783" w:rsidRPr="00E96209">
        <w:rPr>
          <w:lang w:val="fr-CA"/>
        </w:rPr>
        <w:t>.</w:t>
      </w:r>
    </w:p>
    <w:p w14:paraId="54DE058A" w14:textId="56C11123" w:rsidR="001A2DE0" w:rsidRPr="00E96209" w:rsidRDefault="001A2DE0" w:rsidP="00CD08F2">
      <w:pPr>
        <w:pStyle w:val="SCCNormalDoubleSpacing"/>
        <w:spacing w:after="240" w:line="240" w:lineRule="auto"/>
        <w:ind w:left="540" w:hanging="540"/>
        <w:rPr>
          <w:lang w:val="fr-CA"/>
        </w:rPr>
      </w:pPr>
      <w:r w:rsidRPr="00E96209">
        <w:rPr>
          <w:lang w:val="fr-CA"/>
        </w:rPr>
        <w:t>Constit</w:t>
      </w:r>
      <w:r w:rsidR="00FF7AB8" w:rsidRPr="00E96209">
        <w:rPr>
          <w:lang w:val="fr-CA"/>
        </w:rPr>
        <w:t xml:space="preserve">ution de l’Afrique du Sud, </w:t>
      </w:r>
      <w:r w:rsidR="00E96209">
        <w:rPr>
          <w:lang w:val="fr-CA"/>
        </w:rPr>
        <w:t>art. </w:t>
      </w:r>
      <w:r w:rsidR="00285D84" w:rsidRPr="00E96209">
        <w:rPr>
          <w:lang w:val="fr-CA"/>
        </w:rPr>
        <w:t>172(1</w:t>
      </w:r>
      <w:proofErr w:type="gramStart"/>
      <w:r w:rsidR="00285D84" w:rsidRPr="00E96209">
        <w:rPr>
          <w:lang w:val="fr-CA"/>
        </w:rPr>
        <w:t>)</w:t>
      </w:r>
      <w:r w:rsidR="00035910" w:rsidRPr="00E96209">
        <w:rPr>
          <w:lang w:val="fr-CA"/>
        </w:rPr>
        <w:t>(</w:t>
      </w:r>
      <w:proofErr w:type="gramEnd"/>
      <w:r w:rsidR="00035910" w:rsidRPr="00E96209">
        <w:rPr>
          <w:lang w:val="fr-CA"/>
        </w:rPr>
        <w:t>a),</w:t>
      </w:r>
      <w:r w:rsidR="00055924" w:rsidRPr="00E96209">
        <w:rPr>
          <w:lang w:val="fr-CA"/>
        </w:rPr>
        <w:t xml:space="preserve"> </w:t>
      </w:r>
      <w:r w:rsidR="00035910" w:rsidRPr="00E96209">
        <w:rPr>
          <w:lang w:val="fr-CA"/>
        </w:rPr>
        <w:t>(b)</w:t>
      </w:r>
      <w:r w:rsidR="000D0783" w:rsidRPr="00E96209">
        <w:rPr>
          <w:lang w:val="fr-CA"/>
        </w:rPr>
        <w:t>.</w:t>
      </w:r>
    </w:p>
    <w:p w14:paraId="64875034" w14:textId="77A17C28" w:rsidR="00536F97" w:rsidRPr="00E96209" w:rsidRDefault="00536F97" w:rsidP="00CD08F2">
      <w:pPr>
        <w:pStyle w:val="SCCNormalDoubleSpacing"/>
        <w:spacing w:after="240" w:line="240" w:lineRule="auto"/>
        <w:ind w:left="540" w:hanging="540"/>
        <w:rPr>
          <w:lang w:val="en-US"/>
        </w:rPr>
      </w:pPr>
      <w:r w:rsidRPr="00E96209">
        <w:rPr>
          <w:rStyle w:val="solexhl"/>
          <w:rFonts w:eastAsiaTheme="majorEastAsia"/>
          <w:i/>
          <w:iCs/>
          <w:lang w:val="en-US"/>
        </w:rPr>
        <w:t>Human Rights Act 1998</w:t>
      </w:r>
      <w:r w:rsidRPr="00E96209">
        <w:rPr>
          <w:lang w:val="en-US"/>
        </w:rPr>
        <w:t> (R.</w:t>
      </w:r>
      <w:r w:rsidR="00E96209">
        <w:rPr>
          <w:lang w:val="en-US"/>
        </w:rPr>
        <w:noBreakHyphen/>
      </w:r>
      <w:r w:rsidRPr="00E96209">
        <w:rPr>
          <w:lang w:val="en-US"/>
        </w:rPr>
        <w:t xml:space="preserve">U.), 1998, c. 42, </w:t>
      </w:r>
      <w:r w:rsidR="00E96209">
        <w:rPr>
          <w:lang w:val="en-US"/>
        </w:rPr>
        <w:t>art. </w:t>
      </w:r>
      <w:r w:rsidRPr="00E96209">
        <w:rPr>
          <w:lang w:val="en-US"/>
        </w:rPr>
        <w:t>4(4), (6).</w:t>
      </w:r>
    </w:p>
    <w:p w14:paraId="361CC943" w14:textId="6EB4AD9F" w:rsidR="00C270E9" w:rsidRPr="00E96209" w:rsidRDefault="00C270E9" w:rsidP="00CD08F2">
      <w:pPr>
        <w:pStyle w:val="SCCNormalDoubleSpacing"/>
        <w:spacing w:after="240" w:line="240" w:lineRule="auto"/>
        <w:ind w:left="540" w:hanging="540"/>
        <w:rPr>
          <w:lang w:val="fr-CA"/>
        </w:rPr>
      </w:pPr>
      <w:r w:rsidRPr="00E96209">
        <w:rPr>
          <w:i/>
          <w:lang w:val="fr-CA"/>
        </w:rPr>
        <w:t>Loi constitutionnelle de 1867</w:t>
      </w:r>
      <w:r w:rsidRPr="00E96209">
        <w:rPr>
          <w:lang w:val="fr-CA"/>
        </w:rPr>
        <w:t>, préambule</w:t>
      </w:r>
      <w:r w:rsidR="00FF7AB8" w:rsidRPr="00E96209">
        <w:rPr>
          <w:lang w:val="fr-CA"/>
        </w:rPr>
        <w:t xml:space="preserve">, </w:t>
      </w:r>
      <w:r w:rsidR="00E96209">
        <w:rPr>
          <w:lang w:val="fr-CA"/>
        </w:rPr>
        <w:t>art. </w:t>
      </w:r>
      <w:r w:rsidR="00F80608" w:rsidRPr="00E96209">
        <w:rPr>
          <w:lang w:val="fr-CA"/>
        </w:rPr>
        <w:t xml:space="preserve">17, 40, 48, 55, </w:t>
      </w:r>
      <w:r w:rsidR="002E72C6" w:rsidRPr="00E96209">
        <w:rPr>
          <w:lang w:val="fr-CA"/>
        </w:rPr>
        <w:t>91 à 95</w:t>
      </w:r>
      <w:r w:rsidR="000D0783" w:rsidRPr="00E96209">
        <w:rPr>
          <w:lang w:val="fr-CA"/>
        </w:rPr>
        <w:t>.</w:t>
      </w:r>
    </w:p>
    <w:p w14:paraId="0961D82C" w14:textId="516AF233" w:rsidR="004D7D95" w:rsidRPr="00E96209" w:rsidRDefault="00552BC7" w:rsidP="00CD08F2">
      <w:pPr>
        <w:pStyle w:val="SCCNormalDoubleSpacing"/>
        <w:spacing w:after="240" w:line="240" w:lineRule="auto"/>
        <w:ind w:left="540" w:hanging="540"/>
        <w:rPr>
          <w:lang w:val="fr-CA"/>
        </w:rPr>
      </w:pPr>
      <w:r w:rsidRPr="00E96209">
        <w:rPr>
          <w:i/>
          <w:lang w:val="fr-CA"/>
        </w:rPr>
        <w:t>Loi constitutionnelle de 1982</w:t>
      </w:r>
      <w:r w:rsidR="00FF7AB8" w:rsidRPr="00E96209">
        <w:rPr>
          <w:lang w:val="fr-CA"/>
        </w:rPr>
        <w:t xml:space="preserve">, </w:t>
      </w:r>
      <w:r w:rsidR="00E96209">
        <w:rPr>
          <w:lang w:val="fr-CA"/>
        </w:rPr>
        <w:t>art. </w:t>
      </w:r>
      <w:r w:rsidR="001062E3" w:rsidRPr="00E96209">
        <w:rPr>
          <w:lang w:val="fr-CA"/>
        </w:rPr>
        <w:t xml:space="preserve">44, 45, </w:t>
      </w:r>
      <w:r w:rsidRPr="00E96209">
        <w:rPr>
          <w:lang w:val="fr-CA"/>
        </w:rPr>
        <w:t>52(1)</w:t>
      </w:r>
      <w:r w:rsidR="000D0783" w:rsidRPr="00E96209">
        <w:rPr>
          <w:lang w:val="fr-CA"/>
        </w:rPr>
        <w:t>.</w:t>
      </w:r>
    </w:p>
    <w:p w14:paraId="09AED8BE" w14:textId="0EE3E1B0" w:rsidR="005442C1" w:rsidRPr="00E96209" w:rsidRDefault="005442C1" w:rsidP="00CD08F2">
      <w:pPr>
        <w:pStyle w:val="SCCNormalDoubleSpacing"/>
        <w:spacing w:after="240" w:line="240" w:lineRule="auto"/>
        <w:ind w:left="540" w:hanging="540"/>
        <w:rPr>
          <w:lang w:val="fr-CA"/>
        </w:rPr>
      </w:pPr>
      <w:r w:rsidRPr="00E96209">
        <w:rPr>
          <w:i/>
          <w:lang w:val="fr-CA"/>
        </w:rPr>
        <w:t>Loi Christopher de 2000 sur le registre des délinquants sexuels</w:t>
      </w:r>
      <w:r w:rsidR="00A772F6" w:rsidRPr="00E96209">
        <w:rPr>
          <w:lang w:val="fr-CA"/>
        </w:rPr>
        <w:t>, L.O. 2000, c.</w:t>
      </w:r>
      <w:r w:rsidR="00FF7AB8" w:rsidRPr="00E96209">
        <w:rPr>
          <w:lang w:val="fr-CA"/>
        </w:rPr>
        <w:t> </w:t>
      </w:r>
      <w:r w:rsidR="00A772F6" w:rsidRPr="00E96209">
        <w:rPr>
          <w:lang w:val="fr-CA"/>
        </w:rPr>
        <w:t xml:space="preserve">1, </w:t>
      </w:r>
      <w:r w:rsidR="00E96209">
        <w:rPr>
          <w:lang w:val="fr-CA"/>
        </w:rPr>
        <w:t>art. </w:t>
      </w:r>
      <w:r w:rsidR="005B7DAA" w:rsidRPr="00E96209">
        <w:rPr>
          <w:lang w:val="fr-CA"/>
        </w:rPr>
        <w:t xml:space="preserve">1(1) « délinquant », « réhabilitation », </w:t>
      </w:r>
      <w:r w:rsidR="00A772F6" w:rsidRPr="00E96209">
        <w:rPr>
          <w:lang w:val="fr-CA"/>
        </w:rPr>
        <w:t>2</w:t>
      </w:r>
      <w:r w:rsidR="001573AF" w:rsidRPr="00E96209">
        <w:rPr>
          <w:lang w:val="fr-CA"/>
        </w:rPr>
        <w:t xml:space="preserve">, </w:t>
      </w:r>
      <w:r w:rsidR="0027028E" w:rsidRPr="00E96209">
        <w:rPr>
          <w:lang w:val="fr-CA"/>
        </w:rPr>
        <w:t>3</w:t>
      </w:r>
      <w:r w:rsidR="00A6293B" w:rsidRPr="00E96209">
        <w:rPr>
          <w:lang w:val="fr-CA"/>
        </w:rPr>
        <w:t xml:space="preserve">, </w:t>
      </w:r>
      <w:r w:rsidR="00304249" w:rsidRPr="00E96209">
        <w:rPr>
          <w:lang w:val="fr-CA"/>
        </w:rPr>
        <w:t xml:space="preserve">4(2), </w:t>
      </w:r>
      <w:r w:rsidR="00E93E51" w:rsidRPr="00E96209">
        <w:rPr>
          <w:lang w:val="fr-CA"/>
        </w:rPr>
        <w:t>7(1</w:t>
      </w:r>
      <w:r w:rsidR="008D5B16" w:rsidRPr="00E96209">
        <w:rPr>
          <w:lang w:val="fr-CA"/>
        </w:rPr>
        <w:t>)</w:t>
      </w:r>
      <w:r w:rsidR="004A6852">
        <w:rPr>
          <w:lang w:val="fr-CA"/>
        </w:rPr>
        <w:t xml:space="preserve">a), b), </w:t>
      </w:r>
      <w:r w:rsidR="00035910" w:rsidRPr="00E96209">
        <w:rPr>
          <w:lang w:val="fr-CA"/>
        </w:rPr>
        <w:t>c)</w:t>
      </w:r>
      <w:r w:rsidR="00E93E51" w:rsidRPr="00E96209">
        <w:rPr>
          <w:lang w:val="fr-CA"/>
        </w:rPr>
        <w:t xml:space="preserve">, </w:t>
      </w:r>
      <w:r w:rsidR="002903A0" w:rsidRPr="00E96209">
        <w:rPr>
          <w:lang w:val="fr-CA"/>
        </w:rPr>
        <w:t>(4),</w:t>
      </w:r>
      <w:r w:rsidR="004A6852">
        <w:rPr>
          <w:lang w:val="fr-CA"/>
        </w:rPr>
        <w:t xml:space="preserve"> 8(1)</w:t>
      </w:r>
      <w:r w:rsidR="005B7DAA" w:rsidRPr="00E96209">
        <w:rPr>
          <w:lang w:val="fr-CA"/>
        </w:rPr>
        <w:t>c),</w:t>
      </w:r>
      <w:r w:rsidR="002903A0" w:rsidRPr="00E96209">
        <w:rPr>
          <w:lang w:val="fr-CA"/>
        </w:rPr>
        <w:t xml:space="preserve"> </w:t>
      </w:r>
      <w:r w:rsidR="001573AF" w:rsidRPr="00E96209">
        <w:rPr>
          <w:lang w:val="fr-CA"/>
        </w:rPr>
        <w:t>9.1,</w:t>
      </w:r>
      <w:r w:rsidR="000C2FB1" w:rsidRPr="00E96209">
        <w:rPr>
          <w:lang w:val="fr-CA"/>
        </w:rPr>
        <w:t xml:space="preserve"> 10(2), (3)</w:t>
      </w:r>
      <w:r w:rsidR="00F96193" w:rsidRPr="00E96209">
        <w:rPr>
          <w:lang w:val="fr-CA"/>
        </w:rPr>
        <w:t>, 11</w:t>
      </w:r>
      <w:r w:rsidR="000D0783" w:rsidRPr="00E96209">
        <w:rPr>
          <w:lang w:val="fr-CA"/>
        </w:rPr>
        <w:t>.</w:t>
      </w:r>
    </w:p>
    <w:p w14:paraId="13BDB2D0" w14:textId="7376D9E0" w:rsidR="0085017C" w:rsidRPr="00E96209" w:rsidRDefault="0085017C" w:rsidP="00CD08F2">
      <w:pPr>
        <w:pStyle w:val="SCCNormalDoubleSpacing"/>
        <w:spacing w:after="240" w:line="240" w:lineRule="auto"/>
        <w:ind w:left="540" w:hanging="540"/>
        <w:rPr>
          <w:lang w:val="fr-CA"/>
        </w:rPr>
      </w:pPr>
      <w:r w:rsidRPr="00E96209">
        <w:rPr>
          <w:i/>
          <w:lang w:val="fr-CA"/>
        </w:rPr>
        <w:t>Loi Christopher de 2000 sur le registre des délinquants sexuels</w:t>
      </w:r>
      <w:r w:rsidRPr="00E96209">
        <w:rPr>
          <w:lang w:val="fr-CA"/>
        </w:rPr>
        <w:t xml:space="preserve">, </w:t>
      </w:r>
      <w:proofErr w:type="spellStart"/>
      <w:r w:rsidRPr="00E96209">
        <w:rPr>
          <w:lang w:val="fr-CA"/>
        </w:rPr>
        <w:t>Règl</w:t>
      </w:r>
      <w:proofErr w:type="spellEnd"/>
      <w:r w:rsidRPr="00E96209">
        <w:rPr>
          <w:lang w:val="fr-CA"/>
        </w:rPr>
        <w:t xml:space="preserve">. </w:t>
      </w:r>
      <w:proofErr w:type="gramStart"/>
      <w:r w:rsidRPr="00E96209">
        <w:rPr>
          <w:lang w:val="fr-CA"/>
        </w:rPr>
        <w:t>de</w:t>
      </w:r>
      <w:proofErr w:type="gramEnd"/>
      <w:r w:rsidRPr="00E96209">
        <w:rPr>
          <w:lang w:val="fr-CA"/>
        </w:rPr>
        <w:t xml:space="preserve"> l’Ont.</w:t>
      </w:r>
      <w:r w:rsidR="00FF7AB8" w:rsidRPr="00E96209">
        <w:rPr>
          <w:lang w:val="fr-CA"/>
        </w:rPr>
        <w:t xml:space="preserve"> 69/01, </w:t>
      </w:r>
      <w:r w:rsidR="00E96209">
        <w:rPr>
          <w:lang w:val="fr-CA"/>
        </w:rPr>
        <w:t>art. </w:t>
      </w:r>
      <w:r w:rsidR="00F33F67" w:rsidRPr="00E96209">
        <w:rPr>
          <w:lang w:val="fr-CA"/>
        </w:rPr>
        <w:t xml:space="preserve">1.2, </w:t>
      </w:r>
      <w:r w:rsidRPr="00E96209">
        <w:rPr>
          <w:lang w:val="fr-CA"/>
        </w:rPr>
        <w:t>2</w:t>
      </w:r>
      <w:r w:rsidR="000D0783" w:rsidRPr="00E96209">
        <w:rPr>
          <w:lang w:val="fr-CA"/>
        </w:rPr>
        <w:t>.</w:t>
      </w:r>
    </w:p>
    <w:p w14:paraId="6F819B78" w14:textId="3152B683" w:rsidR="00E524D5" w:rsidRPr="00E96209" w:rsidRDefault="00E524D5" w:rsidP="00CD08F2">
      <w:pPr>
        <w:pStyle w:val="SCCNormalDoubleSpacing"/>
        <w:spacing w:after="240" w:line="240" w:lineRule="auto"/>
        <w:ind w:left="540" w:hanging="540"/>
        <w:rPr>
          <w:bCs/>
          <w:iCs/>
          <w:lang w:val="fr-CA"/>
        </w:rPr>
      </w:pPr>
      <w:r w:rsidRPr="00E96209">
        <w:rPr>
          <w:bCs/>
          <w:i/>
          <w:iCs/>
          <w:lang w:val="fr-CA"/>
        </w:rPr>
        <w:t>Loi de 2011 modifiant la Loi Christopher sur le registre des délinquants sexuels</w:t>
      </w:r>
      <w:r w:rsidRPr="00E96209">
        <w:rPr>
          <w:bCs/>
          <w:iCs/>
          <w:lang w:val="fr-CA"/>
        </w:rPr>
        <w:t xml:space="preserve">, L.O. 2011, </w:t>
      </w:r>
      <w:r w:rsidR="00FF7AB8" w:rsidRPr="00E96209">
        <w:rPr>
          <w:bCs/>
          <w:iCs/>
          <w:lang w:val="fr-CA"/>
        </w:rPr>
        <w:t>c. </w:t>
      </w:r>
      <w:r w:rsidRPr="00E96209">
        <w:rPr>
          <w:bCs/>
          <w:iCs/>
          <w:lang w:val="fr-CA"/>
        </w:rPr>
        <w:t>8</w:t>
      </w:r>
      <w:r w:rsidR="00FF7AB8" w:rsidRPr="00E96209">
        <w:rPr>
          <w:bCs/>
          <w:iCs/>
          <w:lang w:val="fr-CA"/>
        </w:rPr>
        <w:t xml:space="preserve">, </w:t>
      </w:r>
      <w:r w:rsidR="00E96209">
        <w:rPr>
          <w:bCs/>
          <w:iCs/>
          <w:lang w:val="fr-CA"/>
        </w:rPr>
        <w:t>art. </w:t>
      </w:r>
      <w:r w:rsidR="006D2567" w:rsidRPr="00E96209">
        <w:rPr>
          <w:bCs/>
          <w:iCs/>
          <w:lang w:val="fr-CA"/>
        </w:rPr>
        <w:t>1(1),</w:t>
      </w:r>
      <w:r w:rsidR="00A22DD0" w:rsidRPr="00E96209">
        <w:rPr>
          <w:bCs/>
          <w:iCs/>
          <w:lang w:val="fr-CA"/>
        </w:rPr>
        <w:t xml:space="preserve"> 6</w:t>
      </w:r>
      <w:r w:rsidR="006D2567" w:rsidRPr="00E96209">
        <w:rPr>
          <w:bCs/>
          <w:iCs/>
          <w:lang w:val="fr-CA"/>
        </w:rPr>
        <w:t>.</w:t>
      </w:r>
    </w:p>
    <w:p w14:paraId="1BD93E59" w14:textId="5B1F1248" w:rsidR="00E3205F" w:rsidRPr="00E96209" w:rsidRDefault="00E3205F" w:rsidP="00CD08F2">
      <w:pPr>
        <w:pStyle w:val="SCCNormalDoubleSpacing"/>
        <w:spacing w:after="240" w:line="240" w:lineRule="auto"/>
        <w:ind w:left="540" w:hanging="540"/>
        <w:rPr>
          <w:lang w:val="fr-CA"/>
        </w:rPr>
      </w:pPr>
      <w:r w:rsidRPr="00E96209">
        <w:rPr>
          <w:bCs/>
          <w:i/>
          <w:iCs/>
          <w:lang w:val="fr-CA"/>
        </w:rPr>
        <w:t>Loi protégeant les victimes des délinquants sexuels</w:t>
      </w:r>
      <w:r w:rsidR="000D0DFF" w:rsidRPr="00E96209">
        <w:rPr>
          <w:bCs/>
          <w:iCs/>
          <w:lang w:val="fr-CA"/>
        </w:rPr>
        <w:t xml:space="preserve">, L.C. 2010, c. 17, </w:t>
      </w:r>
      <w:r w:rsidR="00E96209">
        <w:rPr>
          <w:bCs/>
          <w:iCs/>
          <w:lang w:val="fr-CA"/>
        </w:rPr>
        <w:t>art. </w:t>
      </w:r>
      <w:r w:rsidRPr="00E96209">
        <w:rPr>
          <w:bCs/>
          <w:iCs/>
          <w:lang w:val="fr-CA"/>
        </w:rPr>
        <w:t>5.</w:t>
      </w:r>
    </w:p>
    <w:p w14:paraId="5A36367D" w14:textId="77777777" w:rsidR="00B9612F" w:rsidRPr="00E96209" w:rsidRDefault="00636BD1" w:rsidP="00CD08F2">
      <w:pPr>
        <w:pStyle w:val="SCCNormalDoubleSpacing"/>
        <w:spacing w:after="240" w:line="240" w:lineRule="auto"/>
        <w:ind w:left="540" w:hanging="540"/>
        <w:rPr>
          <w:lang w:val="fr-CA"/>
        </w:rPr>
      </w:pPr>
      <w:r w:rsidRPr="00E96209">
        <w:rPr>
          <w:i/>
          <w:lang w:val="fr-CA"/>
        </w:rPr>
        <w:t>Loi sur l’enregistrement de renseignements sur les délinquants sexuels</w:t>
      </w:r>
      <w:r w:rsidR="00FF7AB8" w:rsidRPr="00E96209">
        <w:rPr>
          <w:lang w:val="fr-CA"/>
        </w:rPr>
        <w:t>, L.C. 2004, c. </w:t>
      </w:r>
      <w:r w:rsidRPr="00E96209">
        <w:rPr>
          <w:lang w:val="fr-CA"/>
        </w:rPr>
        <w:t>10.</w:t>
      </w:r>
    </w:p>
    <w:p w14:paraId="6CD548D3" w14:textId="5E964236" w:rsidR="00B9612F" w:rsidRPr="00E96209" w:rsidRDefault="008A3B54" w:rsidP="00CD08F2">
      <w:pPr>
        <w:pStyle w:val="SCCNormalDoubleSpacing"/>
        <w:spacing w:after="240" w:line="240" w:lineRule="auto"/>
        <w:ind w:left="540" w:hanging="540"/>
        <w:rPr>
          <w:lang w:val="fr-CA"/>
        </w:rPr>
      </w:pPr>
      <w:r w:rsidRPr="00E96209">
        <w:rPr>
          <w:i/>
          <w:lang w:val="fr-CA"/>
        </w:rPr>
        <w:t>Loi sur le casier judiciaire</w:t>
      </w:r>
      <w:r w:rsidR="00FF7AB8" w:rsidRPr="00E96209">
        <w:rPr>
          <w:lang w:val="fr-CA"/>
        </w:rPr>
        <w:t>, L.R.C. 1985, c. C</w:t>
      </w:r>
      <w:r w:rsidR="00E96209">
        <w:rPr>
          <w:lang w:val="fr-CA"/>
        </w:rPr>
        <w:noBreakHyphen/>
      </w:r>
      <w:r w:rsidR="00FF7AB8" w:rsidRPr="00E96209">
        <w:rPr>
          <w:lang w:val="fr-CA"/>
        </w:rPr>
        <w:t xml:space="preserve">47, </w:t>
      </w:r>
      <w:r w:rsidR="00E96209">
        <w:rPr>
          <w:lang w:val="fr-CA"/>
        </w:rPr>
        <w:t>art. </w:t>
      </w:r>
      <w:r w:rsidRPr="00E96209">
        <w:rPr>
          <w:lang w:val="fr-CA"/>
        </w:rPr>
        <w:t>4, 4.1</w:t>
      </w:r>
      <w:r w:rsidR="000D0783" w:rsidRPr="00E96209">
        <w:rPr>
          <w:lang w:val="fr-CA"/>
        </w:rPr>
        <w:t>.</w:t>
      </w:r>
    </w:p>
    <w:p w14:paraId="4D57CAAD" w14:textId="0275282A" w:rsidR="00CA0A34" w:rsidRPr="00E96209" w:rsidRDefault="00CA0A34" w:rsidP="00CD08F2">
      <w:pPr>
        <w:pStyle w:val="SCCNormalDoubleSpacing"/>
        <w:spacing w:after="240" w:line="240" w:lineRule="auto"/>
        <w:ind w:left="540" w:hanging="540"/>
        <w:rPr>
          <w:lang w:val="fr-CA"/>
        </w:rPr>
      </w:pPr>
      <w:r w:rsidRPr="00E96209">
        <w:rPr>
          <w:i/>
          <w:lang w:val="fr-CA"/>
        </w:rPr>
        <w:t>Loi sur les services policiers</w:t>
      </w:r>
      <w:r w:rsidR="00FF7AB8" w:rsidRPr="00E96209">
        <w:rPr>
          <w:lang w:val="fr-CA"/>
        </w:rPr>
        <w:t xml:space="preserve">, L.R.O. 1990, c. P.15, </w:t>
      </w:r>
      <w:r w:rsidR="00E96209">
        <w:rPr>
          <w:lang w:val="fr-CA"/>
        </w:rPr>
        <w:t>art. </w:t>
      </w:r>
      <w:r w:rsidRPr="00E96209">
        <w:rPr>
          <w:lang w:val="fr-CA"/>
        </w:rPr>
        <w:t>41(1.1), (1.2).</w:t>
      </w:r>
    </w:p>
    <w:p w14:paraId="00B03034" w14:textId="08DCF9BD" w:rsidR="00E3205F" w:rsidRPr="00E96209" w:rsidRDefault="00BD2767" w:rsidP="00E3205F">
      <w:pPr>
        <w:pStyle w:val="SCCNormalDoubleSpacing"/>
        <w:spacing w:line="240" w:lineRule="auto"/>
        <w:ind w:left="540" w:hanging="540"/>
        <w:rPr>
          <w:lang w:val="fr-CA"/>
        </w:rPr>
      </w:pPr>
      <w:r w:rsidRPr="00E96209">
        <w:rPr>
          <w:lang w:val="fr-CA"/>
        </w:rPr>
        <w:t>Projet de loi C</w:t>
      </w:r>
      <w:r w:rsidR="00E96209">
        <w:rPr>
          <w:lang w:val="fr-CA"/>
        </w:rPr>
        <w:noBreakHyphen/>
      </w:r>
      <w:r w:rsidRPr="00E96209">
        <w:rPr>
          <w:lang w:val="fr-CA"/>
        </w:rPr>
        <w:t xml:space="preserve">16, </w:t>
      </w:r>
      <w:r w:rsidR="006A7A91" w:rsidRPr="00E96209">
        <w:rPr>
          <w:i/>
          <w:lang w:val="fr-CA"/>
        </w:rPr>
        <w:t>Loi sur l’</w:t>
      </w:r>
      <w:r w:rsidRPr="00E96209">
        <w:rPr>
          <w:i/>
          <w:lang w:val="fr-CA"/>
        </w:rPr>
        <w:t>enregistrement de renseignements sur les délinquants sexuels</w:t>
      </w:r>
      <w:r w:rsidRPr="00E96209">
        <w:rPr>
          <w:lang w:val="fr-CA"/>
        </w:rPr>
        <w:t xml:space="preserve">, </w:t>
      </w:r>
      <w:proofErr w:type="spellStart"/>
      <w:r w:rsidRPr="00E96209">
        <w:rPr>
          <w:lang w:val="fr-CA"/>
        </w:rPr>
        <w:t>3</w:t>
      </w:r>
      <w:r w:rsidRPr="00E96209">
        <w:rPr>
          <w:vertAlign w:val="superscript"/>
          <w:lang w:val="fr-CA"/>
        </w:rPr>
        <w:t>e</w:t>
      </w:r>
      <w:proofErr w:type="spellEnd"/>
      <w:r w:rsidRPr="00E96209">
        <w:rPr>
          <w:lang w:val="fr-CA"/>
        </w:rPr>
        <w:t> </w:t>
      </w:r>
      <w:proofErr w:type="spellStart"/>
      <w:proofErr w:type="gramStart"/>
      <w:r w:rsidRPr="00E96209">
        <w:rPr>
          <w:lang w:val="fr-CA"/>
        </w:rPr>
        <w:t>sess</w:t>
      </w:r>
      <w:proofErr w:type="spellEnd"/>
      <w:r w:rsidRPr="00E96209">
        <w:rPr>
          <w:lang w:val="fr-CA"/>
        </w:rPr>
        <w:t>.,</w:t>
      </w:r>
      <w:proofErr w:type="gramEnd"/>
      <w:r w:rsidRPr="00E96209">
        <w:rPr>
          <w:lang w:val="fr-CA"/>
        </w:rPr>
        <w:t xml:space="preserve"> </w:t>
      </w:r>
      <w:proofErr w:type="spellStart"/>
      <w:r w:rsidRPr="00E96209">
        <w:rPr>
          <w:lang w:val="fr-CA"/>
        </w:rPr>
        <w:t>37</w:t>
      </w:r>
      <w:r w:rsidRPr="00E96209">
        <w:rPr>
          <w:vertAlign w:val="superscript"/>
          <w:lang w:val="fr-CA"/>
        </w:rPr>
        <w:t>e</w:t>
      </w:r>
      <w:proofErr w:type="spellEnd"/>
      <w:r w:rsidRPr="00E96209">
        <w:rPr>
          <w:lang w:val="fr-CA"/>
        </w:rPr>
        <w:t> </w:t>
      </w:r>
      <w:proofErr w:type="spellStart"/>
      <w:r w:rsidRPr="00E96209">
        <w:rPr>
          <w:lang w:val="fr-CA"/>
        </w:rPr>
        <w:t>lég</w:t>
      </w:r>
      <w:proofErr w:type="spellEnd"/>
      <w:r w:rsidRPr="00E96209">
        <w:rPr>
          <w:lang w:val="fr-CA"/>
        </w:rPr>
        <w:t xml:space="preserve">., 2004, </w:t>
      </w:r>
      <w:r w:rsidR="00E96209">
        <w:rPr>
          <w:lang w:val="fr-CA"/>
        </w:rPr>
        <w:t>art. </w:t>
      </w:r>
      <w:r w:rsidRPr="00E96209">
        <w:rPr>
          <w:lang w:val="fr-CA"/>
        </w:rPr>
        <w:t>20.</w:t>
      </w:r>
    </w:p>
    <w:p w14:paraId="7D4C54AE" w14:textId="68FF46B7" w:rsidR="00E3205F" w:rsidRPr="00E96209" w:rsidRDefault="00E3205F" w:rsidP="000D0DFF">
      <w:pPr>
        <w:pStyle w:val="SCCNormalDoubleSpacing"/>
        <w:spacing w:before="240" w:after="720" w:line="240" w:lineRule="auto"/>
        <w:ind w:left="539" w:hanging="539"/>
      </w:pPr>
      <w:r w:rsidRPr="00E96209">
        <w:rPr>
          <w:i/>
          <w:lang w:val="en-US"/>
        </w:rPr>
        <w:t>Scotland Act, 1998</w:t>
      </w:r>
      <w:r w:rsidRPr="00E96209">
        <w:rPr>
          <w:lang w:val="en-US"/>
        </w:rPr>
        <w:t xml:space="preserve"> (</w:t>
      </w:r>
      <w:r w:rsidR="002D14BA">
        <w:rPr>
          <w:lang w:val="en-US"/>
        </w:rPr>
        <w:t>U.K.), 1998, c. </w:t>
      </w:r>
      <w:r w:rsidRPr="00E96209">
        <w:rPr>
          <w:lang w:val="en-US"/>
        </w:rPr>
        <w:t xml:space="preserve">46, </w:t>
      </w:r>
      <w:r w:rsidR="00E96209">
        <w:rPr>
          <w:lang w:val="en-US"/>
        </w:rPr>
        <w:t>art. </w:t>
      </w:r>
      <w:r w:rsidRPr="00E96209">
        <w:rPr>
          <w:lang w:val="en-US"/>
        </w:rPr>
        <w:t>102(2)</w:t>
      </w:r>
      <w:r w:rsidR="00D1661B">
        <w:rPr>
          <w:lang w:val="en-US"/>
        </w:rPr>
        <w:t>, (</w:t>
      </w:r>
      <w:r w:rsidRPr="00E96209">
        <w:rPr>
          <w:lang w:val="en-US"/>
        </w:rPr>
        <w:t>3).</w:t>
      </w:r>
    </w:p>
    <w:p w14:paraId="7A0135FC" w14:textId="77777777" w:rsidR="004D7D95" w:rsidRPr="00E96209" w:rsidRDefault="004D7D95" w:rsidP="008A7C16">
      <w:pPr>
        <w:pStyle w:val="SCCNormalDoubleSpacing"/>
        <w:spacing w:after="720" w:line="240" w:lineRule="auto"/>
        <w:rPr>
          <w:b/>
          <w:lang w:val="fr-CA"/>
        </w:rPr>
      </w:pPr>
      <w:r w:rsidRPr="00E96209">
        <w:rPr>
          <w:b/>
          <w:lang w:val="fr-CA"/>
        </w:rPr>
        <w:t>Doctrine et autres documents cités</w:t>
      </w:r>
    </w:p>
    <w:p w14:paraId="2F6696BE" w14:textId="548F2201" w:rsidR="00E3205F" w:rsidRPr="00E96209" w:rsidRDefault="00E3205F" w:rsidP="00E3205F">
      <w:pPr>
        <w:pStyle w:val="SCCNormalDoubleSpacing"/>
        <w:spacing w:after="240" w:line="240" w:lineRule="auto"/>
        <w:ind w:left="540" w:hanging="540"/>
      </w:pPr>
      <w:proofErr w:type="spellStart"/>
      <w:r w:rsidRPr="00A717D3">
        <w:rPr>
          <w:lang w:val="fr-CA"/>
        </w:rPr>
        <w:t>Barrett</w:t>
      </w:r>
      <w:proofErr w:type="spellEnd"/>
      <w:r w:rsidRPr="00A717D3">
        <w:rPr>
          <w:lang w:val="fr-CA"/>
        </w:rPr>
        <w:t xml:space="preserve">, Joan, and </w:t>
      </w:r>
      <w:proofErr w:type="spellStart"/>
      <w:r w:rsidRPr="00A717D3">
        <w:rPr>
          <w:lang w:val="fr-CA"/>
        </w:rPr>
        <w:t>Riun</w:t>
      </w:r>
      <w:proofErr w:type="spellEnd"/>
      <w:r w:rsidR="002D14BA" w:rsidRPr="00A717D3">
        <w:rPr>
          <w:lang w:val="fr-CA"/>
        </w:rPr>
        <w:t xml:space="preserve"> </w:t>
      </w:r>
      <w:proofErr w:type="spellStart"/>
      <w:r w:rsidRPr="00A717D3">
        <w:rPr>
          <w:lang w:val="fr-CA"/>
        </w:rPr>
        <w:t>Shandler</w:t>
      </w:r>
      <w:proofErr w:type="spellEnd"/>
      <w:r w:rsidRPr="00A717D3">
        <w:rPr>
          <w:lang w:val="fr-CA"/>
        </w:rPr>
        <w:t xml:space="preserve">. </w:t>
      </w:r>
      <w:r w:rsidRPr="00E96209">
        <w:rPr>
          <w:i/>
        </w:rPr>
        <w:t>Mental Disorder in Canadian Criminal Law</w:t>
      </w:r>
      <w:r w:rsidR="001A4F48" w:rsidRPr="00E96209">
        <w:t>,</w:t>
      </w:r>
      <w:r w:rsidRPr="00E96209">
        <w:t xml:space="preserve"> Toronto</w:t>
      </w:r>
      <w:r w:rsidR="001A4F48" w:rsidRPr="00E96209">
        <w:t>,</w:t>
      </w:r>
      <w:r w:rsidRPr="00E96209">
        <w:t xml:space="preserve"> Thomson Reuters, 2019</w:t>
      </w:r>
      <w:r w:rsidRPr="00E96209">
        <w:rPr>
          <w:i/>
        </w:rPr>
        <w:t xml:space="preserve"> </w:t>
      </w:r>
      <w:r w:rsidRPr="00E96209">
        <w:t>(loose</w:t>
      </w:r>
      <w:r w:rsidR="00E96209">
        <w:noBreakHyphen/>
      </w:r>
      <w:r w:rsidRPr="00E96209">
        <w:t>leaf updated 2019, release 4).</w:t>
      </w:r>
    </w:p>
    <w:p w14:paraId="1B810401" w14:textId="5AB672BA" w:rsidR="004E7BF9" w:rsidRPr="00E96209" w:rsidRDefault="004E7BF9" w:rsidP="00CD08F2">
      <w:pPr>
        <w:pStyle w:val="SCCNormalDoubleSpacing"/>
        <w:spacing w:after="240" w:line="240" w:lineRule="auto"/>
        <w:ind w:left="540" w:hanging="540"/>
        <w:rPr>
          <w:lang w:val="en-US"/>
        </w:rPr>
      </w:pPr>
      <w:r w:rsidRPr="00E96209">
        <w:rPr>
          <w:lang w:val="en-US"/>
        </w:rPr>
        <w:t xml:space="preserve">Barnes, Elizabeth. </w:t>
      </w:r>
      <w:r w:rsidRPr="00E96209">
        <w:rPr>
          <w:i/>
          <w:lang w:val="en-US"/>
        </w:rPr>
        <w:t xml:space="preserve">The Minority </w:t>
      </w:r>
      <w:proofErr w:type="gramStart"/>
      <w:r w:rsidRPr="00E96209">
        <w:rPr>
          <w:i/>
          <w:lang w:val="en-US"/>
        </w:rPr>
        <w:t>Body</w:t>
      </w:r>
      <w:r w:rsidR="00E96209">
        <w:rPr>
          <w:i/>
          <w:lang w:val="en-US"/>
        </w:rPr>
        <w:t> :</w:t>
      </w:r>
      <w:proofErr w:type="gramEnd"/>
      <w:r w:rsidRPr="00E96209">
        <w:rPr>
          <w:i/>
          <w:lang w:val="en-US"/>
        </w:rPr>
        <w:t xml:space="preserve"> A Theory of Disability</w:t>
      </w:r>
      <w:r w:rsidRPr="00E96209">
        <w:rPr>
          <w:lang w:val="en-US"/>
        </w:rPr>
        <w:t>, Oxford, Oxford University Press, 2016.</w:t>
      </w:r>
    </w:p>
    <w:p w14:paraId="3F834CCA" w14:textId="7CF84E20" w:rsidR="00E90CF9" w:rsidRPr="00E96209" w:rsidRDefault="00E90CF9" w:rsidP="00CD08F2">
      <w:pPr>
        <w:pStyle w:val="SCCNormalDoubleSpacing"/>
        <w:spacing w:after="240" w:line="240" w:lineRule="auto"/>
        <w:ind w:left="540" w:hanging="540"/>
      </w:pPr>
      <w:r w:rsidRPr="00E96209">
        <w:t xml:space="preserve">Bird, Brian. </w:t>
      </w:r>
      <w:r w:rsidRPr="00E96209">
        <w:rPr>
          <w:lang w:val="en-US"/>
        </w:rPr>
        <w:t>« </w:t>
      </w:r>
      <w:r w:rsidRPr="00E96209">
        <w:t xml:space="preserve">The Judicial Notwithstanding </w:t>
      </w:r>
      <w:proofErr w:type="gramStart"/>
      <w:r w:rsidRPr="00E96209">
        <w:t>Clause</w:t>
      </w:r>
      <w:r w:rsidR="00E96209">
        <w:t> :</w:t>
      </w:r>
      <w:proofErr w:type="gramEnd"/>
      <w:r w:rsidRPr="00E96209">
        <w:t xml:space="preserve"> Suspended Declarations of Invalidity</w:t>
      </w:r>
      <w:r w:rsidRPr="00E96209">
        <w:rPr>
          <w:lang w:val="en-US"/>
        </w:rPr>
        <w:t> »</w:t>
      </w:r>
      <w:r w:rsidRPr="00E96209">
        <w:t xml:space="preserve"> (2019), 42 </w:t>
      </w:r>
      <w:r w:rsidRPr="00E96209">
        <w:rPr>
          <w:i/>
        </w:rPr>
        <w:t>Man. L.J.</w:t>
      </w:r>
      <w:r w:rsidRPr="00E96209">
        <w:t xml:space="preserve"> 23.</w:t>
      </w:r>
    </w:p>
    <w:p w14:paraId="1D2524F9" w14:textId="6A326F83" w:rsidR="00E3205F" w:rsidRPr="00E96209" w:rsidRDefault="00E3205F" w:rsidP="00E3205F">
      <w:pPr>
        <w:pStyle w:val="SCCNormalDoubleSpacing"/>
        <w:spacing w:after="240" w:line="240" w:lineRule="auto"/>
        <w:ind w:left="540" w:hanging="540"/>
      </w:pPr>
      <w:proofErr w:type="spellStart"/>
      <w:r w:rsidRPr="00E96209">
        <w:t>Blakeney</w:t>
      </w:r>
      <w:proofErr w:type="spellEnd"/>
      <w:r w:rsidRPr="00E96209">
        <w:t>, Allan E.</w:t>
      </w:r>
      <w:r w:rsidR="001A4F48" w:rsidRPr="00E96209">
        <w:t xml:space="preserve"> « </w:t>
      </w:r>
      <w:r w:rsidRPr="00E96209">
        <w:t xml:space="preserve">The Notwithstanding Clause, the </w:t>
      </w:r>
      <w:r w:rsidRPr="00E96209">
        <w:rPr>
          <w:i/>
        </w:rPr>
        <w:t>Charter</w:t>
      </w:r>
      <w:r w:rsidRPr="00E96209">
        <w:t xml:space="preserve">, and Canada’s Patriated </w:t>
      </w:r>
      <w:proofErr w:type="gramStart"/>
      <w:r w:rsidRPr="00E96209">
        <w:t>Constitution</w:t>
      </w:r>
      <w:r w:rsidR="00E96209">
        <w:t> :</w:t>
      </w:r>
      <w:proofErr w:type="gramEnd"/>
      <w:r w:rsidR="001A4F48" w:rsidRPr="00E96209">
        <w:t xml:space="preserve"> What I Thought We Were Doing »</w:t>
      </w:r>
      <w:r w:rsidRPr="00E96209">
        <w:t xml:space="preserve"> (2010), 19 </w:t>
      </w:r>
      <w:r w:rsidR="0025412A">
        <w:rPr>
          <w:i/>
        </w:rPr>
        <w:t>Forum Const.</w:t>
      </w:r>
      <w:r w:rsidRPr="00E96209">
        <w:t xml:space="preserve"> 1.</w:t>
      </w:r>
    </w:p>
    <w:p w14:paraId="2B25C497" w14:textId="77777777" w:rsidR="00212F7D" w:rsidRPr="00E96209" w:rsidRDefault="00AC6172" w:rsidP="00212F7D">
      <w:pPr>
        <w:pStyle w:val="SCCNormalDoubleSpacing"/>
        <w:spacing w:after="240" w:line="240" w:lineRule="auto"/>
        <w:ind w:left="540" w:hanging="540"/>
        <w:rPr>
          <w:lang w:val="en-US"/>
        </w:rPr>
      </w:pPr>
      <w:r w:rsidRPr="00E96209">
        <w:rPr>
          <w:lang w:val="en-US"/>
        </w:rPr>
        <w:t xml:space="preserve">Bracken, Patrick, and Philip Thomas. </w:t>
      </w:r>
      <w:proofErr w:type="spellStart"/>
      <w:r w:rsidRPr="00E96209">
        <w:rPr>
          <w:i/>
          <w:lang w:val="en-US"/>
        </w:rPr>
        <w:t>Postpsychiatry</w:t>
      </w:r>
      <w:proofErr w:type="spellEnd"/>
      <w:r w:rsidRPr="00E96209">
        <w:rPr>
          <w:lang w:val="en-US"/>
        </w:rPr>
        <w:t>, Oxford, Oxford University Press, 2005.</w:t>
      </w:r>
    </w:p>
    <w:p w14:paraId="62F39B36" w14:textId="69939A50" w:rsidR="00CF535E" w:rsidRPr="00E96209" w:rsidRDefault="00CF535E" w:rsidP="00CD08F2">
      <w:pPr>
        <w:pStyle w:val="SCCNormalDoubleSpacing"/>
        <w:spacing w:after="240" w:line="240" w:lineRule="auto"/>
        <w:ind w:left="540" w:hanging="540"/>
      </w:pPr>
      <w:proofErr w:type="spellStart"/>
      <w:r w:rsidRPr="00E96209">
        <w:t>Brammall</w:t>
      </w:r>
      <w:proofErr w:type="spellEnd"/>
      <w:r w:rsidRPr="00E96209">
        <w:t xml:space="preserve">, Brendan. </w:t>
      </w:r>
      <w:r w:rsidRPr="00E96209">
        <w:rPr>
          <w:lang w:val="en-US"/>
        </w:rPr>
        <w:t>« </w:t>
      </w:r>
      <w:r w:rsidRPr="00E96209">
        <w:t xml:space="preserve">A Comment on </w:t>
      </w:r>
      <w:proofErr w:type="spellStart"/>
      <w:r w:rsidRPr="00E96209">
        <w:rPr>
          <w:i/>
        </w:rPr>
        <w:t>Doucet</w:t>
      </w:r>
      <w:proofErr w:type="spellEnd"/>
      <w:r w:rsidR="00E96209">
        <w:rPr>
          <w:i/>
        </w:rPr>
        <w:noBreakHyphen/>
      </w:r>
      <w:r w:rsidRPr="00E96209">
        <w:rPr>
          <w:i/>
        </w:rPr>
        <w:t>Boudreau v. Nova Scotia (Minister of Education)</w:t>
      </w:r>
      <w:r w:rsidRPr="00E96209">
        <w:t xml:space="preserve"> and </w:t>
      </w:r>
      <w:r w:rsidRPr="00E96209">
        <w:rPr>
          <w:i/>
        </w:rPr>
        <w:t>R. v. Demers</w:t>
      </w:r>
      <w:r w:rsidRPr="00E96209">
        <w:rPr>
          <w:lang w:val="en-US"/>
        </w:rPr>
        <w:t> »</w:t>
      </w:r>
      <w:r w:rsidRPr="00E96209">
        <w:t xml:space="preserve"> (2006), 64 </w:t>
      </w:r>
      <w:r w:rsidRPr="00E96209">
        <w:rPr>
          <w:i/>
        </w:rPr>
        <w:t>U.T. Fac. L. Rev.</w:t>
      </w:r>
      <w:r w:rsidRPr="00E96209">
        <w:t xml:space="preserve"> 113.</w:t>
      </w:r>
    </w:p>
    <w:p w14:paraId="369655F6" w14:textId="5EE70A1A" w:rsidR="000F0F90" w:rsidRPr="00E96209" w:rsidRDefault="000F0F90" w:rsidP="00CD08F2">
      <w:pPr>
        <w:pStyle w:val="SCCNormalDoubleSpacing"/>
        <w:spacing w:after="240" w:line="240" w:lineRule="auto"/>
        <w:ind w:left="540" w:hanging="540"/>
      </w:pPr>
      <w:proofErr w:type="spellStart"/>
      <w:r w:rsidRPr="00E96209">
        <w:t>Burningham</w:t>
      </w:r>
      <w:proofErr w:type="spellEnd"/>
      <w:r w:rsidRPr="00E96209">
        <w:t xml:space="preserve">, Sarah. </w:t>
      </w:r>
      <w:r w:rsidRPr="00E96209">
        <w:rPr>
          <w:lang w:val="en-US"/>
        </w:rPr>
        <w:t>« </w:t>
      </w:r>
      <w:r w:rsidRPr="00E96209">
        <w:t xml:space="preserve">A Comment on the Court’s Decision to Suspend the Declaration of Invalidity in </w:t>
      </w:r>
      <w:r w:rsidRPr="00E96209">
        <w:rPr>
          <w:i/>
        </w:rPr>
        <w:t>Carter v. Canada</w:t>
      </w:r>
      <w:r w:rsidRPr="00E96209">
        <w:rPr>
          <w:lang w:val="en-US"/>
        </w:rPr>
        <w:t> »</w:t>
      </w:r>
      <w:r w:rsidRPr="00E96209">
        <w:t xml:space="preserve"> (2015), 78 </w:t>
      </w:r>
      <w:r w:rsidRPr="00E96209">
        <w:rPr>
          <w:i/>
        </w:rPr>
        <w:t>Sask. L. Rev.</w:t>
      </w:r>
      <w:r w:rsidRPr="00E96209">
        <w:t xml:space="preserve"> 201</w:t>
      </w:r>
      <w:r w:rsidR="000F06D0" w:rsidRPr="00E96209">
        <w:t>.</w:t>
      </w:r>
    </w:p>
    <w:p w14:paraId="406C950F" w14:textId="31F99221" w:rsidR="00FB2351" w:rsidRPr="00E96209" w:rsidRDefault="00FB2351" w:rsidP="00CD08F2">
      <w:pPr>
        <w:pStyle w:val="SCCNormalDoubleSpacing"/>
        <w:spacing w:after="240" w:line="240" w:lineRule="auto"/>
        <w:ind w:left="540" w:hanging="540"/>
        <w:rPr>
          <w:lang w:val="fr-CA"/>
        </w:rPr>
      </w:pPr>
      <w:r w:rsidRPr="00E96209">
        <w:rPr>
          <w:lang w:val="fr-CA"/>
        </w:rPr>
        <w:t xml:space="preserve">Canada. Ministère de la Justice. </w:t>
      </w:r>
      <w:r w:rsidRPr="00E96209">
        <w:rPr>
          <w:bCs/>
          <w:lang w:val="fr-CA"/>
        </w:rPr>
        <w:t xml:space="preserve">Division de la recherche et de la statistique. </w:t>
      </w:r>
      <w:r w:rsidRPr="00E96209">
        <w:rPr>
          <w:i/>
          <w:lang w:val="fr-CA"/>
        </w:rPr>
        <w:t>Les coûts des litiges fondés sur la Charte</w:t>
      </w:r>
      <w:r w:rsidR="0025412A">
        <w:rPr>
          <w:lang w:val="fr-CA"/>
        </w:rPr>
        <w:t>, par Alan Young</w:t>
      </w:r>
      <w:r w:rsidRPr="00E96209">
        <w:rPr>
          <w:lang w:val="fr-CA"/>
        </w:rPr>
        <w:t>, 2016.</w:t>
      </w:r>
    </w:p>
    <w:p w14:paraId="209F405C" w14:textId="07C70F54" w:rsidR="000F0F90" w:rsidRPr="00E96209" w:rsidRDefault="000F0F90" w:rsidP="00CD08F2">
      <w:pPr>
        <w:pStyle w:val="SCCNormalDoubleSpacing"/>
        <w:spacing w:after="240" w:line="240" w:lineRule="auto"/>
        <w:ind w:left="540" w:hanging="540"/>
        <w:rPr>
          <w:bCs/>
          <w:lang w:val="fr-CA"/>
        </w:rPr>
      </w:pPr>
      <w:r w:rsidRPr="00E96209">
        <w:rPr>
          <w:lang w:val="fr-CA"/>
        </w:rPr>
        <w:t xml:space="preserve">Canada. </w:t>
      </w:r>
      <w:r w:rsidR="00FB2351" w:rsidRPr="00E96209">
        <w:rPr>
          <w:lang w:val="fr-CA"/>
        </w:rPr>
        <w:t xml:space="preserve">Ministère de la Justice. </w:t>
      </w:r>
      <w:r w:rsidRPr="00E96209">
        <w:rPr>
          <w:bCs/>
          <w:lang w:val="fr-CA"/>
        </w:rPr>
        <w:t xml:space="preserve">Division de la recherche et de la statistique. </w:t>
      </w:r>
      <w:r w:rsidRPr="00E96209">
        <w:rPr>
          <w:bCs/>
          <w:i/>
          <w:lang w:val="fr-CA"/>
        </w:rPr>
        <w:t>Les systèmes de commissions d’examen au Canada</w:t>
      </w:r>
      <w:r w:rsidR="00E96209">
        <w:rPr>
          <w:bCs/>
          <w:i/>
          <w:lang w:val="fr-CA"/>
        </w:rPr>
        <w:t> :</w:t>
      </w:r>
      <w:r w:rsidRPr="00E96209">
        <w:rPr>
          <w:bCs/>
          <w:i/>
          <w:lang w:val="fr-CA"/>
        </w:rPr>
        <w:t xml:space="preserve"> Survol des résultats de l’étude de la collecte de données sur les accusés atteints de troubles mentaux</w:t>
      </w:r>
      <w:r w:rsidRPr="00E96209">
        <w:rPr>
          <w:bCs/>
          <w:lang w:val="fr-CA"/>
        </w:rPr>
        <w:t>, par J</w:t>
      </w:r>
      <w:r w:rsidR="0025412A">
        <w:rPr>
          <w:bCs/>
          <w:lang w:val="fr-CA"/>
        </w:rPr>
        <w:t>eff Latimer et Austin Lawrence</w:t>
      </w:r>
      <w:r w:rsidRPr="00E96209">
        <w:rPr>
          <w:bCs/>
          <w:lang w:val="fr-CA"/>
        </w:rPr>
        <w:t>, 2006.</w:t>
      </w:r>
    </w:p>
    <w:p w14:paraId="1874D015" w14:textId="7925499F" w:rsidR="00F84E0B" w:rsidRPr="00E96209" w:rsidRDefault="00F84E0B" w:rsidP="00CD08F2">
      <w:pPr>
        <w:pStyle w:val="SCCNormalDoubleSpacing"/>
        <w:spacing w:after="240" w:line="240" w:lineRule="auto"/>
        <w:ind w:left="540" w:hanging="540"/>
      </w:pPr>
      <w:r w:rsidRPr="00E96209">
        <w:t xml:space="preserve">Choudhry, </w:t>
      </w:r>
      <w:proofErr w:type="spellStart"/>
      <w:r w:rsidRPr="00E96209">
        <w:t>Sujit</w:t>
      </w:r>
      <w:proofErr w:type="spellEnd"/>
      <w:r w:rsidRPr="00E96209">
        <w:t>, and Kent Roa</w:t>
      </w:r>
      <w:r w:rsidR="00E96209">
        <w:t>ch. </w:t>
      </w:r>
      <w:r w:rsidRPr="00E96209">
        <w:rPr>
          <w:lang w:val="en-US"/>
        </w:rPr>
        <w:t>« </w:t>
      </w:r>
      <w:r w:rsidRPr="00E96209">
        <w:t xml:space="preserve">Putting the Past </w:t>
      </w:r>
      <w:proofErr w:type="gramStart"/>
      <w:r w:rsidRPr="00E96209">
        <w:t>Behind</w:t>
      </w:r>
      <w:proofErr w:type="gramEnd"/>
      <w:r w:rsidRPr="00E96209">
        <w:t xml:space="preserve"> Us? Prospective Judicial and Legislative Constitutional Remedies</w:t>
      </w:r>
      <w:r w:rsidRPr="00E96209">
        <w:rPr>
          <w:lang w:val="en-US"/>
        </w:rPr>
        <w:t> »</w:t>
      </w:r>
      <w:r w:rsidRPr="00E96209">
        <w:t xml:space="preserve"> (2003), 21 </w:t>
      </w:r>
      <w:r w:rsidRPr="00E96209">
        <w:rPr>
          <w:i/>
        </w:rPr>
        <w:t>S.C.L.R.</w:t>
      </w:r>
      <w:r w:rsidRPr="00E96209">
        <w:t xml:space="preserve"> (2d) 205.</w:t>
      </w:r>
    </w:p>
    <w:p w14:paraId="545F741E" w14:textId="77777777" w:rsidR="00C73452" w:rsidRPr="00E96209" w:rsidRDefault="00C73452" w:rsidP="00CD08F2">
      <w:pPr>
        <w:pStyle w:val="SCCNormalDoubleSpacing"/>
        <w:spacing w:after="240" w:line="240" w:lineRule="auto"/>
        <w:ind w:left="540" w:hanging="540"/>
        <w:rPr>
          <w:lang w:val="en-US"/>
        </w:rPr>
      </w:pPr>
      <w:r w:rsidRPr="00E96209">
        <w:rPr>
          <w:lang w:val="en-US"/>
        </w:rPr>
        <w:t>Corrigan</w:t>
      </w:r>
      <w:r w:rsidR="00FF7AB8" w:rsidRPr="00E96209">
        <w:rPr>
          <w:lang w:val="en-US"/>
        </w:rPr>
        <w:t>, Patrick </w:t>
      </w:r>
      <w:r w:rsidRPr="00E96209">
        <w:rPr>
          <w:lang w:val="en-US"/>
        </w:rPr>
        <w:t>W., and Amy</w:t>
      </w:r>
      <w:r w:rsidR="00FF7AB8" w:rsidRPr="00E96209">
        <w:rPr>
          <w:lang w:val="en-US"/>
        </w:rPr>
        <w:t> </w:t>
      </w:r>
      <w:r w:rsidRPr="00E96209">
        <w:rPr>
          <w:lang w:val="en-US"/>
        </w:rPr>
        <w:t xml:space="preserve">C. Watson, « Understanding the impact of stigma on people with mental illness » (2002), 1 </w:t>
      </w:r>
      <w:r w:rsidRPr="00E96209">
        <w:rPr>
          <w:i/>
          <w:lang w:val="en-US"/>
        </w:rPr>
        <w:t>World Psychiatry</w:t>
      </w:r>
      <w:r w:rsidRPr="00E96209">
        <w:rPr>
          <w:lang w:val="en-US"/>
        </w:rPr>
        <w:t xml:space="preserve"> 16.</w:t>
      </w:r>
    </w:p>
    <w:p w14:paraId="6CF68F78" w14:textId="703AEEF6" w:rsidR="004E7BF9" w:rsidRPr="00E96209" w:rsidRDefault="004E7BF9" w:rsidP="00CD08F2">
      <w:pPr>
        <w:pStyle w:val="SCCNormalDoubleSpacing"/>
        <w:spacing w:after="240" w:line="240" w:lineRule="auto"/>
        <w:ind w:left="540" w:hanging="540"/>
      </w:pPr>
      <w:r w:rsidRPr="00E96209">
        <w:t xml:space="preserve">Devlin, Richard, and Dianne </w:t>
      </w:r>
      <w:proofErr w:type="spellStart"/>
      <w:r w:rsidRPr="00E96209">
        <w:t>Pothier</w:t>
      </w:r>
      <w:proofErr w:type="spellEnd"/>
      <w:r w:rsidRPr="00E96209">
        <w:t xml:space="preserve">. </w:t>
      </w:r>
      <w:r w:rsidRPr="00E96209">
        <w:rPr>
          <w:lang w:val="en-US"/>
        </w:rPr>
        <w:t>« </w:t>
      </w:r>
      <w:proofErr w:type="gramStart"/>
      <w:r w:rsidRPr="00E96209">
        <w:t>Introduction</w:t>
      </w:r>
      <w:r w:rsidR="00E96209">
        <w:t> :</w:t>
      </w:r>
      <w:proofErr w:type="gramEnd"/>
      <w:r w:rsidRPr="00E96209">
        <w:t xml:space="preserve"> Toward a Critical Theory of Dis</w:t>
      </w:r>
      <w:r w:rsidR="00E96209">
        <w:noBreakHyphen/>
      </w:r>
      <w:r w:rsidRPr="00E96209">
        <w:t>Citizenship</w:t>
      </w:r>
      <w:r w:rsidRPr="00E96209">
        <w:rPr>
          <w:lang w:val="en-US"/>
        </w:rPr>
        <w:t> »</w:t>
      </w:r>
      <w:r w:rsidRPr="00E96209">
        <w:t xml:space="preserve">, in Dianne </w:t>
      </w:r>
      <w:proofErr w:type="spellStart"/>
      <w:r w:rsidRPr="00E96209">
        <w:t>Pothier</w:t>
      </w:r>
      <w:proofErr w:type="spellEnd"/>
      <w:r w:rsidRPr="00E96209">
        <w:t xml:space="preserve"> and Richard Devlin, eds., </w:t>
      </w:r>
      <w:r w:rsidRPr="00E96209">
        <w:rPr>
          <w:i/>
        </w:rPr>
        <w:t>Critical Disability Theory</w:t>
      </w:r>
      <w:r w:rsidR="00E96209">
        <w:rPr>
          <w:i/>
        </w:rPr>
        <w:t> :</w:t>
      </w:r>
      <w:r w:rsidRPr="00E96209">
        <w:rPr>
          <w:i/>
        </w:rPr>
        <w:t xml:space="preserve"> Essays in Philosophy, Politics, Policy, and Law</w:t>
      </w:r>
      <w:r w:rsidRPr="00E96209">
        <w:t>, Vancouver, UBC Press, 2006, 1.</w:t>
      </w:r>
    </w:p>
    <w:p w14:paraId="49EAD000" w14:textId="134E2DB4" w:rsidR="000F0F90" w:rsidRPr="00E96209" w:rsidRDefault="00FF7AB8" w:rsidP="00CD08F2">
      <w:pPr>
        <w:pStyle w:val="SCCNormalDoubleSpacing"/>
        <w:spacing w:after="240" w:line="240" w:lineRule="auto"/>
        <w:ind w:left="540" w:hanging="540"/>
        <w:rPr>
          <w:lang w:val="en-US"/>
        </w:rPr>
      </w:pPr>
      <w:proofErr w:type="spellStart"/>
      <w:r w:rsidRPr="00E96209">
        <w:rPr>
          <w:lang w:val="en-US"/>
        </w:rPr>
        <w:t>Hoole</w:t>
      </w:r>
      <w:proofErr w:type="spellEnd"/>
      <w:r w:rsidRPr="00E96209">
        <w:rPr>
          <w:lang w:val="en-US"/>
        </w:rPr>
        <w:t>, Grant </w:t>
      </w:r>
      <w:r w:rsidR="000F0F90" w:rsidRPr="00E96209">
        <w:rPr>
          <w:lang w:val="en-US"/>
        </w:rPr>
        <w:t xml:space="preserve">R. « Proportionality as a Remedial </w:t>
      </w:r>
      <w:proofErr w:type="gramStart"/>
      <w:r w:rsidR="000F0F90" w:rsidRPr="00E96209">
        <w:rPr>
          <w:lang w:val="en-US"/>
        </w:rPr>
        <w:t>Principle</w:t>
      </w:r>
      <w:r w:rsidR="00E96209">
        <w:rPr>
          <w:lang w:val="en-US"/>
        </w:rPr>
        <w:t> :</w:t>
      </w:r>
      <w:proofErr w:type="gramEnd"/>
      <w:r w:rsidR="000F0F90" w:rsidRPr="00E96209">
        <w:rPr>
          <w:lang w:val="en-US"/>
        </w:rPr>
        <w:t xml:space="preserve"> A Framework for Suspended Declarations of Invalidity in Canadian Constitutional Law » (2011), 49 </w:t>
      </w:r>
      <w:r w:rsidR="000F0F90" w:rsidRPr="00E96209">
        <w:rPr>
          <w:i/>
          <w:lang w:val="en-US"/>
        </w:rPr>
        <w:t>Alta. L. Rev.</w:t>
      </w:r>
      <w:r w:rsidR="000F0F90" w:rsidRPr="00E96209">
        <w:rPr>
          <w:lang w:val="en-US"/>
        </w:rPr>
        <w:t xml:space="preserve"> 107. </w:t>
      </w:r>
    </w:p>
    <w:p w14:paraId="503A6EEF" w14:textId="509BB0DF" w:rsidR="00E90CF9" w:rsidRPr="00E96209" w:rsidRDefault="00E90CF9" w:rsidP="00CD08F2">
      <w:pPr>
        <w:pStyle w:val="SCCNormalDoubleSpacing"/>
        <w:spacing w:after="240" w:line="240" w:lineRule="auto"/>
        <w:ind w:left="540" w:hanging="540"/>
      </w:pPr>
      <w:proofErr w:type="spellStart"/>
      <w:r w:rsidRPr="00E96209">
        <w:t>Jhaveri</w:t>
      </w:r>
      <w:proofErr w:type="spellEnd"/>
      <w:r w:rsidRPr="00E96209">
        <w:t xml:space="preserve">, Swati. </w:t>
      </w:r>
      <w:r w:rsidRPr="00E96209">
        <w:rPr>
          <w:lang w:val="en-US"/>
        </w:rPr>
        <w:t>« </w:t>
      </w:r>
      <w:proofErr w:type="spellStart"/>
      <w:r w:rsidRPr="00E96209">
        <w:t>Sunsetting</w:t>
      </w:r>
      <w:proofErr w:type="spellEnd"/>
      <w:r w:rsidRPr="00E96209">
        <w:t xml:space="preserve"> suspension orders in Hong Kong</w:t>
      </w:r>
      <w:r w:rsidRPr="00E96209">
        <w:rPr>
          <w:lang w:val="en-US"/>
        </w:rPr>
        <w:t> »</w:t>
      </w:r>
      <w:r w:rsidRPr="00E96209">
        <w:t>, in Po</w:t>
      </w:r>
      <w:r w:rsidR="002D14BA">
        <w:t xml:space="preserve"> </w:t>
      </w:r>
      <w:r w:rsidRPr="00E96209">
        <w:t xml:space="preserve">Jen Yap, ed., </w:t>
      </w:r>
      <w:r w:rsidRPr="00E96209">
        <w:rPr>
          <w:i/>
        </w:rPr>
        <w:t>Constitutional Remedies in Asia</w:t>
      </w:r>
      <w:r w:rsidR="0025412A">
        <w:t>, New York,</w:t>
      </w:r>
      <w:r w:rsidRPr="00E96209">
        <w:t xml:space="preserve"> Routledge, 2019.</w:t>
      </w:r>
    </w:p>
    <w:p w14:paraId="082A1129" w14:textId="4D2C38D6" w:rsidR="00E3205F" w:rsidRPr="00E96209" w:rsidRDefault="00E3205F" w:rsidP="00E3205F">
      <w:pPr>
        <w:pStyle w:val="SCCNormalDoubleSpacing"/>
        <w:spacing w:after="240" w:line="240" w:lineRule="auto"/>
        <w:ind w:left="540" w:hanging="540"/>
      </w:pPr>
      <w:r w:rsidRPr="00E96209">
        <w:t>Kelly,</w:t>
      </w:r>
      <w:r w:rsidR="002D14BA">
        <w:t xml:space="preserve"> James </w:t>
      </w:r>
      <w:r w:rsidRPr="00E96209">
        <w:t xml:space="preserve">B. </w:t>
      </w:r>
      <w:r w:rsidRPr="00E96209">
        <w:rPr>
          <w:i/>
        </w:rPr>
        <w:t xml:space="preserve">Governing with the </w:t>
      </w:r>
      <w:proofErr w:type="gramStart"/>
      <w:r w:rsidRPr="00E96209">
        <w:rPr>
          <w:i/>
        </w:rPr>
        <w:t>Charter</w:t>
      </w:r>
      <w:r w:rsidR="00E96209">
        <w:rPr>
          <w:i/>
        </w:rPr>
        <w:t> :</w:t>
      </w:r>
      <w:proofErr w:type="gramEnd"/>
      <w:r w:rsidRPr="00E96209">
        <w:rPr>
          <w:i/>
        </w:rPr>
        <w:t xml:space="preserve"> Legislative and Judicial Activism and Framers’ Intent</w:t>
      </w:r>
      <w:r w:rsidR="009D260F" w:rsidRPr="00E96209">
        <w:t>, Vancouver,</w:t>
      </w:r>
      <w:r w:rsidRPr="00E96209">
        <w:t xml:space="preserve"> UBC Press,</w:t>
      </w:r>
      <w:r w:rsidRPr="00E96209">
        <w:rPr>
          <w:i/>
        </w:rPr>
        <w:t xml:space="preserve"> </w:t>
      </w:r>
      <w:r w:rsidRPr="00E96209">
        <w:t>2005.</w:t>
      </w:r>
    </w:p>
    <w:p w14:paraId="63D15C98" w14:textId="189A3A1D" w:rsidR="00E3205F" w:rsidRPr="00E96209" w:rsidRDefault="00E3205F" w:rsidP="00E3205F">
      <w:pPr>
        <w:pStyle w:val="SCCNormalDoubleSpacing"/>
        <w:spacing w:after="240" w:line="240" w:lineRule="auto"/>
        <w:ind w:left="540" w:hanging="540"/>
      </w:pPr>
      <w:proofErr w:type="spellStart"/>
      <w:r w:rsidRPr="00E96209">
        <w:t>Leckey</w:t>
      </w:r>
      <w:proofErr w:type="spellEnd"/>
      <w:r w:rsidRPr="00E96209">
        <w:t xml:space="preserve">, Robert. </w:t>
      </w:r>
      <w:r w:rsidRPr="00E96209">
        <w:rPr>
          <w:i/>
        </w:rPr>
        <w:t>Bills of Rights in the Common Law</w:t>
      </w:r>
      <w:r w:rsidR="009D260F" w:rsidRPr="00E96209">
        <w:t>,</w:t>
      </w:r>
      <w:r w:rsidRPr="00E96209">
        <w:t xml:space="preserve"> Cambridge</w:t>
      </w:r>
      <w:r w:rsidR="009D260F" w:rsidRPr="00E96209">
        <w:t>,</w:t>
      </w:r>
      <w:r w:rsidRPr="00E96209">
        <w:t xml:space="preserve"> Cambridge University Press, 2015.</w:t>
      </w:r>
    </w:p>
    <w:p w14:paraId="005D28AC" w14:textId="06C0ECF5" w:rsidR="000D0783" w:rsidRPr="00E96209" w:rsidRDefault="000D0783" w:rsidP="000D0783">
      <w:pPr>
        <w:pStyle w:val="SCCNormalDoubleSpacing"/>
        <w:spacing w:after="240" w:line="240" w:lineRule="auto"/>
        <w:ind w:left="540" w:hanging="540"/>
      </w:pPr>
      <w:proofErr w:type="spellStart"/>
      <w:r w:rsidRPr="00E96209">
        <w:t>Leckey</w:t>
      </w:r>
      <w:proofErr w:type="spellEnd"/>
      <w:r w:rsidRPr="00E96209">
        <w:t xml:space="preserve">, Robert. </w:t>
      </w:r>
      <w:r w:rsidRPr="00E96209">
        <w:rPr>
          <w:lang w:val="en-US"/>
        </w:rPr>
        <w:t>« </w:t>
      </w:r>
      <w:r w:rsidRPr="00E96209">
        <w:t>Remedial Practice Beyond Constitutional Text</w:t>
      </w:r>
      <w:r w:rsidRPr="00E96209">
        <w:rPr>
          <w:lang w:val="en-US"/>
        </w:rPr>
        <w:t xml:space="preserve"> » </w:t>
      </w:r>
      <w:r w:rsidRPr="00E96209">
        <w:t xml:space="preserve">(2016), 64 </w:t>
      </w:r>
      <w:r w:rsidRPr="00E96209">
        <w:rPr>
          <w:i/>
        </w:rPr>
        <w:t>Am. J. Com</w:t>
      </w:r>
      <w:r w:rsidR="00E96209">
        <w:rPr>
          <w:i/>
        </w:rPr>
        <w:t>p. </w:t>
      </w:r>
      <w:r w:rsidRPr="00E96209">
        <w:rPr>
          <w:i/>
        </w:rPr>
        <w:t xml:space="preserve">L. </w:t>
      </w:r>
      <w:r w:rsidRPr="00E96209">
        <w:t>1.</w:t>
      </w:r>
    </w:p>
    <w:p w14:paraId="30CD317A" w14:textId="1DA4D104" w:rsidR="00E3205F" w:rsidRPr="00E96209" w:rsidRDefault="00E3205F" w:rsidP="00E3205F">
      <w:pPr>
        <w:pStyle w:val="SCCNormalDoubleSpacing"/>
        <w:spacing w:after="240" w:line="240" w:lineRule="auto"/>
        <w:ind w:left="540" w:hanging="540"/>
      </w:pPr>
      <w:proofErr w:type="spellStart"/>
      <w:r w:rsidRPr="00E96209">
        <w:t>Leckey</w:t>
      </w:r>
      <w:proofErr w:type="spellEnd"/>
      <w:r w:rsidRPr="00E96209">
        <w:t xml:space="preserve">, Robert. </w:t>
      </w:r>
      <w:r w:rsidRPr="00E96209">
        <w:rPr>
          <w:i/>
        </w:rPr>
        <w:t>Suspended Declarations of Invalidity and the Rule of Law</w:t>
      </w:r>
      <w:r w:rsidRPr="00E96209">
        <w:t>, March 12, 2014 (</w:t>
      </w:r>
      <w:r w:rsidR="009D260F" w:rsidRPr="00E96209">
        <w:t xml:space="preserve">en </w:t>
      </w:r>
      <w:proofErr w:type="spellStart"/>
      <w:r w:rsidR="009D260F" w:rsidRPr="00E96209">
        <w:t>ligne</w:t>
      </w:r>
      <w:proofErr w:type="spellEnd"/>
      <w:r w:rsidR="00E96209">
        <w:t> :</w:t>
      </w:r>
      <w:r w:rsidRPr="00E96209">
        <w:t xml:space="preserve"> </w:t>
      </w:r>
      <w:r w:rsidR="002D14BA" w:rsidRPr="00C94472">
        <w:t>https://ukconstitutionallaw.org/2014/03/12/robert</w:t>
      </w:r>
      <w:r w:rsidR="002D14BA">
        <w:t>-</w:t>
      </w:r>
      <w:r w:rsidR="002D14BA" w:rsidRPr="00C94472">
        <w:t>leckey</w:t>
      </w:r>
      <w:r w:rsidR="002D14BA">
        <w:t>-</w:t>
      </w:r>
      <w:r w:rsidR="002D14BA" w:rsidRPr="00C94472">
        <w:t>suspended</w:t>
      </w:r>
      <w:r w:rsidR="002D14BA">
        <w:t>-</w:t>
      </w:r>
      <w:r w:rsidR="002D14BA" w:rsidRPr="00C94472">
        <w:t>declarations</w:t>
      </w:r>
      <w:r w:rsidR="002D14BA">
        <w:t>-</w:t>
      </w:r>
      <w:r w:rsidR="002D14BA" w:rsidRPr="00C94472">
        <w:t>of</w:t>
      </w:r>
      <w:r w:rsidR="002D14BA">
        <w:t>-</w:t>
      </w:r>
      <w:r w:rsidR="002D14BA" w:rsidRPr="00C94472">
        <w:t>invalidity</w:t>
      </w:r>
      <w:r w:rsidR="002D14BA">
        <w:t>-</w:t>
      </w:r>
      <w:r w:rsidR="002D14BA" w:rsidRPr="00C94472">
        <w:t>and</w:t>
      </w:r>
      <w:r w:rsidR="002D14BA">
        <w:t>-</w:t>
      </w:r>
      <w:r w:rsidR="002D14BA" w:rsidRPr="00C94472">
        <w:t>and</w:t>
      </w:r>
      <w:r w:rsidR="002D14BA">
        <w:t>-</w:t>
      </w:r>
      <w:r w:rsidR="002D14BA" w:rsidRPr="00C94472">
        <w:t>the</w:t>
      </w:r>
      <w:r w:rsidR="002D14BA">
        <w:t>-</w:t>
      </w:r>
      <w:r w:rsidR="002D14BA" w:rsidRPr="00C94472">
        <w:t>rule</w:t>
      </w:r>
      <w:r w:rsidR="002D14BA">
        <w:t>-</w:t>
      </w:r>
      <w:r w:rsidR="002D14BA" w:rsidRPr="00C94472">
        <w:t>of</w:t>
      </w:r>
      <w:r w:rsidR="002D14BA">
        <w:t>-</w:t>
      </w:r>
      <w:r w:rsidR="002D14BA" w:rsidRPr="00C94472">
        <w:t>law/#:~:text=Robert%20Leckey%3A%20Suspended%20Declarations%20of%20Invalidity%20and%20and%20the%20Rule%20of%20Law,</w:t>
      </w:r>
      <w:r w:rsidR="002D14BA">
        <w:t>-</w:t>
      </w:r>
      <w:r w:rsidR="002D14BA" w:rsidRPr="00C94472">
        <w:t>In%20December%202013&amp;text=It%20stipulates%20that%20any%20law,of%20no%20force%20or%20effect</w:t>
      </w:r>
      <w:r w:rsidRPr="00E96209">
        <w:t>).</w:t>
      </w:r>
    </w:p>
    <w:p w14:paraId="5B004488" w14:textId="77777777" w:rsidR="00D9182D" w:rsidRPr="00E96209" w:rsidRDefault="00D9182D" w:rsidP="00D9182D">
      <w:pPr>
        <w:pStyle w:val="SCCNormalDoubleSpacing"/>
        <w:spacing w:after="240" w:line="240" w:lineRule="auto"/>
        <w:ind w:left="540" w:hanging="540"/>
        <w:rPr>
          <w:lang w:val="en-US"/>
        </w:rPr>
      </w:pPr>
      <w:proofErr w:type="spellStart"/>
      <w:r w:rsidRPr="00E96209">
        <w:rPr>
          <w:lang w:val="en-US"/>
        </w:rPr>
        <w:t>Leckey</w:t>
      </w:r>
      <w:proofErr w:type="spellEnd"/>
      <w:r w:rsidRPr="00E96209">
        <w:rPr>
          <w:lang w:val="en-US"/>
        </w:rPr>
        <w:t xml:space="preserve">, Robert. « The harms of remedial discretion » (2016), 14 </w:t>
      </w:r>
      <w:r w:rsidRPr="00E96209">
        <w:rPr>
          <w:i/>
          <w:lang w:val="en-US"/>
        </w:rPr>
        <w:t>I CON</w:t>
      </w:r>
      <w:r w:rsidRPr="00E96209">
        <w:rPr>
          <w:lang w:val="en-US"/>
        </w:rPr>
        <w:t xml:space="preserve"> 584. </w:t>
      </w:r>
    </w:p>
    <w:p w14:paraId="4AEFF4C8" w14:textId="02EDD062" w:rsidR="00E3205F" w:rsidRPr="00E96209" w:rsidRDefault="00E3205F" w:rsidP="00E3205F">
      <w:pPr>
        <w:pStyle w:val="SCCNormalDoubleSpacing"/>
        <w:spacing w:after="240" w:line="240" w:lineRule="auto"/>
        <w:ind w:left="540" w:hanging="540"/>
      </w:pPr>
      <w:r w:rsidRPr="00E96209">
        <w:t>Macfarlane, Emmett.</w:t>
      </w:r>
      <w:r w:rsidR="009D260F" w:rsidRPr="00E96209">
        <w:t xml:space="preserve"> « </w:t>
      </w:r>
      <w:r w:rsidRPr="00E96209">
        <w:t xml:space="preserve">Dialogue, Remedies, and Positive </w:t>
      </w:r>
      <w:proofErr w:type="gramStart"/>
      <w:r w:rsidRPr="00E96209">
        <w:t>Rights</w:t>
      </w:r>
      <w:r w:rsidR="00E96209">
        <w:t> :</w:t>
      </w:r>
      <w:proofErr w:type="gramEnd"/>
      <w:r w:rsidRPr="00E96209">
        <w:t xml:space="preserve"> </w:t>
      </w:r>
      <w:r w:rsidRPr="00E96209">
        <w:rPr>
          <w:i/>
        </w:rPr>
        <w:t>Carter v. Canada</w:t>
      </w:r>
      <w:r w:rsidRPr="00E96209">
        <w:t xml:space="preserve"> as a Microcosm for Past and Future Issues Under the </w:t>
      </w:r>
      <w:r w:rsidRPr="00E96209">
        <w:rPr>
          <w:i/>
        </w:rPr>
        <w:t>Charter of Rights and Freedoms</w:t>
      </w:r>
      <w:r w:rsidR="009D260F" w:rsidRPr="00E96209">
        <w:t> »</w:t>
      </w:r>
      <w:r w:rsidRPr="00E96209">
        <w:t xml:space="preserve"> (2017), 49 </w:t>
      </w:r>
      <w:r w:rsidRPr="00E96209">
        <w:rPr>
          <w:i/>
        </w:rPr>
        <w:t xml:space="preserve">Ottawa L. Rev. </w:t>
      </w:r>
      <w:r w:rsidRPr="00E96209">
        <w:t>107.</w:t>
      </w:r>
    </w:p>
    <w:p w14:paraId="728E76DE" w14:textId="6A3C5203" w:rsidR="00E3205F" w:rsidRPr="00E96209" w:rsidRDefault="00E3205F" w:rsidP="00E3205F">
      <w:pPr>
        <w:pStyle w:val="SCCNormalDoubleSpacing"/>
        <w:spacing w:after="240" w:line="240" w:lineRule="auto"/>
        <w:ind w:left="540" w:hanging="540"/>
      </w:pPr>
      <w:r w:rsidRPr="00E96209">
        <w:rPr>
          <w:i/>
        </w:rPr>
        <w:t>Martin’s Annual Criminal Code</w:t>
      </w:r>
      <w:r w:rsidRPr="00E96209">
        <w:t>, by Marie Henein, Marc Rosenberg and Edward L. Greenspan</w:t>
      </w:r>
      <w:r w:rsidR="009D260F" w:rsidRPr="00E96209">
        <w:t>,</w:t>
      </w:r>
      <w:r w:rsidRPr="00E96209">
        <w:t xml:space="preserve"> Toronto</w:t>
      </w:r>
      <w:r w:rsidR="009D260F" w:rsidRPr="00E96209">
        <w:t>,</w:t>
      </w:r>
      <w:r w:rsidRPr="00E96209">
        <w:t xml:space="preserve"> Thomson Reuters, 2019. </w:t>
      </w:r>
    </w:p>
    <w:p w14:paraId="68F2823F" w14:textId="611B1A62" w:rsidR="004E7BF9" w:rsidRPr="00E96209" w:rsidRDefault="004E7BF9" w:rsidP="00CD08F2">
      <w:pPr>
        <w:pStyle w:val="SCCNormalDoubleSpacing"/>
        <w:spacing w:after="240" w:line="240" w:lineRule="auto"/>
        <w:ind w:left="540" w:hanging="540"/>
        <w:rPr>
          <w:lang w:val="en-US"/>
        </w:rPr>
      </w:pPr>
      <w:r w:rsidRPr="00E96209">
        <w:rPr>
          <w:lang w:val="x-none"/>
        </w:rPr>
        <w:t>McIntyre,</w:t>
      </w:r>
      <w:r w:rsidRPr="00E96209">
        <w:rPr>
          <w:lang w:val="en-US"/>
        </w:rPr>
        <w:t xml:space="preserve"> Sheila.</w:t>
      </w:r>
      <w:r w:rsidRPr="00E96209">
        <w:rPr>
          <w:lang w:val="x-none"/>
        </w:rPr>
        <w:t xml:space="preserve"> </w:t>
      </w:r>
      <w:r w:rsidRPr="00E96209">
        <w:rPr>
          <w:lang w:val="en-US"/>
        </w:rPr>
        <w:t>« </w:t>
      </w:r>
      <w:proofErr w:type="spellStart"/>
      <w:r w:rsidRPr="00E96209">
        <w:rPr>
          <w:lang w:val="x-none"/>
        </w:rPr>
        <w:t>Answering</w:t>
      </w:r>
      <w:proofErr w:type="spellEnd"/>
      <w:r w:rsidRPr="00E96209">
        <w:rPr>
          <w:lang w:val="x-none"/>
        </w:rPr>
        <w:t xml:space="preserve"> the </w:t>
      </w:r>
      <w:proofErr w:type="spellStart"/>
      <w:r w:rsidRPr="00E96209">
        <w:rPr>
          <w:lang w:val="x-none"/>
        </w:rPr>
        <w:t>Siren</w:t>
      </w:r>
      <w:proofErr w:type="spellEnd"/>
      <w:r w:rsidRPr="00E96209">
        <w:rPr>
          <w:lang w:val="x-none"/>
        </w:rPr>
        <w:t xml:space="preserve"> Call of Abstract </w:t>
      </w:r>
      <w:proofErr w:type="spellStart"/>
      <w:r w:rsidRPr="00E96209">
        <w:rPr>
          <w:lang w:val="x-none"/>
        </w:rPr>
        <w:t>Formalism</w:t>
      </w:r>
      <w:proofErr w:type="spellEnd"/>
      <w:r w:rsidRPr="00E96209">
        <w:rPr>
          <w:lang w:val="x-none"/>
        </w:rPr>
        <w:t xml:space="preserve"> </w:t>
      </w:r>
      <w:proofErr w:type="spellStart"/>
      <w:r w:rsidRPr="00E96209">
        <w:rPr>
          <w:lang w:val="x-none"/>
        </w:rPr>
        <w:t>with</w:t>
      </w:r>
      <w:proofErr w:type="spellEnd"/>
      <w:r w:rsidRPr="00E96209">
        <w:rPr>
          <w:lang w:val="x-none"/>
        </w:rPr>
        <w:t xml:space="preserve"> the </w:t>
      </w:r>
      <w:proofErr w:type="spellStart"/>
      <w:r w:rsidRPr="00E96209">
        <w:rPr>
          <w:lang w:val="x-none"/>
        </w:rPr>
        <w:t>Subjects</w:t>
      </w:r>
      <w:proofErr w:type="spellEnd"/>
      <w:r w:rsidRPr="00E96209">
        <w:rPr>
          <w:lang w:val="x-none"/>
        </w:rPr>
        <w:t xml:space="preserve"> and</w:t>
      </w:r>
      <w:r w:rsidRPr="00E96209">
        <w:rPr>
          <w:lang w:val="en-US"/>
        </w:rPr>
        <w:t xml:space="preserve"> </w:t>
      </w:r>
      <w:proofErr w:type="spellStart"/>
      <w:r w:rsidRPr="00E96209">
        <w:rPr>
          <w:lang w:val="x-none"/>
        </w:rPr>
        <w:t>Verbs</w:t>
      </w:r>
      <w:proofErr w:type="spellEnd"/>
      <w:r w:rsidRPr="00E96209">
        <w:rPr>
          <w:lang w:val="x-none"/>
        </w:rPr>
        <w:t xml:space="preserve"> of Domination</w:t>
      </w:r>
      <w:r w:rsidRPr="00E96209">
        <w:rPr>
          <w:lang w:val="en-US"/>
        </w:rPr>
        <w:t> »,</w:t>
      </w:r>
      <w:r w:rsidRPr="00E96209">
        <w:rPr>
          <w:lang w:val="x-none"/>
        </w:rPr>
        <w:t xml:space="preserve"> in </w:t>
      </w:r>
      <w:proofErr w:type="spellStart"/>
      <w:r w:rsidRPr="00E96209">
        <w:rPr>
          <w:lang w:val="x-none"/>
        </w:rPr>
        <w:t>F</w:t>
      </w:r>
      <w:r w:rsidRPr="00E96209">
        <w:rPr>
          <w:lang w:val="en-US"/>
        </w:rPr>
        <w:t>ay</w:t>
      </w:r>
      <w:proofErr w:type="spellEnd"/>
      <w:r w:rsidRPr="00E96209">
        <w:rPr>
          <w:lang w:val="x-none"/>
        </w:rPr>
        <w:t xml:space="preserve"> Faraday, M</w:t>
      </w:r>
      <w:r w:rsidRPr="00E96209">
        <w:rPr>
          <w:lang w:val="en-US"/>
        </w:rPr>
        <w:t>argaret</w:t>
      </w:r>
      <w:r w:rsidRPr="00E96209">
        <w:rPr>
          <w:lang w:val="x-none"/>
        </w:rPr>
        <w:t xml:space="preserve"> </w:t>
      </w:r>
      <w:proofErr w:type="spellStart"/>
      <w:r w:rsidRPr="00E96209">
        <w:rPr>
          <w:lang w:val="x-none"/>
        </w:rPr>
        <w:t>Denike</w:t>
      </w:r>
      <w:proofErr w:type="spellEnd"/>
      <w:r w:rsidRPr="00E96209">
        <w:rPr>
          <w:lang w:val="x-none"/>
        </w:rPr>
        <w:t xml:space="preserve"> </w:t>
      </w:r>
      <w:r w:rsidRPr="00E96209">
        <w:rPr>
          <w:lang w:val="en-US"/>
        </w:rPr>
        <w:t>and</w:t>
      </w:r>
      <w:r w:rsidRPr="00E96209">
        <w:rPr>
          <w:b/>
          <w:lang w:val="x-none"/>
        </w:rPr>
        <w:t xml:space="preserve"> </w:t>
      </w:r>
      <w:r w:rsidRPr="00E96209">
        <w:rPr>
          <w:lang w:val="en-US"/>
        </w:rPr>
        <w:t xml:space="preserve">M. </w:t>
      </w:r>
      <w:r w:rsidRPr="00E96209">
        <w:rPr>
          <w:lang w:val="x-none"/>
        </w:rPr>
        <w:t>K</w:t>
      </w:r>
      <w:r w:rsidRPr="00E96209">
        <w:rPr>
          <w:lang w:val="en-US"/>
        </w:rPr>
        <w:t>ate</w:t>
      </w:r>
      <w:r w:rsidRPr="00E96209">
        <w:rPr>
          <w:lang w:val="x-none"/>
        </w:rPr>
        <w:t xml:space="preserve"> Stephenson, eds</w:t>
      </w:r>
      <w:r w:rsidRPr="00E96209">
        <w:rPr>
          <w:lang w:val="en-US"/>
        </w:rPr>
        <w:t>.</w:t>
      </w:r>
      <w:r w:rsidRPr="00E96209">
        <w:rPr>
          <w:lang w:val="x-none"/>
        </w:rPr>
        <w:t xml:space="preserve">, </w:t>
      </w:r>
      <w:proofErr w:type="spellStart"/>
      <w:r w:rsidRPr="00E96209">
        <w:rPr>
          <w:i/>
          <w:lang w:val="x-none"/>
        </w:rPr>
        <w:t>Making</w:t>
      </w:r>
      <w:proofErr w:type="spellEnd"/>
      <w:r w:rsidRPr="00E96209">
        <w:rPr>
          <w:lang w:val="en-US"/>
        </w:rPr>
        <w:t xml:space="preserve"> </w:t>
      </w:r>
      <w:proofErr w:type="spellStart"/>
      <w:r w:rsidRPr="00E96209">
        <w:rPr>
          <w:i/>
          <w:lang w:val="x-none"/>
        </w:rPr>
        <w:t>Equality</w:t>
      </w:r>
      <w:proofErr w:type="spellEnd"/>
      <w:r w:rsidRPr="00E96209">
        <w:rPr>
          <w:i/>
          <w:lang w:val="x-none"/>
        </w:rPr>
        <w:t xml:space="preserve"> </w:t>
      </w:r>
      <w:proofErr w:type="spellStart"/>
      <w:r w:rsidRPr="00E96209">
        <w:rPr>
          <w:i/>
          <w:lang w:val="x-none"/>
        </w:rPr>
        <w:t>Rights</w:t>
      </w:r>
      <w:proofErr w:type="spellEnd"/>
      <w:r w:rsidRPr="00E96209">
        <w:rPr>
          <w:i/>
          <w:lang w:val="x-none"/>
        </w:rPr>
        <w:t xml:space="preserve"> </w:t>
      </w:r>
      <w:proofErr w:type="gramStart"/>
      <w:r w:rsidRPr="00E96209">
        <w:rPr>
          <w:i/>
          <w:lang w:val="x-none"/>
        </w:rPr>
        <w:t>Real</w:t>
      </w:r>
      <w:r w:rsidR="00E96209">
        <w:rPr>
          <w:i/>
          <w:lang w:val="en-US"/>
        </w:rPr>
        <w:t> :</w:t>
      </w:r>
      <w:proofErr w:type="gramEnd"/>
      <w:r w:rsidRPr="00E96209">
        <w:rPr>
          <w:i/>
          <w:lang w:val="x-none"/>
        </w:rPr>
        <w:t xml:space="preserve"> </w:t>
      </w:r>
      <w:proofErr w:type="spellStart"/>
      <w:r w:rsidRPr="00E96209">
        <w:rPr>
          <w:i/>
          <w:lang w:val="x-none"/>
        </w:rPr>
        <w:t>Securing</w:t>
      </w:r>
      <w:proofErr w:type="spellEnd"/>
      <w:r w:rsidRPr="00E96209">
        <w:rPr>
          <w:i/>
          <w:lang w:val="x-none"/>
        </w:rPr>
        <w:t xml:space="preserve"> Substantive </w:t>
      </w:r>
      <w:proofErr w:type="spellStart"/>
      <w:r w:rsidRPr="00E96209">
        <w:rPr>
          <w:i/>
          <w:lang w:val="x-none"/>
        </w:rPr>
        <w:t>Equality</w:t>
      </w:r>
      <w:proofErr w:type="spellEnd"/>
      <w:r w:rsidRPr="00E96209">
        <w:rPr>
          <w:i/>
          <w:lang w:val="x-none"/>
        </w:rPr>
        <w:t xml:space="preserve"> </w:t>
      </w:r>
      <w:r w:rsidRPr="00E96209">
        <w:rPr>
          <w:i/>
          <w:lang w:val="en-US"/>
        </w:rPr>
        <w:t>u</w:t>
      </w:r>
      <w:proofErr w:type="spellStart"/>
      <w:r w:rsidRPr="00E96209">
        <w:rPr>
          <w:i/>
          <w:lang w:val="x-none"/>
        </w:rPr>
        <w:t>nder</w:t>
      </w:r>
      <w:proofErr w:type="spellEnd"/>
      <w:r w:rsidRPr="00E96209">
        <w:rPr>
          <w:i/>
          <w:lang w:val="x-none"/>
        </w:rPr>
        <w:t xml:space="preserve"> the Charter</w:t>
      </w:r>
      <w:r w:rsidR="00E3205F" w:rsidRPr="00E96209">
        <w:rPr>
          <w:lang w:val="en-US"/>
        </w:rPr>
        <w:t>, 2nd ed</w:t>
      </w:r>
      <w:r w:rsidR="0025412A">
        <w:rPr>
          <w:lang w:val="en-US"/>
        </w:rPr>
        <w:t>., Toronto,</w:t>
      </w:r>
      <w:r w:rsidRPr="00E96209">
        <w:rPr>
          <w:lang w:val="en-US"/>
        </w:rPr>
        <w:t xml:space="preserve"> Irwin Law, </w:t>
      </w:r>
      <w:r w:rsidRPr="00E96209">
        <w:rPr>
          <w:lang w:val="x-none"/>
        </w:rPr>
        <w:t>200</w:t>
      </w:r>
      <w:r w:rsidR="00E3205F" w:rsidRPr="00E96209">
        <w:t>9</w:t>
      </w:r>
      <w:r w:rsidRPr="00E96209">
        <w:rPr>
          <w:lang w:val="en-US"/>
        </w:rPr>
        <w:t>,</w:t>
      </w:r>
      <w:r w:rsidRPr="00E96209">
        <w:rPr>
          <w:lang w:val="x-none"/>
        </w:rPr>
        <w:t xml:space="preserve"> 99</w:t>
      </w:r>
      <w:r w:rsidRPr="00E96209">
        <w:rPr>
          <w:lang w:val="en-US"/>
        </w:rPr>
        <w:t>.</w:t>
      </w:r>
    </w:p>
    <w:p w14:paraId="3A7B92AA" w14:textId="001733F9" w:rsidR="000F0F90" w:rsidRPr="00E96209" w:rsidRDefault="000F0F90" w:rsidP="00CD08F2">
      <w:pPr>
        <w:pStyle w:val="SCCNormalDoubleSpacing"/>
        <w:spacing w:after="240" w:line="240" w:lineRule="auto"/>
        <w:ind w:left="540" w:hanging="540"/>
        <w:rPr>
          <w:lang w:val="en-US"/>
        </w:rPr>
      </w:pPr>
      <w:proofErr w:type="spellStart"/>
      <w:r w:rsidRPr="00E96209">
        <w:rPr>
          <w:lang w:val="en-US"/>
        </w:rPr>
        <w:t>Mouland</w:t>
      </w:r>
      <w:proofErr w:type="spellEnd"/>
      <w:r w:rsidRPr="00E96209">
        <w:rPr>
          <w:lang w:val="en-US"/>
        </w:rPr>
        <w:t xml:space="preserve">, Carolyn. « Remedying the </w:t>
      </w:r>
      <w:proofErr w:type="gramStart"/>
      <w:r w:rsidRPr="00E96209">
        <w:rPr>
          <w:lang w:val="en-US"/>
        </w:rPr>
        <w:t>Remedy</w:t>
      </w:r>
      <w:r w:rsidR="00E96209">
        <w:rPr>
          <w:lang w:val="en-US"/>
        </w:rPr>
        <w:t> :</w:t>
      </w:r>
      <w:proofErr w:type="gramEnd"/>
      <w:r w:rsidRPr="00E96209">
        <w:rPr>
          <w:lang w:val="en-US"/>
        </w:rPr>
        <w:t xml:space="preserve"> </w:t>
      </w:r>
      <w:r w:rsidRPr="00E96209">
        <w:rPr>
          <w:i/>
          <w:lang w:val="en-US"/>
        </w:rPr>
        <w:t>Bedford</w:t>
      </w:r>
      <w:r w:rsidRPr="00E96209">
        <w:rPr>
          <w:lang w:val="en-US"/>
        </w:rPr>
        <w:t xml:space="preserve">’s Suspended Declaration of Invalidity » (2018), 41 </w:t>
      </w:r>
      <w:r w:rsidRPr="00E96209">
        <w:rPr>
          <w:i/>
          <w:lang w:val="en-US"/>
        </w:rPr>
        <w:t>Man. L.J.</w:t>
      </w:r>
      <w:r w:rsidRPr="00E96209">
        <w:rPr>
          <w:lang w:val="en-US"/>
        </w:rPr>
        <w:t xml:space="preserve"> 281.</w:t>
      </w:r>
    </w:p>
    <w:p w14:paraId="501BD636" w14:textId="6E7492C5" w:rsidR="00E3205F" w:rsidRPr="00E96209" w:rsidRDefault="00E3205F" w:rsidP="00E3205F">
      <w:pPr>
        <w:pStyle w:val="SCCNormalDoubleSpacing"/>
        <w:spacing w:after="240" w:line="240" w:lineRule="auto"/>
        <w:ind w:left="540" w:hanging="540"/>
      </w:pPr>
      <w:r w:rsidRPr="00E96209">
        <w:t xml:space="preserve">Newman, Dwight. </w:t>
      </w:r>
      <w:r w:rsidR="009D260F" w:rsidRPr="00E96209">
        <w:t>« </w:t>
      </w:r>
      <w:r w:rsidRPr="00E96209">
        <w:t>Canada’s Notwithstanding Clause, Dialogue, and C</w:t>
      </w:r>
      <w:r w:rsidR="009D260F" w:rsidRPr="00E96209">
        <w:t>onstitutional Identities »,</w:t>
      </w:r>
      <w:r w:rsidR="002D14BA">
        <w:t xml:space="preserve"> in Geoffrey </w:t>
      </w:r>
      <w:proofErr w:type="spellStart"/>
      <w:r w:rsidRPr="00E96209">
        <w:t>Sigalet</w:t>
      </w:r>
      <w:proofErr w:type="spellEnd"/>
      <w:r w:rsidRPr="00E96209">
        <w:t xml:space="preserve">, </w:t>
      </w:r>
      <w:proofErr w:type="spellStart"/>
      <w:r w:rsidRPr="00E96209">
        <w:t>Grégoire</w:t>
      </w:r>
      <w:proofErr w:type="spellEnd"/>
      <w:r w:rsidR="002D14BA">
        <w:t xml:space="preserve"> </w:t>
      </w:r>
      <w:r w:rsidRPr="00E96209">
        <w:t>Webber and Rosalind</w:t>
      </w:r>
      <w:r w:rsidR="002D14BA">
        <w:t xml:space="preserve"> </w:t>
      </w:r>
      <w:r w:rsidRPr="00E96209">
        <w:t xml:space="preserve">Dixon, eds., </w:t>
      </w:r>
      <w:r w:rsidRPr="00E96209">
        <w:rPr>
          <w:i/>
        </w:rPr>
        <w:t>Constitutional Dialogue</w:t>
      </w:r>
      <w:r w:rsidR="00E96209">
        <w:rPr>
          <w:i/>
        </w:rPr>
        <w:t> :</w:t>
      </w:r>
      <w:r w:rsidRPr="00E96209">
        <w:rPr>
          <w:i/>
        </w:rPr>
        <w:t xml:space="preserve"> Rights, Democracy, Institutions</w:t>
      </w:r>
      <w:r w:rsidR="009D260F" w:rsidRPr="00E96209">
        <w:t>, Cambridge,</w:t>
      </w:r>
      <w:r w:rsidRPr="00E96209">
        <w:t xml:space="preserve"> Cambridge University Press,</w:t>
      </w:r>
      <w:r w:rsidRPr="00E96209">
        <w:rPr>
          <w:i/>
        </w:rPr>
        <w:t xml:space="preserve"> </w:t>
      </w:r>
      <w:r w:rsidRPr="00E96209">
        <w:t>2019, 209.</w:t>
      </w:r>
    </w:p>
    <w:p w14:paraId="56F5BFDD" w14:textId="30F8071E" w:rsidR="00E3205F" w:rsidRPr="00E96209" w:rsidRDefault="00E3205F" w:rsidP="00E3205F">
      <w:pPr>
        <w:pStyle w:val="SCCNormalDoubleSpacing"/>
        <w:spacing w:after="240" w:line="240" w:lineRule="auto"/>
        <w:ind w:left="540" w:hanging="540"/>
      </w:pPr>
      <w:r w:rsidRPr="00E96209">
        <w:t xml:space="preserve">Roach, Kent. </w:t>
      </w:r>
      <w:r w:rsidRPr="00E96209">
        <w:rPr>
          <w:i/>
        </w:rPr>
        <w:t>Constitutional Remedies in Canada</w:t>
      </w:r>
      <w:r w:rsidRPr="00E96209">
        <w:t>, 2nd ed.</w:t>
      </w:r>
      <w:r w:rsidR="00773604" w:rsidRPr="00E96209">
        <w:t>,</w:t>
      </w:r>
      <w:r w:rsidRPr="00E96209">
        <w:t xml:space="preserve"> Toronto</w:t>
      </w:r>
      <w:r w:rsidR="00773604" w:rsidRPr="00E96209">
        <w:t>,</w:t>
      </w:r>
      <w:r w:rsidRPr="00E96209">
        <w:t xml:space="preserve"> Thomson Reuters, 2019 (loose</w:t>
      </w:r>
      <w:r w:rsidR="00E96209">
        <w:noBreakHyphen/>
      </w:r>
      <w:r w:rsidRPr="00E96209">
        <w:t>leaf updated October 2019, release 34).</w:t>
      </w:r>
    </w:p>
    <w:p w14:paraId="06CC46CC" w14:textId="6FD5D921" w:rsidR="00E3205F" w:rsidRPr="00E96209" w:rsidRDefault="00E3205F" w:rsidP="00E3205F">
      <w:pPr>
        <w:pStyle w:val="SCCNormalDoubleSpacing"/>
        <w:spacing w:after="240" w:line="240" w:lineRule="auto"/>
        <w:ind w:left="540" w:hanging="540"/>
      </w:pPr>
      <w:r w:rsidRPr="00E96209">
        <w:t xml:space="preserve">Roach, Kent. </w:t>
      </w:r>
      <w:r w:rsidR="00773604" w:rsidRPr="00E96209">
        <w:t>« </w:t>
      </w:r>
      <w:r w:rsidRPr="00E96209">
        <w:t xml:space="preserve">Dialogic </w:t>
      </w:r>
      <w:r w:rsidR="00773604" w:rsidRPr="00E96209">
        <w:t>Judicial Review and its Critics »</w:t>
      </w:r>
      <w:r w:rsidRPr="00E96209">
        <w:t xml:space="preserve"> (2004), 23 </w:t>
      </w:r>
      <w:r w:rsidRPr="00E96209">
        <w:rPr>
          <w:i/>
        </w:rPr>
        <w:t>S.C.L.R.</w:t>
      </w:r>
      <w:r w:rsidRPr="00E96209">
        <w:t xml:space="preserve"> (2d) 49.</w:t>
      </w:r>
    </w:p>
    <w:p w14:paraId="31B64D30" w14:textId="65C4AD4A" w:rsidR="0061117A" w:rsidRPr="00E96209" w:rsidRDefault="0061117A" w:rsidP="00E3205F">
      <w:pPr>
        <w:pStyle w:val="SCCNormalDoubleSpacing"/>
        <w:spacing w:after="240" w:line="240" w:lineRule="auto"/>
        <w:ind w:left="540" w:hanging="540"/>
      </w:pPr>
      <w:r w:rsidRPr="00E96209">
        <w:t xml:space="preserve">Roach, Kent. </w:t>
      </w:r>
      <w:r w:rsidRPr="00E96209">
        <w:rPr>
          <w:lang w:val="en-US"/>
        </w:rPr>
        <w:t>« </w:t>
      </w:r>
      <w:r w:rsidRPr="00E96209">
        <w:t>Dialogic remedies</w:t>
      </w:r>
      <w:r w:rsidRPr="00E96209">
        <w:rPr>
          <w:lang w:val="en-US"/>
        </w:rPr>
        <w:t> »</w:t>
      </w:r>
      <w:r w:rsidRPr="00E96209">
        <w:t xml:space="preserve"> (2019), 17 </w:t>
      </w:r>
      <w:r w:rsidRPr="00E96209">
        <w:rPr>
          <w:i/>
        </w:rPr>
        <w:t>I CON</w:t>
      </w:r>
      <w:r w:rsidRPr="00E96209">
        <w:t xml:space="preserve"> 860.</w:t>
      </w:r>
    </w:p>
    <w:p w14:paraId="39BC0494" w14:textId="77777777" w:rsidR="00AC3837" w:rsidRPr="00E96209" w:rsidRDefault="00AC3837" w:rsidP="00CD08F2">
      <w:pPr>
        <w:pStyle w:val="SCCNormalDoubleSpacing"/>
        <w:spacing w:after="240" w:line="240" w:lineRule="auto"/>
        <w:ind w:left="540" w:hanging="540"/>
      </w:pPr>
      <w:r w:rsidRPr="00E96209">
        <w:t xml:space="preserve">Roach, Kent. </w:t>
      </w:r>
      <w:r w:rsidRPr="00E96209">
        <w:rPr>
          <w:lang w:val="en-US"/>
        </w:rPr>
        <w:t>« </w:t>
      </w:r>
      <w:r w:rsidRPr="00E96209">
        <w:t xml:space="preserve">Principled Remedial Discretion </w:t>
      </w:r>
      <w:proofErr w:type="gramStart"/>
      <w:r w:rsidRPr="00E96209">
        <w:t>Under</w:t>
      </w:r>
      <w:proofErr w:type="gramEnd"/>
      <w:r w:rsidRPr="00E96209">
        <w:t xml:space="preserve"> the Charter</w:t>
      </w:r>
      <w:r w:rsidRPr="00E96209">
        <w:rPr>
          <w:lang w:val="en-US"/>
        </w:rPr>
        <w:t> »</w:t>
      </w:r>
      <w:r w:rsidRPr="00E96209">
        <w:t xml:space="preserve"> (2004), 25 </w:t>
      </w:r>
      <w:r w:rsidRPr="00E96209">
        <w:rPr>
          <w:i/>
        </w:rPr>
        <w:t>S.C.L.R.</w:t>
      </w:r>
      <w:r w:rsidRPr="00E96209">
        <w:t xml:space="preserve"> (2d) 101.</w:t>
      </w:r>
    </w:p>
    <w:p w14:paraId="7B259B29" w14:textId="5D255D55" w:rsidR="00E3205F" w:rsidRPr="00E96209" w:rsidRDefault="00E3205F" w:rsidP="00E3205F">
      <w:pPr>
        <w:pStyle w:val="SCCNormalDoubleSpacing"/>
        <w:spacing w:after="240" w:line="240" w:lineRule="auto"/>
        <w:ind w:left="540" w:hanging="540"/>
      </w:pPr>
      <w:r w:rsidRPr="00E96209">
        <w:t xml:space="preserve">Roach, Kent. </w:t>
      </w:r>
      <w:r w:rsidR="00773604" w:rsidRPr="00E96209">
        <w:t>« </w:t>
      </w:r>
      <w:r w:rsidRPr="00E96209">
        <w:t xml:space="preserve">The Separation and Interconnection of Powers in </w:t>
      </w:r>
      <w:proofErr w:type="gramStart"/>
      <w:r w:rsidRPr="00E96209">
        <w:t>Canada</w:t>
      </w:r>
      <w:r w:rsidR="00E96209">
        <w:t> :</w:t>
      </w:r>
      <w:proofErr w:type="gramEnd"/>
      <w:r w:rsidRPr="00E96209">
        <w:t xml:space="preserve"> The Role of Courts, the Executive and the Legislature in C</w:t>
      </w:r>
      <w:r w:rsidR="00773604" w:rsidRPr="00E96209">
        <w:t>rafting Constitutional Remedies »</w:t>
      </w:r>
      <w:r w:rsidRPr="00E96209">
        <w:t xml:space="preserve"> (2018), 5 </w:t>
      </w:r>
      <w:r w:rsidRPr="00E96209">
        <w:rPr>
          <w:i/>
        </w:rPr>
        <w:t>J. Int’l Com</w:t>
      </w:r>
      <w:r w:rsidR="00E96209">
        <w:rPr>
          <w:i/>
        </w:rPr>
        <w:t>p. </w:t>
      </w:r>
      <w:r w:rsidRPr="00E96209">
        <w:rPr>
          <w:i/>
        </w:rPr>
        <w:t xml:space="preserve">L. </w:t>
      </w:r>
      <w:r w:rsidRPr="00E96209">
        <w:t>315.</w:t>
      </w:r>
    </w:p>
    <w:p w14:paraId="601444DD" w14:textId="0ACCDE72" w:rsidR="00E3205F" w:rsidRPr="00E96209" w:rsidRDefault="00E3205F" w:rsidP="00E3205F">
      <w:pPr>
        <w:pStyle w:val="SCCNormalDoubleSpacing"/>
        <w:spacing w:after="240" w:line="240" w:lineRule="auto"/>
        <w:ind w:left="540" w:hanging="540"/>
      </w:pPr>
      <w:r w:rsidRPr="00E96209">
        <w:t>Russell,</w:t>
      </w:r>
      <w:r w:rsidR="000D0DFF" w:rsidRPr="00E96209">
        <w:t xml:space="preserve"> Peter </w:t>
      </w:r>
      <w:r w:rsidRPr="00E96209">
        <w:t>H.</w:t>
      </w:r>
      <w:r w:rsidR="00D55BE2" w:rsidRPr="00E96209">
        <w:t xml:space="preserve"> « Standing Up for Notwithstanding »</w:t>
      </w:r>
      <w:r w:rsidRPr="00E96209">
        <w:t xml:space="preserve"> (1991), 29 </w:t>
      </w:r>
      <w:r w:rsidRPr="00E96209">
        <w:rPr>
          <w:i/>
        </w:rPr>
        <w:t>Alta. L. Rev.</w:t>
      </w:r>
      <w:r w:rsidRPr="00E96209">
        <w:t xml:space="preserve"> 293.</w:t>
      </w:r>
    </w:p>
    <w:p w14:paraId="7D0868F2" w14:textId="04A2BF03" w:rsidR="000F0F90" w:rsidRPr="00E96209" w:rsidRDefault="000F0F90" w:rsidP="00E3205F">
      <w:pPr>
        <w:pStyle w:val="SCCNormalDoubleSpacing"/>
        <w:spacing w:after="240" w:line="240" w:lineRule="auto"/>
        <w:ind w:left="540" w:hanging="540"/>
        <w:rPr>
          <w:lang w:val="en-US"/>
        </w:rPr>
      </w:pPr>
      <w:r w:rsidRPr="00E96209">
        <w:rPr>
          <w:lang w:val="en-US"/>
        </w:rPr>
        <w:t xml:space="preserve">Ryder, Bruce. « Suspending the Charter » (2003), 21 </w:t>
      </w:r>
      <w:r w:rsidRPr="00E96209">
        <w:rPr>
          <w:i/>
          <w:lang w:val="en-US"/>
        </w:rPr>
        <w:t>S.C.L.R.</w:t>
      </w:r>
      <w:r w:rsidRPr="00E96209">
        <w:rPr>
          <w:lang w:val="en-US"/>
        </w:rPr>
        <w:t xml:space="preserve"> (2d) 267.</w:t>
      </w:r>
    </w:p>
    <w:p w14:paraId="76BA95AD" w14:textId="3986BB61" w:rsidR="00E3205F" w:rsidRPr="00E96209" w:rsidRDefault="00E3205F" w:rsidP="00E3205F">
      <w:pPr>
        <w:pStyle w:val="SCCNormalDoubleSpacing"/>
        <w:spacing w:after="240" w:line="240" w:lineRule="auto"/>
        <w:ind w:left="540" w:hanging="540"/>
      </w:pPr>
      <w:r w:rsidRPr="00E96209">
        <w:t>Scalia, Antonin.</w:t>
      </w:r>
      <w:r w:rsidR="00E76FE8" w:rsidRPr="00E96209">
        <w:t xml:space="preserve"> « </w:t>
      </w:r>
      <w:r w:rsidRPr="00E96209">
        <w:t>Th</w:t>
      </w:r>
      <w:r w:rsidR="00E76FE8" w:rsidRPr="00E96209">
        <w:t>e Rule of Law as a Law of Rules »</w:t>
      </w:r>
      <w:r w:rsidRPr="00E96209">
        <w:t xml:space="preserve"> (1989), 56</w:t>
      </w:r>
      <w:r w:rsidRPr="00E96209">
        <w:rPr>
          <w:i/>
        </w:rPr>
        <w:t xml:space="preserve"> U. Chicago L. Rev. </w:t>
      </w:r>
      <w:r w:rsidRPr="00E96209">
        <w:t>1175.</w:t>
      </w:r>
    </w:p>
    <w:p w14:paraId="6F0D14F1" w14:textId="1B4950DE" w:rsidR="00E3205F" w:rsidRPr="00E96209" w:rsidRDefault="00E3205F" w:rsidP="00E3205F">
      <w:pPr>
        <w:pStyle w:val="SCCNormalDoubleSpacing"/>
        <w:spacing w:after="240" w:line="240" w:lineRule="auto"/>
        <w:ind w:left="540" w:hanging="540"/>
      </w:pPr>
      <w:proofErr w:type="spellStart"/>
      <w:r w:rsidRPr="00E96209">
        <w:t>Stavsky</w:t>
      </w:r>
      <w:proofErr w:type="spellEnd"/>
      <w:r w:rsidRPr="00E96209">
        <w:t>,</w:t>
      </w:r>
      <w:r w:rsidR="000D0DFF" w:rsidRPr="00E96209">
        <w:t xml:space="preserve"> Mark </w:t>
      </w:r>
      <w:r w:rsidRPr="00E96209">
        <w:t>M.</w:t>
      </w:r>
      <w:r w:rsidR="00E4636E" w:rsidRPr="00E96209">
        <w:t xml:space="preserve"> « </w:t>
      </w:r>
      <w:r w:rsidRPr="00E96209">
        <w:t>The Doctrine</w:t>
      </w:r>
      <w:r w:rsidR="00E4636E" w:rsidRPr="00E96209">
        <w:t xml:space="preserve"> of State Necessity in Pakistan »</w:t>
      </w:r>
      <w:r w:rsidRPr="00E96209">
        <w:t xml:space="preserve"> (1983), 16 </w:t>
      </w:r>
      <w:r w:rsidRPr="00E96209">
        <w:rPr>
          <w:i/>
        </w:rPr>
        <w:t xml:space="preserve">Cornell Int’l L.J. </w:t>
      </w:r>
      <w:r w:rsidRPr="00E96209">
        <w:t>341.</w:t>
      </w:r>
    </w:p>
    <w:p w14:paraId="46AEFB2F" w14:textId="5DF5B924" w:rsidR="00CE443F" w:rsidRPr="00E96209" w:rsidRDefault="00CE443F" w:rsidP="00CD08F2">
      <w:pPr>
        <w:pStyle w:val="SCCNormalDoubleSpacing"/>
        <w:spacing w:after="240" w:line="240" w:lineRule="auto"/>
        <w:ind w:left="540" w:hanging="540"/>
        <w:rPr>
          <w:lang w:val="en-US"/>
        </w:rPr>
      </w:pPr>
      <w:r w:rsidRPr="00E96209">
        <w:rPr>
          <w:lang w:val="en-US"/>
        </w:rPr>
        <w:t xml:space="preserve">Stuart, Heather, et </w:t>
      </w:r>
      <w:r w:rsidR="00E96209">
        <w:rPr>
          <w:lang w:val="en-US"/>
        </w:rPr>
        <w:t>al. </w:t>
      </w:r>
      <w:r w:rsidRPr="00E96209">
        <w:rPr>
          <w:lang w:val="en-US"/>
        </w:rPr>
        <w:t xml:space="preserve">« Stigma in </w:t>
      </w:r>
      <w:proofErr w:type="gramStart"/>
      <w:r w:rsidRPr="00E96209">
        <w:rPr>
          <w:lang w:val="en-US"/>
        </w:rPr>
        <w:t>Canada</w:t>
      </w:r>
      <w:r w:rsidR="00E96209">
        <w:rPr>
          <w:lang w:val="en-US"/>
        </w:rPr>
        <w:t> :</w:t>
      </w:r>
      <w:proofErr w:type="gramEnd"/>
      <w:r w:rsidRPr="00E96209">
        <w:rPr>
          <w:lang w:val="en-US"/>
        </w:rPr>
        <w:t xml:space="preserve"> Results from a Rapid Response Survey » (2014), 59 </w:t>
      </w:r>
      <w:r w:rsidRPr="00E96209">
        <w:rPr>
          <w:i/>
          <w:lang w:val="en-US"/>
        </w:rPr>
        <w:t>Can. J. Psychiatry</w:t>
      </w:r>
      <w:r w:rsidRPr="00E96209">
        <w:rPr>
          <w:lang w:val="en-US"/>
        </w:rPr>
        <w:t xml:space="preserve"> S27.</w:t>
      </w:r>
    </w:p>
    <w:p w14:paraId="41E709E0" w14:textId="609E20F7" w:rsidR="00D814C6" w:rsidRPr="00E96209" w:rsidRDefault="00D814C6" w:rsidP="00CD08F2">
      <w:pPr>
        <w:pStyle w:val="SCCNormalDoubleSpacing"/>
        <w:spacing w:after="240" w:line="240" w:lineRule="auto"/>
        <w:ind w:left="540" w:hanging="540"/>
        <w:rPr>
          <w:lang w:val="en-US"/>
        </w:rPr>
      </w:pPr>
      <w:r w:rsidRPr="00E96209">
        <w:rPr>
          <w:lang w:val="en-US"/>
        </w:rPr>
        <w:t xml:space="preserve">Stuart, Heather, Julio </w:t>
      </w:r>
      <w:proofErr w:type="spellStart"/>
      <w:r w:rsidRPr="00E96209">
        <w:rPr>
          <w:lang w:val="en-US"/>
        </w:rPr>
        <w:t>Arboleda</w:t>
      </w:r>
      <w:r w:rsidR="00E96209">
        <w:rPr>
          <w:lang w:val="en-US"/>
        </w:rPr>
        <w:noBreakHyphen/>
      </w:r>
      <w:r w:rsidRPr="00E96209">
        <w:rPr>
          <w:lang w:val="en-US"/>
        </w:rPr>
        <w:t>Flórez</w:t>
      </w:r>
      <w:proofErr w:type="spellEnd"/>
      <w:r w:rsidRPr="00E96209">
        <w:rPr>
          <w:lang w:val="en-US"/>
        </w:rPr>
        <w:t xml:space="preserve">, and Norman Sartorius. </w:t>
      </w:r>
      <w:r w:rsidRPr="00E96209">
        <w:rPr>
          <w:i/>
          <w:lang w:val="en-US"/>
        </w:rPr>
        <w:t xml:space="preserve">Paradigms </w:t>
      </w:r>
      <w:proofErr w:type="gramStart"/>
      <w:r w:rsidRPr="00E96209">
        <w:rPr>
          <w:i/>
          <w:lang w:val="en-US"/>
        </w:rPr>
        <w:t>Lost</w:t>
      </w:r>
      <w:r w:rsidR="00E96209">
        <w:rPr>
          <w:i/>
          <w:lang w:val="en-US"/>
        </w:rPr>
        <w:t> :</w:t>
      </w:r>
      <w:proofErr w:type="gramEnd"/>
      <w:r w:rsidRPr="00E96209">
        <w:rPr>
          <w:i/>
          <w:lang w:val="en-US"/>
        </w:rPr>
        <w:t xml:space="preserve"> Fighting Stigma and the Lessons Learned</w:t>
      </w:r>
      <w:r w:rsidRPr="00E96209">
        <w:rPr>
          <w:lang w:val="en-US"/>
        </w:rPr>
        <w:t>, New York, Oxford University Press, 2012.</w:t>
      </w:r>
    </w:p>
    <w:p w14:paraId="57729B02" w14:textId="61EE20FF" w:rsidR="000F0F90" w:rsidRPr="00E96209" w:rsidRDefault="00FF7AB8" w:rsidP="00CD08F2">
      <w:pPr>
        <w:pStyle w:val="SCCNormalDoubleSpacing"/>
        <w:spacing w:after="240" w:line="240" w:lineRule="auto"/>
        <w:ind w:left="540" w:hanging="540"/>
        <w:rPr>
          <w:lang w:val="en-US"/>
        </w:rPr>
      </w:pPr>
      <w:r w:rsidRPr="00E96209">
        <w:rPr>
          <w:lang w:val="en-US"/>
        </w:rPr>
        <w:t>Trotter, Gary </w:t>
      </w:r>
      <w:r w:rsidR="000F0F90" w:rsidRPr="00E96209">
        <w:rPr>
          <w:lang w:val="en-US"/>
        </w:rPr>
        <w:t xml:space="preserve">T. </w:t>
      </w:r>
      <w:r w:rsidR="003C6276" w:rsidRPr="00E96209">
        <w:rPr>
          <w:lang w:val="en-US"/>
        </w:rPr>
        <w:t>« </w:t>
      </w:r>
      <w:r w:rsidR="000F0F90" w:rsidRPr="00E96209">
        <w:rPr>
          <w:lang w:val="en-US"/>
        </w:rPr>
        <w:t>Justice</w:t>
      </w:r>
      <w:r w:rsidR="003C6276" w:rsidRPr="00E96209">
        <w:rPr>
          <w:lang w:val="en-US"/>
        </w:rPr>
        <w:t xml:space="preserve">, </w:t>
      </w:r>
      <w:r w:rsidR="000F0F90" w:rsidRPr="00E96209">
        <w:rPr>
          <w:lang w:val="en-US"/>
        </w:rPr>
        <w:t xml:space="preserve">Politics and the Royal Prerogative of </w:t>
      </w:r>
      <w:proofErr w:type="gramStart"/>
      <w:r w:rsidR="000F0F90" w:rsidRPr="00E96209">
        <w:rPr>
          <w:lang w:val="en-US"/>
        </w:rPr>
        <w:t>Mercy</w:t>
      </w:r>
      <w:r w:rsidR="00E96209">
        <w:rPr>
          <w:lang w:val="en-US"/>
        </w:rPr>
        <w:t> :</w:t>
      </w:r>
      <w:proofErr w:type="gramEnd"/>
      <w:r w:rsidR="000F0F90" w:rsidRPr="00E96209">
        <w:rPr>
          <w:lang w:val="en-US"/>
        </w:rPr>
        <w:t xml:space="preserve"> Examining the Self</w:t>
      </w:r>
      <w:r w:rsidR="00E96209">
        <w:rPr>
          <w:lang w:val="en-US"/>
        </w:rPr>
        <w:noBreakHyphen/>
      </w:r>
      <w:proofErr w:type="spellStart"/>
      <w:r w:rsidR="000F0F90" w:rsidRPr="00E96209">
        <w:rPr>
          <w:lang w:val="en-US"/>
        </w:rPr>
        <w:t>Defence</w:t>
      </w:r>
      <w:proofErr w:type="spellEnd"/>
      <w:r w:rsidR="000F0F90" w:rsidRPr="00E96209">
        <w:rPr>
          <w:lang w:val="en-US"/>
        </w:rPr>
        <w:t xml:space="preserve"> Review » (2001), 26 </w:t>
      </w:r>
      <w:r w:rsidR="000F0F90" w:rsidRPr="00E96209">
        <w:rPr>
          <w:i/>
          <w:lang w:val="en-US"/>
        </w:rPr>
        <w:t xml:space="preserve">Queen’s L.J. </w:t>
      </w:r>
      <w:r w:rsidR="000F0F90" w:rsidRPr="00E96209">
        <w:rPr>
          <w:lang w:val="en-US"/>
        </w:rPr>
        <w:t>339.</w:t>
      </w:r>
    </w:p>
    <w:p w14:paraId="08781BF9" w14:textId="23E4FB82" w:rsidR="00E3205F" w:rsidRPr="00E96209" w:rsidRDefault="00E3205F" w:rsidP="00E3205F">
      <w:pPr>
        <w:pStyle w:val="SCCNormalDoubleSpacing"/>
        <w:spacing w:after="240" w:line="240" w:lineRule="auto"/>
        <w:ind w:left="540" w:hanging="540"/>
        <w:rPr>
          <w:lang w:val="en-US"/>
        </w:rPr>
      </w:pPr>
      <w:proofErr w:type="gramStart"/>
      <w:r w:rsidRPr="00E96209">
        <w:t>van</w:t>
      </w:r>
      <w:proofErr w:type="gramEnd"/>
      <w:r w:rsidRPr="00E96209">
        <w:t> </w:t>
      </w:r>
      <w:proofErr w:type="spellStart"/>
      <w:r w:rsidRPr="00E96209">
        <w:t>Kralingen</w:t>
      </w:r>
      <w:proofErr w:type="spellEnd"/>
      <w:r w:rsidRPr="00E96209">
        <w:t xml:space="preserve">, Alex. </w:t>
      </w:r>
      <w:r w:rsidR="00E4636E" w:rsidRPr="00E96209">
        <w:t>« </w:t>
      </w:r>
      <w:r w:rsidRPr="00E96209">
        <w:t>The Dialogic Saga of Same</w:t>
      </w:r>
      <w:r w:rsidR="00E96209">
        <w:noBreakHyphen/>
      </w:r>
      <w:r w:rsidRPr="00E96209">
        <w:t xml:space="preserve">Sex </w:t>
      </w:r>
      <w:proofErr w:type="gramStart"/>
      <w:r w:rsidRPr="00E96209">
        <w:t>Marriage</w:t>
      </w:r>
      <w:r w:rsidR="00E96209">
        <w:t> :</w:t>
      </w:r>
      <w:proofErr w:type="gramEnd"/>
      <w:r w:rsidRPr="00E96209">
        <w:t xml:space="preserve"> </w:t>
      </w:r>
      <w:r w:rsidRPr="00E96209">
        <w:rPr>
          <w:i/>
        </w:rPr>
        <w:t>EGALE</w:t>
      </w:r>
      <w:r w:rsidRPr="00E96209">
        <w:t xml:space="preserve">, </w:t>
      </w:r>
      <w:r w:rsidRPr="00E96209">
        <w:rPr>
          <w:i/>
        </w:rPr>
        <w:t>Halpern</w:t>
      </w:r>
      <w:r w:rsidRPr="00E96209">
        <w:t>, and the Relationship Between Suspended Declarations and Productive Political Discourse About Rights</w:t>
      </w:r>
      <w:r w:rsidR="00E4636E" w:rsidRPr="00E96209">
        <w:t> »</w:t>
      </w:r>
      <w:r w:rsidRPr="00E96209">
        <w:t xml:space="preserve"> (2004), 62 </w:t>
      </w:r>
      <w:r w:rsidRPr="00E96209">
        <w:rPr>
          <w:i/>
        </w:rPr>
        <w:t>U.T. Fac. L. Rev.</w:t>
      </w:r>
      <w:r w:rsidRPr="00E96209">
        <w:t xml:space="preserve"> 149.</w:t>
      </w:r>
    </w:p>
    <w:p w14:paraId="62B18440" w14:textId="1CAC0863" w:rsidR="0087033A" w:rsidRPr="00E96209" w:rsidRDefault="0087033A" w:rsidP="00CD08F2">
      <w:pPr>
        <w:pStyle w:val="SCCNormalDoubleSpacing"/>
        <w:spacing w:after="240" w:line="240" w:lineRule="auto"/>
        <w:ind w:left="540" w:hanging="540"/>
        <w:rPr>
          <w:lang w:val="en-US"/>
        </w:rPr>
      </w:pPr>
      <w:r w:rsidRPr="00E96209">
        <w:rPr>
          <w:lang w:val="en-US"/>
        </w:rPr>
        <w:t>Wasserman, David, et al., « </w:t>
      </w:r>
      <w:proofErr w:type="gramStart"/>
      <w:r w:rsidRPr="00E96209">
        <w:rPr>
          <w:lang w:val="en-US"/>
        </w:rPr>
        <w:t>Disability</w:t>
      </w:r>
      <w:r w:rsidR="00E96209">
        <w:rPr>
          <w:lang w:val="en-US"/>
        </w:rPr>
        <w:t> :</w:t>
      </w:r>
      <w:proofErr w:type="gramEnd"/>
      <w:r w:rsidRPr="00E96209">
        <w:rPr>
          <w:lang w:val="en-US"/>
        </w:rPr>
        <w:t xml:space="preserve"> Definitions, Models, Experience », in E. N. </w:t>
      </w:r>
      <w:proofErr w:type="spellStart"/>
      <w:r w:rsidRPr="00E96209">
        <w:rPr>
          <w:lang w:val="en-US"/>
        </w:rPr>
        <w:t>Zalta</w:t>
      </w:r>
      <w:proofErr w:type="spellEnd"/>
      <w:r w:rsidRPr="00E96209">
        <w:rPr>
          <w:lang w:val="en-US"/>
        </w:rPr>
        <w:t xml:space="preserve"> et al., eds., </w:t>
      </w:r>
      <w:r w:rsidRPr="00E96209">
        <w:rPr>
          <w:i/>
          <w:lang w:val="en-US"/>
        </w:rPr>
        <w:t>Stanford Encyclopedia of Philosophy</w:t>
      </w:r>
      <w:r w:rsidRPr="00E96209">
        <w:rPr>
          <w:lang w:val="en-US"/>
        </w:rPr>
        <w:t xml:space="preserve">, 2016 (en </w:t>
      </w:r>
      <w:proofErr w:type="spellStart"/>
      <w:r w:rsidRPr="00E96209">
        <w:rPr>
          <w:lang w:val="en-US"/>
        </w:rPr>
        <w:t>ligne</w:t>
      </w:r>
      <w:proofErr w:type="spellEnd"/>
      <w:r w:rsidR="00E96209">
        <w:rPr>
          <w:lang w:val="en-US"/>
        </w:rPr>
        <w:t> :</w:t>
      </w:r>
      <w:r w:rsidRPr="00E96209">
        <w:rPr>
          <w:lang w:val="en-US"/>
        </w:rPr>
        <w:t xml:space="preserve"> </w:t>
      </w:r>
      <w:r w:rsidR="00733EDD" w:rsidRPr="00545DD8">
        <w:rPr>
          <w:rStyle w:val="Hyperlink"/>
          <w:rFonts w:eastAsiaTheme="majorEastAsia"/>
          <w:color w:val="auto"/>
          <w:u w:val="none"/>
          <w:lang w:val="en-US"/>
        </w:rPr>
        <w:t>https://plato.stanford.edu/archives/sum2016/entries/disability/</w:t>
      </w:r>
      <w:r w:rsidRPr="00E96209">
        <w:rPr>
          <w:lang w:val="en"/>
        </w:rPr>
        <w:t>).</w:t>
      </w:r>
    </w:p>
    <w:p w14:paraId="7C90C9D9" w14:textId="4556D1E8" w:rsidR="00E3205F" w:rsidRPr="00E96209" w:rsidRDefault="00E3205F" w:rsidP="00E3205F">
      <w:pPr>
        <w:pStyle w:val="SCCNormalDoubleSpacing"/>
        <w:spacing w:after="240" w:line="240" w:lineRule="auto"/>
        <w:ind w:left="540" w:hanging="540"/>
        <w:rPr>
          <w:lang w:val="en-US"/>
        </w:rPr>
      </w:pPr>
      <w:r w:rsidRPr="00E96209">
        <w:t>Webber,</w:t>
      </w:r>
      <w:r w:rsidR="002D14BA">
        <w:t xml:space="preserve"> </w:t>
      </w:r>
      <w:proofErr w:type="spellStart"/>
      <w:r w:rsidR="002D14BA">
        <w:t>Grégoire</w:t>
      </w:r>
      <w:proofErr w:type="spellEnd"/>
      <w:r w:rsidR="002D14BA">
        <w:t> C. </w:t>
      </w:r>
      <w:r w:rsidRPr="00E96209">
        <w:t>N.</w:t>
      </w:r>
      <w:r w:rsidR="00E4636E" w:rsidRPr="00E96209">
        <w:t xml:space="preserve"> « Originalism’s Constitution »</w:t>
      </w:r>
      <w:r w:rsidRPr="00E96209">
        <w:t>, in</w:t>
      </w:r>
      <w:r w:rsidR="002D14BA">
        <w:t xml:space="preserve"> Grant </w:t>
      </w:r>
      <w:proofErr w:type="spellStart"/>
      <w:r w:rsidRPr="00E96209">
        <w:t>Huscroft</w:t>
      </w:r>
      <w:proofErr w:type="spellEnd"/>
      <w:r w:rsidRPr="00E96209">
        <w:t xml:space="preserve"> and Bradley W.</w:t>
      </w:r>
      <w:r w:rsidR="002D14BA">
        <w:t xml:space="preserve"> </w:t>
      </w:r>
      <w:r w:rsidRPr="00E96209">
        <w:t xml:space="preserve">Miller, eds., </w:t>
      </w:r>
      <w:r w:rsidRPr="00E96209">
        <w:rPr>
          <w:i/>
        </w:rPr>
        <w:t>The Challenge of Originalism</w:t>
      </w:r>
      <w:r w:rsidR="00E96209">
        <w:rPr>
          <w:i/>
        </w:rPr>
        <w:t> :</w:t>
      </w:r>
      <w:r w:rsidRPr="00E96209">
        <w:rPr>
          <w:i/>
        </w:rPr>
        <w:t xml:space="preserve"> Theories of Constitutional Interpretation</w:t>
      </w:r>
      <w:r w:rsidR="00E4636E" w:rsidRPr="00E96209">
        <w:t>, New York,</w:t>
      </w:r>
      <w:r w:rsidRPr="00E96209">
        <w:t xml:space="preserve"> Cambridge University Press,</w:t>
      </w:r>
      <w:r w:rsidRPr="00E96209">
        <w:rPr>
          <w:i/>
        </w:rPr>
        <w:t xml:space="preserve"> </w:t>
      </w:r>
      <w:r w:rsidRPr="00E96209">
        <w:t>2011, 147.</w:t>
      </w:r>
    </w:p>
    <w:p w14:paraId="599C8324" w14:textId="21B67972" w:rsidR="00E3205F" w:rsidRPr="00E96209" w:rsidRDefault="00E3205F" w:rsidP="00E3205F">
      <w:pPr>
        <w:pStyle w:val="SCCNormalDoubleSpacing"/>
        <w:spacing w:line="240" w:lineRule="auto"/>
        <w:ind w:left="540" w:hanging="540"/>
      </w:pPr>
      <w:proofErr w:type="spellStart"/>
      <w:r w:rsidRPr="00E96209">
        <w:t>Weiler</w:t>
      </w:r>
      <w:proofErr w:type="spellEnd"/>
      <w:r w:rsidRPr="00E96209">
        <w:t xml:space="preserve">, Paul C. </w:t>
      </w:r>
      <w:r w:rsidR="000E38CB" w:rsidRPr="00E96209">
        <w:t>« </w:t>
      </w:r>
      <w:r w:rsidRPr="00E96209">
        <w:t xml:space="preserve">Rights and Judges in a </w:t>
      </w:r>
      <w:proofErr w:type="gramStart"/>
      <w:r w:rsidRPr="00E96209">
        <w:t>Democracy</w:t>
      </w:r>
      <w:r w:rsidR="00E96209">
        <w:t> :</w:t>
      </w:r>
      <w:proofErr w:type="gramEnd"/>
      <w:r w:rsidR="000E38CB" w:rsidRPr="00E96209">
        <w:t xml:space="preserve"> A New Canadian Version »</w:t>
      </w:r>
      <w:r w:rsidRPr="00E96209">
        <w:t xml:space="preserve"> (1984), 18 </w:t>
      </w:r>
      <w:r w:rsidRPr="00E96209">
        <w:rPr>
          <w:i/>
        </w:rPr>
        <w:t>U. Mi</w:t>
      </w:r>
      <w:r w:rsidR="00E96209">
        <w:rPr>
          <w:i/>
        </w:rPr>
        <w:t>ch. </w:t>
      </w:r>
      <w:r w:rsidR="0025412A">
        <w:rPr>
          <w:i/>
        </w:rPr>
        <w:t>J.</w:t>
      </w:r>
      <w:r w:rsidRPr="00E96209">
        <w:rPr>
          <w:i/>
        </w:rPr>
        <w:t xml:space="preserve">L. Reform </w:t>
      </w:r>
      <w:r w:rsidRPr="00E96209">
        <w:t>51.</w:t>
      </w:r>
    </w:p>
    <w:p w14:paraId="488F501A" w14:textId="52E81129" w:rsidR="00E3205F" w:rsidRPr="00E96209" w:rsidRDefault="000F0F90" w:rsidP="00E3205F">
      <w:pPr>
        <w:pStyle w:val="SCCNormalDoubleSpacing"/>
        <w:spacing w:before="240" w:line="240" w:lineRule="auto"/>
        <w:ind w:left="540" w:hanging="540"/>
        <w:rPr>
          <w:lang w:val="en-US"/>
        </w:rPr>
      </w:pPr>
      <w:proofErr w:type="spellStart"/>
      <w:r w:rsidRPr="00E96209">
        <w:rPr>
          <w:lang w:val="en-US"/>
        </w:rPr>
        <w:t>Weinrib</w:t>
      </w:r>
      <w:proofErr w:type="spellEnd"/>
      <w:r w:rsidRPr="00E96209">
        <w:rPr>
          <w:lang w:val="en-US"/>
        </w:rPr>
        <w:t xml:space="preserve">, Lorraine. </w:t>
      </w:r>
      <w:r w:rsidRPr="00E96209">
        <w:rPr>
          <w:i/>
          <w:lang w:val="en-US"/>
        </w:rPr>
        <w:t>Suspended invalidity orders out of sync with Constitution</w:t>
      </w:r>
      <w:r w:rsidRPr="00E96209">
        <w:rPr>
          <w:lang w:val="en-US"/>
        </w:rPr>
        <w:t>, August</w:t>
      </w:r>
      <w:r w:rsidR="00FF7AB8" w:rsidRPr="00E96209">
        <w:rPr>
          <w:lang w:val="en-US"/>
        </w:rPr>
        <w:t> </w:t>
      </w:r>
      <w:r w:rsidRPr="00E96209">
        <w:rPr>
          <w:lang w:val="en-US"/>
        </w:rPr>
        <w:t xml:space="preserve">21, 2016 (en </w:t>
      </w:r>
      <w:proofErr w:type="spellStart"/>
      <w:proofErr w:type="gramStart"/>
      <w:r w:rsidRPr="00E96209">
        <w:rPr>
          <w:lang w:val="en-US"/>
        </w:rPr>
        <w:t>ligne</w:t>
      </w:r>
      <w:proofErr w:type="spellEnd"/>
      <w:r w:rsidR="00E96209">
        <w:rPr>
          <w:lang w:val="en-US"/>
        </w:rPr>
        <w:t> :</w:t>
      </w:r>
      <w:proofErr w:type="gramEnd"/>
      <w:r w:rsidRPr="00E96209">
        <w:rPr>
          <w:lang w:val="en-US"/>
        </w:rPr>
        <w:t xml:space="preserve"> </w:t>
      </w:r>
      <w:r w:rsidR="00733EDD" w:rsidRPr="00AC3837">
        <w:rPr>
          <w:lang w:val="en-US"/>
        </w:rPr>
        <w:t>https://www.lawtimesnews.com/news/general/suspended-invalidity-orders-out-o</w:t>
      </w:r>
      <w:r w:rsidR="00733EDD">
        <w:rPr>
          <w:lang w:val="en-US"/>
        </w:rPr>
        <w:t>f-sync-with-constitution/258931</w:t>
      </w:r>
      <w:r w:rsidRPr="00E96209">
        <w:rPr>
          <w:lang w:val="en-US"/>
        </w:rPr>
        <w:t>).</w:t>
      </w:r>
    </w:p>
    <w:p w14:paraId="06E93D1C" w14:textId="386E1154" w:rsidR="00E3205F" w:rsidRPr="00E96209" w:rsidRDefault="00E3205F" w:rsidP="000D0DFF">
      <w:pPr>
        <w:pStyle w:val="SCCNormalDoubleSpacing"/>
        <w:spacing w:before="240" w:after="720" w:line="240" w:lineRule="auto"/>
        <w:ind w:left="539" w:hanging="539"/>
      </w:pPr>
      <w:r w:rsidRPr="00E96209">
        <w:t>Whyte,</w:t>
      </w:r>
      <w:r w:rsidR="002D14BA">
        <w:t xml:space="preserve"> John </w:t>
      </w:r>
      <w:r w:rsidRPr="00E96209">
        <w:t>D.</w:t>
      </w:r>
      <w:r w:rsidR="000E38CB" w:rsidRPr="00E96209">
        <w:t xml:space="preserve"> « </w:t>
      </w:r>
      <w:r w:rsidRPr="00E96209">
        <w:t xml:space="preserve">Sometimes Constitutions are Made in the </w:t>
      </w:r>
      <w:proofErr w:type="gramStart"/>
      <w:r w:rsidRPr="00E96209">
        <w:t>Streets</w:t>
      </w:r>
      <w:r w:rsidR="00E96209">
        <w:t> :</w:t>
      </w:r>
      <w:proofErr w:type="gramEnd"/>
      <w:r w:rsidRPr="00E96209">
        <w:t xml:space="preserve"> The Future of the </w:t>
      </w:r>
      <w:r w:rsidRPr="00E96209">
        <w:rPr>
          <w:i/>
        </w:rPr>
        <w:t>Charter</w:t>
      </w:r>
      <w:r w:rsidR="000E38CB" w:rsidRPr="00E96209">
        <w:t>’s Notwithstanding Clause »</w:t>
      </w:r>
      <w:r w:rsidRPr="00E96209">
        <w:t xml:space="preserve"> (2007), 16</w:t>
      </w:r>
      <w:r w:rsidR="005B0DF7">
        <w:t xml:space="preserve"> </w:t>
      </w:r>
      <w:r w:rsidR="005B0DF7">
        <w:rPr>
          <w:i/>
        </w:rPr>
        <w:t>Forum</w:t>
      </w:r>
      <w:r w:rsidRPr="00E96209">
        <w:t xml:space="preserve"> </w:t>
      </w:r>
      <w:r w:rsidR="0025412A">
        <w:rPr>
          <w:i/>
        </w:rPr>
        <w:t>Const.</w:t>
      </w:r>
      <w:r w:rsidRPr="00E96209">
        <w:rPr>
          <w:i/>
        </w:rPr>
        <w:t xml:space="preserve"> </w:t>
      </w:r>
      <w:r w:rsidRPr="00E96209">
        <w:t>79.</w:t>
      </w:r>
    </w:p>
    <w:p w14:paraId="510DFB4A" w14:textId="014FE535" w:rsidR="004D7D95" w:rsidRPr="00E96209" w:rsidRDefault="0068033A" w:rsidP="008A7C16">
      <w:pPr>
        <w:pStyle w:val="SCCNormalDoubleSpacing"/>
        <w:spacing w:after="480"/>
        <w:rPr>
          <w:lang w:val="fr-CA"/>
        </w:rPr>
      </w:pPr>
      <w:r w:rsidRPr="00E96209">
        <w:rPr>
          <w:lang w:val="en-US"/>
        </w:rPr>
        <w:tab/>
      </w:r>
      <w:proofErr w:type="spellStart"/>
      <w:r w:rsidR="004D7D95" w:rsidRPr="00E96209">
        <w:rPr>
          <w:lang w:val="en-US"/>
        </w:rPr>
        <w:t>POURVOI</w:t>
      </w:r>
      <w:proofErr w:type="spellEnd"/>
      <w:r w:rsidR="004D7D95" w:rsidRPr="00E96209">
        <w:rPr>
          <w:lang w:val="en-US"/>
        </w:rPr>
        <w:t xml:space="preserve"> </w:t>
      </w:r>
      <w:proofErr w:type="spellStart"/>
      <w:r w:rsidR="004D7D95" w:rsidRPr="00E96209">
        <w:rPr>
          <w:lang w:val="en-US"/>
        </w:rPr>
        <w:t>contre</w:t>
      </w:r>
      <w:proofErr w:type="spellEnd"/>
      <w:r w:rsidR="004D7D95" w:rsidRPr="00E96209">
        <w:rPr>
          <w:lang w:val="en-US"/>
        </w:rPr>
        <w:t xml:space="preserve"> un </w:t>
      </w:r>
      <w:proofErr w:type="spellStart"/>
      <w:r w:rsidR="004D7D95" w:rsidRPr="00E96209">
        <w:rPr>
          <w:lang w:val="en-US"/>
        </w:rPr>
        <w:t>arrêt</w:t>
      </w:r>
      <w:proofErr w:type="spellEnd"/>
      <w:r w:rsidR="004D7D95" w:rsidRPr="00E96209">
        <w:rPr>
          <w:lang w:val="en-US"/>
        </w:rPr>
        <w:t xml:space="preserve"> de la </w:t>
      </w:r>
      <w:proofErr w:type="spellStart"/>
      <w:r w:rsidR="004D7D95" w:rsidRPr="00E96209">
        <w:rPr>
          <w:lang w:val="en-US"/>
        </w:rPr>
        <w:t>Cour</w:t>
      </w:r>
      <w:proofErr w:type="spellEnd"/>
      <w:r w:rsidR="004D7D95" w:rsidRPr="00E96209">
        <w:rPr>
          <w:lang w:val="en-US"/>
        </w:rPr>
        <w:t xml:space="preserve"> </w:t>
      </w:r>
      <w:proofErr w:type="spellStart"/>
      <w:r w:rsidR="004D7D95" w:rsidRPr="00E96209">
        <w:rPr>
          <w:lang w:val="en-US"/>
        </w:rPr>
        <w:t>d</w:t>
      </w:r>
      <w:r w:rsidRPr="00E96209">
        <w:rPr>
          <w:lang w:val="en-US"/>
        </w:rPr>
        <w:t>’</w:t>
      </w:r>
      <w:r w:rsidR="004D7D95" w:rsidRPr="00E96209">
        <w:rPr>
          <w:lang w:val="en-US"/>
        </w:rPr>
        <w:t>appel</w:t>
      </w:r>
      <w:proofErr w:type="spellEnd"/>
      <w:r w:rsidR="004D7D95" w:rsidRPr="00E96209">
        <w:rPr>
          <w:lang w:val="en-US"/>
        </w:rPr>
        <w:t xml:space="preserve"> de </w:t>
      </w:r>
      <w:proofErr w:type="spellStart"/>
      <w:r w:rsidR="004D7D95" w:rsidRPr="00E96209">
        <w:rPr>
          <w:lang w:val="en-US"/>
        </w:rPr>
        <w:t>l</w:t>
      </w:r>
      <w:r w:rsidRPr="00E96209">
        <w:rPr>
          <w:lang w:val="en-US"/>
        </w:rPr>
        <w:t>’</w:t>
      </w:r>
      <w:r w:rsidR="004D7D95" w:rsidRPr="00E96209">
        <w:rPr>
          <w:lang w:val="en-US"/>
        </w:rPr>
        <w:t>Ontario</w:t>
      </w:r>
      <w:proofErr w:type="spellEnd"/>
      <w:r w:rsidRPr="00E96209">
        <w:rPr>
          <w:lang w:val="en-US"/>
        </w:rPr>
        <w:t xml:space="preserve"> (</w:t>
      </w:r>
      <w:r w:rsidR="00E8528C" w:rsidRPr="00E96209">
        <w:rPr>
          <w:lang w:val="en-US"/>
        </w:rPr>
        <w:t xml:space="preserve">les </w:t>
      </w:r>
      <w:proofErr w:type="spellStart"/>
      <w:r w:rsidR="00E8528C" w:rsidRPr="00E96209">
        <w:rPr>
          <w:lang w:val="en-US"/>
        </w:rPr>
        <w:t>juges</w:t>
      </w:r>
      <w:proofErr w:type="spellEnd"/>
      <w:r w:rsidR="00E8528C" w:rsidRPr="00E96209">
        <w:rPr>
          <w:lang w:val="en-US"/>
        </w:rPr>
        <w:t xml:space="preserve"> Doherty, van </w:t>
      </w:r>
      <w:proofErr w:type="spellStart"/>
      <w:r w:rsidR="00E8528C" w:rsidRPr="00E96209">
        <w:rPr>
          <w:lang w:val="en-US"/>
        </w:rPr>
        <w:t>Rensburg</w:t>
      </w:r>
      <w:proofErr w:type="spellEnd"/>
      <w:r w:rsidR="00E8528C" w:rsidRPr="00E96209">
        <w:rPr>
          <w:lang w:val="en-US"/>
        </w:rPr>
        <w:t xml:space="preserve"> </w:t>
      </w:r>
      <w:r w:rsidR="005603C9" w:rsidRPr="00E96209">
        <w:rPr>
          <w:lang w:val="en-US"/>
        </w:rPr>
        <w:t>et</w:t>
      </w:r>
      <w:r w:rsidR="00E8528C" w:rsidRPr="00E96209">
        <w:rPr>
          <w:lang w:val="en-US"/>
        </w:rPr>
        <w:t xml:space="preserve"> Hourigan), 2019 ONCA 264, 43</w:t>
      </w:r>
      <w:r w:rsidR="005603C9" w:rsidRPr="00E96209">
        <w:rPr>
          <w:lang w:val="en-US"/>
        </w:rPr>
        <w:t>2</w:t>
      </w:r>
      <w:r w:rsidR="00E8528C" w:rsidRPr="00E96209">
        <w:rPr>
          <w:lang w:val="en-US"/>
        </w:rPr>
        <w:t xml:space="preserve"> C.R.R. (2d) 97, 145 O.R. (3d) 161, 374 C.C.C. (3d) </w:t>
      </w:r>
      <w:r w:rsidR="005603C9" w:rsidRPr="00E96209">
        <w:rPr>
          <w:lang w:val="en-US"/>
        </w:rPr>
        <w:t>55</w:t>
      </w:r>
      <w:r w:rsidR="00E8528C" w:rsidRPr="00E96209">
        <w:rPr>
          <w:lang w:val="en-US"/>
        </w:rPr>
        <w:t xml:space="preserve">, 54 C.R. (7th) 120, [2019] O.J. </w:t>
      </w:r>
      <w:r w:rsidR="00E96209">
        <w:rPr>
          <w:lang w:val="en-US"/>
        </w:rPr>
        <w:t>No. </w:t>
      </w:r>
      <w:r w:rsidR="00E8528C" w:rsidRPr="00E96209">
        <w:rPr>
          <w:lang w:val="en-US"/>
        </w:rPr>
        <w:t>1683 (</w:t>
      </w:r>
      <w:proofErr w:type="spellStart"/>
      <w:r w:rsidR="00E8528C" w:rsidRPr="00E96209">
        <w:rPr>
          <w:lang w:val="en-US"/>
        </w:rPr>
        <w:t>QL</w:t>
      </w:r>
      <w:proofErr w:type="spellEnd"/>
      <w:r w:rsidR="00E8528C" w:rsidRPr="00E96209">
        <w:rPr>
          <w:lang w:val="en-US"/>
        </w:rPr>
        <w:t xml:space="preserve">), 2019 </w:t>
      </w:r>
      <w:proofErr w:type="spellStart"/>
      <w:r w:rsidR="00E8528C" w:rsidRPr="00E96209">
        <w:rPr>
          <w:lang w:val="en-US"/>
        </w:rPr>
        <w:t>CarswellOnt</w:t>
      </w:r>
      <w:proofErr w:type="spellEnd"/>
      <w:r w:rsidR="00E8528C" w:rsidRPr="00E96209">
        <w:rPr>
          <w:lang w:val="en-US"/>
        </w:rPr>
        <w:t xml:space="preserve"> 4915 (WL Can.), qui a </w:t>
      </w:r>
      <w:proofErr w:type="spellStart"/>
      <w:r w:rsidR="00E8528C" w:rsidRPr="00E96209">
        <w:rPr>
          <w:lang w:val="en-US"/>
        </w:rPr>
        <w:t>infirmé</w:t>
      </w:r>
      <w:proofErr w:type="spellEnd"/>
      <w:r w:rsidR="00E8528C" w:rsidRPr="00E96209">
        <w:rPr>
          <w:lang w:val="en-US"/>
        </w:rPr>
        <w:t xml:space="preserve"> </w:t>
      </w:r>
      <w:proofErr w:type="spellStart"/>
      <w:r w:rsidR="00E8528C" w:rsidRPr="00E96209">
        <w:rPr>
          <w:lang w:val="en-US"/>
        </w:rPr>
        <w:t>une</w:t>
      </w:r>
      <w:proofErr w:type="spellEnd"/>
      <w:r w:rsidR="00E8528C" w:rsidRPr="00E96209">
        <w:rPr>
          <w:lang w:val="en-US"/>
        </w:rPr>
        <w:t xml:space="preserve"> </w:t>
      </w:r>
      <w:proofErr w:type="spellStart"/>
      <w:r w:rsidR="00E8528C" w:rsidRPr="00E96209">
        <w:rPr>
          <w:lang w:val="en-US"/>
        </w:rPr>
        <w:t>décision</w:t>
      </w:r>
      <w:proofErr w:type="spellEnd"/>
      <w:r w:rsidR="00E8528C" w:rsidRPr="00E96209">
        <w:rPr>
          <w:lang w:val="en-US"/>
        </w:rPr>
        <w:t xml:space="preserve"> du </w:t>
      </w:r>
      <w:proofErr w:type="spellStart"/>
      <w:r w:rsidR="00E8528C" w:rsidRPr="00E96209">
        <w:rPr>
          <w:lang w:val="en-US"/>
        </w:rPr>
        <w:t>juge</w:t>
      </w:r>
      <w:proofErr w:type="spellEnd"/>
      <w:r w:rsidR="00E8528C" w:rsidRPr="00E96209">
        <w:rPr>
          <w:lang w:val="en-US"/>
        </w:rPr>
        <w:t xml:space="preserve"> </w:t>
      </w:r>
      <w:proofErr w:type="spellStart"/>
      <w:r w:rsidR="00E8528C" w:rsidRPr="00E96209">
        <w:rPr>
          <w:lang w:val="en-US"/>
        </w:rPr>
        <w:t>Lederer</w:t>
      </w:r>
      <w:proofErr w:type="spellEnd"/>
      <w:r w:rsidR="00E8528C" w:rsidRPr="00E96209">
        <w:rPr>
          <w:lang w:val="en-US"/>
        </w:rPr>
        <w:t xml:space="preserve">, 2017 </w:t>
      </w:r>
      <w:proofErr w:type="spellStart"/>
      <w:r w:rsidR="00E8528C" w:rsidRPr="00E96209">
        <w:rPr>
          <w:lang w:val="en-US"/>
        </w:rPr>
        <w:t>ONSC</w:t>
      </w:r>
      <w:proofErr w:type="spellEnd"/>
      <w:r w:rsidR="00E8528C" w:rsidRPr="00E96209">
        <w:rPr>
          <w:lang w:val="en-US"/>
        </w:rPr>
        <w:t xml:space="preserve"> 6713, 401 C.R.R. (2d) 297, [2017] O.J. </w:t>
      </w:r>
      <w:r w:rsidR="00E96209">
        <w:rPr>
          <w:lang w:val="en-US"/>
        </w:rPr>
        <w:t>No. </w:t>
      </w:r>
      <w:r w:rsidR="00E8528C" w:rsidRPr="00E96209">
        <w:rPr>
          <w:lang w:val="en-US"/>
        </w:rPr>
        <w:t>6355 (</w:t>
      </w:r>
      <w:proofErr w:type="spellStart"/>
      <w:r w:rsidR="00E8528C" w:rsidRPr="00E96209">
        <w:rPr>
          <w:lang w:val="en-US"/>
        </w:rPr>
        <w:t>QL</w:t>
      </w:r>
      <w:proofErr w:type="spellEnd"/>
      <w:r w:rsidR="00E8528C" w:rsidRPr="00E96209">
        <w:rPr>
          <w:lang w:val="en-US"/>
        </w:rPr>
        <w:t xml:space="preserve">), 2017 </w:t>
      </w:r>
      <w:proofErr w:type="spellStart"/>
      <w:r w:rsidR="00E8528C" w:rsidRPr="00E96209">
        <w:rPr>
          <w:lang w:val="en-US"/>
        </w:rPr>
        <w:t>CarswellOnt</w:t>
      </w:r>
      <w:proofErr w:type="spellEnd"/>
      <w:r w:rsidR="00E8528C" w:rsidRPr="00E96209">
        <w:rPr>
          <w:lang w:val="en-US"/>
        </w:rPr>
        <w:t xml:space="preserve"> 19307 (WL Can.). </w:t>
      </w:r>
      <w:r w:rsidR="00E8528C" w:rsidRPr="00E96209">
        <w:rPr>
          <w:lang w:val="fr-CA"/>
        </w:rPr>
        <w:t>Pourvoi</w:t>
      </w:r>
      <w:r w:rsidR="001566D5" w:rsidRPr="00E96209">
        <w:rPr>
          <w:lang w:val="fr-CA"/>
        </w:rPr>
        <w:t xml:space="preserve"> rejeté, les juges Côté et Brown sont dissidents en partie.</w:t>
      </w:r>
    </w:p>
    <w:p w14:paraId="206E372D" w14:textId="5BD00572" w:rsidR="00137AE7" w:rsidRPr="00E96209" w:rsidRDefault="00B379EE" w:rsidP="001D02DB">
      <w:pPr>
        <w:pStyle w:val="SCCNormalDoubleSpacing"/>
        <w:tabs>
          <w:tab w:val="right" w:pos="8280"/>
        </w:tabs>
        <w:spacing w:after="480"/>
        <w:rPr>
          <w:lang w:val="fr-CA"/>
        </w:rPr>
      </w:pPr>
      <w:r w:rsidRPr="00E96209">
        <w:rPr>
          <w:rStyle w:val="SCCCounselNameChar"/>
          <w:lang w:val="fr-CA"/>
        </w:rPr>
        <w:tab/>
        <w:t>S. </w:t>
      </w:r>
      <w:r w:rsidR="00E8528C" w:rsidRPr="00E96209">
        <w:rPr>
          <w:rStyle w:val="SCCCounselNameChar"/>
          <w:lang w:val="fr-CA"/>
        </w:rPr>
        <w:t>Zachary Green</w:t>
      </w:r>
      <w:r w:rsidR="00E8528C" w:rsidRPr="00E96209">
        <w:rPr>
          <w:rStyle w:val="SCCCounselPartyRoleChar"/>
          <w:lang w:val="fr-CA"/>
        </w:rPr>
        <w:t>, pour l</w:t>
      </w:r>
      <w:r w:rsidR="0068033A" w:rsidRPr="00E96209">
        <w:rPr>
          <w:rStyle w:val="SCCCounselPartyRoleChar"/>
          <w:lang w:val="fr-CA"/>
        </w:rPr>
        <w:t>’appelant</w:t>
      </w:r>
      <w:r w:rsidR="00E8528C" w:rsidRPr="00E96209">
        <w:rPr>
          <w:rStyle w:val="SCCCounselPartyRoleChar"/>
          <w:lang w:val="fr-CA"/>
        </w:rPr>
        <w:t>.</w:t>
      </w:r>
    </w:p>
    <w:p w14:paraId="3F478566" w14:textId="77777777" w:rsidR="00137AE7" w:rsidRPr="00E96209" w:rsidRDefault="00B379EE" w:rsidP="008A7C16">
      <w:pPr>
        <w:pStyle w:val="SCCNormalDoubleSpacing"/>
        <w:spacing w:after="480"/>
      </w:pPr>
      <w:r w:rsidRPr="00E96209">
        <w:rPr>
          <w:rStyle w:val="SCCCounselNameChar"/>
          <w:lang w:val="fr-CA"/>
        </w:rPr>
        <w:tab/>
      </w:r>
      <w:r w:rsidRPr="00E96209">
        <w:rPr>
          <w:rStyle w:val="SCCCounselNameChar"/>
        </w:rPr>
        <w:t>Marshall </w:t>
      </w:r>
      <w:r w:rsidR="00E8528C" w:rsidRPr="00E96209">
        <w:rPr>
          <w:rStyle w:val="SCCCounselNameChar"/>
        </w:rPr>
        <w:t xml:space="preserve">A. </w:t>
      </w:r>
      <w:proofErr w:type="spellStart"/>
      <w:r w:rsidR="00E8528C" w:rsidRPr="00E96209">
        <w:rPr>
          <w:rStyle w:val="SCCCounselNameChar"/>
        </w:rPr>
        <w:t>Swadron</w:t>
      </w:r>
      <w:proofErr w:type="spellEnd"/>
      <w:r w:rsidR="00E8528C" w:rsidRPr="00E96209">
        <w:rPr>
          <w:rStyle w:val="SCCCounselSeparatorChar"/>
        </w:rPr>
        <w:t xml:space="preserve">, </w:t>
      </w:r>
      <w:r w:rsidRPr="00E96209">
        <w:rPr>
          <w:rStyle w:val="SCCCounselNameChar"/>
        </w:rPr>
        <w:t>Joanna </w:t>
      </w:r>
      <w:r w:rsidR="00E8528C" w:rsidRPr="00E96209">
        <w:rPr>
          <w:rStyle w:val="SCCCounselNameChar"/>
        </w:rPr>
        <w:t>H. Weiss</w:t>
      </w:r>
      <w:r w:rsidR="00E8528C" w:rsidRPr="00E96209">
        <w:rPr>
          <w:rStyle w:val="SCCCounselSeparatorChar"/>
        </w:rPr>
        <w:t xml:space="preserve"> </w:t>
      </w:r>
      <w:proofErr w:type="gramStart"/>
      <w:r w:rsidR="00E8528C" w:rsidRPr="00E96209">
        <w:rPr>
          <w:rStyle w:val="SCCCounselSeparatorChar"/>
        </w:rPr>
        <w:t>et</w:t>
      </w:r>
      <w:proofErr w:type="gramEnd"/>
      <w:r w:rsidR="00E8528C" w:rsidRPr="00E96209">
        <w:rPr>
          <w:rStyle w:val="SCCCounselSeparatorChar"/>
        </w:rPr>
        <w:t xml:space="preserve"> </w:t>
      </w:r>
      <w:proofErr w:type="spellStart"/>
      <w:r w:rsidR="00E8528C" w:rsidRPr="00E96209">
        <w:rPr>
          <w:rStyle w:val="SCCCounselNameChar"/>
        </w:rPr>
        <w:t>Arooba</w:t>
      </w:r>
      <w:proofErr w:type="spellEnd"/>
      <w:r w:rsidR="00E8528C" w:rsidRPr="00E96209">
        <w:rPr>
          <w:rStyle w:val="SCCCounselNameChar"/>
        </w:rPr>
        <w:t xml:space="preserve"> </w:t>
      </w:r>
      <w:proofErr w:type="spellStart"/>
      <w:r w:rsidR="00E8528C" w:rsidRPr="00E96209">
        <w:rPr>
          <w:rStyle w:val="SCCCounselNameChar"/>
        </w:rPr>
        <w:t>Shakeel</w:t>
      </w:r>
      <w:proofErr w:type="spellEnd"/>
      <w:r w:rsidR="00E8528C" w:rsidRPr="00E96209">
        <w:rPr>
          <w:rStyle w:val="SCCCounselPartyRoleChar"/>
        </w:rPr>
        <w:t xml:space="preserve">, pour </w:t>
      </w:r>
      <w:proofErr w:type="spellStart"/>
      <w:r w:rsidR="00E8528C" w:rsidRPr="00E96209">
        <w:rPr>
          <w:rStyle w:val="SCCCounselPartyRoleChar"/>
        </w:rPr>
        <w:t>l</w:t>
      </w:r>
      <w:r w:rsidR="0068033A" w:rsidRPr="00E96209">
        <w:rPr>
          <w:rStyle w:val="SCCCounselPartyRoleChar"/>
        </w:rPr>
        <w:t>’intimé</w:t>
      </w:r>
      <w:proofErr w:type="spellEnd"/>
      <w:r w:rsidR="00E8528C" w:rsidRPr="00E96209">
        <w:rPr>
          <w:rStyle w:val="SCCCounselPartyRoleChar"/>
        </w:rPr>
        <w:t>.</w:t>
      </w:r>
    </w:p>
    <w:p w14:paraId="35D581E8" w14:textId="5E06EA74" w:rsidR="00137AE7" w:rsidRPr="00E96209" w:rsidRDefault="00E8528C" w:rsidP="008A7C16">
      <w:pPr>
        <w:pStyle w:val="SCCNormalDoubleSpacing"/>
        <w:spacing w:after="480"/>
        <w:rPr>
          <w:lang w:val="fr-CA"/>
        </w:rPr>
      </w:pPr>
      <w:r w:rsidRPr="00E96209">
        <w:rPr>
          <w:rStyle w:val="SCCCounselNameChar"/>
        </w:rPr>
        <w:tab/>
      </w:r>
      <w:r w:rsidRPr="00E96209">
        <w:rPr>
          <w:rStyle w:val="SCCCounselNameChar"/>
          <w:lang w:val="fr-CA"/>
        </w:rPr>
        <w:t>Marc Ribeiro</w:t>
      </w:r>
      <w:r w:rsidR="0068033A" w:rsidRPr="00E96209">
        <w:rPr>
          <w:rStyle w:val="SCCCounselNameChar"/>
          <w:lang w:val="fr-CA"/>
        </w:rPr>
        <w:t xml:space="preserve"> </w:t>
      </w:r>
      <w:r w:rsidR="0068033A" w:rsidRPr="00E96209">
        <w:rPr>
          <w:rStyle w:val="SCCCounselNameChar"/>
          <w:i w:val="0"/>
          <w:lang w:val="fr-CA"/>
        </w:rPr>
        <w:t xml:space="preserve">et </w:t>
      </w:r>
      <w:r w:rsidR="0068033A" w:rsidRPr="00E96209">
        <w:rPr>
          <w:rStyle w:val="SCCCounselNameChar"/>
          <w:lang w:val="fr-CA"/>
        </w:rPr>
        <w:t xml:space="preserve">John </w:t>
      </w:r>
      <w:proofErr w:type="spellStart"/>
      <w:r w:rsidR="0068033A" w:rsidRPr="00E96209">
        <w:rPr>
          <w:rStyle w:val="SCCCounselNameChar"/>
          <w:lang w:val="fr-CA"/>
        </w:rPr>
        <w:t>Provart</w:t>
      </w:r>
      <w:proofErr w:type="spellEnd"/>
      <w:r w:rsidRPr="00E96209">
        <w:rPr>
          <w:rStyle w:val="SCCCounselPartyRoleChar"/>
          <w:lang w:val="fr-CA"/>
        </w:rPr>
        <w:t>, pour l</w:t>
      </w:r>
      <w:r w:rsidR="0068033A" w:rsidRPr="00E96209">
        <w:rPr>
          <w:rStyle w:val="SCCCounselPartyRoleChar"/>
          <w:lang w:val="fr-CA"/>
        </w:rPr>
        <w:t>’intervenant le</w:t>
      </w:r>
      <w:r w:rsidR="0003043D" w:rsidRPr="00E96209">
        <w:rPr>
          <w:rStyle w:val="SCCCounselPartyRoleChar"/>
          <w:lang w:val="fr-CA"/>
        </w:rPr>
        <w:t xml:space="preserve"> p</w:t>
      </w:r>
      <w:r w:rsidRPr="00E96209">
        <w:rPr>
          <w:rStyle w:val="SCCCounselPartyRoleChar"/>
          <w:lang w:val="fr-CA"/>
        </w:rPr>
        <w:t>rocureur général du Canada.</w:t>
      </w:r>
    </w:p>
    <w:p w14:paraId="5AE571AE" w14:textId="77777777" w:rsidR="00137AE7" w:rsidRPr="00E96209" w:rsidRDefault="003F52A1" w:rsidP="008A7C16">
      <w:pPr>
        <w:pStyle w:val="SCCNormalDoubleSpacing"/>
        <w:spacing w:after="480"/>
        <w:rPr>
          <w:lang w:val="fr-CA"/>
        </w:rPr>
      </w:pPr>
      <w:r w:rsidRPr="00E96209">
        <w:rPr>
          <w:rStyle w:val="SCCCounselNameChar"/>
          <w:lang w:val="fr-CA"/>
        </w:rPr>
        <w:tab/>
      </w:r>
      <w:r w:rsidR="00B379EE" w:rsidRPr="00E96209">
        <w:rPr>
          <w:rStyle w:val="SCCCounselNameChar"/>
          <w:lang w:val="fr-CA"/>
        </w:rPr>
        <w:t>Jill </w:t>
      </w:r>
      <w:r w:rsidR="00E8528C" w:rsidRPr="00E96209">
        <w:rPr>
          <w:rStyle w:val="SCCCounselNameChar"/>
          <w:lang w:val="fr-CA"/>
        </w:rPr>
        <w:t>R. Presser</w:t>
      </w:r>
      <w:r w:rsidRPr="00E96209">
        <w:rPr>
          <w:rStyle w:val="SCCCounselNameChar"/>
          <w:lang w:val="fr-CA"/>
        </w:rPr>
        <w:t xml:space="preserve"> </w:t>
      </w:r>
      <w:r w:rsidRPr="00E96209">
        <w:rPr>
          <w:rStyle w:val="SCCCounselSeparatorChar"/>
          <w:lang w:val="fr-CA"/>
        </w:rPr>
        <w:t>et</w:t>
      </w:r>
      <w:r w:rsidRPr="00E96209">
        <w:rPr>
          <w:rStyle w:val="SCCCounselNameChar"/>
          <w:lang w:val="fr-CA"/>
        </w:rPr>
        <w:t xml:space="preserve"> Shakir Rahim</w:t>
      </w:r>
      <w:r w:rsidR="00E8528C" w:rsidRPr="00E96209">
        <w:rPr>
          <w:rStyle w:val="SCCCounselPartyRoleChar"/>
          <w:lang w:val="fr-CA"/>
        </w:rPr>
        <w:t>, pour l</w:t>
      </w:r>
      <w:r w:rsidR="0068033A" w:rsidRPr="00E96209">
        <w:rPr>
          <w:rStyle w:val="SCCCounselPartyRoleChar"/>
          <w:lang w:val="fr-CA"/>
        </w:rPr>
        <w:t>’</w:t>
      </w:r>
      <w:r w:rsidRPr="00E96209">
        <w:rPr>
          <w:rStyle w:val="SCCCounselPartyRoleChar"/>
          <w:lang w:val="fr-CA"/>
        </w:rPr>
        <w:t>intervenante l’</w:t>
      </w:r>
      <w:r w:rsidR="00E8528C" w:rsidRPr="00E96209">
        <w:rPr>
          <w:rStyle w:val="SCCCounselPartyRoleChar"/>
          <w:lang w:val="fr-CA"/>
        </w:rPr>
        <w:t>Association canadienne des libertés civiles.</w:t>
      </w:r>
    </w:p>
    <w:p w14:paraId="2F46F63B" w14:textId="77777777" w:rsidR="00137AE7" w:rsidRPr="00E96209" w:rsidRDefault="00E8528C" w:rsidP="008A7C16">
      <w:pPr>
        <w:pStyle w:val="SCCNormalDoubleSpacing"/>
        <w:spacing w:after="480"/>
        <w:rPr>
          <w:lang w:val="fr-CA"/>
        </w:rPr>
      </w:pPr>
      <w:r w:rsidRPr="00E96209">
        <w:rPr>
          <w:rStyle w:val="SCCCounselNameChar"/>
          <w:lang w:val="fr-CA"/>
        </w:rPr>
        <w:tab/>
        <w:t xml:space="preserve">Anita </w:t>
      </w:r>
      <w:proofErr w:type="spellStart"/>
      <w:r w:rsidRPr="00E96209">
        <w:rPr>
          <w:rStyle w:val="SCCCounselNameChar"/>
          <w:lang w:val="fr-CA"/>
        </w:rPr>
        <w:t>Szigeti</w:t>
      </w:r>
      <w:proofErr w:type="spellEnd"/>
      <w:r w:rsidRPr="00E96209">
        <w:rPr>
          <w:rStyle w:val="SCCCounselPartyRoleChar"/>
          <w:lang w:val="fr-CA"/>
        </w:rPr>
        <w:t>,</w:t>
      </w:r>
      <w:r w:rsidR="003F52A1" w:rsidRPr="00E96209">
        <w:rPr>
          <w:rStyle w:val="SCCCounselPartyRoleChar"/>
          <w:lang w:val="fr-CA"/>
        </w:rPr>
        <w:t xml:space="preserve"> </w:t>
      </w:r>
      <w:r w:rsidR="003F52A1" w:rsidRPr="00E96209">
        <w:rPr>
          <w:rStyle w:val="SCCCounselPartyRoleChar"/>
          <w:i/>
          <w:lang w:val="fr-CA"/>
        </w:rPr>
        <w:t xml:space="preserve">Andrew </w:t>
      </w:r>
      <w:proofErr w:type="spellStart"/>
      <w:r w:rsidR="003F52A1" w:rsidRPr="00E96209">
        <w:rPr>
          <w:rStyle w:val="SCCCounselPartyRoleChar"/>
          <w:i/>
          <w:lang w:val="fr-CA"/>
        </w:rPr>
        <w:t>Menchynski</w:t>
      </w:r>
      <w:proofErr w:type="spellEnd"/>
      <w:r w:rsidR="003F52A1" w:rsidRPr="00E96209">
        <w:rPr>
          <w:rStyle w:val="SCCCounselPartyRoleChar"/>
          <w:lang w:val="fr-CA"/>
        </w:rPr>
        <w:t xml:space="preserve">, </w:t>
      </w:r>
      <w:r w:rsidR="003F52A1" w:rsidRPr="00E96209">
        <w:rPr>
          <w:rStyle w:val="SCCCounselPartyRoleChar"/>
          <w:i/>
          <w:lang w:val="fr-CA"/>
        </w:rPr>
        <w:t xml:space="preserve">Ruby </w:t>
      </w:r>
      <w:proofErr w:type="spellStart"/>
      <w:r w:rsidR="003F52A1" w:rsidRPr="00E96209">
        <w:rPr>
          <w:rStyle w:val="SCCCounselPartyRoleChar"/>
          <w:i/>
          <w:lang w:val="fr-CA"/>
        </w:rPr>
        <w:t>Dhand</w:t>
      </w:r>
      <w:proofErr w:type="spellEnd"/>
      <w:r w:rsidR="003F52A1" w:rsidRPr="00E96209">
        <w:rPr>
          <w:rStyle w:val="SCCCounselPartyRoleChar"/>
          <w:lang w:val="fr-CA"/>
        </w:rPr>
        <w:t xml:space="preserve"> </w:t>
      </w:r>
      <w:r w:rsidR="00E72B69" w:rsidRPr="00E96209">
        <w:rPr>
          <w:rStyle w:val="SCCCounselPartyRoleChar"/>
          <w:lang w:val="fr-CA"/>
        </w:rPr>
        <w:t xml:space="preserve">et </w:t>
      </w:r>
      <w:proofErr w:type="spellStart"/>
      <w:r w:rsidR="003F52A1" w:rsidRPr="00E96209">
        <w:rPr>
          <w:rStyle w:val="SCCCounselPartyRoleChar"/>
          <w:i/>
          <w:lang w:val="fr-CA"/>
        </w:rPr>
        <w:t>Meaghan</w:t>
      </w:r>
      <w:proofErr w:type="spellEnd"/>
      <w:r w:rsidR="003F52A1" w:rsidRPr="00E96209">
        <w:rPr>
          <w:rStyle w:val="SCCCounselPartyRoleChar"/>
          <w:i/>
          <w:lang w:val="fr-CA"/>
        </w:rPr>
        <w:t xml:space="preserve"> McMahon</w:t>
      </w:r>
      <w:r w:rsidR="00E72B69" w:rsidRPr="00E96209">
        <w:rPr>
          <w:rStyle w:val="SCCCounselPartyRoleChar"/>
          <w:lang w:val="fr-CA"/>
        </w:rPr>
        <w:t xml:space="preserve">, </w:t>
      </w:r>
      <w:r w:rsidRPr="00E96209">
        <w:rPr>
          <w:rStyle w:val="SCCCounselPartyRoleChar"/>
          <w:lang w:val="fr-CA"/>
        </w:rPr>
        <w:t>pour l</w:t>
      </w:r>
      <w:r w:rsidR="0068033A" w:rsidRPr="00E96209">
        <w:rPr>
          <w:rStyle w:val="SCCCounselPartyRoleChar"/>
          <w:lang w:val="fr-CA"/>
        </w:rPr>
        <w:t>’</w:t>
      </w:r>
      <w:r w:rsidR="003F52A1" w:rsidRPr="00E96209">
        <w:rPr>
          <w:rStyle w:val="SCCCounselPartyRoleChar"/>
          <w:lang w:val="fr-CA"/>
        </w:rPr>
        <w:t>intervenant</w:t>
      </w:r>
      <w:r w:rsidRPr="00E96209">
        <w:rPr>
          <w:rStyle w:val="SCCCounselPartyRoleChar"/>
          <w:lang w:val="fr-CA"/>
        </w:rPr>
        <w:t xml:space="preserve"> </w:t>
      </w:r>
      <w:proofErr w:type="spellStart"/>
      <w:r w:rsidRPr="00E96209">
        <w:rPr>
          <w:rStyle w:val="SCCCounselPartyRoleChar"/>
          <w:lang w:val="fr-CA"/>
        </w:rPr>
        <w:t>Empowerment</w:t>
      </w:r>
      <w:proofErr w:type="spellEnd"/>
      <w:r w:rsidRPr="00E96209">
        <w:rPr>
          <w:rStyle w:val="SCCCounselPartyRoleChar"/>
          <w:lang w:val="fr-CA"/>
        </w:rPr>
        <w:t xml:space="preserve"> Council.</w:t>
      </w:r>
    </w:p>
    <w:p w14:paraId="5060FCFD" w14:textId="11601F85" w:rsidR="00137AE7" w:rsidRPr="00E96209" w:rsidRDefault="00E8528C" w:rsidP="008A7C16">
      <w:pPr>
        <w:pStyle w:val="SCCNormalDoubleSpacing"/>
        <w:spacing w:after="480"/>
        <w:rPr>
          <w:lang w:val="fr-CA"/>
        </w:rPr>
      </w:pPr>
      <w:r w:rsidRPr="00E96209">
        <w:rPr>
          <w:rStyle w:val="SCCCounselNameChar"/>
          <w:lang w:val="fr-CA"/>
        </w:rPr>
        <w:tab/>
        <w:t xml:space="preserve">Erin </w:t>
      </w:r>
      <w:proofErr w:type="spellStart"/>
      <w:r w:rsidRPr="00E96209">
        <w:rPr>
          <w:rStyle w:val="SCCCounselNameChar"/>
          <w:lang w:val="fr-CA"/>
        </w:rPr>
        <w:t>Dann</w:t>
      </w:r>
      <w:proofErr w:type="spellEnd"/>
      <w:r w:rsidR="003F52A1" w:rsidRPr="00E96209">
        <w:rPr>
          <w:rStyle w:val="SCCCounselNameChar"/>
          <w:lang w:val="fr-CA"/>
        </w:rPr>
        <w:t xml:space="preserve"> </w:t>
      </w:r>
      <w:r w:rsidR="003F52A1" w:rsidRPr="00E96209">
        <w:rPr>
          <w:rStyle w:val="SCCCounselNameChar"/>
          <w:i w:val="0"/>
          <w:lang w:val="fr-CA"/>
        </w:rPr>
        <w:t xml:space="preserve">et </w:t>
      </w:r>
      <w:r w:rsidR="003F52A1" w:rsidRPr="00E96209">
        <w:rPr>
          <w:rStyle w:val="SCCCounselNameChar"/>
          <w:lang w:val="fr-CA"/>
        </w:rPr>
        <w:t xml:space="preserve">Michelle </w:t>
      </w:r>
      <w:proofErr w:type="spellStart"/>
      <w:r w:rsidR="003F52A1" w:rsidRPr="00E96209">
        <w:rPr>
          <w:rStyle w:val="SCCCounselNameChar"/>
          <w:lang w:val="fr-CA"/>
        </w:rPr>
        <w:t>Psutka</w:t>
      </w:r>
      <w:proofErr w:type="spellEnd"/>
      <w:r w:rsidRPr="00E96209">
        <w:rPr>
          <w:rStyle w:val="SCCCounselPartyRoleChar"/>
          <w:lang w:val="fr-CA"/>
        </w:rPr>
        <w:t>, pour l</w:t>
      </w:r>
      <w:r w:rsidR="0068033A" w:rsidRPr="00E96209">
        <w:rPr>
          <w:rStyle w:val="SCCCounselPartyRoleChar"/>
          <w:lang w:val="fr-CA"/>
        </w:rPr>
        <w:t>’</w:t>
      </w:r>
      <w:r w:rsidR="003F52A1" w:rsidRPr="00E96209">
        <w:rPr>
          <w:rStyle w:val="SCCCounselPartyRoleChar"/>
          <w:lang w:val="fr-CA"/>
        </w:rPr>
        <w:t>intervenante</w:t>
      </w:r>
      <w:r w:rsidRPr="00E96209">
        <w:rPr>
          <w:rStyle w:val="SCCCounselPartyRoleChar"/>
          <w:lang w:val="fr-CA"/>
        </w:rPr>
        <w:t xml:space="preserve"> </w:t>
      </w:r>
      <w:proofErr w:type="spellStart"/>
      <w:r w:rsidRPr="00E96209">
        <w:rPr>
          <w:rStyle w:val="SCCCounselPartyRoleChar"/>
          <w:lang w:val="fr-CA"/>
        </w:rPr>
        <w:t>Criminal</w:t>
      </w:r>
      <w:proofErr w:type="spellEnd"/>
      <w:r w:rsidRPr="00E96209">
        <w:rPr>
          <w:rStyle w:val="SCCCounselPartyRoleChar"/>
          <w:lang w:val="fr-CA"/>
        </w:rPr>
        <w:t xml:space="preserve"> </w:t>
      </w:r>
      <w:proofErr w:type="spellStart"/>
      <w:r w:rsidRPr="00E96209">
        <w:rPr>
          <w:rStyle w:val="SCCCounselPartyRoleChar"/>
          <w:lang w:val="fr-CA"/>
        </w:rPr>
        <w:t>Lawyers</w:t>
      </w:r>
      <w:proofErr w:type="spellEnd"/>
      <w:r w:rsidR="0003043D" w:rsidRPr="00E96209">
        <w:rPr>
          <w:rStyle w:val="SCCCounselPartyRoleChar"/>
          <w:lang w:val="fr-CA"/>
        </w:rPr>
        <w:t>’</w:t>
      </w:r>
      <w:r w:rsidRPr="00E96209">
        <w:rPr>
          <w:rStyle w:val="SCCCounselPartyRoleChar"/>
          <w:lang w:val="fr-CA"/>
        </w:rPr>
        <w:t xml:space="preserve"> Association (Ontario).</w:t>
      </w:r>
    </w:p>
    <w:p w14:paraId="33D661A8" w14:textId="77777777" w:rsidR="00137AE7" w:rsidRPr="00E96209" w:rsidRDefault="00E8528C" w:rsidP="008A7C16">
      <w:pPr>
        <w:pStyle w:val="SCCNormalDoubleSpacing"/>
        <w:spacing w:after="480"/>
        <w:rPr>
          <w:lang w:val="fr-CA"/>
        </w:rPr>
      </w:pPr>
      <w:r w:rsidRPr="00E96209">
        <w:rPr>
          <w:rStyle w:val="SCCCounselNameChar"/>
          <w:lang w:val="fr-CA"/>
        </w:rPr>
        <w:tab/>
        <w:t xml:space="preserve">Cheryl </w:t>
      </w:r>
      <w:proofErr w:type="spellStart"/>
      <w:r w:rsidRPr="00E96209">
        <w:rPr>
          <w:rStyle w:val="SCCCounselNameChar"/>
          <w:lang w:val="fr-CA"/>
        </w:rPr>
        <w:t>Milne</w:t>
      </w:r>
      <w:proofErr w:type="spellEnd"/>
      <w:r w:rsidRPr="00E96209">
        <w:rPr>
          <w:rStyle w:val="SCCCounselPartyRoleChar"/>
          <w:lang w:val="fr-CA"/>
        </w:rPr>
        <w:t>, pour l</w:t>
      </w:r>
      <w:r w:rsidR="0068033A" w:rsidRPr="00E96209">
        <w:rPr>
          <w:rStyle w:val="SCCCounselPartyRoleChar"/>
          <w:lang w:val="fr-CA"/>
        </w:rPr>
        <w:t>’</w:t>
      </w:r>
      <w:r w:rsidR="003F52A1" w:rsidRPr="00E96209">
        <w:rPr>
          <w:rStyle w:val="SCCCounselPartyRoleChar"/>
          <w:lang w:val="fr-CA"/>
        </w:rPr>
        <w:t>intervenant</w:t>
      </w:r>
      <w:r w:rsidRPr="00E96209">
        <w:rPr>
          <w:rStyle w:val="SCCCounselPartyRoleChar"/>
          <w:lang w:val="fr-CA"/>
        </w:rPr>
        <w:t xml:space="preserve"> David </w:t>
      </w:r>
      <w:proofErr w:type="spellStart"/>
      <w:r w:rsidRPr="00E96209">
        <w:rPr>
          <w:rStyle w:val="SCCCounselPartyRoleChar"/>
          <w:lang w:val="fr-CA"/>
        </w:rPr>
        <w:t>Asper</w:t>
      </w:r>
      <w:proofErr w:type="spellEnd"/>
      <w:r w:rsidRPr="00E96209">
        <w:rPr>
          <w:rStyle w:val="SCCCounselPartyRoleChar"/>
          <w:lang w:val="fr-CA"/>
        </w:rPr>
        <w:t xml:space="preserve"> Centre for </w:t>
      </w:r>
      <w:proofErr w:type="spellStart"/>
      <w:r w:rsidRPr="00E96209">
        <w:rPr>
          <w:rStyle w:val="SCCCounselPartyRoleChar"/>
          <w:lang w:val="fr-CA"/>
        </w:rPr>
        <w:t>Constitutional</w:t>
      </w:r>
      <w:proofErr w:type="spellEnd"/>
      <w:r w:rsidRPr="00E96209">
        <w:rPr>
          <w:rStyle w:val="SCCCounselPartyRoleChar"/>
          <w:lang w:val="fr-CA"/>
        </w:rPr>
        <w:t xml:space="preserve"> </w:t>
      </w:r>
      <w:proofErr w:type="spellStart"/>
      <w:r w:rsidRPr="00E96209">
        <w:rPr>
          <w:rStyle w:val="SCCCounselPartyRoleChar"/>
          <w:lang w:val="fr-CA"/>
        </w:rPr>
        <w:t>Rights</w:t>
      </w:r>
      <w:proofErr w:type="spellEnd"/>
      <w:r w:rsidRPr="00E96209">
        <w:rPr>
          <w:rStyle w:val="SCCCounselPartyRoleChar"/>
          <w:lang w:val="fr-CA"/>
        </w:rPr>
        <w:t>.</w:t>
      </w:r>
    </w:p>
    <w:p w14:paraId="059DA96D" w14:textId="4042F783" w:rsidR="00F712C6" w:rsidRDefault="00E8528C" w:rsidP="00F712C6">
      <w:pPr>
        <w:pStyle w:val="SCCNormalDoubleSpacing"/>
        <w:spacing w:after="480"/>
        <w:rPr>
          <w:rStyle w:val="SCCCounselPartyRoleChar"/>
          <w:lang w:val="fr-CA"/>
        </w:rPr>
      </w:pPr>
      <w:r w:rsidRPr="00E96209">
        <w:rPr>
          <w:rStyle w:val="SCCCounselNameChar"/>
          <w:lang w:val="fr-CA"/>
        </w:rPr>
        <w:tab/>
        <w:t>Adam Goldenberg</w:t>
      </w:r>
      <w:r w:rsidRPr="00E96209">
        <w:rPr>
          <w:rStyle w:val="SCCCounselSeparatorChar"/>
          <w:lang w:val="fr-CA"/>
        </w:rPr>
        <w:t xml:space="preserve"> et </w:t>
      </w:r>
      <w:proofErr w:type="spellStart"/>
      <w:r w:rsidRPr="00E96209">
        <w:rPr>
          <w:rStyle w:val="SCCCounselNameChar"/>
          <w:lang w:val="fr-CA"/>
        </w:rPr>
        <w:t>Ljiljana</w:t>
      </w:r>
      <w:proofErr w:type="spellEnd"/>
      <w:r w:rsidRPr="00E96209">
        <w:rPr>
          <w:rStyle w:val="SCCCounselNameChar"/>
          <w:lang w:val="fr-CA"/>
        </w:rPr>
        <w:t xml:space="preserve"> </w:t>
      </w:r>
      <w:proofErr w:type="spellStart"/>
      <w:r w:rsidRPr="00E96209">
        <w:rPr>
          <w:rStyle w:val="SCCCounselNameChar"/>
          <w:lang w:val="fr-CA"/>
        </w:rPr>
        <w:t>Stani</w:t>
      </w:r>
      <w:r w:rsidR="008A3281" w:rsidRPr="008A3281">
        <w:rPr>
          <w:rStyle w:val="SCCCounselNameChar"/>
          <w:lang w:val="fr-CA"/>
        </w:rPr>
        <w:t>ć</w:t>
      </w:r>
      <w:proofErr w:type="spellEnd"/>
      <w:r w:rsidRPr="00E96209">
        <w:rPr>
          <w:rStyle w:val="SCCCounselPartyRoleChar"/>
          <w:lang w:val="fr-CA"/>
        </w:rPr>
        <w:t>, pour l</w:t>
      </w:r>
      <w:r w:rsidR="0068033A" w:rsidRPr="00E96209">
        <w:rPr>
          <w:rStyle w:val="SCCCounselPartyRoleChar"/>
          <w:lang w:val="fr-CA"/>
        </w:rPr>
        <w:t>’</w:t>
      </w:r>
      <w:r w:rsidR="003F52A1" w:rsidRPr="00E96209">
        <w:rPr>
          <w:rStyle w:val="SCCCounselPartyRoleChar"/>
          <w:lang w:val="fr-CA"/>
        </w:rPr>
        <w:t>intervenante l’</w:t>
      </w:r>
      <w:r w:rsidRPr="00E96209">
        <w:rPr>
          <w:rStyle w:val="SCCCounselPartyRoleChar"/>
          <w:lang w:val="fr-CA"/>
        </w:rPr>
        <w:t>Association canadienne pour la santé mentale, Ontario.</w:t>
      </w:r>
    </w:p>
    <w:p w14:paraId="1ADF98FF" w14:textId="792CDCA1" w:rsidR="00F712C6" w:rsidRDefault="00F712C6" w:rsidP="003668DD">
      <w:pPr>
        <w:spacing w:after="480" w:line="480" w:lineRule="auto"/>
        <w:ind w:firstLine="1170"/>
        <w:rPr>
          <w:szCs w:val="24"/>
          <w:lang w:val="fr-CA"/>
        </w:rPr>
      </w:pPr>
      <w:r w:rsidRPr="00F15A3F">
        <w:rPr>
          <w:szCs w:val="24"/>
          <w:lang w:val="fr-CA"/>
        </w:rPr>
        <w:t>Version française du jugement du juge en chef Wagner et des juges Abella,</w:t>
      </w:r>
      <w:r>
        <w:rPr>
          <w:szCs w:val="24"/>
          <w:lang w:val="fr-CA"/>
        </w:rPr>
        <w:t xml:space="preserve"> </w:t>
      </w:r>
      <w:proofErr w:type="spellStart"/>
      <w:r>
        <w:rPr>
          <w:szCs w:val="24"/>
          <w:lang w:val="fr-CA"/>
        </w:rPr>
        <w:t>Moldaver</w:t>
      </w:r>
      <w:proofErr w:type="spellEnd"/>
      <w:r>
        <w:rPr>
          <w:szCs w:val="24"/>
          <w:lang w:val="fr-CA"/>
        </w:rPr>
        <w:t xml:space="preserve">, </w:t>
      </w:r>
      <w:proofErr w:type="spellStart"/>
      <w:r w:rsidRPr="00F15A3F">
        <w:rPr>
          <w:szCs w:val="24"/>
          <w:lang w:val="fr-CA"/>
        </w:rPr>
        <w:t>Karakatsanis</w:t>
      </w:r>
      <w:proofErr w:type="spellEnd"/>
      <w:r w:rsidRPr="00F15A3F">
        <w:rPr>
          <w:szCs w:val="24"/>
          <w:lang w:val="fr-CA"/>
        </w:rPr>
        <w:t xml:space="preserve">, Martin et </w:t>
      </w:r>
      <w:proofErr w:type="spellStart"/>
      <w:r w:rsidRPr="00F15A3F">
        <w:rPr>
          <w:szCs w:val="24"/>
          <w:lang w:val="fr-CA"/>
        </w:rPr>
        <w:t>Kasirer</w:t>
      </w:r>
      <w:proofErr w:type="spellEnd"/>
      <w:r w:rsidRPr="00F15A3F">
        <w:rPr>
          <w:szCs w:val="24"/>
          <w:lang w:val="fr-CA"/>
        </w:rPr>
        <w:t xml:space="preserve"> rendu par</w:t>
      </w:r>
    </w:p>
    <w:p w14:paraId="65CB5194" w14:textId="77777777" w:rsidR="00F712C6" w:rsidRPr="003022C4" w:rsidRDefault="00F712C6" w:rsidP="00F712C6">
      <w:pPr>
        <w:pStyle w:val="JudgeJuge"/>
        <w:spacing w:before="480"/>
        <w:rPr>
          <w:noProof/>
          <w:lang w:val="fr-CA"/>
        </w:rPr>
      </w:pPr>
      <w:r w:rsidRPr="003022C4">
        <w:rPr>
          <w:noProof/>
          <w:lang w:val="fr-CA"/>
        </w:rPr>
        <w:tab/>
        <w:t>La juge Karakatsanis —</w:t>
      </w:r>
    </w:p>
    <w:p w14:paraId="44058158" w14:textId="77777777" w:rsidR="00F712C6" w:rsidRPr="003022C4" w:rsidRDefault="00F712C6" w:rsidP="00F712C6">
      <w:pPr>
        <w:pStyle w:val="Title1LevelTitre1Niveau-AltL"/>
        <w:rPr>
          <w:rFonts w:cs="Times New Roman"/>
          <w:noProof/>
          <w:lang w:val="fr-CA"/>
        </w:rPr>
      </w:pPr>
      <w:r w:rsidRPr="003022C4">
        <w:rPr>
          <w:rFonts w:cs="Times New Roman"/>
          <w:noProof/>
          <w:lang w:val="fr-CA"/>
        </w:rPr>
        <w:t>Introduction</w:t>
      </w:r>
    </w:p>
    <w:p w14:paraId="223FD9FF" w14:textId="77777777" w:rsidR="00F712C6" w:rsidRPr="003022C4" w:rsidRDefault="00F712C6" w:rsidP="00F712C6">
      <w:pPr>
        <w:pStyle w:val="ParaNoNdepar-AltN"/>
        <w:rPr>
          <w:rFonts w:cs="Times New Roman"/>
          <w:noProof/>
          <w:lang w:val="fr-CA"/>
        </w:rPr>
      </w:pPr>
      <w:r w:rsidRPr="003022C4">
        <w:rPr>
          <w:rFonts w:cs="Times New Roman"/>
          <w:noProof/>
          <w:lang w:val="fr-CA"/>
        </w:rPr>
        <w:t>Les personnes souffrant de troubles mentaux font l’objet d’une stigmatisation continuelle et d’un traitement préjudiciable dans la société canadienne, de sorte qu’elles sont grandement et largement défavorisées sur les plans social, politique et juridique. Plus particulièrement, il subsiste à leur égard des perceptions discriminatoires suivant lesquelles elles sont en soi dangereuses et elles présenteront toujours un danger. Ces perceptions ont d’ailleurs servi à justifier certains des traitements les plus injustes que subissent ces personnes. Comme le démontre la présente affaire, de telles perceptions discriminatoires se manifestent encore à l’occasion dans les textes législatifs.</w:t>
      </w:r>
    </w:p>
    <w:p w14:paraId="069ADAFD"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L’article 15 de la </w:t>
      </w:r>
      <w:r w:rsidRPr="003022C4">
        <w:rPr>
          <w:rFonts w:cs="Times New Roman"/>
          <w:i/>
          <w:noProof/>
          <w:lang w:val="fr-CA"/>
        </w:rPr>
        <w:t xml:space="preserve">Charte canadienne des droits et libertés </w:t>
      </w:r>
      <w:r w:rsidRPr="003022C4">
        <w:rPr>
          <w:rFonts w:cs="Times New Roman"/>
          <w:noProof/>
          <w:lang w:val="fr-CA"/>
        </w:rPr>
        <w:t>empêche que ce type de discrimination</w:t>
      </w:r>
      <w:r>
        <w:rPr>
          <w:rFonts w:cs="Times New Roman"/>
          <w:noProof/>
          <w:lang w:val="fr-CA"/>
        </w:rPr>
        <w:t xml:space="preserve"> se voit conférer force de loi</w:t>
      </w:r>
      <w:r w:rsidRPr="003022C4">
        <w:rPr>
          <w:rFonts w:cs="Times New Roman"/>
          <w:noProof/>
          <w:lang w:val="fr-CA"/>
        </w:rPr>
        <w:t xml:space="preserve">. Dans le présent pourvoi, notre Cour est appelée à appliquer la garantie d’égalité à la manière dont sont traitées les personnes qui sont déclarées non responsables criminellement pour cause de troubles mentaux à l’égard d’infractions sexuelles par le régime d’enregistrement des délinquants sexuels de l’Ontario. Le présent pourvoi donne également à notre Cour l’occasion d’établir un ensemble cohérent de principes qui s’appliqueront à l’octroi de réparations lorsque des textes législatifs violent la </w:t>
      </w:r>
      <w:r w:rsidRPr="003022C4">
        <w:rPr>
          <w:rFonts w:cs="Times New Roman"/>
          <w:i/>
          <w:noProof/>
          <w:lang w:val="fr-CA"/>
        </w:rPr>
        <w:t>Charte</w:t>
      </w:r>
      <w:r w:rsidRPr="003022C4">
        <w:rPr>
          <w:rFonts w:cs="Times New Roman"/>
          <w:noProof/>
          <w:lang w:val="fr-CA"/>
        </w:rPr>
        <w:t>.</w:t>
      </w:r>
    </w:p>
    <w:p w14:paraId="7DCFDD18"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En Ontario, la </w:t>
      </w:r>
      <w:r w:rsidRPr="003022C4">
        <w:rPr>
          <w:rFonts w:cs="Times New Roman"/>
          <w:i/>
          <w:noProof/>
          <w:lang w:val="fr-CA"/>
        </w:rPr>
        <w:t>Loi Christopher de 2000 sur le registre des délinquants sexuels</w:t>
      </w:r>
      <w:r w:rsidRPr="003022C4">
        <w:rPr>
          <w:rFonts w:cs="Times New Roman"/>
          <w:noProof/>
          <w:lang w:val="fr-CA"/>
        </w:rPr>
        <w:t>, L.O. 2000, c. 1 (</w:t>
      </w:r>
      <w:r>
        <w:rPr>
          <w:rFonts w:cs="Times New Roman"/>
          <w:i/>
          <w:noProof/>
          <w:lang w:val="fr-CA"/>
        </w:rPr>
        <w:t xml:space="preserve">Loi </w:t>
      </w:r>
      <w:r w:rsidRPr="003022C4">
        <w:rPr>
          <w:rFonts w:cs="Times New Roman"/>
          <w:i/>
          <w:noProof/>
          <w:lang w:val="fr-CA"/>
        </w:rPr>
        <w:t>Christopher</w:t>
      </w:r>
      <w:r w:rsidRPr="003022C4">
        <w:rPr>
          <w:rFonts w:cs="Times New Roman"/>
          <w:noProof/>
          <w:lang w:val="fr-CA"/>
        </w:rPr>
        <w:t>), exige des personnes déclarées coupables ou non responsables criminellement pour cause de troubles mentaux à l’égard d’une infraction sexuelle qu’elles se présentent en personne à un poste de police pour fournir leurs renseignements personnels afin que ceux</w:t>
      </w:r>
      <w:r>
        <w:rPr>
          <w:rFonts w:cs="Times New Roman"/>
          <w:noProof/>
          <w:lang w:val="fr-CA"/>
        </w:rPr>
        <w:noBreakHyphen/>
      </w:r>
      <w:r w:rsidRPr="003022C4">
        <w:rPr>
          <w:rFonts w:cs="Times New Roman"/>
          <w:noProof/>
          <w:lang w:val="fr-CA"/>
        </w:rPr>
        <w:t>ci soient consignés au registre des délinquants sexuels de la province. Elles doivent continuer de se présenter en personne devant les autorités au moins une fois par année pour mettre leurs renseignements à jour. De plus, elles doivent se présenter devant les autorités chaque fois que certains de leurs renseignements changent. Même lorsqu’elles ne sont plus tenues de se présenter devant les autorités ou qu’elles décèdent, les renseignements qui ont été recueillis à leur sujet sont conservés dans le registre.</w:t>
      </w:r>
    </w:p>
    <w:p w14:paraId="2A61E2F9" w14:textId="77777777" w:rsidR="00F712C6" w:rsidRPr="003022C4" w:rsidRDefault="00F712C6" w:rsidP="00F712C6">
      <w:pPr>
        <w:pStyle w:val="ParaNoNdepar-AltN"/>
        <w:rPr>
          <w:rFonts w:cs="Times New Roman"/>
          <w:noProof/>
          <w:lang w:val="fr-CA"/>
        </w:rPr>
      </w:pPr>
      <w:r w:rsidRPr="003022C4">
        <w:rPr>
          <w:rFonts w:cs="Times New Roman"/>
          <w:noProof/>
          <w:lang w:val="fr-CA"/>
        </w:rPr>
        <w:t>Les personnes déclarées coupables d’une infraction d’ordre sexuel peuvent être dispensées au départ de l’obligation de se présenter devant les autorités si elles reçoivent une absolution en vertu de l’</w:t>
      </w:r>
      <w:r>
        <w:rPr>
          <w:rFonts w:cs="Times New Roman"/>
          <w:noProof/>
          <w:lang w:val="fr-CA"/>
        </w:rPr>
        <w:t>art. </w:t>
      </w:r>
      <w:r w:rsidRPr="003022C4">
        <w:rPr>
          <w:rFonts w:cs="Times New Roman"/>
          <w:noProof/>
          <w:lang w:val="fr-CA"/>
        </w:rPr>
        <w:t xml:space="preserve">730 du </w:t>
      </w:r>
      <w:r w:rsidRPr="003022C4">
        <w:rPr>
          <w:rFonts w:cs="Times New Roman"/>
          <w:i/>
          <w:noProof/>
          <w:lang w:val="fr-CA"/>
        </w:rPr>
        <w:t>Code criminel</w:t>
      </w:r>
      <w:r w:rsidRPr="003022C4">
        <w:rPr>
          <w:rFonts w:cs="Times New Roman"/>
          <w:noProof/>
          <w:lang w:val="fr-CA"/>
        </w:rPr>
        <w:t>, L.R.C. 1985, c.</w:t>
      </w:r>
      <w:r>
        <w:rPr>
          <w:rFonts w:cs="Times New Roman"/>
          <w:noProof/>
          <w:lang w:val="fr-CA"/>
        </w:rPr>
        <w:t> </w:t>
      </w:r>
      <w:r w:rsidRPr="003022C4">
        <w:rPr>
          <w:rFonts w:cs="Times New Roman"/>
          <w:noProof/>
          <w:lang w:val="fr-CA"/>
        </w:rPr>
        <w:t>C</w:t>
      </w:r>
      <w:r>
        <w:rPr>
          <w:rFonts w:cs="Times New Roman"/>
          <w:noProof/>
          <w:lang w:val="fr-CA"/>
        </w:rPr>
        <w:noBreakHyphen/>
      </w:r>
      <w:r w:rsidRPr="003022C4">
        <w:rPr>
          <w:rFonts w:cs="Times New Roman"/>
          <w:noProof/>
          <w:lang w:val="fr-CA"/>
        </w:rPr>
        <w:t xml:space="preserve">46. Elles peuvent également être retirées du registre lorsqu’elles reçoivent un pardon absolu et être dispensées de l’obligation de continuer de se présenter devant les autorités lorsqu’elles obtiennent un pardon absolu ou la suspension de leur casier judiciaire. Il existe donc certaines possibilités, après une évaluation individuelle, d’être exempté du registre des délinquants sexuels. À l’inverse, toutes les personnes déclarées non responsables criminellement pour cause de troubles mentaux </w:t>
      </w:r>
      <w:r w:rsidRPr="003022C4">
        <w:rPr>
          <w:rFonts w:cs="Times New Roman"/>
          <w:i/>
          <w:noProof/>
          <w:lang w:val="fr-CA"/>
        </w:rPr>
        <w:t>doivent</w:t>
      </w:r>
      <w:r w:rsidRPr="003022C4">
        <w:rPr>
          <w:rFonts w:cs="Times New Roman"/>
          <w:noProof/>
          <w:lang w:val="fr-CA"/>
        </w:rPr>
        <w:t>, sans exception, se présenter devant les autorités après avoir été libérées par une commission d’examen provinciale ou un tribun</w:t>
      </w:r>
      <w:r>
        <w:rPr>
          <w:rFonts w:cs="Times New Roman"/>
          <w:noProof/>
          <w:lang w:val="fr-CA"/>
        </w:rPr>
        <w:t xml:space="preserve">al. </w:t>
      </w:r>
      <w:r w:rsidRPr="003022C4">
        <w:rPr>
          <w:rFonts w:cs="Times New Roman"/>
          <w:noProof/>
          <w:lang w:val="fr-CA"/>
        </w:rPr>
        <w:t xml:space="preserve">De plus, elles ne peuvent </w:t>
      </w:r>
      <w:r w:rsidRPr="003022C4">
        <w:rPr>
          <w:rFonts w:cs="Times New Roman"/>
          <w:i/>
          <w:noProof/>
          <w:lang w:val="fr-CA"/>
        </w:rPr>
        <w:t xml:space="preserve">jamais </w:t>
      </w:r>
      <w:r w:rsidRPr="003022C4">
        <w:rPr>
          <w:rFonts w:cs="Times New Roman"/>
          <w:noProof/>
          <w:lang w:val="fr-CA"/>
        </w:rPr>
        <w:t xml:space="preserve">être retirées du registre et ne peuvent </w:t>
      </w:r>
      <w:r w:rsidRPr="003022C4">
        <w:rPr>
          <w:rFonts w:cs="Times New Roman"/>
          <w:i/>
          <w:noProof/>
          <w:lang w:val="fr-CA"/>
        </w:rPr>
        <w:t xml:space="preserve">jamais </w:t>
      </w:r>
      <w:r w:rsidRPr="003022C4">
        <w:rPr>
          <w:rFonts w:cs="Times New Roman"/>
          <w:noProof/>
          <w:lang w:val="fr-CA"/>
        </w:rPr>
        <w:t>être dispensées de l’obligation de se présenter devant les autorités, et ce, même si elles ont obtenu une libération d’une commission d’examen.</w:t>
      </w:r>
    </w:p>
    <w:p w14:paraId="084D2AAD" w14:textId="77777777" w:rsidR="00F712C6" w:rsidRPr="003022C4" w:rsidRDefault="00F712C6" w:rsidP="00F712C6">
      <w:pPr>
        <w:pStyle w:val="ParaNoNdepar-AltN"/>
        <w:rPr>
          <w:rFonts w:cs="Times New Roman"/>
          <w:noProof/>
          <w:lang w:val="fr-CA"/>
        </w:rPr>
      </w:pPr>
      <w:r w:rsidRPr="003022C4">
        <w:rPr>
          <w:rFonts w:cs="Times New Roman"/>
          <w:noProof/>
          <w:lang w:val="fr-CA"/>
        </w:rPr>
        <w:t>G, l’intimé, a été déclaré non responsable criminellement pour cause de tro</w:t>
      </w:r>
      <w:r>
        <w:rPr>
          <w:rFonts w:cs="Times New Roman"/>
          <w:noProof/>
          <w:lang w:val="fr-CA"/>
        </w:rPr>
        <w:t xml:space="preserve">ubles mentaux à l’égard de deux </w:t>
      </w:r>
      <w:r w:rsidRPr="003022C4">
        <w:rPr>
          <w:rFonts w:cs="Times New Roman"/>
          <w:noProof/>
          <w:lang w:val="fr-CA"/>
        </w:rPr>
        <w:t>infractions sexuelles et a par la suite été libéré inconditionnellement par la Commission ontarienne d’examen (Commission). Depuis la perpétration de c</w:t>
      </w:r>
      <w:r>
        <w:rPr>
          <w:rFonts w:cs="Times New Roman"/>
          <w:noProof/>
          <w:lang w:val="fr-CA"/>
        </w:rPr>
        <w:t xml:space="preserve">es infractions il y a 19 </w:t>
      </w:r>
      <w:r w:rsidRPr="003022C4">
        <w:rPr>
          <w:rFonts w:cs="Times New Roman"/>
          <w:noProof/>
          <w:lang w:val="fr-CA"/>
        </w:rPr>
        <w:t xml:space="preserve">ans, G n’a </w:t>
      </w:r>
      <w:r>
        <w:rPr>
          <w:rFonts w:cs="Times New Roman"/>
          <w:noProof/>
          <w:lang w:val="fr-CA"/>
        </w:rPr>
        <w:t>rien à se reprocher</w:t>
      </w:r>
      <w:r w:rsidRPr="003022C4">
        <w:rPr>
          <w:rFonts w:cs="Times New Roman"/>
          <w:noProof/>
          <w:lang w:val="fr-CA"/>
        </w:rPr>
        <w:t xml:space="preserve">. Toutefois, tel que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est actuellement rédigée, G sera tenu de se présenter devant les autorités et sera un « délinquant sexuel » enregistré jusqu’à la fin de sa vie. De plus, ses renseignements seront conservés dans le registre même après son décès, et il n’a </w:t>
      </w:r>
      <w:r w:rsidRPr="003022C4">
        <w:rPr>
          <w:rFonts w:cs="Times New Roman"/>
          <w:i/>
          <w:noProof/>
          <w:lang w:val="fr-CA"/>
        </w:rPr>
        <w:t xml:space="preserve">aucune </w:t>
      </w:r>
      <w:r w:rsidRPr="003022C4">
        <w:rPr>
          <w:rFonts w:cs="Times New Roman"/>
          <w:noProof/>
          <w:lang w:val="fr-CA"/>
        </w:rPr>
        <w:t>possibilité de faire retirer son nom du registre.</w:t>
      </w:r>
    </w:p>
    <w:p w14:paraId="136AD584"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À mon avis,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crée des distinctions discriminatoires entre les personnes déclarées coupables et les personnes déclarées non responsables criminellement pour cause de troubles mentaux à l’égard d’infractions sexuelles sur le fondement de leur déficience mentale, ce qui va à l’encontre du </w:t>
      </w:r>
      <w:r>
        <w:rPr>
          <w:rFonts w:cs="Times New Roman"/>
          <w:noProof/>
          <w:lang w:val="fr-CA"/>
        </w:rPr>
        <w:t>par. </w:t>
      </w:r>
      <w:r w:rsidRPr="003022C4">
        <w:rPr>
          <w:rFonts w:cs="Times New Roman"/>
          <w:noProof/>
          <w:lang w:val="fr-CA"/>
        </w:rPr>
        <w:t xml:space="preserve">15(1) de la </w:t>
      </w:r>
      <w:r w:rsidRPr="003022C4">
        <w:rPr>
          <w:rFonts w:cs="Times New Roman"/>
          <w:i/>
          <w:noProof/>
          <w:lang w:val="fr-CA"/>
        </w:rPr>
        <w:t>Charte</w:t>
      </w:r>
      <w:r w:rsidRPr="003022C4">
        <w:rPr>
          <w:rFonts w:cs="Times New Roman"/>
          <w:noProof/>
          <w:lang w:val="fr-CA"/>
        </w:rPr>
        <w:t xml:space="preserve">. Ces distinctions discriminatoires ne peuvent se justifier dans une société libre et démocratique. Je suis donc d’avis de rejeter le pourvoi et de confirmer les ordonnances de la Cour d’appel portant que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est inopérante à l’égard des personnes jugées non responsables criminellement pour cause de troubles mentaux qui obtiennent une libération inconditionnelle, que l’effet de la déclaration d’invalidité doit être suspendu pendant une période de 12 mois, et qu’il faut exempter G de cette suspension en le dispensant de l’obligation de continuer de se conformer à la </w:t>
      </w:r>
      <w:r w:rsidRPr="003022C4">
        <w:rPr>
          <w:rFonts w:cs="Times New Roman"/>
          <w:i/>
          <w:noProof/>
          <w:lang w:val="fr-CA"/>
        </w:rPr>
        <w:t xml:space="preserve">Loi </w:t>
      </w:r>
      <w:r w:rsidRPr="003022C4">
        <w:rPr>
          <w:rFonts w:cs="Times New Roman"/>
          <w:noProof/>
          <w:lang w:val="fr-CA"/>
        </w:rPr>
        <w:t>et en ordonnant que ses renseignements soient supprimés du registre sur</w:t>
      </w:r>
      <w:r>
        <w:rPr>
          <w:rFonts w:cs="Times New Roman"/>
          <w:noProof/>
          <w:lang w:val="fr-CA"/>
        </w:rPr>
        <w:noBreakHyphen/>
      </w:r>
      <w:r w:rsidRPr="003022C4">
        <w:rPr>
          <w:rFonts w:cs="Times New Roman"/>
          <w:noProof/>
          <w:lang w:val="fr-CA"/>
        </w:rPr>
        <w:t>le</w:t>
      </w:r>
      <w:r>
        <w:rPr>
          <w:rFonts w:cs="Times New Roman"/>
          <w:noProof/>
          <w:lang w:val="fr-CA"/>
        </w:rPr>
        <w:noBreakHyphen/>
      </w:r>
      <w:r w:rsidRPr="003022C4">
        <w:rPr>
          <w:rFonts w:cs="Times New Roman"/>
          <w:noProof/>
          <w:lang w:val="fr-CA"/>
        </w:rPr>
        <w:t>champ.</w:t>
      </w:r>
    </w:p>
    <w:p w14:paraId="048DD1F1" w14:textId="77777777" w:rsidR="00F712C6" w:rsidRPr="003022C4" w:rsidRDefault="00F712C6" w:rsidP="00F712C6">
      <w:pPr>
        <w:pStyle w:val="Title1LevelTitre1Niveau-AltL"/>
        <w:rPr>
          <w:rFonts w:cs="Times New Roman"/>
          <w:noProof/>
          <w:lang w:val="fr-CA"/>
        </w:rPr>
      </w:pPr>
      <w:r w:rsidRPr="003022C4">
        <w:rPr>
          <w:rFonts w:cs="Times New Roman"/>
          <w:noProof/>
          <w:lang w:val="fr-CA"/>
        </w:rPr>
        <w:t>Contexte</w:t>
      </w:r>
    </w:p>
    <w:p w14:paraId="4FBBCBBD" w14:textId="77777777" w:rsidR="00F712C6" w:rsidRPr="003022C4" w:rsidRDefault="00F712C6" w:rsidP="00F712C6">
      <w:pPr>
        <w:pStyle w:val="ParaNoNdepar-AltN"/>
        <w:rPr>
          <w:rFonts w:cs="Times New Roman"/>
          <w:noProof/>
          <w:lang w:val="fr-CA"/>
        </w:rPr>
      </w:pPr>
      <w:r>
        <w:rPr>
          <w:rFonts w:cs="Times New Roman"/>
          <w:noProof/>
          <w:lang w:val="fr-CA"/>
        </w:rPr>
        <w:t xml:space="preserve">En septembre </w:t>
      </w:r>
      <w:r w:rsidRPr="003022C4">
        <w:rPr>
          <w:rFonts w:cs="Times New Roman"/>
          <w:noProof/>
          <w:lang w:val="fr-CA"/>
        </w:rPr>
        <w:t>2001, G a eu son premier et seul épisode maniaque. Un mois plu</w:t>
      </w:r>
      <w:r>
        <w:rPr>
          <w:rFonts w:cs="Times New Roman"/>
          <w:noProof/>
          <w:lang w:val="fr-CA"/>
        </w:rPr>
        <w:t xml:space="preserve">s tard, il a été accusé de deux </w:t>
      </w:r>
      <w:r w:rsidRPr="003022C4">
        <w:rPr>
          <w:rFonts w:cs="Times New Roman"/>
          <w:noProof/>
          <w:lang w:val="fr-CA"/>
        </w:rPr>
        <w:t>chefs d’agression sexuelle sur son épouse de l’époque, d’un chef de séquestration de cette dernière et d’u</w:t>
      </w:r>
      <w:r>
        <w:rPr>
          <w:rFonts w:cs="Times New Roman"/>
          <w:noProof/>
          <w:lang w:val="fr-CA"/>
        </w:rPr>
        <w:t xml:space="preserve">n chef de harcèlement. Les deux </w:t>
      </w:r>
      <w:r w:rsidRPr="003022C4">
        <w:rPr>
          <w:rFonts w:cs="Times New Roman"/>
          <w:noProof/>
          <w:lang w:val="fr-CA"/>
        </w:rPr>
        <w:t xml:space="preserve">incidents à l’origine des accusations </w:t>
      </w:r>
      <w:r>
        <w:rPr>
          <w:rFonts w:cs="Times New Roman"/>
          <w:noProof/>
          <w:lang w:val="fr-CA"/>
        </w:rPr>
        <w:t>découlent de</w:t>
      </w:r>
      <w:r w:rsidRPr="003022C4">
        <w:rPr>
          <w:rFonts w:cs="Times New Roman"/>
          <w:noProof/>
          <w:lang w:val="fr-CA"/>
        </w:rPr>
        <w:t xml:space="preserve"> cet épisode maniaque.</w:t>
      </w:r>
    </w:p>
    <w:p w14:paraId="7283EC8C"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En juin 2002, G a été déclaré non responsable criminellement pour cause de troubles mentaux. Lorsque G a comparu devant la Commission en juillet 2002, il a obtenu une libération conditionnelle. En août 2003, la Commission a ordonné qu’il soit libéré inconditionnellement au motif qu’il </w:t>
      </w:r>
      <w:r w:rsidRPr="003022C4">
        <w:rPr>
          <w:rFonts w:cs="Times New Roman"/>
          <w:smallCaps/>
          <w:noProof/>
          <w:lang w:val="fr-CA"/>
        </w:rPr>
        <w:t xml:space="preserve">[traduction] </w:t>
      </w:r>
      <w:r w:rsidRPr="003022C4">
        <w:rPr>
          <w:rFonts w:cs="Times New Roman"/>
          <w:noProof/>
          <w:lang w:val="fr-CA"/>
        </w:rPr>
        <w:t xml:space="preserve">« n’existe tout simplement pas de preuve permettant de conclure que [G] représente un risque important pour la sécurité du public » (2017 ONSC 6713, 401 C.R.R. (2d) 297, </w:t>
      </w:r>
      <w:r>
        <w:rPr>
          <w:rFonts w:cs="Times New Roman"/>
          <w:noProof/>
          <w:lang w:val="fr-CA"/>
        </w:rPr>
        <w:t>par. </w:t>
      </w:r>
      <w:r w:rsidRPr="003022C4">
        <w:rPr>
          <w:rFonts w:cs="Times New Roman"/>
          <w:noProof/>
          <w:lang w:val="fr-CA"/>
        </w:rPr>
        <w:t>17). G ne s’est livré à aucune activité criminelle depuis sa libération inconditionnelle il y a environ 17 ans. Il suit un traitement et ses symptômes ont complètement disparu. Il garde un emploi stable et a des relations de soutien solides avec les membres de sa famille.</w:t>
      </w:r>
    </w:p>
    <w:p w14:paraId="4A169D5C"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G a été inscrit au registre provincial des délinquants sexuels en août 2004 et au registre </w:t>
      </w:r>
      <w:r>
        <w:rPr>
          <w:rFonts w:cs="Times New Roman"/>
          <w:noProof/>
          <w:lang w:val="fr-CA"/>
        </w:rPr>
        <w:t xml:space="preserve">fédéral en janvier </w:t>
      </w:r>
      <w:r w:rsidRPr="003022C4">
        <w:rPr>
          <w:rFonts w:cs="Times New Roman"/>
          <w:noProof/>
          <w:lang w:val="fr-CA"/>
        </w:rPr>
        <w:t xml:space="preserve">2005. Depuis, G s’est toujours acquitté de ses obligations de se présenter devant les autorités. Il s’est présenté en personne devant les autorités chaque année comme l’exige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et a respecté les autres obligations qui lui sont imposées</w:t>
      </w:r>
      <w:r>
        <w:rPr>
          <w:rFonts w:cs="Times New Roman"/>
          <w:noProof/>
          <w:lang w:val="fr-CA"/>
        </w:rPr>
        <w:t>, au niveau fédéral,</w:t>
      </w:r>
      <w:r w:rsidRPr="003022C4">
        <w:rPr>
          <w:rFonts w:cs="Times New Roman"/>
          <w:noProof/>
          <w:lang w:val="fr-CA"/>
        </w:rPr>
        <w:t xml:space="preserve"> par la </w:t>
      </w:r>
      <w:r w:rsidRPr="003022C4">
        <w:rPr>
          <w:rFonts w:cs="Times New Roman"/>
          <w:i/>
          <w:noProof/>
          <w:lang w:val="fr-CA"/>
        </w:rPr>
        <w:t>Loi sur l’enregistrement de renseignements sur les délinquants sexuels</w:t>
      </w:r>
      <w:r w:rsidRPr="003022C4">
        <w:rPr>
          <w:rFonts w:cs="Times New Roman"/>
          <w:noProof/>
          <w:lang w:val="fr-CA"/>
        </w:rPr>
        <w:t>, L.C. 2004, c. 10 (</w:t>
      </w:r>
      <w:r w:rsidRPr="003022C4">
        <w:rPr>
          <w:rFonts w:cs="Times New Roman"/>
          <w:i/>
          <w:noProof/>
          <w:lang w:val="fr-CA"/>
        </w:rPr>
        <w:t>LERDS</w:t>
      </w:r>
      <w:r w:rsidRPr="003022C4">
        <w:rPr>
          <w:rFonts w:cs="Times New Roman"/>
          <w:noProof/>
          <w:lang w:val="fr-CA"/>
        </w:rPr>
        <w:t>).</w:t>
      </w:r>
    </w:p>
    <w:p w14:paraId="609FBED7"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G a introduit une requête afin de contester l’applicabilité de la </w:t>
      </w:r>
      <w:r>
        <w:rPr>
          <w:rFonts w:cs="Times New Roman"/>
          <w:i/>
          <w:noProof/>
          <w:lang w:val="fr-CA"/>
        </w:rPr>
        <w:t xml:space="preserve">Loi </w:t>
      </w:r>
      <w:r w:rsidRPr="003022C4">
        <w:rPr>
          <w:rFonts w:cs="Times New Roman"/>
          <w:i/>
          <w:noProof/>
          <w:lang w:val="fr-CA"/>
        </w:rPr>
        <w:t xml:space="preserve">Christopher </w:t>
      </w:r>
      <w:r w:rsidRPr="003022C4">
        <w:rPr>
          <w:rFonts w:cs="Times New Roman"/>
          <w:noProof/>
          <w:lang w:val="fr-CA"/>
        </w:rPr>
        <w:t xml:space="preserve">(et du registre fédéral, qui n’est pas en litige en l’espèce) aux personnes déclarées non responsables criminellement pour cause de troubles mentaux qui ont obtenu une libération inconditionnelle en </w:t>
      </w:r>
      <w:r>
        <w:rPr>
          <w:rFonts w:cs="Times New Roman"/>
          <w:noProof/>
          <w:lang w:val="fr-CA"/>
        </w:rPr>
        <w:t xml:space="preserve">vertu de la partie </w:t>
      </w:r>
      <w:r w:rsidRPr="003022C4">
        <w:rPr>
          <w:rFonts w:cs="Times New Roman"/>
          <w:noProof/>
          <w:lang w:val="fr-CA"/>
        </w:rPr>
        <w:t xml:space="preserve">XX.1 du </w:t>
      </w:r>
      <w:r w:rsidRPr="003022C4">
        <w:rPr>
          <w:rFonts w:cs="Times New Roman"/>
          <w:i/>
          <w:noProof/>
          <w:lang w:val="fr-CA"/>
        </w:rPr>
        <w:t xml:space="preserve">Code criminel </w:t>
      </w:r>
      <w:r w:rsidRPr="003022C4">
        <w:rPr>
          <w:rFonts w:cs="Times New Roman"/>
          <w:noProof/>
          <w:lang w:val="fr-CA"/>
        </w:rPr>
        <w:t>à l’égard d’infractions qui ont donné lieu à leur inscription au registre. D’après lui, le fait que les personnes dans sa situation ne puissent pas obtenir d’exemption ou être retirées du registre viole l’</w:t>
      </w:r>
      <w:r>
        <w:rPr>
          <w:rFonts w:cs="Times New Roman"/>
          <w:noProof/>
          <w:lang w:val="fr-CA"/>
        </w:rPr>
        <w:t>art. </w:t>
      </w:r>
      <w:r w:rsidRPr="003022C4">
        <w:rPr>
          <w:rFonts w:cs="Times New Roman"/>
          <w:noProof/>
          <w:lang w:val="fr-CA"/>
        </w:rPr>
        <w:t xml:space="preserve">7 et le </w:t>
      </w:r>
      <w:r>
        <w:rPr>
          <w:rFonts w:cs="Times New Roman"/>
          <w:noProof/>
          <w:lang w:val="fr-CA"/>
        </w:rPr>
        <w:t>par. </w:t>
      </w:r>
      <w:r w:rsidRPr="003022C4">
        <w:rPr>
          <w:rFonts w:cs="Times New Roman"/>
          <w:noProof/>
          <w:lang w:val="fr-CA"/>
        </w:rPr>
        <w:t xml:space="preserve">15(1) de la </w:t>
      </w:r>
      <w:r w:rsidRPr="003022C4">
        <w:rPr>
          <w:rFonts w:cs="Times New Roman"/>
          <w:i/>
          <w:noProof/>
          <w:lang w:val="fr-CA"/>
        </w:rPr>
        <w:t>Charte</w:t>
      </w:r>
      <w:r w:rsidRPr="003022C4">
        <w:rPr>
          <w:rFonts w:cs="Times New Roman"/>
          <w:noProof/>
          <w:lang w:val="fr-CA"/>
        </w:rPr>
        <w:t>. La requête de G a été rejetée en première instance, mais son appel a été accueilli en partie.</w:t>
      </w:r>
    </w:p>
    <w:p w14:paraId="6B6937F0" w14:textId="77777777" w:rsidR="00F712C6" w:rsidRPr="003022C4" w:rsidRDefault="00F712C6" w:rsidP="00F712C6">
      <w:pPr>
        <w:pStyle w:val="Title2LevelTitre2Niveau"/>
        <w:rPr>
          <w:rFonts w:cs="Times New Roman"/>
          <w:noProof/>
          <w:lang w:val="fr-CA"/>
        </w:rPr>
      </w:pPr>
      <w:r w:rsidRPr="003022C4">
        <w:rPr>
          <w:rFonts w:cs="Times New Roman"/>
          <w:noProof/>
          <w:lang w:val="fr-CA"/>
        </w:rPr>
        <w:t>Cour supérieure de justice de l’Ontario (2017 ONSC 6713, 401 C.R.R. (2d) 297) (le juge Lederer)</w:t>
      </w:r>
    </w:p>
    <w:p w14:paraId="3E93D95D"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S’appuyant sur la déposition du témoin expert du gouvernement, le juge de première instance a statué que, bien qu’il soit impossible de prédire avec certitude le risque de récidive à l’aide de données actuarielles, le risque de récidive d’une personne déclarée non responsable criminellement pour cause de troubles mentaux </w:t>
      </w:r>
      <w:r>
        <w:rPr>
          <w:rFonts w:cs="Times New Roman"/>
          <w:noProof/>
          <w:lang w:val="fr-CA"/>
        </w:rPr>
        <w:t>n’</w:t>
      </w:r>
      <w:r w:rsidRPr="003022C4">
        <w:rPr>
          <w:rFonts w:cs="Times New Roman"/>
          <w:noProof/>
          <w:lang w:val="fr-CA"/>
        </w:rPr>
        <w:t>est</w:t>
      </w:r>
      <w:r>
        <w:rPr>
          <w:rFonts w:cs="Times New Roman"/>
          <w:noProof/>
          <w:lang w:val="fr-CA"/>
        </w:rPr>
        <w:t xml:space="preserve"> pas moins </w:t>
      </w:r>
      <w:r w:rsidRPr="003022C4">
        <w:rPr>
          <w:rFonts w:cs="Times New Roman"/>
          <w:noProof/>
          <w:lang w:val="fr-CA"/>
        </w:rPr>
        <w:t>élevé que celui d’une personne déclarée coupable. Il a conclu que, du point de vue de l’évaluation du risque, il importe peu qu’une déclaration de culpabilité ou un verdict de non</w:t>
      </w:r>
      <w:r>
        <w:rPr>
          <w:rFonts w:cs="Times New Roman"/>
          <w:noProof/>
          <w:lang w:val="fr-CA"/>
        </w:rPr>
        <w:noBreakHyphen/>
      </w:r>
      <w:r w:rsidRPr="003022C4">
        <w:rPr>
          <w:rFonts w:cs="Times New Roman"/>
          <w:noProof/>
          <w:lang w:val="fr-CA"/>
        </w:rPr>
        <w:t>responsabilité criminelle pour cause de troubles mentaux soit prononcé à l’égard d’une infraction sexuelle, car les taux de récidive criminelle des personnes déclarées non responsables criminellement pour cause de troubles mentaux sont beaucoup plus élevés que les taux de perpétration d’une première infraction chez les individus n’ayant aucun antécédent judiciaire.</w:t>
      </w:r>
    </w:p>
    <w:p w14:paraId="4906A345" w14:textId="22CE1B57" w:rsidR="00F712C6" w:rsidRPr="003022C4" w:rsidRDefault="00F712C6" w:rsidP="00F712C6">
      <w:pPr>
        <w:pStyle w:val="ParaNoNdepar-AltN"/>
        <w:rPr>
          <w:rFonts w:cs="Times New Roman"/>
          <w:noProof/>
          <w:lang w:val="fr-CA"/>
        </w:rPr>
      </w:pPr>
      <w:r w:rsidRPr="003022C4">
        <w:rPr>
          <w:rFonts w:cs="Times New Roman"/>
          <w:noProof/>
          <w:lang w:val="fr-CA"/>
        </w:rPr>
        <w:t>En ce qui concerne la réclamation fondée sur l’</w:t>
      </w:r>
      <w:r>
        <w:rPr>
          <w:rFonts w:cs="Times New Roman"/>
          <w:noProof/>
          <w:lang w:val="fr-CA"/>
        </w:rPr>
        <w:t>art. </w:t>
      </w:r>
      <w:r w:rsidRPr="003022C4">
        <w:rPr>
          <w:rFonts w:cs="Times New Roman"/>
          <w:noProof/>
          <w:lang w:val="fr-CA"/>
        </w:rPr>
        <w:t xml:space="preserve">7, le juge de première instance a reconnu que le droit à la liberté de G est mis en jeu, mais il a rejeté son argument que c’était aussi le cas de son droit à la sécurité de sa personne. S’appuyant sur la conclusion tirée par la Cour d’appel de l’Ontario dans l’arrêt </w:t>
      </w:r>
      <w:r w:rsidRPr="003022C4">
        <w:rPr>
          <w:rFonts w:cs="Times New Roman"/>
          <w:i/>
          <w:noProof/>
          <w:lang w:val="fr-CA"/>
        </w:rPr>
        <w:t>R. c. Dyck</w:t>
      </w:r>
      <w:r w:rsidRPr="003022C4">
        <w:rPr>
          <w:rFonts w:cs="Times New Roman"/>
          <w:noProof/>
          <w:lang w:val="fr-CA"/>
        </w:rPr>
        <w:t xml:space="preserve">, 2008 ONCA 309, 90 O.R. (3d) 409, </w:t>
      </w:r>
      <w:r>
        <w:rPr>
          <w:rFonts w:cs="Times New Roman"/>
          <w:noProof/>
          <w:lang w:val="fr-CA"/>
        </w:rPr>
        <w:t>par. </w:t>
      </w:r>
      <w:r w:rsidRPr="003022C4">
        <w:rPr>
          <w:rFonts w:cs="Times New Roman"/>
          <w:noProof/>
          <w:lang w:val="fr-CA"/>
        </w:rPr>
        <w:t xml:space="preserve">106, voulant que les obligations de s’inscrire au registre et de se présenter devant les autorités soient </w:t>
      </w:r>
      <w:r>
        <w:rPr>
          <w:rFonts w:cs="Times New Roman"/>
          <w:smallCaps/>
          <w:noProof/>
          <w:lang w:val="fr-CA"/>
        </w:rPr>
        <w:t xml:space="preserve">[traduction] </w:t>
      </w:r>
      <w:r w:rsidRPr="003022C4">
        <w:rPr>
          <w:rFonts w:cs="Times New Roman"/>
          <w:noProof/>
          <w:lang w:val="fr-CA"/>
        </w:rPr>
        <w:t>« assez minimes », le juge de première instance a conclu que toute privation de liberté est conforme aux principes de justice fondamentale.</w:t>
      </w:r>
    </w:p>
    <w:p w14:paraId="1EB269C8"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Le juge de première instance a également conclu à l’absence de violation du </w:t>
      </w:r>
      <w:r>
        <w:rPr>
          <w:rFonts w:cs="Times New Roman"/>
          <w:noProof/>
          <w:lang w:val="fr-CA"/>
        </w:rPr>
        <w:t>par. </w:t>
      </w:r>
      <w:r w:rsidRPr="003022C4">
        <w:rPr>
          <w:rFonts w:cs="Times New Roman"/>
          <w:noProof/>
          <w:lang w:val="fr-CA"/>
        </w:rPr>
        <w:t xml:space="preserve">15(1). Selon lui, la </w:t>
      </w:r>
      <w:r>
        <w:rPr>
          <w:rFonts w:cs="Times New Roman"/>
          <w:i/>
          <w:noProof/>
          <w:lang w:val="fr-CA"/>
        </w:rPr>
        <w:t xml:space="preserve">Loi </w:t>
      </w:r>
      <w:r w:rsidRPr="003022C4">
        <w:rPr>
          <w:rFonts w:cs="Times New Roman"/>
          <w:i/>
          <w:noProof/>
          <w:lang w:val="fr-CA"/>
        </w:rPr>
        <w:t xml:space="preserve">Christopher </w:t>
      </w:r>
      <w:r w:rsidRPr="003022C4">
        <w:rPr>
          <w:rFonts w:cs="Times New Roman"/>
          <w:noProof/>
          <w:lang w:val="fr-CA"/>
        </w:rPr>
        <w:t xml:space="preserve">ne crée pas, à première vue ou de par son effet, de distinction entre les personnes déclarées non responsables criminellement pour cause de troubles mentaux et les personnes déclarées coupables d’une infraction. Il en est ainsi parce que la distinction entre les personnes déclarées coupables et les personnes déclarées non responsables criminellement pour cause de troubles mentaux ne se trouve pas dans la </w:t>
      </w:r>
      <w:r w:rsidRPr="003022C4">
        <w:rPr>
          <w:rFonts w:cs="Times New Roman"/>
          <w:i/>
          <w:noProof/>
          <w:lang w:val="fr-CA"/>
        </w:rPr>
        <w:t xml:space="preserve">Loi Christopher </w:t>
      </w:r>
      <w:r w:rsidRPr="003022C4">
        <w:rPr>
          <w:rFonts w:cs="Times New Roman"/>
          <w:noProof/>
          <w:lang w:val="fr-CA"/>
        </w:rPr>
        <w:t xml:space="preserve">et parce que l’incidence de la loi est </w:t>
      </w:r>
      <w:r w:rsidRPr="003022C4">
        <w:rPr>
          <w:rFonts w:cs="Times New Roman"/>
          <w:smallCaps/>
          <w:noProof/>
          <w:lang w:val="fr-CA"/>
        </w:rPr>
        <w:t>[traduction]</w:t>
      </w:r>
      <w:r>
        <w:rPr>
          <w:rFonts w:cs="Times New Roman"/>
          <w:smallCaps/>
          <w:noProof/>
          <w:lang w:val="fr-CA"/>
        </w:rPr>
        <w:t xml:space="preserve"> </w:t>
      </w:r>
      <w:r w:rsidRPr="003022C4">
        <w:rPr>
          <w:rFonts w:cs="Times New Roman"/>
          <w:noProof/>
          <w:lang w:val="fr-CA"/>
        </w:rPr>
        <w:t>« modeste ».</w:t>
      </w:r>
    </w:p>
    <w:p w14:paraId="3D90DDB8" w14:textId="77777777" w:rsidR="00F712C6" w:rsidRPr="003022C4" w:rsidRDefault="00F712C6" w:rsidP="00F712C6">
      <w:pPr>
        <w:pStyle w:val="Title2LevelTitre2Niveau"/>
        <w:rPr>
          <w:rFonts w:cs="Times New Roman"/>
          <w:noProof/>
          <w:lang w:val="fr-CA"/>
        </w:rPr>
      </w:pPr>
      <w:r>
        <w:rPr>
          <w:rFonts w:cs="Times New Roman"/>
          <w:noProof/>
          <w:lang w:val="fr-CA"/>
        </w:rPr>
        <w:t xml:space="preserve">Cour d’appel de l’Ontario (2019 ONCA </w:t>
      </w:r>
      <w:r w:rsidRPr="003022C4">
        <w:rPr>
          <w:rFonts w:cs="Times New Roman"/>
          <w:noProof/>
          <w:lang w:val="fr-CA"/>
        </w:rPr>
        <w:t>264, 145 O.R. (3d) 161) (les juges Doherty, van Rensburg et Hourigan)</w:t>
      </w:r>
    </w:p>
    <w:p w14:paraId="7996C14B" w14:textId="77777777" w:rsidR="00F712C6" w:rsidRPr="003022C4" w:rsidRDefault="00F712C6" w:rsidP="00F712C6">
      <w:pPr>
        <w:pStyle w:val="ParaNoNdepar-AltN"/>
        <w:rPr>
          <w:rFonts w:cs="Times New Roman"/>
          <w:noProof/>
          <w:lang w:val="fr-CA"/>
        </w:rPr>
      </w:pPr>
      <w:r>
        <w:rPr>
          <w:rFonts w:cs="Times New Roman"/>
          <w:noProof/>
          <w:lang w:val="fr-CA"/>
        </w:rPr>
        <w:t xml:space="preserve">En appel, le juge </w:t>
      </w:r>
      <w:r w:rsidRPr="003022C4">
        <w:rPr>
          <w:rFonts w:cs="Times New Roman"/>
          <w:noProof/>
          <w:lang w:val="fr-CA"/>
        </w:rPr>
        <w:t>Doherty, au nom d’une formation unanime de la Cour d’appel, a confirmé le rejet, par le juge de première instance, de l’argument de G concernant l’</w:t>
      </w:r>
      <w:r>
        <w:rPr>
          <w:rFonts w:cs="Times New Roman"/>
          <w:noProof/>
          <w:lang w:val="fr-CA"/>
        </w:rPr>
        <w:t>art. </w:t>
      </w:r>
      <w:r w:rsidRPr="003022C4">
        <w:rPr>
          <w:rFonts w:cs="Times New Roman"/>
          <w:noProof/>
          <w:lang w:val="fr-CA"/>
        </w:rPr>
        <w:t xml:space="preserve">7. Il a convenu avec le juge de première instance que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met en jeu le droit à la liberté de G, mais pas son droit à la sécurité de sa personne. Il a également convenu que la privation de liberté est conforme aux principes de justice fondamentale en s’appuyant sur les décisions antérieures de la Cour d’appel dans </w:t>
      </w:r>
      <w:r w:rsidRPr="003022C4">
        <w:rPr>
          <w:rFonts w:cs="Times New Roman"/>
          <w:i/>
          <w:noProof/>
          <w:lang w:val="fr-CA"/>
        </w:rPr>
        <w:t xml:space="preserve">Dyck </w:t>
      </w:r>
      <w:r w:rsidRPr="003022C4">
        <w:rPr>
          <w:rFonts w:cs="Times New Roman"/>
          <w:noProof/>
          <w:lang w:val="fr-CA"/>
        </w:rPr>
        <w:t xml:space="preserve">et </w:t>
      </w:r>
      <w:r w:rsidRPr="003022C4">
        <w:rPr>
          <w:rFonts w:cs="Times New Roman"/>
          <w:i/>
          <w:noProof/>
          <w:lang w:val="fr-CA"/>
        </w:rPr>
        <w:t>R. c. Long</w:t>
      </w:r>
      <w:r w:rsidRPr="003022C4">
        <w:rPr>
          <w:rFonts w:cs="Times New Roman"/>
          <w:noProof/>
          <w:lang w:val="fr-CA"/>
        </w:rPr>
        <w:t>, 2018 ONCA 282, 45 C.R. (7th) 98.</w:t>
      </w:r>
    </w:p>
    <w:p w14:paraId="27825834" w14:textId="77777777" w:rsidR="00F712C6" w:rsidRPr="003022C4" w:rsidRDefault="00F712C6" w:rsidP="00F712C6">
      <w:pPr>
        <w:pStyle w:val="ParaNoNdepar-AltN"/>
        <w:rPr>
          <w:rFonts w:cs="Times New Roman"/>
          <w:noProof/>
          <w:lang w:val="fr-CA"/>
        </w:rPr>
      </w:pPr>
      <w:r>
        <w:rPr>
          <w:rFonts w:cs="Times New Roman"/>
          <w:noProof/>
          <w:lang w:val="fr-CA"/>
        </w:rPr>
        <w:t xml:space="preserve">Cependant, le juge </w:t>
      </w:r>
      <w:r w:rsidRPr="003022C4">
        <w:rPr>
          <w:rFonts w:cs="Times New Roman"/>
          <w:noProof/>
          <w:lang w:val="fr-CA"/>
        </w:rPr>
        <w:t xml:space="preserve">Doherty a accueilli l’appel en se fondant sur la demande de G concernant le </w:t>
      </w:r>
      <w:r>
        <w:rPr>
          <w:rFonts w:cs="Times New Roman"/>
          <w:noProof/>
          <w:lang w:val="fr-CA"/>
        </w:rPr>
        <w:t>par. </w:t>
      </w:r>
      <w:r w:rsidRPr="003022C4">
        <w:rPr>
          <w:rFonts w:cs="Times New Roman"/>
          <w:noProof/>
          <w:lang w:val="fr-CA"/>
        </w:rPr>
        <w:t xml:space="preserve">15(1). Il a statué que la </w:t>
      </w:r>
      <w:r>
        <w:rPr>
          <w:rFonts w:cs="Times New Roman"/>
          <w:i/>
          <w:noProof/>
          <w:lang w:val="fr-CA"/>
        </w:rPr>
        <w:t>Loi Christopher</w:t>
      </w:r>
      <w:r w:rsidRPr="003022C4">
        <w:rPr>
          <w:rFonts w:cs="Times New Roman"/>
          <w:noProof/>
          <w:lang w:val="fr-CA"/>
        </w:rPr>
        <w:t>, de par ses effets, crée des distinctions entre les personnes déclarées coupables et les personnes déclarées non responsables criminellement pour cause de troubles mentaux du f</w:t>
      </w:r>
      <w:r>
        <w:rPr>
          <w:rFonts w:cs="Times New Roman"/>
          <w:noProof/>
          <w:lang w:val="fr-CA"/>
        </w:rPr>
        <w:t xml:space="preserve">ait de leur déficience. Le juge </w:t>
      </w:r>
      <w:r w:rsidRPr="003022C4">
        <w:rPr>
          <w:rFonts w:cs="Times New Roman"/>
          <w:noProof/>
          <w:lang w:val="fr-CA"/>
        </w:rPr>
        <w:t xml:space="preserve">Doherty a expliqué que les personnes déclarées coupables ont accès à des mécanismes qui leur permettent d’éviter de s’inscrire initialement au registre, d’être dispensées des obligations de se présenter devant les autorités, ou d’être retirées du registre. Les personnes déclarées non responsables criminellement pour cause de troubles mentaux n’ont pas accès à de telles </w:t>
      </w:r>
      <w:r w:rsidRPr="003022C4">
        <w:rPr>
          <w:rFonts w:cs="Times New Roman"/>
          <w:smallCaps/>
          <w:noProof/>
          <w:lang w:val="fr-CA"/>
        </w:rPr>
        <w:t>[traduction]</w:t>
      </w:r>
      <w:r>
        <w:rPr>
          <w:rFonts w:cs="Times New Roman"/>
          <w:smallCaps/>
          <w:noProof/>
          <w:lang w:val="fr-CA"/>
        </w:rPr>
        <w:t xml:space="preserve"> </w:t>
      </w:r>
      <w:r w:rsidRPr="003022C4">
        <w:rPr>
          <w:rFonts w:cs="Times New Roman"/>
          <w:noProof/>
          <w:lang w:val="fr-CA"/>
        </w:rPr>
        <w:t xml:space="preserve">« voies de sortie », et ce, même après avoir obtenu une libération inconditionnelle. Le </w:t>
      </w:r>
      <w:r>
        <w:rPr>
          <w:rFonts w:cs="Times New Roman"/>
          <w:noProof/>
          <w:lang w:val="fr-CA"/>
        </w:rPr>
        <w:t>juge Doherty</w:t>
      </w:r>
      <w:r w:rsidRPr="003022C4">
        <w:rPr>
          <w:rFonts w:cs="Times New Roman"/>
          <w:noProof/>
          <w:lang w:val="fr-CA"/>
        </w:rPr>
        <w:t xml:space="preserve"> a conclu que ces distinctions sont discriminatoires, car elles alimentent le stéréotype selon lequel les personnes déclarées non responsables criminellement pour cause de troubles mentaux sont en soi dangereuses et présenteront toujours un danger.</w:t>
      </w:r>
    </w:p>
    <w:p w14:paraId="4E7E8367"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Citant l’arrêt </w:t>
      </w:r>
      <w:r w:rsidRPr="003022C4">
        <w:rPr>
          <w:rFonts w:cs="Times New Roman"/>
          <w:i/>
          <w:noProof/>
          <w:lang w:val="fr-CA"/>
        </w:rPr>
        <w:t>Winko c. Colombie</w:t>
      </w:r>
      <w:r>
        <w:rPr>
          <w:rFonts w:cs="Times New Roman"/>
          <w:i/>
          <w:noProof/>
          <w:lang w:val="fr-CA"/>
        </w:rPr>
        <w:noBreakHyphen/>
      </w:r>
      <w:r w:rsidRPr="003022C4">
        <w:rPr>
          <w:rFonts w:cs="Times New Roman"/>
          <w:i/>
          <w:noProof/>
          <w:lang w:val="fr-CA"/>
        </w:rPr>
        <w:t>Britannique (Forensic Psychiatric Institute)</w:t>
      </w:r>
      <w:r w:rsidRPr="003022C4">
        <w:rPr>
          <w:rFonts w:cs="Times New Roman"/>
          <w:noProof/>
          <w:lang w:val="fr-CA"/>
        </w:rPr>
        <w:t xml:space="preserve">, [1999] 2 R.C.S. 625, le </w:t>
      </w:r>
      <w:r>
        <w:rPr>
          <w:rFonts w:cs="Times New Roman"/>
          <w:noProof/>
          <w:lang w:val="fr-CA"/>
        </w:rPr>
        <w:t>juge Doherty</w:t>
      </w:r>
      <w:r w:rsidRPr="003022C4">
        <w:rPr>
          <w:rFonts w:cs="Times New Roman"/>
          <w:noProof/>
          <w:lang w:val="fr-CA"/>
        </w:rPr>
        <w:t xml:space="preserve"> a également conclu que la </w:t>
      </w:r>
      <w:r w:rsidRPr="003022C4">
        <w:rPr>
          <w:rFonts w:cs="Times New Roman"/>
          <w:i/>
          <w:noProof/>
          <w:lang w:val="fr-CA"/>
        </w:rPr>
        <w:t xml:space="preserve">Loi </w:t>
      </w:r>
      <w:r w:rsidRPr="003022C4">
        <w:rPr>
          <w:rFonts w:cs="Times New Roman"/>
          <w:noProof/>
          <w:lang w:val="fr-CA"/>
        </w:rPr>
        <w:t xml:space="preserve">porte atteinte au droit que confère le </w:t>
      </w:r>
      <w:r>
        <w:rPr>
          <w:rFonts w:cs="Times New Roman"/>
          <w:noProof/>
          <w:lang w:val="fr-CA"/>
        </w:rPr>
        <w:t>par. </w:t>
      </w:r>
      <w:r w:rsidRPr="003022C4">
        <w:rPr>
          <w:rFonts w:cs="Times New Roman"/>
          <w:noProof/>
          <w:lang w:val="fr-CA"/>
        </w:rPr>
        <w:t>15(1) aux personnes déclarées non responsables criminellement pour cause de troubles mentaux qui obtiennent une libération inconditionnelle parce qu’elle ne leur procure pas un traitement individuel. À son avis, l’égalité réelle commande que les personnes déclarées non responsables criminellement pour cause de troubles mentaux qui bénéficient d’une libération inconditionnelle aient l’occasion d’être soumises à une évaluation individuelle avant de devoir se conformer aux obligations concernant le registre.</w:t>
      </w:r>
    </w:p>
    <w:p w14:paraId="6683EF51"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Puisque la </w:t>
      </w:r>
      <w:r w:rsidRPr="003022C4">
        <w:rPr>
          <w:rFonts w:cs="Times New Roman"/>
          <w:i/>
          <w:noProof/>
          <w:lang w:val="fr-CA"/>
        </w:rPr>
        <w:t xml:space="preserve">Loi </w:t>
      </w:r>
      <w:r w:rsidRPr="003022C4">
        <w:rPr>
          <w:rFonts w:cs="Times New Roman"/>
          <w:noProof/>
          <w:lang w:val="fr-CA"/>
        </w:rPr>
        <w:t xml:space="preserve">ne porte pas atteinte de façon minimale aux droits à l’égalité, le juge Doherty a conclu que les violations du </w:t>
      </w:r>
      <w:r>
        <w:rPr>
          <w:rFonts w:cs="Times New Roman"/>
          <w:noProof/>
          <w:lang w:val="fr-CA"/>
        </w:rPr>
        <w:t>par. </w:t>
      </w:r>
      <w:r w:rsidRPr="003022C4">
        <w:rPr>
          <w:rFonts w:cs="Times New Roman"/>
          <w:noProof/>
          <w:lang w:val="fr-CA"/>
        </w:rPr>
        <w:t xml:space="preserve">15(1) ne sont pas justifiées au regard de l’article premier. Rien ne prouvait que l’objectif de sécurité publique visé par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serait miné si des dispenses étaient également accordées aux personnes déclarées non responsables criminellement pour cause de troubles mentaux qui ont obtenu une libération inconditionnelle. Le </w:t>
      </w:r>
      <w:r>
        <w:rPr>
          <w:rFonts w:cs="Times New Roman"/>
          <w:noProof/>
          <w:lang w:val="fr-CA"/>
        </w:rPr>
        <w:t>juge Doherty</w:t>
      </w:r>
      <w:r w:rsidRPr="003022C4">
        <w:rPr>
          <w:rFonts w:cs="Times New Roman"/>
          <w:noProof/>
          <w:lang w:val="fr-CA"/>
        </w:rPr>
        <w:t xml:space="preserve"> a en effet mentionné que des dispenses sont déjà accordées aux personnes déclarées coupables sans que cet objectif ne semble mis à mal.</w:t>
      </w:r>
    </w:p>
    <w:p w14:paraId="6E80DBA7"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En ce qui a trait à la réparation, le </w:t>
      </w:r>
      <w:r>
        <w:rPr>
          <w:rFonts w:cs="Times New Roman"/>
          <w:noProof/>
          <w:lang w:val="fr-CA"/>
        </w:rPr>
        <w:t>juge Doherty</w:t>
      </w:r>
      <w:r w:rsidRPr="003022C4">
        <w:rPr>
          <w:rFonts w:cs="Times New Roman"/>
          <w:noProof/>
          <w:lang w:val="fr-CA"/>
        </w:rPr>
        <w:t xml:space="preserve"> a suspendu pour 12 mois l’effet de la déclaration d’invalidité afin de permettre à la législature d’arrêter les mesures qui s’imposent. Toutefois, il a exempté G de cette suspension en ordonnant qu’il soit immédiatement retiré du registre et qu’il soit dispensé des obligations qui lui incombent à l’égard de celui</w:t>
      </w:r>
      <w:r>
        <w:rPr>
          <w:rFonts w:cs="Times New Roman"/>
          <w:noProof/>
          <w:lang w:val="fr-CA"/>
        </w:rPr>
        <w:noBreakHyphen/>
      </w:r>
      <w:r w:rsidRPr="003022C4">
        <w:rPr>
          <w:rFonts w:cs="Times New Roman"/>
          <w:noProof/>
          <w:lang w:val="fr-CA"/>
        </w:rPr>
        <w:t xml:space="preserve">ci. Le juge </w:t>
      </w:r>
      <w:r w:rsidRPr="003022C4">
        <w:rPr>
          <w:rFonts w:cs="Times New Roman"/>
          <w:lang w:val="fr-CA"/>
        </w:rPr>
        <w:t xml:space="preserve">Doherty est parvenu aux mêmes conclusions en ce qui a trait au régime fédéral </w:t>
      </w:r>
      <w:r>
        <w:rPr>
          <w:rFonts w:cs="Times New Roman"/>
          <w:lang w:val="fr-CA"/>
        </w:rPr>
        <w:t>régissant</w:t>
      </w:r>
      <w:r w:rsidRPr="003022C4">
        <w:rPr>
          <w:rFonts w:cs="Times New Roman"/>
          <w:lang w:val="fr-CA"/>
        </w:rPr>
        <w:t xml:space="preserve"> les délinquants sexuels créé par la </w:t>
      </w:r>
      <w:r w:rsidRPr="003022C4">
        <w:rPr>
          <w:rFonts w:cs="Times New Roman"/>
          <w:i/>
          <w:lang w:val="fr-CA"/>
        </w:rPr>
        <w:t>LERDS</w:t>
      </w:r>
      <w:r w:rsidRPr="003022C4">
        <w:rPr>
          <w:rFonts w:cs="Times New Roman"/>
          <w:lang w:val="fr-CA"/>
        </w:rPr>
        <w:t>; le procureur général du Canada n’a pas porté la décision en appel.</w:t>
      </w:r>
    </w:p>
    <w:p w14:paraId="60777EB7" w14:textId="77777777" w:rsidR="00F712C6" w:rsidRPr="003022C4" w:rsidRDefault="00F712C6" w:rsidP="00F712C6">
      <w:pPr>
        <w:pStyle w:val="Title1LevelTitre1Niveau-AltL"/>
        <w:rPr>
          <w:rFonts w:cs="Times New Roman"/>
          <w:noProof/>
          <w:lang w:val="fr-CA"/>
        </w:rPr>
      </w:pPr>
      <w:r w:rsidRPr="003022C4">
        <w:rPr>
          <w:rFonts w:cs="Times New Roman"/>
          <w:noProof/>
          <w:lang w:val="fr-CA"/>
        </w:rPr>
        <w:t>Questions en litige</w:t>
      </w:r>
    </w:p>
    <w:p w14:paraId="634525CB"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Le procureur général de l’Ontario interjette appel de l’ordonnance déclarant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inopérante à l’endroit des personnes jugées non responsables criminellement pour cause de troubles mentaux qui ont obtenu une libération inconditionnelle, ainsi que de l’ordonnance selon laquelle G doit être immédiatement retiré du registre et dispensé des obligations qui lui incombent à l’égard de celui</w:t>
      </w:r>
      <w:r>
        <w:rPr>
          <w:rFonts w:cs="Times New Roman"/>
          <w:noProof/>
          <w:lang w:val="fr-CA"/>
        </w:rPr>
        <w:noBreakHyphen/>
      </w:r>
      <w:r w:rsidRPr="003022C4">
        <w:rPr>
          <w:rFonts w:cs="Times New Roman"/>
          <w:noProof/>
          <w:lang w:val="fr-CA"/>
        </w:rPr>
        <w:t>ci.</w:t>
      </w:r>
    </w:p>
    <w:p w14:paraId="6EC7CB7D" w14:textId="77777777" w:rsidR="00F712C6" w:rsidRPr="003022C4" w:rsidRDefault="00F712C6" w:rsidP="00F712C6">
      <w:pPr>
        <w:pStyle w:val="ParaNoNdepar-AltN"/>
        <w:rPr>
          <w:rFonts w:cs="Times New Roman"/>
          <w:noProof/>
          <w:lang w:val="fr-CA"/>
        </w:rPr>
      </w:pPr>
      <w:r w:rsidRPr="003022C4">
        <w:rPr>
          <w:rFonts w:cs="Times New Roman"/>
          <w:noProof/>
          <w:lang w:val="fr-CA"/>
        </w:rPr>
        <w:t>La présente affaire soulève les questions suivantes, lesquelles visent à établir si le régime d’enregistrement des délinquants sexuels porte atteinte aux droits des personnes déclarées non responsables criminellement pour cause de troubles mentaux</w:t>
      </w:r>
      <w:r>
        <w:rPr>
          <w:rFonts w:cs="Times New Roman"/>
          <w:noProof/>
          <w:lang w:val="fr-CA"/>
        </w:rPr>
        <w:t> :</w:t>
      </w:r>
    </w:p>
    <w:p w14:paraId="01D66616" w14:textId="77777777" w:rsidR="00F712C6" w:rsidRPr="003022C4" w:rsidRDefault="00F712C6" w:rsidP="005D68E9">
      <w:pPr>
        <w:pStyle w:val="Citation-AltC"/>
        <w:numPr>
          <w:ilvl w:val="0"/>
          <w:numId w:val="10"/>
        </w:numPr>
        <w:spacing w:after="480" w:line="480" w:lineRule="auto"/>
        <w:ind w:left="450" w:hanging="450"/>
        <w:contextualSpacing w:val="0"/>
        <w:rPr>
          <w:noProof/>
          <w:lang w:val="fr-CA"/>
        </w:rPr>
      </w:pPr>
      <w:r w:rsidRPr="003022C4">
        <w:rPr>
          <w:noProof/>
          <w:lang w:val="fr-CA"/>
        </w:rPr>
        <w:t xml:space="preserve">La </w:t>
      </w:r>
      <w:r w:rsidRPr="003022C4">
        <w:rPr>
          <w:i/>
          <w:noProof/>
          <w:lang w:val="fr-CA"/>
        </w:rPr>
        <w:t xml:space="preserve">Loi Christopher </w:t>
      </w:r>
      <w:r w:rsidRPr="003022C4">
        <w:rPr>
          <w:noProof/>
          <w:lang w:val="fr-CA"/>
        </w:rPr>
        <w:t>viole</w:t>
      </w:r>
      <w:r>
        <w:rPr>
          <w:noProof/>
          <w:lang w:val="fr-CA"/>
        </w:rPr>
        <w:noBreakHyphen/>
      </w:r>
      <w:r w:rsidRPr="003022C4">
        <w:rPr>
          <w:noProof/>
          <w:lang w:val="fr-CA"/>
        </w:rPr>
        <w:t>t</w:t>
      </w:r>
      <w:r>
        <w:rPr>
          <w:noProof/>
          <w:lang w:val="fr-CA"/>
        </w:rPr>
        <w:noBreakHyphen/>
      </w:r>
      <w:r w:rsidRPr="003022C4">
        <w:rPr>
          <w:noProof/>
          <w:lang w:val="fr-CA"/>
        </w:rPr>
        <w:t xml:space="preserve">elle le </w:t>
      </w:r>
      <w:r>
        <w:rPr>
          <w:noProof/>
          <w:lang w:val="fr-CA"/>
        </w:rPr>
        <w:t>par. </w:t>
      </w:r>
      <w:r w:rsidRPr="003022C4">
        <w:rPr>
          <w:noProof/>
          <w:lang w:val="fr-CA"/>
        </w:rPr>
        <w:t>15(1)?</w:t>
      </w:r>
    </w:p>
    <w:p w14:paraId="19170E38" w14:textId="77777777" w:rsidR="00F712C6" w:rsidRPr="003022C4" w:rsidRDefault="00F712C6" w:rsidP="005D68E9">
      <w:pPr>
        <w:pStyle w:val="Citation-AltC"/>
        <w:numPr>
          <w:ilvl w:val="0"/>
          <w:numId w:val="10"/>
        </w:numPr>
        <w:spacing w:after="480" w:line="480" w:lineRule="auto"/>
        <w:ind w:left="450" w:hanging="448"/>
        <w:contextualSpacing w:val="0"/>
        <w:rPr>
          <w:noProof/>
          <w:lang w:val="fr-CA"/>
        </w:rPr>
      </w:pPr>
      <w:r w:rsidRPr="003022C4">
        <w:rPr>
          <w:noProof/>
          <w:lang w:val="fr-CA"/>
        </w:rPr>
        <w:t xml:space="preserve">Dans l’affirmative, la </w:t>
      </w:r>
      <w:r>
        <w:rPr>
          <w:i/>
          <w:noProof/>
          <w:lang w:val="fr-CA"/>
        </w:rPr>
        <w:t>Loi Christopher</w:t>
      </w:r>
      <w:r w:rsidRPr="003022C4">
        <w:rPr>
          <w:i/>
          <w:noProof/>
          <w:lang w:val="fr-CA"/>
        </w:rPr>
        <w:t xml:space="preserve"> </w:t>
      </w:r>
      <w:r w:rsidRPr="003022C4">
        <w:rPr>
          <w:noProof/>
          <w:lang w:val="fr-CA"/>
        </w:rPr>
        <w:t>se justifie</w:t>
      </w:r>
      <w:r>
        <w:rPr>
          <w:noProof/>
          <w:lang w:val="fr-CA"/>
        </w:rPr>
        <w:noBreakHyphen/>
      </w:r>
      <w:r w:rsidRPr="003022C4">
        <w:rPr>
          <w:noProof/>
          <w:lang w:val="fr-CA"/>
        </w:rPr>
        <w:t>t</w:t>
      </w:r>
      <w:r>
        <w:rPr>
          <w:noProof/>
          <w:lang w:val="fr-CA"/>
        </w:rPr>
        <w:noBreakHyphen/>
      </w:r>
      <w:r w:rsidRPr="003022C4">
        <w:rPr>
          <w:noProof/>
          <w:lang w:val="fr-CA"/>
        </w:rPr>
        <w:t xml:space="preserve">elle en tant que limite raisonnable au regard de l’article premier de la </w:t>
      </w:r>
      <w:r w:rsidRPr="003022C4">
        <w:rPr>
          <w:i/>
          <w:noProof/>
          <w:lang w:val="fr-CA"/>
        </w:rPr>
        <w:t>Charte</w:t>
      </w:r>
      <w:r w:rsidRPr="003022C4">
        <w:rPr>
          <w:noProof/>
          <w:lang w:val="fr-CA"/>
        </w:rPr>
        <w:t>?</w:t>
      </w:r>
    </w:p>
    <w:p w14:paraId="248944FA" w14:textId="77777777" w:rsidR="00F712C6" w:rsidRPr="003022C4" w:rsidRDefault="00F712C6" w:rsidP="005D68E9">
      <w:pPr>
        <w:pStyle w:val="Citation-AltC"/>
        <w:numPr>
          <w:ilvl w:val="0"/>
          <w:numId w:val="10"/>
        </w:numPr>
        <w:spacing w:after="480" w:line="480" w:lineRule="auto"/>
        <w:ind w:left="450" w:hanging="448"/>
        <w:contextualSpacing w:val="0"/>
        <w:rPr>
          <w:noProof/>
          <w:lang w:val="fr-CA"/>
        </w:rPr>
      </w:pPr>
      <w:r w:rsidRPr="003022C4">
        <w:rPr>
          <w:noProof/>
          <w:lang w:val="fr-CA"/>
        </w:rPr>
        <w:t xml:space="preserve">La </w:t>
      </w:r>
      <w:r w:rsidRPr="003022C4">
        <w:rPr>
          <w:i/>
          <w:noProof/>
          <w:lang w:val="fr-CA"/>
        </w:rPr>
        <w:t xml:space="preserve">Loi Christopher </w:t>
      </w:r>
      <w:r w:rsidRPr="003022C4">
        <w:rPr>
          <w:noProof/>
          <w:lang w:val="fr-CA"/>
        </w:rPr>
        <w:t>viole</w:t>
      </w:r>
      <w:r>
        <w:rPr>
          <w:noProof/>
          <w:lang w:val="fr-CA"/>
        </w:rPr>
        <w:noBreakHyphen/>
      </w:r>
      <w:r w:rsidRPr="003022C4">
        <w:rPr>
          <w:noProof/>
          <w:lang w:val="fr-CA"/>
        </w:rPr>
        <w:t>t</w:t>
      </w:r>
      <w:r>
        <w:rPr>
          <w:noProof/>
          <w:lang w:val="fr-CA"/>
        </w:rPr>
        <w:noBreakHyphen/>
      </w:r>
      <w:r w:rsidRPr="003022C4">
        <w:rPr>
          <w:noProof/>
          <w:lang w:val="fr-CA"/>
        </w:rPr>
        <w:t>elle l’</w:t>
      </w:r>
      <w:r>
        <w:rPr>
          <w:noProof/>
          <w:lang w:val="fr-CA"/>
        </w:rPr>
        <w:t>art. </w:t>
      </w:r>
      <w:r w:rsidRPr="003022C4">
        <w:rPr>
          <w:noProof/>
          <w:lang w:val="fr-CA"/>
        </w:rPr>
        <w:t>7?</w:t>
      </w:r>
    </w:p>
    <w:p w14:paraId="4127F201" w14:textId="77777777" w:rsidR="00F712C6" w:rsidRPr="003022C4" w:rsidRDefault="00F712C6" w:rsidP="005D68E9">
      <w:pPr>
        <w:pStyle w:val="Citation-AltC"/>
        <w:numPr>
          <w:ilvl w:val="0"/>
          <w:numId w:val="10"/>
        </w:numPr>
        <w:spacing w:after="480" w:line="480" w:lineRule="auto"/>
        <w:ind w:left="450" w:hanging="448"/>
        <w:contextualSpacing w:val="0"/>
        <w:rPr>
          <w:noProof/>
          <w:lang w:val="fr-CA"/>
        </w:rPr>
      </w:pPr>
      <w:r w:rsidRPr="003022C4">
        <w:rPr>
          <w:noProof/>
          <w:lang w:val="fr-CA"/>
        </w:rPr>
        <w:t>Quelle est la réparation appropriée? L’effet de la déclaration d’invalidité a</w:t>
      </w:r>
      <w:r>
        <w:rPr>
          <w:noProof/>
          <w:lang w:val="fr-CA"/>
        </w:rPr>
        <w:noBreakHyphen/>
      </w:r>
      <w:r w:rsidRPr="003022C4">
        <w:rPr>
          <w:noProof/>
          <w:lang w:val="fr-CA"/>
        </w:rPr>
        <w:t>t</w:t>
      </w:r>
      <w:r>
        <w:rPr>
          <w:noProof/>
          <w:lang w:val="fr-CA"/>
        </w:rPr>
        <w:noBreakHyphen/>
      </w:r>
      <w:r w:rsidRPr="003022C4">
        <w:rPr>
          <w:noProof/>
          <w:lang w:val="fr-CA"/>
        </w:rPr>
        <w:t>il été suspendu à juste titre pendant une certaine période? Dans l’affirmative, G a</w:t>
      </w:r>
      <w:r>
        <w:rPr>
          <w:noProof/>
          <w:lang w:val="fr-CA"/>
        </w:rPr>
        <w:noBreakHyphen/>
      </w:r>
      <w:r w:rsidRPr="003022C4">
        <w:rPr>
          <w:noProof/>
          <w:lang w:val="fr-CA"/>
        </w:rPr>
        <w:t>t</w:t>
      </w:r>
      <w:r>
        <w:rPr>
          <w:noProof/>
          <w:lang w:val="fr-CA"/>
        </w:rPr>
        <w:noBreakHyphen/>
      </w:r>
      <w:r w:rsidRPr="003022C4">
        <w:rPr>
          <w:noProof/>
          <w:lang w:val="fr-CA"/>
        </w:rPr>
        <w:t>il obtenu à bon droit une exemption individuelle de cette suspension?</w:t>
      </w:r>
    </w:p>
    <w:p w14:paraId="347BD945"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Je commencerai par exposer les aspects pertinents de la </w:t>
      </w:r>
      <w:r>
        <w:rPr>
          <w:rFonts w:cs="Times New Roman"/>
          <w:i/>
          <w:noProof/>
          <w:lang w:val="fr-CA"/>
        </w:rPr>
        <w:t>Loi Christopher</w:t>
      </w:r>
      <w:r w:rsidRPr="003022C4">
        <w:rPr>
          <w:rFonts w:cs="Times New Roman"/>
          <w:i/>
          <w:noProof/>
          <w:lang w:val="fr-CA"/>
        </w:rPr>
        <w:t xml:space="preserve"> </w:t>
      </w:r>
      <w:r>
        <w:rPr>
          <w:rFonts w:cs="Times New Roman"/>
          <w:noProof/>
          <w:lang w:val="fr-CA"/>
        </w:rPr>
        <w:t xml:space="preserve">et de la partie </w:t>
      </w:r>
      <w:r w:rsidRPr="003022C4">
        <w:rPr>
          <w:rFonts w:cs="Times New Roman"/>
          <w:noProof/>
          <w:lang w:val="fr-CA"/>
        </w:rPr>
        <w:t xml:space="preserve">XX.1 du </w:t>
      </w:r>
      <w:r w:rsidRPr="003022C4">
        <w:rPr>
          <w:rFonts w:cs="Times New Roman"/>
          <w:i/>
          <w:noProof/>
          <w:lang w:val="fr-CA"/>
        </w:rPr>
        <w:t>Code criminel</w:t>
      </w:r>
      <w:r w:rsidRPr="003022C4">
        <w:rPr>
          <w:rFonts w:cs="Times New Roman"/>
          <w:noProof/>
          <w:lang w:val="fr-CA"/>
        </w:rPr>
        <w:t>, puis j’examinerai les questions qui sont en litige dans le présent pourvoi.</w:t>
      </w:r>
    </w:p>
    <w:p w14:paraId="0E4AFBCB" w14:textId="77777777" w:rsidR="00F712C6" w:rsidRPr="003022C4" w:rsidRDefault="00F712C6" w:rsidP="00F712C6">
      <w:pPr>
        <w:pStyle w:val="Title1LevelTitre1Niveau-AltL"/>
        <w:rPr>
          <w:rFonts w:cs="Times New Roman"/>
          <w:noProof/>
          <w:lang w:val="fr-CA"/>
        </w:rPr>
      </w:pPr>
      <w:r w:rsidRPr="003022C4">
        <w:rPr>
          <w:rFonts w:cs="Times New Roman"/>
          <w:i/>
          <w:noProof/>
          <w:lang w:val="fr-CA"/>
        </w:rPr>
        <w:t>Loi Christopher</w:t>
      </w:r>
    </w:p>
    <w:p w14:paraId="6DAA5869"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établit un registre où figurent notamment le nom, la date de naissance, l’adresse, les numéros de téléphone personnel et professionnel, le nom de l’employeur, la description et la photographie des résidents de l’Ontario qui ont été déclarés coupables ou non responsables criminellement pour cause de troubles mentaux d’une infraction sexuelle, ainsi que l’infraction sexuelle en cause (</w:t>
      </w:r>
      <w:r>
        <w:rPr>
          <w:rFonts w:cs="Times New Roman"/>
          <w:noProof/>
          <w:lang w:val="fr-CA"/>
        </w:rPr>
        <w:t>art. </w:t>
      </w:r>
      <w:r w:rsidRPr="003022C4">
        <w:rPr>
          <w:rFonts w:cs="Times New Roman"/>
          <w:noProof/>
          <w:lang w:val="fr-CA"/>
        </w:rPr>
        <w:t xml:space="preserve">2; </w:t>
      </w:r>
      <w:r w:rsidRPr="003022C4">
        <w:rPr>
          <w:rFonts w:cs="Times New Roman"/>
          <w:i/>
          <w:noProof/>
          <w:lang w:val="fr-CA"/>
        </w:rPr>
        <w:t>Loi Christopher de 2000 sur le registre des délinquants sexuels</w:t>
      </w:r>
      <w:r w:rsidRPr="003022C4">
        <w:rPr>
          <w:rFonts w:cs="Times New Roman"/>
          <w:noProof/>
          <w:lang w:val="fr-CA"/>
        </w:rPr>
        <w:t>, Règl. de l’Ont. 69/01 (</w:t>
      </w:r>
      <w:r w:rsidRPr="003022C4">
        <w:rPr>
          <w:rFonts w:cs="Times New Roman"/>
          <w:i/>
          <w:noProof/>
          <w:lang w:val="fr-CA"/>
        </w:rPr>
        <w:t>Règlement de la Loi Christopher</w:t>
      </w:r>
      <w:r w:rsidRPr="003022C4">
        <w:rPr>
          <w:rFonts w:cs="Times New Roman"/>
          <w:noProof/>
          <w:lang w:val="fr-CA"/>
        </w:rPr>
        <w:t xml:space="preserve">), </w:t>
      </w:r>
      <w:r>
        <w:rPr>
          <w:rFonts w:cs="Times New Roman"/>
          <w:noProof/>
          <w:lang w:val="fr-CA"/>
        </w:rPr>
        <w:t>art. </w:t>
      </w:r>
      <w:r w:rsidRPr="003022C4">
        <w:rPr>
          <w:rFonts w:cs="Times New Roman"/>
          <w:noProof/>
          <w:lang w:val="fr-CA"/>
        </w:rPr>
        <w:t>2).</w:t>
      </w:r>
    </w:p>
    <w:p w14:paraId="3B0EA0CB"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La </w:t>
      </w:r>
      <w:r>
        <w:rPr>
          <w:rFonts w:cs="Times New Roman"/>
          <w:i/>
          <w:noProof/>
          <w:lang w:val="fr-CA"/>
        </w:rPr>
        <w:t>Loi Christopher</w:t>
      </w:r>
      <w:r w:rsidRPr="003022C4">
        <w:rPr>
          <w:rFonts w:cs="Times New Roman"/>
          <w:i/>
          <w:noProof/>
          <w:lang w:val="fr-CA"/>
        </w:rPr>
        <w:t xml:space="preserve"> </w:t>
      </w:r>
      <w:r>
        <w:rPr>
          <w:rFonts w:cs="Times New Roman"/>
          <w:noProof/>
          <w:lang w:val="fr-CA"/>
        </w:rPr>
        <w:t xml:space="preserve">impose trois </w:t>
      </w:r>
      <w:r w:rsidRPr="003022C4">
        <w:rPr>
          <w:rFonts w:cs="Times New Roman"/>
          <w:noProof/>
          <w:lang w:val="fr-CA"/>
        </w:rPr>
        <w:t xml:space="preserve">fardeaux distincts aux délinquants. Premièrement, les délinquants sont tenus de se présenter pour la première fois devant les autorités et cette obligation s’applique, de façon générale, dès qu’ils sont mis en liberté dans la société. Deuxièmement, les délinquants sont tenus de continuer de se présenter devant les autorités au moins une </w:t>
      </w:r>
      <w:r>
        <w:rPr>
          <w:rFonts w:cs="Times New Roman"/>
          <w:noProof/>
          <w:lang w:val="fr-CA"/>
        </w:rPr>
        <w:t xml:space="preserve">fois par année et dans les sept </w:t>
      </w:r>
      <w:r w:rsidRPr="003022C4">
        <w:rPr>
          <w:rFonts w:cs="Times New Roman"/>
          <w:noProof/>
          <w:lang w:val="fr-CA"/>
        </w:rPr>
        <w:t>jours suivant un changement précis de leur situation, comme un changement d’adresse ou de nom. Troisièmement, les renseignements sur les délinquants sont conservés dans le registre et ne peuvent être supprimés que lorsque les personnes enregistrées obtiennent un pardon absolu (</w:t>
      </w:r>
      <w:r>
        <w:rPr>
          <w:rFonts w:cs="Times New Roman"/>
          <w:noProof/>
          <w:lang w:val="fr-CA"/>
        </w:rPr>
        <w:t>art. </w:t>
      </w:r>
      <w:r w:rsidRPr="003022C4">
        <w:rPr>
          <w:rFonts w:cs="Times New Roman"/>
          <w:noProof/>
          <w:lang w:val="fr-CA"/>
        </w:rPr>
        <w:t xml:space="preserve">9.1; </w:t>
      </w:r>
      <w:r w:rsidRPr="003022C4">
        <w:rPr>
          <w:rFonts w:cs="Times New Roman"/>
          <w:i/>
          <w:noProof/>
          <w:lang w:val="fr-CA"/>
        </w:rPr>
        <w:t>Règlement de la Loi Christopher</w:t>
      </w:r>
      <w:r w:rsidRPr="003022C4">
        <w:rPr>
          <w:rFonts w:cs="Times New Roman"/>
          <w:noProof/>
          <w:lang w:val="fr-CA"/>
        </w:rPr>
        <w:t xml:space="preserve">, </w:t>
      </w:r>
      <w:r>
        <w:rPr>
          <w:rFonts w:cs="Times New Roman"/>
          <w:noProof/>
          <w:lang w:val="fr-CA"/>
        </w:rPr>
        <w:t>par. </w:t>
      </w:r>
      <w:r w:rsidRPr="003022C4">
        <w:rPr>
          <w:rFonts w:cs="Times New Roman"/>
          <w:noProof/>
          <w:lang w:val="fr-CA"/>
        </w:rPr>
        <w:t>2(3)). Ces fardeaux sont expliqués plus en détail ci</w:t>
      </w:r>
      <w:r>
        <w:rPr>
          <w:rFonts w:cs="Times New Roman"/>
          <w:noProof/>
          <w:lang w:val="fr-CA"/>
        </w:rPr>
        <w:noBreakHyphen/>
      </w:r>
      <w:r w:rsidRPr="003022C4">
        <w:rPr>
          <w:rFonts w:cs="Times New Roman"/>
          <w:noProof/>
          <w:lang w:val="fr-CA"/>
        </w:rPr>
        <w:t>après.</w:t>
      </w:r>
    </w:p>
    <w:p w14:paraId="3B3B4DE9" w14:textId="77777777" w:rsidR="00F712C6" w:rsidRPr="003022C4" w:rsidRDefault="00F712C6" w:rsidP="00F712C6">
      <w:pPr>
        <w:pStyle w:val="ParaNoNdepar-AltN"/>
        <w:rPr>
          <w:rFonts w:cs="Times New Roman"/>
          <w:noProof/>
          <w:lang w:val="fr-CA"/>
        </w:rPr>
      </w:pPr>
      <w:r w:rsidRPr="003022C4">
        <w:rPr>
          <w:rFonts w:cs="Times New Roman"/>
          <w:noProof/>
          <w:lang w:val="fr-CA"/>
        </w:rPr>
        <w:t>Les délinquants doivent se rendre en personne à un poste de police ou à un autre lieu désigné pour s’acquitter de leurs obligations de se présenter devant les autorités dans les sept</w:t>
      </w:r>
      <w:r>
        <w:rPr>
          <w:rFonts w:cs="Times New Roman"/>
          <w:noProof/>
          <w:lang w:val="fr-CA"/>
        </w:rPr>
        <w:t xml:space="preserve"> </w:t>
      </w:r>
      <w:r w:rsidRPr="003022C4">
        <w:rPr>
          <w:rFonts w:cs="Times New Roman"/>
          <w:noProof/>
          <w:lang w:val="fr-CA"/>
        </w:rPr>
        <w:t>jours suivants leur mise en liberté, leur mise en liberté conditionnelle ou leur libération inconditionnelle ou sous conditions après qu’ils ont été déclarés non responsables criminellement pour cause de troubles mentaux, et après qu’ils sont devenus des résidents de l’Ontario (</w:t>
      </w:r>
      <w:r>
        <w:rPr>
          <w:rFonts w:cs="Times New Roman"/>
          <w:noProof/>
          <w:lang w:val="fr-CA"/>
        </w:rPr>
        <w:t>par. </w:t>
      </w:r>
      <w:r w:rsidRPr="003022C4">
        <w:rPr>
          <w:rFonts w:cs="Times New Roman"/>
          <w:noProof/>
          <w:lang w:val="fr-CA"/>
        </w:rPr>
        <w:t xml:space="preserve">3(1); </w:t>
      </w:r>
      <w:r w:rsidRPr="003022C4">
        <w:rPr>
          <w:rFonts w:cs="Times New Roman"/>
          <w:i/>
          <w:noProof/>
          <w:lang w:val="fr-CA"/>
        </w:rPr>
        <w:t>Règlement de la Loi Christopher</w:t>
      </w:r>
      <w:r w:rsidRPr="003022C4">
        <w:rPr>
          <w:rFonts w:cs="Times New Roman"/>
          <w:noProof/>
          <w:lang w:val="fr-CA"/>
        </w:rPr>
        <w:t xml:space="preserve">, </w:t>
      </w:r>
      <w:r>
        <w:rPr>
          <w:rFonts w:cs="Times New Roman"/>
          <w:noProof/>
          <w:lang w:val="fr-CA"/>
        </w:rPr>
        <w:t>art. </w:t>
      </w:r>
      <w:r w:rsidRPr="003022C4">
        <w:rPr>
          <w:rFonts w:cs="Times New Roman"/>
          <w:noProof/>
          <w:lang w:val="fr-CA"/>
        </w:rPr>
        <w:t>1.2). La première fois qu’ils se présentent à un po</w:t>
      </w:r>
      <w:r>
        <w:rPr>
          <w:rFonts w:cs="Times New Roman"/>
          <w:noProof/>
          <w:lang w:val="fr-CA"/>
        </w:rPr>
        <w:t xml:space="preserve">ste de police, il faut entre 45 et 60 </w:t>
      </w:r>
      <w:r w:rsidRPr="003022C4">
        <w:rPr>
          <w:rFonts w:cs="Times New Roman"/>
          <w:noProof/>
          <w:lang w:val="fr-CA"/>
        </w:rPr>
        <w:t>minutes pour procéder à leur inscription au registre.</w:t>
      </w:r>
    </w:p>
    <w:p w14:paraId="6D28A607" w14:textId="77777777" w:rsidR="00F712C6" w:rsidRPr="003022C4" w:rsidRDefault="00F712C6" w:rsidP="00F712C6">
      <w:pPr>
        <w:pStyle w:val="ParaNoNdepar-AltN"/>
        <w:rPr>
          <w:rFonts w:cs="Times New Roman"/>
          <w:noProof/>
          <w:lang w:val="fr-CA"/>
        </w:rPr>
      </w:pPr>
      <w:r w:rsidRPr="003022C4">
        <w:rPr>
          <w:rFonts w:cs="Times New Roman"/>
          <w:noProof/>
          <w:lang w:val="fr-CA"/>
        </w:rPr>
        <w:t>Les délinquants doivent se présenter devant les autorités au moins une fois par année pour s’acquitter de leurs obligations continues (</w:t>
      </w:r>
      <w:r>
        <w:rPr>
          <w:rFonts w:cs="Times New Roman"/>
          <w:noProof/>
          <w:lang w:val="fr-CA"/>
        </w:rPr>
        <w:t>al. </w:t>
      </w:r>
      <w:r w:rsidRPr="003022C4">
        <w:rPr>
          <w:rFonts w:cs="Times New Roman"/>
          <w:noProof/>
          <w:lang w:val="fr-CA"/>
        </w:rPr>
        <w:t xml:space="preserve">3(1)f) et 3(1)g)). Ils sont tenus de fournir un grand nombre de renseignements énoncés dans le </w:t>
      </w:r>
      <w:r w:rsidRPr="003022C4">
        <w:rPr>
          <w:rFonts w:cs="Times New Roman"/>
          <w:i/>
          <w:noProof/>
          <w:lang w:val="fr-CA"/>
        </w:rPr>
        <w:t>Règlement</w:t>
      </w:r>
      <w:r w:rsidRPr="003022C4">
        <w:rPr>
          <w:rFonts w:cs="Times New Roman"/>
          <w:noProof/>
          <w:lang w:val="fr-CA"/>
        </w:rPr>
        <w:t>, tels que leur nom et leurs pseudonymes actuels et antérieurs, leur adresse, leurs numéros de téléphone personnel et professionnel, le nom de leur employeur, leur photographie, leur description physique, le numéro de leur permis de conduire, le numéro de leur plaque d’immatriculation, les caractéristiques du véhicule qu’ils utilisent régulièrement, et les établissements d’enseignement où ils sont inscrits (</w:t>
      </w:r>
      <w:r>
        <w:rPr>
          <w:rFonts w:cs="Times New Roman"/>
          <w:noProof/>
          <w:lang w:val="fr-CA"/>
        </w:rPr>
        <w:t>par. </w:t>
      </w:r>
      <w:r w:rsidRPr="003022C4">
        <w:rPr>
          <w:rFonts w:cs="Times New Roman"/>
          <w:noProof/>
          <w:lang w:val="fr-CA"/>
        </w:rPr>
        <w:t xml:space="preserve">3(2); </w:t>
      </w:r>
      <w:r w:rsidRPr="003022C4">
        <w:rPr>
          <w:rFonts w:cs="Times New Roman"/>
          <w:i/>
          <w:noProof/>
          <w:lang w:val="fr-CA"/>
        </w:rPr>
        <w:t>Règlement de la Loi Christopher</w:t>
      </w:r>
      <w:r w:rsidRPr="003022C4">
        <w:rPr>
          <w:rFonts w:cs="Times New Roman"/>
          <w:noProof/>
          <w:lang w:val="fr-CA"/>
        </w:rPr>
        <w:t xml:space="preserve">, </w:t>
      </w:r>
      <w:r>
        <w:rPr>
          <w:rFonts w:cs="Times New Roman"/>
          <w:noProof/>
          <w:lang w:val="fr-CA"/>
        </w:rPr>
        <w:t>art. </w:t>
      </w:r>
      <w:r w:rsidRPr="003022C4">
        <w:rPr>
          <w:rFonts w:cs="Times New Roman"/>
          <w:noProof/>
          <w:lang w:val="fr-CA"/>
        </w:rPr>
        <w:t>2). Il leur faut entre 30</w:t>
      </w:r>
      <w:r>
        <w:rPr>
          <w:rFonts w:cs="Times New Roman"/>
          <w:noProof/>
          <w:lang w:val="fr-CA"/>
        </w:rPr>
        <w:t xml:space="preserve"> et 60 </w:t>
      </w:r>
      <w:r w:rsidRPr="003022C4">
        <w:rPr>
          <w:rFonts w:cs="Times New Roman"/>
          <w:noProof/>
          <w:lang w:val="fr-CA"/>
        </w:rPr>
        <w:t>minutes pour s’acquitter de ces obligations annuelles. Les délinquants doivent également se présenter devant les autorités chaque fois qu’ils changent d’adresse ou de nom et qu’ils deviennent ou cessent d’être des résidents de l’Ontario.</w:t>
      </w:r>
    </w:p>
    <w:p w14:paraId="4B765833" w14:textId="77777777" w:rsidR="00F712C6" w:rsidRPr="003022C4" w:rsidRDefault="00F712C6" w:rsidP="00F712C6">
      <w:pPr>
        <w:pStyle w:val="ParaNoNdepar-AltN"/>
        <w:rPr>
          <w:rFonts w:cs="Times New Roman"/>
          <w:noProof/>
          <w:lang w:val="fr-CA"/>
        </w:rPr>
      </w:pPr>
      <w:r w:rsidRPr="003022C4">
        <w:rPr>
          <w:rFonts w:cs="Times New Roman"/>
          <w:noProof/>
          <w:lang w:val="fr-CA"/>
        </w:rPr>
        <w:t>Les délinquants sont tenus de se présenter devant les autorités pendant une période de 10 ans si la peine maximale prévue pour l’infraction sexuelle dont ils ont été déclarés coupables ou déclarés non responsables criminellement pour cause de troubles mentaux ne dépasse pas 10 ans (</w:t>
      </w:r>
      <w:r>
        <w:rPr>
          <w:rFonts w:cs="Times New Roman"/>
          <w:noProof/>
          <w:lang w:val="fr-CA"/>
        </w:rPr>
        <w:t>al. </w:t>
      </w:r>
      <w:r w:rsidRPr="003022C4">
        <w:rPr>
          <w:rFonts w:cs="Times New Roman"/>
          <w:noProof/>
          <w:lang w:val="fr-CA"/>
        </w:rPr>
        <w:t>7(1)a)). Ils sont tenus de se présenter devant les autorités pendant le reste de leur vie si la peine maximale prévue dépasse 10 ans ou s’ils ont été déclarés coupables ou non responsables criminellement pour cause de troubles mentaux de plus d’une infraction sexuelle (</w:t>
      </w:r>
      <w:r>
        <w:rPr>
          <w:rFonts w:cs="Times New Roman"/>
          <w:noProof/>
          <w:lang w:val="fr-CA"/>
        </w:rPr>
        <w:t>al. </w:t>
      </w:r>
      <w:r w:rsidRPr="003022C4">
        <w:rPr>
          <w:rFonts w:cs="Times New Roman"/>
          <w:noProof/>
          <w:lang w:val="fr-CA"/>
        </w:rPr>
        <w:t>7(1)b) et c)).</w:t>
      </w:r>
    </w:p>
    <w:p w14:paraId="16226789" w14:textId="77777777" w:rsidR="00F712C6" w:rsidRPr="003022C4" w:rsidRDefault="00F712C6" w:rsidP="00F712C6">
      <w:pPr>
        <w:pStyle w:val="ParaNoNdepar-AltN"/>
        <w:rPr>
          <w:rFonts w:cs="Times New Roman"/>
          <w:noProof/>
          <w:lang w:val="fr-CA"/>
        </w:rPr>
      </w:pPr>
      <w:r w:rsidRPr="003022C4">
        <w:rPr>
          <w:rFonts w:cs="Times New Roman"/>
          <w:noProof/>
          <w:lang w:val="fr-CA"/>
        </w:rPr>
        <w:t>Les personnes qui obtiennent une absolution sous conditions ou une absolution inconditionnelle en vertu de l’</w:t>
      </w:r>
      <w:r>
        <w:rPr>
          <w:rFonts w:cs="Times New Roman"/>
          <w:noProof/>
          <w:lang w:val="fr-CA"/>
        </w:rPr>
        <w:t>art. </w:t>
      </w:r>
      <w:r w:rsidRPr="003022C4">
        <w:rPr>
          <w:rFonts w:cs="Times New Roman"/>
          <w:noProof/>
          <w:lang w:val="fr-CA"/>
        </w:rPr>
        <w:t xml:space="preserve">730 du </w:t>
      </w:r>
      <w:r w:rsidRPr="003022C4">
        <w:rPr>
          <w:rFonts w:cs="Times New Roman"/>
          <w:i/>
          <w:noProof/>
          <w:lang w:val="fr-CA"/>
        </w:rPr>
        <w:t xml:space="preserve">Code criminel </w:t>
      </w:r>
      <w:r w:rsidRPr="003022C4">
        <w:rPr>
          <w:rFonts w:cs="Times New Roman"/>
          <w:noProof/>
          <w:lang w:val="fr-CA"/>
        </w:rPr>
        <w:t xml:space="preserve">ne sont pas tenues de se présenter devant les autorités, car elles sont réputées ne pas avoir été condamnées à l’égard de l’infraction aux termes du </w:t>
      </w:r>
      <w:r>
        <w:rPr>
          <w:rFonts w:cs="Times New Roman"/>
          <w:noProof/>
          <w:lang w:val="fr-CA"/>
        </w:rPr>
        <w:t>par. </w:t>
      </w:r>
      <w:r w:rsidRPr="003022C4">
        <w:rPr>
          <w:rFonts w:cs="Times New Roman"/>
          <w:noProof/>
          <w:lang w:val="fr-CA"/>
        </w:rPr>
        <w:t>730(3), et seules les personnes déclarées coupables ou non responsables criminellement pour cause de troubles mentaux à l’égard d’une infraction sont visées par l’</w:t>
      </w:r>
      <w:r>
        <w:rPr>
          <w:rFonts w:cs="Times New Roman"/>
          <w:noProof/>
          <w:lang w:val="fr-CA"/>
        </w:rPr>
        <w:t>art. </w:t>
      </w:r>
      <w:r w:rsidRPr="003022C4">
        <w:rPr>
          <w:rFonts w:cs="Times New Roman"/>
          <w:noProof/>
          <w:lang w:val="fr-CA"/>
        </w:rPr>
        <w:t xml:space="preserve">3 de la </w:t>
      </w:r>
      <w:r>
        <w:rPr>
          <w:rFonts w:cs="Times New Roman"/>
          <w:i/>
          <w:noProof/>
          <w:lang w:val="fr-CA"/>
        </w:rPr>
        <w:t>Loi Christopher</w:t>
      </w:r>
      <w:r w:rsidRPr="003022C4">
        <w:rPr>
          <w:rFonts w:cs="Times New Roman"/>
          <w:noProof/>
          <w:lang w:val="fr-CA"/>
        </w:rPr>
        <w:t>.</w:t>
      </w:r>
    </w:p>
    <w:p w14:paraId="40EA9F6D" w14:textId="0C9403CA" w:rsidR="00F712C6" w:rsidRPr="003022C4" w:rsidRDefault="00F712C6" w:rsidP="00F712C6">
      <w:pPr>
        <w:pStyle w:val="ParaNoNdepar-AltN"/>
        <w:rPr>
          <w:rFonts w:cs="Times New Roman"/>
          <w:noProof/>
          <w:lang w:val="fr-CA"/>
        </w:rPr>
      </w:pPr>
      <w:r w:rsidRPr="003022C4">
        <w:rPr>
          <w:rFonts w:cs="Times New Roman"/>
          <w:noProof/>
          <w:lang w:val="fr-CA"/>
        </w:rPr>
        <w:t xml:space="preserve">Selon le </w:t>
      </w:r>
      <w:r>
        <w:rPr>
          <w:rFonts w:cs="Times New Roman"/>
          <w:noProof/>
          <w:lang w:val="fr-CA"/>
        </w:rPr>
        <w:t>par. </w:t>
      </w:r>
      <w:r w:rsidRPr="003022C4">
        <w:rPr>
          <w:rFonts w:cs="Times New Roman"/>
          <w:noProof/>
          <w:lang w:val="fr-CA"/>
        </w:rPr>
        <w:t xml:space="preserve">7(4) de la </w:t>
      </w:r>
      <w:r>
        <w:rPr>
          <w:rFonts w:cs="Times New Roman"/>
          <w:i/>
          <w:noProof/>
          <w:lang w:val="fr-CA"/>
        </w:rPr>
        <w:t>Loi Christopher</w:t>
      </w:r>
      <w:r w:rsidRPr="003022C4">
        <w:rPr>
          <w:rFonts w:cs="Times New Roman"/>
          <w:noProof/>
          <w:lang w:val="fr-CA"/>
        </w:rPr>
        <w:t>, le délinquant n’est plus tenu de se présenter devant les autorités lorsqu’il obtient un pardon absolu ou une suspension de son casier judiciaire. Lorsqu’un pardon absolu est accordé à une personne, celle</w:t>
      </w:r>
      <w:r>
        <w:rPr>
          <w:rFonts w:cs="Times New Roman"/>
          <w:noProof/>
          <w:lang w:val="fr-CA"/>
        </w:rPr>
        <w:noBreakHyphen/>
      </w:r>
      <w:r w:rsidRPr="003022C4">
        <w:rPr>
          <w:rFonts w:cs="Times New Roman"/>
          <w:noProof/>
          <w:lang w:val="fr-CA"/>
        </w:rPr>
        <w:t>ci est par la suite réputée n’avoir jamais commis l’infraction dont elle avait été déclarée coupable (</w:t>
      </w:r>
      <w:r w:rsidRPr="003022C4">
        <w:rPr>
          <w:rFonts w:cs="Times New Roman"/>
          <w:i/>
          <w:noProof/>
          <w:lang w:val="fr-CA"/>
        </w:rPr>
        <w:t>Code criminel</w:t>
      </w:r>
      <w:r w:rsidRPr="003022C4">
        <w:rPr>
          <w:rFonts w:cs="Times New Roman"/>
          <w:noProof/>
          <w:lang w:val="fr-CA"/>
        </w:rPr>
        <w:t xml:space="preserve">, </w:t>
      </w:r>
      <w:r>
        <w:rPr>
          <w:rFonts w:cs="Times New Roman"/>
          <w:noProof/>
          <w:lang w:val="fr-CA"/>
        </w:rPr>
        <w:t>par. </w:t>
      </w:r>
      <w:r w:rsidRPr="003022C4">
        <w:rPr>
          <w:rFonts w:cs="Times New Roman"/>
          <w:noProof/>
          <w:lang w:val="fr-CA"/>
        </w:rPr>
        <w:t>748(3)). Un pardon absolu peut être accordé en vertu de la prérogative royale de clémence ou de l’</w:t>
      </w:r>
      <w:r>
        <w:rPr>
          <w:rFonts w:cs="Times New Roman"/>
          <w:noProof/>
          <w:lang w:val="fr-CA"/>
        </w:rPr>
        <w:t>art. </w:t>
      </w:r>
      <w:r w:rsidRPr="003022C4">
        <w:rPr>
          <w:rFonts w:cs="Times New Roman"/>
          <w:noProof/>
          <w:lang w:val="fr-CA"/>
        </w:rPr>
        <w:t xml:space="preserve">748 du </w:t>
      </w:r>
      <w:r w:rsidRPr="003022C4">
        <w:rPr>
          <w:rFonts w:cs="Times New Roman"/>
          <w:i/>
          <w:noProof/>
          <w:lang w:val="fr-CA"/>
        </w:rPr>
        <w:t>Code criminel</w:t>
      </w:r>
      <w:r w:rsidRPr="003022C4">
        <w:rPr>
          <w:rFonts w:cs="Times New Roman"/>
          <w:noProof/>
          <w:lang w:val="fr-CA"/>
        </w:rPr>
        <w:t>. Historiquement, la prérogative de clémence et le pardon absolu — l’une des réparations que l’on peut octroyer au titre de cette prérogative — étaient exercés pour corriger des déclarations de culpabilité injustifiées et pour faire montre de compassion en améliorant les répercussions qu’ont les déclarations de culpabilité (</w:t>
      </w:r>
      <w:r w:rsidRPr="003022C4">
        <w:rPr>
          <w:rFonts w:cs="Times New Roman"/>
          <w:i/>
          <w:noProof/>
          <w:lang w:val="fr-CA"/>
        </w:rPr>
        <w:t>Hinse c. Canada (Procureur général)</w:t>
      </w:r>
      <w:r w:rsidRPr="003022C4">
        <w:rPr>
          <w:rFonts w:cs="Times New Roman"/>
          <w:noProof/>
          <w:lang w:val="fr-CA"/>
        </w:rPr>
        <w:t xml:space="preserve">, 2015 CSC 35, [2015] 2 R.C.S. 621, </w:t>
      </w:r>
      <w:r>
        <w:rPr>
          <w:rFonts w:cs="Times New Roman"/>
          <w:noProof/>
          <w:lang w:val="fr-CA"/>
        </w:rPr>
        <w:t>par. </w:t>
      </w:r>
      <w:r w:rsidRPr="003022C4">
        <w:rPr>
          <w:rFonts w:cs="Times New Roman"/>
          <w:noProof/>
          <w:lang w:val="fr-CA"/>
        </w:rPr>
        <w:t>28; G. T. Trotter, « Justice, Politics and the Royal Prerogative of Mercy</w:t>
      </w:r>
      <w:r w:rsidR="00E25CF6">
        <w:rPr>
          <w:rFonts w:cs="Times New Roman"/>
          <w:noProof/>
          <w:lang w:val="fr-CA"/>
        </w:rPr>
        <w:t> </w:t>
      </w:r>
      <w:r w:rsidRPr="003022C4">
        <w:rPr>
          <w:rFonts w:cs="Times New Roman"/>
          <w:noProof/>
          <w:lang w:val="fr-CA"/>
        </w:rPr>
        <w:t>: Examining the Self</w:t>
      </w:r>
      <w:r>
        <w:rPr>
          <w:rFonts w:cs="Times New Roman"/>
          <w:noProof/>
          <w:lang w:val="fr-CA"/>
        </w:rPr>
        <w:noBreakHyphen/>
      </w:r>
      <w:r w:rsidRPr="003022C4">
        <w:rPr>
          <w:rFonts w:cs="Times New Roman"/>
          <w:noProof/>
          <w:lang w:val="fr-CA"/>
        </w:rPr>
        <w:t>Defence Review » (2001), 26 </w:t>
      </w:r>
      <w:r w:rsidRPr="003022C4">
        <w:rPr>
          <w:rFonts w:cs="Times New Roman"/>
          <w:i/>
          <w:noProof/>
          <w:lang w:val="fr-CA"/>
        </w:rPr>
        <w:t>Queen’s L.J</w:t>
      </w:r>
      <w:r w:rsidRPr="003022C4">
        <w:rPr>
          <w:rFonts w:cs="Times New Roman"/>
          <w:noProof/>
          <w:lang w:val="fr-CA"/>
        </w:rPr>
        <w:t>. 339). La Commission nationale des libérations conditionnelles accorde une suspension du casier aux personnes qui ont été déclarées coupables d’une infraction. La bonne conduite du délinquant depuis la fin de sa peine d’emprisonnement ou de sa période de probation fait partie des circonstances à prendre en compte au moment d’octroyer une suspension du casier judiciaire (</w:t>
      </w:r>
      <w:r w:rsidRPr="003022C4">
        <w:rPr>
          <w:rFonts w:cs="Times New Roman"/>
          <w:i/>
          <w:noProof/>
          <w:lang w:val="fr-CA"/>
        </w:rPr>
        <w:t>Loi sur le casier judiciaire</w:t>
      </w:r>
      <w:r w:rsidRPr="003022C4">
        <w:rPr>
          <w:rFonts w:cs="Times New Roman"/>
          <w:noProof/>
          <w:lang w:val="fr-CA"/>
        </w:rPr>
        <w:t>, L.R.C. 1985, c. C</w:t>
      </w:r>
      <w:r>
        <w:rPr>
          <w:rFonts w:cs="Times New Roman"/>
          <w:noProof/>
          <w:lang w:val="fr-CA"/>
        </w:rPr>
        <w:noBreakHyphen/>
      </w:r>
      <w:r w:rsidRPr="003022C4">
        <w:rPr>
          <w:rFonts w:cs="Times New Roman"/>
          <w:noProof/>
          <w:lang w:val="fr-CA"/>
        </w:rPr>
        <w:t xml:space="preserve">47, </w:t>
      </w:r>
      <w:r>
        <w:rPr>
          <w:rFonts w:cs="Times New Roman"/>
          <w:noProof/>
          <w:lang w:val="fr-CA"/>
        </w:rPr>
        <w:t>art. </w:t>
      </w:r>
      <w:r w:rsidRPr="003022C4">
        <w:rPr>
          <w:rFonts w:cs="Times New Roman"/>
          <w:noProof/>
          <w:lang w:val="fr-CA"/>
        </w:rPr>
        <w:t>4 et 4.1).</w:t>
      </w:r>
    </w:p>
    <w:p w14:paraId="03F2FC55" w14:textId="77777777" w:rsidR="00F712C6" w:rsidRPr="003022C4" w:rsidRDefault="00F712C6" w:rsidP="00F712C6">
      <w:pPr>
        <w:pStyle w:val="ParaNoNdepar-AltN"/>
        <w:rPr>
          <w:rFonts w:cs="Times New Roman"/>
          <w:noProof/>
          <w:lang w:val="fr-CA"/>
        </w:rPr>
      </w:pPr>
      <w:r w:rsidRPr="003022C4">
        <w:rPr>
          <w:rFonts w:cs="Times New Roman"/>
          <w:noProof/>
          <w:lang w:val="fr-CA"/>
        </w:rPr>
        <w:t>Selon l’</w:t>
      </w:r>
      <w:r>
        <w:rPr>
          <w:rFonts w:cs="Times New Roman"/>
          <w:noProof/>
          <w:lang w:val="fr-CA"/>
        </w:rPr>
        <w:t>art. </w:t>
      </w:r>
      <w:r w:rsidRPr="003022C4">
        <w:rPr>
          <w:rFonts w:cs="Times New Roman"/>
          <w:noProof/>
          <w:lang w:val="fr-CA"/>
        </w:rPr>
        <w:t xml:space="preserve">9.1 de la </w:t>
      </w:r>
      <w:r w:rsidRPr="003022C4">
        <w:rPr>
          <w:rFonts w:cs="Times New Roman"/>
          <w:i/>
          <w:noProof/>
          <w:lang w:val="fr-CA"/>
        </w:rPr>
        <w:t>Loi Christopher</w:t>
      </w:r>
      <w:r w:rsidRPr="003022C4">
        <w:rPr>
          <w:rFonts w:cs="Times New Roman"/>
          <w:noProof/>
          <w:lang w:val="fr-CA"/>
        </w:rPr>
        <w:t>, un délinquant est retiré du registre lorsqu’il obtient un pardon absolu. Lorsque G a été inscrit au registre, l’</w:t>
      </w:r>
      <w:r>
        <w:rPr>
          <w:rFonts w:cs="Times New Roman"/>
          <w:noProof/>
          <w:lang w:val="fr-CA"/>
        </w:rPr>
        <w:t>art. </w:t>
      </w:r>
      <w:r w:rsidRPr="003022C4">
        <w:rPr>
          <w:rFonts w:cs="Times New Roman"/>
          <w:noProof/>
          <w:lang w:val="fr-CA"/>
        </w:rPr>
        <w:t>9.1 prévoyait également que les délinquants étaient retirés du registre lorsqu’ils obtenaient ce qu’on appelle maintenant une suspension du casier judiciaire. Aujourd’hui, les personnes dont le casier judiciaire a été suspendu ne sont certes plus tenues de se présenter devant les autorités, mais elles ne sont pas retirées du registre (</w:t>
      </w:r>
      <w:r w:rsidRPr="003022C4">
        <w:rPr>
          <w:rFonts w:cs="Times New Roman"/>
          <w:i/>
          <w:noProof/>
          <w:lang w:val="fr-CA"/>
        </w:rPr>
        <w:t xml:space="preserve">Loi de 2011 modifiant la </w:t>
      </w:r>
      <w:r>
        <w:rPr>
          <w:rFonts w:cs="Times New Roman"/>
          <w:i/>
          <w:noProof/>
          <w:lang w:val="fr-CA"/>
        </w:rPr>
        <w:t>Loi Christopher</w:t>
      </w:r>
      <w:r w:rsidRPr="003022C4">
        <w:rPr>
          <w:rFonts w:cs="Times New Roman"/>
          <w:i/>
          <w:noProof/>
          <w:lang w:val="fr-CA"/>
        </w:rPr>
        <w:t xml:space="preserve"> sur le registre des délinquants sexuels</w:t>
      </w:r>
      <w:r w:rsidRPr="003022C4">
        <w:rPr>
          <w:rFonts w:cs="Times New Roman"/>
          <w:noProof/>
          <w:lang w:val="fr-CA"/>
        </w:rPr>
        <w:t xml:space="preserve">, L.O. 2011, c. 8, </w:t>
      </w:r>
      <w:r>
        <w:rPr>
          <w:rFonts w:cs="Times New Roman"/>
          <w:noProof/>
          <w:lang w:val="fr-CA"/>
        </w:rPr>
        <w:t>par. </w:t>
      </w:r>
      <w:r w:rsidRPr="003022C4">
        <w:rPr>
          <w:rFonts w:cs="Times New Roman"/>
          <w:noProof/>
          <w:lang w:val="fr-CA"/>
        </w:rPr>
        <w:t xml:space="preserve">1(1) et </w:t>
      </w:r>
      <w:r>
        <w:rPr>
          <w:rFonts w:cs="Times New Roman"/>
          <w:noProof/>
          <w:lang w:val="fr-CA"/>
        </w:rPr>
        <w:t>art. </w:t>
      </w:r>
      <w:r w:rsidRPr="003022C4">
        <w:rPr>
          <w:rFonts w:cs="Times New Roman"/>
          <w:noProof/>
          <w:lang w:val="fr-CA"/>
        </w:rPr>
        <w:t>6).</w:t>
      </w:r>
      <w:r w:rsidRPr="003022C4" w:rsidDel="00704470">
        <w:rPr>
          <w:rFonts w:cs="Times New Roman"/>
          <w:noProof/>
          <w:lang w:val="fr-CA"/>
        </w:rPr>
        <w:t xml:space="preserve"> </w:t>
      </w:r>
      <w:r w:rsidRPr="003022C4">
        <w:rPr>
          <w:rFonts w:cs="Times New Roman"/>
          <w:noProof/>
          <w:lang w:val="fr-CA"/>
        </w:rPr>
        <w:t>Enfin, il n’existe aucun mécanisme permettant de supprimer les renseignements d’un délinquant du registre lorsqu’un appel est accueilli ou que le délinquant décède. La date de son décès est plutôt ajoutée au registre (</w:t>
      </w:r>
      <w:r w:rsidRPr="003022C4">
        <w:rPr>
          <w:rFonts w:cs="Times New Roman"/>
          <w:i/>
          <w:noProof/>
          <w:lang w:val="fr-CA"/>
        </w:rPr>
        <w:t>Règlement de la Loi Christopher</w:t>
      </w:r>
      <w:r w:rsidRPr="003022C4">
        <w:rPr>
          <w:rFonts w:cs="Times New Roman"/>
          <w:noProof/>
          <w:lang w:val="fr-CA"/>
        </w:rPr>
        <w:t xml:space="preserve">, </w:t>
      </w:r>
      <w:r>
        <w:rPr>
          <w:rFonts w:cs="Times New Roman"/>
          <w:noProof/>
          <w:lang w:val="fr-CA"/>
        </w:rPr>
        <w:t>par. </w:t>
      </w:r>
      <w:r w:rsidRPr="003022C4">
        <w:rPr>
          <w:rFonts w:cs="Times New Roman"/>
          <w:noProof/>
          <w:lang w:val="fr-CA"/>
        </w:rPr>
        <w:t>2(1) 10).</w:t>
      </w:r>
    </w:p>
    <w:p w14:paraId="1BC6F34A" w14:textId="77777777" w:rsidR="00F712C6" w:rsidRPr="003022C4" w:rsidRDefault="00F712C6" w:rsidP="00F712C6">
      <w:pPr>
        <w:pStyle w:val="ParaNoNdepar-AltN"/>
        <w:rPr>
          <w:rFonts w:cs="Times New Roman"/>
          <w:noProof/>
          <w:lang w:val="fr-CA"/>
        </w:rPr>
      </w:pPr>
      <w:r w:rsidRPr="003022C4">
        <w:rPr>
          <w:rFonts w:cs="Times New Roman"/>
          <w:noProof/>
          <w:lang w:val="fr-CA"/>
        </w:rPr>
        <w:t>Les renseignements contenus dans le registre peuvent être divulgués aux corps policiers du Canada ou d’ailleurs aux fins de prévention de la criminalité ou d’application de la loi, et ils peuvent être rendus publics par le chef de police ou la personne que celui</w:t>
      </w:r>
      <w:r>
        <w:rPr>
          <w:rFonts w:cs="Times New Roman"/>
          <w:noProof/>
          <w:lang w:val="fr-CA"/>
        </w:rPr>
        <w:noBreakHyphen/>
      </w:r>
      <w:r w:rsidRPr="003022C4">
        <w:rPr>
          <w:rFonts w:cs="Times New Roman"/>
          <w:noProof/>
          <w:lang w:val="fr-CA"/>
        </w:rPr>
        <w:t>ci désigne dans certaines circonstances (</w:t>
      </w:r>
      <w:r>
        <w:rPr>
          <w:rFonts w:cs="Times New Roman"/>
          <w:noProof/>
          <w:lang w:val="fr-CA"/>
        </w:rPr>
        <w:t>par. 10(2) et</w:t>
      </w:r>
      <w:r w:rsidRPr="003022C4">
        <w:rPr>
          <w:rFonts w:cs="Times New Roman"/>
          <w:noProof/>
          <w:lang w:val="fr-CA"/>
        </w:rPr>
        <w:t xml:space="preserve"> 10(3); </w:t>
      </w:r>
      <w:r w:rsidRPr="003022C4">
        <w:rPr>
          <w:rFonts w:cs="Times New Roman"/>
          <w:i/>
          <w:noProof/>
          <w:lang w:val="fr-CA"/>
        </w:rPr>
        <w:t>Loi sur les services policiers</w:t>
      </w:r>
      <w:r w:rsidRPr="003022C4">
        <w:rPr>
          <w:rFonts w:cs="Times New Roman"/>
          <w:noProof/>
          <w:lang w:val="fr-CA"/>
        </w:rPr>
        <w:t xml:space="preserve">, L.R.O. 1990, c. P.15, </w:t>
      </w:r>
      <w:r>
        <w:rPr>
          <w:rFonts w:cs="Times New Roman"/>
          <w:noProof/>
          <w:lang w:val="fr-CA"/>
        </w:rPr>
        <w:t>par. </w:t>
      </w:r>
      <w:r w:rsidRPr="003022C4">
        <w:rPr>
          <w:rFonts w:cs="Times New Roman"/>
          <w:noProof/>
          <w:lang w:val="fr-CA"/>
        </w:rPr>
        <w:t>41(1.1) et (1.2)).</w:t>
      </w:r>
    </w:p>
    <w:p w14:paraId="3A703061"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Fait important, la </w:t>
      </w:r>
      <w:r>
        <w:rPr>
          <w:rFonts w:cs="Times New Roman"/>
          <w:i/>
          <w:noProof/>
          <w:lang w:val="fr-CA"/>
        </w:rPr>
        <w:t>Loi Christopher</w:t>
      </w:r>
      <w:r w:rsidRPr="003022C4">
        <w:rPr>
          <w:rFonts w:cs="Times New Roman"/>
          <w:i/>
          <w:noProof/>
          <w:lang w:val="fr-CA"/>
        </w:rPr>
        <w:t xml:space="preserve"> exige </w:t>
      </w:r>
      <w:r w:rsidRPr="003022C4">
        <w:rPr>
          <w:rFonts w:cs="Times New Roman"/>
          <w:noProof/>
          <w:lang w:val="fr-CA"/>
        </w:rPr>
        <w:t>des corps de police qu’ils fassent des efforts raisonnables pour vérifier l’adresse d’un délinquant au moins une fois par année, notamment en se rendant à son domicile (</w:t>
      </w:r>
      <w:r>
        <w:rPr>
          <w:rFonts w:cs="Times New Roman"/>
          <w:noProof/>
          <w:lang w:val="fr-CA"/>
        </w:rPr>
        <w:t>par. </w:t>
      </w:r>
      <w:r w:rsidRPr="003022C4">
        <w:rPr>
          <w:rFonts w:cs="Times New Roman"/>
          <w:noProof/>
          <w:lang w:val="fr-CA"/>
        </w:rPr>
        <w:t xml:space="preserve">4(2)). La </w:t>
      </w:r>
      <w:r w:rsidRPr="003022C4">
        <w:rPr>
          <w:rFonts w:cs="Times New Roman"/>
          <w:i/>
          <w:noProof/>
          <w:lang w:val="fr-CA"/>
        </w:rPr>
        <w:t xml:space="preserve">Loi </w:t>
      </w:r>
      <w:r w:rsidRPr="003022C4">
        <w:rPr>
          <w:rFonts w:cs="Times New Roman"/>
          <w:noProof/>
          <w:lang w:val="fr-CA"/>
        </w:rPr>
        <w:t>ne limite pas le nombre de vérifications qui peuvent être effectuées et n’exige pas que les corps de police avertissent les délinquants qu’ils procéderont à une vérification.</w:t>
      </w:r>
    </w:p>
    <w:p w14:paraId="7CFCD28D"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Les délinquants qui ne se conforment pas à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sont passibles d’une amende maximale de 25 000</w:t>
      </w:r>
      <w:r>
        <w:rPr>
          <w:rFonts w:cs="Times New Roman"/>
          <w:noProof/>
          <w:lang w:val="fr-CA"/>
        </w:rPr>
        <w:t> $</w:t>
      </w:r>
      <w:r w:rsidRPr="003022C4">
        <w:rPr>
          <w:rFonts w:cs="Times New Roman"/>
          <w:noProof/>
          <w:lang w:val="fr-CA"/>
        </w:rPr>
        <w:t xml:space="preserve"> ou d’un emprisonnement maximal d’un an pour une première infraction et d’une amende maximale de 25 000</w:t>
      </w:r>
      <w:r>
        <w:rPr>
          <w:rFonts w:cs="Times New Roman"/>
          <w:noProof/>
          <w:lang w:val="fr-CA"/>
        </w:rPr>
        <w:t> $</w:t>
      </w:r>
      <w:r w:rsidRPr="003022C4">
        <w:rPr>
          <w:rFonts w:cs="Times New Roman"/>
          <w:noProof/>
          <w:lang w:val="fr-CA"/>
        </w:rPr>
        <w:t xml:space="preserve"> ou d’un emprisonnement maximal de deux ans moins un jour pour toute infraction subséquente (</w:t>
      </w:r>
      <w:r>
        <w:rPr>
          <w:rFonts w:cs="Times New Roman"/>
          <w:noProof/>
          <w:lang w:val="fr-CA"/>
        </w:rPr>
        <w:t>art. </w:t>
      </w:r>
      <w:r w:rsidRPr="003022C4">
        <w:rPr>
          <w:rFonts w:cs="Times New Roman"/>
          <w:noProof/>
          <w:lang w:val="fr-CA"/>
        </w:rPr>
        <w:t>11).</w:t>
      </w:r>
    </w:p>
    <w:p w14:paraId="0A2658D9" w14:textId="77777777" w:rsidR="00F712C6" w:rsidRPr="003022C4" w:rsidRDefault="00F712C6" w:rsidP="00F712C6">
      <w:pPr>
        <w:pStyle w:val="Title1LevelTitre1Niveau-AltL"/>
        <w:rPr>
          <w:rFonts w:cs="Times New Roman"/>
          <w:noProof/>
          <w:lang w:val="fr-CA"/>
        </w:rPr>
      </w:pPr>
      <w:r w:rsidRPr="003022C4">
        <w:rPr>
          <w:rFonts w:cs="Times New Roman"/>
          <w:noProof/>
          <w:lang w:val="fr-CA"/>
        </w:rPr>
        <w:t xml:space="preserve">Partie XX.1 du </w:t>
      </w:r>
      <w:r w:rsidRPr="003022C4">
        <w:rPr>
          <w:rFonts w:cs="Times New Roman"/>
          <w:i/>
          <w:noProof/>
          <w:lang w:val="fr-CA"/>
        </w:rPr>
        <w:t>Code criminel</w:t>
      </w:r>
    </w:p>
    <w:p w14:paraId="7C2B266A" w14:textId="597AB976" w:rsidR="00F712C6" w:rsidRPr="003022C4" w:rsidRDefault="00F712C6" w:rsidP="00F712C6">
      <w:pPr>
        <w:pStyle w:val="ParaNoNdepar-AltN"/>
        <w:rPr>
          <w:rFonts w:cs="Times New Roman"/>
          <w:noProof/>
          <w:lang w:val="fr-CA"/>
        </w:rPr>
      </w:pPr>
      <w:r w:rsidRPr="003022C4">
        <w:rPr>
          <w:rFonts w:cs="Times New Roman"/>
          <w:noProof/>
          <w:lang w:val="fr-CA"/>
        </w:rPr>
        <w:t xml:space="preserve">La partie XX.1 du </w:t>
      </w:r>
      <w:r w:rsidRPr="003022C4">
        <w:rPr>
          <w:rFonts w:cs="Times New Roman"/>
          <w:i/>
          <w:noProof/>
          <w:lang w:val="fr-CA"/>
        </w:rPr>
        <w:t xml:space="preserve">Code criminel </w:t>
      </w:r>
      <w:r w:rsidRPr="003022C4">
        <w:rPr>
          <w:rFonts w:cs="Times New Roman"/>
          <w:noProof/>
          <w:lang w:val="fr-CA"/>
        </w:rPr>
        <w:t xml:space="preserve">instaure le </w:t>
      </w:r>
      <w:r w:rsidR="0025412A">
        <w:rPr>
          <w:rFonts w:cs="Times New Roman"/>
          <w:noProof/>
          <w:lang w:val="fr-CA"/>
        </w:rPr>
        <w:t>« </w:t>
      </w:r>
      <w:r w:rsidRPr="003022C4">
        <w:rPr>
          <w:rFonts w:cs="Times New Roman"/>
          <w:noProof/>
          <w:lang w:val="fr-CA"/>
        </w:rPr>
        <w:t>système permettant d’évaluer </w:t>
      </w:r>
      <w:r>
        <w:rPr>
          <w:rFonts w:cs="Times New Roman"/>
          <w:noProof/>
          <w:lang w:val="fr-CA"/>
        </w:rPr>
        <w:t>et de traiter</w:t>
      </w:r>
      <w:r w:rsidR="0025412A">
        <w:rPr>
          <w:rFonts w:cs="Times New Roman"/>
          <w:noProof/>
          <w:lang w:val="fr-CA"/>
        </w:rPr>
        <w:t> »</w:t>
      </w:r>
      <w:r w:rsidRPr="003022C4">
        <w:rPr>
          <w:rFonts w:cs="Times New Roman"/>
          <w:noProof/>
          <w:lang w:val="fr-CA"/>
        </w:rPr>
        <w:t xml:space="preserve"> les personnes non responsables criminellement qui ont obtenu un verdict de non</w:t>
      </w:r>
      <w:r>
        <w:rPr>
          <w:rFonts w:cs="Times New Roman"/>
          <w:noProof/>
          <w:lang w:val="fr-CA"/>
        </w:rPr>
        <w:noBreakHyphen/>
      </w:r>
      <w:r w:rsidRPr="003022C4">
        <w:rPr>
          <w:rFonts w:cs="Times New Roman"/>
          <w:noProof/>
          <w:lang w:val="fr-CA"/>
        </w:rPr>
        <w:t xml:space="preserve">responsabilité criminelle pour cause de troubles mentaux en application du </w:t>
      </w:r>
      <w:r>
        <w:rPr>
          <w:rFonts w:cs="Times New Roman"/>
          <w:noProof/>
          <w:lang w:val="fr-CA"/>
        </w:rPr>
        <w:t>par. </w:t>
      </w:r>
      <w:r w:rsidRPr="003022C4">
        <w:rPr>
          <w:rFonts w:cs="Times New Roman"/>
          <w:noProof/>
          <w:lang w:val="fr-CA"/>
        </w:rPr>
        <w:t>16(1) et de l’</w:t>
      </w:r>
      <w:r>
        <w:rPr>
          <w:rFonts w:cs="Times New Roman"/>
          <w:noProof/>
          <w:lang w:val="fr-CA"/>
        </w:rPr>
        <w:t>art. </w:t>
      </w:r>
      <w:r w:rsidRPr="003022C4">
        <w:rPr>
          <w:rFonts w:cs="Times New Roman"/>
          <w:noProof/>
          <w:lang w:val="fr-CA"/>
        </w:rPr>
        <w:t>672.34 (</w:t>
      </w:r>
      <w:r w:rsidRPr="003022C4">
        <w:rPr>
          <w:rFonts w:cs="Times New Roman"/>
          <w:i/>
          <w:noProof/>
          <w:lang w:val="fr-CA"/>
        </w:rPr>
        <w:t>Winko</w:t>
      </w:r>
      <w:r w:rsidRPr="003022C4">
        <w:rPr>
          <w:rFonts w:cs="Times New Roman"/>
          <w:noProof/>
          <w:lang w:val="fr-CA"/>
        </w:rPr>
        <w:t xml:space="preserve">, </w:t>
      </w:r>
      <w:r>
        <w:rPr>
          <w:rFonts w:cs="Times New Roman"/>
          <w:noProof/>
          <w:lang w:val="fr-CA"/>
        </w:rPr>
        <w:t>par. </w:t>
      </w:r>
      <w:r w:rsidRPr="003022C4">
        <w:rPr>
          <w:rFonts w:cs="Times New Roman"/>
          <w:noProof/>
          <w:lang w:val="fr-CA"/>
        </w:rPr>
        <w:t>16). La partie XX.1 prévoit aussi l’établissement de commissions d’examen provinciales, dont le mandat consiste à tenir des audiences afin de déterminer si une libération inconditionnelle ou conditionnelle doit être accordée aux personnes déclarées non responsables criminellement pour cause de troubles mentaux en vertu de l’</w:t>
      </w:r>
      <w:r>
        <w:rPr>
          <w:rFonts w:cs="Times New Roman"/>
          <w:noProof/>
          <w:lang w:val="fr-CA"/>
        </w:rPr>
        <w:t>art. </w:t>
      </w:r>
      <w:r w:rsidRPr="003022C4">
        <w:rPr>
          <w:rFonts w:cs="Times New Roman"/>
          <w:noProof/>
          <w:lang w:val="fr-CA"/>
        </w:rPr>
        <w:t>672.54</w:t>
      </w:r>
      <w:r w:rsidR="00E25CF6">
        <w:rPr>
          <w:rStyle w:val="FootnoteReference"/>
          <w:rFonts w:cs="Times New Roman"/>
          <w:noProof/>
          <w:lang w:val="fr-CA"/>
        </w:rPr>
        <w:footnoteReference w:id="1"/>
      </w:r>
      <w:r w:rsidRPr="003022C4">
        <w:rPr>
          <w:rFonts w:cs="Times New Roman"/>
          <w:noProof/>
          <w:lang w:val="fr-CA"/>
        </w:rPr>
        <w:t>.</w:t>
      </w:r>
    </w:p>
    <w:p w14:paraId="1E6DA972"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Dans </w:t>
      </w:r>
      <w:r>
        <w:rPr>
          <w:rFonts w:cs="Times New Roman"/>
          <w:noProof/>
          <w:lang w:val="fr-CA"/>
        </w:rPr>
        <w:t xml:space="preserve">l’arrêt </w:t>
      </w:r>
      <w:r w:rsidRPr="003022C4">
        <w:rPr>
          <w:rFonts w:cs="Times New Roman"/>
          <w:i/>
          <w:noProof/>
          <w:lang w:val="fr-CA"/>
        </w:rPr>
        <w:t>Winko</w:t>
      </w:r>
      <w:r w:rsidRPr="003022C4">
        <w:rPr>
          <w:rFonts w:cs="Times New Roman"/>
          <w:noProof/>
          <w:lang w:val="fr-CA"/>
        </w:rPr>
        <w:t xml:space="preserve">, au </w:t>
      </w:r>
      <w:r>
        <w:rPr>
          <w:rFonts w:cs="Times New Roman"/>
          <w:noProof/>
          <w:lang w:val="fr-CA"/>
        </w:rPr>
        <w:t>par. </w:t>
      </w:r>
      <w:r w:rsidRPr="003022C4">
        <w:rPr>
          <w:rFonts w:cs="Times New Roman"/>
          <w:noProof/>
          <w:lang w:val="fr-CA"/>
        </w:rPr>
        <w:t>20, notre Cour a décrit les objets de la partie XX.1, qui établit un régime fondé sur le « double objectif de traiter équitablement [les personnes déclarées non responsables criminellement pour cause de troubles mentaux] et d’assurer la sécurité du public »</w:t>
      </w:r>
      <w:r>
        <w:rPr>
          <w:rFonts w:cs="Times New Roman"/>
          <w:noProof/>
          <w:lang w:val="fr-CA"/>
        </w:rPr>
        <w:t> :</w:t>
      </w:r>
    </w:p>
    <w:p w14:paraId="700A347B" w14:textId="1F11DC13" w:rsidR="00F712C6" w:rsidRPr="003022C4" w:rsidRDefault="00F712C6" w:rsidP="00F712C6">
      <w:pPr>
        <w:pStyle w:val="Citation-AltC"/>
        <w:ind w:hanging="1166"/>
        <w:rPr>
          <w:noProof/>
        </w:rPr>
      </w:pPr>
      <w:r w:rsidRPr="003022C4">
        <w:rPr>
          <w:noProof/>
          <w:lang w:val="fr-CA"/>
        </w:rPr>
        <w:tab/>
      </w:r>
      <w:r>
        <w:rPr>
          <w:noProof/>
          <w:lang w:val="fr-CA"/>
        </w:rPr>
        <w:tab/>
      </w:r>
      <w:r w:rsidRPr="003022C4">
        <w:rPr>
          <w:noProof/>
          <w:lang w:val="fr-CA"/>
        </w:rPr>
        <w:t>. . .</w:t>
      </w:r>
      <w:r>
        <w:rPr>
          <w:noProof/>
          <w:lang w:val="fr-CA"/>
        </w:rPr>
        <w:t xml:space="preserve"> </w:t>
      </w:r>
      <w:r w:rsidRPr="003022C4">
        <w:rPr>
          <w:noProof/>
          <w:lang w:val="fr-CA"/>
        </w:rPr>
        <w:t xml:space="preserve">l’objet de la partie XX.1 vise à remplacer le système établi en common law pour le traitement des personnes qui commettent des infractions alors qu’elles sont atteintes de troubles mentaux par un nouveau régime qui met l’accent sur l’évaluation individuelle et fournit la possibilité de recevoir </w:t>
      </w:r>
      <w:r w:rsidR="0025412A">
        <w:rPr>
          <w:noProof/>
          <w:lang w:val="fr-CA"/>
        </w:rPr>
        <w:t>un traitement approprié.</w:t>
      </w:r>
      <w:r w:rsidRPr="003022C4">
        <w:rPr>
          <w:noProof/>
          <w:lang w:val="fr-CA"/>
        </w:rPr>
        <w:t xml:space="preserve"> [Le verdict de non</w:t>
      </w:r>
      <w:r>
        <w:rPr>
          <w:noProof/>
          <w:lang w:val="fr-CA"/>
        </w:rPr>
        <w:noBreakHyphen/>
      </w:r>
      <w:r w:rsidRPr="003022C4">
        <w:rPr>
          <w:noProof/>
          <w:lang w:val="fr-CA"/>
        </w:rPr>
        <w:t>responsabilité criminelle pour cau</w:t>
      </w:r>
      <w:r w:rsidR="0025412A">
        <w:rPr>
          <w:noProof/>
          <w:lang w:val="fr-CA"/>
        </w:rPr>
        <w:t xml:space="preserve">se de troubles mentaux] </w:t>
      </w:r>
      <w:r w:rsidRPr="003022C4">
        <w:rPr>
          <w:noProof/>
          <w:lang w:val="fr-CA"/>
        </w:rPr>
        <w:t xml:space="preserve">entraîne l’évaluation pondérée du risque que peut représenter le contrevenant et la détermination des mesures thérapeutiques qui s’imposent à cet égard. Tout au long du processus, le contrevenant doit être traité avec dignité et jouir du maximum de liberté possible, compte tenu des objectifs de la partie XX.1, qui sont de protéger le public et de traiter équitablement l’accusé non responsable criminellement. </w:t>
      </w:r>
      <w:r w:rsidRPr="003022C4">
        <w:rPr>
          <w:noProof/>
        </w:rPr>
        <w:t>[</w:t>
      </w:r>
      <w:r>
        <w:rPr>
          <w:noProof/>
        </w:rPr>
        <w:t>par. </w:t>
      </w:r>
      <w:r w:rsidRPr="003022C4">
        <w:rPr>
          <w:noProof/>
        </w:rPr>
        <w:t>43]</w:t>
      </w:r>
    </w:p>
    <w:p w14:paraId="528C4A1E" w14:textId="77777777" w:rsidR="00F712C6" w:rsidRPr="003022C4" w:rsidRDefault="00F712C6" w:rsidP="00F712C6">
      <w:pPr>
        <w:pStyle w:val="ParaNoNdepar-AltN"/>
        <w:rPr>
          <w:rFonts w:cs="Times New Roman"/>
          <w:noProof/>
          <w:lang w:val="fr-CA"/>
        </w:rPr>
      </w:pPr>
      <w:r w:rsidRPr="003022C4">
        <w:rPr>
          <w:rFonts w:cs="Times New Roman"/>
          <w:noProof/>
          <w:lang w:val="fr-CA"/>
        </w:rPr>
        <w:t>Au terme d’une décision ou d’une audience de révision, une commission d’examen peut accorder une libération inconditionnelle ou une libération conditionnelle, ou ordonner la détention de l’accusé dans un hôpital (</w:t>
      </w:r>
      <w:r>
        <w:rPr>
          <w:rFonts w:cs="Times New Roman"/>
          <w:noProof/>
          <w:lang w:val="fr-CA"/>
        </w:rPr>
        <w:t>art. </w:t>
      </w:r>
      <w:r w:rsidRPr="003022C4">
        <w:rPr>
          <w:rFonts w:cs="Times New Roman"/>
          <w:noProof/>
          <w:lang w:val="fr-CA"/>
        </w:rPr>
        <w:t>672.54). Lorsqu’elle rend la décision qui est « nécessaire et indiquée dans les circonstances », la commission d’examen doit prendre en considération la sécurité du public, ainsi que l’état mental de la personne déclarée non responsable criminellement pour cause de troubles mentaux, sa réinsertion sociale et ses autres besoins (</w:t>
      </w:r>
      <w:r>
        <w:rPr>
          <w:rFonts w:cs="Times New Roman"/>
          <w:noProof/>
          <w:lang w:val="fr-CA"/>
        </w:rPr>
        <w:t>art. </w:t>
      </w:r>
      <w:r w:rsidRPr="003022C4">
        <w:rPr>
          <w:rFonts w:cs="Times New Roman"/>
          <w:noProof/>
          <w:lang w:val="fr-CA"/>
        </w:rPr>
        <w:t>672.54). Des conditions relatives à un traitement ne peuvent être incluses dans une décision que si l’accusé y consent (</w:t>
      </w:r>
      <w:r>
        <w:rPr>
          <w:rFonts w:cs="Times New Roman"/>
          <w:noProof/>
          <w:lang w:val="fr-CA"/>
        </w:rPr>
        <w:t>art. </w:t>
      </w:r>
      <w:r w:rsidRPr="003022C4">
        <w:rPr>
          <w:rFonts w:cs="Times New Roman"/>
          <w:noProof/>
          <w:lang w:val="fr-CA"/>
        </w:rPr>
        <w:t>672.55).</w:t>
      </w:r>
    </w:p>
    <w:p w14:paraId="6B044F6A" w14:textId="77777777" w:rsidR="00F712C6" w:rsidRPr="003022C4" w:rsidRDefault="00F712C6" w:rsidP="00F712C6">
      <w:pPr>
        <w:pStyle w:val="ParaNoNdepar-AltN"/>
        <w:rPr>
          <w:rFonts w:cs="Times New Roman"/>
          <w:noProof/>
          <w:lang w:val="fr-CA"/>
        </w:rPr>
      </w:pPr>
      <w:r w:rsidRPr="003022C4">
        <w:rPr>
          <w:rFonts w:cs="Times New Roman"/>
          <w:noProof/>
          <w:lang w:val="fr-CA"/>
        </w:rPr>
        <w:t>En général, les audiences visant à arrêter la décision à</w:t>
      </w:r>
      <w:r>
        <w:rPr>
          <w:rFonts w:cs="Times New Roman"/>
          <w:noProof/>
          <w:lang w:val="fr-CA"/>
        </w:rPr>
        <w:t xml:space="preserve"> rendre se tiennent dans les 45 </w:t>
      </w:r>
      <w:r w:rsidRPr="003022C4">
        <w:rPr>
          <w:rFonts w:cs="Times New Roman"/>
          <w:noProof/>
          <w:lang w:val="fr-CA"/>
        </w:rPr>
        <w:t>jours suivant un verdict de non</w:t>
      </w:r>
      <w:r>
        <w:rPr>
          <w:rFonts w:cs="Times New Roman"/>
          <w:noProof/>
          <w:lang w:val="fr-CA"/>
        </w:rPr>
        <w:noBreakHyphen/>
      </w:r>
      <w:r w:rsidRPr="003022C4">
        <w:rPr>
          <w:rFonts w:cs="Times New Roman"/>
          <w:noProof/>
          <w:lang w:val="fr-CA"/>
        </w:rPr>
        <w:t>responsabilité criminelle pour cause de troubles mentaux, et les audiences visant à procéder à la révision d’une décision se tiennent au plus tard 12 mois après la décision ou l’audience de révision la plus récente (</w:t>
      </w:r>
      <w:r>
        <w:rPr>
          <w:rFonts w:cs="Times New Roman"/>
          <w:noProof/>
          <w:lang w:val="fr-CA"/>
        </w:rPr>
        <w:t>art. </w:t>
      </w:r>
      <w:r w:rsidRPr="003022C4">
        <w:rPr>
          <w:rFonts w:cs="Times New Roman"/>
          <w:noProof/>
          <w:lang w:val="fr-CA"/>
        </w:rPr>
        <w:t>672.47 et 672.81).</w:t>
      </w:r>
    </w:p>
    <w:p w14:paraId="1F6792A4"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La commission d’examen </w:t>
      </w:r>
      <w:r w:rsidRPr="003022C4">
        <w:rPr>
          <w:rFonts w:cs="Times New Roman"/>
          <w:i/>
          <w:noProof/>
          <w:lang w:val="fr-CA"/>
        </w:rPr>
        <w:t xml:space="preserve">doit </w:t>
      </w:r>
      <w:r w:rsidRPr="003022C4">
        <w:rPr>
          <w:rFonts w:cs="Times New Roman"/>
          <w:noProof/>
          <w:lang w:val="fr-CA"/>
        </w:rPr>
        <w:t>absolument libérer toute personne déclarée non responsable criminellement pour cause de troubles mentaux, sauf si elle conclut, sur la foi de la preuve présentée à l’audience, qu’il y a un «</w:t>
      </w:r>
      <w:r>
        <w:rPr>
          <w:rFonts w:cs="Times New Roman"/>
          <w:noProof/>
          <w:lang w:val="fr-CA"/>
        </w:rPr>
        <w:t> </w:t>
      </w:r>
      <w:r w:rsidRPr="003022C4">
        <w:rPr>
          <w:rFonts w:cs="Times New Roman"/>
          <w:noProof/>
          <w:lang w:val="fr-CA"/>
        </w:rPr>
        <w:t>risque important que l’accusé commette une infraction criminelle grave » (</w:t>
      </w:r>
      <w:r w:rsidRPr="003022C4">
        <w:rPr>
          <w:rFonts w:cs="Times New Roman"/>
          <w:i/>
          <w:noProof/>
          <w:lang w:val="fr-CA"/>
        </w:rPr>
        <w:t>Winko</w:t>
      </w:r>
      <w:r w:rsidRPr="003022C4">
        <w:rPr>
          <w:rFonts w:cs="Times New Roman"/>
          <w:noProof/>
          <w:lang w:val="fr-CA"/>
        </w:rPr>
        <w:t xml:space="preserve">, </w:t>
      </w:r>
      <w:r>
        <w:rPr>
          <w:rFonts w:cs="Times New Roman"/>
          <w:noProof/>
          <w:lang w:val="fr-CA"/>
        </w:rPr>
        <w:t>par. </w:t>
      </w:r>
      <w:r w:rsidRPr="003022C4">
        <w:rPr>
          <w:rFonts w:cs="Times New Roman"/>
          <w:noProof/>
          <w:lang w:val="fr-CA"/>
        </w:rPr>
        <w:t>57; voir aussi l’</w:t>
      </w:r>
      <w:r>
        <w:rPr>
          <w:rFonts w:cs="Times New Roman"/>
          <w:noProof/>
          <w:lang w:val="fr-CA"/>
        </w:rPr>
        <w:t>al. </w:t>
      </w:r>
      <w:r w:rsidRPr="003022C4">
        <w:rPr>
          <w:rFonts w:cs="Times New Roman"/>
          <w:noProof/>
          <w:lang w:val="fr-CA"/>
        </w:rPr>
        <w:t xml:space="preserve">672.54a)). Si la commission d’examen ne peut pas conclure positivement que l’accusé représente un risque important, elle perd alors la compétence dont elle est investie par </w:t>
      </w:r>
      <w:r>
        <w:rPr>
          <w:rFonts w:cs="Times New Roman"/>
          <w:noProof/>
          <w:lang w:val="fr-CA"/>
        </w:rPr>
        <w:t xml:space="preserve">la partie </w:t>
      </w:r>
      <w:r w:rsidRPr="003022C4">
        <w:rPr>
          <w:rFonts w:cs="Times New Roman"/>
          <w:noProof/>
          <w:lang w:val="fr-CA"/>
        </w:rPr>
        <w:t>XX.1 — le droit criminel ne peut légitimement pas restreindre davantage la liberté de l’accusé (</w:t>
      </w:r>
      <w:r w:rsidRPr="003022C4">
        <w:rPr>
          <w:rFonts w:cs="Times New Roman"/>
          <w:i/>
          <w:noProof/>
          <w:lang w:val="fr-CA"/>
        </w:rPr>
        <w:t>Winko</w:t>
      </w:r>
      <w:r w:rsidRPr="003022C4">
        <w:rPr>
          <w:rFonts w:cs="Times New Roman"/>
          <w:noProof/>
          <w:lang w:val="fr-CA"/>
        </w:rPr>
        <w:t xml:space="preserve">, </w:t>
      </w:r>
      <w:r>
        <w:rPr>
          <w:rFonts w:cs="Times New Roman"/>
          <w:noProof/>
          <w:lang w:val="fr-CA"/>
        </w:rPr>
        <w:t>par. </w:t>
      </w:r>
      <w:r w:rsidRPr="003022C4">
        <w:rPr>
          <w:rFonts w:cs="Times New Roman"/>
          <w:noProof/>
          <w:lang w:val="fr-CA"/>
        </w:rPr>
        <w:t>33).</w:t>
      </w:r>
    </w:p>
    <w:p w14:paraId="63715E3D" w14:textId="77777777" w:rsidR="00F712C6" w:rsidRPr="003022C4" w:rsidRDefault="00F712C6" w:rsidP="00F712C6">
      <w:pPr>
        <w:pStyle w:val="ParaNoNdepar-AltN"/>
        <w:rPr>
          <w:rFonts w:cs="Times New Roman"/>
          <w:noProof/>
          <w:lang w:val="fr-CA"/>
        </w:rPr>
      </w:pPr>
      <w:r w:rsidRPr="003022C4">
        <w:rPr>
          <w:rFonts w:cs="Times New Roman"/>
          <w:noProof/>
          <w:lang w:val="fr-CA"/>
        </w:rPr>
        <w:t>Cet impératif constitutionnel, conjugué à l’évaluation individuelle que la commission d’examen doit effectuer au moins une fois par année dans tous les cas, montre que la partie</w:t>
      </w:r>
      <w:r>
        <w:rPr>
          <w:rFonts w:cs="Times New Roman"/>
          <w:noProof/>
          <w:lang w:val="fr-CA"/>
        </w:rPr>
        <w:t xml:space="preserve"> </w:t>
      </w:r>
      <w:r w:rsidRPr="003022C4">
        <w:rPr>
          <w:rFonts w:cs="Times New Roman"/>
          <w:noProof/>
          <w:lang w:val="fr-CA"/>
        </w:rPr>
        <w:t>XX.1 rejette le stéréotype « déplorable » selon lequel les personnes souffrant de troubles mentaux sont en soi dangereuses (</w:t>
      </w:r>
      <w:r w:rsidRPr="003022C4">
        <w:rPr>
          <w:rFonts w:cs="Times New Roman"/>
          <w:i/>
          <w:noProof/>
          <w:lang w:val="fr-CA"/>
        </w:rPr>
        <w:t>Winko</w:t>
      </w:r>
      <w:r w:rsidRPr="003022C4">
        <w:rPr>
          <w:rFonts w:cs="Times New Roman"/>
          <w:noProof/>
          <w:lang w:val="fr-CA"/>
        </w:rPr>
        <w:t xml:space="preserve">, </w:t>
      </w:r>
      <w:r>
        <w:rPr>
          <w:rFonts w:cs="Times New Roman"/>
          <w:noProof/>
          <w:lang w:val="fr-CA"/>
        </w:rPr>
        <w:t>par. </w:t>
      </w:r>
      <w:r w:rsidRPr="003022C4">
        <w:rPr>
          <w:rFonts w:cs="Times New Roman"/>
          <w:noProof/>
          <w:lang w:val="fr-CA"/>
        </w:rPr>
        <w:t>35, 47 et 89). La commission d’examen ne peut supposer qu’il existe un risque; elle doit plutôt conclure positivement à l’existence d’un risque à partir de la preuve dont elle est saisie lorsqu’elle procède à une évaluation individuelle de la situation d’une personne.</w:t>
      </w:r>
    </w:p>
    <w:p w14:paraId="0F394100" w14:textId="77777777" w:rsidR="00F712C6" w:rsidRPr="003022C4" w:rsidRDefault="00F712C6" w:rsidP="00F712C6">
      <w:pPr>
        <w:pStyle w:val="Title1LevelTitre1Niveau-AltL"/>
        <w:rPr>
          <w:rFonts w:cs="Times New Roman"/>
          <w:noProof/>
          <w:lang w:val="fr-CA"/>
        </w:rPr>
      </w:pPr>
      <w:r w:rsidRPr="003022C4">
        <w:rPr>
          <w:rFonts w:cs="Times New Roman"/>
          <w:noProof/>
          <w:lang w:val="fr-CA"/>
        </w:rPr>
        <w:t>Analyse</w:t>
      </w:r>
    </w:p>
    <w:p w14:paraId="227F53A0" w14:textId="77777777" w:rsidR="00F712C6" w:rsidRPr="003022C4" w:rsidRDefault="00F712C6" w:rsidP="00F712C6">
      <w:pPr>
        <w:pStyle w:val="Title2LevelTitre2Niveau"/>
        <w:rPr>
          <w:rFonts w:cs="Times New Roman"/>
          <w:noProof/>
          <w:lang w:val="fr-CA"/>
        </w:rPr>
      </w:pPr>
      <w:r w:rsidRPr="003022C4">
        <w:rPr>
          <w:rFonts w:cs="Times New Roman"/>
          <w:noProof/>
          <w:lang w:val="fr-CA"/>
        </w:rPr>
        <w:t>La Loi Christopher porte</w:t>
      </w:r>
      <w:r>
        <w:rPr>
          <w:rFonts w:cs="Times New Roman"/>
          <w:noProof/>
          <w:lang w:val="fr-CA"/>
        </w:rPr>
        <w:noBreakHyphen/>
      </w:r>
      <w:r w:rsidRPr="003022C4">
        <w:rPr>
          <w:rFonts w:cs="Times New Roman"/>
          <w:noProof/>
          <w:lang w:val="fr-CA"/>
        </w:rPr>
        <w:t>t</w:t>
      </w:r>
      <w:r>
        <w:rPr>
          <w:rFonts w:cs="Times New Roman"/>
          <w:noProof/>
          <w:lang w:val="fr-CA"/>
        </w:rPr>
        <w:noBreakHyphen/>
      </w:r>
      <w:r w:rsidRPr="003022C4">
        <w:rPr>
          <w:rFonts w:cs="Times New Roman"/>
          <w:noProof/>
          <w:lang w:val="fr-CA"/>
        </w:rPr>
        <w:t>elle atteinte aux droits à l’égalité des personnes déclarées non responsables criminellement pour cause de troubles mentaux?</w:t>
      </w:r>
    </w:p>
    <w:p w14:paraId="09B7E490" w14:textId="77777777" w:rsidR="00F712C6" w:rsidRPr="003022C4" w:rsidRDefault="00F712C6" w:rsidP="00F712C6">
      <w:pPr>
        <w:pStyle w:val="Title3LevelTitre3Niveau"/>
        <w:rPr>
          <w:rFonts w:cs="Times New Roman"/>
          <w:noProof/>
          <w:lang w:val="fr-CA"/>
        </w:rPr>
      </w:pPr>
      <w:r w:rsidRPr="003022C4">
        <w:rPr>
          <w:rFonts w:cs="Times New Roman"/>
          <w:noProof/>
          <w:lang w:val="fr-CA"/>
        </w:rPr>
        <w:t>Principes généraux</w:t>
      </w:r>
    </w:p>
    <w:p w14:paraId="6EC82E11" w14:textId="5835CD06" w:rsidR="00F712C6" w:rsidRPr="003022C4" w:rsidRDefault="00F712C6" w:rsidP="00F712C6">
      <w:pPr>
        <w:pStyle w:val="ParaNoNdepar-AltN"/>
        <w:rPr>
          <w:rFonts w:cs="Times New Roman"/>
          <w:noProof/>
          <w:lang w:val="fr-CA"/>
        </w:rPr>
      </w:pPr>
      <w:r w:rsidRPr="003022C4">
        <w:rPr>
          <w:rFonts w:cs="Times New Roman"/>
          <w:noProof/>
          <w:lang w:val="fr-CA"/>
        </w:rPr>
        <w:t>La garantie d’égalité vise un puissant objet réparateur (</w:t>
      </w:r>
      <w:r w:rsidRPr="003022C4">
        <w:rPr>
          <w:rFonts w:cs="Times New Roman"/>
          <w:i/>
          <w:noProof/>
          <w:lang w:val="fr-CA"/>
        </w:rPr>
        <w:t>Law c. Canada (Ministre de l’Emploi et de l’Immigration)</w:t>
      </w:r>
      <w:r w:rsidRPr="003022C4">
        <w:rPr>
          <w:rFonts w:cs="Times New Roman"/>
          <w:noProof/>
          <w:lang w:val="fr-CA"/>
        </w:rPr>
        <w:t xml:space="preserve">, [1999] 1 R.C.S. 497, </w:t>
      </w:r>
      <w:r>
        <w:rPr>
          <w:rFonts w:cs="Times New Roman"/>
          <w:noProof/>
          <w:lang w:val="fr-CA"/>
        </w:rPr>
        <w:t>par. </w:t>
      </w:r>
      <w:r w:rsidRPr="003022C4">
        <w:rPr>
          <w:rFonts w:cs="Times New Roman"/>
          <w:noProof/>
          <w:lang w:val="fr-CA"/>
        </w:rPr>
        <w:t xml:space="preserve">3; voir aussi </w:t>
      </w:r>
      <w:r w:rsidRPr="003022C4">
        <w:rPr>
          <w:rFonts w:cs="Times New Roman"/>
          <w:i/>
          <w:noProof/>
          <w:lang w:val="fr-CA"/>
        </w:rPr>
        <w:t>Andrews</w:t>
      </w:r>
      <w:r>
        <w:rPr>
          <w:rFonts w:cs="Times New Roman"/>
          <w:i/>
          <w:noProof/>
          <w:lang w:val="fr-CA"/>
        </w:rPr>
        <w:t xml:space="preserve"> </w:t>
      </w:r>
      <w:r w:rsidRPr="003022C4">
        <w:rPr>
          <w:rFonts w:cs="Times New Roman"/>
          <w:i/>
          <w:iCs/>
          <w:noProof/>
          <w:lang w:val="fr-CA"/>
        </w:rPr>
        <w:t>c.</w:t>
      </w:r>
      <w:r>
        <w:rPr>
          <w:rFonts w:cs="Times New Roman"/>
          <w:i/>
          <w:noProof/>
          <w:lang w:val="fr-CA"/>
        </w:rPr>
        <w:t xml:space="preserve"> </w:t>
      </w:r>
      <w:r w:rsidRPr="003022C4">
        <w:rPr>
          <w:rFonts w:cs="Times New Roman"/>
          <w:i/>
          <w:noProof/>
          <w:lang w:val="fr-CA"/>
        </w:rPr>
        <w:t>Law Society of British Columbia</w:t>
      </w:r>
      <w:r w:rsidRPr="003022C4">
        <w:rPr>
          <w:rFonts w:cs="Times New Roman"/>
          <w:noProof/>
          <w:lang w:val="fr-CA"/>
        </w:rPr>
        <w:t xml:space="preserve">, [1989] 1 R.C.S. 143, </w:t>
      </w:r>
      <w:r>
        <w:rPr>
          <w:rFonts w:cs="Times New Roman"/>
          <w:noProof/>
          <w:lang w:val="fr-CA"/>
        </w:rPr>
        <w:t>p. </w:t>
      </w:r>
      <w:r w:rsidRPr="003022C4">
        <w:rPr>
          <w:rFonts w:cs="Times New Roman"/>
          <w:noProof/>
          <w:lang w:val="fr-CA"/>
        </w:rPr>
        <w:t xml:space="preserve">171). Comme l’a fait remarquer la juge Abella dans l’arrêt </w:t>
      </w:r>
      <w:r w:rsidRPr="003022C4">
        <w:rPr>
          <w:rFonts w:cs="Times New Roman"/>
          <w:i/>
          <w:noProof/>
          <w:lang w:val="fr-CA"/>
        </w:rPr>
        <w:t>Québec (Procureur général) c. A</w:t>
      </w:r>
      <w:r w:rsidRPr="003022C4">
        <w:rPr>
          <w:rFonts w:cs="Times New Roman"/>
          <w:noProof/>
          <w:lang w:val="fr-CA"/>
        </w:rPr>
        <w:t>, 2013 CSC 5, [2013] 1 R.C.S. 61, « [à] la base, l’</w:t>
      </w:r>
      <w:r>
        <w:rPr>
          <w:rFonts w:cs="Times New Roman"/>
          <w:noProof/>
          <w:lang w:val="fr-CA"/>
        </w:rPr>
        <w:t>art. </w:t>
      </w:r>
      <w:r w:rsidRPr="003022C4">
        <w:rPr>
          <w:rFonts w:cs="Times New Roman"/>
          <w:noProof/>
          <w:lang w:val="fr-CA"/>
        </w:rPr>
        <w:t>15 résulte d’une prise de conscience que certains groupes ont depuis longtemps été victimes de discrimination, et qu’il faut mettre fin à la perpétuation de cette discrimination » (</w:t>
      </w:r>
      <w:r>
        <w:rPr>
          <w:rFonts w:cs="Times New Roman"/>
          <w:noProof/>
          <w:lang w:val="fr-CA"/>
        </w:rPr>
        <w:t>par. </w:t>
      </w:r>
      <w:r w:rsidRPr="003022C4">
        <w:rPr>
          <w:rFonts w:cs="Times New Roman"/>
          <w:noProof/>
          <w:lang w:val="fr-CA"/>
        </w:rPr>
        <w:t xml:space="preserve">332) — même s’il n’est évidemment pas nécessaire que la discrimination </w:t>
      </w:r>
      <w:r w:rsidRPr="003022C4">
        <w:rPr>
          <w:rFonts w:cs="Times New Roman"/>
          <w:i/>
          <w:iCs/>
          <w:noProof/>
          <w:lang w:val="fr-CA"/>
        </w:rPr>
        <w:t>historique</w:t>
      </w:r>
      <w:r w:rsidRPr="003022C4">
        <w:rPr>
          <w:rFonts w:cs="Times New Roman"/>
          <w:noProof/>
          <w:lang w:val="fr-CA"/>
        </w:rPr>
        <w:t xml:space="preserve"> soit établie pour que le tribunal conclue qu’une loi enfreint le </w:t>
      </w:r>
      <w:r>
        <w:rPr>
          <w:rFonts w:cs="Times New Roman"/>
          <w:noProof/>
          <w:lang w:val="fr-CA"/>
        </w:rPr>
        <w:t>par. </w:t>
      </w:r>
      <w:r w:rsidRPr="003022C4">
        <w:rPr>
          <w:rFonts w:cs="Times New Roman"/>
          <w:noProof/>
          <w:lang w:val="fr-CA"/>
        </w:rPr>
        <w:t>15(1). La garantie d’égalité vise à prévenir la discrimination envers les groupes victimes de désavantages sociaux, politiques et juridiques dans la société canadienne et à remédier à cette discrimination (</w:t>
      </w:r>
      <w:r w:rsidRPr="003022C4">
        <w:rPr>
          <w:rFonts w:cs="Times New Roman"/>
          <w:i/>
          <w:noProof/>
          <w:lang w:val="fr-CA"/>
        </w:rPr>
        <w:t>R. c. Swain</w:t>
      </w:r>
      <w:r w:rsidRPr="003022C4">
        <w:rPr>
          <w:rFonts w:cs="Times New Roman"/>
          <w:noProof/>
          <w:lang w:val="fr-CA"/>
        </w:rPr>
        <w:t xml:space="preserve">, </w:t>
      </w:r>
      <w:r w:rsidRPr="003022C4">
        <w:rPr>
          <w:rFonts w:cs="Times New Roman"/>
          <w:noProof/>
          <w:spacing w:val="-3"/>
          <w:lang w:val="fr-CA"/>
        </w:rPr>
        <w:t xml:space="preserve">[1991] 1 R.C.S. 933, </w:t>
      </w:r>
      <w:r>
        <w:rPr>
          <w:rFonts w:cs="Times New Roman"/>
          <w:noProof/>
          <w:spacing w:val="-3"/>
          <w:lang w:val="fr-CA"/>
        </w:rPr>
        <w:t>p. </w:t>
      </w:r>
      <w:r w:rsidRPr="003022C4">
        <w:rPr>
          <w:rFonts w:cs="Times New Roman"/>
          <w:noProof/>
          <w:spacing w:val="-3"/>
          <w:lang w:val="fr-CA"/>
        </w:rPr>
        <w:t>994</w:t>
      </w:r>
      <w:r w:rsidRPr="003022C4">
        <w:rPr>
          <w:rFonts w:cs="Times New Roman"/>
          <w:noProof/>
          <w:lang w:val="fr-CA"/>
        </w:rPr>
        <w:t xml:space="preserve">; voir aussi </w:t>
      </w:r>
      <w:r w:rsidRPr="003022C4">
        <w:rPr>
          <w:rFonts w:cs="Times New Roman"/>
          <w:i/>
          <w:noProof/>
          <w:lang w:val="fr-CA"/>
        </w:rPr>
        <w:t>Eldridge c. Colombie</w:t>
      </w:r>
      <w:r>
        <w:rPr>
          <w:rFonts w:cs="Times New Roman"/>
          <w:i/>
          <w:noProof/>
          <w:lang w:val="fr-CA"/>
        </w:rPr>
        <w:noBreakHyphen/>
      </w:r>
      <w:r w:rsidRPr="003022C4">
        <w:rPr>
          <w:rFonts w:cs="Times New Roman"/>
          <w:i/>
          <w:noProof/>
          <w:lang w:val="fr-CA"/>
        </w:rPr>
        <w:t>Britannique</w:t>
      </w:r>
      <w:r w:rsidR="00D50D9B">
        <w:rPr>
          <w:rFonts w:cs="Times New Roman"/>
          <w:noProof/>
          <w:lang w:val="fr-CA"/>
        </w:rPr>
        <w:t xml:space="preserve"> </w:t>
      </w:r>
      <w:r w:rsidR="00D50D9B">
        <w:rPr>
          <w:rFonts w:cs="Times New Roman"/>
          <w:i/>
          <w:noProof/>
          <w:lang w:val="fr-CA"/>
        </w:rPr>
        <w:t>(P</w:t>
      </w:r>
      <w:r w:rsidR="00D50D9B" w:rsidRPr="00D50D9B">
        <w:rPr>
          <w:rFonts w:cs="Times New Roman"/>
          <w:i/>
          <w:noProof/>
          <w:lang w:val="fr-CA"/>
        </w:rPr>
        <w:t>rocureur général)</w:t>
      </w:r>
      <w:r w:rsidRPr="003022C4">
        <w:rPr>
          <w:rFonts w:cs="Times New Roman"/>
          <w:noProof/>
          <w:lang w:val="fr-CA"/>
        </w:rPr>
        <w:t xml:space="preserve">, [1997] 3 R.C.S. 624, </w:t>
      </w:r>
      <w:r>
        <w:rPr>
          <w:rFonts w:cs="Times New Roman"/>
          <w:noProof/>
          <w:lang w:val="fr-CA"/>
        </w:rPr>
        <w:t>par. </w:t>
      </w:r>
      <w:r w:rsidRPr="003022C4">
        <w:rPr>
          <w:rFonts w:cs="Times New Roman"/>
          <w:noProof/>
          <w:lang w:val="fr-CA"/>
        </w:rPr>
        <w:t>54). Cette garantie exprime un engagement à reconnaître l’essentielle et inaliénable égalité de valeur des personnes par le truchement de la loi (</w:t>
      </w:r>
      <w:r w:rsidRPr="003022C4">
        <w:rPr>
          <w:rFonts w:cs="Times New Roman"/>
          <w:i/>
          <w:noProof/>
          <w:lang w:val="fr-CA"/>
        </w:rPr>
        <w:t>Andrews</w:t>
      </w:r>
      <w:r w:rsidRPr="003022C4">
        <w:rPr>
          <w:rFonts w:cs="Times New Roman"/>
          <w:noProof/>
          <w:lang w:val="fr-CA"/>
        </w:rPr>
        <w:t xml:space="preserve">, </w:t>
      </w:r>
      <w:r>
        <w:rPr>
          <w:rFonts w:cs="Times New Roman"/>
          <w:noProof/>
          <w:lang w:val="fr-CA"/>
        </w:rPr>
        <w:t>p. </w:t>
      </w:r>
      <w:r w:rsidRPr="003022C4">
        <w:rPr>
          <w:rFonts w:cs="Times New Roman"/>
          <w:noProof/>
          <w:lang w:val="fr-CA"/>
        </w:rPr>
        <w:t xml:space="preserve">171; </w:t>
      </w:r>
      <w:r w:rsidRPr="003022C4">
        <w:rPr>
          <w:rFonts w:cs="Times New Roman"/>
          <w:i/>
          <w:noProof/>
          <w:lang w:val="fr-CA"/>
        </w:rPr>
        <w:t>Eldridge</w:t>
      </w:r>
      <w:r w:rsidRPr="003022C4">
        <w:rPr>
          <w:rFonts w:cs="Times New Roman"/>
          <w:noProof/>
          <w:lang w:val="fr-CA"/>
        </w:rPr>
        <w:t xml:space="preserve">, </w:t>
      </w:r>
      <w:r>
        <w:rPr>
          <w:rFonts w:cs="Times New Roman"/>
          <w:noProof/>
          <w:lang w:val="fr-CA"/>
        </w:rPr>
        <w:t>par. </w:t>
      </w:r>
      <w:r w:rsidRPr="003022C4">
        <w:rPr>
          <w:rFonts w:cs="Times New Roman"/>
          <w:noProof/>
          <w:lang w:val="fr-CA"/>
        </w:rPr>
        <w:t>54). Dans l’arrêt</w:t>
      </w:r>
      <w:r>
        <w:rPr>
          <w:rFonts w:cs="Times New Roman"/>
          <w:noProof/>
          <w:lang w:val="fr-CA"/>
        </w:rPr>
        <w:t xml:space="preserve"> </w:t>
      </w:r>
      <w:r w:rsidRPr="003022C4">
        <w:rPr>
          <w:rFonts w:cs="Times New Roman"/>
          <w:i/>
          <w:noProof/>
          <w:lang w:val="fr-CA"/>
        </w:rPr>
        <w:t>Andrews</w:t>
      </w:r>
      <w:r w:rsidRPr="003022C4">
        <w:rPr>
          <w:rFonts w:cs="Times New Roman"/>
          <w:noProof/>
          <w:lang w:val="fr-CA"/>
        </w:rPr>
        <w:t xml:space="preserve">, la première décision de notre Cour portant sur le droit à l’égalité que confère la </w:t>
      </w:r>
      <w:r w:rsidRPr="003022C4">
        <w:rPr>
          <w:rFonts w:cs="Times New Roman"/>
          <w:i/>
          <w:noProof/>
          <w:lang w:val="fr-CA"/>
        </w:rPr>
        <w:t>Charte</w:t>
      </w:r>
      <w:r w:rsidRPr="003022C4">
        <w:rPr>
          <w:rFonts w:cs="Times New Roman"/>
          <w:noProof/>
          <w:lang w:val="fr-CA"/>
        </w:rPr>
        <w:t xml:space="preserve">, le </w:t>
      </w:r>
      <w:r>
        <w:rPr>
          <w:rFonts w:cs="Times New Roman"/>
          <w:noProof/>
          <w:lang w:val="fr-CA"/>
        </w:rPr>
        <w:t xml:space="preserve">juge </w:t>
      </w:r>
      <w:r w:rsidRPr="003022C4">
        <w:rPr>
          <w:rFonts w:cs="Times New Roman"/>
          <w:noProof/>
          <w:lang w:val="fr-CA"/>
        </w:rPr>
        <w:t>McIntyre a fait observer que la « pire forme d’oppression résulte de mesures discriminatoires ayant force de loi » (</w:t>
      </w:r>
      <w:r>
        <w:rPr>
          <w:rFonts w:cs="Times New Roman"/>
          <w:noProof/>
          <w:lang w:val="fr-CA"/>
        </w:rPr>
        <w:t>p. </w:t>
      </w:r>
      <w:r w:rsidRPr="003022C4">
        <w:rPr>
          <w:rFonts w:cs="Times New Roman"/>
          <w:noProof/>
          <w:lang w:val="fr-CA"/>
        </w:rPr>
        <w:t>172). La garantie d’égalité signifie que les lois discriminatoires n’auront aucune force.</w:t>
      </w:r>
    </w:p>
    <w:p w14:paraId="109C4681" w14:textId="7346EFC9" w:rsidR="00F712C6" w:rsidRPr="003022C4" w:rsidRDefault="00F712C6" w:rsidP="00F712C6">
      <w:pPr>
        <w:pStyle w:val="ParaNoNdepar-AltN"/>
        <w:rPr>
          <w:rFonts w:cs="Times New Roman"/>
          <w:noProof/>
          <w:lang w:val="fr-CA"/>
        </w:rPr>
      </w:pPr>
      <w:r w:rsidRPr="003022C4">
        <w:rPr>
          <w:rFonts w:cs="Times New Roman"/>
          <w:noProof/>
          <w:lang w:val="fr-CA"/>
        </w:rPr>
        <w:t xml:space="preserve">La Cour se pose deux questions lorsqu’elle est appelée à décider si une loi enfreint le </w:t>
      </w:r>
      <w:r>
        <w:rPr>
          <w:rFonts w:cs="Times New Roman"/>
          <w:noProof/>
          <w:lang w:val="fr-CA"/>
        </w:rPr>
        <w:t>par. </w:t>
      </w:r>
      <w:r w:rsidRPr="003022C4">
        <w:rPr>
          <w:rFonts w:cs="Times New Roman"/>
          <w:noProof/>
          <w:lang w:val="fr-CA"/>
        </w:rPr>
        <w:t>15(1). Premièrement, la loi contestée crée</w:t>
      </w:r>
      <w:r>
        <w:rPr>
          <w:rFonts w:cs="Times New Roman"/>
          <w:noProof/>
          <w:lang w:val="fr-CA"/>
        </w:rPr>
        <w:noBreakHyphen/>
      </w:r>
      <w:r w:rsidRPr="003022C4">
        <w:rPr>
          <w:rFonts w:cs="Times New Roman"/>
          <w:noProof/>
          <w:lang w:val="fr-CA"/>
        </w:rPr>
        <w:t>t</w:t>
      </w:r>
      <w:r>
        <w:rPr>
          <w:rFonts w:cs="Times New Roman"/>
          <w:noProof/>
          <w:lang w:val="fr-CA"/>
        </w:rPr>
        <w:noBreakHyphen/>
      </w:r>
      <w:r w:rsidRPr="003022C4">
        <w:rPr>
          <w:rFonts w:cs="Times New Roman"/>
          <w:noProof/>
          <w:lang w:val="fr-CA"/>
        </w:rPr>
        <w:t>elle, à première vue ou de par son effet, une distinction fondée sur un motif énuméré ou analogue? Une loi en apparence neutre peut créer indirectement une distinction si elle a un effet préjudiciable sur les membres d’un groupe protégé. Deuxièmement, dans l’affirmative, la loi contestée impose</w:t>
      </w:r>
      <w:r>
        <w:rPr>
          <w:rFonts w:cs="Times New Roman"/>
          <w:noProof/>
          <w:lang w:val="fr-CA"/>
        </w:rPr>
        <w:noBreakHyphen/>
      </w:r>
      <w:r w:rsidRPr="003022C4">
        <w:rPr>
          <w:rFonts w:cs="Times New Roman"/>
          <w:noProof/>
          <w:lang w:val="fr-CA"/>
        </w:rPr>
        <w:t>t</w:t>
      </w:r>
      <w:r>
        <w:rPr>
          <w:rFonts w:cs="Times New Roman"/>
          <w:noProof/>
          <w:lang w:val="fr-CA"/>
        </w:rPr>
        <w:noBreakHyphen/>
      </w:r>
      <w:r w:rsidRPr="003022C4">
        <w:rPr>
          <w:rFonts w:cs="Times New Roman"/>
          <w:noProof/>
          <w:lang w:val="fr-CA"/>
        </w:rPr>
        <w:t>elle « un fardeau ou [nie</w:t>
      </w:r>
      <w:r>
        <w:rPr>
          <w:rFonts w:cs="Times New Roman"/>
          <w:noProof/>
          <w:lang w:val="fr-CA"/>
        </w:rPr>
        <w:noBreakHyphen/>
      </w:r>
      <w:r w:rsidRPr="003022C4">
        <w:rPr>
          <w:rFonts w:cs="Times New Roman"/>
          <w:noProof/>
          <w:lang w:val="fr-CA"/>
        </w:rPr>
        <w:t>t</w:t>
      </w:r>
      <w:r>
        <w:rPr>
          <w:rFonts w:cs="Times New Roman"/>
          <w:noProof/>
          <w:lang w:val="fr-CA"/>
        </w:rPr>
        <w:noBreakHyphen/>
      </w:r>
      <w:r w:rsidRPr="003022C4">
        <w:rPr>
          <w:rFonts w:cs="Times New Roman"/>
          <w:noProof/>
          <w:lang w:val="fr-CA"/>
        </w:rPr>
        <w:t xml:space="preserve">elle] un avantage d’une manière qui a pour effet de renforcer, de perpétuer ou d’accentuer le désavantage », y compris le désavantage « historique » subi? (Voir </w:t>
      </w:r>
      <w:r w:rsidRPr="003022C4">
        <w:rPr>
          <w:rFonts w:cs="Times New Roman"/>
          <w:i/>
          <w:noProof/>
          <w:lang w:val="fr-CA"/>
        </w:rPr>
        <w:t>Centrale des syndicats du Québec c. Québec (Procureure générale)</w:t>
      </w:r>
      <w:r w:rsidRPr="003022C4">
        <w:rPr>
          <w:rFonts w:cs="Times New Roman"/>
          <w:noProof/>
          <w:lang w:val="fr-CA"/>
        </w:rPr>
        <w:t xml:space="preserve">, 2018 CSC 18, [2018] 1 R.C.S. 522, </w:t>
      </w:r>
      <w:r>
        <w:rPr>
          <w:rFonts w:cs="Times New Roman"/>
          <w:noProof/>
          <w:lang w:val="fr-CA"/>
        </w:rPr>
        <w:t>par. </w:t>
      </w:r>
      <w:r w:rsidRPr="003022C4">
        <w:rPr>
          <w:rFonts w:cs="Times New Roman"/>
          <w:noProof/>
          <w:lang w:val="fr-CA"/>
        </w:rPr>
        <w:t xml:space="preserve">22, citant </w:t>
      </w:r>
      <w:r w:rsidRPr="003022C4">
        <w:rPr>
          <w:rFonts w:cs="Times New Roman"/>
          <w:i/>
          <w:noProof/>
          <w:lang w:val="fr-CA"/>
        </w:rPr>
        <w:t xml:space="preserve">Première Nation de </w:t>
      </w:r>
      <w:proofErr w:type="spellStart"/>
      <w:r w:rsidRPr="003022C4">
        <w:rPr>
          <w:rFonts w:cs="Times New Roman"/>
          <w:i/>
          <w:lang w:val="fr-CA"/>
        </w:rPr>
        <w:t>Kahkewistahaw</w:t>
      </w:r>
      <w:proofErr w:type="spellEnd"/>
      <w:r w:rsidRPr="003022C4">
        <w:rPr>
          <w:rFonts w:cs="Times New Roman"/>
          <w:i/>
          <w:lang w:val="fr-CA"/>
        </w:rPr>
        <w:t xml:space="preserve"> c. </w:t>
      </w:r>
      <w:proofErr w:type="spellStart"/>
      <w:r w:rsidRPr="003022C4">
        <w:rPr>
          <w:rFonts w:cs="Times New Roman"/>
          <w:i/>
          <w:lang w:val="fr-CA"/>
        </w:rPr>
        <w:t>Taypotat</w:t>
      </w:r>
      <w:proofErr w:type="spellEnd"/>
      <w:r w:rsidRPr="003022C4">
        <w:rPr>
          <w:rFonts w:cs="Times New Roman"/>
          <w:lang w:val="fr-CA"/>
        </w:rPr>
        <w:t xml:space="preserve">, 2015 CSC 30, [2015] 2 R.C.S. 548, </w:t>
      </w:r>
      <w:r>
        <w:rPr>
          <w:rFonts w:cs="Times New Roman"/>
          <w:lang w:val="fr-CA"/>
        </w:rPr>
        <w:t>par. </w:t>
      </w:r>
      <w:r w:rsidRPr="003022C4">
        <w:rPr>
          <w:rFonts w:cs="Times New Roman"/>
          <w:lang w:val="fr-CA"/>
        </w:rPr>
        <w:t>19</w:t>
      </w:r>
      <w:r>
        <w:rPr>
          <w:rFonts w:cs="Times New Roman"/>
          <w:lang w:val="fr-CA"/>
        </w:rPr>
        <w:noBreakHyphen/>
      </w:r>
      <w:r w:rsidRPr="003022C4">
        <w:rPr>
          <w:rFonts w:cs="Times New Roman"/>
          <w:lang w:val="fr-CA"/>
        </w:rPr>
        <w:t xml:space="preserve">20, et </w:t>
      </w:r>
      <w:r w:rsidRPr="003022C4">
        <w:rPr>
          <w:rFonts w:cs="Times New Roman"/>
          <w:i/>
          <w:lang w:val="fr-CA"/>
        </w:rPr>
        <w:t>Québec c. A</w:t>
      </w:r>
      <w:r w:rsidRPr="003022C4">
        <w:rPr>
          <w:rFonts w:cs="Times New Roman"/>
          <w:lang w:val="fr-CA"/>
        </w:rPr>
        <w:t xml:space="preserve">, </w:t>
      </w:r>
      <w:r>
        <w:rPr>
          <w:rFonts w:cs="Times New Roman"/>
          <w:lang w:val="fr-CA"/>
        </w:rPr>
        <w:t>par. 3</w:t>
      </w:r>
      <w:r w:rsidRPr="003022C4">
        <w:rPr>
          <w:rFonts w:cs="Times New Roman"/>
          <w:lang w:val="fr-CA"/>
        </w:rPr>
        <w:t>23</w:t>
      </w:r>
      <w:r>
        <w:rPr>
          <w:rFonts w:cs="Times New Roman"/>
          <w:lang w:val="fr-CA"/>
        </w:rPr>
        <w:noBreakHyphen/>
      </w:r>
      <w:r w:rsidRPr="003022C4">
        <w:rPr>
          <w:rFonts w:cs="Times New Roman"/>
          <w:lang w:val="fr-CA"/>
        </w:rPr>
        <w:t xml:space="preserve">324 et 327; voir aussi </w:t>
      </w:r>
      <w:r w:rsidRPr="003022C4">
        <w:rPr>
          <w:rFonts w:cs="Times New Roman"/>
          <w:i/>
          <w:lang w:val="fr-CA"/>
        </w:rPr>
        <w:t>Québec c.</w:t>
      </w:r>
      <w:r w:rsidRPr="003022C4">
        <w:rPr>
          <w:rFonts w:cs="Times New Roman"/>
          <w:lang w:val="fr-CA"/>
        </w:rPr>
        <w:t xml:space="preserve"> </w:t>
      </w:r>
      <w:r w:rsidRPr="003022C4">
        <w:rPr>
          <w:rFonts w:cs="Times New Roman"/>
          <w:i/>
          <w:lang w:val="fr-CA"/>
        </w:rPr>
        <w:t>A</w:t>
      </w:r>
      <w:r w:rsidRPr="003022C4">
        <w:rPr>
          <w:rFonts w:cs="Times New Roman"/>
          <w:lang w:val="fr-CA"/>
        </w:rPr>
        <w:t xml:space="preserve">, </w:t>
      </w:r>
      <w:r>
        <w:rPr>
          <w:rFonts w:cs="Times New Roman"/>
          <w:lang w:val="fr-CA"/>
        </w:rPr>
        <w:t>par. </w:t>
      </w:r>
      <w:r w:rsidRPr="003022C4">
        <w:rPr>
          <w:rFonts w:cs="Times New Roman"/>
          <w:lang w:val="fr-CA"/>
        </w:rPr>
        <w:t xml:space="preserve">332, </w:t>
      </w:r>
      <w:r w:rsidRPr="003022C4">
        <w:rPr>
          <w:rFonts w:cs="Times New Roman"/>
          <w:i/>
          <w:lang w:val="fr-CA"/>
        </w:rPr>
        <w:t>Québec (Procureure générale)</w:t>
      </w:r>
      <w:r w:rsidRPr="003022C4">
        <w:rPr>
          <w:rFonts w:cs="Times New Roman"/>
          <w:i/>
          <w:noProof/>
          <w:lang w:val="fr-CA"/>
        </w:rPr>
        <w:t xml:space="preserve"> c. Alliance</w:t>
      </w:r>
      <w:r w:rsidRPr="003022C4">
        <w:rPr>
          <w:rFonts w:cs="Times New Roman"/>
          <w:noProof/>
          <w:lang w:val="fr-CA"/>
        </w:rPr>
        <w:t xml:space="preserve"> </w:t>
      </w:r>
      <w:r w:rsidRPr="003022C4">
        <w:rPr>
          <w:rFonts w:cs="Times New Roman"/>
          <w:i/>
          <w:noProof/>
          <w:lang w:val="fr-CA"/>
        </w:rPr>
        <w:t>du personnel professionnel et technique de la santé et des services sociaux</w:t>
      </w:r>
      <w:r w:rsidRPr="003022C4">
        <w:rPr>
          <w:rFonts w:cs="Times New Roman"/>
          <w:noProof/>
          <w:lang w:val="fr-CA"/>
        </w:rPr>
        <w:t xml:space="preserve">, 2018 CSC 17, [2018] 1 R.C.S. 464, </w:t>
      </w:r>
      <w:r>
        <w:rPr>
          <w:rFonts w:cs="Times New Roman"/>
          <w:noProof/>
          <w:lang w:val="fr-CA"/>
        </w:rPr>
        <w:t>par. </w:t>
      </w:r>
      <w:r w:rsidRPr="003022C4">
        <w:rPr>
          <w:rFonts w:cs="Times New Roman"/>
          <w:noProof/>
          <w:lang w:val="fr-CA"/>
        </w:rPr>
        <w:t>25</w:t>
      </w:r>
      <w:r>
        <w:rPr>
          <w:rFonts w:cs="Times New Roman"/>
          <w:noProof/>
          <w:lang w:val="fr-CA"/>
        </w:rPr>
        <w:noBreakHyphen/>
      </w:r>
      <w:r w:rsidRPr="003022C4">
        <w:rPr>
          <w:rFonts w:cs="Times New Roman"/>
          <w:noProof/>
          <w:lang w:val="fr-CA"/>
        </w:rPr>
        <w:t xml:space="preserve">28, et </w:t>
      </w:r>
      <w:r w:rsidRPr="003022C4">
        <w:rPr>
          <w:rFonts w:cs="Times New Roman"/>
          <w:i/>
          <w:noProof/>
          <w:lang w:val="fr-CA"/>
        </w:rPr>
        <w:t>Fraser c. Canada (Procureur général)</w:t>
      </w:r>
      <w:r w:rsidRPr="003022C4">
        <w:rPr>
          <w:rFonts w:cs="Times New Roman"/>
          <w:noProof/>
          <w:lang w:val="fr-CA"/>
        </w:rPr>
        <w:t xml:space="preserve">, </w:t>
      </w:r>
      <w:r w:rsidR="005B0DF7">
        <w:rPr>
          <w:rFonts w:cs="Times New Roman"/>
          <w:noProof/>
          <w:lang w:val="fr-CA"/>
        </w:rPr>
        <w:t>2020 CSC 28, [2020] 3</w:t>
      </w:r>
      <w:r w:rsidR="004A6852">
        <w:rPr>
          <w:rFonts w:cs="Times New Roman"/>
          <w:noProof/>
          <w:lang w:val="fr-CA"/>
        </w:rPr>
        <w:t xml:space="preserve"> R.C.S.</w:t>
      </w:r>
      <w:r w:rsidR="005B0DF7">
        <w:rPr>
          <w:rFonts w:cs="Times New Roman"/>
          <w:noProof/>
          <w:lang w:val="fr-CA"/>
        </w:rPr>
        <w:t xml:space="preserve"> 113</w:t>
      </w:r>
      <w:r w:rsidR="004D4DC5">
        <w:rPr>
          <w:rFonts w:cs="Times New Roman"/>
          <w:noProof/>
          <w:lang w:val="fr-CA"/>
        </w:rPr>
        <w:t xml:space="preserve">, </w:t>
      </w:r>
      <w:r>
        <w:rPr>
          <w:rFonts w:cs="Times New Roman"/>
          <w:noProof/>
          <w:lang w:val="fr-CA"/>
        </w:rPr>
        <w:t>par. </w:t>
      </w:r>
      <w:r w:rsidRPr="003022C4">
        <w:rPr>
          <w:rFonts w:cs="Times New Roman"/>
          <w:noProof/>
          <w:lang w:val="fr-CA"/>
        </w:rPr>
        <w:t>27 et 30, la juge Abella.)</w:t>
      </w:r>
    </w:p>
    <w:p w14:paraId="56496DF2" w14:textId="77777777" w:rsidR="00F712C6" w:rsidRPr="003022C4" w:rsidRDefault="00F712C6" w:rsidP="00F712C6">
      <w:pPr>
        <w:pStyle w:val="ParaNoNdepar-AltN"/>
        <w:rPr>
          <w:rFonts w:cs="Times New Roman"/>
          <w:noProof/>
          <w:lang w:val="fr-CA"/>
        </w:rPr>
      </w:pPr>
      <w:r w:rsidRPr="003022C4">
        <w:rPr>
          <w:rFonts w:cs="Times New Roman"/>
          <w:noProof/>
          <w:lang w:val="fr-CA"/>
        </w:rPr>
        <w:t>La première étape — que la loi crée ou non une distinction fondée sur un motif énuméré ou analogue — ne constitue ni une étape de filtrage initial sur le fond, ni « un lourd obstacle visant à écarter certaines demandes pour des motifs techniques » (</w:t>
      </w:r>
      <w:r>
        <w:rPr>
          <w:rFonts w:cs="Times New Roman"/>
          <w:i/>
          <w:noProof/>
          <w:lang w:val="fr-CA"/>
        </w:rPr>
        <w:t xml:space="preserve">Québec c. </w:t>
      </w:r>
      <w:r w:rsidRPr="003022C4">
        <w:rPr>
          <w:rFonts w:cs="Times New Roman"/>
          <w:i/>
          <w:noProof/>
          <w:lang w:val="fr-CA"/>
        </w:rPr>
        <w:t>Alliance</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26). Son objectif consiste plutôt à faire en sorte que les personnes bénéficiant de la protection du </w:t>
      </w:r>
      <w:r>
        <w:rPr>
          <w:rFonts w:cs="Times New Roman"/>
          <w:noProof/>
          <w:lang w:val="fr-CA"/>
        </w:rPr>
        <w:t>par. </w:t>
      </w:r>
      <w:r w:rsidRPr="003022C4">
        <w:rPr>
          <w:rFonts w:cs="Times New Roman"/>
          <w:noProof/>
          <w:lang w:val="fr-CA"/>
        </w:rPr>
        <w:t>15(1) sont celles qu’il est censé protéger (</w:t>
      </w:r>
      <w:r w:rsidRPr="003022C4">
        <w:rPr>
          <w:rFonts w:cs="Times New Roman"/>
          <w:i/>
          <w:noProof/>
          <w:lang w:val="fr-CA"/>
        </w:rPr>
        <w:t>Alliance</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26). Dans les cas où une loi crée une distinction de par son effet, il suffit que cette loi ait un effet disproportionné sur un groupe protégé — il n’est pas nécessaire que cet effet disproportionné ait été </w:t>
      </w:r>
      <w:r w:rsidRPr="003022C4">
        <w:rPr>
          <w:rFonts w:cs="Times New Roman"/>
          <w:i/>
          <w:noProof/>
          <w:lang w:val="fr-CA"/>
        </w:rPr>
        <w:t xml:space="preserve">causé </w:t>
      </w:r>
      <w:r w:rsidRPr="003022C4">
        <w:rPr>
          <w:rFonts w:cs="Times New Roman"/>
          <w:noProof/>
          <w:lang w:val="fr-CA"/>
        </w:rPr>
        <w:t>par le motif protégé (</w:t>
      </w:r>
      <w:r w:rsidRPr="003022C4">
        <w:rPr>
          <w:rFonts w:cs="Times New Roman"/>
          <w:i/>
          <w:noProof/>
          <w:lang w:val="fr-CA"/>
        </w:rPr>
        <w:t>Fraser</w:t>
      </w:r>
      <w:r w:rsidRPr="003022C4">
        <w:rPr>
          <w:rFonts w:cs="Times New Roman"/>
          <w:noProof/>
          <w:lang w:val="fr-CA"/>
        </w:rPr>
        <w:t xml:space="preserve">, </w:t>
      </w:r>
      <w:r>
        <w:rPr>
          <w:rFonts w:cs="Times New Roman"/>
          <w:noProof/>
          <w:lang w:val="fr-CA"/>
        </w:rPr>
        <w:t>par. </w:t>
      </w:r>
      <w:r w:rsidRPr="003022C4">
        <w:rPr>
          <w:rFonts w:cs="Times New Roman"/>
          <w:noProof/>
          <w:lang w:val="fr-CA"/>
        </w:rPr>
        <w:t>70).</w:t>
      </w:r>
    </w:p>
    <w:p w14:paraId="5A0BC7C3"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La deuxième étape consiste à se demander si la loi contestée impose un fardeau ou nie un avantage d’une manière discriminatoire. Il est important de souligner que le fait que la loi contestée ait </w:t>
      </w:r>
      <w:r w:rsidRPr="003022C4">
        <w:rPr>
          <w:rFonts w:cs="Times New Roman"/>
          <w:i/>
          <w:noProof/>
          <w:lang w:val="fr-CA"/>
        </w:rPr>
        <w:t xml:space="preserve">créé </w:t>
      </w:r>
      <w:r w:rsidRPr="003022C4">
        <w:rPr>
          <w:rFonts w:cs="Times New Roman"/>
          <w:noProof/>
          <w:lang w:val="fr-CA"/>
        </w:rPr>
        <w:t>les désavantages sociaux, politiques et juridiques que subissent les groupes protégés ne change rien, que ce soit à la première ou à la deuxième étape de l’analyse (</w:t>
      </w:r>
      <w:r w:rsidRPr="003022C4">
        <w:rPr>
          <w:rFonts w:cs="Times New Roman"/>
          <w:i/>
          <w:noProof/>
          <w:lang w:val="fr-CA"/>
        </w:rPr>
        <w:t>Centrale des syndicats</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32, citant </w:t>
      </w:r>
      <w:r w:rsidRPr="003022C4">
        <w:rPr>
          <w:rFonts w:cs="Times New Roman"/>
          <w:i/>
          <w:noProof/>
          <w:lang w:val="fr-CA"/>
        </w:rPr>
        <w:t>Vriend c. Alberta</w:t>
      </w:r>
      <w:r w:rsidRPr="003022C4">
        <w:rPr>
          <w:rFonts w:cs="Times New Roman"/>
          <w:noProof/>
          <w:lang w:val="fr-CA"/>
        </w:rPr>
        <w:t xml:space="preserve">, [1998] 1 R.C.S. 493, </w:t>
      </w:r>
      <w:r>
        <w:rPr>
          <w:rFonts w:cs="Times New Roman"/>
          <w:noProof/>
          <w:lang w:val="fr-CA"/>
        </w:rPr>
        <w:t>par. </w:t>
      </w:r>
      <w:r w:rsidRPr="003022C4">
        <w:rPr>
          <w:rFonts w:cs="Times New Roman"/>
          <w:noProof/>
          <w:lang w:val="fr-CA"/>
        </w:rPr>
        <w:t xml:space="preserve">84 et 97; </w:t>
      </w:r>
      <w:r w:rsidRPr="003022C4">
        <w:rPr>
          <w:rFonts w:cs="Times New Roman"/>
          <w:i/>
          <w:noProof/>
          <w:lang w:val="fr-CA"/>
        </w:rPr>
        <w:t>Fraser</w:t>
      </w:r>
      <w:r w:rsidRPr="003022C4">
        <w:rPr>
          <w:rFonts w:cs="Times New Roman"/>
          <w:noProof/>
          <w:lang w:val="fr-CA"/>
        </w:rPr>
        <w:t xml:space="preserve">, </w:t>
      </w:r>
      <w:r>
        <w:rPr>
          <w:rFonts w:cs="Times New Roman"/>
          <w:noProof/>
          <w:lang w:val="fr-CA"/>
        </w:rPr>
        <w:t>par. </w:t>
      </w:r>
      <w:r w:rsidRPr="003022C4">
        <w:rPr>
          <w:rFonts w:cs="Times New Roman"/>
          <w:noProof/>
          <w:lang w:val="fr-CA"/>
        </w:rPr>
        <w:t>71). Si la loi renforce, perpétue ou accentue le désavantage subi, elle porte atteinte à la garantie d’égalité et donne donc force de loi à la discrimination.</w:t>
      </w:r>
    </w:p>
    <w:p w14:paraId="10FB5E6E"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Dans les litiges mettant en cause le </w:t>
      </w:r>
      <w:r>
        <w:rPr>
          <w:rFonts w:cs="Times New Roman"/>
          <w:noProof/>
          <w:lang w:val="fr-CA"/>
        </w:rPr>
        <w:t>par. </w:t>
      </w:r>
      <w:r w:rsidRPr="003022C4">
        <w:rPr>
          <w:rFonts w:cs="Times New Roman"/>
          <w:noProof/>
          <w:lang w:val="fr-CA"/>
        </w:rPr>
        <w:t>15(1), la question ultime consiste à déterminer si la loi contestée transgresse la norme fondamentale d’égalité réelle applicable (</w:t>
      </w:r>
      <w:r w:rsidRPr="003022C4">
        <w:rPr>
          <w:rFonts w:cs="Times New Roman"/>
          <w:i/>
          <w:noProof/>
          <w:lang w:val="fr-CA"/>
        </w:rPr>
        <w:t>Québec c</w:t>
      </w:r>
      <w:r w:rsidRPr="003022C4">
        <w:rPr>
          <w:rFonts w:cs="Times New Roman"/>
          <w:i/>
          <w:iCs/>
          <w:noProof/>
          <w:lang w:val="fr-CA"/>
        </w:rPr>
        <w:t>.</w:t>
      </w:r>
      <w:r w:rsidRPr="003022C4">
        <w:rPr>
          <w:rFonts w:cs="Times New Roman"/>
          <w:i/>
          <w:noProof/>
          <w:lang w:val="fr-CA"/>
        </w:rPr>
        <w:t> A</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325, citant </w:t>
      </w:r>
      <w:r>
        <w:rPr>
          <w:rFonts w:cs="Times New Roman"/>
          <w:i/>
          <w:noProof/>
          <w:lang w:val="fr-CA"/>
        </w:rPr>
        <w:t xml:space="preserve">Withler </w:t>
      </w:r>
      <w:r w:rsidRPr="003022C4">
        <w:rPr>
          <w:rFonts w:cs="Times New Roman"/>
          <w:i/>
          <w:noProof/>
          <w:lang w:val="fr-CA"/>
        </w:rPr>
        <w:t>c</w:t>
      </w:r>
      <w:r w:rsidRPr="003022C4">
        <w:rPr>
          <w:rFonts w:cs="Times New Roman"/>
          <w:i/>
          <w:iCs/>
          <w:noProof/>
          <w:lang w:val="fr-CA"/>
        </w:rPr>
        <w:t>.</w:t>
      </w:r>
      <w:r>
        <w:rPr>
          <w:rFonts w:cs="Times New Roman"/>
          <w:b/>
          <w:bCs/>
          <w:i/>
          <w:noProof/>
          <w:lang w:val="fr-CA"/>
        </w:rPr>
        <w:t xml:space="preserve"> </w:t>
      </w:r>
      <w:r w:rsidRPr="003022C4">
        <w:rPr>
          <w:rFonts w:cs="Times New Roman"/>
          <w:i/>
          <w:noProof/>
          <w:lang w:val="fr-CA"/>
        </w:rPr>
        <w:t>Canada (Procureur général)</w:t>
      </w:r>
      <w:r>
        <w:rPr>
          <w:rFonts w:cs="Times New Roman"/>
          <w:noProof/>
          <w:lang w:val="fr-CA"/>
        </w:rPr>
        <w:t xml:space="preserve">, </w:t>
      </w:r>
      <w:r w:rsidRPr="003022C4">
        <w:rPr>
          <w:rFonts w:cs="Times New Roman"/>
          <w:noProof/>
          <w:lang w:val="fr-CA"/>
        </w:rPr>
        <w:t xml:space="preserve">2011 CSC 12, [2011] 1 R.C.S. 396, </w:t>
      </w:r>
      <w:r>
        <w:rPr>
          <w:rFonts w:cs="Times New Roman"/>
          <w:noProof/>
          <w:lang w:val="fr-CA"/>
        </w:rPr>
        <w:t>par. </w:t>
      </w:r>
      <w:r w:rsidRPr="003022C4">
        <w:rPr>
          <w:rFonts w:cs="Times New Roman"/>
          <w:noProof/>
          <w:lang w:val="fr-CA"/>
        </w:rPr>
        <w:t xml:space="preserve">2; </w:t>
      </w:r>
      <w:r w:rsidRPr="003022C4">
        <w:rPr>
          <w:rFonts w:cs="Times New Roman"/>
          <w:i/>
          <w:noProof/>
          <w:lang w:val="fr-CA"/>
        </w:rPr>
        <w:t>Fraser</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42; </w:t>
      </w:r>
      <w:r>
        <w:rPr>
          <w:rFonts w:cs="Times New Roman"/>
          <w:i/>
          <w:noProof/>
          <w:lang w:val="fr-CA"/>
        </w:rPr>
        <w:t xml:space="preserve">R. c. </w:t>
      </w:r>
      <w:r w:rsidRPr="003022C4">
        <w:rPr>
          <w:rFonts w:cs="Times New Roman"/>
          <w:i/>
          <w:noProof/>
          <w:lang w:val="fr-CA"/>
        </w:rPr>
        <w:t>Kapp</w:t>
      </w:r>
      <w:r w:rsidRPr="003022C4">
        <w:rPr>
          <w:rFonts w:cs="Times New Roman"/>
          <w:noProof/>
          <w:lang w:val="fr-CA"/>
        </w:rPr>
        <w:t xml:space="preserve">, 2008 CSC 41, [2008] 2 R.C.S. 483, </w:t>
      </w:r>
      <w:r>
        <w:rPr>
          <w:rFonts w:cs="Times New Roman"/>
          <w:noProof/>
          <w:lang w:val="fr-CA"/>
        </w:rPr>
        <w:t>par. </w:t>
      </w:r>
      <w:r w:rsidRPr="003022C4">
        <w:rPr>
          <w:rFonts w:cs="Times New Roman"/>
          <w:noProof/>
          <w:lang w:val="fr-CA"/>
        </w:rPr>
        <w:t xml:space="preserve">14). Selon la norme d’égalité réelle, les deux étapes de l’analyse fondée sur le </w:t>
      </w:r>
      <w:r>
        <w:rPr>
          <w:rFonts w:cs="Times New Roman"/>
          <w:noProof/>
          <w:lang w:val="fr-CA"/>
        </w:rPr>
        <w:t>par. </w:t>
      </w:r>
      <w:r w:rsidRPr="003022C4">
        <w:rPr>
          <w:rFonts w:cs="Times New Roman"/>
          <w:noProof/>
          <w:lang w:val="fr-CA"/>
        </w:rPr>
        <w:t>15(1) doivent être axées sur les répercussions concrètes importantes qu’a la loi contestée sur le demandeur et le ou les groupes protégés auxquels il appartient dans leur situation réelle, ce qui comprend les désavantages sociaux, politiques et juridiques historiques ou actuels. Pour comprendre pourquoi bon nombre des arguments que le procureur général a invoqués devant notre Cour doivent être rejetés, il est nécessaire de reconnaître le rôle qu’a joué le principe de l’égalité réelle dans notre jurisprudence.</w:t>
      </w:r>
    </w:p>
    <w:p w14:paraId="16626C98" w14:textId="12D0CFF4" w:rsidR="00F712C6" w:rsidRPr="003022C4" w:rsidRDefault="00F712C6" w:rsidP="00F712C6">
      <w:pPr>
        <w:pStyle w:val="ParaNoNdepar-AltN"/>
        <w:rPr>
          <w:rFonts w:cs="Times New Roman"/>
          <w:noProof/>
          <w:lang w:val="fr-CA"/>
        </w:rPr>
      </w:pPr>
      <w:r w:rsidRPr="003022C4">
        <w:rPr>
          <w:rFonts w:cs="Times New Roman"/>
          <w:noProof/>
          <w:lang w:val="fr-CA"/>
        </w:rPr>
        <w:t>La conception que se fait notre Cour de l’égalité réelle a évolué en opposition aux approches d’égalité formelle. L’égalité formelle se limite à l’égalité « devant la loi » et considère l’égalité comme un principe qui se réalise par « l’égalité de traitement des individus égaux » (</w:t>
      </w:r>
      <w:r w:rsidRPr="003022C4">
        <w:rPr>
          <w:rFonts w:cs="Times New Roman"/>
          <w:i/>
          <w:noProof/>
          <w:lang w:val="fr-CA"/>
        </w:rPr>
        <w:t>Andrews</w:t>
      </w:r>
      <w:r w:rsidRPr="003022C4">
        <w:rPr>
          <w:rFonts w:cs="Times New Roman"/>
          <w:noProof/>
          <w:lang w:val="fr-CA"/>
        </w:rPr>
        <w:t xml:space="preserve">, </w:t>
      </w:r>
      <w:r>
        <w:rPr>
          <w:rFonts w:cs="Times New Roman"/>
          <w:noProof/>
          <w:lang w:val="fr-CA"/>
        </w:rPr>
        <w:t>p. </w:t>
      </w:r>
      <w:r w:rsidRPr="003022C4">
        <w:rPr>
          <w:rFonts w:cs="Times New Roman"/>
          <w:noProof/>
          <w:lang w:val="fr-CA"/>
        </w:rPr>
        <w:t>165</w:t>
      </w:r>
      <w:r>
        <w:rPr>
          <w:rFonts w:cs="Times New Roman"/>
          <w:noProof/>
          <w:lang w:val="fr-CA"/>
        </w:rPr>
        <w:noBreakHyphen/>
      </w:r>
      <w:r w:rsidRPr="003022C4">
        <w:rPr>
          <w:rFonts w:cs="Times New Roman"/>
          <w:noProof/>
          <w:lang w:val="fr-CA"/>
        </w:rPr>
        <w:t xml:space="preserve">168 et 170; </w:t>
      </w:r>
      <w:r w:rsidRPr="003022C4">
        <w:rPr>
          <w:rFonts w:cs="Times New Roman"/>
          <w:i/>
          <w:noProof/>
          <w:lang w:val="fr-CA"/>
        </w:rPr>
        <w:t>Centrale des syndicats</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27). Les approches formalistes relatives aux droits à l’égalité consistent à </w:t>
      </w:r>
      <w:r>
        <w:rPr>
          <w:rFonts w:cs="Times New Roman"/>
          <w:smallCaps/>
          <w:noProof/>
          <w:lang w:val="fr-CA"/>
        </w:rPr>
        <w:t xml:space="preserve">[traduction] </w:t>
      </w:r>
      <w:r w:rsidRPr="003022C4">
        <w:rPr>
          <w:rFonts w:cs="Times New Roman"/>
          <w:noProof/>
          <w:lang w:val="fr-CA"/>
        </w:rPr>
        <w:t xml:space="preserve">« appliquer des règles et des définitions objectives sans égard au contexte » qui ne tiennent pas compte de conditions telles que l’inégalité importante, les effets concrets qu’ont les lois sur les individus et les groupes, et la manière dont les choix des individus sont ancrés dans le contexte socioéconomique dans lequel ils évoluent (S. McIntyre, « Answering the Siren Call of Abstract Formalism with the Subjects and Verbs of Domination », dans F. Faraday, M. Denike et M. K. Stephenson, dir., </w:t>
      </w:r>
      <w:r w:rsidRPr="003022C4">
        <w:rPr>
          <w:rFonts w:cs="Times New Roman"/>
          <w:i/>
          <w:noProof/>
          <w:lang w:val="fr-CA"/>
        </w:rPr>
        <w:t>Making</w:t>
      </w:r>
      <w:r w:rsidRPr="003022C4">
        <w:rPr>
          <w:rFonts w:cs="Times New Roman"/>
          <w:noProof/>
          <w:lang w:val="fr-CA"/>
        </w:rPr>
        <w:t xml:space="preserve"> </w:t>
      </w:r>
      <w:r w:rsidRPr="003022C4">
        <w:rPr>
          <w:rFonts w:cs="Times New Roman"/>
          <w:i/>
          <w:noProof/>
          <w:lang w:val="fr-CA"/>
        </w:rPr>
        <w:t>Equality Rights Real</w:t>
      </w:r>
      <w:r w:rsidR="004F5452">
        <w:rPr>
          <w:rFonts w:cs="Times New Roman"/>
          <w:i/>
          <w:noProof/>
          <w:lang w:val="fr-CA"/>
        </w:rPr>
        <w:t> </w:t>
      </w:r>
      <w:r w:rsidRPr="003022C4">
        <w:rPr>
          <w:rFonts w:cs="Times New Roman"/>
          <w:i/>
          <w:noProof/>
          <w:lang w:val="fr-CA"/>
        </w:rPr>
        <w:t xml:space="preserve">: Securing Substantive Equality under the Charter </w:t>
      </w:r>
      <w:r w:rsidRPr="003022C4">
        <w:rPr>
          <w:rFonts w:cs="Times New Roman"/>
          <w:noProof/>
          <w:lang w:val="fr-CA"/>
        </w:rPr>
        <w:t>(2</w:t>
      </w:r>
      <w:r w:rsidRPr="003022C4">
        <w:rPr>
          <w:rFonts w:cs="Times New Roman"/>
          <w:noProof/>
          <w:vertAlign w:val="superscript"/>
          <w:lang w:val="fr-CA"/>
        </w:rPr>
        <w:t>e</w:t>
      </w:r>
      <w:r>
        <w:rPr>
          <w:rFonts w:cs="Times New Roman"/>
          <w:noProof/>
          <w:lang w:val="fr-CA"/>
        </w:rPr>
        <w:t> éd.</w:t>
      </w:r>
      <w:r w:rsidRPr="003022C4">
        <w:rPr>
          <w:rFonts w:cs="Times New Roman"/>
          <w:noProof/>
          <w:lang w:val="fr-CA"/>
        </w:rPr>
        <w:t xml:space="preserve"> 2009)</w:t>
      </w:r>
      <w:r>
        <w:rPr>
          <w:rFonts w:cs="Times New Roman"/>
          <w:noProof/>
          <w:lang w:val="fr-CA"/>
        </w:rPr>
        <w:t>,</w:t>
      </w:r>
      <w:r w:rsidRPr="003022C4">
        <w:rPr>
          <w:rFonts w:cs="Times New Roman"/>
          <w:noProof/>
          <w:lang w:val="fr-CA"/>
        </w:rPr>
        <w:t xml:space="preserve"> 99, </w:t>
      </w:r>
      <w:r>
        <w:rPr>
          <w:rFonts w:cs="Times New Roman"/>
          <w:noProof/>
          <w:lang w:val="fr-CA"/>
        </w:rPr>
        <w:t>p. </w:t>
      </w:r>
      <w:r w:rsidRPr="003022C4">
        <w:rPr>
          <w:rFonts w:cs="Times New Roman"/>
          <w:noProof/>
          <w:lang w:val="fr-CA"/>
        </w:rPr>
        <w:t xml:space="preserve">105; </w:t>
      </w:r>
      <w:r w:rsidRPr="003022C4">
        <w:rPr>
          <w:rFonts w:cs="Times New Roman"/>
          <w:i/>
          <w:noProof/>
          <w:lang w:val="fr-CA"/>
        </w:rPr>
        <w:t>Fraser</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89; </w:t>
      </w:r>
      <w:r w:rsidRPr="003022C4">
        <w:rPr>
          <w:rFonts w:cs="Times New Roman"/>
          <w:i/>
          <w:noProof/>
          <w:lang w:val="fr-CA"/>
        </w:rPr>
        <w:t>Québec c. A</w:t>
      </w:r>
      <w:r w:rsidRPr="003022C4">
        <w:rPr>
          <w:rFonts w:cs="Times New Roman"/>
          <w:noProof/>
          <w:lang w:val="fr-CA"/>
        </w:rPr>
        <w:t xml:space="preserve">, </w:t>
      </w:r>
      <w:r>
        <w:rPr>
          <w:rFonts w:cs="Times New Roman"/>
          <w:noProof/>
          <w:lang w:val="fr-CA"/>
        </w:rPr>
        <w:t>par. </w:t>
      </w:r>
      <w:r w:rsidRPr="003022C4">
        <w:rPr>
          <w:rFonts w:cs="Times New Roman"/>
          <w:noProof/>
          <w:lang w:val="fr-CA"/>
        </w:rPr>
        <w:t>342, citant M. Young, « Unequal to the Task</w:t>
      </w:r>
      <w:r w:rsidR="004F5452">
        <w:rPr>
          <w:rFonts w:cs="Times New Roman"/>
          <w:noProof/>
          <w:lang w:val="fr-CA"/>
        </w:rPr>
        <w:t> </w:t>
      </w:r>
      <w:r w:rsidRPr="003022C4">
        <w:rPr>
          <w:rFonts w:cs="Times New Roman"/>
          <w:noProof/>
          <w:lang w:val="fr-CA"/>
        </w:rPr>
        <w:t>: “Kapp”ing the Substantive Potential of Section </w:t>
      </w:r>
      <w:r w:rsidRPr="003022C4">
        <w:rPr>
          <w:rFonts w:cs="Times New Roman"/>
          <w:bCs/>
          <w:noProof/>
          <w:lang w:val="fr-CA"/>
        </w:rPr>
        <w:t>15 »</w:t>
      </w:r>
      <w:r w:rsidRPr="003022C4">
        <w:rPr>
          <w:rFonts w:cs="Times New Roman"/>
          <w:noProof/>
          <w:lang w:val="fr-CA"/>
        </w:rPr>
        <w:t xml:space="preserve">, dans S. Rodgers et S. McIntyre, dir., </w:t>
      </w:r>
      <w:r w:rsidRPr="003022C4">
        <w:rPr>
          <w:rFonts w:cs="Times New Roman"/>
          <w:i/>
          <w:iCs/>
          <w:noProof/>
          <w:lang w:val="fr-CA"/>
        </w:rPr>
        <w:t>The Supreme Court of Canada and Social Justice: Commitment, Retrenchment or Retreat </w:t>
      </w:r>
      <w:r w:rsidRPr="003022C4">
        <w:rPr>
          <w:rFonts w:cs="Times New Roman"/>
          <w:noProof/>
          <w:lang w:val="fr-CA"/>
        </w:rPr>
        <w:t xml:space="preserve">(2010), 183, </w:t>
      </w:r>
      <w:r>
        <w:rPr>
          <w:rFonts w:cs="Times New Roman"/>
          <w:noProof/>
          <w:lang w:val="fr-CA"/>
        </w:rPr>
        <w:t>p. </w:t>
      </w:r>
      <w:r w:rsidRPr="003022C4">
        <w:rPr>
          <w:rFonts w:cs="Times New Roman"/>
          <w:noProof/>
          <w:lang w:val="fr-CA"/>
        </w:rPr>
        <w:t>190</w:t>
      </w:r>
      <w:r>
        <w:rPr>
          <w:rFonts w:cs="Times New Roman"/>
          <w:noProof/>
          <w:lang w:val="fr-CA"/>
        </w:rPr>
        <w:noBreakHyphen/>
      </w:r>
      <w:r w:rsidRPr="003022C4">
        <w:rPr>
          <w:rFonts w:cs="Times New Roman"/>
          <w:noProof/>
          <w:lang w:val="fr-CA"/>
        </w:rPr>
        <w:t>191 et 196).</w:t>
      </w:r>
    </w:p>
    <w:p w14:paraId="58ECB365" w14:textId="77777777" w:rsidR="00F712C6" w:rsidRPr="003022C4" w:rsidRDefault="00F712C6" w:rsidP="00F712C6">
      <w:pPr>
        <w:pStyle w:val="ParaNoNdepar-AltN"/>
        <w:rPr>
          <w:rFonts w:cs="Times New Roman"/>
          <w:noProof/>
          <w:lang w:val="fr-CA"/>
        </w:rPr>
      </w:pPr>
      <w:r>
        <w:rPr>
          <w:rFonts w:cs="Times New Roman"/>
          <w:noProof/>
          <w:lang w:val="fr-CA"/>
        </w:rPr>
        <w:t xml:space="preserve">Dans l’arrêt </w:t>
      </w:r>
      <w:r w:rsidRPr="003022C4">
        <w:rPr>
          <w:rFonts w:cs="Times New Roman"/>
          <w:i/>
          <w:noProof/>
          <w:lang w:val="fr-CA"/>
        </w:rPr>
        <w:t>Andrews</w:t>
      </w:r>
      <w:r w:rsidRPr="003022C4">
        <w:rPr>
          <w:rFonts w:cs="Times New Roman"/>
          <w:noProof/>
          <w:lang w:val="fr-CA"/>
        </w:rPr>
        <w:t xml:space="preserve">, notre Cour a interprété la garantie d’égalité formulée en termes larges dans la </w:t>
      </w:r>
      <w:r w:rsidRPr="003022C4">
        <w:rPr>
          <w:rFonts w:cs="Times New Roman"/>
          <w:i/>
          <w:noProof/>
          <w:lang w:val="fr-CA"/>
        </w:rPr>
        <w:t xml:space="preserve">Charte </w:t>
      </w:r>
      <w:r w:rsidRPr="003022C4">
        <w:rPr>
          <w:rFonts w:cs="Times New Roman"/>
          <w:noProof/>
          <w:lang w:val="fr-CA"/>
        </w:rPr>
        <w:t xml:space="preserve">comme un rejet clair du formalisme qui prévalait sous le régime de la </w:t>
      </w:r>
      <w:r w:rsidRPr="003022C4">
        <w:rPr>
          <w:rFonts w:cs="Times New Roman"/>
          <w:i/>
          <w:noProof/>
          <w:lang w:val="fr-CA"/>
        </w:rPr>
        <w:t>Déclaration canadienne des droits</w:t>
      </w:r>
      <w:r w:rsidRPr="003022C4">
        <w:rPr>
          <w:rFonts w:cs="Times New Roman"/>
          <w:noProof/>
          <w:lang w:val="fr-CA"/>
        </w:rPr>
        <w:t>, S.C. 1960, c. 44, dont la garantie d’égalité plus limitée avait été rendue inefficace en raison d’une interprétation restrictive (</w:t>
      </w:r>
      <w:r>
        <w:rPr>
          <w:rFonts w:cs="Times New Roman"/>
          <w:noProof/>
          <w:lang w:val="fr-CA"/>
        </w:rPr>
        <w:t>p. </w:t>
      </w:r>
      <w:r w:rsidRPr="003022C4">
        <w:rPr>
          <w:rFonts w:cs="Times New Roman"/>
          <w:noProof/>
          <w:lang w:val="fr-CA"/>
        </w:rPr>
        <w:t>170). Reconnaissant qu’un traitement identique peut engendrer des inégalités et qu’une différence de traitement ne produira pas forcément d’inégalité, notre Cour a souligné à juste titre que la principale considération doit être l’effet de la loi sur les demandeurs ou les groupes concernés (</w:t>
      </w:r>
      <w:r>
        <w:rPr>
          <w:rFonts w:cs="Times New Roman"/>
          <w:noProof/>
          <w:lang w:val="fr-CA"/>
        </w:rPr>
        <w:t>p. </w:t>
      </w:r>
      <w:r w:rsidRPr="003022C4">
        <w:rPr>
          <w:rFonts w:cs="Times New Roman"/>
          <w:noProof/>
          <w:lang w:val="fr-CA"/>
        </w:rPr>
        <w:t>164</w:t>
      </w:r>
      <w:r>
        <w:rPr>
          <w:rFonts w:cs="Times New Roman"/>
          <w:noProof/>
          <w:lang w:val="fr-CA"/>
        </w:rPr>
        <w:noBreakHyphen/>
      </w:r>
      <w:r w:rsidRPr="003022C4">
        <w:rPr>
          <w:rFonts w:cs="Times New Roman"/>
          <w:noProof/>
          <w:lang w:val="fr-CA"/>
        </w:rPr>
        <w:t>165).</w:t>
      </w:r>
    </w:p>
    <w:p w14:paraId="0BAB2208"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Depuis, notre Cour a fait preuve de prudence dans ses décisions en protégeant l’analyse fondée sur le </w:t>
      </w:r>
      <w:r>
        <w:rPr>
          <w:rFonts w:cs="Times New Roman"/>
          <w:noProof/>
          <w:lang w:val="fr-CA"/>
        </w:rPr>
        <w:t>par. </w:t>
      </w:r>
      <w:r w:rsidRPr="003022C4">
        <w:rPr>
          <w:rFonts w:cs="Times New Roman"/>
          <w:noProof/>
          <w:lang w:val="fr-CA"/>
        </w:rPr>
        <w:t xml:space="preserve">15(1) des incursions des approches d’égalité formelle (voir </w:t>
      </w:r>
      <w:r w:rsidRPr="003022C4">
        <w:rPr>
          <w:rFonts w:cs="Times New Roman"/>
          <w:i/>
          <w:noProof/>
          <w:lang w:val="fr-CA"/>
        </w:rPr>
        <w:t>Centrale des syndicats</w:t>
      </w:r>
      <w:r w:rsidRPr="003022C4">
        <w:rPr>
          <w:rFonts w:cs="Times New Roman"/>
          <w:noProof/>
          <w:lang w:val="fr-CA"/>
        </w:rPr>
        <w:t xml:space="preserve">, </w:t>
      </w:r>
      <w:r>
        <w:rPr>
          <w:rFonts w:cs="Times New Roman"/>
          <w:noProof/>
          <w:lang w:val="fr-CA"/>
        </w:rPr>
        <w:t>par. </w:t>
      </w:r>
      <w:r w:rsidRPr="003022C4">
        <w:rPr>
          <w:rFonts w:cs="Times New Roman"/>
          <w:noProof/>
          <w:lang w:val="fr-CA"/>
        </w:rPr>
        <w:t>25</w:t>
      </w:r>
      <w:r>
        <w:rPr>
          <w:rFonts w:cs="Times New Roman"/>
          <w:noProof/>
          <w:lang w:val="fr-CA"/>
        </w:rPr>
        <w:noBreakHyphen/>
      </w:r>
      <w:r w:rsidRPr="003022C4">
        <w:rPr>
          <w:rFonts w:cs="Times New Roman"/>
          <w:noProof/>
          <w:lang w:val="fr-CA"/>
        </w:rPr>
        <w:t xml:space="preserve">26; </w:t>
      </w:r>
      <w:r w:rsidRPr="003022C4">
        <w:rPr>
          <w:rFonts w:cs="Times New Roman"/>
          <w:i/>
          <w:noProof/>
          <w:lang w:val="fr-CA"/>
        </w:rPr>
        <w:t>Withler</w:t>
      </w:r>
      <w:r w:rsidRPr="003022C4">
        <w:rPr>
          <w:rFonts w:cs="Times New Roman"/>
          <w:noProof/>
          <w:lang w:val="fr-CA"/>
        </w:rPr>
        <w:t xml:space="preserve">, </w:t>
      </w:r>
      <w:r>
        <w:rPr>
          <w:rFonts w:cs="Times New Roman"/>
          <w:noProof/>
          <w:lang w:val="fr-CA"/>
        </w:rPr>
        <w:t>par. </w:t>
      </w:r>
      <w:r w:rsidRPr="003022C4">
        <w:rPr>
          <w:rFonts w:cs="Times New Roman"/>
          <w:noProof/>
          <w:lang w:val="fr-CA"/>
        </w:rPr>
        <w:t>43). À cette fin, elle a évité de procéder à une analyse formaliste fondée sur la « comparaison avec un groupe aux caractéristiques identiques » parce que la recherche du groupe de comparaison « approprié » éclipsait la nature oppressive de certaines lois (</w:t>
      </w:r>
      <w:r w:rsidRPr="003022C4">
        <w:rPr>
          <w:rFonts w:cs="Times New Roman"/>
          <w:i/>
          <w:noProof/>
          <w:lang w:val="fr-CA"/>
        </w:rPr>
        <w:t>Withler</w:t>
      </w:r>
      <w:r w:rsidRPr="003022C4">
        <w:rPr>
          <w:rFonts w:cs="Times New Roman"/>
          <w:noProof/>
          <w:lang w:val="fr-CA"/>
        </w:rPr>
        <w:t xml:space="preserve">, </w:t>
      </w:r>
      <w:r>
        <w:rPr>
          <w:rFonts w:cs="Times New Roman"/>
          <w:noProof/>
          <w:lang w:val="fr-CA"/>
        </w:rPr>
        <w:t>par. </w:t>
      </w:r>
      <w:r w:rsidRPr="003022C4">
        <w:rPr>
          <w:rFonts w:cs="Times New Roman"/>
          <w:noProof/>
          <w:lang w:val="fr-CA"/>
        </w:rPr>
        <w:t>2). Elle a rejeté l’intention discriminatoire comme condition nécessaire</w:t>
      </w:r>
      <w:r w:rsidRPr="003022C4" w:rsidDel="00BF72C8">
        <w:rPr>
          <w:rFonts w:cs="Times New Roman"/>
          <w:noProof/>
          <w:lang w:val="fr-CA"/>
        </w:rPr>
        <w:t xml:space="preserve"> </w:t>
      </w:r>
      <w:r w:rsidRPr="003022C4">
        <w:rPr>
          <w:rFonts w:cs="Times New Roman"/>
          <w:noProof/>
          <w:lang w:val="fr-CA"/>
        </w:rPr>
        <w:t>à l’existence d’une discrimination et a préféré s’attarder aux effets concrets d’une loi (</w:t>
      </w:r>
      <w:r w:rsidRPr="003022C4">
        <w:rPr>
          <w:rFonts w:cs="Times New Roman"/>
          <w:i/>
          <w:noProof/>
          <w:lang w:val="fr-CA"/>
        </w:rPr>
        <w:t>Eldridge</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62; </w:t>
      </w:r>
      <w:r w:rsidRPr="003022C4">
        <w:rPr>
          <w:rFonts w:cs="Times New Roman"/>
          <w:i/>
          <w:noProof/>
          <w:lang w:val="fr-CA"/>
        </w:rPr>
        <w:t>Andrews</w:t>
      </w:r>
      <w:r w:rsidRPr="003022C4">
        <w:rPr>
          <w:rFonts w:cs="Times New Roman"/>
          <w:noProof/>
          <w:lang w:val="fr-CA"/>
        </w:rPr>
        <w:t xml:space="preserve">, </w:t>
      </w:r>
      <w:r>
        <w:rPr>
          <w:rFonts w:cs="Times New Roman"/>
          <w:noProof/>
          <w:lang w:val="fr-CA"/>
        </w:rPr>
        <w:t>p. </w:t>
      </w:r>
      <w:r w:rsidRPr="003022C4">
        <w:rPr>
          <w:rFonts w:cs="Times New Roman"/>
          <w:noProof/>
          <w:lang w:val="fr-CA"/>
        </w:rPr>
        <w:t xml:space="preserve">173). Elle s’est aussi tenue fermement à l’idée que les effets préjudiciables d’une loi apparemment neutre peuvent constituer de la discrimination interdite par le </w:t>
      </w:r>
      <w:r>
        <w:rPr>
          <w:rFonts w:cs="Times New Roman"/>
          <w:noProof/>
          <w:lang w:val="fr-CA"/>
        </w:rPr>
        <w:t>par. </w:t>
      </w:r>
      <w:r w:rsidRPr="003022C4">
        <w:rPr>
          <w:rFonts w:cs="Times New Roman"/>
          <w:noProof/>
          <w:lang w:val="fr-CA"/>
        </w:rPr>
        <w:t>15(1) (</w:t>
      </w:r>
      <w:r w:rsidRPr="003022C4">
        <w:rPr>
          <w:rFonts w:cs="Times New Roman"/>
          <w:i/>
          <w:noProof/>
          <w:lang w:val="fr-CA"/>
        </w:rPr>
        <w:t>Eldridge</w:t>
      </w:r>
      <w:r w:rsidRPr="003022C4">
        <w:rPr>
          <w:rFonts w:cs="Times New Roman"/>
          <w:noProof/>
          <w:lang w:val="fr-CA"/>
        </w:rPr>
        <w:t xml:space="preserve">, </w:t>
      </w:r>
      <w:r>
        <w:rPr>
          <w:rFonts w:cs="Times New Roman"/>
          <w:noProof/>
          <w:lang w:val="fr-CA"/>
        </w:rPr>
        <w:t>par. </w:t>
      </w:r>
      <w:r w:rsidRPr="003022C4">
        <w:rPr>
          <w:rFonts w:cs="Times New Roman"/>
          <w:noProof/>
          <w:lang w:val="fr-CA"/>
        </w:rPr>
        <w:t>77</w:t>
      </w:r>
      <w:r>
        <w:rPr>
          <w:rFonts w:cs="Times New Roman"/>
          <w:noProof/>
          <w:lang w:val="fr-CA"/>
        </w:rPr>
        <w:noBreakHyphen/>
      </w:r>
      <w:r w:rsidRPr="003022C4">
        <w:rPr>
          <w:rFonts w:cs="Times New Roman"/>
          <w:noProof/>
          <w:lang w:val="fr-CA"/>
        </w:rPr>
        <w:t xml:space="preserve">78; </w:t>
      </w:r>
      <w:r w:rsidRPr="003022C4">
        <w:rPr>
          <w:rFonts w:cs="Times New Roman"/>
          <w:i/>
          <w:noProof/>
          <w:lang w:val="fr-CA"/>
        </w:rPr>
        <w:t>Andrews</w:t>
      </w:r>
      <w:r w:rsidRPr="003022C4">
        <w:rPr>
          <w:rFonts w:cs="Times New Roman"/>
          <w:noProof/>
          <w:lang w:val="fr-CA"/>
        </w:rPr>
        <w:t xml:space="preserve">, </w:t>
      </w:r>
      <w:r>
        <w:rPr>
          <w:rFonts w:cs="Times New Roman"/>
          <w:noProof/>
          <w:lang w:val="fr-CA"/>
        </w:rPr>
        <w:t>p. </w:t>
      </w:r>
      <w:r w:rsidRPr="003022C4">
        <w:rPr>
          <w:rFonts w:cs="Times New Roman"/>
          <w:noProof/>
          <w:lang w:val="fr-CA"/>
        </w:rPr>
        <w:t>173).</w:t>
      </w:r>
    </w:p>
    <w:p w14:paraId="3F453571"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L’égalité réelle, laquelle ressort des </w:t>
      </w:r>
      <w:r>
        <w:rPr>
          <w:rFonts w:cs="Times New Roman"/>
          <w:noProof/>
          <w:lang w:val="fr-CA"/>
        </w:rPr>
        <w:t xml:space="preserve">fondements établis dans l’arrêt </w:t>
      </w:r>
      <w:r w:rsidRPr="003022C4">
        <w:rPr>
          <w:rFonts w:cs="Times New Roman"/>
          <w:i/>
          <w:noProof/>
          <w:lang w:val="fr-CA"/>
        </w:rPr>
        <w:t>Andrews</w:t>
      </w:r>
      <w:r w:rsidRPr="003022C4">
        <w:rPr>
          <w:rFonts w:cs="Times New Roman"/>
          <w:noProof/>
          <w:lang w:val="fr-CA"/>
        </w:rPr>
        <w:t>,</w:t>
      </w:r>
      <w:r w:rsidRPr="003022C4">
        <w:rPr>
          <w:rFonts w:cs="Times New Roman"/>
          <w:i/>
          <w:noProof/>
          <w:lang w:val="fr-CA"/>
        </w:rPr>
        <w:t xml:space="preserve"> </w:t>
      </w:r>
      <w:r w:rsidRPr="003022C4">
        <w:rPr>
          <w:rFonts w:cs="Times New Roman"/>
          <w:noProof/>
          <w:lang w:val="fr-CA"/>
        </w:rPr>
        <w:t>s’intéresse aux conditions antérieures ou actuelles qui causent des désavantages et qui sont le résultat de la discrimination systémique qui continue d’opprimer des groupes (</w:t>
      </w:r>
      <w:r w:rsidRPr="003022C4">
        <w:rPr>
          <w:rFonts w:cs="Times New Roman"/>
          <w:i/>
          <w:noProof/>
          <w:lang w:val="fr-CA"/>
        </w:rPr>
        <w:t>Fraser</w:t>
      </w:r>
      <w:r w:rsidRPr="003022C4">
        <w:rPr>
          <w:rFonts w:cs="Times New Roman"/>
          <w:noProof/>
          <w:lang w:val="fr-CA"/>
        </w:rPr>
        <w:t xml:space="preserve">, </w:t>
      </w:r>
      <w:r>
        <w:rPr>
          <w:rFonts w:cs="Times New Roman"/>
          <w:noProof/>
          <w:lang w:val="fr-CA"/>
        </w:rPr>
        <w:t>par. </w:t>
      </w:r>
      <w:r w:rsidRPr="003022C4">
        <w:rPr>
          <w:rFonts w:cs="Times New Roman"/>
          <w:noProof/>
          <w:lang w:val="fr-CA"/>
        </w:rPr>
        <w:t>42). L’égalité réelle commande l’adoption d’une démarche « qui tienne compte du contexte dans son ensemble, y compris la situation du groupe de demandeurs et [l’effet de] la mesure législative contestée » sur le demandeur et les groupes auxquels il appartient, et qui reconnaisse également que l’appartenance à plusieurs groupes tend à accentuer les effets discriminatoires</w:t>
      </w:r>
      <w:r w:rsidRPr="003022C4">
        <w:rPr>
          <w:rFonts w:cs="Times New Roman"/>
          <w:iCs/>
          <w:noProof/>
          <w:lang w:val="fr-CA"/>
        </w:rPr>
        <w:t xml:space="preserve"> d’une mesure législative </w:t>
      </w:r>
      <w:r w:rsidRPr="003022C4">
        <w:rPr>
          <w:rFonts w:cs="Times New Roman"/>
          <w:noProof/>
          <w:lang w:val="fr-CA"/>
        </w:rPr>
        <w:t>(</w:t>
      </w:r>
      <w:r w:rsidRPr="003022C4">
        <w:rPr>
          <w:rFonts w:cs="Times New Roman"/>
          <w:i/>
          <w:noProof/>
          <w:lang w:val="fr-CA"/>
        </w:rPr>
        <w:t>Centrale des syndicats</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27, citant </w:t>
      </w:r>
      <w:r w:rsidRPr="003022C4">
        <w:rPr>
          <w:rFonts w:cs="Times New Roman"/>
          <w:i/>
          <w:noProof/>
          <w:lang w:val="fr-CA"/>
        </w:rPr>
        <w:t>Withler</w:t>
      </w:r>
      <w:r w:rsidRPr="003022C4">
        <w:rPr>
          <w:rFonts w:cs="Times New Roman"/>
          <w:noProof/>
          <w:lang w:val="fr-CA"/>
        </w:rPr>
        <w:t xml:space="preserve">, </w:t>
      </w:r>
      <w:r>
        <w:rPr>
          <w:rFonts w:cs="Times New Roman"/>
          <w:noProof/>
          <w:lang w:val="fr-CA"/>
        </w:rPr>
        <w:t>par. </w:t>
      </w:r>
      <w:r w:rsidRPr="003022C4">
        <w:rPr>
          <w:rFonts w:cs="Times New Roman"/>
          <w:noProof/>
          <w:lang w:val="fr-CA"/>
        </w:rPr>
        <w:t>40), ou peut créer des effets discriminatoires uniques qui ne sont ressentis par aucun groupe examiné de façon isolée. L’égalité réelle doit demeurer étroitement liée aux « véritables expériences que vivent les gens ordinaires » (</w:t>
      </w:r>
      <w:r w:rsidRPr="003022C4">
        <w:rPr>
          <w:rFonts w:cs="Times New Roman"/>
          <w:i/>
          <w:noProof/>
          <w:lang w:val="fr-CA"/>
        </w:rPr>
        <w:t>Egan c.</w:t>
      </w:r>
      <w:r w:rsidRPr="003022C4">
        <w:rPr>
          <w:rFonts w:cs="Times New Roman"/>
          <w:noProof/>
          <w:lang w:val="fr-CA"/>
        </w:rPr>
        <w:t xml:space="preserve"> </w:t>
      </w:r>
      <w:r w:rsidRPr="003022C4">
        <w:rPr>
          <w:rFonts w:cs="Times New Roman"/>
          <w:i/>
          <w:noProof/>
          <w:lang w:val="fr-CA"/>
        </w:rPr>
        <w:t>Canada</w:t>
      </w:r>
      <w:r w:rsidRPr="003022C4">
        <w:rPr>
          <w:rFonts w:cs="Times New Roman"/>
          <w:noProof/>
          <w:lang w:val="fr-CA"/>
        </w:rPr>
        <w:t xml:space="preserve">, [1995] 2 R.C.S. 513, </w:t>
      </w:r>
      <w:r>
        <w:rPr>
          <w:rFonts w:cs="Times New Roman"/>
          <w:noProof/>
          <w:lang w:val="fr-CA"/>
        </w:rPr>
        <w:t>par. </w:t>
      </w:r>
      <w:r w:rsidRPr="003022C4">
        <w:rPr>
          <w:rFonts w:cs="Times New Roman"/>
          <w:noProof/>
          <w:lang w:val="fr-CA"/>
        </w:rPr>
        <w:t>53, la juge L’Heureux</w:t>
      </w:r>
      <w:r>
        <w:rPr>
          <w:rFonts w:cs="Times New Roman"/>
          <w:noProof/>
          <w:lang w:val="fr-CA"/>
        </w:rPr>
        <w:noBreakHyphen/>
      </w:r>
      <w:r w:rsidRPr="003022C4">
        <w:rPr>
          <w:rFonts w:cs="Times New Roman"/>
          <w:noProof/>
          <w:lang w:val="fr-CA"/>
        </w:rPr>
        <w:t>Dubé)</w:t>
      </w:r>
      <w:r>
        <w:rPr>
          <w:rFonts w:cs="Times New Roman"/>
          <w:noProof/>
          <w:lang w:val="fr-CA"/>
        </w:rPr>
        <w:t> :</w:t>
      </w:r>
      <w:r w:rsidRPr="003022C4">
        <w:rPr>
          <w:rFonts w:cs="Times New Roman"/>
          <w:noProof/>
          <w:lang w:val="fr-CA"/>
        </w:rPr>
        <w:t xml:space="preserve"> elle ne doit donc pas être appliquée </w:t>
      </w:r>
      <w:r>
        <w:rPr>
          <w:rFonts w:cs="Times New Roman"/>
          <w:smallCaps/>
          <w:noProof/>
          <w:lang w:val="fr-CA"/>
        </w:rPr>
        <w:t xml:space="preserve">[traduction] </w:t>
      </w:r>
      <w:r w:rsidRPr="003022C4">
        <w:rPr>
          <w:rFonts w:cs="Times New Roman"/>
          <w:noProof/>
          <w:lang w:val="fr-CA"/>
        </w:rPr>
        <w:t xml:space="preserve">« les yeux fermés » (McIntyre, </w:t>
      </w:r>
      <w:r>
        <w:rPr>
          <w:rFonts w:cs="Times New Roman"/>
          <w:noProof/>
          <w:lang w:val="fr-CA"/>
        </w:rPr>
        <w:t>p. </w:t>
      </w:r>
      <w:r w:rsidRPr="003022C4">
        <w:rPr>
          <w:rFonts w:cs="Times New Roman"/>
          <w:noProof/>
          <w:lang w:val="fr-CA"/>
        </w:rPr>
        <w:t xml:space="preserve">103). De plus, comme l’a expliqué la juge Wilson à la </w:t>
      </w:r>
      <w:r>
        <w:rPr>
          <w:rFonts w:cs="Times New Roman"/>
          <w:noProof/>
          <w:lang w:val="fr-CA"/>
        </w:rPr>
        <w:t>p. </w:t>
      </w:r>
      <w:r w:rsidRPr="003022C4">
        <w:rPr>
          <w:rFonts w:cs="Times New Roman"/>
          <w:noProof/>
          <w:lang w:val="fr-CA"/>
        </w:rPr>
        <w:t xml:space="preserve">153 de </w:t>
      </w:r>
      <w:r>
        <w:rPr>
          <w:rFonts w:cs="Times New Roman"/>
          <w:noProof/>
          <w:lang w:val="fr-CA"/>
        </w:rPr>
        <w:t xml:space="preserve">l’arrêt </w:t>
      </w:r>
      <w:r w:rsidRPr="003022C4">
        <w:rPr>
          <w:rFonts w:cs="Times New Roman"/>
          <w:i/>
          <w:noProof/>
          <w:lang w:val="fr-CA"/>
        </w:rPr>
        <w:t>Andrews</w:t>
      </w:r>
      <w:r>
        <w:rPr>
          <w:rFonts w:cs="Times New Roman"/>
          <w:noProof/>
          <w:lang w:val="fr-CA"/>
        </w:rPr>
        <w:t> :</w:t>
      </w:r>
      <w:r w:rsidRPr="003022C4">
        <w:rPr>
          <w:rFonts w:cs="Times New Roman"/>
          <w:noProof/>
          <w:lang w:val="fr-CA"/>
        </w:rPr>
        <w:t xml:space="preserve"> « Il est conforme au statut constitutionnel de l’</w:t>
      </w:r>
      <w:r>
        <w:rPr>
          <w:rFonts w:cs="Times New Roman"/>
          <w:noProof/>
          <w:lang w:val="fr-CA"/>
        </w:rPr>
        <w:t>art. </w:t>
      </w:r>
      <w:r w:rsidRPr="003022C4">
        <w:rPr>
          <w:rFonts w:cs="Times New Roman"/>
          <w:noProof/>
          <w:lang w:val="fr-CA"/>
        </w:rPr>
        <w:t>15 qu’il soit interprété avec suffisamment de souplesse pour assurer la “protection constante” des droits à l’égalité dans les années à venir. »</w:t>
      </w:r>
    </w:p>
    <w:p w14:paraId="5D201427" w14:textId="77777777" w:rsidR="00F712C6" w:rsidRPr="003022C4" w:rsidRDefault="00F712C6" w:rsidP="00F712C6">
      <w:pPr>
        <w:pStyle w:val="Title3LevelTitre3Niveau"/>
        <w:rPr>
          <w:rFonts w:cs="Times New Roman"/>
          <w:noProof/>
          <w:lang w:val="fr-CA"/>
        </w:rPr>
      </w:pPr>
      <w:r w:rsidRPr="003022C4">
        <w:rPr>
          <w:rFonts w:cs="Times New Roman"/>
          <w:noProof/>
          <w:lang w:val="fr-CA"/>
        </w:rPr>
        <w:t>Distinction fondée sur le motif énuméré de la déficience mentale</w:t>
      </w:r>
    </w:p>
    <w:p w14:paraId="32B20FC9" w14:textId="77777777" w:rsidR="00F712C6" w:rsidRPr="003022C4" w:rsidRDefault="00F712C6" w:rsidP="00F712C6">
      <w:pPr>
        <w:pStyle w:val="ParaNoNdepar-AltN"/>
        <w:rPr>
          <w:rFonts w:cs="Times New Roman"/>
          <w:noProof/>
          <w:lang w:val="fr-CA"/>
        </w:rPr>
      </w:pPr>
      <w:r w:rsidRPr="003022C4">
        <w:rPr>
          <w:rFonts w:cs="Times New Roman"/>
          <w:noProof/>
          <w:lang w:val="fr-CA"/>
        </w:rPr>
        <w:t>La première étape consiste à établir l’existence d’une distinction qui a été créée à première vue par la loi ou de par son effet sur le fondement d’un motif énuméré ou analogue.</w:t>
      </w:r>
    </w:p>
    <w:p w14:paraId="74144FE8"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Le procureur général fait valoir devant notre Cour que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ne crée pas de distinction en empêchant les personnes déclarées non responsables criminellement pour cause de troubles mentaux d’avoir accès à des </w:t>
      </w:r>
      <w:r>
        <w:rPr>
          <w:rFonts w:cs="Times New Roman"/>
          <w:noProof/>
          <w:lang w:val="fr-CA"/>
        </w:rPr>
        <w:t>voies</w:t>
      </w:r>
      <w:r w:rsidRPr="003022C4">
        <w:rPr>
          <w:rFonts w:cs="Times New Roman"/>
          <w:noProof/>
          <w:lang w:val="fr-CA"/>
        </w:rPr>
        <w:t xml:space="preserve"> de sortie. Le procureur général affirme que ce sont les distinctions établies par les lois fédérales, sur lesquelles le législateur ontarien n’a aucun contrôle, qui privent les personnes déclarées non responsables criminellement pour cause de troubles mentaux d’un avantage.</w:t>
      </w:r>
    </w:p>
    <w:p w14:paraId="4A4A78D5"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En l’espèce, des distinctions claires ont été faites sur le fondement du motif énuméré qu’est la déficience mentale. Les personnes déclarées coupables peuvent être dispensées au départ de l’obligation de se présenter devant les autorités afin de s’inscrire au registre si elles obtiennent une absolution lors de leur audience de détermination de la peine. Les personnes déclarées coupables peuvent être retirées du registre si elles obtiennent un pardon absolu, et elles peuvent être dispensées de l’obligation de continuer de se présenter devant les autorités si elles obtiennent un pardon absolu ou une suspension de leur casier judiciaire. L’absolution, qui est l’une des issues possibles lors de l’audience de détermination de la peine, est nécessairement adaptée à la situation personnelle de l’accusé (voir </w:t>
      </w:r>
      <w:r w:rsidRPr="003022C4">
        <w:rPr>
          <w:rFonts w:cs="Times New Roman"/>
          <w:i/>
          <w:noProof/>
          <w:lang w:val="fr-CA"/>
        </w:rPr>
        <w:t>R. c. Campbell</w:t>
      </w:r>
      <w:r w:rsidRPr="003022C4">
        <w:rPr>
          <w:rFonts w:cs="Times New Roman"/>
          <w:noProof/>
          <w:lang w:val="fr-CA"/>
        </w:rPr>
        <w:t xml:space="preserve">, 2013 BCCA 43, 334 B.C.A.C. 16, </w:t>
      </w:r>
      <w:r>
        <w:rPr>
          <w:rFonts w:cs="Times New Roman"/>
          <w:noProof/>
          <w:lang w:val="fr-CA"/>
        </w:rPr>
        <w:t>par. </w:t>
      </w:r>
      <w:r w:rsidRPr="003022C4">
        <w:rPr>
          <w:rFonts w:cs="Times New Roman"/>
          <w:noProof/>
          <w:lang w:val="fr-CA"/>
        </w:rPr>
        <w:t>27). Le pardon absolu et la suspension du casier sont accordés à la suite d’une évaluation de la situation personnelle du délinquant. Ces mécanismes existants, qui s’appliquent aux personnes déclarées coupables, permettent aux délinquants d’être dispensés de l’obligation de s’inscrire au registre des délinquants sexuels, d’être retirés du registre ou d’être dispensés de l’obligation de se présenter devant les autorités après avoir fait l’objet d’un certain niveau d’évaluation individuelle. Toutefois, les personnes déclarées non responsables criminellement pour cause de troubles mentaux ne peuvent pas être dispensées de l’obligation de se présenter devant les autorités pour s’inscrire au registre, ne peuvent pas être retirées du registre après y avoir été inscrites et ne peuvent pas être dispensées de l’obligation de continuer de se présenter devant les autorités.</w:t>
      </w:r>
    </w:p>
    <w:p w14:paraId="260A5F78"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Ces distinctions découlent de la manière dont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interagit avec les lois fédérales, comme le </w:t>
      </w:r>
      <w:r w:rsidRPr="003022C4">
        <w:rPr>
          <w:rFonts w:cs="Times New Roman"/>
          <w:i/>
          <w:noProof/>
          <w:lang w:val="fr-CA"/>
        </w:rPr>
        <w:t xml:space="preserve">Code criminel </w:t>
      </w:r>
      <w:r w:rsidRPr="003022C4">
        <w:rPr>
          <w:rFonts w:cs="Times New Roman"/>
          <w:noProof/>
          <w:lang w:val="fr-CA"/>
        </w:rPr>
        <w:t xml:space="preserve">et la </w:t>
      </w:r>
      <w:r w:rsidRPr="003022C4">
        <w:rPr>
          <w:rFonts w:cs="Times New Roman"/>
          <w:i/>
          <w:noProof/>
          <w:lang w:val="fr-CA"/>
        </w:rPr>
        <w:t>Loi sur le casier judiciaire</w:t>
      </w:r>
      <w:r w:rsidRPr="003022C4">
        <w:rPr>
          <w:rFonts w:cs="Times New Roman"/>
          <w:noProof/>
          <w:lang w:val="fr-CA"/>
        </w:rPr>
        <w:t>.</w:t>
      </w:r>
      <w:r w:rsidRPr="003022C4">
        <w:rPr>
          <w:rFonts w:cs="Times New Roman"/>
          <w:i/>
          <w:noProof/>
          <w:lang w:val="fr-CA"/>
        </w:rPr>
        <w:t xml:space="preserve"> </w:t>
      </w:r>
      <w:r w:rsidRPr="003022C4">
        <w:rPr>
          <w:rFonts w:cs="Times New Roman"/>
          <w:noProof/>
          <w:lang w:val="fr-CA"/>
        </w:rPr>
        <w:t>Cependant, les lois n’existent pas dans l’abstrait —</w:t>
      </w:r>
      <w:r w:rsidRPr="003022C4">
        <w:rPr>
          <w:rFonts w:cs="Times New Roman"/>
          <w:i/>
          <w:noProof/>
          <w:lang w:val="fr-CA"/>
        </w:rPr>
        <w:t xml:space="preserve"> </w:t>
      </w:r>
      <w:r w:rsidRPr="003022C4">
        <w:rPr>
          <w:rFonts w:cs="Times New Roman"/>
          <w:noProof/>
          <w:lang w:val="fr-CA"/>
        </w:rPr>
        <w:t xml:space="preserve">la </w:t>
      </w:r>
      <w:r>
        <w:rPr>
          <w:rFonts w:cs="Times New Roman"/>
          <w:i/>
          <w:noProof/>
          <w:lang w:val="fr-CA"/>
        </w:rPr>
        <w:t>Loi Christopher</w:t>
      </w:r>
      <w:r w:rsidRPr="003022C4">
        <w:rPr>
          <w:rFonts w:cs="Times New Roman"/>
          <w:noProof/>
          <w:lang w:val="fr-CA"/>
        </w:rPr>
        <w:t xml:space="preserve"> impose un régime d’obligations aux personnes déclarées coupables ou non responsables criminellement pour cause de troubles mentaux à l’égard d’infractions sexuelles. Ces obligations s’ajoutent aux conséquences des conclusions qui sont tirées en application du </w:t>
      </w:r>
      <w:r w:rsidRPr="003022C4">
        <w:rPr>
          <w:rFonts w:cs="Times New Roman"/>
          <w:i/>
          <w:noProof/>
          <w:lang w:val="fr-CA"/>
        </w:rPr>
        <w:t xml:space="preserve">Code criminel </w:t>
      </w:r>
      <w:r w:rsidRPr="003022C4">
        <w:rPr>
          <w:rFonts w:cs="Times New Roman"/>
          <w:noProof/>
          <w:lang w:val="fr-CA"/>
        </w:rPr>
        <w:t>de par leur conception. Même si le législateur a créé ces distinctions par inadvertance, les distinctions qui ne sont pas intentionnelles ou qui découlent de l’interaction d’une loi avec d’autres lois ou circonstances sont prises en compte dans l’analyse de l’égalité réelle. Ce sont là des leçons de base que l’on peut tirer de la jurisprudence de notre Cour (</w:t>
      </w:r>
      <w:r w:rsidRPr="003022C4">
        <w:rPr>
          <w:rFonts w:cs="Times New Roman"/>
          <w:i/>
          <w:noProof/>
          <w:lang w:val="fr-CA"/>
        </w:rPr>
        <w:t>Fraser</w:t>
      </w:r>
      <w:r w:rsidRPr="003022C4">
        <w:rPr>
          <w:rFonts w:cs="Times New Roman"/>
          <w:noProof/>
          <w:lang w:val="fr-CA"/>
        </w:rPr>
        <w:t xml:space="preserve">, </w:t>
      </w:r>
      <w:r>
        <w:rPr>
          <w:rFonts w:cs="Times New Roman"/>
          <w:noProof/>
          <w:lang w:val="fr-CA"/>
        </w:rPr>
        <w:t>par. </w:t>
      </w:r>
      <w:r w:rsidRPr="003022C4">
        <w:rPr>
          <w:rFonts w:cs="Times New Roman"/>
          <w:noProof/>
          <w:lang w:val="fr-CA"/>
        </w:rPr>
        <w:t>31</w:t>
      </w:r>
      <w:r>
        <w:rPr>
          <w:rFonts w:cs="Times New Roman"/>
          <w:noProof/>
          <w:lang w:val="fr-CA"/>
        </w:rPr>
        <w:noBreakHyphen/>
      </w:r>
      <w:r w:rsidRPr="003022C4">
        <w:rPr>
          <w:rFonts w:cs="Times New Roman"/>
          <w:noProof/>
          <w:lang w:val="fr-CA"/>
        </w:rPr>
        <w:t>34, 41</w:t>
      </w:r>
      <w:r>
        <w:rPr>
          <w:rFonts w:cs="Times New Roman"/>
          <w:noProof/>
          <w:lang w:val="fr-CA"/>
        </w:rPr>
        <w:noBreakHyphen/>
      </w:r>
      <w:r w:rsidRPr="003022C4">
        <w:rPr>
          <w:rFonts w:cs="Times New Roman"/>
          <w:noProof/>
          <w:lang w:val="fr-CA"/>
        </w:rPr>
        <w:t xml:space="preserve">47 et 69; </w:t>
      </w:r>
      <w:r w:rsidRPr="003022C4">
        <w:rPr>
          <w:rFonts w:cs="Times New Roman"/>
          <w:i/>
          <w:noProof/>
          <w:lang w:val="fr-CA"/>
        </w:rPr>
        <w:t>Andrews</w:t>
      </w:r>
      <w:r w:rsidRPr="003022C4">
        <w:rPr>
          <w:rFonts w:cs="Times New Roman"/>
          <w:noProof/>
          <w:lang w:val="fr-CA"/>
        </w:rPr>
        <w:t xml:space="preserve">, </w:t>
      </w:r>
      <w:r>
        <w:rPr>
          <w:rFonts w:cs="Times New Roman"/>
          <w:noProof/>
          <w:lang w:val="fr-CA"/>
        </w:rPr>
        <w:t>p. </w:t>
      </w:r>
      <w:r w:rsidRPr="003022C4">
        <w:rPr>
          <w:rFonts w:cs="Times New Roman"/>
          <w:noProof/>
          <w:lang w:val="fr-CA"/>
        </w:rPr>
        <w:t xml:space="preserve">173; </w:t>
      </w:r>
      <w:r w:rsidRPr="003022C4">
        <w:rPr>
          <w:rFonts w:cs="Times New Roman"/>
          <w:i/>
          <w:noProof/>
          <w:lang w:val="fr-CA"/>
        </w:rPr>
        <w:t>Eldridge</w:t>
      </w:r>
      <w:r w:rsidRPr="003022C4">
        <w:rPr>
          <w:rFonts w:cs="Times New Roman"/>
          <w:noProof/>
          <w:lang w:val="fr-CA"/>
        </w:rPr>
        <w:t xml:space="preserve">, </w:t>
      </w:r>
      <w:r>
        <w:rPr>
          <w:rFonts w:cs="Times New Roman"/>
          <w:noProof/>
          <w:lang w:val="fr-CA"/>
        </w:rPr>
        <w:t>par. </w:t>
      </w:r>
      <w:r w:rsidRPr="003022C4">
        <w:rPr>
          <w:rFonts w:cs="Times New Roman"/>
          <w:noProof/>
          <w:lang w:val="fr-CA"/>
        </w:rPr>
        <w:t>62 et 77</w:t>
      </w:r>
      <w:r>
        <w:rPr>
          <w:rFonts w:cs="Times New Roman"/>
          <w:noProof/>
          <w:lang w:val="fr-CA"/>
        </w:rPr>
        <w:noBreakHyphen/>
      </w:r>
      <w:r w:rsidRPr="003022C4">
        <w:rPr>
          <w:rFonts w:cs="Times New Roman"/>
          <w:noProof/>
          <w:lang w:val="fr-CA"/>
        </w:rPr>
        <w:t>78). L’effet combiné de nombreuses lois est particulièrement important pour les personnes souffrant de troubles mentaux, car leur vie est souvent réglementée par ce que</w:t>
      </w:r>
      <w:r>
        <w:rPr>
          <w:rFonts w:cs="Times New Roman"/>
          <w:noProof/>
          <w:lang w:val="fr-CA"/>
        </w:rPr>
        <w:t xml:space="preserve"> l’intervenante,</w:t>
      </w:r>
      <w:r w:rsidRPr="003022C4">
        <w:rPr>
          <w:rFonts w:cs="Times New Roman"/>
          <w:noProof/>
          <w:lang w:val="fr-CA"/>
        </w:rPr>
        <w:t xml:space="preserve"> l’Association canadienne pour la santé mentale</w:t>
      </w:r>
      <w:r>
        <w:rPr>
          <w:rFonts w:cs="Times New Roman"/>
          <w:noProof/>
          <w:lang w:val="fr-CA"/>
        </w:rPr>
        <w:t>, Ontario,</w:t>
      </w:r>
      <w:r w:rsidRPr="003022C4">
        <w:rPr>
          <w:rFonts w:cs="Times New Roman"/>
          <w:noProof/>
          <w:lang w:val="fr-CA"/>
        </w:rPr>
        <w:t xml:space="preserve"> appelle un </w:t>
      </w:r>
      <w:r w:rsidRPr="003022C4">
        <w:rPr>
          <w:rFonts w:cs="Times New Roman"/>
          <w:smallCaps/>
          <w:noProof/>
          <w:lang w:val="fr-CA"/>
        </w:rPr>
        <w:t xml:space="preserve">[traduction] </w:t>
      </w:r>
      <w:r w:rsidRPr="003022C4">
        <w:rPr>
          <w:rFonts w:cs="Times New Roman"/>
          <w:noProof/>
          <w:lang w:val="fr-CA"/>
        </w:rPr>
        <w:t xml:space="preserve">« ensemble complexe de lois et de règlements » (m.i., </w:t>
      </w:r>
      <w:r>
        <w:rPr>
          <w:rFonts w:cs="Times New Roman"/>
          <w:noProof/>
          <w:lang w:val="fr-CA"/>
        </w:rPr>
        <w:t>par. </w:t>
      </w:r>
      <w:r w:rsidRPr="003022C4">
        <w:rPr>
          <w:rFonts w:cs="Times New Roman"/>
          <w:noProof/>
          <w:lang w:val="fr-CA"/>
        </w:rPr>
        <w:t>7).</w:t>
      </w:r>
    </w:p>
    <w:p w14:paraId="76FD3B22" w14:textId="77777777" w:rsidR="00F712C6" w:rsidRPr="003022C4" w:rsidRDefault="00F712C6" w:rsidP="00F712C6">
      <w:pPr>
        <w:pStyle w:val="ParaNoNdepar-AltN"/>
        <w:rPr>
          <w:rFonts w:cs="Times New Roman"/>
          <w:noProof/>
          <w:lang w:val="fr-CA"/>
        </w:rPr>
      </w:pPr>
      <w:r w:rsidRPr="003022C4">
        <w:rPr>
          <w:rFonts w:cs="Times New Roman"/>
          <w:noProof/>
          <w:lang w:val="fr-CA"/>
        </w:rPr>
        <w:t>En l’espèce, l’</w:t>
      </w:r>
      <w:r w:rsidRPr="003022C4">
        <w:rPr>
          <w:rFonts w:cs="Times New Roman"/>
          <w:i/>
          <w:noProof/>
          <w:lang w:val="fr-CA"/>
        </w:rPr>
        <w:t>impossibilité</w:t>
      </w:r>
      <w:r w:rsidRPr="003022C4">
        <w:rPr>
          <w:rFonts w:cs="Times New Roman"/>
          <w:noProof/>
          <w:lang w:val="fr-CA"/>
        </w:rPr>
        <w:t xml:space="preserve"> pour les personnes déclarées non responsables criminellement pour cause de troubles mentaux d’être dispensées de l’obligation de s’inscrire au registre, d’être retirées du registre ou d’être dispensées de l’obligation de se présenter devant les autorités, alors que de telles possibilités sont offertes aux personnes déclarées coupables des mêmes infractions, est déterminante. Cette distinction est précisément imputable au régime de non</w:t>
      </w:r>
      <w:r>
        <w:rPr>
          <w:rFonts w:cs="Times New Roman"/>
          <w:noProof/>
          <w:lang w:val="fr-CA"/>
        </w:rPr>
        <w:noBreakHyphen/>
      </w:r>
      <w:r w:rsidRPr="003022C4">
        <w:rPr>
          <w:rFonts w:cs="Times New Roman"/>
          <w:noProof/>
          <w:lang w:val="fr-CA"/>
        </w:rPr>
        <w:t>responsabilité criminelle pour cause de troubles mentaux. Les personnes déclarées non responsables criminellement pour cause de troubles mentaux font clairement l’objet d’une différence de traitement fondée sur le motif énuméré de la déficience mentale.</w:t>
      </w:r>
    </w:p>
    <w:p w14:paraId="6BD27E8F"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Le procureur général soutient qu’il est possible d’éliminer la distinction qui a été faite — soit l’absence de mécanismes de retrait ou de dispense — en supprimant complètement ces mécanismes pour </w:t>
      </w:r>
      <w:r w:rsidRPr="003022C4">
        <w:rPr>
          <w:rFonts w:cs="Times New Roman"/>
          <w:i/>
          <w:noProof/>
          <w:lang w:val="fr-CA"/>
        </w:rPr>
        <w:t xml:space="preserve">tous </w:t>
      </w:r>
      <w:r w:rsidRPr="003022C4">
        <w:rPr>
          <w:rFonts w:cs="Times New Roman"/>
          <w:noProof/>
          <w:lang w:val="fr-CA"/>
        </w:rPr>
        <w:t>les individus, pour que les personnes déclarées responsables criminellement soient traitées de la même manière que celles déclarées non responsables criminellement pour cause de troubles mentaux.</w:t>
      </w:r>
    </w:p>
    <w:p w14:paraId="054E33DB" w14:textId="77777777" w:rsidR="00F712C6" w:rsidRPr="003022C4" w:rsidRDefault="00F712C6" w:rsidP="00F712C6">
      <w:pPr>
        <w:pStyle w:val="ParaNoNdepar-AltN"/>
        <w:rPr>
          <w:rFonts w:cs="Times New Roman"/>
          <w:noProof/>
          <w:lang w:val="fr-CA"/>
        </w:rPr>
      </w:pPr>
      <w:r w:rsidRPr="003022C4">
        <w:rPr>
          <w:rFonts w:cs="Times New Roman"/>
          <w:noProof/>
          <w:lang w:val="fr-CA"/>
        </w:rPr>
        <w:t>Une telle proposition soulève au moins deux</w:t>
      </w:r>
      <w:r>
        <w:rPr>
          <w:rFonts w:cs="Times New Roman"/>
          <w:noProof/>
          <w:lang w:val="fr-CA"/>
        </w:rPr>
        <w:t xml:space="preserve"> </w:t>
      </w:r>
      <w:r w:rsidRPr="003022C4">
        <w:rPr>
          <w:rFonts w:cs="Times New Roman"/>
          <w:noProof/>
          <w:lang w:val="fr-CA"/>
        </w:rPr>
        <w:t>autres questions constitutionnelles.</w:t>
      </w:r>
    </w:p>
    <w:p w14:paraId="24280E6F"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En premier lieu, l’analyse fondée sur le </w:t>
      </w:r>
      <w:r>
        <w:rPr>
          <w:rFonts w:cs="Times New Roman"/>
          <w:noProof/>
          <w:lang w:val="fr-CA"/>
        </w:rPr>
        <w:t>par. </w:t>
      </w:r>
      <w:r w:rsidRPr="003022C4">
        <w:rPr>
          <w:rFonts w:cs="Times New Roman"/>
          <w:noProof/>
          <w:lang w:val="fr-CA"/>
        </w:rPr>
        <w:t>15(1) ne s’intéresse pas uniquement aux distinctions formelles qui ressortent du libellé d’une loi. Éliminer des distinctions évidentes ne permettra peut</w:t>
      </w:r>
      <w:r>
        <w:rPr>
          <w:rFonts w:cs="Times New Roman"/>
          <w:noProof/>
          <w:lang w:val="fr-CA"/>
        </w:rPr>
        <w:noBreakHyphen/>
      </w:r>
      <w:r w:rsidRPr="003022C4">
        <w:rPr>
          <w:rFonts w:cs="Times New Roman"/>
          <w:noProof/>
          <w:lang w:val="fr-CA"/>
        </w:rPr>
        <w:t xml:space="preserve">être pas d’éliminer toutes les distinctions pertinentes. Je ne peux donc pas accepter la prémisse sur laquelle semble reposer l’argument du procureur général selon lequel l’élimination des </w:t>
      </w:r>
      <w:r>
        <w:rPr>
          <w:rFonts w:cs="Times New Roman"/>
          <w:noProof/>
          <w:lang w:val="fr-CA"/>
        </w:rPr>
        <w:t>voies</w:t>
      </w:r>
      <w:r w:rsidRPr="003022C4">
        <w:rPr>
          <w:rFonts w:cs="Times New Roman"/>
          <w:noProof/>
          <w:lang w:val="fr-CA"/>
        </w:rPr>
        <w:t xml:space="preserve"> de sortie pour toutes les personnes qui sont assujetties à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serait </w:t>
      </w:r>
      <w:r w:rsidRPr="003022C4">
        <w:rPr>
          <w:rFonts w:cs="Times New Roman"/>
          <w:i/>
          <w:noProof/>
          <w:lang w:val="fr-CA"/>
        </w:rPr>
        <w:t xml:space="preserve">nécessairement </w:t>
      </w:r>
      <w:r w:rsidRPr="003022C4">
        <w:rPr>
          <w:rFonts w:cs="Times New Roman"/>
          <w:noProof/>
          <w:lang w:val="fr-CA"/>
        </w:rPr>
        <w:t xml:space="preserve">conforme au </w:t>
      </w:r>
      <w:r>
        <w:rPr>
          <w:rFonts w:cs="Times New Roman"/>
          <w:noProof/>
          <w:lang w:val="fr-CA"/>
        </w:rPr>
        <w:t>par. </w:t>
      </w:r>
      <w:r w:rsidRPr="003022C4">
        <w:rPr>
          <w:rFonts w:cs="Times New Roman"/>
          <w:noProof/>
          <w:lang w:val="fr-CA"/>
        </w:rPr>
        <w:t>15(1). Le fait que toutes les personnes qui sont tenues de s’inscrire au registre des délinquants sexuels seraient traitées de la même façon au regard de la loi</w:t>
      </w:r>
      <w:r w:rsidRPr="003022C4">
        <w:rPr>
          <w:rFonts w:cs="Times New Roman"/>
          <w:i/>
          <w:noProof/>
          <w:lang w:val="fr-CA"/>
        </w:rPr>
        <w:t xml:space="preserve"> </w:t>
      </w:r>
      <w:r w:rsidRPr="003022C4">
        <w:rPr>
          <w:rFonts w:cs="Times New Roman"/>
          <w:noProof/>
          <w:lang w:val="fr-CA"/>
        </w:rPr>
        <w:t>ne signifie pas inexorablement que la loi</w:t>
      </w:r>
      <w:r w:rsidRPr="003022C4">
        <w:rPr>
          <w:rFonts w:cs="Times New Roman"/>
          <w:i/>
          <w:noProof/>
          <w:lang w:val="fr-CA"/>
        </w:rPr>
        <w:t xml:space="preserve"> </w:t>
      </w:r>
      <w:r w:rsidRPr="003022C4">
        <w:rPr>
          <w:rFonts w:cs="Times New Roman"/>
          <w:noProof/>
          <w:lang w:val="fr-CA"/>
        </w:rPr>
        <w:t>n’imposerait pas un fardeau plus lourd aux personnes déclarées non responsables criminellement pour cause de troubles mentaux.</w:t>
      </w:r>
    </w:p>
    <w:p w14:paraId="2FBE82CE" w14:textId="77777777" w:rsidR="00F712C6" w:rsidRPr="003022C4" w:rsidRDefault="00F712C6" w:rsidP="00F712C6">
      <w:pPr>
        <w:pStyle w:val="ParaNoNdepar-AltN"/>
        <w:rPr>
          <w:rFonts w:cs="Times New Roman"/>
          <w:noProof/>
          <w:lang w:val="fr-CA"/>
        </w:rPr>
      </w:pPr>
      <w:r w:rsidRPr="003022C4">
        <w:rPr>
          <w:rFonts w:cs="Times New Roman"/>
          <w:noProof/>
          <w:lang w:val="fr-CA"/>
        </w:rPr>
        <w:t>En deuxième lieu, l’élimination de tous les mécanismes de retrait et de dispense susciterait la crainte qu’une telle façon de faire échoue à l’examen fondé sur l’</w:t>
      </w:r>
      <w:r>
        <w:rPr>
          <w:rFonts w:cs="Times New Roman"/>
          <w:noProof/>
          <w:lang w:val="fr-CA"/>
        </w:rPr>
        <w:t>art. </w:t>
      </w:r>
      <w:r w:rsidRPr="003022C4">
        <w:rPr>
          <w:rFonts w:cs="Times New Roman"/>
          <w:noProof/>
          <w:lang w:val="fr-CA"/>
        </w:rPr>
        <w:t>7 relativement à tous les délinquants. Bien entendu, la Cour n’a pas à se pencher sur cette situation hypothétique, car la question de savoir si le régime qui s’applique actuellement aux personnes déclarées coupables est compatible avec l’</w:t>
      </w:r>
      <w:r>
        <w:rPr>
          <w:rFonts w:cs="Times New Roman"/>
          <w:noProof/>
          <w:lang w:val="fr-CA"/>
        </w:rPr>
        <w:t>art. </w:t>
      </w:r>
      <w:r w:rsidRPr="003022C4">
        <w:rPr>
          <w:rFonts w:cs="Times New Roman"/>
          <w:noProof/>
          <w:lang w:val="fr-CA"/>
        </w:rPr>
        <w:t xml:space="preserve">7 de la </w:t>
      </w:r>
      <w:r w:rsidRPr="003022C4">
        <w:rPr>
          <w:rFonts w:cs="Times New Roman"/>
          <w:i/>
          <w:noProof/>
          <w:lang w:val="fr-CA"/>
        </w:rPr>
        <w:t xml:space="preserve">Charte </w:t>
      </w:r>
      <w:r w:rsidRPr="003022C4">
        <w:rPr>
          <w:rFonts w:cs="Times New Roman"/>
          <w:noProof/>
          <w:lang w:val="fr-CA"/>
        </w:rPr>
        <w:t>déborde le cadre du présent pourvoi.</w:t>
      </w:r>
    </w:p>
    <w:p w14:paraId="3AACE171" w14:textId="77777777" w:rsidR="00F712C6" w:rsidRPr="003022C4" w:rsidRDefault="00F712C6" w:rsidP="00F712C6">
      <w:pPr>
        <w:pStyle w:val="Title3LevelTitre3Niveau"/>
        <w:rPr>
          <w:rFonts w:cs="Times New Roman"/>
          <w:noProof/>
          <w:lang w:val="fr-CA"/>
        </w:rPr>
      </w:pPr>
      <w:r w:rsidRPr="003022C4">
        <w:rPr>
          <w:rFonts w:cs="Times New Roman"/>
          <w:noProof/>
          <w:lang w:val="fr-CA"/>
        </w:rPr>
        <w:t>Discrimination</w:t>
      </w:r>
    </w:p>
    <w:p w14:paraId="15518644"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À la deuxième étape de l’analyse fondée sur le </w:t>
      </w:r>
      <w:r>
        <w:rPr>
          <w:rFonts w:cs="Times New Roman"/>
          <w:noProof/>
          <w:lang w:val="fr-CA"/>
        </w:rPr>
        <w:t>par. </w:t>
      </w:r>
      <w:r w:rsidRPr="003022C4">
        <w:rPr>
          <w:rFonts w:cs="Times New Roman"/>
          <w:noProof/>
          <w:lang w:val="fr-CA"/>
        </w:rPr>
        <w:t>15(1), il s’agit de savoir si la distinction qui est créée est discriminatoire, c’est</w:t>
      </w:r>
      <w:r>
        <w:rPr>
          <w:rFonts w:cs="Times New Roman"/>
          <w:noProof/>
          <w:lang w:val="fr-CA"/>
        </w:rPr>
        <w:noBreakHyphen/>
      </w:r>
      <w:r w:rsidRPr="003022C4">
        <w:rPr>
          <w:rFonts w:cs="Times New Roman"/>
          <w:noProof/>
          <w:lang w:val="fr-CA"/>
        </w:rPr>
        <w:t>à</w:t>
      </w:r>
      <w:r>
        <w:rPr>
          <w:rFonts w:cs="Times New Roman"/>
          <w:noProof/>
          <w:lang w:val="fr-CA"/>
        </w:rPr>
        <w:noBreakHyphen/>
      </w:r>
      <w:r w:rsidRPr="003022C4">
        <w:rPr>
          <w:rFonts w:cs="Times New Roman"/>
          <w:noProof/>
          <w:lang w:val="fr-CA"/>
        </w:rPr>
        <w:t>dire «</w:t>
      </w:r>
      <w:r>
        <w:rPr>
          <w:rFonts w:cs="Times New Roman"/>
          <w:noProof/>
          <w:lang w:val="fr-CA"/>
        </w:rPr>
        <w:t> </w:t>
      </w:r>
      <w:r w:rsidRPr="003022C4">
        <w:rPr>
          <w:rFonts w:cs="Times New Roman"/>
          <w:noProof/>
          <w:lang w:val="fr-CA"/>
        </w:rPr>
        <w:t xml:space="preserve">si </w:t>
      </w:r>
      <w:r w:rsidRPr="003022C4">
        <w:rPr>
          <w:rFonts w:cs="Times New Roman"/>
          <w:lang w:val="fr-FR"/>
        </w:rPr>
        <w:t xml:space="preserve">elle impose un fardeau ou </w:t>
      </w:r>
      <w:r w:rsidRPr="003022C4">
        <w:rPr>
          <w:rFonts w:cs="Times New Roman"/>
          <w:lang w:val="fr-CA"/>
        </w:rPr>
        <w:t>[</w:t>
      </w:r>
      <w:r>
        <w:rPr>
          <w:rFonts w:cs="Times New Roman"/>
          <w:lang w:val="fr-CA"/>
        </w:rPr>
        <w:t>. . .</w:t>
      </w:r>
      <w:r w:rsidRPr="003022C4">
        <w:rPr>
          <w:rFonts w:cs="Times New Roman"/>
          <w:lang w:val="fr-CA"/>
        </w:rPr>
        <w:t xml:space="preserve">] </w:t>
      </w:r>
      <w:r w:rsidRPr="003022C4">
        <w:rPr>
          <w:rFonts w:cs="Times New Roman"/>
          <w:lang w:val="fr-FR"/>
        </w:rPr>
        <w:t>nie un avantage d’une manière qui a pour effet de renforcer, de perpétuer ou d’accentuer le désavantage subi</w:t>
      </w:r>
      <w:r>
        <w:rPr>
          <w:rFonts w:cs="Times New Roman"/>
          <w:noProof/>
          <w:lang w:val="fr-CA"/>
        </w:rPr>
        <w:t> </w:t>
      </w:r>
      <w:r w:rsidRPr="003022C4">
        <w:rPr>
          <w:rFonts w:cs="Times New Roman"/>
          <w:noProof/>
          <w:lang w:val="fr-CA"/>
        </w:rPr>
        <w:t>» (</w:t>
      </w:r>
      <w:r w:rsidRPr="003022C4">
        <w:rPr>
          <w:rFonts w:cs="Times New Roman"/>
          <w:i/>
          <w:noProof/>
          <w:lang w:val="fr-CA"/>
        </w:rPr>
        <w:t>Centrale des syndicats</w:t>
      </w:r>
      <w:r w:rsidRPr="003022C4">
        <w:rPr>
          <w:rFonts w:cs="Times New Roman"/>
          <w:noProof/>
          <w:lang w:val="fr-CA"/>
        </w:rPr>
        <w:t xml:space="preserve">, </w:t>
      </w:r>
      <w:r>
        <w:rPr>
          <w:rFonts w:cs="Times New Roman"/>
          <w:noProof/>
          <w:lang w:val="fr-CA"/>
        </w:rPr>
        <w:t>par. </w:t>
      </w:r>
      <w:r w:rsidRPr="003022C4">
        <w:rPr>
          <w:rFonts w:cs="Times New Roman"/>
          <w:noProof/>
          <w:lang w:val="fr-CA"/>
        </w:rPr>
        <w:t>30).</w:t>
      </w:r>
    </w:p>
    <w:p w14:paraId="7398ACDA"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Le procureur général soutient que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oblige les personnes déclarées non responsables criminellement pour cause de troubles mentaux à s’inscrire au registre compte tenu des données actuarielles sur le risque qu’elles représentent et ne leur impose donc aucun stéréotype. Soulignant qu’il ne convient pas d’accorder un pardon ou une suspension du casier judiciaire aux personnes déclarées non responsables criminellement pour cause de troubles mentaux, qui n’ont pas été déclarées coupables d’un crime, le procureur général fait valoir que le </w:t>
      </w:r>
      <w:r>
        <w:rPr>
          <w:rFonts w:cs="Times New Roman"/>
          <w:noProof/>
          <w:lang w:val="fr-CA"/>
        </w:rPr>
        <w:t>juge Doherty</w:t>
      </w:r>
      <w:r w:rsidRPr="003022C4">
        <w:rPr>
          <w:rFonts w:cs="Times New Roman"/>
          <w:noProof/>
          <w:lang w:val="fr-CA"/>
        </w:rPr>
        <w:t xml:space="preserve"> a conclu à tort que le </w:t>
      </w:r>
      <w:r>
        <w:rPr>
          <w:rFonts w:cs="Times New Roman"/>
          <w:noProof/>
          <w:lang w:val="fr-CA"/>
        </w:rPr>
        <w:t>par. </w:t>
      </w:r>
      <w:r w:rsidRPr="003022C4">
        <w:rPr>
          <w:rFonts w:cs="Times New Roman"/>
          <w:noProof/>
          <w:lang w:val="fr-CA"/>
        </w:rPr>
        <w:t>15(1) commande, sur le plan constitutionnel, un processus d’évaluation individuelle. Le procureur général soutient également que l’incidence relativement minime qu’a le registre sur les délinquants devrait permettre au gouvernement d’agir en s’appuyant sur des généralisations statistiques.</w:t>
      </w:r>
    </w:p>
    <w:p w14:paraId="432C1258"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G est d’accord avec l’analyse du </w:t>
      </w:r>
      <w:r>
        <w:rPr>
          <w:rFonts w:cs="Times New Roman"/>
          <w:noProof/>
          <w:lang w:val="fr-CA"/>
        </w:rPr>
        <w:t>juge Doherty</w:t>
      </w:r>
      <w:r w:rsidRPr="003022C4">
        <w:rPr>
          <w:rFonts w:cs="Times New Roman"/>
          <w:noProof/>
          <w:lang w:val="fr-CA"/>
        </w:rPr>
        <w:t xml:space="preserve">. Il affirme que, en refusant des </w:t>
      </w:r>
      <w:r>
        <w:rPr>
          <w:rFonts w:cs="Times New Roman"/>
          <w:noProof/>
          <w:lang w:val="fr-CA"/>
        </w:rPr>
        <w:t>voies</w:t>
      </w:r>
      <w:r w:rsidRPr="003022C4">
        <w:rPr>
          <w:rFonts w:cs="Times New Roman"/>
          <w:noProof/>
          <w:lang w:val="fr-CA"/>
        </w:rPr>
        <w:t xml:space="preserve"> de sortie aux personnes déclarées non responsables criminellement pour cause de troubles mentaux,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présume effectivement que ces personnes n’ont aucune possibilité de réadaptation, et elle a donc pour effet de perpétuer le désavantage et les stéréotypes négatifs que subissent les personnes souffrant de troubles mentaux. Selon lui, puisque l’Ontario a décidé d’exiger que les personnes déclarées non responsables criminellement pour cause de troubles mentaux à l’égard d’infractions sexuelles s’inscrivent au registre, elle doit prendre en compte les besoins et la situation de ce groupe.</w:t>
      </w:r>
    </w:p>
    <w:p w14:paraId="0CC88A38"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Je n’ai aucun mal à conclure que le refus d’accorder des </w:t>
      </w:r>
      <w:r>
        <w:rPr>
          <w:rFonts w:cs="Times New Roman"/>
          <w:noProof/>
          <w:lang w:val="fr-CA"/>
        </w:rPr>
        <w:t>voie</w:t>
      </w:r>
      <w:r w:rsidRPr="003022C4">
        <w:rPr>
          <w:rFonts w:cs="Times New Roman"/>
          <w:noProof/>
          <w:lang w:val="fr-CA"/>
        </w:rPr>
        <w:t>s de sortie aux personnes déclarées non responsables criminellement pour cause de troubles mentaux qui ont obtenu une libération est discriminatoire.</w:t>
      </w:r>
    </w:p>
    <w:p w14:paraId="046B4E6E" w14:textId="0B34784F" w:rsidR="00F712C6" w:rsidRPr="003022C4" w:rsidRDefault="00F712C6" w:rsidP="00F712C6">
      <w:pPr>
        <w:pStyle w:val="ParaNoNdepar-AltN"/>
        <w:rPr>
          <w:rFonts w:cs="Times New Roman"/>
          <w:noProof/>
          <w:lang w:val="fr-CA"/>
        </w:rPr>
      </w:pPr>
      <w:r w:rsidRPr="003022C4">
        <w:rPr>
          <w:rFonts w:cs="Times New Roman"/>
          <w:noProof/>
          <w:lang w:val="fr-CA"/>
        </w:rPr>
        <w:t xml:space="preserve">Dans notre société, les personnes handicapées </w:t>
      </w:r>
      <w:r>
        <w:rPr>
          <w:rFonts w:cs="Times New Roman"/>
          <w:smallCaps/>
          <w:noProof/>
          <w:lang w:val="fr-CA"/>
        </w:rPr>
        <w:t xml:space="preserve">[traduction] </w:t>
      </w:r>
      <w:r w:rsidRPr="003022C4">
        <w:rPr>
          <w:rFonts w:cs="Times New Roman"/>
          <w:noProof/>
          <w:lang w:val="fr-CA"/>
        </w:rPr>
        <w:t>« font [malheureusement] l’objet de coercition récurrente, de marginalisation et d’exclusion sociale » (R. Devlin et D. Pothier, « Introduction</w:t>
      </w:r>
      <w:r w:rsidR="0025412A">
        <w:rPr>
          <w:rFonts w:cs="Times New Roman"/>
          <w:noProof/>
          <w:lang w:val="fr-CA"/>
        </w:rPr>
        <w:t> </w:t>
      </w:r>
      <w:r w:rsidRPr="003022C4">
        <w:rPr>
          <w:rFonts w:cs="Times New Roman"/>
          <w:noProof/>
          <w:lang w:val="fr-CA"/>
        </w:rPr>
        <w:t>: Toward a Critical Theory of Dis</w:t>
      </w:r>
      <w:r>
        <w:rPr>
          <w:rFonts w:cs="Times New Roman"/>
          <w:noProof/>
          <w:lang w:val="fr-CA"/>
        </w:rPr>
        <w:noBreakHyphen/>
      </w:r>
      <w:r w:rsidRPr="003022C4">
        <w:rPr>
          <w:rFonts w:cs="Times New Roman"/>
          <w:noProof/>
          <w:lang w:val="fr-CA"/>
        </w:rPr>
        <w:t xml:space="preserve">Citizenship », dans D. Pothier et R. Devlin, dir., </w:t>
      </w:r>
      <w:r w:rsidRPr="003022C4">
        <w:rPr>
          <w:rFonts w:cs="Times New Roman"/>
          <w:i/>
          <w:noProof/>
          <w:lang w:val="fr-CA"/>
        </w:rPr>
        <w:t>Critical Disability Theory: Essays in Philosophy, Politics, Policy, and Law</w:t>
      </w:r>
      <w:r w:rsidRPr="003022C4">
        <w:rPr>
          <w:rFonts w:cs="Times New Roman"/>
          <w:noProof/>
          <w:lang w:val="fr-CA"/>
        </w:rPr>
        <w:t xml:space="preserve"> (2006)</w:t>
      </w:r>
      <w:r>
        <w:rPr>
          <w:rFonts w:cs="Times New Roman"/>
          <w:noProof/>
          <w:lang w:val="fr-CA"/>
        </w:rPr>
        <w:t>,</w:t>
      </w:r>
      <w:r w:rsidRPr="003022C4">
        <w:rPr>
          <w:rFonts w:cs="Times New Roman"/>
          <w:noProof/>
          <w:lang w:val="fr-CA"/>
        </w:rPr>
        <w:t xml:space="preserve"> 1, </w:t>
      </w:r>
      <w:r>
        <w:rPr>
          <w:rFonts w:cs="Times New Roman"/>
          <w:noProof/>
          <w:lang w:val="fr-CA"/>
        </w:rPr>
        <w:t>p. </w:t>
      </w:r>
      <w:r w:rsidRPr="003022C4">
        <w:rPr>
          <w:rFonts w:cs="Times New Roman"/>
          <w:noProof/>
          <w:lang w:val="fr-CA"/>
        </w:rPr>
        <w:t>1). Comme notre Cour l’a reconnu, « [c]e désavantage historique a, dans une large mesure, été créé et perpétué par l’idée que la déficience est une anomalie ou un défaut » (</w:t>
      </w:r>
      <w:r w:rsidRPr="003022C4">
        <w:rPr>
          <w:rFonts w:cs="Times New Roman"/>
          <w:i/>
          <w:noProof/>
          <w:lang w:val="fr-CA"/>
        </w:rPr>
        <w:t>Eldridge</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56). En réalité, les personnes handicapées ne sont pas anormales, et elles ne peuvent pas non plus être toutes considérées de la même façon. Bien que </w:t>
      </w:r>
      <w:r w:rsidR="004F5452">
        <w:rPr>
          <w:rFonts w:cs="Times New Roman"/>
          <w:noProof/>
          <w:lang w:val="fr-CA"/>
        </w:rPr>
        <w:t>[</w:t>
      </w:r>
      <w:r w:rsidR="004F5452" w:rsidRPr="004F5452">
        <w:rPr>
          <w:rFonts w:cs="Times New Roman"/>
          <w:smallCaps/>
          <w:noProof/>
          <w:lang w:val="fr-CA"/>
        </w:rPr>
        <w:t>traduction</w:t>
      </w:r>
      <w:r w:rsidR="004F5452" w:rsidRPr="003022C4">
        <w:rPr>
          <w:rFonts w:cs="Times New Roman"/>
          <w:noProof/>
          <w:lang w:val="fr-CA"/>
        </w:rPr>
        <w:t xml:space="preserve">] </w:t>
      </w:r>
      <w:r w:rsidRPr="003022C4">
        <w:rPr>
          <w:rFonts w:cs="Times New Roman"/>
          <w:noProof/>
          <w:lang w:val="fr-CA"/>
        </w:rPr>
        <w:t>« [l]a stigmatisation, la discrimination et les insinuations suivant lesquelles ces personnes sont différentes et inférieures » soient tous des phénomènes que peuvent avoir vécus les personnes handicapées (D. Wasserman et autres, « Disability</w:t>
      </w:r>
      <w:r w:rsidR="00EF7AD5">
        <w:rPr>
          <w:rFonts w:cs="Times New Roman"/>
          <w:noProof/>
          <w:lang w:val="fr-CA"/>
        </w:rPr>
        <w:t> </w:t>
      </w:r>
      <w:r w:rsidRPr="003022C4">
        <w:rPr>
          <w:rFonts w:cs="Times New Roman"/>
          <w:noProof/>
          <w:lang w:val="fr-CA"/>
        </w:rPr>
        <w:t xml:space="preserve">: Definitions, Models, Experience » dans E. N. Zalta et autres, dir., </w:t>
      </w:r>
      <w:r w:rsidRPr="003022C4">
        <w:rPr>
          <w:rFonts w:cs="Times New Roman"/>
          <w:i/>
          <w:noProof/>
          <w:lang w:val="fr-CA"/>
        </w:rPr>
        <w:t>Stanford Encyclopedia of Philosophy</w:t>
      </w:r>
      <w:r w:rsidRPr="003022C4">
        <w:rPr>
          <w:rFonts w:cs="Times New Roman"/>
          <w:noProof/>
          <w:lang w:val="fr-CA"/>
        </w:rPr>
        <w:t xml:space="preserve"> (2016) (en ligne), </w:t>
      </w:r>
      <w:r w:rsidRPr="003022C4">
        <w:rPr>
          <w:rFonts w:cs="Times New Roman"/>
          <w:lang w:val="fr-CA"/>
        </w:rPr>
        <w:t>§</w:t>
      </w:r>
      <w:r w:rsidRPr="003022C4">
        <w:rPr>
          <w:rFonts w:cs="Times New Roman"/>
          <w:noProof/>
          <w:lang w:val="fr-CA"/>
        </w:rPr>
        <w:t xml:space="preserve">3.2), la diversité parmi les personnes dites handicapées ne constitue pas l’exception, mais bien la règle (voir, </w:t>
      </w:r>
      <w:r>
        <w:rPr>
          <w:rFonts w:cs="Times New Roman"/>
          <w:noProof/>
          <w:lang w:val="fr-CA"/>
        </w:rPr>
        <w:t>p. </w:t>
      </w:r>
      <w:r w:rsidRPr="003022C4">
        <w:rPr>
          <w:rFonts w:cs="Times New Roman"/>
          <w:noProof/>
          <w:lang w:val="fr-CA"/>
        </w:rPr>
        <w:t xml:space="preserve">ex., E. Barnes, </w:t>
      </w:r>
      <w:r w:rsidRPr="003022C4">
        <w:rPr>
          <w:rFonts w:cs="Times New Roman"/>
          <w:i/>
          <w:noProof/>
          <w:lang w:val="fr-CA"/>
        </w:rPr>
        <w:t>The Minority Body</w:t>
      </w:r>
      <w:r w:rsidR="00EF7AD5">
        <w:rPr>
          <w:rFonts w:cs="Times New Roman"/>
          <w:i/>
          <w:noProof/>
          <w:lang w:val="fr-CA"/>
        </w:rPr>
        <w:t> </w:t>
      </w:r>
      <w:r w:rsidRPr="003022C4">
        <w:rPr>
          <w:rFonts w:cs="Times New Roman"/>
          <w:i/>
          <w:noProof/>
          <w:lang w:val="fr-CA"/>
        </w:rPr>
        <w:t>: A Theory of Disability</w:t>
      </w:r>
      <w:r w:rsidRPr="003022C4">
        <w:rPr>
          <w:rFonts w:cs="Times New Roman"/>
          <w:noProof/>
          <w:lang w:val="fr-CA"/>
        </w:rPr>
        <w:t xml:space="preserve"> (2016), </w:t>
      </w:r>
      <w:r>
        <w:rPr>
          <w:rFonts w:cs="Times New Roman"/>
          <w:noProof/>
          <w:lang w:val="fr-CA"/>
        </w:rPr>
        <w:t>p. </w:t>
      </w:r>
      <w:r w:rsidRPr="003022C4">
        <w:rPr>
          <w:rFonts w:cs="Times New Roman"/>
          <w:noProof/>
          <w:lang w:val="fr-CA"/>
        </w:rPr>
        <w:t>9). L’</w:t>
      </w:r>
      <w:r>
        <w:rPr>
          <w:rFonts w:cs="Times New Roman"/>
          <w:noProof/>
          <w:lang w:val="fr-CA"/>
        </w:rPr>
        <w:t>article </w:t>
      </w:r>
      <w:r w:rsidRPr="003022C4">
        <w:rPr>
          <w:rFonts w:cs="Times New Roman"/>
          <w:noProof/>
          <w:lang w:val="fr-CA"/>
        </w:rPr>
        <w:t>15 exprime une promesse de respect envers « l’égalité et la dignité de tous les êtres humains » (</w:t>
      </w:r>
      <w:r w:rsidRPr="003022C4">
        <w:rPr>
          <w:rFonts w:cs="Times New Roman"/>
          <w:i/>
          <w:noProof/>
          <w:lang w:val="fr-CA"/>
        </w:rPr>
        <w:t>Eldridge</w:t>
      </w:r>
      <w:r w:rsidRPr="003022C4">
        <w:rPr>
          <w:rFonts w:cs="Times New Roman"/>
          <w:noProof/>
          <w:lang w:val="fr-CA"/>
        </w:rPr>
        <w:t xml:space="preserve">, </w:t>
      </w:r>
      <w:r>
        <w:rPr>
          <w:rFonts w:cs="Times New Roman"/>
          <w:noProof/>
          <w:lang w:val="fr-CA"/>
        </w:rPr>
        <w:t>par. </w:t>
      </w:r>
      <w:r w:rsidRPr="003022C4">
        <w:rPr>
          <w:rFonts w:cs="Times New Roman"/>
          <w:noProof/>
          <w:lang w:val="fr-CA"/>
        </w:rPr>
        <w:t>54) qui exige que les personnes handicapées soient considérées et traitées comme des personnes dignes et qu’elles aient droit à la dignité dans leur pluralité. De plus, la garantie de l’</w:t>
      </w:r>
      <w:r>
        <w:rPr>
          <w:rFonts w:cs="Times New Roman"/>
          <w:noProof/>
          <w:lang w:val="fr-CA"/>
        </w:rPr>
        <w:t>art. </w:t>
      </w:r>
      <w:r w:rsidRPr="003022C4">
        <w:rPr>
          <w:rFonts w:cs="Times New Roman"/>
          <w:noProof/>
          <w:lang w:val="fr-CA"/>
        </w:rPr>
        <w:t>15</w:t>
      </w:r>
      <w:r>
        <w:rPr>
          <w:rFonts w:cs="Times New Roman"/>
          <w:noProof/>
          <w:lang w:val="fr-CA"/>
        </w:rPr>
        <w:t xml:space="preserve"> </w:t>
      </w:r>
      <w:r w:rsidRPr="00C97A54">
        <w:rPr>
          <w:lang w:val="fr-CA"/>
        </w:rPr>
        <w:t>—</w:t>
      </w:r>
      <w:r w:rsidRPr="003022C4">
        <w:rPr>
          <w:rFonts w:cs="Times New Roman"/>
          <w:noProof/>
          <w:lang w:val="fr-CA"/>
        </w:rPr>
        <w:t xml:space="preserve"> </w:t>
      </w:r>
      <w:r>
        <w:rPr>
          <w:rFonts w:cs="Times New Roman"/>
          <w:noProof/>
          <w:lang w:val="fr-CA"/>
        </w:rPr>
        <w:t>à savoir que la discrimination ne se voie accorder</w:t>
      </w:r>
      <w:r w:rsidRPr="003022C4">
        <w:rPr>
          <w:rFonts w:cs="Times New Roman"/>
          <w:noProof/>
          <w:lang w:val="fr-CA"/>
        </w:rPr>
        <w:t xml:space="preserve"> force de loi</w:t>
      </w:r>
      <w:r>
        <w:rPr>
          <w:rFonts w:cs="Times New Roman"/>
          <w:noProof/>
          <w:lang w:val="fr-CA"/>
        </w:rPr>
        <w:t xml:space="preserve"> </w:t>
      </w:r>
      <w:r w:rsidRPr="00C97A54">
        <w:rPr>
          <w:lang w:val="fr-CA"/>
        </w:rPr>
        <w:t>—</w:t>
      </w:r>
      <w:r w:rsidRPr="003022C4">
        <w:rPr>
          <w:rFonts w:cs="Times New Roman"/>
          <w:noProof/>
          <w:lang w:val="fr-CA"/>
        </w:rPr>
        <w:t xml:space="preserve"> exige qu’une attention particulière soit accordée aux diverses répercussions qu’auront les actes de l’État sur les personnes handicapées.</w:t>
      </w:r>
    </w:p>
    <w:p w14:paraId="23AC7B66" w14:textId="44E1D4A3" w:rsidR="00F712C6" w:rsidRPr="003022C4" w:rsidRDefault="00F712C6" w:rsidP="00F712C6">
      <w:pPr>
        <w:pStyle w:val="ParaNoNdepar-AltN"/>
        <w:rPr>
          <w:rFonts w:cs="Times New Roman"/>
          <w:noProof/>
          <w:lang w:val="fr-CA"/>
        </w:rPr>
      </w:pPr>
      <w:r w:rsidRPr="003022C4">
        <w:rPr>
          <w:rFonts w:cs="Times New Roman"/>
          <w:noProof/>
          <w:lang w:val="fr-CA"/>
        </w:rPr>
        <w:t>Tout comme les personnes handicapées, les personnes souffrant de troubles mentaux font l’objet de stéréotypes, sont exclues et sont marginalisées (</w:t>
      </w:r>
      <w:r>
        <w:rPr>
          <w:rFonts w:cs="Times New Roman"/>
          <w:noProof/>
          <w:lang w:val="fr-CA"/>
        </w:rPr>
        <w:t>P. </w:t>
      </w:r>
      <w:r w:rsidRPr="003022C4">
        <w:rPr>
          <w:rFonts w:cs="Times New Roman"/>
          <w:noProof/>
          <w:lang w:val="fr-CA"/>
        </w:rPr>
        <w:t xml:space="preserve">Bracken et </w:t>
      </w:r>
      <w:r>
        <w:rPr>
          <w:rFonts w:cs="Times New Roman"/>
          <w:noProof/>
          <w:lang w:val="fr-CA"/>
        </w:rPr>
        <w:t>P. </w:t>
      </w:r>
      <w:r w:rsidRPr="003022C4">
        <w:rPr>
          <w:rFonts w:cs="Times New Roman"/>
          <w:noProof/>
          <w:lang w:val="fr-CA"/>
        </w:rPr>
        <w:t xml:space="preserve">Thomas, </w:t>
      </w:r>
      <w:r w:rsidRPr="003022C4">
        <w:rPr>
          <w:rFonts w:cs="Times New Roman"/>
          <w:i/>
          <w:noProof/>
          <w:lang w:val="fr-CA"/>
        </w:rPr>
        <w:t xml:space="preserve">Postpsychiatry </w:t>
      </w:r>
      <w:r w:rsidRPr="003022C4">
        <w:rPr>
          <w:rFonts w:cs="Times New Roman"/>
          <w:noProof/>
          <w:lang w:val="fr-CA"/>
        </w:rPr>
        <w:t xml:space="preserve">(2005), </w:t>
      </w:r>
      <w:r>
        <w:rPr>
          <w:rFonts w:cs="Times New Roman"/>
          <w:noProof/>
          <w:lang w:val="fr-CA"/>
        </w:rPr>
        <w:t>p. </w:t>
      </w:r>
      <w:r w:rsidRPr="003022C4">
        <w:rPr>
          <w:rFonts w:cs="Times New Roman"/>
          <w:noProof/>
          <w:lang w:val="fr-CA"/>
        </w:rPr>
        <w:t>79</w:t>
      </w:r>
      <w:r>
        <w:rPr>
          <w:rFonts w:cs="Times New Roman"/>
          <w:noProof/>
          <w:lang w:val="fr-CA"/>
        </w:rPr>
        <w:noBreakHyphen/>
      </w:r>
      <w:r w:rsidRPr="003022C4">
        <w:rPr>
          <w:rFonts w:cs="Times New Roman"/>
          <w:noProof/>
          <w:lang w:val="fr-CA"/>
        </w:rPr>
        <w:t>100). L’idée préconçue selon laquelle les personnes souffrant de troubles mentaux sont en soi dangereuses et présenteront toujours un danger, de même que les autres stigmates et préjugés à leur égard, ont eu pour effet d’imposer un désavantage considérable à ces personnes (</w:t>
      </w:r>
      <w:r w:rsidRPr="003022C4">
        <w:rPr>
          <w:rFonts w:cs="Times New Roman"/>
          <w:i/>
          <w:noProof/>
          <w:lang w:val="fr-CA"/>
        </w:rPr>
        <w:t>Winko</w:t>
      </w:r>
      <w:r w:rsidRPr="003022C4">
        <w:rPr>
          <w:rFonts w:cs="Times New Roman"/>
          <w:noProof/>
          <w:lang w:val="fr-CA"/>
        </w:rPr>
        <w:t xml:space="preserve">, </w:t>
      </w:r>
      <w:r>
        <w:rPr>
          <w:rFonts w:cs="Times New Roman"/>
          <w:noProof/>
          <w:lang w:val="fr-CA"/>
        </w:rPr>
        <w:t>par. </w:t>
      </w:r>
      <w:r w:rsidRPr="003022C4">
        <w:rPr>
          <w:rFonts w:cs="Times New Roman"/>
          <w:noProof/>
          <w:lang w:val="fr-CA"/>
        </w:rPr>
        <w:t>35</w:t>
      </w:r>
      <w:r>
        <w:rPr>
          <w:rFonts w:cs="Times New Roman"/>
          <w:noProof/>
          <w:lang w:val="fr-CA"/>
        </w:rPr>
        <w:noBreakHyphen/>
      </w:r>
      <w:r w:rsidRPr="003022C4">
        <w:rPr>
          <w:rFonts w:cs="Times New Roman"/>
          <w:noProof/>
          <w:lang w:val="fr-CA"/>
        </w:rPr>
        <w:t xml:space="preserve">37; </w:t>
      </w:r>
      <w:r w:rsidRPr="003022C4">
        <w:rPr>
          <w:rFonts w:cs="Times New Roman"/>
          <w:i/>
          <w:noProof/>
          <w:lang w:val="fr-CA"/>
        </w:rPr>
        <w:t>Swain</w:t>
      </w:r>
      <w:r w:rsidRPr="003022C4">
        <w:rPr>
          <w:rFonts w:cs="Times New Roman"/>
          <w:noProof/>
          <w:lang w:val="fr-CA"/>
        </w:rPr>
        <w:t xml:space="preserve">, </w:t>
      </w:r>
      <w:r>
        <w:rPr>
          <w:rFonts w:cs="Times New Roman"/>
          <w:noProof/>
          <w:lang w:val="fr-CA"/>
        </w:rPr>
        <w:t>p. </w:t>
      </w:r>
      <w:r w:rsidRPr="003022C4">
        <w:rPr>
          <w:rFonts w:cs="Times New Roman"/>
          <w:noProof/>
          <w:lang w:val="fr-CA"/>
        </w:rPr>
        <w:t xml:space="preserve">994; </w:t>
      </w:r>
      <w:r>
        <w:rPr>
          <w:rFonts w:cs="Times New Roman"/>
          <w:noProof/>
          <w:lang w:val="fr-CA"/>
        </w:rPr>
        <w:t>P. </w:t>
      </w:r>
      <w:r w:rsidRPr="003022C4">
        <w:rPr>
          <w:rFonts w:cs="Times New Roman"/>
          <w:noProof/>
          <w:lang w:val="fr-CA"/>
        </w:rPr>
        <w:t>W. Corrigan et A. C. Watson, « Understanding the impact of stigma on people with mental illness » (2002), 1 </w:t>
      </w:r>
      <w:r w:rsidRPr="003022C4">
        <w:rPr>
          <w:rFonts w:cs="Times New Roman"/>
          <w:i/>
          <w:noProof/>
          <w:lang w:val="fr-CA"/>
        </w:rPr>
        <w:t>World Psychiatry</w:t>
      </w:r>
      <w:r w:rsidRPr="003022C4">
        <w:rPr>
          <w:rFonts w:cs="Times New Roman"/>
          <w:noProof/>
          <w:lang w:val="fr-CA"/>
        </w:rPr>
        <w:t> 16). Ce désavantage est d’ailleurs profondément enraciné dans l’histoire (H. Stuart, J. Arboleda</w:t>
      </w:r>
      <w:r>
        <w:rPr>
          <w:rFonts w:cs="Times New Roman"/>
          <w:noProof/>
          <w:lang w:val="fr-CA"/>
        </w:rPr>
        <w:noBreakHyphen/>
      </w:r>
      <w:r w:rsidRPr="003022C4">
        <w:rPr>
          <w:rFonts w:cs="Times New Roman"/>
          <w:noProof/>
          <w:lang w:val="fr-CA"/>
        </w:rPr>
        <w:t xml:space="preserve">Flórez et N. Sartorius, </w:t>
      </w:r>
      <w:r w:rsidRPr="003022C4">
        <w:rPr>
          <w:rFonts w:cs="Times New Roman"/>
          <w:i/>
          <w:noProof/>
          <w:lang w:val="fr-CA"/>
        </w:rPr>
        <w:t>Paradigms Lost</w:t>
      </w:r>
      <w:r w:rsidR="00EF7AD5">
        <w:rPr>
          <w:rFonts w:cs="Times New Roman"/>
          <w:i/>
          <w:noProof/>
          <w:lang w:val="fr-CA"/>
        </w:rPr>
        <w:t> </w:t>
      </w:r>
      <w:r w:rsidRPr="003022C4">
        <w:rPr>
          <w:rFonts w:cs="Times New Roman"/>
          <w:i/>
          <w:noProof/>
          <w:lang w:val="fr-CA"/>
        </w:rPr>
        <w:t>: Fighting Stigma and the Lessons Learned</w:t>
      </w:r>
      <w:r w:rsidRPr="003022C4">
        <w:rPr>
          <w:rFonts w:cs="Times New Roman"/>
          <w:noProof/>
          <w:lang w:val="fr-CA"/>
        </w:rPr>
        <w:t xml:space="preserve"> (2012), </w:t>
      </w:r>
      <w:r>
        <w:rPr>
          <w:rFonts w:cs="Times New Roman"/>
          <w:noProof/>
          <w:lang w:val="fr-CA"/>
        </w:rPr>
        <w:t>p. </w:t>
      </w:r>
      <w:r w:rsidRPr="003022C4">
        <w:rPr>
          <w:rFonts w:cs="Times New Roman"/>
          <w:noProof/>
          <w:lang w:val="fr-CA"/>
        </w:rPr>
        <w:t>103</w:t>
      </w:r>
      <w:r>
        <w:rPr>
          <w:rFonts w:cs="Times New Roman"/>
          <w:noProof/>
          <w:lang w:val="fr-CA"/>
        </w:rPr>
        <w:noBreakHyphen/>
      </w:r>
      <w:r w:rsidRPr="003022C4">
        <w:rPr>
          <w:rFonts w:cs="Times New Roman"/>
          <w:noProof/>
          <w:lang w:val="fr-CA"/>
        </w:rPr>
        <w:t>111)</w:t>
      </w:r>
      <w:r>
        <w:rPr>
          <w:rFonts w:cs="Times New Roman"/>
          <w:noProof/>
          <w:lang w:val="fr-CA"/>
        </w:rPr>
        <w:t> :</w:t>
      </w:r>
    </w:p>
    <w:p w14:paraId="3C819477" w14:textId="64D44F70" w:rsidR="00F712C6" w:rsidRDefault="00F712C6" w:rsidP="0025412A">
      <w:pPr>
        <w:pStyle w:val="Citation-AltC"/>
        <w:spacing w:after="0"/>
        <w:ind w:left="1168" w:hanging="1168"/>
        <w:contextualSpacing w:val="0"/>
        <w:rPr>
          <w:noProof/>
          <w:lang w:val="fr-CA"/>
        </w:rPr>
      </w:pPr>
      <w:r w:rsidRPr="003022C4">
        <w:rPr>
          <w:smallCaps/>
          <w:noProof/>
          <w:lang w:val="fr-CA"/>
        </w:rPr>
        <w:tab/>
      </w:r>
      <w:r w:rsidR="0025412A">
        <w:rPr>
          <w:smallCaps/>
          <w:noProof/>
          <w:lang w:val="fr-CA"/>
        </w:rPr>
        <w:tab/>
        <w:t xml:space="preserve">[traduction] </w:t>
      </w:r>
      <w:r w:rsidRPr="003022C4">
        <w:rPr>
          <w:smallCaps/>
          <w:noProof/>
          <w:lang w:val="fr-CA"/>
        </w:rPr>
        <w:t>L</w:t>
      </w:r>
      <w:r w:rsidRPr="003022C4">
        <w:rPr>
          <w:noProof/>
          <w:lang w:val="fr-CA"/>
        </w:rPr>
        <w:t>es troubles mentaux se distinguent des autres maladies, car les personnes souffrant de troubles mentaux perdent régulièrement les droits et les libertés qui leur sont conférés d’une manière qui serait inimaginable si elles souffraient d’un autre problème de santé [. . .]</w:t>
      </w:r>
    </w:p>
    <w:p w14:paraId="3FF86BA1" w14:textId="77777777" w:rsidR="0025412A" w:rsidRPr="0025412A" w:rsidRDefault="0025412A" w:rsidP="0025412A">
      <w:pPr>
        <w:pStyle w:val="Citation-AltC"/>
        <w:spacing w:after="0"/>
        <w:ind w:left="1168" w:hanging="1168"/>
        <w:contextualSpacing w:val="0"/>
        <w:rPr>
          <w:smallCaps/>
          <w:noProof/>
          <w:lang w:val="fr-CA"/>
        </w:rPr>
      </w:pPr>
    </w:p>
    <w:p w14:paraId="52295B9E" w14:textId="77777777" w:rsidR="00F712C6" w:rsidRPr="003022C4" w:rsidRDefault="00F712C6" w:rsidP="00F712C6">
      <w:pPr>
        <w:pStyle w:val="Citation-AltC"/>
        <w:ind w:hanging="1166"/>
        <w:rPr>
          <w:noProof/>
          <w:lang w:val="fr-CA"/>
        </w:rPr>
      </w:pPr>
      <w:r w:rsidRPr="003022C4">
        <w:rPr>
          <w:noProof/>
          <w:lang w:val="fr-CA"/>
        </w:rPr>
        <w:tab/>
      </w:r>
      <w:r w:rsidRPr="003022C4">
        <w:rPr>
          <w:noProof/>
          <w:lang w:val="fr-CA"/>
        </w:rPr>
        <w:tab/>
        <w:t xml:space="preserve">Par le passé, les soins fournis aux personnes souffrant de troubles mentaux étaient déplorables. Pendant l’internement de masse du début des années 1800, les autorités hospitalières européennes avaient le pouvoir de rassembler et d’emprisonner les personnes qui souffraient de troubles mentaux (et que l’on qualifiait alors de fous et d’idiots) avec les mendiants, les vagabonds, les criminels, les personnes sans emploi et d’autres indésirables. Le fait que les personnes souffrant de troubles mentaux étaient qualifiées de bêtes sauvages justifiait qu’elles soient placées en internement forcé et exclues de la société. [Soulignement supprimé; </w:t>
      </w:r>
      <w:r>
        <w:rPr>
          <w:noProof/>
          <w:lang w:val="fr-CA"/>
        </w:rPr>
        <w:t>p. </w:t>
      </w:r>
      <w:r w:rsidRPr="003022C4">
        <w:rPr>
          <w:noProof/>
          <w:lang w:val="fr-CA"/>
        </w:rPr>
        <w:t>103.]</w:t>
      </w:r>
    </w:p>
    <w:p w14:paraId="17AC93B1" w14:textId="1D7B5559" w:rsidR="00F712C6" w:rsidRPr="003022C4" w:rsidRDefault="00F712C6" w:rsidP="00F712C6">
      <w:pPr>
        <w:pStyle w:val="ParaNoNdepar-AltN"/>
        <w:rPr>
          <w:rFonts w:cs="Times New Roman"/>
          <w:noProof/>
          <w:lang w:val="fr-CA"/>
        </w:rPr>
      </w:pPr>
      <w:r w:rsidRPr="003022C4">
        <w:rPr>
          <w:rFonts w:cs="Times New Roman"/>
          <w:noProof/>
          <w:lang w:val="fr-CA"/>
        </w:rPr>
        <w:t>Même si les traitements les plus odieux dont les personnes atteintes de troubles mentaux ont fait l’objet au début du 19</w:t>
      </w:r>
      <w:r w:rsidRPr="003022C4">
        <w:rPr>
          <w:rFonts w:cs="Times New Roman"/>
          <w:noProof/>
          <w:vertAlign w:val="superscript"/>
          <w:lang w:val="fr-CA"/>
        </w:rPr>
        <w:t>e</w:t>
      </w:r>
      <w:r w:rsidRPr="003022C4">
        <w:rPr>
          <w:rFonts w:cs="Times New Roman"/>
          <w:noProof/>
          <w:lang w:val="fr-CA"/>
        </w:rPr>
        <w:t xml:space="preserve"> siècle sont chose du passé, certaines attitudes stigmatisantes subsistent encore à ce jour au sein de la société canadienne (H. Stuart </w:t>
      </w:r>
      <w:r w:rsidRPr="00622AC6">
        <w:rPr>
          <w:rFonts w:cs="Times New Roman"/>
          <w:noProof/>
          <w:lang w:val="fr-CA"/>
        </w:rPr>
        <w:t xml:space="preserve">et </w:t>
      </w:r>
      <w:r w:rsidR="00EF7AD5" w:rsidRPr="00622AC6">
        <w:rPr>
          <w:rFonts w:cs="Times New Roman"/>
          <w:noProof/>
          <w:lang w:val="fr-CA"/>
        </w:rPr>
        <w:t>autres</w:t>
      </w:r>
      <w:r w:rsidRPr="003022C4">
        <w:rPr>
          <w:rFonts w:cs="Times New Roman"/>
          <w:noProof/>
          <w:lang w:val="fr-CA"/>
        </w:rPr>
        <w:t>, « Stigma in Canada</w:t>
      </w:r>
      <w:r w:rsidR="00EF7AD5">
        <w:rPr>
          <w:rFonts w:cs="Times New Roman"/>
          <w:noProof/>
          <w:lang w:val="fr-CA"/>
        </w:rPr>
        <w:t> </w:t>
      </w:r>
      <w:r w:rsidRPr="003022C4">
        <w:rPr>
          <w:rFonts w:cs="Times New Roman"/>
          <w:noProof/>
          <w:lang w:val="fr-CA"/>
        </w:rPr>
        <w:t>: Results from a Rapid Response Survey » (2014), 59 </w:t>
      </w:r>
      <w:r w:rsidRPr="003022C4">
        <w:rPr>
          <w:rFonts w:cs="Times New Roman"/>
          <w:i/>
          <w:iCs/>
          <w:noProof/>
          <w:lang w:val="fr-CA"/>
        </w:rPr>
        <w:t>Rev. can. psychiatrie </w:t>
      </w:r>
      <w:r w:rsidRPr="003022C4">
        <w:rPr>
          <w:rFonts w:cs="Times New Roman"/>
          <w:noProof/>
          <w:lang w:val="fr-CA"/>
        </w:rPr>
        <w:t>S27). Comme l’ont fait observer Stuart, Arboleda</w:t>
      </w:r>
      <w:r>
        <w:rPr>
          <w:rFonts w:cs="Times New Roman"/>
          <w:noProof/>
          <w:lang w:val="fr-CA"/>
        </w:rPr>
        <w:noBreakHyphen/>
      </w:r>
      <w:r w:rsidRPr="003022C4">
        <w:rPr>
          <w:rFonts w:cs="Times New Roman"/>
          <w:noProof/>
          <w:lang w:val="fr-CA"/>
        </w:rPr>
        <w:t xml:space="preserve">Flórez et Sartorius, les </w:t>
      </w:r>
      <w:r w:rsidRPr="003022C4">
        <w:rPr>
          <w:rFonts w:cs="Times New Roman"/>
          <w:smallCaps/>
          <w:noProof/>
          <w:lang w:val="fr-CA"/>
        </w:rPr>
        <w:t xml:space="preserve">[traduction] </w:t>
      </w:r>
      <w:r w:rsidRPr="003022C4">
        <w:rPr>
          <w:rFonts w:cs="Times New Roman"/>
          <w:noProof/>
          <w:lang w:val="fr-CA"/>
        </w:rPr>
        <w:t>« perceptions [. . .] à l’égard de la violence et le risque de violence jouent un rôle primordial dans [le] soutien des traitements coercitifs, des solutions législatives et des justifications des inégalités et des injustices sociales » (</w:t>
      </w:r>
      <w:r>
        <w:rPr>
          <w:rFonts w:cs="Times New Roman"/>
          <w:noProof/>
          <w:lang w:val="fr-CA"/>
        </w:rPr>
        <w:t>p. </w:t>
      </w:r>
      <w:r w:rsidRPr="003022C4">
        <w:rPr>
          <w:rFonts w:cs="Times New Roman"/>
          <w:noProof/>
          <w:lang w:val="fr-CA"/>
        </w:rPr>
        <w:t>108). Bien que des attitudes et des effets discriminatoires subsistent malheureusement à l’égard des personnes souffrant de troubles mentaux, ils ne doivent pas avoir force de loi (</w:t>
      </w:r>
      <w:r w:rsidRPr="003022C4">
        <w:rPr>
          <w:rFonts w:cs="Times New Roman"/>
          <w:i/>
          <w:noProof/>
          <w:lang w:val="fr-CA"/>
        </w:rPr>
        <w:t>Andrews</w:t>
      </w:r>
      <w:r w:rsidRPr="003022C4">
        <w:rPr>
          <w:rFonts w:cs="Times New Roman"/>
          <w:noProof/>
          <w:lang w:val="fr-CA"/>
        </w:rPr>
        <w:t xml:space="preserve">, </w:t>
      </w:r>
      <w:r>
        <w:rPr>
          <w:rFonts w:cs="Times New Roman"/>
          <w:noProof/>
          <w:lang w:val="fr-CA"/>
        </w:rPr>
        <w:t>p. </w:t>
      </w:r>
      <w:r w:rsidRPr="003022C4">
        <w:rPr>
          <w:rFonts w:cs="Times New Roman"/>
          <w:noProof/>
          <w:lang w:val="fr-CA"/>
        </w:rPr>
        <w:t>172).</w:t>
      </w:r>
    </w:p>
    <w:p w14:paraId="52AAB83A"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Le procureur général soutient que les distinctions créées par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ne sont pas discriminatoires parce qu’elles reposent sur des gé</w:t>
      </w:r>
      <w:r>
        <w:rPr>
          <w:rFonts w:cs="Times New Roman"/>
          <w:noProof/>
          <w:lang w:val="fr-CA"/>
        </w:rPr>
        <w:t>néralisations statistiques et des</w:t>
      </w:r>
      <w:r w:rsidRPr="003022C4">
        <w:rPr>
          <w:rFonts w:cs="Times New Roman"/>
          <w:noProof/>
          <w:lang w:val="fr-CA"/>
        </w:rPr>
        <w:t xml:space="preserve"> </w:t>
      </w:r>
      <w:r w:rsidRPr="003022C4">
        <w:rPr>
          <w:rFonts w:cs="Times New Roman"/>
          <w:smallCaps/>
          <w:noProof/>
          <w:lang w:val="fr-CA"/>
        </w:rPr>
        <w:t xml:space="preserve">[traduction] </w:t>
      </w:r>
      <w:r w:rsidRPr="003022C4">
        <w:rPr>
          <w:rFonts w:cs="Times New Roman"/>
          <w:noProof/>
          <w:lang w:val="fr-CA"/>
        </w:rPr>
        <w:t>« fait</w:t>
      </w:r>
      <w:r>
        <w:rPr>
          <w:rFonts w:cs="Times New Roman"/>
          <w:noProof/>
          <w:lang w:val="fr-CA"/>
        </w:rPr>
        <w:t>s</w:t>
      </w:r>
      <w:r w:rsidRPr="003022C4">
        <w:rPr>
          <w:rFonts w:cs="Times New Roman"/>
          <w:noProof/>
          <w:lang w:val="fr-CA"/>
        </w:rPr>
        <w:t xml:space="preserve"> empirique</w:t>
      </w:r>
      <w:r>
        <w:rPr>
          <w:rFonts w:cs="Times New Roman"/>
          <w:noProof/>
          <w:lang w:val="fr-CA"/>
        </w:rPr>
        <w:t>s</w:t>
      </w:r>
      <w:r w:rsidRPr="003022C4">
        <w:rPr>
          <w:rFonts w:cs="Times New Roman"/>
          <w:noProof/>
          <w:lang w:val="fr-CA"/>
        </w:rPr>
        <w:t xml:space="preserve"> » et qu’elles ont seulement des répercussions « minimes » sur les délinquants. Je ne puis être d’accord. La question pertinente est de savoir si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impose des fardeaux ou nie des avantages d’une manière qui a pour effet de renforcer, de perpétuer ou d’accentuer le désavantage. Il n’y a aucune condition préliminaire de sévérité.</w:t>
      </w:r>
    </w:p>
    <w:p w14:paraId="7A6A7B7C"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Les distinctions créées par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renforcent et accentuent l’idée stigmatisante selon laquelle les personnes souffrant de troubles mentaux sont en soi dangereuses et présenteront toujours un danger et, ce faisant, ces distinctions perpétuent le désavantage que subissent ces personnes. Comme l’a reconnu le juge Doherty, ces distinctions </w:t>
      </w:r>
      <w:r w:rsidRPr="003022C4">
        <w:rPr>
          <w:rFonts w:cs="Times New Roman"/>
          <w:smallCaps/>
          <w:noProof/>
          <w:lang w:val="fr-CA"/>
        </w:rPr>
        <w:t xml:space="preserve">[traduction] </w:t>
      </w:r>
      <w:r w:rsidRPr="003022C4">
        <w:rPr>
          <w:rFonts w:cs="Times New Roman"/>
          <w:noProof/>
          <w:lang w:val="fr-CA"/>
        </w:rPr>
        <w:t xml:space="preserve">« laisse[nt] entendre que les personnes qui commettent des actes criminels alors qu’elles sont non responsables criminellement pour cause de troubles mentaux ne changeront pas, mais continueront plutôt de présenter le même risque qu’elles posaient au moment de l’infraction, et ce, pendant une période indéterminée » (motifs de la C.A., </w:t>
      </w:r>
      <w:r>
        <w:rPr>
          <w:rFonts w:cs="Times New Roman"/>
          <w:noProof/>
          <w:lang w:val="fr-CA"/>
        </w:rPr>
        <w:t>par. </w:t>
      </w:r>
      <w:r w:rsidRPr="003022C4">
        <w:rPr>
          <w:rFonts w:cs="Times New Roman"/>
          <w:noProof/>
          <w:lang w:val="fr-CA"/>
        </w:rPr>
        <w:t>122).</w:t>
      </w:r>
    </w:p>
    <w:p w14:paraId="62102BE5"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En plus de l’idée préconçue selon laquelle elles sont dangereuses, le fait d’exiger que les personnes déclarées non responsables criminellement pour cause de troubles mentaux s’acquittent de leurs obligations relatives au registre peut, comme l’a fait remarquer l’intervenant Empowerment Council, contribuer à leur </w:t>
      </w:r>
      <w:r w:rsidRPr="003022C4">
        <w:rPr>
          <w:rFonts w:cs="Times New Roman"/>
          <w:smallCaps/>
          <w:noProof/>
          <w:lang w:val="fr-CA"/>
        </w:rPr>
        <w:t xml:space="preserve">[traduction] </w:t>
      </w:r>
      <w:r w:rsidRPr="003022C4">
        <w:rPr>
          <w:rFonts w:cs="Times New Roman"/>
          <w:noProof/>
          <w:lang w:val="fr-CA"/>
        </w:rPr>
        <w:t>« double stigmatisation » parce qu’elles sont considérées à la fois comme des « personne[s] atteinte[s] de troubles mentaux » et des « délinquant[s] sexuel[s] » (</w:t>
      </w:r>
      <w:r w:rsidRPr="003022C4">
        <w:rPr>
          <w:rFonts w:cs="Times New Roman"/>
          <w:i/>
          <w:noProof/>
          <w:lang w:val="fr-CA"/>
        </w:rPr>
        <w:t>R. c. C.C.</w:t>
      </w:r>
      <w:r w:rsidRPr="0025412A">
        <w:rPr>
          <w:rFonts w:cs="Times New Roman"/>
          <w:noProof/>
          <w:lang w:val="fr-CA"/>
        </w:rPr>
        <w:t xml:space="preserve">, </w:t>
      </w:r>
      <w:r w:rsidRPr="003022C4">
        <w:rPr>
          <w:rFonts w:cs="Times New Roman"/>
          <w:noProof/>
          <w:lang w:val="fr-CA"/>
        </w:rPr>
        <w:t xml:space="preserve">2007 ABPC 337, 435 A.R. 215, </w:t>
      </w:r>
      <w:r>
        <w:rPr>
          <w:rFonts w:cs="Times New Roman"/>
          <w:noProof/>
          <w:lang w:val="fr-CA"/>
        </w:rPr>
        <w:t>par. </w:t>
      </w:r>
      <w:r w:rsidRPr="003022C4">
        <w:rPr>
          <w:rFonts w:cs="Times New Roman"/>
          <w:noProof/>
          <w:lang w:val="fr-CA"/>
        </w:rPr>
        <w:t xml:space="preserve">18, 43, 59 et 84; </w:t>
      </w:r>
      <w:r w:rsidRPr="003022C4">
        <w:rPr>
          <w:rFonts w:cs="Times New Roman"/>
          <w:i/>
          <w:noProof/>
          <w:lang w:val="fr-CA"/>
        </w:rPr>
        <w:t>R. c. Redhead</w:t>
      </w:r>
      <w:r w:rsidRPr="0025412A">
        <w:rPr>
          <w:rFonts w:cs="Times New Roman"/>
          <w:noProof/>
          <w:lang w:val="fr-CA"/>
        </w:rPr>
        <w:t xml:space="preserve">, </w:t>
      </w:r>
      <w:r w:rsidRPr="003022C4">
        <w:rPr>
          <w:rFonts w:cs="Times New Roman"/>
          <w:noProof/>
          <w:lang w:val="fr-CA"/>
        </w:rPr>
        <w:t xml:space="preserve">2006 ABCA 84, 384 A.R. 206, </w:t>
      </w:r>
      <w:r>
        <w:rPr>
          <w:rFonts w:cs="Times New Roman"/>
          <w:noProof/>
          <w:lang w:val="fr-CA"/>
        </w:rPr>
        <w:t>par. </w:t>
      </w:r>
      <w:r w:rsidRPr="003022C4">
        <w:rPr>
          <w:rFonts w:cs="Times New Roman"/>
          <w:noProof/>
          <w:lang w:val="fr-CA"/>
        </w:rPr>
        <w:t>31).</w:t>
      </w:r>
    </w:p>
    <w:p w14:paraId="2170E71B" w14:textId="77777777" w:rsidR="00F712C6" w:rsidRPr="003022C4" w:rsidRDefault="00F712C6" w:rsidP="00F712C6">
      <w:pPr>
        <w:pStyle w:val="ParaNoNdepar-AltN"/>
        <w:rPr>
          <w:rFonts w:cs="Times New Roman"/>
          <w:noProof/>
          <w:lang w:val="fr-CA"/>
        </w:rPr>
      </w:pPr>
      <w:r w:rsidRPr="003022C4">
        <w:rPr>
          <w:rFonts w:cs="Times New Roman"/>
          <w:noProof/>
          <w:lang w:val="fr-CA"/>
        </w:rPr>
        <w:t>La loi impose donc un fardeau aux personnes déclarées non responsables criminellement pour cause de troubles mentaux d’une manière qui transgresse la norme d’égalité réelle de deux</w:t>
      </w:r>
      <w:r>
        <w:rPr>
          <w:rFonts w:cs="Times New Roman"/>
          <w:noProof/>
          <w:lang w:val="fr-CA"/>
        </w:rPr>
        <w:t xml:space="preserve"> </w:t>
      </w:r>
      <w:r w:rsidRPr="003022C4">
        <w:rPr>
          <w:rFonts w:cs="Times New Roman"/>
          <w:noProof/>
          <w:lang w:val="fr-CA"/>
        </w:rPr>
        <w:t>façons</w:t>
      </w:r>
      <w:r>
        <w:rPr>
          <w:rFonts w:cs="Times New Roman"/>
          <w:noProof/>
          <w:lang w:val="fr-CA"/>
        </w:rPr>
        <w:t> :</w:t>
      </w:r>
      <w:r w:rsidRPr="003022C4">
        <w:rPr>
          <w:rFonts w:cs="Times New Roman"/>
          <w:noProof/>
          <w:lang w:val="fr-CA"/>
        </w:rPr>
        <w:t xml:space="preserve"> d’une part, la loi</w:t>
      </w:r>
      <w:r w:rsidRPr="003022C4">
        <w:rPr>
          <w:rFonts w:cs="Times New Roman"/>
          <w:i/>
          <w:noProof/>
          <w:lang w:val="fr-CA"/>
        </w:rPr>
        <w:t xml:space="preserve"> </w:t>
      </w:r>
      <w:r w:rsidRPr="003022C4">
        <w:rPr>
          <w:rFonts w:cs="Times New Roman"/>
          <w:noProof/>
          <w:lang w:val="fr-CA"/>
        </w:rPr>
        <w:t>elle</w:t>
      </w:r>
      <w:r>
        <w:rPr>
          <w:rFonts w:cs="Times New Roman"/>
          <w:noProof/>
          <w:lang w:val="fr-CA"/>
        </w:rPr>
        <w:noBreakHyphen/>
      </w:r>
      <w:r w:rsidRPr="003022C4">
        <w:rPr>
          <w:rFonts w:cs="Times New Roman"/>
          <w:noProof/>
          <w:lang w:val="fr-CA"/>
        </w:rPr>
        <w:t>même applique des préjugés et des stéréotypes envers les personnes souffrant de troubles mentaux, ce qui alimente la stigmatisation préjudiciable; d’autre part, la loi place les personnes déclarées non responsables criminellement pour cause de troubles mentaux dans une situation pire que celle des personnes déclarées coupables. Ces deux effets perpétuent donc le désavantage historique que continuent de subir les personnes souffrant de troubles mentaux.</w:t>
      </w:r>
    </w:p>
    <w:p w14:paraId="035EB467" w14:textId="77777777" w:rsidR="00F712C6" w:rsidRPr="003022C4" w:rsidRDefault="00F712C6" w:rsidP="00F712C6">
      <w:pPr>
        <w:pStyle w:val="ParaNoNdepar-AltN"/>
        <w:rPr>
          <w:rFonts w:cs="Times New Roman"/>
          <w:noProof/>
          <w:lang w:val="fr-CA"/>
        </w:rPr>
      </w:pPr>
      <w:r w:rsidRPr="003022C4">
        <w:rPr>
          <w:rFonts w:cs="Times New Roman"/>
          <w:noProof/>
          <w:lang w:val="fr-CA"/>
        </w:rPr>
        <w:t>Pour G, le fait qu’il n’a pas accès aux mécanismes de dispense et de retrait qui sont offerts aux délinquants à la suite d’une évaluation individuelle signifie qu’il sera un délinquant sexuel enregistré pour le reste de sa vie, qu’il peut faire l’objet de vérifications aléatoires des corps de police et qu’il devra se présenter devant les autorités au moins une fois par année pour le reste de sa vie, et que ses renseignements ne seront jamais retirés du registre, même après sa mort, peu importe ce qu’il fait. Son verdict de non</w:t>
      </w:r>
      <w:r>
        <w:rPr>
          <w:rFonts w:cs="Times New Roman"/>
          <w:noProof/>
          <w:lang w:val="fr-CA"/>
        </w:rPr>
        <w:noBreakHyphen/>
      </w:r>
      <w:r w:rsidRPr="003022C4">
        <w:rPr>
          <w:rFonts w:cs="Times New Roman"/>
          <w:noProof/>
          <w:lang w:val="fr-CA"/>
        </w:rPr>
        <w:t xml:space="preserve">responsabilité criminelle pour cause de troubles mentaux, sa libération inconditionnelle, le fait qu’il se soit toujours acquitté de ses obligations, qu’il ait un emploi stable et qu’il entretienne des liens solides avec les membres de sa famille n’ont aucune importance. En lui refusant des </w:t>
      </w:r>
      <w:r>
        <w:rPr>
          <w:rFonts w:cs="Times New Roman"/>
          <w:noProof/>
          <w:lang w:val="fr-CA"/>
        </w:rPr>
        <w:t>voies</w:t>
      </w:r>
      <w:r w:rsidRPr="003022C4">
        <w:rPr>
          <w:rFonts w:cs="Times New Roman"/>
          <w:noProof/>
          <w:lang w:val="fr-CA"/>
        </w:rPr>
        <w:t xml:space="preserve"> de sortie,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indique que G est, aux yeux de la loi, une menace perpétuelle pour le public. Le fait que l’État continuera d’exercer une surveillance sur lui laisse entendre qu’il sera toujours dangereux du point de vue de la loi.</w:t>
      </w:r>
    </w:p>
    <w:p w14:paraId="633B92BB" w14:textId="6D6A568E" w:rsidR="00F712C6" w:rsidRPr="003022C4" w:rsidRDefault="00F712C6" w:rsidP="00F712C6">
      <w:pPr>
        <w:pStyle w:val="ParaNoNdepar-AltN"/>
        <w:rPr>
          <w:rFonts w:cs="Times New Roman"/>
          <w:noProof/>
          <w:lang w:val="fr-CA"/>
        </w:rPr>
      </w:pPr>
      <w:r w:rsidRPr="003022C4">
        <w:rPr>
          <w:rFonts w:cs="Times New Roman"/>
          <w:noProof/>
          <w:lang w:val="fr-CA"/>
        </w:rPr>
        <w:t xml:space="preserve">L’argument du procureur général selon lequel l’intention du gouvernement de ne pas stéréotyper les gens est pertinente pour l’analyse fondée sur le </w:t>
      </w:r>
      <w:r>
        <w:rPr>
          <w:rFonts w:cs="Times New Roman"/>
          <w:noProof/>
          <w:lang w:val="fr-CA"/>
        </w:rPr>
        <w:t>par. </w:t>
      </w:r>
      <w:r w:rsidRPr="003022C4">
        <w:rPr>
          <w:rFonts w:cs="Times New Roman"/>
          <w:noProof/>
          <w:lang w:val="fr-CA"/>
        </w:rPr>
        <w:t xml:space="preserve">15(1) trahit une </w:t>
      </w:r>
      <w:r>
        <w:rPr>
          <w:rFonts w:cs="Times New Roman"/>
          <w:noProof/>
          <w:lang w:val="fr-CA"/>
        </w:rPr>
        <w:t>incompréhension</w:t>
      </w:r>
      <w:r w:rsidRPr="003022C4">
        <w:rPr>
          <w:rFonts w:cs="Times New Roman"/>
          <w:noProof/>
          <w:lang w:val="fr-CA"/>
        </w:rPr>
        <w:t xml:space="preserve"> profonde des droits à l’égalité — qui protègent l’égalité réelle. Comme notre Cour l’a dit à maintes reprises, « l’existence d’un but ou d’une intention discriminatoire </w:t>
      </w:r>
      <w:r w:rsidR="00DB0834">
        <w:rPr>
          <w:rFonts w:cs="Times New Roman"/>
          <w:noProof/>
          <w:lang w:val="fr-CA"/>
        </w:rPr>
        <w:t>[</w:t>
      </w:r>
      <w:r w:rsidR="00DB0834" w:rsidRPr="003022C4">
        <w:rPr>
          <w:rFonts w:cs="Times New Roman"/>
          <w:noProof/>
          <w:lang w:val="fr-CA"/>
        </w:rPr>
        <w:t>n’est]</w:t>
      </w:r>
      <w:r w:rsidRPr="003022C4">
        <w:rPr>
          <w:rFonts w:cs="Times New Roman"/>
          <w:noProof/>
          <w:lang w:val="fr-CA"/>
        </w:rPr>
        <w:t xml:space="preserve"> pas une condition nécessaire à l’existence d’une atteinte au </w:t>
      </w:r>
      <w:r>
        <w:rPr>
          <w:rFonts w:cs="Times New Roman"/>
          <w:noProof/>
          <w:lang w:val="fr-CA"/>
        </w:rPr>
        <w:t>par. </w:t>
      </w:r>
      <w:r w:rsidRPr="003022C4">
        <w:rPr>
          <w:rFonts w:cs="Times New Roman"/>
          <w:noProof/>
          <w:lang w:val="fr-CA"/>
        </w:rPr>
        <w:t>15(1) » (</w:t>
      </w:r>
      <w:r w:rsidRPr="003022C4">
        <w:rPr>
          <w:rFonts w:cs="Times New Roman"/>
          <w:i/>
          <w:noProof/>
          <w:lang w:val="fr-CA"/>
        </w:rPr>
        <w:t>Eldridge</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62; </w:t>
      </w:r>
      <w:r w:rsidRPr="003022C4">
        <w:rPr>
          <w:rFonts w:cs="Times New Roman"/>
          <w:i/>
          <w:noProof/>
          <w:lang w:val="fr-CA"/>
        </w:rPr>
        <w:t>Québec c. A</w:t>
      </w:r>
      <w:r w:rsidRPr="003022C4">
        <w:rPr>
          <w:rFonts w:cs="Times New Roman"/>
          <w:noProof/>
          <w:lang w:val="fr-CA"/>
        </w:rPr>
        <w:t xml:space="preserve">, </w:t>
      </w:r>
      <w:r>
        <w:rPr>
          <w:rFonts w:cs="Times New Roman"/>
          <w:noProof/>
          <w:lang w:val="fr-CA"/>
        </w:rPr>
        <w:t>par. </w:t>
      </w:r>
      <w:r w:rsidRPr="003022C4">
        <w:rPr>
          <w:rFonts w:cs="Times New Roman"/>
          <w:noProof/>
          <w:lang w:val="fr-CA"/>
        </w:rPr>
        <w:t>328</w:t>
      </w:r>
      <w:r>
        <w:rPr>
          <w:rFonts w:cs="Times New Roman"/>
          <w:noProof/>
          <w:lang w:val="fr-CA"/>
        </w:rPr>
        <w:noBreakHyphen/>
      </w:r>
      <w:r w:rsidRPr="003022C4">
        <w:rPr>
          <w:rFonts w:cs="Times New Roman"/>
          <w:noProof/>
          <w:lang w:val="fr-CA"/>
        </w:rPr>
        <w:t>329 et 331</w:t>
      </w:r>
      <w:r>
        <w:rPr>
          <w:rFonts w:cs="Times New Roman"/>
          <w:noProof/>
          <w:lang w:val="fr-CA"/>
        </w:rPr>
        <w:noBreakHyphen/>
      </w:r>
      <w:r w:rsidRPr="003022C4">
        <w:rPr>
          <w:rFonts w:cs="Times New Roman"/>
          <w:noProof/>
          <w:lang w:val="fr-CA"/>
        </w:rPr>
        <w:t xml:space="preserve">333). Ainsi que la juge Abella l’a expliqué dans l’arrêt </w:t>
      </w:r>
      <w:r w:rsidRPr="003022C4">
        <w:rPr>
          <w:rFonts w:cs="Times New Roman"/>
          <w:i/>
          <w:iCs/>
          <w:noProof/>
          <w:lang w:val="fr-CA"/>
        </w:rPr>
        <w:t>Québec c. A</w:t>
      </w:r>
      <w:r w:rsidRPr="001F5004">
        <w:rPr>
          <w:rFonts w:cs="Times New Roman"/>
          <w:iCs/>
          <w:noProof/>
          <w:lang w:val="fr-CA"/>
        </w:rPr>
        <w:t>,</w:t>
      </w:r>
      <w:r w:rsidRPr="003022C4">
        <w:rPr>
          <w:rFonts w:cs="Times New Roman"/>
          <w:noProof/>
          <w:lang w:val="fr-CA"/>
        </w:rPr>
        <w:t xml:space="preserve"> si la mesure législative contestée a « pour effet d’élargir [. . .] l’écart entre le groupe historiquement défavorisé et le reste de la société » ou si elle renforce, perpétue ou accentue le désavantage historique subi, elle est alors discriminatoire (</w:t>
      </w:r>
      <w:r>
        <w:rPr>
          <w:rFonts w:cs="Times New Roman"/>
          <w:iCs/>
          <w:noProof/>
          <w:lang w:val="fr-CA"/>
        </w:rPr>
        <w:t>par. </w:t>
      </w:r>
      <w:r w:rsidRPr="003022C4">
        <w:rPr>
          <w:rFonts w:cs="Times New Roman"/>
          <w:iCs/>
          <w:noProof/>
          <w:lang w:val="fr-CA"/>
        </w:rPr>
        <w:t>332</w:t>
      </w:r>
      <w:r w:rsidRPr="001F5004">
        <w:rPr>
          <w:rFonts w:cs="Times New Roman"/>
          <w:noProof/>
          <w:lang w:val="fr-CA"/>
        </w:rPr>
        <w:t>;</w:t>
      </w:r>
      <w:r w:rsidRPr="003022C4">
        <w:rPr>
          <w:rFonts w:cs="Times New Roman"/>
          <w:i/>
          <w:noProof/>
          <w:lang w:val="fr-CA"/>
        </w:rPr>
        <w:t xml:space="preserve"> Québec c. Alliance</w:t>
      </w:r>
      <w:r w:rsidRPr="003022C4">
        <w:rPr>
          <w:rFonts w:cs="Times New Roman"/>
          <w:noProof/>
          <w:lang w:val="fr-CA"/>
        </w:rPr>
        <w:t xml:space="preserve">, </w:t>
      </w:r>
      <w:r>
        <w:rPr>
          <w:rFonts w:cs="Times New Roman"/>
          <w:noProof/>
          <w:lang w:val="fr-CA"/>
        </w:rPr>
        <w:t>par. </w:t>
      </w:r>
      <w:r w:rsidRPr="003022C4">
        <w:rPr>
          <w:rFonts w:cs="Times New Roman"/>
          <w:noProof/>
          <w:lang w:val="fr-CA"/>
        </w:rPr>
        <w:t>25). La question n’est pas de savoir s’il y a un motif légitime pour lequel la distinction existe ou a « pour effet d’élargir [. . .] l’écart » (</w:t>
      </w:r>
      <w:r w:rsidRPr="003022C4">
        <w:rPr>
          <w:rFonts w:cs="Times New Roman"/>
          <w:i/>
          <w:noProof/>
          <w:lang w:val="fr-CA"/>
        </w:rPr>
        <w:t>Fraser</w:t>
      </w:r>
      <w:r w:rsidRPr="003022C4">
        <w:rPr>
          <w:rFonts w:cs="Times New Roman"/>
          <w:noProof/>
          <w:lang w:val="fr-CA"/>
        </w:rPr>
        <w:t xml:space="preserve">, </w:t>
      </w:r>
      <w:r>
        <w:rPr>
          <w:rFonts w:cs="Times New Roman"/>
          <w:noProof/>
          <w:lang w:val="fr-CA"/>
        </w:rPr>
        <w:t>par. </w:t>
      </w:r>
      <w:r w:rsidRPr="003022C4">
        <w:rPr>
          <w:rFonts w:cs="Times New Roman"/>
          <w:noProof/>
          <w:lang w:val="fr-CA"/>
        </w:rPr>
        <w:t>79</w:t>
      </w:r>
      <w:r>
        <w:rPr>
          <w:rFonts w:cs="Times New Roman"/>
          <w:noProof/>
          <w:lang w:val="fr-CA"/>
        </w:rPr>
        <w:noBreakHyphen/>
      </w:r>
      <w:r w:rsidRPr="003022C4">
        <w:rPr>
          <w:rFonts w:cs="Times New Roman"/>
          <w:noProof/>
          <w:lang w:val="fr-CA"/>
        </w:rPr>
        <w:t xml:space="preserve">80 et 177). Cette question n’est pertinente que pour l’analyse de la proportionnalité au regard de l’article premier de la </w:t>
      </w:r>
      <w:r w:rsidRPr="003022C4">
        <w:rPr>
          <w:rFonts w:cs="Times New Roman"/>
          <w:i/>
          <w:noProof/>
          <w:lang w:val="fr-CA"/>
        </w:rPr>
        <w:t>Charte</w:t>
      </w:r>
      <w:r w:rsidRPr="003022C4">
        <w:rPr>
          <w:rFonts w:cs="Times New Roman"/>
          <w:noProof/>
          <w:lang w:val="fr-CA"/>
        </w:rPr>
        <w:t>. L’attention doit porter sur l’incidence réelle d’une mesure législative sur le demandeur et les groupes auxquels il appartient (</w:t>
      </w:r>
      <w:r w:rsidRPr="003022C4">
        <w:rPr>
          <w:rFonts w:cs="Times New Roman"/>
          <w:i/>
          <w:noProof/>
          <w:lang w:val="fr-CA"/>
        </w:rPr>
        <w:t>Withler</w:t>
      </w:r>
      <w:r w:rsidRPr="003022C4">
        <w:rPr>
          <w:rFonts w:cs="Times New Roman"/>
          <w:noProof/>
          <w:lang w:val="fr-CA"/>
        </w:rPr>
        <w:t xml:space="preserve">, </w:t>
      </w:r>
      <w:r>
        <w:rPr>
          <w:rFonts w:cs="Times New Roman"/>
          <w:noProof/>
          <w:lang w:val="fr-CA"/>
        </w:rPr>
        <w:t>par. </w:t>
      </w:r>
      <w:r w:rsidRPr="003022C4">
        <w:rPr>
          <w:rFonts w:cs="Times New Roman"/>
          <w:noProof/>
          <w:lang w:val="fr-CA"/>
        </w:rPr>
        <w:t>2).</w:t>
      </w:r>
    </w:p>
    <w:p w14:paraId="7F78FC6D"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En somme,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enfreint le </w:t>
      </w:r>
      <w:r>
        <w:rPr>
          <w:rFonts w:cs="Times New Roman"/>
          <w:noProof/>
          <w:lang w:val="fr-CA"/>
        </w:rPr>
        <w:t>par. </w:t>
      </w:r>
      <w:r w:rsidRPr="003022C4">
        <w:rPr>
          <w:rFonts w:cs="Times New Roman"/>
          <w:noProof/>
          <w:lang w:val="fr-CA"/>
        </w:rPr>
        <w:t xml:space="preserve">15(1) de la </w:t>
      </w:r>
      <w:r w:rsidRPr="003022C4">
        <w:rPr>
          <w:rFonts w:cs="Times New Roman"/>
          <w:i/>
          <w:noProof/>
          <w:lang w:val="fr-CA"/>
        </w:rPr>
        <w:t xml:space="preserve">Charte </w:t>
      </w:r>
      <w:r w:rsidRPr="003022C4">
        <w:rPr>
          <w:rFonts w:cs="Times New Roman"/>
          <w:noProof/>
          <w:lang w:val="fr-CA"/>
        </w:rPr>
        <w:t xml:space="preserve">en exigeant des personnes déclarées non responsables criminellement pour cause de troubles mentaux qu’elles s’inscrivent au registre des délinquants sexuels sans leur offrir la possibilité d’être dispensées des obligations qui leur incombent et d’être retirées du registre à la suite d’une évaluation individuelle. Bien que les mécanismes de dispense et de retrait actuellement offerts aux personnes déclarées coupables prévoient la réalisation d’une évaluation individuelle, je n’ai pas à déterminer la nature ou la portée des mécanismes qui doivent être mis à la disposition des personnes déclarées non responsables criminellement pour cause de troubles mentaux. Cette décision ne peut être prise dans l’abstrait puisque, tant qu’il se conforme à la </w:t>
      </w:r>
      <w:r w:rsidRPr="003022C4">
        <w:rPr>
          <w:rFonts w:cs="Times New Roman"/>
          <w:i/>
          <w:noProof/>
          <w:lang w:val="fr-CA"/>
        </w:rPr>
        <w:t>Charte</w:t>
      </w:r>
      <w:r w:rsidRPr="003022C4">
        <w:rPr>
          <w:rFonts w:cs="Times New Roman"/>
          <w:noProof/>
          <w:lang w:val="fr-CA"/>
        </w:rPr>
        <w:t>, le législateur peut choisir parmi une gamme d’options stratégiques.</w:t>
      </w:r>
    </w:p>
    <w:p w14:paraId="5F78E266" w14:textId="77777777" w:rsidR="00F712C6" w:rsidRPr="003022C4" w:rsidRDefault="00F712C6" w:rsidP="00F712C6">
      <w:pPr>
        <w:pStyle w:val="Title2LevelTitre2Niveau"/>
        <w:rPr>
          <w:rFonts w:cs="Times New Roman"/>
          <w:noProof/>
          <w:lang w:val="fr-CA"/>
        </w:rPr>
      </w:pPr>
      <w:r w:rsidRPr="003022C4">
        <w:rPr>
          <w:rFonts w:cs="Times New Roman"/>
          <w:noProof/>
          <w:lang w:val="fr-CA"/>
        </w:rPr>
        <w:t>La Loi Christopher constitue</w:t>
      </w:r>
      <w:r>
        <w:rPr>
          <w:rFonts w:cs="Times New Roman"/>
          <w:noProof/>
          <w:lang w:val="fr-CA"/>
        </w:rPr>
        <w:noBreakHyphen/>
      </w:r>
      <w:r w:rsidRPr="003022C4">
        <w:rPr>
          <w:rFonts w:cs="Times New Roman"/>
          <w:noProof/>
          <w:lang w:val="fr-CA"/>
        </w:rPr>
        <w:t>t</w:t>
      </w:r>
      <w:r>
        <w:rPr>
          <w:rFonts w:cs="Times New Roman"/>
          <w:noProof/>
          <w:lang w:val="fr-CA"/>
        </w:rPr>
        <w:noBreakHyphen/>
      </w:r>
      <w:r w:rsidRPr="003022C4">
        <w:rPr>
          <w:rFonts w:cs="Times New Roman"/>
          <w:noProof/>
          <w:lang w:val="fr-CA"/>
        </w:rPr>
        <w:t>elle une limite raisonnable aux droits à l’égalité?</w:t>
      </w:r>
    </w:p>
    <w:p w14:paraId="3B92462F"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Le procureur général doit établir, selon la prépondérance des probabilités, que la contravention au </w:t>
      </w:r>
      <w:r>
        <w:rPr>
          <w:rFonts w:cs="Times New Roman"/>
          <w:noProof/>
          <w:lang w:val="fr-CA"/>
        </w:rPr>
        <w:t>par. </w:t>
      </w:r>
      <w:r w:rsidRPr="003022C4">
        <w:rPr>
          <w:rFonts w:cs="Times New Roman"/>
          <w:noProof/>
          <w:lang w:val="fr-CA"/>
        </w:rPr>
        <w:t xml:space="preserve">15(1) est justifiée au regard de l’article premier. Premièrement, l’objectif que vise la mesure attentatoire doit être urgent et réel. Deuxièmement, dans la poursuite de cet objectif, la mesure attentatoire ne doit pas porter atteinte de manière disproportionnée aux droits que garantit le </w:t>
      </w:r>
      <w:r>
        <w:rPr>
          <w:rFonts w:cs="Times New Roman"/>
          <w:noProof/>
          <w:lang w:val="fr-CA"/>
        </w:rPr>
        <w:t>par. </w:t>
      </w:r>
      <w:r w:rsidRPr="003022C4">
        <w:rPr>
          <w:rFonts w:cs="Times New Roman"/>
          <w:noProof/>
          <w:lang w:val="fr-CA"/>
        </w:rPr>
        <w:t xml:space="preserve">15(1). La seconde partie du critère de </w:t>
      </w:r>
      <w:r>
        <w:rPr>
          <w:rFonts w:cs="Times New Roman"/>
          <w:noProof/>
          <w:lang w:val="fr-CA"/>
        </w:rPr>
        <w:t xml:space="preserve">l’arrêt </w:t>
      </w:r>
      <w:r w:rsidRPr="003022C4">
        <w:rPr>
          <w:rFonts w:cs="Times New Roman"/>
          <w:i/>
          <w:noProof/>
          <w:lang w:val="fr-CA"/>
        </w:rPr>
        <w:t xml:space="preserve">Oakes </w:t>
      </w:r>
      <w:r>
        <w:rPr>
          <w:rFonts w:cs="Times New Roman"/>
          <w:noProof/>
          <w:lang w:val="fr-CA"/>
        </w:rPr>
        <w:t xml:space="preserve">comporte trois </w:t>
      </w:r>
      <w:r w:rsidRPr="003022C4">
        <w:rPr>
          <w:rFonts w:cs="Times New Roman"/>
          <w:noProof/>
          <w:lang w:val="fr-CA"/>
        </w:rPr>
        <w:t xml:space="preserve">volets. L’État doit démontrer que l’atteinte a un lien rationnel avec l’objectif, que les moyens choisis pour réaliser l’objectif portent le moins possible atteinte aux droits que garantit le </w:t>
      </w:r>
      <w:r>
        <w:rPr>
          <w:rFonts w:cs="Times New Roman"/>
          <w:noProof/>
          <w:lang w:val="fr-CA"/>
        </w:rPr>
        <w:t>par. </w:t>
      </w:r>
      <w:r w:rsidRPr="003022C4">
        <w:rPr>
          <w:rFonts w:cs="Times New Roman"/>
          <w:noProof/>
          <w:lang w:val="fr-CA"/>
        </w:rPr>
        <w:t xml:space="preserve">15(1), et que les avantages de la mesure attentatoire l’emportent sur ses effets préjudiciables (voir </w:t>
      </w:r>
      <w:r>
        <w:rPr>
          <w:rFonts w:cs="Times New Roman"/>
          <w:i/>
          <w:noProof/>
          <w:lang w:val="fr-CA"/>
        </w:rPr>
        <w:t xml:space="preserve">R. c. </w:t>
      </w:r>
      <w:r w:rsidRPr="003022C4">
        <w:rPr>
          <w:rFonts w:cs="Times New Roman"/>
          <w:i/>
          <w:noProof/>
          <w:lang w:val="fr-CA"/>
        </w:rPr>
        <w:t>Oakes</w:t>
      </w:r>
      <w:r>
        <w:rPr>
          <w:rFonts w:cs="Times New Roman"/>
          <w:noProof/>
          <w:lang w:val="fr-CA"/>
        </w:rPr>
        <w:t xml:space="preserve">, [1986] 1 </w:t>
      </w:r>
      <w:r w:rsidRPr="003022C4">
        <w:rPr>
          <w:rFonts w:cs="Times New Roman"/>
          <w:noProof/>
          <w:lang w:val="fr-CA"/>
        </w:rPr>
        <w:t>R.C.S.</w:t>
      </w:r>
      <w:r>
        <w:rPr>
          <w:rFonts w:cs="Times New Roman"/>
          <w:noProof/>
          <w:lang w:val="fr-CA"/>
        </w:rPr>
        <w:t xml:space="preserve"> </w:t>
      </w:r>
      <w:r w:rsidRPr="003022C4">
        <w:rPr>
          <w:rFonts w:cs="Times New Roman"/>
          <w:noProof/>
          <w:lang w:val="fr-CA"/>
        </w:rPr>
        <w:t xml:space="preserve">103, </w:t>
      </w:r>
      <w:r>
        <w:rPr>
          <w:rFonts w:cs="Times New Roman"/>
          <w:noProof/>
          <w:lang w:val="fr-CA"/>
        </w:rPr>
        <w:t>p. </w:t>
      </w:r>
      <w:r w:rsidRPr="003022C4">
        <w:rPr>
          <w:rFonts w:cs="Times New Roman"/>
          <w:noProof/>
          <w:lang w:val="fr-CA"/>
        </w:rPr>
        <w:t>138</w:t>
      </w:r>
      <w:r>
        <w:rPr>
          <w:rFonts w:cs="Times New Roman"/>
          <w:noProof/>
          <w:lang w:val="fr-CA"/>
        </w:rPr>
        <w:noBreakHyphen/>
      </w:r>
      <w:r w:rsidRPr="003022C4">
        <w:rPr>
          <w:rFonts w:cs="Times New Roman"/>
          <w:noProof/>
          <w:lang w:val="fr-CA"/>
        </w:rPr>
        <w:t xml:space="preserve">140; </w:t>
      </w:r>
      <w:r w:rsidRPr="003022C4">
        <w:rPr>
          <w:rFonts w:cs="Times New Roman"/>
          <w:i/>
          <w:noProof/>
          <w:lang w:val="fr-CA"/>
        </w:rPr>
        <w:t>Vriend</w:t>
      </w:r>
      <w:r w:rsidRPr="003022C4">
        <w:rPr>
          <w:rFonts w:cs="Times New Roman"/>
          <w:noProof/>
          <w:lang w:val="fr-CA"/>
        </w:rPr>
        <w:t xml:space="preserve">, </w:t>
      </w:r>
      <w:r>
        <w:rPr>
          <w:rFonts w:cs="Times New Roman"/>
          <w:noProof/>
          <w:lang w:val="fr-CA"/>
        </w:rPr>
        <w:t>par. </w:t>
      </w:r>
      <w:r w:rsidRPr="003022C4">
        <w:rPr>
          <w:rFonts w:cs="Times New Roman"/>
          <w:noProof/>
          <w:lang w:val="fr-CA"/>
        </w:rPr>
        <w:t>109</w:t>
      </w:r>
      <w:r>
        <w:rPr>
          <w:rFonts w:cs="Times New Roman"/>
          <w:noProof/>
          <w:lang w:val="fr-CA"/>
        </w:rPr>
        <w:noBreakHyphen/>
      </w:r>
      <w:r w:rsidRPr="003022C4">
        <w:rPr>
          <w:rFonts w:cs="Times New Roman"/>
          <w:noProof/>
          <w:lang w:val="fr-CA"/>
        </w:rPr>
        <w:t>110;</w:t>
      </w:r>
      <w:r w:rsidRPr="003022C4">
        <w:rPr>
          <w:rFonts w:cs="Times New Roman"/>
          <w:i/>
          <w:noProof/>
          <w:lang w:val="fr-CA"/>
        </w:rPr>
        <w:t xml:space="preserve"> Alberta c. Hutterian Brethren of Wilson Colony</w:t>
      </w:r>
      <w:r w:rsidRPr="003022C4">
        <w:rPr>
          <w:rFonts w:cs="Times New Roman"/>
          <w:noProof/>
          <w:lang w:val="fr-CA"/>
        </w:rPr>
        <w:t xml:space="preserve">, 2009 CSC 37, [2009] 2 R.C.S. 567, </w:t>
      </w:r>
      <w:r>
        <w:rPr>
          <w:rFonts w:cs="Times New Roman"/>
          <w:noProof/>
          <w:lang w:val="fr-CA"/>
        </w:rPr>
        <w:t>par. </w:t>
      </w:r>
      <w:r w:rsidRPr="003022C4">
        <w:rPr>
          <w:rFonts w:cs="Times New Roman"/>
          <w:noProof/>
          <w:lang w:val="fr-CA"/>
        </w:rPr>
        <w:t>48, 53 et 76</w:t>
      </w:r>
      <w:r>
        <w:rPr>
          <w:rFonts w:cs="Times New Roman"/>
          <w:noProof/>
          <w:lang w:val="fr-CA"/>
        </w:rPr>
        <w:noBreakHyphen/>
      </w:r>
      <w:r w:rsidRPr="003022C4">
        <w:rPr>
          <w:rFonts w:cs="Times New Roman"/>
          <w:noProof/>
          <w:lang w:val="fr-CA"/>
        </w:rPr>
        <w:t>78).</w:t>
      </w:r>
    </w:p>
    <w:p w14:paraId="759B5ED3" w14:textId="504E412F" w:rsidR="00F712C6" w:rsidRPr="003022C4" w:rsidRDefault="00F712C6" w:rsidP="00F712C6">
      <w:pPr>
        <w:pStyle w:val="ParaNoNdepar-AltN"/>
        <w:rPr>
          <w:rFonts w:cs="Times New Roman"/>
          <w:noProof/>
          <w:lang w:val="fr-CA"/>
        </w:rPr>
      </w:pPr>
      <w:r w:rsidRPr="003022C4">
        <w:rPr>
          <w:rFonts w:cs="Times New Roman"/>
          <w:noProof/>
          <w:lang w:val="fr-CA"/>
        </w:rPr>
        <w:t xml:space="preserve">Il n’incombe pas au procureur général d’établir que le régime législatif dans son ensemble constitue une limite raisonnable au </w:t>
      </w:r>
      <w:r>
        <w:rPr>
          <w:rFonts w:cs="Times New Roman"/>
          <w:noProof/>
          <w:lang w:val="fr-CA"/>
        </w:rPr>
        <w:t>par. </w:t>
      </w:r>
      <w:r w:rsidRPr="003022C4">
        <w:rPr>
          <w:rFonts w:cs="Times New Roman"/>
          <w:noProof/>
          <w:lang w:val="fr-CA"/>
        </w:rPr>
        <w:t xml:space="preserve">15(1) dont la justification peut se démontrer dans une société libre et démocratique, mais plutôt de justifier la </w:t>
      </w:r>
      <w:r w:rsidRPr="003022C4">
        <w:rPr>
          <w:rFonts w:cs="Times New Roman"/>
          <w:i/>
          <w:noProof/>
          <w:lang w:val="fr-CA"/>
        </w:rPr>
        <w:t>mesure attentatoire elle</w:t>
      </w:r>
      <w:r>
        <w:rPr>
          <w:rFonts w:cs="Times New Roman"/>
          <w:i/>
          <w:noProof/>
          <w:lang w:val="fr-CA"/>
        </w:rPr>
        <w:noBreakHyphen/>
      </w:r>
      <w:r w:rsidRPr="003022C4">
        <w:rPr>
          <w:rFonts w:cs="Times New Roman"/>
          <w:i/>
          <w:noProof/>
          <w:lang w:val="fr-CA"/>
        </w:rPr>
        <w:t>même</w:t>
      </w:r>
      <w:r w:rsidRPr="003022C4">
        <w:rPr>
          <w:rFonts w:cs="Times New Roman"/>
          <w:noProof/>
          <w:lang w:val="fr-CA"/>
        </w:rPr>
        <w:t>. Comme l’a souligné notre Cour, « c’est cette dernière et rien d’autre que l’on cherche à justifier » (</w:t>
      </w:r>
      <w:r w:rsidRPr="003022C4">
        <w:rPr>
          <w:rFonts w:cs="Times New Roman"/>
          <w:i/>
          <w:iCs/>
          <w:noProof/>
          <w:lang w:val="fr-CA"/>
        </w:rPr>
        <w:t>RJR</w:t>
      </w:r>
      <w:r>
        <w:rPr>
          <w:rFonts w:cs="Times New Roman"/>
          <w:i/>
          <w:iCs/>
          <w:noProof/>
          <w:lang w:val="fr-CA"/>
        </w:rPr>
        <w:noBreakHyphen/>
      </w:r>
      <w:r w:rsidRPr="003022C4">
        <w:rPr>
          <w:rFonts w:cs="Times New Roman"/>
          <w:i/>
          <w:iCs/>
          <w:noProof/>
          <w:lang w:val="fr-CA"/>
        </w:rPr>
        <w:t>MacDonald Inc. c. Canada (Procureur général)</w:t>
      </w:r>
      <w:r w:rsidRPr="003022C4">
        <w:rPr>
          <w:rFonts w:cs="Times New Roman"/>
          <w:noProof/>
          <w:lang w:val="fr-CA"/>
        </w:rPr>
        <w:t xml:space="preserve">, [1995] 3 R.C.S. 199, </w:t>
      </w:r>
      <w:r>
        <w:rPr>
          <w:rFonts w:cs="Times New Roman"/>
          <w:noProof/>
          <w:lang w:val="fr-CA"/>
        </w:rPr>
        <w:t>par. </w:t>
      </w:r>
      <w:r w:rsidRPr="003022C4">
        <w:rPr>
          <w:rFonts w:cs="Times New Roman"/>
          <w:noProof/>
          <w:lang w:val="fr-CA"/>
        </w:rPr>
        <w:t>144; </w:t>
      </w:r>
      <w:r w:rsidRPr="003022C4">
        <w:rPr>
          <w:rFonts w:cs="Times New Roman"/>
          <w:i/>
          <w:noProof/>
          <w:lang w:val="fr-CA"/>
        </w:rPr>
        <w:t>Toronto Star Newspapers Ltd. c. Canada</w:t>
      </w:r>
      <w:r w:rsidRPr="003022C4">
        <w:rPr>
          <w:rFonts w:cs="Times New Roman"/>
          <w:noProof/>
          <w:lang w:val="fr-CA"/>
        </w:rPr>
        <w:t xml:space="preserve">, </w:t>
      </w:r>
      <w:r w:rsidR="00352ED5">
        <w:rPr>
          <w:rFonts w:cs="Times New Roman"/>
          <w:noProof/>
          <w:lang w:val="fr-CA"/>
        </w:rPr>
        <w:t>2010 CSC 21, [2010] 1 R.C.S. 721</w:t>
      </w:r>
      <w:r w:rsidRPr="003022C4">
        <w:rPr>
          <w:rFonts w:cs="Times New Roman"/>
          <w:noProof/>
          <w:lang w:val="fr-CA"/>
        </w:rPr>
        <w:t xml:space="preserve">, </w:t>
      </w:r>
      <w:r>
        <w:rPr>
          <w:rFonts w:cs="Times New Roman"/>
          <w:noProof/>
          <w:lang w:val="fr-CA"/>
        </w:rPr>
        <w:t>par. </w:t>
      </w:r>
      <w:r w:rsidRPr="003022C4">
        <w:rPr>
          <w:rFonts w:cs="Times New Roman"/>
          <w:noProof/>
          <w:lang w:val="fr-CA"/>
        </w:rPr>
        <w:t>20). Il convient donc d’axer l’analyse sur l’objectif de la mesure attentatoire; cependant, il peut être nécessaire de situer la mesure attentatoire dans le contexte général du texte législatif pour comprendre le rôle que joue la limitation (</w:t>
      </w:r>
      <w:r w:rsidRPr="003022C4">
        <w:rPr>
          <w:rFonts w:cs="Times New Roman"/>
          <w:i/>
          <w:noProof/>
          <w:lang w:val="fr-CA"/>
        </w:rPr>
        <w:t>Vriend</w:t>
      </w:r>
      <w:r w:rsidRPr="003022C4">
        <w:rPr>
          <w:rFonts w:cs="Times New Roman"/>
          <w:noProof/>
          <w:lang w:val="fr-CA"/>
        </w:rPr>
        <w:t xml:space="preserve">, </w:t>
      </w:r>
      <w:r>
        <w:rPr>
          <w:rFonts w:cs="Times New Roman"/>
          <w:noProof/>
          <w:lang w:val="fr-CA"/>
        </w:rPr>
        <w:t>par. </w:t>
      </w:r>
      <w:r w:rsidRPr="003022C4">
        <w:rPr>
          <w:rFonts w:cs="Times New Roman"/>
          <w:noProof/>
          <w:lang w:val="fr-CA"/>
        </w:rPr>
        <w:t>111).</w:t>
      </w:r>
    </w:p>
    <w:p w14:paraId="6491B81D"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Les parties conviennent que l’objectif de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est de faciliter les enquêtes sur des infractions sexuelles et la prévention de ces infractions. G concède que cet objectif est urgent et réel, et que les limites que la </w:t>
      </w:r>
      <w:r w:rsidRPr="003022C4">
        <w:rPr>
          <w:rFonts w:cs="Times New Roman"/>
          <w:i/>
          <w:noProof/>
          <w:lang w:val="fr-CA"/>
        </w:rPr>
        <w:t xml:space="preserve">Loi </w:t>
      </w:r>
      <w:r w:rsidRPr="003022C4">
        <w:rPr>
          <w:rFonts w:cs="Times New Roman"/>
          <w:noProof/>
          <w:lang w:val="fr-CA"/>
        </w:rPr>
        <w:t xml:space="preserve">impose aux droits garantis par la </w:t>
      </w:r>
      <w:r w:rsidRPr="003022C4">
        <w:rPr>
          <w:rFonts w:cs="Times New Roman"/>
          <w:i/>
          <w:noProof/>
          <w:lang w:val="fr-CA"/>
        </w:rPr>
        <w:t xml:space="preserve">Charte </w:t>
      </w:r>
      <w:r w:rsidRPr="003022C4">
        <w:rPr>
          <w:rFonts w:cs="Times New Roman"/>
          <w:noProof/>
          <w:lang w:val="fr-CA"/>
        </w:rPr>
        <w:t xml:space="preserve">sont rationnellement liées à cet objectif. En effet, il reconnaît qu’obliger toutes les personnes déclarées non responsables criminellement pour cause de troubles mentaux à se conformer à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sans avoir la possibilité d’être dispensées de cette obligation ou d’être retirées du registre à la suite d’une évaluation individuelle est rationnellement lié à l’objectif de la </w:t>
      </w:r>
      <w:r w:rsidRPr="003022C4">
        <w:rPr>
          <w:rFonts w:cs="Times New Roman"/>
          <w:i/>
          <w:noProof/>
          <w:lang w:val="fr-CA"/>
        </w:rPr>
        <w:t>Loi</w:t>
      </w:r>
      <w:r w:rsidRPr="003022C4">
        <w:rPr>
          <w:rFonts w:cs="Times New Roman"/>
          <w:noProof/>
          <w:lang w:val="fr-CA"/>
        </w:rPr>
        <w:t>,</w:t>
      </w:r>
      <w:r w:rsidRPr="003022C4">
        <w:rPr>
          <w:rFonts w:cs="Times New Roman"/>
          <w:i/>
          <w:noProof/>
          <w:lang w:val="fr-CA"/>
        </w:rPr>
        <w:t xml:space="preserve"> </w:t>
      </w:r>
      <w:r w:rsidRPr="003022C4">
        <w:rPr>
          <w:rFonts w:cs="Times New Roman"/>
          <w:noProof/>
          <w:lang w:val="fr-CA"/>
        </w:rPr>
        <w:t xml:space="preserve">qui consiste à faciliter les enquêtes sur des infractions sexuelles et la prévention de ces infractions (motifs de la C.A., </w:t>
      </w:r>
      <w:r>
        <w:rPr>
          <w:rFonts w:cs="Times New Roman"/>
          <w:noProof/>
          <w:lang w:val="fr-CA"/>
        </w:rPr>
        <w:t>par. </w:t>
      </w:r>
      <w:r w:rsidRPr="003022C4">
        <w:rPr>
          <w:rFonts w:cs="Times New Roman"/>
          <w:noProof/>
          <w:lang w:val="fr-CA"/>
        </w:rPr>
        <w:t>141).</w:t>
      </w:r>
    </w:p>
    <w:p w14:paraId="45512D4A" w14:textId="77777777" w:rsidR="00F712C6" w:rsidRPr="003022C4" w:rsidRDefault="00F712C6" w:rsidP="00F712C6">
      <w:pPr>
        <w:pStyle w:val="Title3LevelTitre3Niveau"/>
        <w:rPr>
          <w:rFonts w:cs="Times New Roman"/>
          <w:noProof/>
          <w:lang w:val="fr-CA"/>
        </w:rPr>
      </w:pPr>
      <w:r w:rsidRPr="003022C4">
        <w:rPr>
          <w:rFonts w:cs="Times New Roman"/>
          <w:noProof/>
          <w:lang w:val="fr-CA"/>
        </w:rPr>
        <w:t>Atteinte minimale</w:t>
      </w:r>
    </w:p>
    <w:p w14:paraId="56435A48"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Je suis d’accord avec la Cour d’appel pour dire que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ne porte pas atteinte de façon minimale aux droits garantis par le </w:t>
      </w:r>
      <w:r>
        <w:rPr>
          <w:rFonts w:cs="Times New Roman"/>
          <w:noProof/>
          <w:lang w:val="fr-CA"/>
        </w:rPr>
        <w:t>par. </w:t>
      </w:r>
      <w:r w:rsidRPr="003022C4">
        <w:rPr>
          <w:rFonts w:cs="Times New Roman"/>
          <w:noProof/>
          <w:lang w:val="fr-CA"/>
        </w:rPr>
        <w:t xml:space="preserve">15(1) aux personnes déclarées non responsables criminellement pour cause de troubles mentaux à l’égard d’une infraction sexuelle qui ont obtenu une libération.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elle</w:t>
      </w:r>
      <w:r>
        <w:rPr>
          <w:rFonts w:cs="Times New Roman"/>
          <w:noProof/>
          <w:lang w:val="fr-CA"/>
        </w:rPr>
        <w:noBreakHyphen/>
      </w:r>
      <w:r w:rsidRPr="003022C4">
        <w:rPr>
          <w:rFonts w:cs="Times New Roman"/>
          <w:noProof/>
          <w:lang w:val="fr-CA"/>
        </w:rPr>
        <w:t>même prévoit des mécanismes qui, après une évaluation individuelle de la situation des délinquants, permettent aux délinquants qui n’ont pas reçu de verdict de non</w:t>
      </w:r>
      <w:r>
        <w:rPr>
          <w:rFonts w:cs="Times New Roman"/>
          <w:noProof/>
          <w:lang w:val="fr-CA"/>
        </w:rPr>
        <w:noBreakHyphen/>
      </w:r>
      <w:r w:rsidRPr="003022C4">
        <w:rPr>
          <w:rFonts w:cs="Times New Roman"/>
          <w:noProof/>
          <w:lang w:val="fr-CA"/>
        </w:rPr>
        <w:t xml:space="preserve">responsabilité criminelle pour cause de troubles mentaux d’être retirés du registre (pardon absolu), d’être dispensés de l’obligation de se présenter devant les autorités (pardon absolu et suspension du casier judiciaire), ou d’être dispensés au départ de l’obligation de se présenter devant les autorités (absolution au sens du </w:t>
      </w:r>
      <w:r>
        <w:rPr>
          <w:rFonts w:cs="Times New Roman"/>
          <w:noProof/>
          <w:lang w:val="fr-CA"/>
        </w:rPr>
        <w:t>par. </w:t>
      </w:r>
      <w:r w:rsidRPr="003022C4">
        <w:rPr>
          <w:rFonts w:cs="Times New Roman"/>
          <w:noProof/>
          <w:lang w:val="fr-CA"/>
        </w:rPr>
        <w:t xml:space="preserve">730 du </w:t>
      </w:r>
      <w:r w:rsidRPr="003022C4">
        <w:rPr>
          <w:rFonts w:cs="Times New Roman"/>
          <w:i/>
          <w:noProof/>
          <w:lang w:val="fr-CA"/>
        </w:rPr>
        <w:t>Code criminel</w:t>
      </w:r>
      <w:r w:rsidRPr="003022C4">
        <w:rPr>
          <w:rFonts w:cs="Times New Roman"/>
          <w:noProof/>
          <w:lang w:val="fr-CA"/>
        </w:rPr>
        <w:t xml:space="preserve">). L’inclusion de </w:t>
      </w:r>
      <w:r w:rsidRPr="003022C4">
        <w:rPr>
          <w:rFonts w:cs="Times New Roman"/>
          <w:i/>
          <w:noProof/>
          <w:lang w:val="fr-CA"/>
        </w:rPr>
        <w:t xml:space="preserve">toute </w:t>
      </w:r>
      <w:r w:rsidRPr="003022C4">
        <w:rPr>
          <w:rFonts w:cs="Times New Roman"/>
          <w:noProof/>
          <w:lang w:val="fr-CA"/>
        </w:rPr>
        <w:t xml:space="preserve">méthode permettant aux personnes déclarées non responsables criminellement pour cause de troubles mentaux d’être dispensées des obligations qui leur incombent et d’être retirées du registre à la suite d’une évaluation individuelle porterait moins atteinte aux droits que leur garantit le </w:t>
      </w:r>
      <w:r>
        <w:rPr>
          <w:rFonts w:cs="Times New Roman"/>
          <w:noProof/>
          <w:lang w:val="fr-CA"/>
        </w:rPr>
        <w:t>par. </w:t>
      </w:r>
      <w:r w:rsidRPr="003022C4">
        <w:rPr>
          <w:rFonts w:cs="Times New Roman"/>
          <w:noProof/>
          <w:lang w:val="fr-CA"/>
        </w:rPr>
        <w:t>15(1) et permettrait en fait d’améliorer l’efficacité du registre en restreignant son application aux personnes qui présentent un risque élevé pour la société.</w:t>
      </w:r>
    </w:p>
    <w:p w14:paraId="70EB534C"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Je suis d’avis de rejeter l’argument du procureur général selon lequel les évaluations du risque ne peuvent jamais être certaines et que l’objectif de la </w:t>
      </w:r>
      <w:r w:rsidRPr="003022C4">
        <w:rPr>
          <w:rFonts w:cs="Times New Roman"/>
          <w:i/>
          <w:noProof/>
          <w:lang w:val="fr-CA"/>
        </w:rPr>
        <w:t xml:space="preserve">Loi </w:t>
      </w:r>
      <w:r w:rsidRPr="003022C4">
        <w:rPr>
          <w:rFonts w:cs="Times New Roman"/>
          <w:noProof/>
          <w:lang w:val="fr-CA"/>
        </w:rPr>
        <w:t>ne peut donc être réalisé qu’en imposant à toutes les personnes déclarées non responsables criminellement pour cause de troubles mentaux l’obligation de s’inscrire au registre et d’y être inscrites de façon permanente. Tout d’abord, on pourrait en dire autant de toutes les personnes déclarées coupables d’infractions sexuelles</w:t>
      </w:r>
      <w:r>
        <w:rPr>
          <w:rFonts w:cs="Times New Roman"/>
          <w:noProof/>
          <w:lang w:val="fr-CA"/>
        </w:rPr>
        <w:t> :</w:t>
      </w:r>
      <w:r w:rsidRPr="003022C4">
        <w:rPr>
          <w:rFonts w:cs="Times New Roman"/>
          <w:noProof/>
          <w:lang w:val="fr-CA"/>
        </w:rPr>
        <w:t xml:space="preserve"> les évaluations individuelles qui sont menées lorsqu’une absolution inconditionnelle, un pardon absolu ou une suspension du casier judiciaire est accordé ne peuvent également jamais être certaines. De plus, selon l’exigence de l’atteinte minimale, l’objectif doit être réalisé de façon </w:t>
      </w:r>
      <w:r w:rsidRPr="003022C4">
        <w:rPr>
          <w:rFonts w:cs="Times New Roman"/>
          <w:i/>
          <w:noProof/>
          <w:lang w:val="fr-CA"/>
        </w:rPr>
        <w:t>substantielle</w:t>
      </w:r>
      <w:r w:rsidRPr="003022C4">
        <w:rPr>
          <w:rFonts w:cs="Times New Roman"/>
          <w:noProof/>
          <w:lang w:val="fr-CA"/>
        </w:rPr>
        <w:t xml:space="preserve"> (</w:t>
      </w:r>
      <w:r>
        <w:rPr>
          <w:rFonts w:cs="Times New Roman"/>
          <w:i/>
          <w:noProof/>
          <w:lang w:val="fr-CA"/>
        </w:rPr>
        <w:t xml:space="preserve">Hutterian </w:t>
      </w:r>
      <w:r w:rsidRPr="003022C4">
        <w:rPr>
          <w:rFonts w:cs="Times New Roman"/>
          <w:i/>
          <w:noProof/>
          <w:lang w:val="fr-CA"/>
        </w:rPr>
        <w:t>Brethren</w:t>
      </w:r>
      <w:r w:rsidRPr="003022C4">
        <w:rPr>
          <w:rFonts w:cs="Times New Roman"/>
          <w:noProof/>
          <w:lang w:val="fr-CA"/>
        </w:rPr>
        <w:t xml:space="preserve">, </w:t>
      </w:r>
      <w:r>
        <w:rPr>
          <w:rFonts w:cs="Times New Roman"/>
          <w:noProof/>
          <w:lang w:val="fr-CA"/>
        </w:rPr>
        <w:t>par. </w:t>
      </w:r>
      <w:r w:rsidRPr="003022C4">
        <w:rPr>
          <w:rFonts w:cs="Times New Roman"/>
          <w:noProof/>
          <w:lang w:val="fr-CA"/>
        </w:rPr>
        <w:t>53</w:t>
      </w:r>
      <w:r>
        <w:rPr>
          <w:rFonts w:cs="Times New Roman"/>
          <w:noProof/>
          <w:lang w:val="fr-CA"/>
        </w:rPr>
        <w:noBreakHyphen/>
      </w:r>
      <w:r w:rsidRPr="003022C4">
        <w:rPr>
          <w:rFonts w:cs="Times New Roman"/>
          <w:noProof/>
          <w:lang w:val="fr-CA"/>
        </w:rPr>
        <w:t xml:space="preserve">55). Les évaluations individuelles n’ont pas besoin de prédire le risque avec une exactitude parfaite — la certitude ne saurait servir de norme. Rien ne prouve que le fait d’offrir aux personnes déclarées non responsables criminellement pour cause de troubles mentaux la possibilité d’être dispensées des obligations qui leur incombent ou d’être retirées du registre à la suite d’une évaluation individuelle de leur situation réduirait considérablement l’utilité du registre pour les forces de l’ordre. En effet, comme l’a fait remarquer le juge Doherty, </w:t>
      </w:r>
      <w:r w:rsidRPr="003022C4">
        <w:rPr>
          <w:rFonts w:cs="Times New Roman"/>
          <w:smallCaps/>
          <w:noProof/>
          <w:lang w:val="fr-CA"/>
        </w:rPr>
        <w:t xml:space="preserve">[traduction] </w:t>
      </w:r>
      <w:r w:rsidRPr="003022C4">
        <w:rPr>
          <w:rFonts w:cs="Times New Roman"/>
          <w:noProof/>
          <w:lang w:val="fr-CA"/>
        </w:rPr>
        <w:t xml:space="preserve">« rien ne prouve que même si l’objectif de la loi est conforme aux exceptions et aux dispenses qui s’appliquent aux personnes déclarées coupables, il est en quelque sorte compromis par les exceptions et les dispenses comparables qui s’appliquent aux personnes déclarées non responsables criminellement pour cause de troubles mentaux » (motifs de la C.A., </w:t>
      </w:r>
      <w:r>
        <w:rPr>
          <w:rFonts w:cs="Times New Roman"/>
          <w:noProof/>
          <w:lang w:val="fr-CA"/>
        </w:rPr>
        <w:t>par. </w:t>
      </w:r>
      <w:r w:rsidRPr="003022C4">
        <w:rPr>
          <w:rFonts w:cs="Times New Roman"/>
          <w:noProof/>
          <w:lang w:val="fr-CA"/>
        </w:rPr>
        <w:t>145).</w:t>
      </w:r>
    </w:p>
    <w:p w14:paraId="0EE76DF8"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Par conséquent, je conclus que le procureur général ne s’est pas acquitté du fardeau que lui impose l’article premier de démontrer que la mesure attentatoire ne porte pas atteinte de façon minimale au droit et qu’il n’a donc pas justifié la violation du </w:t>
      </w:r>
      <w:r>
        <w:rPr>
          <w:rFonts w:cs="Times New Roman"/>
          <w:noProof/>
          <w:lang w:val="fr-CA"/>
        </w:rPr>
        <w:t>par. </w:t>
      </w:r>
      <w:r w:rsidRPr="003022C4">
        <w:rPr>
          <w:rFonts w:cs="Times New Roman"/>
          <w:noProof/>
          <w:lang w:val="fr-CA"/>
        </w:rPr>
        <w:t>15(1).</w:t>
      </w:r>
    </w:p>
    <w:p w14:paraId="5F72712C" w14:textId="77777777" w:rsidR="00F712C6" w:rsidRPr="003022C4" w:rsidRDefault="00F712C6" w:rsidP="00F712C6">
      <w:pPr>
        <w:pStyle w:val="Title2LevelTitre2Niveau"/>
        <w:rPr>
          <w:rFonts w:cs="Times New Roman"/>
          <w:noProof/>
          <w:lang w:val="fr-CA"/>
        </w:rPr>
      </w:pPr>
      <w:r w:rsidRPr="003022C4">
        <w:rPr>
          <w:rFonts w:cs="Times New Roman"/>
          <w:noProof/>
          <w:lang w:val="fr-CA"/>
        </w:rPr>
        <w:t>La Loi Christopher porte</w:t>
      </w:r>
      <w:r>
        <w:rPr>
          <w:rFonts w:cs="Times New Roman"/>
          <w:noProof/>
          <w:lang w:val="fr-CA"/>
        </w:rPr>
        <w:noBreakHyphen/>
      </w:r>
      <w:r w:rsidRPr="003022C4">
        <w:rPr>
          <w:rFonts w:cs="Times New Roman"/>
          <w:noProof/>
          <w:lang w:val="fr-CA"/>
        </w:rPr>
        <w:t>t</w:t>
      </w:r>
      <w:r>
        <w:rPr>
          <w:rFonts w:cs="Times New Roman"/>
          <w:noProof/>
          <w:lang w:val="fr-CA"/>
        </w:rPr>
        <w:noBreakHyphen/>
      </w:r>
      <w:r w:rsidRPr="003022C4">
        <w:rPr>
          <w:rFonts w:cs="Times New Roman"/>
          <w:noProof/>
          <w:lang w:val="fr-CA"/>
        </w:rPr>
        <w:t>elle atteinte au droit à la vie, à la liberté et à la sécurité de la personne?</w:t>
      </w:r>
    </w:p>
    <w:p w14:paraId="446C9A06"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Comme j’ai conclu que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 xml:space="preserve">viole le </w:t>
      </w:r>
      <w:r>
        <w:rPr>
          <w:rFonts w:cs="Times New Roman"/>
          <w:noProof/>
          <w:lang w:val="fr-CA"/>
        </w:rPr>
        <w:t>par. </w:t>
      </w:r>
      <w:r w:rsidRPr="003022C4">
        <w:rPr>
          <w:rFonts w:cs="Times New Roman"/>
          <w:noProof/>
          <w:lang w:val="fr-CA"/>
        </w:rPr>
        <w:t>15(1) du fait qu’elle s’applique aux personnes déclarées non responsables criminellement pour cause de troubles mentaux et que la réclamation de G concernant l’</w:t>
      </w:r>
      <w:r>
        <w:rPr>
          <w:rFonts w:cs="Times New Roman"/>
          <w:noProof/>
          <w:lang w:val="fr-CA"/>
        </w:rPr>
        <w:t>art. </w:t>
      </w:r>
      <w:r w:rsidRPr="003022C4">
        <w:rPr>
          <w:rFonts w:cs="Times New Roman"/>
          <w:noProof/>
          <w:lang w:val="fr-CA"/>
        </w:rPr>
        <w:t xml:space="preserve">7 ne vaut que pour ces personnes, point n’est besoin d’examiner la question de savoir si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viole également l’</w:t>
      </w:r>
      <w:r>
        <w:rPr>
          <w:rFonts w:cs="Times New Roman"/>
          <w:noProof/>
          <w:lang w:val="fr-CA"/>
        </w:rPr>
        <w:t>art. </w:t>
      </w:r>
      <w:r w:rsidRPr="003022C4">
        <w:rPr>
          <w:rFonts w:cs="Times New Roman"/>
          <w:noProof/>
          <w:lang w:val="fr-CA"/>
        </w:rPr>
        <w:t xml:space="preserve">7. Comme je vais l’expliquer, étant donné que les droits à la vie privée et à la liberté des personnes déclarées non responsables criminellement pour cause de troubles mentaux sont précisément ceux qui sont touchés de façon inégale par la </w:t>
      </w:r>
      <w:r w:rsidRPr="003022C4">
        <w:rPr>
          <w:rFonts w:cs="Times New Roman"/>
          <w:i/>
          <w:iCs/>
          <w:noProof/>
          <w:lang w:val="fr-CA"/>
        </w:rPr>
        <w:t>Loi Christopher</w:t>
      </w:r>
      <w:r w:rsidRPr="003022C4">
        <w:rPr>
          <w:rFonts w:cs="Times New Roman"/>
          <w:noProof/>
          <w:lang w:val="fr-CA"/>
        </w:rPr>
        <w:t xml:space="preserve">, ils guident la réparation à accorder en cas de contravention au </w:t>
      </w:r>
      <w:r>
        <w:rPr>
          <w:rFonts w:cs="Times New Roman"/>
          <w:noProof/>
          <w:lang w:val="fr-CA"/>
        </w:rPr>
        <w:t>par. </w:t>
      </w:r>
      <w:r w:rsidRPr="003022C4">
        <w:rPr>
          <w:rFonts w:cs="Times New Roman"/>
          <w:noProof/>
          <w:lang w:val="fr-CA"/>
        </w:rPr>
        <w:t>15(1). Il n’est donc pas nécessaire de chercher à savoir s’il y a également violation de l’</w:t>
      </w:r>
      <w:r>
        <w:rPr>
          <w:rFonts w:cs="Times New Roman"/>
          <w:noProof/>
          <w:lang w:val="fr-CA"/>
        </w:rPr>
        <w:t>art. </w:t>
      </w:r>
      <w:r w:rsidRPr="003022C4">
        <w:rPr>
          <w:rFonts w:cs="Times New Roman"/>
          <w:noProof/>
          <w:lang w:val="fr-CA"/>
        </w:rPr>
        <w:t>7 pour déterminer la réparation appropriée. Qui plus est, l’analyse de certains des arguments concernant l’</w:t>
      </w:r>
      <w:r>
        <w:rPr>
          <w:rFonts w:cs="Times New Roman"/>
          <w:noProof/>
          <w:lang w:val="fr-CA"/>
        </w:rPr>
        <w:t>art. </w:t>
      </w:r>
      <w:r w:rsidRPr="003022C4">
        <w:rPr>
          <w:rFonts w:cs="Times New Roman"/>
          <w:noProof/>
          <w:lang w:val="fr-CA"/>
        </w:rPr>
        <w:t>7 aurait une incidence sur la question plus générale de la nature des effets qu’a le registre sur tous les délinquants inscrits et la question de savoir si le régime dans son ensemble est conforme à l’</w:t>
      </w:r>
      <w:r>
        <w:rPr>
          <w:rFonts w:cs="Times New Roman"/>
          <w:noProof/>
          <w:lang w:val="fr-CA"/>
        </w:rPr>
        <w:t>art. </w:t>
      </w:r>
      <w:r w:rsidRPr="003022C4">
        <w:rPr>
          <w:rFonts w:cs="Times New Roman"/>
          <w:noProof/>
          <w:lang w:val="fr-CA"/>
        </w:rPr>
        <w:t>7; il est préférable d’attendre une autre occasion pour trancher ces questions.</w:t>
      </w:r>
    </w:p>
    <w:p w14:paraId="155DA762" w14:textId="398CEA36" w:rsidR="00F712C6" w:rsidRPr="003022C4" w:rsidRDefault="00F712C6" w:rsidP="00F712C6">
      <w:pPr>
        <w:pStyle w:val="ParaNoNdepar-AltN"/>
        <w:rPr>
          <w:rFonts w:cs="Times New Roman"/>
          <w:noProof/>
          <w:lang w:val="fr-CA"/>
        </w:rPr>
      </w:pPr>
      <w:r w:rsidRPr="003022C4">
        <w:rPr>
          <w:rFonts w:cs="Times New Roman"/>
          <w:noProof/>
          <w:lang w:val="fr-CA"/>
        </w:rPr>
        <w:t>Néanmoins, il ne faut pas tirer des présents motifs la conclusion que je suis d’accord avec la façon dont la Cour d’appel de l’Ontario a abordé l’</w:t>
      </w:r>
      <w:r>
        <w:rPr>
          <w:rFonts w:cs="Times New Roman"/>
          <w:noProof/>
          <w:lang w:val="fr-CA"/>
        </w:rPr>
        <w:t>art. </w:t>
      </w:r>
      <w:r w:rsidRPr="003022C4">
        <w:rPr>
          <w:rFonts w:cs="Times New Roman"/>
          <w:noProof/>
          <w:lang w:val="fr-CA"/>
        </w:rPr>
        <w:t xml:space="preserve">7 en l’espèce ou dans les arrêts </w:t>
      </w:r>
      <w:r w:rsidR="00352ED5">
        <w:rPr>
          <w:rFonts w:cs="Times New Roman"/>
          <w:i/>
          <w:noProof/>
          <w:lang w:val="fr-CA"/>
        </w:rPr>
        <w:t>Dy</w:t>
      </w:r>
      <w:r w:rsidRPr="003022C4">
        <w:rPr>
          <w:rFonts w:cs="Times New Roman"/>
          <w:i/>
          <w:noProof/>
          <w:lang w:val="fr-CA"/>
        </w:rPr>
        <w:t xml:space="preserve">ck </w:t>
      </w:r>
      <w:r w:rsidRPr="003022C4">
        <w:rPr>
          <w:rFonts w:cs="Times New Roman"/>
          <w:noProof/>
          <w:lang w:val="fr-CA"/>
        </w:rPr>
        <w:t xml:space="preserve">et </w:t>
      </w:r>
      <w:r w:rsidRPr="003022C4">
        <w:rPr>
          <w:rFonts w:cs="Times New Roman"/>
          <w:i/>
          <w:noProof/>
          <w:lang w:val="fr-CA"/>
        </w:rPr>
        <w:t>Long</w:t>
      </w:r>
      <w:r w:rsidRPr="003022C4">
        <w:rPr>
          <w:rFonts w:cs="Times New Roman"/>
          <w:noProof/>
          <w:lang w:val="fr-CA"/>
        </w:rPr>
        <w:t xml:space="preserve">. L’approche adoptée par la Cour d’appel dans ces affaires repose sur la conclusion selon laquelle la </w:t>
      </w:r>
      <w:r w:rsidRPr="003022C4">
        <w:rPr>
          <w:rFonts w:cs="Times New Roman"/>
          <w:i/>
          <w:noProof/>
          <w:lang w:val="fr-CA"/>
        </w:rPr>
        <w:t xml:space="preserve">Loi </w:t>
      </w:r>
      <w:r w:rsidRPr="003022C4">
        <w:rPr>
          <w:rFonts w:cs="Times New Roman"/>
          <w:noProof/>
          <w:lang w:val="fr-CA"/>
        </w:rPr>
        <w:t xml:space="preserve">porte atteinte au droit à la liberté de façon </w:t>
      </w:r>
      <w:r>
        <w:rPr>
          <w:rFonts w:cs="Times New Roman"/>
          <w:smallCaps/>
          <w:noProof/>
          <w:lang w:val="fr-CA"/>
        </w:rPr>
        <w:t xml:space="preserve">[traduction] </w:t>
      </w:r>
      <w:r w:rsidRPr="003022C4">
        <w:rPr>
          <w:rFonts w:cs="Times New Roman"/>
          <w:noProof/>
          <w:lang w:val="fr-CA"/>
        </w:rPr>
        <w:t>« minime », laquelle conclusion a été contestée. Je ne ferai aucune autre observation sur ce point, car le registre fédéral des délinquants sexuels fait actuellement l’objet d’une contestation fondée sur l’</w:t>
      </w:r>
      <w:r>
        <w:rPr>
          <w:rFonts w:cs="Times New Roman"/>
          <w:noProof/>
          <w:lang w:val="fr-CA"/>
        </w:rPr>
        <w:t>art. </w:t>
      </w:r>
      <w:r w:rsidRPr="003022C4">
        <w:rPr>
          <w:rFonts w:cs="Times New Roman"/>
          <w:noProof/>
          <w:lang w:val="fr-CA"/>
        </w:rPr>
        <w:t xml:space="preserve">7 devant les tribunaux (voir </w:t>
      </w:r>
      <w:r w:rsidRPr="003022C4">
        <w:rPr>
          <w:rFonts w:cs="Times New Roman"/>
          <w:i/>
          <w:noProof/>
          <w:lang w:val="fr-CA"/>
        </w:rPr>
        <w:t>R. c. Ndhlovu</w:t>
      </w:r>
      <w:r w:rsidRPr="003022C4">
        <w:rPr>
          <w:rFonts w:cs="Times New Roman"/>
          <w:noProof/>
          <w:lang w:val="fr-CA"/>
        </w:rPr>
        <w:t>, 2020 ABCA 307, inf. 2016 ABQB 595, 44 Alta. L.R. (6th) 382).</w:t>
      </w:r>
    </w:p>
    <w:p w14:paraId="44EB0DDA" w14:textId="77777777" w:rsidR="00F712C6" w:rsidRPr="003022C4" w:rsidRDefault="00F712C6" w:rsidP="00F712C6">
      <w:pPr>
        <w:pStyle w:val="Title2LevelTitre2Niveau"/>
        <w:rPr>
          <w:rFonts w:cs="Times New Roman"/>
          <w:noProof/>
          <w:lang w:val="fr-CA"/>
        </w:rPr>
      </w:pPr>
      <w:r w:rsidRPr="003022C4">
        <w:rPr>
          <w:rFonts w:cs="Times New Roman"/>
          <w:noProof/>
          <w:lang w:val="fr-CA"/>
        </w:rPr>
        <w:t>Quelle est la réparation appropriée?</w:t>
      </w:r>
    </w:p>
    <w:p w14:paraId="087F4754"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La Cour d’appel a déclaré que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est inopérante dans la mesure où elle s’applique aux personnes déclarées non responsables criminellement pour cause de troubles mentaux à l’égard d’une infraction sexuelle qui ont obtenu une libération inconditionnelle d’une commission d’examen provinciale. La Cour d’appel a suspendu pour un an l’effet de cette déclaration, mais elle a exempté G de cette suspension et ordonné que ses renseignements soient immédiatement retirés du registre.</w:t>
      </w:r>
    </w:p>
    <w:p w14:paraId="15E020E8"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Les parties soutiennent que l’effet de toute déclaration d’inopérabilité de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devrait être suspendu, mais elles ne s’entendent pas sur l’opportunité d’exempter immédiatement G de cette suspension. Le procureur général affirme que des exemptions individuelles d’une suspension ne devraient être accordées que dans des cas extrêmes où le demandeur ne pourra pas bénéficier des avantages de la déclaration s’il ne fait pas l’objet d’une exemption. L’intervenant David Asper Centre for Constitutional Rights fait valoir que pour accorder la réparation appropriée en l’espèce, il faudra clarifier la jurisprudence de notre Cour en matière de réparation en revenant aux principes qui sous</w:t>
      </w:r>
      <w:r>
        <w:rPr>
          <w:rFonts w:cs="Times New Roman"/>
          <w:noProof/>
          <w:lang w:val="fr-CA"/>
        </w:rPr>
        <w:noBreakHyphen/>
      </w:r>
      <w:r w:rsidRPr="003022C4">
        <w:rPr>
          <w:rFonts w:cs="Times New Roman"/>
          <w:noProof/>
          <w:lang w:val="fr-CA"/>
        </w:rPr>
        <w:t xml:space="preserve">tendent les réparations qu’elle a octroyées dans le passé. </w:t>
      </w:r>
    </w:p>
    <w:p w14:paraId="525B3162" w14:textId="48D04585" w:rsidR="00F712C6" w:rsidRPr="003022C4" w:rsidRDefault="00F712C6" w:rsidP="00F712C6">
      <w:pPr>
        <w:pStyle w:val="ParaNoNdepar-AltN"/>
        <w:rPr>
          <w:rFonts w:cs="Times New Roman"/>
          <w:noProof/>
          <w:lang w:val="fr-CA"/>
        </w:rPr>
      </w:pPr>
      <w:r w:rsidRPr="003022C4">
        <w:rPr>
          <w:rFonts w:cs="Times New Roman"/>
          <w:noProof/>
          <w:lang w:val="fr-CA"/>
        </w:rPr>
        <w:t xml:space="preserve">Au cours des dernières années, des auteurs de doctrine ont demandé instamment qu’une méthode plus cohérente et transparente, davantage fondée sur des principes, soit utilisée pour déterminer les réparations qu’il convient d’accorder lorsque des textes législatifs sont inconstitutionnels. Plus particulièrement, notre jurisprudence sur les suspensions de déclarations d’invalidité, et l’exemption de certains individus de ces suspensions, a été critiquée parce que notre Cour aurait compromis indûment la protection des droits en n’accordant pas des réparations valables (voir, </w:t>
      </w:r>
      <w:r>
        <w:rPr>
          <w:rFonts w:cs="Times New Roman"/>
          <w:noProof/>
          <w:lang w:val="fr-CA"/>
        </w:rPr>
        <w:t>p. </w:t>
      </w:r>
      <w:r w:rsidRPr="003022C4">
        <w:rPr>
          <w:rFonts w:cs="Times New Roman"/>
          <w:noProof/>
          <w:lang w:val="fr-CA"/>
        </w:rPr>
        <w:t xml:space="preserve">ex., R. Leckey, « The harms of remedial discretion » (2016), 14 </w:t>
      </w:r>
      <w:r w:rsidRPr="003022C4">
        <w:rPr>
          <w:rFonts w:cs="Times New Roman"/>
          <w:i/>
          <w:noProof/>
          <w:lang w:val="fr-CA"/>
        </w:rPr>
        <w:t>I CON </w:t>
      </w:r>
      <w:r w:rsidRPr="003022C4">
        <w:rPr>
          <w:rFonts w:cs="Times New Roman"/>
          <w:noProof/>
          <w:lang w:val="fr-CA"/>
        </w:rPr>
        <w:t xml:space="preserve">584, </w:t>
      </w:r>
      <w:r>
        <w:rPr>
          <w:rFonts w:cs="Times New Roman"/>
          <w:noProof/>
          <w:lang w:val="fr-CA"/>
        </w:rPr>
        <w:t>p. </w:t>
      </w:r>
      <w:r w:rsidRPr="003022C4">
        <w:rPr>
          <w:rFonts w:cs="Times New Roman"/>
          <w:noProof/>
          <w:lang w:val="fr-CA"/>
        </w:rPr>
        <w:t>591</w:t>
      </w:r>
      <w:r>
        <w:rPr>
          <w:rFonts w:cs="Times New Roman"/>
          <w:noProof/>
          <w:lang w:val="fr-CA"/>
        </w:rPr>
        <w:noBreakHyphen/>
      </w:r>
      <w:r w:rsidRPr="003022C4">
        <w:rPr>
          <w:rFonts w:cs="Times New Roman"/>
          <w:noProof/>
          <w:lang w:val="fr-CA"/>
        </w:rPr>
        <w:t xml:space="preserve">593), et aurait diminué la qualité du processus décisionnel en n’expliquant pas le motif de la suspension de façon transparente (voir, </w:t>
      </w:r>
      <w:r>
        <w:rPr>
          <w:rFonts w:cs="Times New Roman"/>
          <w:noProof/>
          <w:lang w:val="fr-CA"/>
        </w:rPr>
        <w:t>p. </w:t>
      </w:r>
      <w:r w:rsidRPr="003022C4">
        <w:rPr>
          <w:rFonts w:cs="Times New Roman"/>
          <w:noProof/>
          <w:lang w:val="fr-CA"/>
        </w:rPr>
        <w:t>ex., G. R. Hoole, « Proportionality as a Remedial Principle</w:t>
      </w:r>
      <w:r w:rsidR="00662FB7">
        <w:rPr>
          <w:rFonts w:cs="Times New Roman"/>
          <w:noProof/>
          <w:lang w:val="fr-CA"/>
        </w:rPr>
        <w:t> </w:t>
      </w:r>
      <w:r w:rsidRPr="003022C4">
        <w:rPr>
          <w:rFonts w:cs="Times New Roman"/>
          <w:noProof/>
          <w:lang w:val="fr-CA"/>
        </w:rPr>
        <w:t>: A Framework for Suspended Declarations of Invalidity in Canadian Constitutional Law » (2011), 49 </w:t>
      </w:r>
      <w:r w:rsidRPr="003022C4">
        <w:rPr>
          <w:rFonts w:cs="Times New Roman"/>
          <w:i/>
          <w:noProof/>
          <w:lang w:val="fr-CA"/>
        </w:rPr>
        <w:t>Alta. L. Rev. </w:t>
      </w:r>
      <w:r w:rsidRPr="003022C4">
        <w:rPr>
          <w:rFonts w:cs="Times New Roman"/>
          <w:noProof/>
          <w:lang w:val="fr-CA"/>
        </w:rPr>
        <w:t xml:space="preserve">107, </w:t>
      </w:r>
      <w:r>
        <w:rPr>
          <w:rFonts w:cs="Times New Roman"/>
          <w:noProof/>
          <w:lang w:val="fr-CA"/>
        </w:rPr>
        <w:t>p. </w:t>
      </w:r>
      <w:r w:rsidRPr="003022C4">
        <w:rPr>
          <w:rFonts w:cs="Times New Roman"/>
          <w:noProof/>
          <w:lang w:val="fr-CA"/>
        </w:rPr>
        <w:t xml:space="preserve">118 et 123). J’accepte l’invitation du Asper Centre de définir une méthode fondée sur des principes pour l’octroi de réparations lorsque des textes législatifs violent la </w:t>
      </w:r>
      <w:r w:rsidRPr="003022C4">
        <w:rPr>
          <w:rFonts w:cs="Times New Roman"/>
          <w:i/>
          <w:noProof/>
          <w:lang w:val="fr-CA"/>
        </w:rPr>
        <w:t>Charte</w:t>
      </w:r>
      <w:r w:rsidRPr="003022C4">
        <w:rPr>
          <w:rFonts w:cs="Times New Roman"/>
          <w:noProof/>
          <w:lang w:val="fr-CA"/>
        </w:rPr>
        <w:t>.</w:t>
      </w:r>
    </w:p>
    <w:p w14:paraId="0F8252EC"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Comme je vais l’expliquer, l’arrêt de principe de notre Cour sur les réparations à accorder lorsque des lois violent la </w:t>
      </w:r>
      <w:r w:rsidRPr="003022C4">
        <w:rPr>
          <w:rFonts w:cs="Times New Roman"/>
          <w:i/>
          <w:noProof/>
          <w:lang w:val="fr-CA"/>
        </w:rPr>
        <w:t>Charte</w:t>
      </w:r>
      <w:r w:rsidRPr="003022C4">
        <w:rPr>
          <w:rFonts w:cs="Times New Roman"/>
          <w:noProof/>
          <w:lang w:val="fr-CA"/>
        </w:rPr>
        <w:t xml:space="preserve">, l’arrêt </w:t>
      </w:r>
      <w:r w:rsidRPr="003022C4">
        <w:rPr>
          <w:rFonts w:cs="Times New Roman"/>
          <w:i/>
          <w:noProof/>
          <w:lang w:val="fr-CA"/>
        </w:rPr>
        <w:t>Schachter c. Canada</w:t>
      </w:r>
      <w:r w:rsidRPr="003022C4">
        <w:rPr>
          <w:rFonts w:cs="Times New Roman"/>
          <w:noProof/>
          <w:lang w:val="fr-CA"/>
        </w:rPr>
        <w:t xml:space="preserve">, [1992] 2 R.C.S 679, inspire depuis près de trois décennies l’approche que suivent les tribunaux pour concevoir une réparation adaptée et efficace lorsque des textes législatifs sont inconstitutionnels. Toutefois, à certains égards, la jurisprudence de notre Cour sur les réparations </w:t>
      </w:r>
      <w:r>
        <w:rPr>
          <w:rFonts w:cs="Times New Roman"/>
          <w:noProof/>
          <w:lang w:val="fr-CA"/>
        </w:rPr>
        <w:t xml:space="preserve">a dépassé l’arrêt </w:t>
      </w:r>
      <w:r w:rsidRPr="003022C4">
        <w:rPr>
          <w:rFonts w:cs="Times New Roman"/>
          <w:i/>
          <w:noProof/>
          <w:lang w:val="fr-CA"/>
        </w:rPr>
        <w:t>Schachter</w:t>
      </w:r>
      <w:r w:rsidRPr="003022C4">
        <w:rPr>
          <w:rFonts w:cs="Times New Roman"/>
          <w:noProof/>
          <w:lang w:val="fr-CA"/>
        </w:rPr>
        <w:t>. En s’inspirant de l’arrêt</w:t>
      </w:r>
      <w:r>
        <w:rPr>
          <w:rFonts w:cs="Times New Roman"/>
          <w:noProof/>
          <w:lang w:val="fr-CA"/>
        </w:rPr>
        <w:t xml:space="preserve"> </w:t>
      </w:r>
      <w:r w:rsidRPr="003022C4">
        <w:rPr>
          <w:rFonts w:cs="Times New Roman"/>
          <w:i/>
          <w:noProof/>
          <w:lang w:val="fr-CA"/>
        </w:rPr>
        <w:t xml:space="preserve">Schachter </w:t>
      </w:r>
      <w:r w:rsidRPr="003022C4">
        <w:rPr>
          <w:rFonts w:cs="Times New Roman"/>
          <w:noProof/>
          <w:lang w:val="fr-CA"/>
        </w:rPr>
        <w:t xml:space="preserve">et en l’employant pour définir le type et la portée des déclarations d’invalidité, </w:t>
      </w:r>
      <w:r>
        <w:rPr>
          <w:rFonts w:cs="Times New Roman"/>
          <w:noProof/>
          <w:lang w:val="fr-CA"/>
        </w:rPr>
        <w:t xml:space="preserve">ainsi que pour </w:t>
      </w:r>
      <w:r w:rsidRPr="003022C4">
        <w:rPr>
          <w:rFonts w:cs="Times New Roman"/>
          <w:noProof/>
          <w:lang w:val="fr-CA"/>
        </w:rPr>
        <w:t>suspendre l’effet de ces déclarations et exempter des personnes de ces suspensions, notre Cour a intégré un groupe de principes fondamentaux en matière de réparation dans la méthode qu’elle utilise pour accorder des réparations. La reconnaissance de ces principes et la définition explicite des méthodes servant à établir un juste équilibre entre ces principes favoriseront une plus grande cohérence et une plus grande transparence dans les décisions en matière de réparation.</w:t>
      </w:r>
    </w:p>
    <w:p w14:paraId="15B3E4CE"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Pour les motifs que je vais exposer, je conclus que l’effet de déclarations d’invalidité devrait être suspendu en de rares cas, seulement lorsque le risque que représente une déclaration avec effet immédiat sur un intérêt public identifiable, fondé sur la Constitution, l’emporte sur les conséquences néfastes de la suspension de l’effet de cette déclaration. Qui plus est, lorsque l’effet de déclarations est suspendu, l’octroi d’exemptions individuelles conformément au </w:t>
      </w:r>
      <w:r>
        <w:rPr>
          <w:rFonts w:cs="Times New Roman"/>
          <w:noProof/>
          <w:lang w:val="fr-CA"/>
        </w:rPr>
        <w:t>par. </w:t>
      </w:r>
      <w:r w:rsidRPr="003022C4">
        <w:rPr>
          <w:rFonts w:cs="Times New Roman"/>
          <w:noProof/>
          <w:lang w:val="fr-CA"/>
        </w:rPr>
        <w:t xml:space="preserve">24(1) de la </w:t>
      </w:r>
      <w:r w:rsidRPr="003022C4">
        <w:rPr>
          <w:rFonts w:cs="Times New Roman"/>
          <w:i/>
          <w:noProof/>
          <w:lang w:val="fr-CA"/>
        </w:rPr>
        <w:t xml:space="preserve">Charte </w:t>
      </w:r>
      <w:r w:rsidRPr="003022C4">
        <w:rPr>
          <w:rFonts w:cs="Times New Roman"/>
          <w:noProof/>
          <w:lang w:val="fr-CA"/>
        </w:rPr>
        <w:t>permettra souvent de mettre en balance les intérêts du plaideur, du public en général et du législateur d’une manière qui est « convenable et juste ».</w:t>
      </w:r>
    </w:p>
    <w:p w14:paraId="315D67BD" w14:textId="77777777" w:rsidR="00F712C6" w:rsidRPr="003022C4" w:rsidRDefault="00F712C6" w:rsidP="00F712C6">
      <w:pPr>
        <w:pStyle w:val="Title3LevelTitre3Niveau"/>
        <w:rPr>
          <w:rFonts w:cs="Times New Roman"/>
          <w:noProof/>
          <w:lang w:val="fr-CA"/>
        </w:rPr>
      </w:pPr>
      <w:r w:rsidRPr="003022C4">
        <w:rPr>
          <w:rFonts w:cs="Times New Roman"/>
          <w:noProof/>
          <w:lang w:val="fr-CA"/>
        </w:rPr>
        <w:t>Pouvoir discrétionnaire de réparation fondé sur des principes</w:t>
      </w:r>
    </w:p>
    <w:p w14:paraId="67617A46"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Le paragraphe 52(1) de la </w:t>
      </w:r>
      <w:r>
        <w:rPr>
          <w:rFonts w:cs="Times New Roman"/>
          <w:i/>
          <w:noProof/>
          <w:lang w:val="fr-CA"/>
        </w:rPr>
        <w:t xml:space="preserve">Loi constitutionnelle de </w:t>
      </w:r>
      <w:r w:rsidRPr="003022C4">
        <w:rPr>
          <w:rFonts w:cs="Times New Roman"/>
          <w:i/>
          <w:noProof/>
          <w:lang w:val="fr-CA"/>
        </w:rPr>
        <w:t xml:space="preserve">1982 </w:t>
      </w:r>
      <w:r w:rsidRPr="003022C4">
        <w:rPr>
          <w:rFonts w:cs="Times New Roman"/>
          <w:noProof/>
          <w:lang w:val="fr-CA"/>
        </w:rPr>
        <w:t>est ainsi rédigé</w:t>
      </w:r>
      <w:r>
        <w:rPr>
          <w:rFonts w:cs="Times New Roman"/>
          <w:noProof/>
          <w:lang w:val="fr-CA"/>
        </w:rPr>
        <w:t> :</w:t>
      </w:r>
    </w:p>
    <w:p w14:paraId="219CCD9C" w14:textId="77777777" w:rsidR="00F712C6" w:rsidRPr="003022C4" w:rsidRDefault="00F712C6" w:rsidP="00F712C6">
      <w:pPr>
        <w:pStyle w:val="Citation-AltC"/>
        <w:ind w:hanging="1166"/>
        <w:rPr>
          <w:noProof/>
          <w:lang w:val="fr-CA"/>
        </w:rPr>
      </w:pPr>
      <w:r w:rsidRPr="003022C4">
        <w:rPr>
          <w:b/>
          <w:noProof/>
          <w:lang w:val="fr-CA"/>
        </w:rPr>
        <w:tab/>
        <w:t>52.</w:t>
      </w:r>
      <w:r w:rsidRPr="003022C4">
        <w:rPr>
          <w:noProof/>
          <w:lang w:val="fr-CA"/>
        </w:rPr>
        <w:t> (1) La Constitution du Canada est la loi suprême du Canada; elle rend inopérantes les dispositions incompatibles de toute autre règle de droit.</w:t>
      </w:r>
    </w:p>
    <w:p w14:paraId="1788AF05" w14:textId="2490C904" w:rsidR="00F712C6" w:rsidRPr="003022C4" w:rsidRDefault="00F712C6" w:rsidP="00F712C6">
      <w:pPr>
        <w:pStyle w:val="ParaNoNdepar-AltN"/>
        <w:rPr>
          <w:rFonts w:cs="Times New Roman"/>
          <w:noProof/>
          <w:lang w:val="fr-CA"/>
        </w:rPr>
      </w:pPr>
      <w:r w:rsidRPr="003022C4">
        <w:rPr>
          <w:rFonts w:cs="Times New Roman"/>
          <w:noProof/>
          <w:lang w:val="fr-CA"/>
        </w:rPr>
        <w:t xml:space="preserve">Selon les termes absolus édictés au </w:t>
      </w:r>
      <w:r>
        <w:rPr>
          <w:rFonts w:cs="Times New Roman"/>
          <w:noProof/>
          <w:lang w:val="fr-CA"/>
        </w:rPr>
        <w:t>par. </w:t>
      </w:r>
      <w:r w:rsidRPr="003022C4">
        <w:rPr>
          <w:rFonts w:cs="Times New Roman"/>
          <w:noProof/>
          <w:lang w:val="fr-CA"/>
        </w:rPr>
        <w:t xml:space="preserve">52(1) de la </w:t>
      </w:r>
      <w:r>
        <w:rPr>
          <w:rFonts w:cs="Times New Roman"/>
          <w:i/>
          <w:noProof/>
          <w:lang w:val="fr-CA"/>
        </w:rPr>
        <w:t xml:space="preserve">Loi constitutionnelle de </w:t>
      </w:r>
      <w:r w:rsidRPr="003022C4">
        <w:rPr>
          <w:rFonts w:cs="Times New Roman"/>
          <w:i/>
          <w:noProof/>
          <w:lang w:val="fr-CA"/>
        </w:rPr>
        <w:t>1982</w:t>
      </w:r>
      <w:r w:rsidRPr="003022C4">
        <w:rPr>
          <w:rFonts w:cs="Times New Roman"/>
          <w:noProof/>
          <w:lang w:val="fr-CA"/>
        </w:rPr>
        <w:t xml:space="preserve">, la Constitution rend inopérantes les dispositions incompatibles de toute autre règle de droit. Bien que le résultat juridique qui découle de l’incompatibilité entre des dispositions législatives et la Constitution soit énoncé au </w:t>
      </w:r>
      <w:r>
        <w:rPr>
          <w:rFonts w:cs="Times New Roman"/>
          <w:noProof/>
          <w:lang w:val="fr-CA"/>
        </w:rPr>
        <w:t>par. </w:t>
      </w:r>
      <w:r w:rsidRPr="003022C4">
        <w:rPr>
          <w:rFonts w:cs="Times New Roman"/>
          <w:noProof/>
          <w:lang w:val="fr-CA"/>
        </w:rPr>
        <w:t>52(1), cette disposition n’accorde pas explicitement aux tribunaux une compétence en matière de réparation</w:t>
      </w:r>
      <w:r w:rsidR="00662FB7">
        <w:rPr>
          <w:rStyle w:val="FootnoteReference"/>
          <w:rFonts w:cs="Times New Roman"/>
          <w:noProof/>
          <w:lang w:val="fr-CA"/>
        </w:rPr>
        <w:footnoteReference w:id="2"/>
      </w:r>
      <w:r w:rsidRPr="003022C4">
        <w:rPr>
          <w:rFonts w:cs="Times New Roman"/>
          <w:noProof/>
          <w:lang w:val="fr-CA"/>
        </w:rPr>
        <w:t xml:space="preserve">. Les tribunaux ont plutôt le pouvoir de prononcer une déclaration générale conformément à la compétence légale ou inhérente dont ils sont investis pour donner aux termes généraux du </w:t>
      </w:r>
      <w:r>
        <w:rPr>
          <w:rFonts w:cs="Times New Roman"/>
          <w:noProof/>
          <w:lang w:val="fr-CA"/>
        </w:rPr>
        <w:t>par. </w:t>
      </w:r>
      <w:r w:rsidRPr="003022C4">
        <w:rPr>
          <w:rFonts w:cs="Times New Roman"/>
          <w:noProof/>
          <w:lang w:val="fr-CA"/>
        </w:rPr>
        <w:t>52(1) leur plein effet.</w:t>
      </w:r>
    </w:p>
    <w:p w14:paraId="71AF0205" w14:textId="77777777" w:rsidR="00F712C6" w:rsidRPr="003022C4" w:rsidRDefault="00F712C6" w:rsidP="00F712C6">
      <w:pPr>
        <w:pStyle w:val="ParaNoNdepar-AltN"/>
        <w:rPr>
          <w:rFonts w:cs="Times New Roman"/>
          <w:noProof/>
          <w:lang w:val="fr-CA"/>
        </w:rPr>
      </w:pPr>
      <w:r w:rsidRPr="003022C4">
        <w:rPr>
          <w:rFonts w:cs="Times New Roman"/>
          <w:noProof/>
          <w:lang w:val="fr-CA"/>
        </w:rPr>
        <w:t>Par « rend inopérantes les dispositions incompatibles de toute autre règle de droit », on veut dire que le tribunal qui est appelé à statuer sur la contestation constitutionnelle d’une loi doit déterminer dans quelle mesure la loi contestée est inconstitutionnelle et la déclarer telle. Notre jurisprudence nous enseigne qu’un degré de discrétion est inévitable pour décider comment répondre à l’incompatibilité entre des dispositions législatives et la Constitution.</w:t>
      </w:r>
    </w:p>
    <w:p w14:paraId="61ED644A" w14:textId="77777777" w:rsidR="00F712C6" w:rsidRPr="003022C4" w:rsidRDefault="00F712C6" w:rsidP="00F712C6">
      <w:pPr>
        <w:pStyle w:val="ParaNoNdepar-AltN"/>
        <w:rPr>
          <w:rFonts w:cs="Times New Roman"/>
          <w:noProof/>
          <w:lang w:val="fr-CA"/>
        </w:rPr>
      </w:pPr>
      <w:r w:rsidRPr="003022C4">
        <w:rPr>
          <w:rFonts w:cs="Times New Roman"/>
          <w:noProof/>
          <w:lang w:val="fr-CA"/>
        </w:rPr>
        <w:t>Il existe d’ailleurs une théorie qui concorde avec la théorie déclaratoire du droit de Blackstone selon laquelle « les juges ne créent pas le droit mais ne font que le découvrir » (</w:t>
      </w:r>
      <w:r>
        <w:rPr>
          <w:rFonts w:cs="Times New Roman"/>
          <w:i/>
          <w:noProof/>
          <w:lang w:val="fr-CA"/>
        </w:rPr>
        <w:t xml:space="preserve">Canada (Procureur général) </w:t>
      </w:r>
      <w:r w:rsidRPr="003022C4">
        <w:rPr>
          <w:rFonts w:cs="Times New Roman"/>
          <w:i/>
          <w:noProof/>
          <w:lang w:val="fr-CA"/>
        </w:rPr>
        <w:t>c. Hislop</w:t>
      </w:r>
      <w:r w:rsidRPr="003022C4">
        <w:rPr>
          <w:rFonts w:cs="Times New Roman"/>
          <w:noProof/>
          <w:lang w:val="fr-CA"/>
        </w:rPr>
        <w:t xml:space="preserve">, 2007 CSC 10, [2007] 1 R.C.S. 429, </w:t>
      </w:r>
      <w:r>
        <w:rPr>
          <w:rFonts w:cs="Times New Roman"/>
          <w:noProof/>
          <w:lang w:val="fr-CA"/>
        </w:rPr>
        <w:t>par. </w:t>
      </w:r>
      <w:r w:rsidRPr="003022C4">
        <w:rPr>
          <w:rFonts w:cs="Times New Roman"/>
          <w:noProof/>
          <w:lang w:val="fr-CA"/>
        </w:rPr>
        <w:t xml:space="preserve">79). Selon cette conception, lorsqu’une loi est inconstitutionnelle, les tribunaux et les autres décideurs ne jouissent d’aucun pouvoir discrétionnaire de réparation — le </w:t>
      </w:r>
      <w:r>
        <w:rPr>
          <w:rFonts w:cs="Times New Roman"/>
          <w:noProof/>
          <w:lang w:val="fr-CA"/>
        </w:rPr>
        <w:t>par. </w:t>
      </w:r>
      <w:r w:rsidRPr="003022C4">
        <w:rPr>
          <w:rFonts w:cs="Times New Roman"/>
          <w:noProof/>
          <w:lang w:val="fr-CA"/>
        </w:rPr>
        <w:t xml:space="preserve">52(1) rend inconstitutionnelles les lois inopérantes dès leur adoption (voir, </w:t>
      </w:r>
      <w:r>
        <w:rPr>
          <w:rFonts w:cs="Times New Roman"/>
          <w:noProof/>
          <w:lang w:val="fr-CA"/>
        </w:rPr>
        <w:t>p. </w:t>
      </w:r>
      <w:r w:rsidRPr="003022C4">
        <w:rPr>
          <w:rFonts w:cs="Times New Roman"/>
          <w:noProof/>
          <w:lang w:val="fr-CA"/>
        </w:rPr>
        <w:t xml:space="preserve">ex., </w:t>
      </w:r>
      <w:r w:rsidRPr="003022C4">
        <w:rPr>
          <w:rFonts w:cs="Times New Roman"/>
          <w:i/>
          <w:noProof/>
          <w:lang w:val="fr-CA"/>
        </w:rPr>
        <w:t>Nouvelle</w:t>
      </w:r>
      <w:r>
        <w:rPr>
          <w:rFonts w:cs="Times New Roman"/>
          <w:i/>
          <w:noProof/>
          <w:lang w:val="fr-CA"/>
        </w:rPr>
        <w:noBreakHyphen/>
      </w:r>
      <w:r w:rsidRPr="003022C4">
        <w:rPr>
          <w:rFonts w:cs="Times New Roman"/>
          <w:i/>
          <w:noProof/>
          <w:lang w:val="fr-CA"/>
        </w:rPr>
        <w:t>Écosse (Workers’ Compensation Board) c. Martin</w:t>
      </w:r>
      <w:r w:rsidRPr="003022C4">
        <w:rPr>
          <w:rFonts w:cs="Times New Roman"/>
          <w:noProof/>
          <w:lang w:val="fr-CA"/>
        </w:rPr>
        <w:t xml:space="preserve">, 2003 CSC 54, [2003] 2 R.C.S. 504, </w:t>
      </w:r>
      <w:r>
        <w:rPr>
          <w:rFonts w:cs="Times New Roman"/>
          <w:noProof/>
          <w:lang w:val="fr-CA"/>
        </w:rPr>
        <w:t>par. </w:t>
      </w:r>
      <w:r w:rsidRPr="003022C4">
        <w:rPr>
          <w:rFonts w:cs="Times New Roman"/>
          <w:noProof/>
          <w:lang w:val="fr-CA"/>
        </w:rPr>
        <w:t>28).</w:t>
      </w:r>
    </w:p>
    <w:p w14:paraId="6B2D4911" w14:textId="66E0118C" w:rsidR="00F712C6" w:rsidRPr="003022C4" w:rsidRDefault="00F712C6" w:rsidP="00F712C6">
      <w:pPr>
        <w:pStyle w:val="ParaNoNdepar-AltN"/>
        <w:rPr>
          <w:rFonts w:cs="Times New Roman"/>
          <w:noProof/>
          <w:lang w:val="fr-CA"/>
        </w:rPr>
      </w:pPr>
      <w:r w:rsidRPr="003022C4">
        <w:rPr>
          <w:rFonts w:cs="Times New Roman"/>
          <w:noProof/>
          <w:lang w:val="fr-CA"/>
        </w:rPr>
        <w:t xml:space="preserve">Toutefois, même si le </w:t>
      </w:r>
      <w:r>
        <w:rPr>
          <w:rFonts w:cs="Times New Roman"/>
          <w:noProof/>
          <w:lang w:val="fr-CA"/>
        </w:rPr>
        <w:t>par. </w:t>
      </w:r>
      <w:r w:rsidRPr="003022C4">
        <w:rPr>
          <w:rFonts w:cs="Times New Roman"/>
          <w:noProof/>
          <w:lang w:val="fr-CA"/>
        </w:rPr>
        <w:t xml:space="preserve">52(1) est le fondement réel du pouvoir que possèdent les tribunaux de prononcer une déclaration d’invalidité constitutionnelle, le public et l’État sont souvent en désaccord quant à la question de savoir si une loi particulière est inconstitutionnelle et, le cas échéant, dans quelle mesure. L’ordre juridique canadien, qui est fondé sur les principes connexes de la suprématie de la Constitution et la primauté du droit, exige qu’une institution ait le pouvoir de se prononcer de façon définitive sur la constitutionnalité d’une loi; le </w:t>
      </w:r>
      <w:r>
        <w:rPr>
          <w:rFonts w:cs="Times New Roman"/>
          <w:noProof/>
          <w:lang w:val="fr-CA"/>
        </w:rPr>
        <w:t>par. </w:t>
      </w:r>
      <w:r w:rsidR="002D69E5">
        <w:rPr>
          <w:rFonts w:cs="Times New Roman"/>
          <w:noProof/>
          <w:lang w:val="fr-CA"/>
        </w:rPr>
        <w:t>52(1) confirme « l</w:t>
      </w:r>
      <w:r w:rsidRPr="003022C4">
        <w:rPr>
          <w:rFonts w:cs="Times New Roman"/>
          <w:noProof/>
          <w:lang w:val="fr-CA"/>
        </w:rPr>
        <w:t>’existence d’un arbitre judiciaire impartial [. . .] dont les décisions font autorité » sur le caractère inopérant de la loi en cause (</w:t>
      </w:r>
      <w:r w:rsidRPr="003022C4">
        <w:rPr>
          <w:rFonts w:cs="Times New Roman"/>
          <w:i/>
          <w:noProof/>
          <w:lang w:val="fr-CA"/>
        </w:rPr>
        <w:t>Renvoi relatif à la Loi sur la Cour suprême</w:t>
      </w:r>
      <w:r w:rsidRPr="003022C4">
        <w:rPr>
          <w:rFonts w:cs="Times New Roman"/>
          <w:noProof/>
          <w:lang w:val="fr-CA"/>
        </w:rPr>
        <w:t xml:space="preserve">, </w:t>
      </w:r>
      <w:r>
        <w:rPr>
          <w:rFonts w:cs="Times New Roman"/>
          <w:i/>
          <w:noProof/>
          <w:lang w:val="fr-CA"/>
        </w:rPr>
        <w:t>art. </w:t>
      </w:r>
      <w:r w:rsidRPr="003022C4">
        <w:rPr>
          <w:rFonts w:cs="Times New Roman"/>
          <w:i/>
          <w:noProof/>
          <w:lang w:val="fr-CA"/>
        </w:rPr>
        <w:t>5 et 6</w:t>
      </w:r>
      <w:r w:rsidRPr="003022C4">
        <w:rPr>
          <w:rFonts w:cs="Times New Roman"/>
          <w:noProof/>
          <w:lang w:val="fr-CA"/>
        </w:rPr>
        <w:t xml:space="preserve">, 2014 CSC 21, [2014] 1 R.C.S. 433, </w:t>
      </w:r>
      <w:r>
        <w:rPr>
          <w:rFonts w:cs="Times New Roman"/>
          <w:noProof/>
          <w:lang w:val="fr-CA"/>
        </w:rPr>
        <w:t>par. </w:t>
      </w:r>
      <w:r w:rsidRPr="003022C4">
        <w:rPr>
          <w:rFonts w:cs="Times New Roman"/>
          <w:noProof/>
          <w:lang w:val="fr-CA"/>
        </w:rPr>
        <w:t xml:space="preserve">89). Même à défaut de déclaration formelle, le </w:t>
      </w:r>
      <w:r>
        <w:rPr>
          <w:rFonts w:cs="Times New Roman"/>
          <w:noProof/>
          <w:lang w:val="fr-CA"/>
        </w:rPr>
        <w:t>par. </w:t>
      </w:r>
      <w:r w:rsidRPr="003022C4">
        <w:rPr>
          <w:rFonts w:cs="Times New Roman"/>
          <w:noProof/>
          <w:lang w:val="fr-CA"/>
        </w:rPr>
        <w:t xml:space="preserve">52(1) a pour effet d’empêcher l’application de lois inconstitutionnelles. Par exemple, en raison des limites que comporte la compétence légale conférée aux tribunaux, la décision d’un tribunal ou d’une cour provinciale selon laquelle une loi est inconstitutionnelle est sans effet juridique en dehors du cadre de cette décision; toutefois, le tribunal ou la cour provinciale doit refuser de donner effet à une loi qu’il ou elle considère inconstitutionnelle (voir, </w:t>
      </w:r>
      <w:r>
        <w:rPr>
          <w:rFonts w:cs="Times New Roman"/>
          <w:noProof/>
          <w:lang w:val="fr-CA"/>
        </w:rPr>
        <w:t>p. </w:t>
      </w:r>
      <w:r w:rsidRPr="003022C4">
        <w:rPr>
          <w:rFonts w:cs="Times New Roman"/>
          <w:noProof/>
          <w:lang w:val="fr-CA"/>
        </w:rPr>
        <w:t xml:space="preserve">ex., </w:t>
      </w:r>
      <w:r w:rsidRPr="003022C4">
        <w:rPr>
          <w:rFonts w:cs="Times New Roman"/>
          <w:i/>
          <w:noProof/>
          <w:lang w:val="fr-CA"/>
        </w:rPr>
        <w:t>Martin</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31; </w:t>
      </w:r>
      <w:r w:rsidRPr="003022C4">
        <w:rPr>
          <w:rFonts w:cs="Times New Roman"/>
          <w:i/>
          <w:noProof/>
          <w:lang w:val="fr-CA"/>
        </w:rPr>
        <w:t>R. c.</w:t>
      </w:r>
      <w:r w:rsidRPr="003022C4">
        <w:rPr>
          <w:rFonts w:cs="Times New Roman"/>
          <w:noProof/>
          <w:lang w:val="fr-CA"/>
        </w:rPr>
        <w:t xml:space="preserve"> </w:t>
      </w:r>
      <w:r w:rsidRPr="003022C4">
        <w:rPr>
          <w:rFonts w:cs="Times New Roman"/>
          <w:i/>
          <w:noProof/>
          <w:lang w:val="fr-CA"/>
        </w:rPr>
        <w:t>Lloyd</w:t>
      </w:r>
      <w:r w:rsidRPr="003022C4">
        <w:rPr>
          <w:rFonts w:cs="Times New Roman"/>
          <w:noProof/>
          <w:lang w:val="fr-CA"/>
        </w:rPr>
        <w:t xml:space="preserve">, 2016 CSC 13, [2016] 1 R.C.S. 130, </w:t>
      </w:r>
      <w:r>
        <w:rPr>
          <w:rFonts w:cs="Times New Roman"/>
          <w:noProof/>
          <w:lang w:val="fr-CA"/>
        </w:rPr>
        <w:t>par. </w:t>
      </w:r>
      <w:r w:rsidRPr="003022C4">
        <w:rPr>
          <w:rFonts w:cs="Times New Roman"/>
          <w:noProof/>
          <w:lang w:val="fr-CA"/>
        </w:rPr>
        <w:t>15). Ainsi, la portée d’une décision judiciaire concernant l’inconstitutionnalité d’une loi sera limitée si le tribunal n’a pas la compétence inhérente ou légale nécessaire pour prononcer une déclaration générale d’invalidité.</w:t>
      </w:r>
    </w:p>
    <w:p w14:paraId="4358F761"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Comme je l’expliquerai, même si le </w:t>
      </w:r>
      <w:r>
        <w:rPr>
          <w:rFonts w:cs="Times New Roman"/>
          <w:noProof/>
          <w:lang w:val="fr-CA"/>
        </w:rPr>
        <w:t>par. </w:t>
      </w:r>
      <w:r w:rsidRPr="003022C4">
        <w:rPr>
          <w:rFonts w:cs="Times New Roman"/>
          <w:noProof/>
          <w:lang w:val="fr-CA"/>
        </w:rPr>
        <w:t xml:space="preserve">52(1) reconnaît la primauté de la Constitution, de même que les droits et libertés fondamentaux des individus et des groupes qui sont garantis par la </w:t>
      </w:r>
      <w:r w:rsidRPr="003022C4">
        <w:rPr>
          <w:rFonts w:cs="Times New Roman"/>
          <w:i/>
          <w:noProof/>
          <w:lang w:val="fr-CA"/>
        </w:rPr>
        <w:t>Charte</w:t>
      </w:r>
      <w:r w:rsidRPr="003022C4">
        <w:rPr>
          <w:rFonts w:cs="Times New Roman"/>
          <w:noProof/>
          <w:lang w:val="fr-CA"/>
        </w:rPr>
        <w:t xml:space="preserve">, l’élaboration de mesures de réparation constitutionnelles commande inévitablement l’application d’autres principes constitutionnels qui sont parfois contradictoires </w:t>
      </w:r>
      <w:r w:rsidRPr="003022C4">
        <w:rPr>
          <w:rFonts w:cs="Times New Roman"/>
          <w:noProof/>
          <w:lang w:val="fr-CA" w:eastAsia="en-CA"/>
        </w:rPr>
        <w:t>(K. Roach, « </w:t>
      </w:r>
      <w:r w:rsidRPr="003022C4">
        <w:rPr>
          <w:rFonts w:cs="Times New Roman"/>
          <w:noProof/>
          <w:lang w:val="fr-CA"/>
        </w:rPr>
        <w:t>Principled Remedial Discretion Under the Charter » (2004), 25 </w:t>
      </w:r>
      <w:r w:rsidRPr="003022C4">
        <w:rPr>
          <w:rFonts w:cs="Times New Roman"/>
          <w:i/>
          <w:noProof/>
          <w:lang w:val="fr-CA"/>
        </w:rPr>
        <w:t>S.C.L.R. </w:t>
      </w:r>
      <w:r w:rsidRPr="003022C4">
        <w:rPr>
          <w:rFonts w:cs="Times New Roman"/>
          <w:noProof/>
          <w:lang w:val="fr-CA"/>
        </w:rPr>
        <w:t xml:space="preserve">(2d) 101, </w:t>
      </w:r>
      <w:r>
        <w:rPr>
          <w:rFonts w:cs="Times New Roman"/>
          <w:noProof/>
          <w:lang w:val="fr-CA"/>
        </w:rPr>
        <w:t>p. </w:t>
      </w:r>
      <w:r w:rsidRPr="003022C4">
        <w:rPr>
          <w:rFonts w:cs="Times New Roman"/>
          <w:noProof/>
          <w:lang w:val="fr-CA"/>
        </w:rPr>
        <w:t>112</w:t>
      </w:r>
      <w:r>
        <w:rPr>
          <w:rFonts w:cs="Times New Roman"/>
          <w:noProof/>
          <w:lang w:val="fr-CA"/>
        </w:rPr>
        <w:noBreakHyphen/>
      </w:r>
      <w:r w:rsidRPr="003022C4">
        <w:rPr>
          <w:rFonts w:cs="Times New Roman"/>
          <w:noProof/>
          <w:lang w:val="fr-CA"/>
        </w:rPr>
        <w:t>113</w:t>
      </w:r>
      <w:r w:rsidRPr="003022C4">
        <w:rPr>
          <w:rFonts w:cs="Times New Roman"/>
          <w:noProof/>
          <w:lang w:val="fr-CA" w:eastAsia="en-CA"/>
        </w:rPr>
        <w:t xml:space="preserve">). Les tribunaux doivent établir un juste équilibre entre ces principes lorsqu’ils sont appelés à déterminer comment donner effet au </w:t>
      </w:r>
      <w:r>
        <w:rPr>
          <w:rFonts w:cs="Times New Roman"/>
          <w:noProof/>
          <w:lang w:val="fr-CA" w:eastAsia="en-CA"/>
        </w:rPr>
        <w:t>par. </w:t>
      </w:r>
      <w:r w:rsidRPr="003022C4">
        <w:rPr>
          <w:rFonts w:cs="Times New Roman"/>
          <w:noProof/>
          <w:lang w:val="fr-CA" w:eastAsia="en-CA"/>
        </w:rPr>
        <w:t>52(1) d’une manière qui concorde le mieux avec l’ordre constitutionnel général du Canada</w:t>
      </w:r>
      <w:r w:rsidRPr="003022C4">
        <w:rPr>
          <w:rFonts w:cs="Times New Roman"/>
          <w:noProof/>
          <w:lang w:val="fr-CA"/>
        </w:rPr>
        <w:t>.</w:t>
      </w:r>
    </w:p>
    <w:p w14:paraId="471714C9" w14:textId="77777777" w:rsidR="00F712C6" w:rsidRPr="003022C4" w:rsidRDefault="00F712C6" w:rsidP="00F712C6">
      <w:pPr>
        <w:pStyle w:val="ParaNoNdepar-AltN"/>
        <w:rPr>
          <w:rFonts w:cs="Times New Roman"/>
          <w:noProof/>
          <w:lang w:val="fr-CA"/>
        </w:rPr>
      </w:pPr>
      <w:r>
        <w:rPr>
          <w:rFonts w:cs="Times New Roman"/>
          <w:noProof/>
          <w:lang w:val="fr-CA" w:eastAsia="en-CA"/>
        </w:rPr>
        <w:t xml:space="preserve">Kent </w:t>
      </w:r>
      <w:r w:rsidRPr="003022C4">
        <w:rPr>
          <w:rFonts w:cs="Times New Roman"/>
          <w:noProof/>
          <w:lang w:val="fr-CA" w:eastAsia="en-CA"/>
        </w:rPr>
        <w:t xml:space="preserve">Roach soutient, à l’instar de l’intervenant le Asper Centre, qu’il y a lieu d’exercer un </w:t>
      </w:r>
      <w:r w:rsidRPr="003022C4">
        <w:rPr>
          <w:rFonts w:cs="Times New Roman"/>
          <w:smallCaps/>
          <w:noProof/>
          <w:lang w:val="fr-CA" w:eastAsia="en-CA"/>
        </w:rPr>
        <w:t xml:space="preserve">[traduction] </w:t>
      </w:r>
      <w:r w:rsidRPr="003022C4">
        <w:rPr>
          <w:rFonts w:cs="Times New Roman"/>
          <w:noProof/>
          <w:lang w:val="fr-CA" w:eastAsia="en-CA"/>
        </w:rPr>
        <w:t xml:space="preserve">« pouvoir discrétionnaire fondé sur des principes » lors de l’octroi de réparations sous le régime de la </w:t>
      </w:r>
      <w:r w:rsidRPr="003022C4">
        <w:rPr>
          <w:rFonts w:cs="Times New Roman"/>
          <w:i/>
          <w:noProof/>
          <w:lang w:val="fr-CA" w:eastAsia="en-CA"/>
        </w:rPr>
        <w:t>Charte</w:t>
      </w:r>
      <w:r w:rsidRPr="003022C4">
        <w:rPr>
          <w:rFonts w:cs="Times New Roman"/>
          <w:noProof/>
          <w:lang w:val="fr-CA" w:eastAsia="en-CA"/>
        </w:rPr>
        <w:t xml:space="preserve">, lequel pouvoir représente un juste milieu entre un pouvoir discrétionnaire « solide » ou « absolu », qui donnerait aux juges toute la latitude voulue pour élaborer des mesures de réparation comme ils l’entendent, et un pouvoir discrétionnaire « fondé sur des règles », qui restreindrait considérablement la latitude des juges en leur imposant des règles strictes (Roach (2004), </w:t>
      </w:r>
      <w:r>
        <w:rPr>
          <w:rFonts w:cs="Times New Roman"/>
          <w:noProof/>
          <w:lang w:val="fr-CA" w:eastAsia="en-CA"/>
        </w:rPr>
        <w:t>p. </w:t>
      </w:r>
      <w:r w:rsidRPr="003022C4">
        <w:rPr>
          <w:rFonts w:cs="Times New Roman"/>
          <w:noProof/>
          <w:lang w:val="fr-CA"/>
        </w:rPr>
        <w:t>102 et 107</w:t>
      </w:r>
      <w:r>
        <w:rPr>
          <w:rFonts w:cs="Times New Roman"/>
          <w:noProof/>
          <w:lang w:val="fr-CA"/>
        </w:rPr>
        <w:noBreakHyphen/>
      </w:r>
      <w:r w:rsidRPr="003022C4">
        <w:rPr>
          <w:rFonts w:cs="Times New Roman"/>
          <w:noProof/>
          <w:lang w:val="fr-CA"/>
        </w:rPr>
        <w:t>113)</w:t>
      </w:r>
      <w:r w:rsidRPr="003022C4">
        <w:rPr>
          <w:rFonts w:cs="Times New Roman"/>
          <w:noProof/>
          <w:lang w:val="fr-CA" w:eastAsia="en-CA"/>
        </w:rPr>
        <w:t>. Je suis d’accord.</w:t>
      </w:r>
    </w:p>
    <w:p w14:paraId="5B8546F9"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Un pouvoir discrétionnaire absolu a pour avantage que les possibilités de l’adapter à tout contexte factuel sont infinies, mais il a clairement pour inconvénient d’ouvrir la porte à des décisions fondées sur </w:t>
      </w:r>
      <w:r w:rsidRPr="003022C4">
        <w:rPr>
          <w:rFonts w:cs="Times New Roman"/>
          <w:smallCaps/>
          <w:noProof/>
          <w:lang w:val="fr-CA"/>
        </w:rPr>
        <w:t>[traduction]</w:t>
      </w:r>
      <w:r>
        <w:rPr>
          <w:rFonts w:cs="Times New Roman"/>
          <w:smallCaps/>
          <w:noProof/>
          <w:lang w:val="fr-CA"/>
        </w:rPr>
        <w:t xml:space="preserve"> </w:t>
      </w:r>
      <w:r w:rsidRPr="003022C4">
        <w:rPr>
          <w:rFonts w:cs="Times New Roman"/>
          <w:noProof/>
          <w:lang w:val="fr-CA"/>
        </w:rPr>
        <w:t xml:space="preserve">« les volontés et les caprices d’une personne ou d’un groupe de personnes » (Roach (2004), </w:t>
      </w:r>
      <w:r>
        <w:rPr>
          <w:rFonts w:cs="Times New Roman"/>
          <w:noProof/>
          <w:lang w:val="fr-CA"/>
        </w:rPr>
        <w:t>p. </w:t>
      </w:r>
      <w:r w:rsidRPr="003022C4">
        <w:rPr>
          <w:rFonts w:cs="Times New Roman"/>
          <w:noProof/>
          <w:lang w:val="fr-CA"/>
        </w:rPr>
        <w:t xml:space="preserve">107, citant </w:t>
      </w:r>
      <w:r>
        <w:rPr>
          <w:rFonts w:cs="Times New Roman"/>
          <w:noProof/>
          <w:lang w:val="fr-CA"/>
        </w:rPr>
        <w:t>P. </w:t>
      </w:r>
      <w:r w:rsidRPr="003022C4">
        <w:rPr>
          <w:rFonts w:cs="Times New Roman"/>
          <w:noProof/>
          <w:lang w:val="fr-CA"/>
        </w:rPr>
        <w:t>Birks, « Three Kinds of Objections to Discretionary Remedialism » (2000), 20 </w:t>
      </w:r>
      <w:r w:rsidRPr="003022C4">
        <w:rPr>
          <w:rFonts w:cs="Times New Roman"/>
          <w:i/>
          <w:noProof/>
          <w:lang w:val="fr-CA"/>
        </w:rPr>
        <w:t xml:space="preserve">Uwa. L. Rev. </w:t>
      </w:r>
      <w:r w:rsidRPr="003022C4">
        <w:rPr>
          <w:rFonts w:cs="Times New Roman"/>
          <w:noProof/>
          <w:lang w:val="fr-CA"/>
        </w:rPr>
        <w:t xml:space="preserve">1, </w:t>
      </w:r>
      <w:r>
        <w:rPr>
          <w:rFonts w:cs="Times New Roman"/>
          <w:noProof/>
          <w:lang w:val="fr-CA"/>
        </w:rPr>
        <w:t>p. </w:t>
      </w:r>
      <w:r w:rsidRPr="003022C4">
        <w:rPr>
          <w:rFonts w:cs="Times New Roman"/>
          <w:noProof/>
          <w:lang w:val="fr-CA"/>
        </w:rPr>
        <w:t xml:space="preserve">15). Qui plus est, ce type de pouvoir ne favorise pas un raisonnement transparent; en effet, si le décideur peut faire ce qu’il veut, il est alors moins enclin à expliquer le fondement de sa décision. À l’inverse, l’avantage du pouvoir discrétionnaire fondé sur des règles est qu’il peut être exercé dans différents contextes de manière prévisible. Cependant, ce pouvoir n’encourage pas les tribunaux à prendre en compte les objectifs des règles et tend à entraîner leur application mécanique, de sorte que des décisions injustes peuvent être rendues dans certains cas (Roach (2004), </w:t>
      </w:r>
      <w:r>
        <w:rPr>
          <w:rFonts w:cs="Times New Roman"/>
          <w:noProof/>
          <w:lang w:val="fr-CA"/>
        </w:rPr>
        <w:t>p. </w:t>
      </w:r>
      <w:r w:rsidRPr="003022C4">
        <w:rPr>
          <w:rFonts w:cs="Times New Roman"/>
          <w:noProof/>
          <w:lang w:val="fr-CA"/>
        </w:rPr>
        <w:t>109</w:t>
      </w:r>
      <w:r>
        <w:rPr>
          <w:rFonts w:cs="Times New Roman"/>
          <w:noProof/>
          <w:lang w:val="fr-CA"/>
        </w:rPr>
        <w:noBreakHyphen/>
      </w:r>
      <w:r w:rsidRPr="003022C4">
        <w:rPr>
          <w:rFonts w:cs="Times New Roman"/>
          <w:noProof/>
          <w:lang w:val="fr-CA"/>
        </w:rPr>
        <w:t>110 et 140).</w:t>
      </w:r>
    </w:p>
    <w:p w14:paraId="2300A423" w14:textId="77777777" w:rsidR="00F712C6" w:rsidRPr="003022C4" w:rsidRDefault="00F712C6" w:rsidP="00F712C6">
      <w:pPr>
        <w:pStyle w:val="ParaNoNdepar-AltN"/>
        <w:rPr>
          <w:rFonts w:cs="Times New Roman"/>
          <w:noProof/>
          <w:lang w:val="fr-CA"/>
        </w:rPr>
      </w:pPr>
      <w:r w:rsidRPr="003022C4">
        <w:rPr>
          <w:rFonts w:cs="Times New Roman"/>
          <w:noProof/>
          <w:lang w:val="fr-CA"/>
        </w:rPr>
        <w:t>Un examen de la jurisprudence de notre Cour révèle qu’elle favorise l’exercice d’un pouvoir discrétionnaire fondé sur des principes, qui oblige les juges à prendre en compte de nombreux principes contradictoires en matière de réparation et à réconcilier ces principes tout en justifiant la priorité qu’ils accordent à certaines considérations par rapport à d’autres.</w:t>
      </w:r>
    </w:p>
    <w:p w14:paraId="6AA598D8" w14:textId="77777777" w:rsidR="00F712C6" w:rsidRPr="003022C4" w:rsidRDefault="00F712C6" w:rsidP="00F712C6">
      <w:pPr>
        <w:pStyle w:val="ParaNoNdepar-AltN"/>
        <w:rPr>
          <w:rFonts w:cs="Times New Roman"/>
          <w:noProof/>
          <w:lang w:val="fr-CA"/>
        </w:rPr>
      </w:pPr>
      <w:r w:rsidRPr="003022C4">
        <w:rPr>
          <w:rFonts w:cs="Times New Roman"/>
          <w:noProof/>
          <w:lang w:val="fr-CA"/>
        </w:rPr>
        <w:t>En ce sens, les « principes en matière de réparation » sont plus généraux que les règles et, contrairement à celles</w:t>
      </w:r>
      <w:r>
        <w:rPr>
          <w:rFonts w:cs="Times New Roman"/>
          <w:noProof/>
          <w:lang w:val="fr-CA"/>
        </w:rPr>
        <w:noBreakHyphen/>
      </w:r>
      <w:r w:rsidRPr="003022C4">
        <w:rPr>
          <w:rFonts w:cs="Times New Roman"/>
          <w:noProof/>
          <w:lang w:val="fr-CA"/>
        </w:rPr>
        <w:t xml:space="preserve">ci, ils peuvent entrer en conflit et être soupesés différemment (Roach (2004), </w:t>
      </w:r>
      <w:r>
        <w:rPr>
          <w:rFonts w:cs="Times New Roman"/>
          <w:noProof/>
          <w:lang w:val="fr-CA"/>
        </w:rPr>
        <w:t>p. </w:t>
      </w:r>
      <w:r w:rsidRPr="003022C4">
        <w:rPr>
          <w:rFonts w:cs="Times New Roman"/>
          <w:noProof/>
          <w:lang w:val="fr-CA"/>
        </w:rPr>
        <w:t>111</w:t>
      </w:r>
      <w:r>
        <w:rPr>
          <w:rFonts w:cs="Times New Roman"/>
          <w:noProof/>
          <w:lang w:val="fr-CA"/>
        </w:rPr>
        <w:noBreakHyphen/>
      </w:r>
      <w:r w:rsidRPr="003022C4">
        <w:rPr>
          <w:rFonts w:cs="Times New Roman"/>
          <w:noProof/>
          <w:lang w:val="fr-CA"/>
        </w:rPr>
        <w:t>113, citant R</w:t>
      </w:r>
      <w:r>
        <w:rPr>
          <w:rFonts w:cs="Times New Roman"/>
          <w:noProof/>
          <w:lang w:val="fr-CA"/>
        </w:rPr>
        <w:t>. </w:t>
      </w:r>
      <w:r w:rsidRPr="003022C4">
        <w:rPr>
          <w:rFonts w:cs="Times New Roman"/>
          <w:noProof/>
          <w:lang w:val="fr-CA"/>
        </w:rPr>
        <w:t xml:space="preserve">Dworkin, </w:t>
      </w:r>
      <w:r w:rsidRPr="003022C4">
        <w:rPr>
          <w:rFonts w:cs="Times New Roman"/>
          <w:i/>
          <w:noProof/>
          <w:lang w:val="fr-CA"/>
        </w:rPr>
        <w:t>Taking Rights Seriously</w:t>
      </w:r>
      <w:r w:rsidRPr="003022C4">
        <w:rPr>
          <w:rFonts w:cs="Times New Roman"/>
          <w:noProof/>
          <w:lang w:val="fr-CA"/>
        </w:rPr>
        <w:t xml:space="preserve"> (1977)). La formulation des principes généraux fondamentaux qui structurent l’exercice du pouvoir discrétionnaire de réparation fondé sur des principes permettra de favoriser l’adoption de méthodes transparentes et uniformes fondées sur des principes pour ce qui est de l’octroi de réparations en application du </w:t>
      </w:r>
      <w:r>
        <w:rPr>
          <w:rFonts w:cs="Times New Roman"/>
          <w:noProof/>
          <w:lang w:val="fr-CA"/>
        </w:rPr>
        <w:t>par. </w:t>
      </w:r>
      <w:r w:rsidRPr="003022C4">
        <w:rPr>
          <w:rFonts w:cs="Times New Roman"/>
          <w:noProof/>
          <w:lang w:val="fr-CA"/>
        </w:rPr>
        <w:t>52(1).</w:t>
      </w:r>
    </w:p>
    <w:p w14:paraId="6DE59745"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Des principes en matière de réparation de ce genre ont été énoncés dans </w:t>
      </w:r>
      <w:r>
        <w:rPr>
          <w:rFonts w:cs="Times New Roman"/>
          <w:noProof/>
          <w:lang w:val="fr-CA"/>
        </w:rPr>
        <w:t xml:space="preserve">l’arrêt </w:t>
      </w:r>
      <w:r w:rsidRPr="003022C4">
        <w:rPr>
          <w:rFonts w:cs="Times New Roman"/>
          <w:i/>
          <w:noProof/>
          <w:lang w:val="fr-CA"/>
        </w:rPr>
        <w:t>Schachter</w:t>
      </w:r>
      <w:r w:rsidRPr="003022C4">
        <w:rPr>
          <w:rFonts w:cs="Times New Roman"/>
          <w:noProof/>
          <w:lang w:val="fr-CA"/>
        </w:rPr>
        <w:t xml:space="preserve">, qui établit des principes jumeaux — soit celui du respect des objets de la </w:t>
      </w:r>
      <w:r w:rsidRPr="003022C4">
        <w:rPr>
          <w:rFonts w:cs="Times New Roman"/>
          <w:i/>
          <w:noProof/>
          <w:lang w:val="fr-CA"/>
        </w:rPr>
        <w:t xml:space="preserve">Charte </w:t>
      </w:r>
      <w:r w:rsidRPr="003022C4">
        <w:rPr>
          <w:rFonts w:cs="Times New Roman"/>
          <w:noProof/>
          <w:lang w:val="fr-CA"/>
        </w:rPr>
        <w:t xml:space="preserve">et celui du respect du législateur — qui, depuis près de trois décennies, guident les tribunaux canadiens dans l’exercice de leur pouvoir discrétionnaire. Cependant, en appliquant la méthode établie dans cet arrêt, notre Cour a parfois formulé d’autres principes pertinents ou analogues. Comme je l’expliquerai, lorsque des textes législatifs violent la </w:t>
      </w:r>
      <w:r w:rsidRPr="003022C4">
        <w:rPr>
          <w:rFonts w:cs="Times New Roman"/>
          <w:i/>
          <w:noProof/>
          <w:lang w:val="fr-CA"/>
        </w:rPr>
        <w:t>Charte</w:t>
      </w:r>
      <w:r w:rsidRPr="003022C4">
        <w:rPr>
          <w:rFonts w:cs="Times New Roman"/>
          <w:noProof/>
          <w:lang w:val="fr-CA"/>
        </w:rPr>
        <w:t>, les tribunaux se sont inspirés des principes fondamentaux suivants en matière de réparation, qui sont fondés sur la Constitution, pour déterminer la réparation qu’il convient d’accorder et ils ont appliqué ces principes à toutes les étapes de leur analyse</w:t>
      </w:r>
      <w:r>
        <w:rPr>
          <w:rFonts w:cs="Times New Roman"/>
          <w:noProof/>
          <w:lang w:val="fr-CA"/>
        </w:rPr>
        <w:t> :</w:t>
      </w:r>
    </w:p>
    <w:p w14:paraId="1BE91520" w14:textId="77777777" w:rsidR="00F712C6" w:rsidRPr="003022C4" w:rsidRDefault="00F712C6" w:rsidP="00BB546D">
      <w:pPr>
        <w:pStyle w:val="Citation-AltC"/>
        <w:numPr>
          <w:ilvl w:val="1"/>
          <w:numId w:val="20"/>
        </w:numPr>
        <w:spacing w:after="480" w:line="480" w:lineRule="auto"/>
        <w:ind w:left="450" w:hanging="447"/>
        <w:contextualSpacing w:val="0"/>
        <w:rPr>
          <w:noProof/>
          <w:lang w:val="fr-CA"/>
        </w:rPr>
      </w:pPr>
      <w:r w:rsidRPr="003022C4">
        <w:rPr>
          <w:noProof/>
          <w:lang w:val="fr-CA"/>
        </w:rPr>
        <w:t xml:space="preserve">Les droits garantis par la </w:t>
      </w:r>
      <w:r w:rsidRPr="003022C4">
        <w:rPr>
          <w:i/>
          <w:noProof/>
          <w:lang w:val="fr-CA"/>
        </w:rPr>
        <w:t xml:space="preserve">Charte </w:t>
      </w:r>
      <w:r w:rsidRPr="003022C4">
        <w:rPr>
          <w:noProof/>
          <w:lang w:val="fr-CA"/>
        </w:rPr>
        <w:t>doivent être protégés par l’octroi de réparations efficaces.</w:t>
      </w:r>
    </w:p>
    <w:p w14:paraId="57DC2532" w14:textId="77777777" w:rsidR="00F712C6" w:rsidRPr="003022C4" w:rsidRDefault="00F712C6" w:rsidP="00BB546D">
      <w:pPr>
        <w:pStyle w:val="Citation-AltC"/>
        <w:numPr>
          <w:ilvl w:val="1"/>
          <w:numId w:val="20"/>
        </w:numPr>
        <w:spacing w:after="480" w:line="480" w:lineRule="auto"/>
        <w:ind w:left="450" w:hanging="447"/>
        <w:contextualSpacing w:val="0"/>
        <w:rPr>
          <w:noProof/>
          <w:lang w:val="fr-CA" w:eastAsia="en-US"/>
        </w:rPr>
      </w:pPr>
      <w:r w:rsidRPr="003022C4">
        <w:rPr>
          <w:noProof/>
          <w:lang w:val="fr-CA" w:eastAsia="en-US"/>
        </w:rPr>
        <w:t xml:space="preserve">Il </w:t>
      </w:r>
      <w:r w:rsidRPr="003022C4">
        <w:rPr>
          <w:noProof/>
          <w:lang w:val="fr-CA"/>
        </w:rPr>
        <w:t>est</w:t>
      </w:r>
      <w:r w:rsidRPr="003022C4">
        <w:rPr>
          <w:noProof/>
          <w:lang w:val="fr-CA" w:eastAsia="en-US"/>
        </w:rPr>
        <w:t xml:space="preserve"> dans l’intérêt du public que les lois soient conformes à la Constitution.</w:t>
      </w:r>
    </w:p>
    <w:p w14:paraId="338BCE53" w14:textId="77777777" w:rsidR="00F712C6" w:rsidRPr="003022C4" w:rsidRDefault="00F712C6" w:rsidP="00BB546D">
      <w:pPr>
        <w:pStyle w:val="Citation-AltC"/>
        <w:numPr>
          <w:ilvl w:val="1"/>
          <w:numId w:val="20"/>
        </w:numPr>
        <w:spacing w:after="480" w:line="480" w:lineRule="auto"/>
        <w:ind w:left="450" w:hanging="447"/>
        <w:contextualSpacing w:val="0"/>
        <w:rPr>
          <w:noProof/>
          <w:lang w:val="fr-CA"/>
        </w:rPr>
      </w:pPr>
      <w:r w:rsidRPr="003022C4">
        <w:rPr>
          <w:noProof/>
          <w:lang w:val="fr-CA"/>
        </w:rPr>
        <w:t xml:space="preserve">Le public a </w:t>
      </w:r>
      <w:r w:rsidRPr="003022C4">
        <w:rPr>
          <w:noProof/>
          <w:lang w:val="fr-CA" w:eastAsia="en-US"/>
        </w:rPr>
        <w:t>droit</w:t>
      </w:r>
      <w:r w:rsidRPr="003022C4">
        <w:rPr>
          <w:noProof/>
          <w:lang w:val="fr-CA"/>
        </w:rPr>
        <w:t xml:space="preserve"> au bénéfice de la loi.</w:t>
      </w:r>
    </w:p>
    <w:p w14:paraId="157713DB" w14:textId="77777777" w:rsidR="00F712C6" w:rsidRPr="003022C4" w:rsidRDefault="00F712C6" w:rsidP="00BB546D">
      <w:pPr>
        <w:pStyle w:val="Citation-AltC"/>
        <w:numPr>
          <w:ilvl w:val="1"/>
          <w:numId w:val="20"/>
        </w:numPr>
        <w:spacing w:after="480" w:line="480" w:lineRule="auto"/>
        <w:ind w:left="450" w:hanging="447"/>
        <w:contextualSpacing w:val="0"/>
        <w:rPr>
          <w:noProof/>
          <w:lang w:val="fr-CA" w:eastAsia="en-US"/>
        </w:rPr>
      </w:pPr>
      <w:r w:rsidRPr="003022C4">
        <w:rPr>
          <w:noProof/>
          <w:lang w:val="fr-CA"/>
        </w:rPr>
        <w:t>Les tribunaux et les législateurs jouent des rôles institutionnels différents.</w:t>
      </w:r>
    </w:p>
    <w:p w14:paraId="144179E6"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La protection des droits est un aspect fondamental de l’octroi de réparations sous le régime de la </w:t>
      </w:r>
      <w:r w:rsidRPr="003022C4">
        <w:rPr>
          <w:rFonts w:cs="Times New Roman"/>
          <w:i/>
          <w:noProof/>
          <w:lang w:val="fr-CA"/>
        </w:rPr>
        <w:t>Charte</w:t>
      </w:r>
      <w:r w:rsidRPr="003022C4">
        <w:rPr>
          <w:rFonts w:cs="Times New Roman"/>
          <w:noProof/>
          <w:lang w:val="fr-CA"/>
        </w:rPr>
        <w:t xml:space="preserve">, car la </w:t>
      </w:r>
      <w:r w:rsidRPr="003022C4">
        <w:rPr>
          <w:rFonts w:cs="Times New Roman"/>
          <w:i/>
          <w:noProof/>
          <w:lang w:val="fr-CA"/>
        </w:rPr>
        <w:t xml:space="preserve">Charte </w:t>
      </w:r>
      <w:r w:rsidRPr="003022C4">
        <w:rPr>
          <w:rFonts w:cs="Times New Roman"/>
          <w:noProof/>
          <w:lang w:val="fr-CA"/>
        </w:rPr>
        <w:t xml:space="preserve">vise à protéger les droits, les libertés et la dignité inhérente des personnes; cet objectif est d’ailleurs présent dans l’ensemble de la </w:t>
      </w:r>
      <w:r w:rsidRPr="003022C4">
        <w:rPr>
          <w:rFonts w:cs="Times New Roman"/>
          <w:i/>
          <w:noProof/>
          <w:lang w:val="fr-CA"/>
        </w:rPr>
        <w:t>Charte</w:t>
      </w:r>
      <w:r w:rsidRPr="003022C4">
        <w:rPr>
          <w:rFonts w:cs="Times New Roman"/>
          <w:noProof/>
          <w:lang w:val="fr-CA" w:eastAsia="en-CA"/>
        </w:rPr>
        <w:t xml:space="preserve"> (voir </w:t>
      </w:r>
      <w:r w:rsidRPr="003022C4">
        <w:rPr>
          <w:rFonts w:cs="Times New Roman"/>
          <w:i/>
          <w:noProof/>
          <w:lang w:val="fr-CA" w:eastAsia="en-CA"/>
        </w:rPr>
        <w:t>Vriend</w:t>
      </w:r>
      <w:r w:rsidRPr="003022C4">
        <w:rPr>
          <w:rFonts w:cs="Times New Roman"/>
          <w:noProof/>
          <w:lang w:val="fr-CA" w:eastAsia="en-CA"/>
        </w:rPr>
        <w:t xml:space="preserve">, </w:t>
      </w:r>
      <w:r>
        <w:rPr>
          <w:rFonts w:cs="Times New Roman"/>
          <w:noProof/>
          <w:lang w:val="fr-CA" w:eastAsia="en-CA"/>
        </w:rPr>
        <w:t>par. </w:t>
      </w:r>
      <w:r w:rsidRPr="003022C4">
        <w:rPr>
          <w:rFonts w:cs="Times New Roman"/>
          <w:noProof/>
          <w:lang w:val="fr-CA" w:eastAsia="en-CA"/>
        </w:rPr>
        <w:t xml:space="preserve">153; </w:t>
      </w:r>
      <w:r w:rsidRPr="003022C4">
        <w:rPr>
          <w:rFonts w:cs="Times New Roman"/>
          <w:i/>
          <w:noProof/>
          <w:lang w:val="fr-CA" w:eastAsia="en-CA"/>
        </w:rPr>
        <w:t>Office canadien de commercialisation des œufs c. </w:t>
      </w:r>
      <w:r w:rsidRPr="003022C4">
        <w:rPr>
          <w:rFonts w:cs="Times New Roman"/>
          <w:i/>
          <w:noProof/>
          <w:lang w:val="fr-CA"/>
        </w:rPr>
        <w:t>Richardson</w:t>
      </w:r>
      <w:r w:rsidRPr="003022C4">
        <w:rPr>
          <w:rFonts w:cs="Times New Roman"/>
          <w:noProof/>
          <w:lang w:val="fr-CA"/>
        </w:rPr>
        <w:t xml:space="preserve">, [1998] 3 R.C.S. 157, </w:t>
      </w:r>
      <w:r>
        <w:rPr>
          <w:rFonts w:cs="Times New Roman"/>
          <w:noProof/>
          <w:lang w:val="fr-CA"/>
        </w:rPr>
        <w:t>par. </w:t>
      </w:r>
      <w:r w:rsidRPr="003022C4">
        <w:rPr>
          <w:rFonts w:cs="Times New Roman"/>
          <w:noProof/>
          <w:lang w:val="fr-CA"/>
        </w:rPr>
        <w:t>57)</w:t>
      </w:r>
      <w:r w:rsidRPr="003022C4">
        <w:rPr>
          <w:rFonts w:cs="Times New Roman"/>
          <w:noProof/>
          <w:lang w:val="fr-CA" w:eastAsia="en-CA"/>
        </w:rPr>
        <w:t xml:space="preserve">. La manière téléologique dont notre Cour aborde les réparations constitutionnelles permet de s’assurer que la défense et la protection efficaces des droits est au cœur des réparations qu’elle accorde lorsque des textes législatifs violent la </w:t>
      </w:r>
      <w:r w:rsidRPr="003022C4">
        <w:rPr>
          <w:rFonts w:cs="Times New Roman"/>
          <w:i/>
          <w:noProof/>
          <w:lang w:val="fr-CA" w:eastAsia="en-CA"/>
        </w:rPr>
        <w:t>Charte</w:t>
      </w:r>
      <w:r w:rsidRPr="003022C4">
        <w:rPr>
          <w:rFonts w:cs="Times New Roman"/>
          <w:noProof/>
          <w:lang w:val="fr-CA" w:eastAsia="en-CA"/>
        </w:rPr>
        <w:t xml:space="preserve"> (</w:t>
      </w:r>
      <w:r w:rsidRPr="003022C4">
        <w:rPr>
          <w:rFonts w:cs="Times New Roman"/>
          <w:i/>
          <w:noProof/>
          <w:lang w:val="fr-CA"/>
        </w:rPr>
        <w:t>Osborne c. Canada (Conseil du Trésor)</w:t>
      </w:r>
      <w:r w:rsidRPr="003022C4">
        <w:rPr>
          <w:rFonts w:cs="Times New Roman"/>
          <w:noProof/>
          <w:lang w:val="fr-CA"/>
        </w:rPr>
        <w:t xml:space="preserve">, [1991] 2 R.C.S. 69, </w:t>
      </w:r>
      <w:r>
        <w:rPr>
          <w:rFonts w:cs="Times New Roman"/>
          <w:noProof/>
          <w:lang w:val="fr-CA"/>
        </w:rPr>
        <w:t>p. </w:t>
      </w:r>
      <w:r w:rsidRPr="003022C4">
        <w:rPr>
          <w:rFonts w:cs="Times New Roman"/>
          <w:noProof/>
          <w:lang w:val="fr-CA"/>
        </w:rPr>
        <w:t>104</w:t>
      </w:r>
      <w:r w:rsidRPr="003022C4">
        <w:rPr>
          <w:rFonts w:cs="Times New Roman"/>
          <w:noProof/>
          <w:lang w:val="fr-CA" w:eastAsia="en-CA"/>
        </w:rPr>
        <w:t>).</w:t>
      </w:r>
    </w:p>
    <w:p w14:paraId="2EEE2F04" w14:textId="4BAE4041" w:rsidR="00F712C6" w:rsidRPr="003022C4" w:rsidRDefault="00F712C6" w:rsidP="004A6852">
      <w:pPr>
        <w:pStyle w:val="ParaNoNdepar-AltN"/>
        <w:rPr>
          <w:noProof/>
          <w:lang w:val="fr-CA"/>
        </w:rPr>
      </w:pPr>
      <w:r w:rsidRPr="003022C4">
        <w:rPr>
          <w:noProof/>
          <w:lang w:val="fr-CA"/>
        </w:rPr>
        <w:t xml:space="preserve">La primauté du droit est explicitement reconnue dans le préambule de la </w:t>
      </w:r>
      <w:r w:rsidRPr="003022C4">
        <w:rPr>
          <w:i/>
          <w:noProof/>
          <w:lang w:val="fr-CA"/>
        </w:rPr>
        <w:t>Charte</w:t>
      </w:r>
      <w:r w:rsidRPr="003022C4">
        <w:rPr>
          <w:noProof/>
          <w:lang w:val="fr-CA"/>
        </w:rPr>
        <w:t xml:space="preserve">, lequel dispose que « le Canada est fondé sur des principes qui reconnaissent [. . .] la primauté du droit ». Elle est aussi reconnue implicitement dans le préambule de la </w:t>
      </w:r>
      <w:r w:rsidRPr="003022C4">
        <w:rPr>
          <w:i/>
          <w:noProof/>
          <w:lang w:val="fr-CA"/>
        </w:rPr>
        <w:t>Loi constitutionnelle de 1867</w:t>
      </w:r>
      <w:r w:rsidRPr="003022C4">
        <w:rPr>
          <w:noProof/>
          <w:lang w:val="fr-CA"/>
        </w:rPr>
        <w:t>, qui précise que le Canada a « une constitution reposant sur les mêmes principes que celle du Royaume</w:t>
      </w:r>
      <w:r>
        <w:rPr>
          <w:noProof/>
          <w:lang w:val="fr-CA"/>
        </w:rPr>
        <w:noBreakHyphen/>
      </w:r>
      <w:r w:rsidRPr="003022C4">
        <w:rPr>
          <w:noProof/>
          <w:lang w:val="fr-CA"/>
        </w:rPr>
        <w:t xml:space="preserve">Uni » (voir le </w:t>
      </w:r>
      <w:r w:rsidR="004A6852" w:rsidRPr="004A6852">
        <w:rPr>
          <w:rFonts w:cs="Times New Roman"/>
          <w:i/>
          <w:noProof/>
          <w:lang w:val="fr-CA"/>
        </w:rPr>
        <w:t>Renvoi relatif aux droits linguistiques au Manitoba</w:t>
      </w:r>
      <w:r w:rsidRPr="003022C4">
        <w:rPr>
          <w:noProof/>
          <w:lang w:val="fr-CA"/>
        </w:rPr>
        <w:t xml:space="preserve">, [1985] 1 R.C.S. 721, </w:t>
      </w:r>
      <w:r>
        <w:rPr>
          <w:noProof/>
          <w:lang w:val="fr-CA"/>
        </w:rPr>
        <w:t>p. </w:t>
      </w:r>
      <w:r w:rsidRPr="003022C4">
        <w:rPr>
          <w:noProof/>
          <w:lang w:val="fr-CA"/>
        </w:rPr>
        <w:t>750). La primauté du droit repose sur deux principes fondamentaux</w:t>
      </w:r>
      <w:r>
        <w:rPr>
          <w:noProof/>
          <w:lang w:val="fr-CA"/>
        </w:rPr>
        <w:t> :</w:t>
      </w:r>
      <w:r w:rsidRPr="003022C4">
        <w:rPr>
          <w:noProof/>
          <w:lang w:val="fr-CA"/>
        </w:rPr>
        <w:t xml:space="preserve"> les actes de l’État doivent être conformes à la loi et il doit exister des règles de droit positif pour préserver l’ordre dans la société.</w:t>
      </w:r>
      <w:r w:rsidRPr="003022C4">
        <w:rPr>
          <w:noProof/>
          <w:lang w:val="fr-CA" w:eastAsia="en-CA"/>
        </w:rPr>
        <w:t xml:space="preserve"> Notre Cour a reconnu qu’en raison du respect du principe de la primauté du droit, les effets des lois, même les lois inconstitutionnelles, s’étendent au</w:t>
      </w:r>
      <w:r>
        <w:rPr>
          <w:noProof/>
          <w:lang w:val="fr-CA" w:eastAsia="en-CA"/>
        </w:rPr>
        <w:noBreakHyphen/>
      </w:r>
      <w:r w:rsidRPr="003022C4">
        <w:rPr>
          <w:noProof/>
          <w:lang w:val="fr-CA" w:eastAsia="en-CA"/>
        </w:rPr>
        <w:t>delà des personnes dont les droits sont violés — il est désavantageux pour l’ensemble de la société que des lois inconstitutionnelles « demeure[nt] en vigueur indéfiniment » (</w:t>
      </w:r>
      <w:r w:rsidRPr="003022C4">
        <w:rPr>
          <w:i/>
          <w:noProof/>
          <w:lang w:val="fr-CA"/>
        </w:rPr>
        <w:t>R. c. Nur</w:t>
      </w:r>
      <w:r w:rsidRPr="003022C4">
        <w:rPr>
          <w:noProof/>
          <w:lang w:val="fr-CA"/>
        </w:rPr>
        <w:t xml:space="preserve">, 2015 CSC 15, [2015] 1 R.C.S. 773, </w:t>
      </w:r>
      <w:r>
        <w:rPr>
          <w:noProof/>
          <w:lang w:val="fr-CA"/>
        </w:rPr>
        <w:t>par. </w:t>
      </w:r>
      <w:r w:rsidRPr="003022C4">
        <w:rPr>
          <w:noProof/>
          <w:lang w:val="fr-CA"/>
        </w:rPr>
        <w:t xml:space="preserve">51; voir aussi </w:t>
      </w:r>
      <w:r w:rsidRPr="003022C4">
        <w:rPr>
          <w:i/>
          <w:noProof/>
          <w:lang w:val="fr-CA"/>
        </w:rPr>
        <w:t>Canada (Procureur général) c. Downtown Eastside</w:t>
      </w:r>
      <w:r w:rsidRPr="003022C4">
        <w:rPr>
          <w:noProof/>
          <w:lang w:val="fr-CA"/>
        </w:rPr>
        <w:t xml:space="preserve"> </w:t>
      </w:r>
      <w:r w:rsidRPr="003022C4">
        <w:rPr>
          <w:i/>
          <w:noProof/>
          <w:lang w:val="fr-CA"/>
        </w:rPr>
        <w:t>Sex Workers United Against Violence Society</w:t>
      </w:r>
      <w:r w:rsidRPr="003022C4">
        <w:rPr>
          <w:noProof/>
          <w:lang w:val="fr-CA"/>
        </w:rPr>
        <w:t>, 2012 CSC 45, [2012] 2 R.C.S. 524 (</w:t>
      </w:r>
      <w:r w:rsidRPr="003022C4">
        <w:rPr>
          <w:i/>
          <w:noProof/>
          <w:lang w:val="fr-CA"/>
        </w:rPr>
        <w:t>SWUAV</w:t>
      </w:r>
      <w:r w:rsidRPr="003022C4">
        <w:rPr>
          <w:noProof/>
          <w:lang w:val="fr-CA"/>
        </w:rPr>
        <w:t xml:space="preserve">), </w:t>
      </w:r>
      <w:r>
        <w:rPr>
          <w:noProof/>
          <w:lang w:val="fr-CA"/>
        </w:rPr>
        <w:t>par. </w:t>
      </w:r>
      <w:r w:rsidRPr="003022C4">
        <w:rPr>
          <w:noProof/>
          <w:lang w:val="fr-CA"/>
        </w:rPr>
        <w:t>31</w:t>
      </w:r>
      <w:r w:rsidRPr="003022C4">
        <w:rPr>
          <w:noProof/>
          <w:lang w:val="fr-CA" w:eastAsia="en-CA"/>
        </w:rPr>
        <w:t>). Or, l’intérêt public est une arme à double tranchant — le public a également droit au bénéfice de la loi, sur laquelle les individus s’appuient pour organiser leur vie et se protéger (</w:t>
      </w:r>
      <w:r w:rsidRPr="003022C4">
        <w:rPr>
          <w:i/>
          <w:noProof/>
          <w:lang w:val="fr-CA" w:eastAsia="en-CA"/>
        </w:rPr>
        <w:t xml:space="preserve">Droits linguistiques au </w:t>
      </w:r>
      <w:r w:rsidRPr="003022C4">
        <w:rPr>
          <w:i/>
          <w:noProof/>
          <w:lang w:val="fr-CA"/>
        </w:rPr>
        <w:t>Manitoba</w:t>
      </w:r>
      <w:r w:rsidRPr="003022C4">
        <w:rPr>
          <w:noProof/>
          <w:lang w:val="fr-CA"/>
        </w:rPr>
        <w:t xml:space="preserve">, </w:t>
      </w:r>
      <w:r>
        <w:rPr>
          <w:noProof/>
          <w:lang w:val="fr-CA"/>
        </w:rPr>
        <w:t>p. </w:t>
      </w:r>
      <w:r w:rsidRPr="003022C4">
        <w:rPr>
          <w:noProof/>
          <w:lang w:val="fr-CA"/>
        </w:rPr>
        <w:t>748</w:t>
      </w:r>
      <w:r>
        <w:rPr>
          <w:noProof/>
          <w:lang w:val="fr-CA"/>
        </w:rPr>
        <w:noBreakHyphen/>
      </w:r>
      <w:r w:rsidRPr="003022C4">
        <w:rPr>
          <w:noProof/>
          <w:lang w:val="fr-CA"/>
        </w:rPr>
        <w:t>749 et 757</w:t>
      </w:r>
      <w:r w:rsidRPr="003022C4">
        <w:rPr>
          <w:noProof/>
          <w:lang w:val="fr-CA" w:eastAsia="en-CA"/>
        </w:rPr>
        <w:t>). Les lois valablement adoptées par des législatures démocratiquement élues « visent généralement le bien commun » et suscitent donc un « intérêt public » qui « joue un grand rôle » dans l’exercice du pouvoir discrétionnaire de réparation (</w:t>
      </w:r>
      <w:r w:rsidRPr="003022C4">
        <w:rPr>
          <w:i/>
          <w:iCs/>
          <w:noProof/>
          <w:lang w:val="fr-CA" w:eastAsia="en-CA"/>
        </w:rPr>
        <w:t>Manitoba (Pr</w:t>
      </w:r>
      <w:r w:rsidR="003A2AC2">
        <w:rPr>
          <w:i/>
          <w:iCs/>
          <w:noProof/>
          <w:lang w:val="fr-CA" w:eastAsia="en-CA"/>
        </w:rPr>
        <w:t>ocureur général) c. Metropolita</w:t>
      </w:r>
      <w:r w:rsidR="0025412A">
        <w:rPr>
          <w:i/>
          <w:iCs/>
          <w:noProof/>
          <w:lang w:val="fr-CA" w:eastAsia="en-CA"/>
        </w:rPr>
        <w:t>n Stores Ltd.</w:t>
      </w:r>
      <w:r w:rsidR="0025412A">
        <w:rPr>
          <w:noProof/>
          <w:lang w:val="fr-CA" w:eastAsia="en-CA"/>
        </w:rPr>
        <w:t xml:space="preserve">, </w:t>
      </w:r>
      <w:r w:rsidRPr="003022C4">
        <w:rPr>
          <w:noProof/>
          <w:lang w:val="fr-CA" w:eastAsia="en-CA"/>
        </w:rPr>
        <w:t xml:space="preserve">[1987] 1 R.C.S. 110, </w:t>
      </w:r>
      <w:r>
        <w:rPr>
          <w:noProof/>
          <w:lang w:val="fr-CA" w:eastAsia="en-CA"/>
        </w:rPr>
        <w:t>p. </w:t>
      </w:r>
      <w:r w:rsidRPr="003022C4">
        <w:rPr>
          <w:noProof/>
          <w:lang w:val="fr-CA" w:eastAsia="en-CA"/>
        </w:rPr>
        <w:t xml:space="preserve">135; voir également </w:t>
      </w:r>
      <w:r w:rsidRPr="003022C4">
        <w:rPr>
          <w:i/>
          <w:iCs/>
          <w:noProof/>
          <w:lang w:val="fr-CA" w:eastAsia="en-CA"/>
        </w:rPr>
        <w:t>Harper c. Canada (Procureur général</w:t>
      </w:r>
      <w:r w:rsidRPr="003022C4">
        <w:rPr>
          <w:noProof/>
          <w:lang w:val="fr-CA" w:eastAsia="en-CA"/>
        </w:rPr>
        <w:t xml:space="preserve">), 2000 CSC 57, [2000] 2 R.C.S. 764, </w:t>
      </w:r>
      <w:r>
        <w:rPr>
          <w:noProof/>
          <w:lang w:val="fr-CA" w:eastAsia="en-CA"/>
        </w:rPr>
        <w:t>par. </w:t>
      </w:r>
      <w:r w:rsidRPr="003022C4">
        <w:rPr>
          <w:noProof/>
          <w:lang w:val="fr-CA" w:eastAsia="en-CA"/>
        </w:rPr>
        <w:t>9).</w:t>
      </w:r>
    </w:p>
    <w:p w14:paraId="028E8AB8" w14:textId="4315D52D" w:rsidR="00F712C6" w:rsidRPr="003022C4" w:rsidRDefault="00F712C6" w:rsidP="00F712C6">
      <w:pPr>
        <w:pStyle w:val="ParaNoNdepar-AltN"/>
        <w:rPr>
          <w:rFonts w:cs="Times New Roman"/>
          <w:noProof/>
          <w:lang w:val="fr-CA"/>
        </w:rPr>
      </w:pPr>
      <w:r w:rsidRPr="003022C4">
        <w:rPr>
          <w:rFonts w:cs="Times New Roman"/>
          <w:noProof/>
          <w:lang w:val="fr-CA" w:eastAsia="en-CA"/>
        </w:rPr>
        <w:t xml:space="preserve">Les lois sont adoptées par une législature, qui est souveraine en ce sens que, conformément à la compétence constitutionnelle dont elle est investie, elle jouit du « pouvoir </w:t>
      </w:r>
      <w:r w:rsidRPr="003022C4">
        <w:rPr>
          <w:rFonts w:cs="Times New Roman"/>
          <w:i/>
          <w:noProof/>
          <w:lang w:val="fr-CA" w:eastAsia="en-CA"/>
        </w:rPr>
        <w:t xml:space="preserve">exclusif </w:t>
      </w:r>
      <w:r w:rsidRPr="003022C4">
        <w:rPr>
          <w:rFonts w:cs="Times New Roman"/>
          <w:noProof/>
          <w:lang w:val="fr-CA" w:eastAsia="en-CA"/>
        </w:rPr>
        <w:t>d’adopter, de modifier et d’abroger des lois comme elle l’entend » (</w:t>
      </w:r>
      <w:r w:rsidRPr="003022C4">
        <w:rPr>
          <w:rFonts w:cs="Times New Roman"/>
          <w:i/>
          <w:noProof/>
          <w:lang w:val="fr-CA" w:eastAsia="en-CA"/>
        </w:rPr>
        <w:t>Renvoi relatif à la réglementation pancanadienne des valeurs mobilières</w:t>
      </w:r>
      <w:r w:rsidRPr="003022C4">
        <w:rPr>
          <w:rFonts w:cs="Times New Roman"/>
          <w:noProof/>
          <w:lang w:val="fr-CA" w:eastAsia="en-CA"/>
        </w:rPr>
        <w:t xml:space="preserve">, 2018 CSC 48, [2018] 3 R.C.S. 189, </w:t>
      </w:r>
      <w:r>
        <w:rPr>
          <w:rFonts w:cs="Times New Roman"/>
          <w:noProof/>
          <w:lang w:val="fr-CA" w:eastAsia="en-CA"/>
        </w:rPr>
        <w:t>par. </w:t>
      </w:r>
      <w:r w:rsidRPr="003022C4">
        <w:rPr>
          <w:rFonts w:cs="Times New Roman"/>
          <w:noProof/>
          <w:lang w:val="fr-CA" w:eastAsia="en-CA"/>
        </w:rPr>
        <w:t>54</w:t>
      </w:r>
      <w:r w:rsidR="0025412A">
        <w:rPr>
          <w:rFonts w:cs="Times New Roman"/>
          <w:noProof/>
          <w:lang w:val="fr-CA" w:eastAsia="en-CA"/>
        </w:rPr>
        <w:t xml:space="preserve"> (en italique dans l’original)</w:t>
      </w:r>
      <w:r w:rsidRPr="003022C4">
        <w:rPr>
          <w:rFonts w:cs="Times New Roman"/>
          <w:noProof/>
          <w:lang w:val="fr-CA" w:eastAsia="en-CA"/>
        </w:rPr>
        <w:t xml:space="preserve">; </w:t>
      </w:r>
      <w:r w:rsidRPr="003022C4">
        <w:rPr>
          <w:rFonts w:cs="Times New Roman"/>
          <w:i/>
          <w:noProof/>
          <w:lang w:val="fr-CA" w:eastAsia="en-CA"/>
        </w:rPr>
        <w:t>Loi constitutionnelle de 1867</w:t>
      </w:r>
      <w:r w:rsidRPr="003022C4">
        <w:rPr>
          <w:rFonts w:cs="Times New Roman"/>
          <w:noProof/>
          <w:lang w:val="fr-CA" w:eastAsia="en-CA"/>
        </w:rPr>
        <w:t xml:space="preserve">, </w:t>
      </w:r>
      <w:r>
        <w:rPr>
          <w:rFonts w:cs="Times New Roman"/>
          <w:noProof/>
          <w:lang w:val="fr-CA" w:eastAsia="en-CA"/>
        </w:rPr>
        <w:t>art. </w:t>
      </w:r>
      <w:r w:rsidRPr="003022C4">
        <w:rPr>
          <w:rFonts w:cs="Times New Roman"/>
          <w:noProof/>
          <w:lang w:val="fr-CA" w:eastAsia="en-CA"/>
        </w:rPr>
        <w:t xml:space="preserve">91 à 95; </w:t>
      </w:r>
      <w:r w:rsidRPr="003022C4">
        <w:rPr>
          <w:rFonts w:cs="Times New Roman"/>
          <w:i/>
          <w:noProof/>
          <w:lang w:val="fr-CA" w:eastAsia="en-CA"/>
        </w:rPr>
        <w:t>Loi constitutionnelle de 1982</w:t>
      </w:r>
      <w:r w:rsidRPr="003022C4">
        <w:rPr>
          <w:rFonts w:cs="Times New Roman"/>
          <w:noProof/>
          <w:lang w:val="fr-CA" w:eastAsia="en-CA"/>
        </w:rPr>
        <w:t xml:space="preserve">, </w:t>
      </w:r>
      <w:r>
        <w:rPr>
          <w:rFonts w:cs="Times New Roman"/>
          <w:noProof/>
          <w:lang w:val="fr-CA" w:eastAsia="en-CA"/>
        </w:rPr>
        <w:t>art. </w:t>
      </w:r>
      <w:r w:rsidRPr="003022C4">
        <w:rPr>
          <w:rFonts w:cs="Times New Roman"/>
          <w:noProof/>
          <w:lang w:val="fr-CA" w:eastAsia="en-CA"/>
        </w:rPr>
        <w:t>44 et 45)</w:t>
      </w:r>
      <w:r w:rsidRPr="003022C4">
        <w:rPr>
          <w:rFonts w:cs="Times New Roman"/>
          <w:noProof/>
          <w:shd w:val="clear" w:color="auto" w:fill="FFFFFF"/>
          <w:lang w:val="fr-CA"/>
        </w:rPr>
        <w:t xml:space="preserve">. Ce fait restreint </w:t>
      </w:r>
      <w:r w:rsidRPr="003022C4">
        <w:rPr>
          <w:rFonts w:cs="Times New Roman"/>
          <w:noProof/>
          <w:lang w:val="fr-CA"/>
        </w:rPr>
        <w:t>l’exercice du pouvoir de réparation qu’ont les tribunaux. La souveraineté parlementaire est une expression de la démocratie, car elle confère un pouvoir législatif exclusif au Parlement et aux législatures provinciales, qui sont constitués d’une chambre élue qui doit donner son consentement pour qu’une loi soit adoptée (</w:t>
      </w:r>
      <w:r w:rsidRPr="003022C4">
        <w:rPr>
          <w:rFonts w:cs="Times New Roman"/>
          <w:i/>
          <w:noProof/>
          <w:lang w:val="fr-CA"/>
        </w:rPr>
        <w:t>Loi constitutionnelle de 1867</w:t>
      </w:r>
      <w:r w:rsidRPr="003022C4">
        <w:rPr>
          <w:rFonts w:cs="Times New Roman"/>
          <w:noProof/>
          <w:lang w:val="fr-CA"/>
        </w:rPr>
        <w:t xml:space="preserve">, </w:t>
      </w:r>
      <w:r>
        <w:rPr>
          <w:rFonts w:cs="Times New Roman"/>
          <w:noProof/>
          <w:lang w:val="fr-CA"/>
        </w:rPr>
        <w:t>art. </w:t>
      </w:r>
      <w:r w:rsidRPr="003022C4">
        <w:rPr>
          <w:rFonts w:cs="Times New Roman"/>
          <w:noProof/>
          <w:lang w:val="fr-CA"/>
        </w:rPr>
        <w:t xml:space="preserve">17, 40, 48, 55 et 91; </w:t>
      </w:r>
      <w:r w:rsidRPr="003022C4">
        <w:rPr>
          <w:rFonts w:cs="Times New Roman"/>
          <w:i/>
          <w:noProof/>
          <w:lang w:val="fr-CA"/>
        </w:rPr>
        <w:t>Charte</w:t>
      </w:r>
      <w:r w:rsidRPr="003022C4">
        <w:rPr>
          <w:rFonts w:cs="Times New Roman"/>
          <w:noProof/>
          <w:lang w:val="fr-CA"/>
        </w:rPr>
        <w:t xml:space="preserve">, </w:t>
      </w:r>
      <w:r>
        <w:rPr>
          <w:rFonts w:cs="Times New Roman"/>
          <w:noProof/>
          <w:lang w:val="fr-CA"/>
        </w:rPr>
        <w:t>art. </w:t>
      </w:r>
      <w:r w:rsidRPr="003022C4">
        <w:rPr>
          <w:rFonts w:cs="Times New Roman"/>
          <w:noProof/>
          <w:lang w:val="fr-CA"/>
        </w:rPr>
        <w:t xml:space="preserve">3 et 4; </w:t>
      </w:r>
      <w:r w:rsidRPr="003022C4">
        <w:rPr>
          <w:rFonts w:cs="Times New Roman"/>
          <w:i/>
          <w:noProof/>
          <w:lang w:val="fr-CA"/>
        </w:rPr>
        <w:t>Renvoi relatif à la sécession du Québec</w:t>
      </w:r>
      <w:r w:rsidRPr="003022C4">
        <w:rPr>
          <w:rFonts w:cs="Times New Roman"/>
          <w:noProof/>
          <w:lang w:val="fr-CA"/>
        </w:rPr>
        <w:t xml:space="preserve">, [1998] 2 R.C.S. 217, </w:t>
      </w:r>
      <w:r>
        <w:rPr>
          <w:rFonts w:cs="Times New Roman"/>
          <w:noProof/>
          <w:lang w:val="fr-CA"/>
        </w:rPr>
        <w:t>par. </w:t>
      </w:r>
      <w:r w:rsidRPr="003022C4">
        <w:rPr>
          <w:rFonts w:cs="Times New Roman"/>
          <w:noProof/>
          <w:lang w:val="fr-CA"/>
        </w:rPr>
        <w:t>62</w:t>
      </w:r>
      <w:r>
        <w:rPr>
          <w:rFonts w:cs="Times New Roman"/>
          <w:noProof/>
          <w:lang w:val="fr-CA"/>
        </w:rPr>
        <w:noBreakHyphen/>
      </w:r>
      <w:r w:rsidRPr="003022C4">
        <w:rPr>
          <w:rFonts w:cs="Times New Roman"/>
          <w:noProof/>
          <w:lang w:val="fr-CA"/>
        </w:rPr>
        <w:t>65).</w:t>
      </w:r>
    </w:p>
    <w:p w14:paraId="316C554A" w14:textId="77777777" w:rsidR="00F712C6" w:rsidRPr="003022C4" w:rsidRDefault="00F712C6" w:rsidP="00F712C6">
      <w:pPr>
        <w:pStyle w:val="ParaNoNdepar-AltN"/>
        <w:rPr>
          <w:rFonts w:cs="Times New Roman"/>
          <w:noProof/>
          <w:lang w:val="fr-CA"/>
        </w:rPr>
      </w:pPr>
      <w:r w:rsidRPr="003022C4">
        <w:rPr>
          <w:rFonts w:cs="Times New Roman"/>
          <w:noProof/>
          <w:lang w:val="fr-CA"/>
        </w:rPr>
        <w:t>Néanmoins, les tribunaux demeurent les « gardiens de la Constitution et des droits qu’elle confère aux particuliers » (</w:t>
      </w:r>
      <w:r w:rsidRPr="003022C4">
        <w:rPr>
          <w:rFonts w:cs="Times New Roman"/>
          <w:i/>
          <w:noProof/>
          <w:lang w:val="fr-CA"/>
        </w:rPr>
        <w:t>Hunter c. Southam Inc.</w:t>
      </w:r>
      <w:r w:rsidRPr="003022C4">
        <w:rPr>
          <w:rFonts w:cs="Times New Roman"/>
          <w:noProof/>
          <w:lang w:val="fr-CA"/>
        </w:rPr>
        <w:t xml:space="preserve">, [1984] 2 R.C.S. 145, </w:t>
      </w:r>
      <w:r>
        <w:rPr>
          <w:rFonts w:cs="Times New Roman"/>
          <w:noProof/>
          <w:lang w:val="fr-CA"/>
        </w:rPr>
        <w:t>p. </w:t>
      </w:r>
      <w:r w:rsidRPr="003022C4">
        <w:rPr>
          <w:rFonts w:cs="Times New Roman"/>
          <w:noProof/>
          <w:lang w:val="fr-CA"/>
        </w:rPr>
        <w:t>169) — « la déférence s’arrête là où commencent les droits constitutionnels que les tribunaux sont chargés de protéger » (</w:t>
      </w:r>
      <w:r w:rsidRPr="003022C4">
        <w:rPr>
          <w:rFonts w:cs="Times New Roman"/>
          <w:i/>
          <w:noProof/>
          <w:lang w:val="fr-CA"/>
        </w:rPr>
        <w:t>Doucet</w:t>
      </w:r>
      <w:r>
        <w:rPr>
          <w:rFonts w:cs="Times New Roman"/>
          <w:i/>
          <w:noProof/>
          <w:lang w:val="fr-CA"/>
        </w:rPr>
        <w:noBreakHyphen/>
      </w:r>
      <w:r w:rsidRPr="003022C4">
        <w:rPr>
          <w:rFonts w:cs="Times New Roman"/>
          <w:i/>
          <w:noProof/>
          <w:lang w:val="fr-CA"/>
        </w:rPr>
        <w:t>Boudreau c. Nouvelle</w:t>
      </w:r>
      <w:r>
        <w:rPr>
          <w:rFonts w:cs="Times New Roman"/>
          <w:i/>
          <w:noProof/>
          <w:lang w:val="fr-CA"/>
        </w:rPr>
        <w:noBreakHyphen/>
      </w:r>
      <w:r w:rsidRPr="003022C4">
        <w:rPr>
          <w:rFonts w:cs="Times New Roman"/>
          <w:i/>
          <w:noProof/>
          <w:lang w:val="fr-CA"/>
        </w:rPr>
        <w:t>Écosse (Ministre de l’Éducation)</w:t>
      </w:r>
      <w:r w:rsidRPr="003022C4">
        <w:rPr>
          <w:rFonts w:cs="Times New Roman"/>
          <w:noProof/>
          <w:lang w:val="fr-CA"/>
        </w:rPr>
        <w:t xml:space="preserve">, 2003 CSC 62, [2003] 3 R.C.S. 3, </w:t>
      </w:r>
      <w:r>
        <w:rPr>
          <w:rFonts w:cs="Times New Roman"/>
          <w:noProof/>
          <w:lang w:val="fr-CA"/>
        </w:rPr>
        <w:t>par. </w:t>
      </w:r>
      <w:r w:rsidRPr="003022C4">
        <w:rPr>
          <w:rFonts w:cs="Times New Roman"/>
          <w:noProof/>
          <w:lang w:val="fr-CA"/>
        </w:rPr>
        <w:t xml:space="preserve">36). Il en est ainsi parce qu’il </w:t>
      </w:r>
      <w:r w:rsidRPr="003022C4">
        <w:rPr>
          <w:rFonts w:cs="Times New Roman"/>
          <w:smallCaps/>
          <w:noProof/>
          <w:lang w:val="fr-CA"/>
        </w:rPr>
        <w:t xml:space="preserve">[traduction] </w:t>
      </w:r>
      <w:r w:rsidRPr="003022C4">
        <w:rPr>
          <w:rFonts w:cs="Times New Roman"/>
          <w:noProof/>
          <w:lang w:val="fr-CA"/>
        </w:rPr>
        <w:t>« appartient nettement [aux tribunaux] de préciser l’état du droit » (</w:t>
      </w:r>
      <w:r w:rsidRPr="003022C4">
        <w:rPr>
          <w:rFonts w:cs="Times New Roman"/>
          <w:i/>
          <w:noProof/>
          <w:lang w:val="fr-CA"/>
        </w:rPr>
        <w:t>Marbury c. Madison</w:t>
      </w:r>
      <w:r w:rsidRPr="003022C4">
        <w:rPr>
          <w:rFonts w:cs="Times New Roman"/>
          <w:noProof/>
          <w:lang w:val="fr-CA"/>
        </w:rPr>
        <w:t xml:space="preserve">, 5 U.S. (1 Cranch) 137 (1803), </w:t>
      </w:r>
      <w:r>
        <w:rPr>
          <w:rFonts w:cs="Times New Roman"/>
          <w:noProof/>
          <w:lang w:val="fr-CA"/>
        </w:rPr>
        <w:t>p. </w:t>
      </w:r>
      <w:r w:rsidRPr="003022C4">
        <w:rPr>
          <w:rFonts w:cs="Times New Roman"/>
          <w:noProof/>
          <w:lang w:val="fr-CA"/>
        </w:rPr>
        <w:t>177).</w:t>
      </w:r>
    </w:p>
    <w:p w14:paraId="2410C450"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Ces principes en matière de réparation — des éléments fondamentaux de notre ordre constitutionnel ainsi que de la démocratie et de la primauté du droit — ont été pris en compte par notre Cour dans les décisions sur les réparations qu’elle a rendues depuis l’entrée en vigueur de la </w:t>
      </w:r>
      <w:r w:rsidRPr="003022C4">
        <w:rPr>
          <w:rFonts w:cs="Times New Roman"/>
          <w:i/>
          <w:noProof/>
          <w:lang w:val="fr-CA"/>
        </w:rPr>
        <w:t>Charte</w:t>
      </w:r>
      <w:r w:rsidRPr="003022C4">
        <w:rPr>
          <w:rFonts w:cs="Times New Roman"/>
          <w:noProof/>
          <w:lang w:val="fr-CA"/>
        </w:rPr>
        <w:t>.</w:t>
      </w:r>
    </w:p>
    <w:p w14:paraId="32480608" w14:textId="77777777" w:rsidR="00F712C6" w:rsidRPr="003022C4" w:rsidRDefault="00F712C6" w:rsidP="00F712C6">
      <w:pPr>
        <w:pStyle w:val="Title3LevelTitre3Niveau"/>
        <w:rPr>
          <w:rFonts w:cs="Times New Roman"/>
          <w:i/>
          <w:noProof/>
          <w:lang w:val="fr-CA"/>
        </w:rPr>
      </w:pPr>
      <w:r w:rsidRPr="003022C4">
        <w:rPr>
          <w:rFonts w:cs="Times New Roman"/>
          <w:iCs/>
          <w:noProof/>
          <w:lang w:val="fr-CA"/>
        </w:rPr>
        <w:t>L’arrêt</w:t>
      </w:r>
      <w:r w:rsidRPr="003022C4">
        <w:rPr>
          <w:rFonts w:cs="Times New Roman"/>
          <w:i/>
          <w:noProof/>
          <w:lang w:val="fr-CA"/>
        </w:rPr>
        <w:t xml:space="preserve"> Schachter</w:t>
      </w:r>
    </w:p>
    <w:p w14:paraId="101C3A00"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Dans </w:t>
      </w:r>
      <w:r>
        <w:rPr>
          <w:rFonts w:cs="Times New Roman"/>
          <w:noProof/>
          <w:lang w:val="fr-CA"/>
        </w:rPr>
        <w:t xml:space="preserve">l’arrêt </w:t>
      </w:r>
      <w:r w:rsidRPr="003022C4">
        <w:rPr>
          <w:rFonts w:cs="Times New Roman"/>
          <w:i/>
          <w:noProof/>
          <w:lang w:val="fr-CA"/>
        </w:rPr>
        <w:t>Schachter</w:t>
      </w:r>
      <w:r w:rsidRPr="003022C4">
        <w:rPr>
          <w:rFonts w:cs="Times New Roman"/>
          <w:noProof/>
          <w:lang w:val="fr-CA"/>
        </w:rPr>
        <w:t xml:space="preserve">, notre Cour a énoncé une façon générale d’accorder des réparations lorsque des lois violent la </w:t>
      </w:r>
      <w:r w:rsidRPr="003022C4">
        <w:rPr>
          <w:rFonts w:cs="Times New Roman"/>
          <w:i/>
          <w:noProof/>
          <w:lang w:val="fr-CA"/>
        </w:rPr>
        <w:t>Charte</w:t>
      </w:r>
      <w:r w:rsidRPr="003022C4">
        <w:rPr>
          <w:rFonts w:cs="Times New Roman"/>
          <w:noProof/>
          <w:lang w:val="fr-CA"/>
        </w:rPr>
        <w:t>. Elle a également approuvé l’octroi de réparations qui sont adaptées à la portée des violations des droits, ce qui permet de conserver les dispositions conformes sur le plan constitutionnel de lois inconstitutionnelles. Dans cet arrêt, notre Cour a également reconnu qu’en de rares circonstances, l’effet d’une déclaration d’invalidité peut être suspendu pendant un certain temps pour protéger l’intérêt public.</w:t>
      </w:r>
    </w:p>
    <w:p w14:paraId="25E9C45B"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La reconnaissance du fait qu’un tribunal doit jouir d’une certaine latitude pour déterminer la réparation qu’il estime convenable conformément à la loi et </w:t>
      </w:r>
      <w:r>
        <w:rPr>
          <w:rFonts w:cs="Times New Roman"/>
          <w:noProof/>
          <w:lang w:val="fr-CA"/>
        </w:rPr>
        <w:t>l’approbation d’</w:t>
      </w:r>
      <w:r w:rsidRPr="003022C4">
        <w:rPr>
          <w:rFonts w:cs="Times New Roman"/>
          <w:noProof/>
          <w:lang w:val="fr-CA"/>
        </w:rPr>
        <w:t>une réparation autre qu’une déclaration d’invalidité intégrale étai</w:t>
      </w:r>
      <w:r>
        <w:rPr>
          <w:rFonts w:cs="Times New Roman"/>
          <w:noProof/>
          <w:lang w:val="fr-CA"/>
        </w:rPr>
        <w:t>en</w:t>
      </w:r>
      <w:r w:rsidRPr="003022C4">
        <w:rPr>
          <w:rFonts w:cs="Times New Roman"/>
          <w:noProof/>
          <w:lang w:val="fr-CA"/>
        </w:rPr>
        <w:t xml:space="preserve">t au cœur </w:t>
      </w:r>
      <w:r>
        <w:rPr>
          <w:rFonts w:cs="Times New Roman"/>
          <w:noProof/>
          <w:lang w:val="fr-CA"/>
        </w:rPr>
        <w:t xml:space="preserve">de l’arrêt </w:t>
      </w:r>
      <w:r w:rsidRPr="003022C4">
        <w:rPr>
          <w:rFonts w:cs="Times New Roman"/>
          <w:i/>
          <w:noProof/>
          <w:lang w:val="fr-CA"/>
        </w:rPr>
        <w:t>Schachter</w:t>
      </w:r>
      <w:r w:rsidRPr="003022C4">
        <w:rPr>
          <w:rFonts w:cs="Times New Roman"/>
          <w:noProof/>
          <w:lang w:val="fr-CA"/>
        </w:rPr>
        <w:t>. Le juge en chef Lamer a clairement indiqué que « [s]elon les circonstances, un tribunal peut simplement annuler une disposition, il peut l’annuler et suspendre temporairement l’effet de la déclaration d’invalidité ou il peut appliquer les techniques d’interprétation atténuée ou d’interprétation large » (</w:t>
      </w:r>
      <w:r>
        <w:rPr>
          <w:rFonts w:cs="Times New Roman"/>
          <w:noProof/>
          <w:lang w:val="fr-CA"/>
        </w:rPr>
        <w:t>p. </w:t>
      </w:r>
      <w:r w:rsidRPr="003022C4">
        <w:rPr>
          <w:rFonts w:cs="Times New Roman"/>
          <w:noProof/>
          <w:lang w:val="fr-CA"/>
        </w:rPr>
        <w:t>695).</w:t>
      </w:r>
    </w:p>
    <w:p w14:paraId="141E8CEF" w14:textId="77777777" w:rsidR="00F712C6" w:rsidRPr="003022C4" w:rsidRDefault="00F712C6" w:rsidP="00F712C6">
      <w:pPr>
        <w:pStyle w:val="ParaNoNdepar-AltN"/>
        <w:rPr>
          <w:rFonts w:cs="Times New Roman"/>
          <w:noProof/>
          <w:lang w:val="fr-CA"/>
        </w:rPr>
      </w:pPr>
      <w:r w:rsidRPr="003022C4">
        <w:rPr>
          <w:rFonts w:cs="Times New Roman"/>
          <w:noProof/>
          <w:lang w:val="fr-CA"/>
        </w:rPr>
        <w:t>Différents types de réparations peuvent être accordées, car les circonstances peuvent faire intervenir de diverses façons les principes généraux en mati</w:t>
      </w:r>
      <w:r>
        <w:rPr>
          <w:rFonts w:cs="Times New Roman"/>
          <w:noProof/>
          <w:lang w:val="fr-CA"/>
        </w:rPr>
        <w:t xml:space="preserve">ère de réparation. Dans l’arrêt </w:t>
      </w:r>
      <w:r w:rsidRPr="003022C4">
        <w:rPr>
          <w:rFonts w:cs="Times New Roman"/>
          <w:i/>
          <w:noProof/>
          <w:lang w:val="fr-CA"/>
        </w:rPr>
        <w:t>Schachter</w:t>
      </w:r>
      <w:r w:rsidRPr="003022C4">
        <w:rPr>
          <w:rFonts w:cs="Times New Roman"/>
          <w:noProof/>
          <w:lang w:val="fr-CA"/>
        </w:rPr>
        <w:t xml:space="preserve">, notre Cour a reconnu les « deux principes directeurs » du « respect du rôle du législateur et des objets de la </w:t>
      </w:r>
      <w:r w:rsidRPr="003022C4">
        <w:rPr>
          <w:rFonts w:cs="Times New Roman"/>
          <w:i/>
          <w:noProof/>
          <w:lang w:val="fr-CA"/>
        </w:rPr>
        <w:t>Charte</w:t>
      </w:r>
      <w:r w:rsidRPr="003022C4">
        <w:rPr>
          <w:rFonts w:cs="Times New Roman"/>
          <w:noProof/>
          <w:lang w:val="fr-CA"/>
        </w:rPr>
        <w:t> » (</w:t>
      </w:r>
      <w:r>
        <w:rPr>
          <w:rFonts w:cs="Times New Roman"/>
          <w:noProof/>
          <w:lang w:val="fr-CA"/>
        </w:rPr>
        <w:t>p. </w:t>
      </w:r>
      <w:r w:rsidRPr="003022C4">
        <w:rPr>
          <w:rFonts w:cs="Times New Roman"/>
          <w:noProof/>
          <w:lang w:val="fr-CA"/>
        </w:rPr>
        <w:t>715), qui jouent un rôle essentiel dans la détermination du type de réparation qui serait accordé.</w:t>
      </w:r>
    </w:p>
    <w:p w14:paraId="7311774D"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Dans </w:t>
      </w:r>
      <w:r>
        <w:rPr>
          <w:rFonts w:cs="Times New Roman"/>
          <w:noProof/>
          <w:lang w:val="fr-CA"/>
        </w:rPr>
        <w:t xml:space="preserve">l’arrêt </w:t>
      </w:r>
      <w:r w:rsidRPr="003022C4">
        <w:rPr>
          <w:rFonts w:cs="Times New Roman"/>
          <w:i/>
          <w:noProof/>
          <w:lang w:val="fr-CA"/>
        </w:rPr>
        <w:t>Schachter</w:t>
      </w:r>
      <w:r w:rsidRPr="003022C4">
        <w:rPr>
          <w:rFonts w:cs="Times New Roman"/>
          <w:noProof/>
          <w:lang w:val="fr-CA"/>
        </w:rPr>
        <w:t>,</w:t>
      </w:r>
      <w:r w:rsidRPr="003022C4">
        <w:rPr>
          <w:rFonts w:cs="Times New Roman"/>
          <w:i/>
          <w:noProof/>
          <w:lang w:val="fr-CA"/>
        </w:rPr>
        <w:t xml:space="preserve"> </w:t>
      </w:r>
      <w:r w:rsidRPr="003022C4">
        <w:rPr>
          <w:rFonts w:cs="Times New Roman"/>
          <w:noProof/>
          <w:lang w:val="fr-CA"/>
        </w:rPr>
        <w:t xml:space="preserve">notre Cour a statué que la première étape du choix de la réparation à accorder consiste à délimiter l’étendue de l’incompatibilité entre la loi et la </w:t>
      </w:r>
      <w:r w:rsidRPr="003022C4">
        <w:rPr>
          <w:rFonts w:cs="Times New Roman"/>
          <w:i/>
          <w:noProof/>
          <w:lang w:val="fr-CA"/>
        </w:rPr>
        <w:t>Charte</w:t>
      </w:r>
      <w:r w:rsidRPr="003022C4">
        <w:rPr>
          <w:rFonts w:cs="Times New Roman"/>
          <w:noProof/>
          <w:lang w:val="fr-CA"/>
        </w:rPr>
        <w:t>. La deuxième étape consiste à déterminer le type de déclaration. Notre Cour a également déclaré qu’en plus de l’étendue de l’incompatibilité, le type de réparation dépendra aussi du respect du rôle du législateur par les tribunaux. En règle générale, des réparations adaptées ne devraient être accordées que lorsqu’un tribunal peut équitablement conclure que le législateur aurait adopté les modifications que le tribunal apporterait à la loi (</w:t>
      </w:r>
      <w:r>
        <w:rPr>
          <w:rFonts w:cs="Times New Roman"/>
          <w:noProof/>
          <w:lang w:val="fr-CA"/>
        </w:rPr>
        <w:t>p. </w:t>
      </w:r>
      <w:r w:rsidRPr="003022C4">
        <w:rPr>
          <w:rFonts w:cs="Times New Roman"/>
          <w:noProof/>
          <w:lang w:val="fr-CA"/>
        </w:rPr>
        <w:t>697 et 700).</w:t>
      </w:r>
    </w:p>
    <w:p w14:paraId="001AB3F2"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Dans </w:t>
      </w:r>
      <w:r>
        <w:rPr>
          <w:rFonts w:cs="Times New Roman"/>
          <w:noProof/>
          <w:lang w:val="fr-CA"/>
        </w:rPr>
        <w:t xml:space="preserve">l’arrêt </w:t>
      </w:r>
      <w:r w:rsidRPr="003022C4">
        <w:rPr>
          <w:rFonts w:cs="Times New Roman"/>
          <w:i/>
          <w:noProof/>
          <w:lang w:val="fr-CA"/>
        </w:rPr>
        <w:t>Schachter</w:t>
      </w:r>
      <w:r w:rsidRPr="003022C4">
        <w:rPr>
          <w:rFonts w:cs="Times New Roman"/>
          <w:noProof/>
          <w:lang w:val="fr-CA"/>
        </w:rPr>
        <w:t>,</w:t>
      </w:r>
      <w:r w:rsidRPr="003022C4">
        <w:rPr>
          <w:rFonts w:cs="Times New Roman"/>
          <w:i/>
          <w:noProof/>
          <w:lang w:val="fr-CA"/>
        </w:rPr>
        <w:t xml:space="preserve"> </w:t>
      </w:r>
      <w:r w:rsidRPr="003022C4">
        <w:rPr>
          <w:rFonts w:cs="Times New Roman"/>
          <w:noProof/>
          <w:lang w:val="fr-CA"/>
        </w:rPr>
        <w:t xml:space="preserve">notre Cour a également </w:t>
      </w:r>
      <w:r>
        <w:rPr>
          <w:rFonts w:cs="Times New Roman"/>
          <w:noProof/>
          <w:lang w:val="fr-CA"/>
        </w:rPr>
        <w:t>ouvert la porte à des déclarations suspendues : des</w:t>
      </w:r>
      <w:r w:rsidRPr="003022C4">
        <w:rPr>
          <w:rFonts w:cs="Times New Roman"/>
          <w:noProof/>
          <w:lang w:val="fr-CA"/>
        </w:rPr>
        <w:t xml:space="preserve"> déclaration</w:t>
      </w:r>
      <w:r>
        <w:rPr>
          <w:rFonts w:cs="Times New Roman"/>
          <w:noProof/>
          <w:lang w:val="fr-CA"/>
        </w:rPr>
        <w:t>s suivant les</w:t>
      </w:r>
      <w:r w:rsidRPr="003022C4">
        <w:rPr>
          <w:rFonts w:cs="Times New Roman"/>
          <w:noProof/>
          <w:lang w:val="fr-CA"/>
        </w:rPr>
        <w:t>quelle</w:t>
      </w:r>
      <w:r>
        <w:rPr>
          <w:rFonts w:cs="Times New Roman"/>
          <w:noProof/>
          <w:lang w:val="fr-CA"/>
        </w:rPr>
        <w:t>s</w:t>
      </w:r>
      <w:r w:rsidRPr="003022C4">
        <w:rPr>
          <w:rFonts w:cs="Times New Roman"/>
          <w:noProof/>
          <w:lang w:val="fr-CA"/>
        </w:rPr>
        <w:t xml:space="preserve"> des dispositions législatives sont inconstitutionnelles, mais dont l’</w:t>
      </w:r>
      <w:r w:rsidRPr="003022C4">
        <w:rPr>
          <w:rFonts w:cs="Times New Roman"/>
          <w:i/>
          <w:noProof/>
          <w:lang w:val="fr-CA"/>
        </w:rPr>
        <w:t xml:space="preserve">effet </w:t>
      </w:r>
      <w:r w:rsidRPr="003022C4">
        <w:rPr>
          <w:rFonts w:cs="Times New Roman"/>
          <w:noProof/>
          <w:lang w:val="fr-CA"/>
        </w:rPr>
        <w:t xml:space="preserve">est suspendu pendant un certain temps. Le juge en chef Lamer a précisé, d’une part, qu’un report peut être justifié compte tenu de l’effet immédiat de cette déclaration sur le public et, d’autre part, que la question de savoir s’il y a lieu de suspendre l’effet d’une déclaration </w:t>
      </w:r>
      <w:r w:rsidRPr="003A2AC2">
        <w:rPr>
          <w:rFonts w:cs="Times New Roman"/>
          <w:i/>
          <w:noProof/>
          <w:lang w:val="fr-CA"/>
        </w:rPr>
        <w:t>ne</w:t>
      </w:r>
      <w:r w:rsidRPr="003022C4">
        <w:rPr>
          <w:rFonts w:cs="Times New Roman"/>
          <w:noProof/>
          <w:lang w:val="fr-CA"/>
        </w:rPr>
        <w:t xml:space="preserve"> devrait </w:t>
      </w:r>
      <w:r w:rsidRPr="003022C4">
        <w:rPr>
          <w:rFonts w:cs="Times New Roman"/>
          <w:i/>
          <w:noProof/>
          <w:lang w:val="fr-CA"/>
        </w:rPr>
        <w:t>pas</w:t>
      </w:r>
      <w:r w:rsidRPr="003022C4">
        <w:rPr>
          <w:rFonts w:cs="Times New Roman"/>
          <w:noProof/>
          <w:lang w:val="fr-CA"/>
        </w:rPr>
        <w:t xml:space="preserve"> dépendre du rôle des tribunaux et des législateurs (</w:t>
      </w:r>
      <w:r>
        <w:rPr>
          <w:rFonts w:cs="Times New Roman"/>
          <w:noProof/>
          <w:lang w:val="fr-CA"/>
        </w:rPr>
        <w:t>p. </w:t>
      </w:r>
      <w:r w:rsidRPr="003022C4">
        <w:rPr>
          <w:rFonts w:cs="Times New Roman"/>
          <w:noProof/>
          <w:lang w:val="fr-CA"/>
        </w:rPr>
        <w:t>717).</w:t>
      </w:r>
    </w:p>
    <w:p w14:paraId="1B75FED8"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Enfin, dans l’arrêt </w:t>
      </w:r>
      <w:r w:rsidRPr="003022C4">
        <w:rPr>
          <w:rFonts w:cs="Times New Roman"/>
          <w:i/>
          <w:noProof/>
          <w:lang w:val="fr-CA"/>
        </w:rPr>
        <w:t>Schachter</w:t>
      </w:r>
      <w:r w:rsidRPr="003022C4">
        <w:rPr>
          <w:rFonts w:cs="Times New Roman"/>
          <w:noProof/>
          <w:lang w:val="fr-CA"/>
        </w:rPr>
        <w:t xml:space="preserve">, notre Cour s’est demandé s’il y a lieu d’accorder des réparations prévues par le </w:t>
      </w:r>
      <w:r>
        <w:rPr>
          <w:rFonts w:cs="Times New Roman"/>
          <w:noProof/>
          <w:lang w:val="fr-CA"/>
        </w:rPr>
        <w:t>par. </w:t>
      </w:r>
      <w:r w:rsidRPr="003022C4">
        <w:rPr>
          <w:rFonts w:cs="Times New Roman"/>
          <w:noProof/>
          <w:lang w:val="fr-CA"/>
        </w:rPr>
        <w:t xml:space="preserve">52(1) en même temps qu’une mesure de réparation individuelle pour des violations de la </w:t>
      </w:r>
      <w:r w:rsidRPr="003022C4">
        <w:rPr>
          <w:rFonts w:cs="Times New Roman"/>
          <w:i/>
          <w:noProof/>
          <w:lang w:val="fr-CA"/>
        </w:rPr>
        <w:t>Charte</w:t>
      </w:r>
      <w:r w:rsidRPr="003022C4">
        <w:rPr>
          <w:rFonts w:cs="Times New Roman"/>
          <w:noProof/>
          <w:lang w:val="fr-CA"/>
        </w:rPr>
        <w:t xml:space="preserve">. Le juge en chef Lamer a conclu qu’« [i]l y aura rarement lieu à une réparation en vertu du </w:t>
      </w:r>
      <w:r>
        <w:rPr>
          <w:rFonts w:cs="Times New Roman"/>
          <w:noProof/>
          <w:lang w:val="fr-CA"/>
        </w:rPr>
        <w:t>par. </w:t>
      </w:r>
      <w:r w:rsidRPr="003022C4">
        <w:rPr>
          <w:rFonts w:cs="Times New Roman"/>
          <w:noProof/>
          <w:lang w:val="fr-CA"/>
        </w:rPr>
        <w:t xml:space="preserve">24(1) de la </w:t>
      </w:r>
      <w:r w:rsidRPr="003022C4">
        <w:rPr>
          <w:rFonts w:cs="Times New Roman"/>
          <w:i/>
          <w:noProof/>
          <w:lang w:val="fr-CA"/>
        </w:rPr>
        <w:t xml:space="preserve">Charte </w:t>
      </w:r>
      <w:r w:rsidRPr="003022C4">
        <w:rPr>
          <w:rFonts w:cs="Times New Roman"/>
          <w:noProof/>
          <w:lang w:val="fr-CA"/>
        </w:rPr>
        <w:t>en même temps » qu’une mesure de réparation qui concerne la loi (</w:t>
      </w:r>
      <w:r>
        <w:rPr>
          <w:rFonts w:cs="Times New Roman"/>
          <w:noProof/>
          <w:lang w:val="fr-CA"/>
        </w:rPr>
        <w:t>p. </w:t>
      </w:r>
      <w:r w:rsidRPr="003022C4">
        <w:rPr>
          <w:rFonts w:cs="Times New Roman"/>
          <w:noProof/>
          <w:lang w:val="fr-CA"/>
        </w:rPr>
        <w:t>720).</w:t>
      </w:r>
    </w:p>
    <w:p w14:paraId="18BE533A" w14:textId="77777777" w:rsidR="00F712C6" w:rsidRPr="003022C4" w:rsidRDefault="00F712C6" w:rsidP="00F712C6">
      <w:pPr>
        <w:pStyle w:val="ParaNoNdepar-AltN"/>
        <w:rPr>
          <w:rFonts w:cs="Times New Roman"/>
          <w:noProof/>
          <w:lang w:val="fr-CA"/>
        </w:rPr>
      </w:pPr>
      <w:r w:rsidRPr="003022C4">
        <w:rPr>
          <w:rFonts w:cs="Times New Roman"/>
          <w:noProof/>
          <w:lang w:val="fr-CA"/>
        </w:rPr>
        <w:t>Trois</w:t>
      </w:r>
      <w:r>
        <w:rPr>
          <w:rFonts w:cs="Times New Roman"/>
          <w:noProof/>
          <w:lang w:val="fr-CA"/>
        </w:rPr>
        <w:t xml:space="preserve"> </w:t>
      </w:r>
      <w:r w:rsidRPr="003022C4">
        <w:rPr>
          <w:rFonts w:cs="Times New Roman"/>
          <w:noProof/>
          <w:lang w:val="fr-CA"/>
        </w:rPr>
        <w:t xml:space="preserve">décennies plus tard, une grande partie de l’arrêt </w:t>
      </w:r>
      <w:r w:rsidRPr="003022C4">
        <w:rPr>
          <w:rFonts w:cs="Times New Roman"/>
          <w:i/>
          <w:noProof/>
          <w:lang w:val="fr-CA"/>
        </w:rPr>
        <w:t xml:space="preserve">Schachter </w:t>
      </w:r>
      <w:r w:rsidRPr="003022C4">
        <w:rPr>
          <w:rFonts w:cs="Times New Roman"/>
          <w:noProof/>
          <w:lang w:val="fr-CA"/>
        </w:rPr>
        <w:t xml:space="preserve">fournit toujours des balises valables aux tribunaux. Toutefois, comme je l’expliquerai, la jurisprudence sur les réparations accordées sous le régime de la </w:t>
      </w:r>
      <w:r w:rsidRPr="003022C4">
        <w:rPr>
          <w:rFonts w:cs="Times New Roman"/>
          <w:i/>
          <w:noProof/>
          <w:lang w:val="fr-CA"/>
        </w:rPr>
        <w:t xml:space="preserve">Charte </w:t>
      </w:r>
      <w:r w:rsidRPr="003022C4">
        <w:rPr>
          <w:rFonts w:cs="Times New Roman"/>
          <w:noProof/>
          <w:lang w:val="fr-CA"/>
        </w:rPr>
        <w:t xml:space="preserve">a pris appui sur les fondements établis dans </w:t>
      </w:r>
      <w:r>
        <w:rPr>
          <w:rFonts w:cs="Times New Roman"/>
          <w:noProof/>
          <w:lang w:val="fr-CA"/>
        </w:rPr>
        <w:t xml:space="preserve">l’arrêt </w:t>
      </w:r>
      <w:r w:rsidRPr="003022C4">
        <w:rPr>
          <w:rFonts w:cs="Times New Roman"/>
          <w:i/>
          <w:noProof/>
          <w:lang w:val="fr-CA"/>
        </w:rPr>
        <w:t>Schachter</w:t>
      </w:r>
      <w:r w:rsidRPr="003022C4">
        <w:rPr>
          <w:rFonts w:cs="Times New Roman"/>
          <w:noProof/>
          <w:lang w:val="fr-CA"/>
        </w:rPr>
        <w:t xml:space="preserve">, mais l’a dépassé à certains égards. Il est certes vrai que, dans cet arrêt, notre Cour recommandait judicieusement aux tribunaux de s’appuyer sur les principes lorsqu’ils rendent des décisions en matière de réparation, mais ces principes ont été peaufinés depuis. En effet, les lignes directrices entérinées dans </w:t>
      </w:r>
      <w:r>
        <w:rPr>
          <w:rFonts w:cs="Times New Roman"/>
          <w:noProof/>
          <w:lang w:val="fr-CA"/>
        </w:rPr>
        <w:t xml:space="preserve">l’arrêt </w:t>
      </w:r>
      <w:r w:rsidRPr="003022C4">
        <w:rPr>
          <w:rFonts w:cs="Times New Roman"/>
          <w:i/>
          <w:noProof/>
          <w:lang w:val="fr-CA"/>
        </w:rPr>
        <w:t xml:space="preserve">Schachter </w:t>
      </w:r>
      <w:r w:rsidRPr="003022C4">
        <w:rPr>
          <w:rFonts w:cs="Times New Roman"/>
          <w:noProof/>
          <w:lang w:val="fr-CA"/>
        </w:rPr>
        <w:t xml:space="preserve">pour ce qui est de déterminer l’étendue des violations des droits étaient liées à une formulation du critère de </w:t>
      </w:r>
      <w:r>
        <w:rPr>
          <w:rFonts w:cs="Times New Roman"/>
          <w:noProof/>
          <w:lang w:val="fr-CA"/>
        </w:rPr>
        <w:t xml:space="preserve">l’arrêt </w:t>
      </w:r>
      <w:r w:rsidRPr="003022C4">
        <w:rPr>
          <w:rFonts w:cs="Times New Roman"/>
          <w:i/>
          <w:noProof/>
          <w:lang w:val="fr-CA"/>
        </w:rPr>
        <w:t xml:space="preserve">Oakes </w:t>
      </w:r>
      <w:r w:rsidRPr="003022C4">
        <w:rPr>
          <w:rFonts w:cs="Times New Roman"/>
          <w:noProof/>
          <w:lang w:val="fr-CA"/>
        </w:rPr>
        <w:t xml:space="preserve">qui a depuis été remplacée. De plus, certains aspects de l’analyse de la Cour concernant la suspension de l’effet d’une déclaration d’invalidité n’ont pas été pris en compte par les tribunaux et ont été critiqués par des auteurs de doctrine parce qu’ils n’étaient pas fondés sur des principes cohérents et ne favorisaient pas une application transparente. Enfin, la mise en garde de la Cour contre l’octroi de réparations fondées sur le </w:t>
      </w:r>
      <w:r>
        <w:rPr>
          <w:rFonts w:cs="Times New Roman"/>
          <w:noProof/>
          <w:lang w:val="fr-CA"/>
        </w:rPr>
        <w:t>par. </w:t>
      </w:r>
      <w:r w:rsidRPr="003022C4">
        <w:rPr>
          <w:rFonts w:cs="Times New Roman"/>
          <w:noProof/>
          <w:lang w:val="fr-CA"/>
        </w:rPr>
        <w:t>52(1) en même temps que des réparations individuelles n’a souvent pas été suivie par les tribunaux.</w:t>
      </w:r>
    </w:p>
    <w:p w14:paraId="588BA71E"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Depuis l’arrêt</w:t>
      </w:r>
      <w:r>
        <w:rPr>
          <w:rFonts w:cs="Times New Roman"/>
          <w:noProof/>
          <w:lang w:val="fr-CA"/>
        </w:rPr>
        <w:t xml:space="preserve"> </w:t>
      </w:r>
      <w:r w:rsidRPr="003022C4">
        <w:rPr>
          <w:rFonts w:cs="Times New Roman"/>
          <w:i/>
          <w:noProof/>
          <w:lang w:val="fr-CA"/>
        </w:rPr>
        <w:t>Schachter</w:t>
      </w:r>
      <w:r w:rsidRPr="003022C4">
        <w:rPr>
          <w:rFonts w:cs="Times New Roman"/>
          <w:noProof/>
          <w:lang w:val="fr-CA"/>
        </w:rPr>
        <w:t>, notre Cour a accordé au moins 60</w:t>
      </w:r>
      <w:r>
        <w:rPr>
          <w:rFonts w:cs="Times New Roman"/>
          <w:noProof/>
          <w:lang w:val="fr-CA"/>
        </w:rPr>
        <w:t xml:space="preserve"> </w:t>
      </w:r>
      <w:r w:rsidRPr="003022C4">
        <w:rPr>
          <w:rFonts w:cs="Times New Roman"/>
          <w:noProof/>
          <w:lang w:val="fr-CA"/>
        </w:rPr>
        <w:t xml:space="preserve">réparations fondées sur le </w:t>
      </w:r>
      <w:r>
        <w:rPr>
          <w:rFonts w:cs="Times New Roman"/>
          <w:noProof/>
          <w:lang w:val="fr-CA"/>
        </w:rPr>
        <w:t>par. </w:t>
      </w:r>
      <w:r w:rsidRPr="003022C4">
        <w:rPr>
          <w:rFonts w:cs="Times New Roman"/>
          <w:noProof/>
          <w:lang w:val="fr-CA"/>
        </w:rPr>
        <w:t xml:space="preserve">52(1) pour des violations de la </w:t>
      </w:r>
      <w:r w:rsidRPr="003022C4">
        <w:rPr>
          <w:rFonts w:cs="Times New Roman"/>
          <w:i/>
          <w:noProof/>
          <w:lang w:val="fr-CA"/>
        </w:rPr>
        <w:t>Charte</w:t>
      </w:r>
      <w:r w:rsidRPr="003022C4">
        <w:rPr>
          <w:rFonts w:cs="Times New Roman"/>
          <w:noProof/>
          <w:lang w:val="fr-CA"/>
        </w:rPr>
        <w:t xml:space="preserve">. À mon avis, les lignes directrices établies </w:t>
      </w:r>
      <w:r>
        <w:rPr>
          <w:rFonts w:cs="Times New Roman"/>
          <w:noProof/>
          <w:lang w:val="fr-CA"/>
        </w:rPr>
        <w:t xml:space="preserve">dans l’arrêt </w:t>
      </w:r>
      <w:r w:rsidRPr="003022C4">
        <w:rPr>
          <w:rFonts w:cs="Times New Roman"/>
          <w:i/>
          <w:noProof/>
          <w:lang w:val="fr-CA"/>
        </w:rPr>
        <w:t xml:space="preserve">Schachter </w:t>
      </w:r>
      <w:r w:rsidRPr="003022C4">
        <w:rPr>
          <w:rFonts w:cs="Times New Roman"/>
          <w:noProof/>
          <w:lang w:val="fr-CA"/>
        </w:rPr>
        <w:t>devraient être précisées et mises à jour compte tenu de ces décisions.</w:t>
      </w:r>
    </w:p>
    <w:p w14:paraId="00971BF2" w14:textId="77777777" w:rsidR="00F712C6" w:rsidRPr="003022C4" w:rsidRDefault="00F712C6" w:rsidP="00F712C6">
      <w:pPr>
        <w:pStyle w:val="Title3LevelTitre3Niveau"/>
        <w:rPr>
          <w:rFonts w:cs="Times New Roman"/>
          <w:noProof/>
          <w:lang w:val="fr-CA"/>
        </w:rPr>
      </w:pPr>
      <w:r w:rsidRPr="003022C4">
        <w:rPr>
          <w:rFonts w:cs="Times New Roman"/>
          <w:noProof/>
          <w:lang w:val="fr-CA"/>
        </w:rPr>
        <w:t xml:space="preserve">Le type et la portée des déclarations prononcées en vertu du </w:t>
      </w:r>
      <w:r>
        <w:rPr>
          <w:rFonts w:cs="Times New Roman"/>
          <w:noProof/>
          <w:lang w:val="fr-CA"/>
        </w:rPr>
        <w:t>par. </w:t>
      </w:r>
      <w:r w:rsidRPr="003022C4">
        <w:rPr>
          <w:rFonts w:cs="Times New Roman"/>
          <w:noProof/>
          <w:lang w:val="fr-CA"/>
        </w:rPr>
        <w:t>52(1)</w:t>
      </w:r>
    </w:p>
    <w:p w14:paraId="4017B18F" w14:textId="257DE545"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Comme le démontre la jurisprudence de notre Cour, et comme le prescrit le libellé du </w:t>
      </w:r>
      <w:r>
        <w:rPr>
          <w:rFonts w:cs="Times New Roman"/>
          <w:noProof/>
          <w:lang w:val="fr-CA"/>
        </w:rPr>
        <w:t>par. </w:t>
      </w:r>
      <w:r w:rsidRPr="003022C4">
        <w:rPr>
          <w:rFonts w:cs="Times New Roman"/>
          <w:noProof/>
          <w:lang w:val="fr-CA"/>
        </w:rPr>
        <w:t xml:space="preserve">52(1), la première étape de l’élaboration de la réparation qu’il convient d’accorder dans un cas donné consiste à déterminer l’étendue de l’incompatibilité de la loi et de la Constitution. Lorsqu’ils conçoivent des réparations adaptées, les tribunaux devraient garder à l’esprit « de quelle façon la loi en question viole la </w:t>
      </w:r>
      <w:r w:rsidRPr="003022C4">
        <w:rPr>
          <w:rFonts w:cs="Times New Roman"/>
          <w:i/>
          <w:noProof/>
          <w:lang w:val="fr-CA"/>
        </w:rPr>
        <w:t xml:space="preserve">Charte </w:t>
      </w:r>
      <w:r w:rsidRPr="003022C4">
        <w:rPr>
          <w:rFonts w:cs="Times New Roman"/>
          <w:noProof/>
          <w:lang w:val="fr-CA"/>
        </w:rPr>
        <w:t>et pourquoi cette violation ne peut être justifiée en vertu de l’article premier » (</w:t>
      </w:r>
      <w:r w:rsidRPr="003022C4">
        <w:rPr>
          <w:rFonts w:cs="Times New Roman"/>
          <w:i/>
          <w:noProof/>
          <w:lang w:val="fr-CA"/>
        </w:rPr>
        <w:t>Schachter</w:t>
      </w:r>
      <w:r w:rsidRPr="003022C4">
        <w:rPr>
          <w:rFonts w:cs="Times New Roman"/>
          <w:noProof/>
          <w:lang w:val="fr-CA"/>
        </w:rPr>
        <w:t xml:space="preserve">, </w:t>
      </w:r>
      <w:r>
        <w:rPr>
          <w:rFonts w:cs="Times New Roman"/>
          <w:noProof/>
          <w:lang w:val="fr-CA"/>
        </w:rPr>
        <w:t>p. </w:t>
      </w:r>
      <w:r w:rsidRPr="003022C4">
        <w:rPr>
          <w:rFonts w:cs="Times New Roman"/>
          <w:noProof/>
          <w:lang w:val="fr-CA"/>
        </w:rPr>
        <w:t xml:space="preserve">702). (Bien que cette ligne directrice générale demeure utile, les tribunaux devraient garder à l’esprit que le critère de </w:t>
      </w:r>
      <w:r>
        <w:rPr>
          <w:rFonts w:cs="Times New Roman"/>
          <w:noProof/>
          <w:lang w:val="fr-CA"/>
        </w:rPr>
        <w:t xml:space="preserve">l’arrêt </w:t>
      </w:r>
      <w:r w:rsidRPr="003022C4">
        <w:rPr>
          <w:rFonts w:cs="Times New Roman"/>
          <w:i/>
          <w:noProof/>
          <w:lang w:val="fr-CA"/>
        </w:rPr>
        <w:t xml:space="preserve">Oakes </w:t>
      </w:r>
      <w:r w:rsidRPr="003022C4">
        <w:rPr>
          <w:rFonts w:cs="Times New Roman"/>
          <w:noProof/>
          <w:lang w:val="fr-CA"/>
        </w:rPr>
        <w:t xml:space="preserve">a évolué depuis le prononcé de </w:t>
      </w:r>
      <w:r>
        <w:rPr>
          <w:rFonts w:cs="Times New Roman"/>
          <w:noProof/>
          <w:lang w:val="fr-CA"/>
        </w:rPr>
        <w:t xml:space="preserve">l’arrêt </w:t>
      </w:r>
      <w:r w:rsidRPr="003022C4">
        <w:rPr>
          <w:rFonts w:cs="Times New Roman"/>
          <w:i/>
          <w:noProof/>
          <w:lang w:val="fr-CA"/>
        </w:rPr>
        <w:t xml:space="preserve">Schachter </w:t>
      </w:r>
      <w:r w:rsidRPr="003022C4">
        <w:rPr>
          <w:rFonts w:cs="Times New Roman"/>
          <w:noProof/>
          <w:lang w:val="fr-CA"/>
        </w:rPr>
        <w:t xml:space="preserve">et qu’il met maintenant l’accent sur la justification de la mesure attentatoire plutôt que de la loi dans son ensemble (comparer l’arrêt </w:t>
      </w:r>
      <w:r w:rsidRPr="003022C4">
        <w:rPr>
          <w:rFonts w:cs="Times New Roman"/>
          <w:i/>
          <w:noProof/>
          <w:lang w:val="fr-CA"/>
        </w:rPr>
        <w:t>Schachter</w:t>
      </w:r>
      <w:r w:rsidRPr="003022C4">
        <w:rPr>
          <w:rFonts w:cs="Times New Roman"/>
          <w:noProof/>
          <w:lang w:val="fr-CA"/>
        </w:rPr>
        <w:t xml:space="preserve">, </w:t>
      </w:r>
      <w:r>
        <w:rPr>
          <w:rFonts w:cs="Times New Roman"/>
          <w:noProof/>
          <w:lang w:val="fr-CA"/>
        </w:rPr>
        <w:t>p. </w:t>
      </w:r>
      <w:r w:rsidRPr="003022C4">
        <w:rPr>
          <w:rFonts w:cs="Times New Roman"/>
          <w:noProof/>
          <w:lang w:val="fr-CA"/>
        </w:rPr>
        <w:t>703</w:t>
      </w:r>
      <w:r>
        <w:rPr>
          <w:rFonts w:cs="Times New Roman"/>
          <w:noProof/>
          <w:lang w:val="fr-CA"/>
        </w:rPr>
        <w:noBreakHyphen/>
      </w:r>
      <w:r w:rsidRPr="003022C4">
        <w:rPr>
          <w:rFonts w:cs="Times New Roman"/>
          <w:noProof/>
          <w:lang w:val="fr-CA"/>
        </w:rPr>
        <w:t xml:space="preserve">705, à l’arrêt </w:t>
      </w:r>
      <w:r w:rsidRPr="003022C4">
        <w:rPr>
          <w:rFonts w:cs="Times New Roman"/>
          <w:i/>
          <w:noProof/>
          <w:lang w:val="fr-CA"/>
        </w:rPr>
        <w:t>RJR</w:t>
      </w:r>
      <w:r>
        <w:rPr>
          <w:rFonts w:cs="Times New Roman"/>
          <w:i/>
          <w:noProof/>
          <w:lang w:val="fr-CA"/>
        </w:rPr>
        <w:noBreakHyphen/>
      </w:r>
      <w:r w:rsidRPr="003022C4">
        <w:rPr>
          <w:rFonts w:cs="Times New Roman"/>
          <w:i/>
          <w:noProof/>
          <w:lang w:val="fr-CA"/>
        </w:rPr>
        <w:t>MacDonald</w:t>
      </w:r>
      <w:r w:rsidRPr="003022C4">
        <w:rPr>
          <w:rFonts w:cs="Times New Roman"/>
          <w:noProof/>
          <w:lang w:val="fr-CA"/>
        </w:rPr>
        <w:t xml:space="preserve">, </w:t>
      </w:r>
      <w:r>
        <w:rPr>
          <w:rFonts w:cs="Times New Roman"/>
          <w:noProof/>
          <w:lang w:val="fr-CA"/>
        </w:rPr>
        <w:t>par. </w:t>
      </w:r>
      <w:r w:rsidR="003A2AC2">
        <w:rPr>
          <w:rFonts w:cs="Times New Roman"/>
          <w:noProof/>
          <w:lang w:val="fr-CA"/>
        </w:rPr>
        <w:t>144</w:t>
      </w:r>
      <w:r w:rsidRPr="003022C4">
        <w:rPr>
          <w:rFonts w:cs="Times New Roman"/>
          <w:noProof/>
          <w:lang w:val="fr-CA"/>
        </w:rPr>
        <w:t>)</w:t>
      </w:r>
      <w:r w:rsidR="003A2AC2">
        <w:rPr>
          <w:rFonts w:cs="Times New Roman"/>
          <w:noProof/>
          <w:lang w:val="fr-CA"/>
        </w:rPr>
        <w:t>.</w:t>
      </w:r>
      <w:r>
        <w:rPr>
          <w:rFonts w:cs="Times New Roman"/>
          <w:noProof/>
          <w:lang w:val="fr-CA"/>
        </w:rPr>
        <w:t>)</w:t>
      </w:r>
      <w:r w:rsidRPr="003022C4">
        <w:rPr>
          <w:rFonts w:cs="Times New Roman"/>
          <w:noProof/>
          <w:lang w:val="fr-CA"/>
        </w:rPr>
        <w:t xml:space="preserve"> L’analyse de la réparation qu’il convient d’accorder repose sur la nature et l’étendue de la violation sous</w:t>
      </w:r>
      <w:r>
        <w:rPr>
          <w:rFonts w:cs="Times New Roman"/>
          <w:noProof/>
          <w:lang w:val="fr-CA"/>
        </w:rPr>
        <w:noBreakHyphen/>
      </w:r>
      <w:r w:rsidRPr="003022C4">
        <w:rPr>
          <w:rFonts w:cs="Times New Roman"/>
          <w:noProof/>
          <w:lang w:val="fr-CA"/>
        </w:rPr>
        <w:t xml:space="preserve">jacente de la </w:t>
      </w:r>
      <w:r w:rsidRPr="003022C4">
        <w:rPr>
          <w:rFonts w:cs="Times New Roman"/>
          <w:i/>
          <w:noProof/>
          <w:lang w:val="fr-CA"/>
        </w:rPr>
        <w:t>Charte</w:t>
      </w:r>
      <w:r w:rsidRPr="003022C4">
        <w:rPr>
          <w:rFonts w:cs="Times New Roman"/>
          <w:noProof/>
          <w:lang w:val="fr-CA"/>
        </w:rPr>
        <w:t>, car la portée de la réparation qui est finalement accordée dépend notamment de l’étendue de la violation.</w:t>
      </w:r>
    </w:p>
    <w:p w14:paraId="68039FF4"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Définir l’étendue de l’inconstitutionnalité en fonction de la violation substantielle de la </w:t>
      </w:r>
      <w:r w:rsidRPr="003022C4">
        <w:rPr>
          <w:rFonts w:cs="Times New Roman"/>
          <w:i/>
          <w:noProof/>
          <w:lang w:val="fr-CA"/>
        </w:rPr>
        <w:t xml:space="preserve">Charte </w:t>
      </w:r>
      <w:r w:rsidRPr="003022C4">
        <w:rPr>
          <w:rFonts w:cs="Times New Roman"/>
          <w:noProof/>
          <w:lang w:val="fr-CA"/>
        </w:rPr>
        <w:t>permet de protéger les droits de toutes les personnes directement touchées en veillant à ce que tous les vices constitutionnels qu’elle renferme soient supprimés. Cela sert également l’intérêt général du public de veiller à ce que les actes de l’État soient conformes à la Constitution. Ce type de réparation va au</w:t>
      </w:r>
      <w:r>
        <w:rPr>
          <w:rFonts w:cs="Times New Roman"/>
          <w:noProof/>
          <w:lang w:val="fr-CA"/>
        </w:rPr>
        <w:noBreakHyphen/>
      </w:r>
      <w:r w:rsidRPr="003022C4">
        <w:rPr>
          <w:rFonts w:cs="Times New Roman"/>
          <w:noProof/>
          <w:lang w:val="fr-CA"/>
        </w:rPr>
        <w:t>delà du demandeur — et peut même être accordé lorsque le demandeur n’est pas directement touché par la loi — parce que « [n]ul ne doit être soumis à une loi inconstitutionnelle » (</w:t>
      </w:r>
      <w:r w:rsidRPr="003022C4">
        <w:rPr>
          <w:rFonts w:cs="Times New Roman"/>
          <w:i/>
          <w:noProof/>
          <w:lang w:val="fr-CA"/>
        </w:rPr>
        <w:t>Nur</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51; voir aussi </w:t>
      </w:r>
      <w:r w:rsidRPr="003022C4">
        <w:rPr>
          <w:rFonts w:cs="Times New Roman"/>
          <w:i/>
          <w:noProof/>
          <w:lang w:val="fr-CA"/>
        </w:rPr>
        <w:t>Big M Drug Mart Ltd.</w:t>
      </w:r>
      <w:r w:rsidRPr="003022C4">
        <w:rPr>
          <w:rFonts w:cs="Times New Roman"/>
          <w:noProof/>
          <w:lang w:val="fr-CA"/>
        </w:rPr>
        <w:t xml:space="preserve">, [1985] 1 R.C.S. 295, </w:t>
      </w:r>
      <w:r>
        <w:rPr>
          <w:rFonts w:cs="Times New Roman"/>
          <w:noProof/>
          <w:lang w:val="fr-CA"/>
        </w:rPr>
        <w:t>p. </w:t>
      </w:r>
      <w:r w:rsidRPr="003022C4">
        <w:rPr>
          <w:rFonts w:cs="Times New Roman"/>
          <w:noProof/>
          <w:lang w:val="fr-CA"/>
        </w:rPr>
        <w:t xml:space="preserve">313). Cette étape de l’analyse tient donc compte de l’objectif de protection des droits que vise la </w:t>
      </w:r>
      <w:r w:rsidRPr="003022C4">
        <w:rPr>
          <w:rFonts w:cs="Times New Roman"/>
          <w:i/>
          <w:noProof/>
          <w:lang w:val="fr-CA"/>
        </w:rPr>
        <w:t>Charte</w:t>
      </w:r>
      <w:r w:rsidRPr="003022C4">
        <w:rPr>
          <w:rFonts w:cs="Times New Roman"/>
          <w:noProof/>
          <w:lang w:val="fr-CA"/>
        </w:rPr>
        <w:t xml:space="preserve">, de l’intérêt qu’a le public à ce que les lois soient conformes à la Constitution, et du libellé du </w:t>
      </w:r>
      <w:r>
        <w:rPr>
          <w:rFonts w:cs="Times New Roman"/>
          <w:noProof/>
          <w:lang w:val="fr-CA"/>
        </w:rPr>
        <w:t>par. </w:t>
      </w:r>
      <w:r w:rsidRPr="003022C4">
        <w:rPr>
          <w:rFonts w:cs="Times New Roman"/>
          <w:noProof/>
          <w:lang w:val="fr-CA"/>
        </w:rPr>
        <w:t xml:space="preserve">52(1) — la loi est inopérante dans la </w:t>
      </w:r>
      <w:r w:rsidRPr="003022C4">
        <w:rPr>
          <w:rFonts w:cs="Times New Roman"/>
          <w:i/>
          <w:noProof/>
          <w:lang w:val="fr-CA"/>
        </w:rPr>
        <w:t xml:space="preserve">pleine </w:t>
      </w:r>
      <w:r w:rsidRPr="003022C4">
        <w:rPr>
          <w:rFonts w:cs="Times New Roman"/>
          <w:noProof/>
          <w:lang w:val="fr-CA"/>
        </w:rPr>
        <w:t>mesure de son incompatibilité avec la Constitution.</w:t>
      </w:r>
    </w:p>
    <w:p w14:paraId="6E1C333F"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Par exemple, lorsque les effets d’une infraction criminelle sur certains groupes de personnes ou dans certaines situations sont jugés inconstitutionnels, </w:t>
      </w:r>
      <w:r w:rsidRPr="003022C4">
        <w:rPr>
          <w:rFonts w:cs="Times New Roman"/>
          <w:i/>
          <w:noProof/>
          <w:lang w:val="fr-CA"/>
        </w:rPr>
        <w:t>l’ensemble</w:t>
      </w:r>
      <w:r w:rsidRPr="003022C4">
        <w:rPr>
          <w:rFonts w:cs="Times New Roman"/>
          <w:noProof/>
          <w:lang w:val="fr-CA"/>
        </w:rPr>
        <w:t xml:space="preserve"> de</w:t>
      </w:r>
      <w:r w:rsidRPr="003022C4">
        <w:rPr>
          <w:rFonts w:cs="Times New Roman"/>
          <w:i/>
          <w:noProof/>
          <w:lang w:val="fr-CA"/>
        </w:rPr>
        <w:t xml:space="preserve"> </w:t>
      </w:r>
      <w:r w:rsidRPr="003022C4">
        <w:rPr>
          <w:rFonts w:cs="Times New Roman"/>
          <w:noProof/>
          <w:lang w:val="fr-CA"/>
        </w:rPr>
        <w:t xml:space="preserve">ces personnes, quelle que soit la situation, ont été dégagées de toute responsabilité criminelle (voir, </w:t>
      </w:r>
      <w:r>
        <w:rPr>
          <w:rFonts w:cs="Times New Roman"/>
          <w:noProof/>
          <w:lang w:val="fr-CA"/>
        </w:rPr>
        <w:t>p. </w:t>
      </w:r>
      <w:r w:rsidRPr="003022C4">
        <w:rPr>
          <w:rFonts w:cs="Times New Roman"/>
          <w:noProof/>
          <w:lang w:val="fr-CA"/>
        </w:rPr>
        <w:t xml:space="preserve">ex., </w:t>
      </w:r>
      <w:r w:rsidRPr="003022C4">
        <w:rPr>
          <w:rFonts w:cs="Times New Roman"/>
          <w:i/>
          <w:noProof/>
          <w:lang w:val="fr-CA"/>
        </w:rPr>
        <w:t>Carter c. Canada (Procureur général)</w:t>
      </w:r>
      <w:r w:rsidRPr="003022C4">
        <w:rPr>
          <w:rFonts w:cs="Times New Roman"/>
          <w:noProof/>
          <w:lang w:val="fr-CA"/>
        </w:rPr>
        <w:t xml:space="preserve">, 2015 CSC 5, [2015] 1 R.C.S. 331; </w:t>
      </w:r>
      <w:r w:rsidRPr="003022C4">
        <w:rPr>
          <w:rFonts w:cs="Times New Roman"/>
          <w:i/>
          <w:noProof/>
          <w:lang w:val="fr-CA"/>
        </w:rPr>
        <w:t>R. c. Sharpe</w:t>
      </w:r>
      <w:r w:rsidRPr="003022C4">
        <w:rPr>
          <w:rFonts w:cs="Times New Roman"/>
          <w:noProof/>
          <w:lang w:val="fr-CA"/>
        </w:rPr>
        <w:t xml:space="preserve">, 2001 CSC 2, [2001] 1 R.C.S. 45, tel qu’interprété dans </w:t>
      </w:r>
      <w:r w:rsidRPr="003022C4">
        <w:rPr>
          <w:rFonts w:cs="Times New Roman"/>
          <w:i/>
          <w:noProof/>
          <w:lang w:val="fr-CA"/>
        </w:rPr>
        <w:t>R. c. Barabash</w:t>
      </w:r>
      <w:r w:rsidRPr="003022C4">
        <w:rPr>
          <w:rFonts w:cs="Times New Roman"/>
          <w:noProof/>
          <w:lang w:val="fr-CA"/>
        </w:rPr>
        <w:t xml:space="preserve">, 2015 CSC 29, [2015] 2 R.C.S. 522; </w:t>
      </w:r>
      <w:r w:rsidRPr="003022C4">
        <w:rPr>
          <w:rFonts w:cs="Times New Roman"/>
          <w:i/>
          <w:noProof/>
          <w:lang w:val="fr-CA"/>
        </w:rPr>
        <w:t>R. c.</w:t>
      </w:r>
      <w:r w:rsidRPr="003022C4">
        <w:rPr>
          <w:rFonts w:cs="Times New Roman"/>
          <w:noProof/>
          <w:lang w:val="fr-CA"/>
        </w:rPr>
        <w:t xml:space="preserve"> </w:t>
      </w:r>
      <w:r w:rsidRPr="003022C4">
        <w:rPr>
          <w:rFonts w:cs="Times New Roman"/>
          <w:i/>
          <w:noProof/>
          <w:lang w:val="fr-CA"/>
        </w:rPr>
        <w:t>Appulonappa</w:t>
      </w:r>
      <w:r w:rsidRPr="003022C4">
        <w:rPr>
          <w:rFonts w:cs="Times New Roman"/>
          <w:noProof/>
          <w:lang w:val="fr-CA"/>
        </w:rPr>
        <w:t xml:space="preserve">, 2015 CSC 59, [2015] 3 R.C.S. 754, tel qu’interprété dans </w:t>
      </w:r>
      <w:r w:rsidRPr="003022C4">
        <w:rPr>
          <w:rFonts w:cs="Times New Roman"/>
          <w:i/>
          <w:noProof/>
          <w:lang w:val="fr-CA"/>
        </w:rPr>
        <w:t>R. c. Rajaratnam</w:t>
      </w:r>
      <w:r w:rsidRPr="003022C4">
        <w:rPr>
          <w:rFonts w:cs="Times New Roman"/>
          <w:noProof/>
          <w:lang w:val="fr-CA"/>
        </w:rPr>
        <w:t xml:space="preserve">, 2019 BCCA 209, 376 C.C.C. (3d) 181; </w:t>
      </w:r>
      <w:r w:rsidRPr="003022C4">
        <w:rPr>
          <w:rFonts w:cs="Times New Roman"/>
          <w:i/>
          <w:noProof/>
          <w:lang w:val="fr-CA"/>
        </w:rPr>
        <w:t>R. c. Smith</w:t>
      </w:r>
      <w:r w:rsidRPr="003022C4">
        <w:rPr>
          <w:rFonts w:cs="Times New Roman"/>
          <w:noProof/>
          <w:lang w:val="fr-CA"/>
        </w:rPr>
        <w:t xml:space="preserve">, 2015 CSC 34, [2015] 2 R.C.S. 602). Il en va de même des dispositions qui prescrivent des peines minimales obligatoires, qui peuvent être invalidées même si le demandeur n’est pas directement touché (voir, </w:t>
      </w:r>
      <w:r>
        <w:rPr>
          <w:rFonts w:cs="Times New Roman"/>
          <w:noProof/>
          <w:lang w:val="fr-CA"/>
        </w:rPr>
        <w:t>p. </w:t>
      </w:r>
      <w:r w:rsidRPr="003022C4">
        <w:rPr>
          <w:rFonts w:cs="Times New Roman"/>
          <w:noProof/>
          <w:lang w:val="fr-CA"/>
        </w:rPr>
        <w:t xml:space="preserve">ex., </w:t>
      </w:r>
      <w:r w:rsidRPr="003022C4">
        <w:rPr>
          <w:rFonts w:cs="Times New Roman"/>
          <w:i/>
          <w:noProof/>
          <w:lang w:val="fr-CA"/>
        </w:rPr>
        <w:t>Nur</w:t>
      </w:r>
      <w:r w:rsidRPr="003022C4">
        <w:rPr>
          <w:rFonts w:cs="Times New Roman"/>
          <w:noProof/>
          <w:lang w:val="fr-CA"/>
        </w:rPr>
        <w:t>;</w:t>
      </w:r>
      <w:r w:rsidRPr="003022C4">
        <w:rPr>
          <w:rFonts w:cs="Times New Roman"/>
          <w:i/>
          <w:noProof/>
          <w:lang w:val="fr-CA"/>
        </w:rPr>
        <w:t xml:space="preserve"> Lloyd</w:t>
      </w:r>
      <w:r w:rsidRPr="003022C4">
        <w:rPr>
          <w:rFonts w:cs="Times New Roman"/>
          <w:noProof/>
          <w:lang w:val="fr-CA"/>
        </w:rPr>
        <w:t>).</w:t>
      </w:r>
    </w:p>
    <w:p w14:paraId="4AE6EF66"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Par contre, il se dégage également du </w:t>
      </w:r>
      <w:r>
        <w:rPr>
          <w:rFonts w:cs="Times New Roman"/>
          <w:noProof/>
          <w:lang w:val="fr-CA"/>
        </w:rPr>
        <w:t>par. </w:t>
      </w:r>
      <w:r w:rsidRPr="003022C4">
        <w:rPr>
          <w:rFonts w:cs="Times New Roman"/>
          <w:noProof/>
          <w:lang w:val="fr-CA"/>
        </w:rPr>
        <w:t xml:space="preserve">52(1) que le public a droit au bénéfice des lois adoptées par le législateur dans la mesure où ces lois ne sont pas incompatibles avec la Constitution. En accordant des réparations adaptées pour corriger un vice constitutionnel en particulier, le tribunal peut préserver les droits constitutionnels de toutes les personnes touchées ainsi que les aspects constitutionnels de la loi en question. D’ailleurs, bon nombre des réparations adaptées qu’a accordées notre Cour tiennent compte de ces deux principes. Les dispositions relatives à des infractions criminelles qui ont été examinées dans les arrêts </w:t>
      </w:r>
      <w:r w:rsidRPr="003022C4">
        <w:rPr>
          <w:rFonts w:cs="Times New Roman"/>
          <w:i/>
          <w:noProof/>
          <w:lang w:val="fr-CA"/>
        </w:rPr>
        <w:t>Carter</w:t>
      </w:r>
      <w:r w:rsidRPr="003022C4">
        <w:rPr>
          <w:rFonts w:cs="Times New Roman"/>
          <w:noProof/>
          <w:lang w:val="fr-CA"/>
        </w:rPr>
        <w:t xml:space="preserve">, </w:t>
      </w:r>
      <w:r w:rsidRPr="003022C4">
        <w:rPr>
          <w:rFonts w:cs="Times New Roman"/>
          <w:i/>
          <w:noProof/>
          <w:lang w:val="fr-CA"/>
        </w:rPr>
        <w:t>Sharpe</w:t>
      </w:r>
      <w:r w:rsidRPr="003022C4">
        <w:rPr>
          <w:rFonts w:cs="Times New Roman"/>
          <w:noProof/>
          <w:lang w:val="fr-CA"/>
        </w:rPr>
        <w:t xml:space="preserve">, </w:t>
      </w:r>
      <w:r w:rsidRPr="003022C4">
        <w:rPr>
          <w:rFonts w:cs="Times New Roman"/>
          <w:i/>
          <w:noProof/>
          <w:lang w:val="fr-CA"/>
        </w:rPr>
        <w:t xml:space="preserve">Smith </w:t>
      </w:r>
      <w:r w:rsidRPr="003022C4">
        <w:rPr>
          <w:rFonts w:cs="Times New Roman"/>
          <w:noProof/>
          <w:lang w:val="fr-CA"/>
        </w:rPr>
        <w:t xml:space="preserve">et </w:t>
      </w:r>
      <w:r w:rsidRPr="003022C4">
        <w:rPr>
          <w:rFonts w:cs="Times New Roman"/>
          <w:i/>
          <w:noProof/>
          <w:lang w:val="fr-CA"/>
        </w:rPr>
        <w:t>Appulonappa</w:t>
      </w:r>
      <w:r w:rsidRPr="003022C4">
        <w:rPr>
          <w:rFonts w:cs="Times New Roman"/>
          <w:noProof/>
          <w:lang w:val="fr-CA"/>
        </w:rPr>
        <w:t xml:space="preserve">, par exemple, ont été déclarées inopérantes </w:t>
      </w:r>
      <w:r w:rsidRPr="003022C4">
        <w:rPr>
          <w:rFonts w:cs="Times New Roman"/>
          <w:i/>
          <w:noProof/>
          <w:lang w:val="fr-CA"/>
        </w:rPr>
        <w:t xml:space="preserve">uniquement </w:t>
      </w:r>
      <w:r w:rsidRPr="003022C4">
        <w:rPr>
          <w:rFonts w:cs="Times New Roman"/>
          <w:noProof/>
          <w:lang w:val="fr-CA"/>
        </w:rPr>
        <w:t>dans la mesure où elles violaient des droits, préservant ainsi leurs effets conformes sur le plan constitutionnel.</w:t>
      </w:r>
    </w:p>
    <w:p w14:paraId="187AEB1B" w14:textId="44A34DAF" w:rsidR="00F712C6" w:rsidRPr="003022C4" w:rsidRDefault="00F712C6" w:rsidP="00F712C6">
      <w:pPr>
        <w:pStyle w:val="ParaNoNdepar-AltN"/>
        <w:spacing w:after="120"/>
        <w:rPr>
          <w:rFonts w:cs="Times New Roman"/>
          <w:noProof/>
          <w:lang w:val="fr-CA"/>
        </w:rPr>
      </w:pPr>
      <w:r>
        <w:rPr>
          <w:rFonts w:cs="Times New Roman"/>
          <w:noProof/>
          <w:lang w:val="fr-CA"/>
        </w:rPr>
        <w:t xml:space="preserve">Dans l’arrêt </w:t>
      </w:r>
      <w:r w:rsidRPr="003022C4">
        <w:rPr>
          <w:rFonts w:cs="Times New Roman"/>
          <w:i/>
          <w:noProof/>
          <w:lang w:val="fr-CA"/>
        </w:rPr>
        <w:t>Schachter</w:t>
      </w:r>
      <w:r w:rsidRPr="003022C4">
        <w:rPr>
          <w:rFonts w:cs="Times New Roman"/>
          <w:noProof/>
          <w:lang w:val="fr-CA"/>
        </w:rPr>
        <w:t>, notre Cour a expliqué que lors du choix du type de déclaration, qui constitue la deuxième étape, des réparations autres que des déclarations d’invalidité intégrales devraient être accordées lorsque la nature de la violation et l’intention du législateur le justifient. Il est rare que des régimes législatifs exhaustifs ou des lois soient annulés dans leur totalité — à ma connaissance, notre Cour n’a procédé ainsi qu’à huit</w:t>
      </w:r>
      <w:r>
        <w:rPr>
          <w:rFonts w:cs="Times New Roman"/>
          <w:noProof/>
          <w:lang w:val="fr-CA"/>
        </w:rPr>
        <w:t xml:space="preserve"> </w:t>
      </w:r>
      <w:r w:rsidRPr="003022C4">
        <w:rPr>
          <w:rFonts w:cs="Times New Roman"/>
          <w:noProof/>
          <w:lang w:val="fr-CA"/>
        </w:rPr>
        <w:t>reprises</w:t>
      </w:r>
      <w:r w:rsidR="003C360F">
        <w:rPr>
          <w:rStyle w:val="FootnoteReference"/>
          <w:rFonts w:cs="Times New Roman"/>
          <w:noProof/>
          <w:lang w:val="fr-CA"/>
        </w:rPr>
        <w:footnoteReference w:id="3"/>
      </w:r>
      <w:r w:rsidRPr="003022C4">
        <w:rPr>
          <w:rFonts w:cs="Times New Roman"/>
          <w:noProof/>
          <w:lang w:val="fr-CA"/>
        </w:rPr>
        <w:t>. Pour garantir au public le bénéfice des lois qui sont adoptées, l’interprétation atténuée, l’interprétation large et la dissociation, qui sont des réparations adaptées à l’étendue de la violation, devraient être utilisées dans la mesure du possible afin de préserver les aspects constitutionnels des lois (</w:t>
      </w:r>
      <w:r w:rsidRPr="003022C4">
        <w:rPr>
          <w:rFonts w:cs="Times New Roman"/>
          <w:i/>
          <w:noProof/>
          <w:lang w:val="fr-CA"/>
        </w:rPr>
        <w:t>Schachter</w:t>
      </w:r>
      <w:r w:rsidRPr="003022C4">
        <w:rPr>
          <w:rFonts w:cs="Times New Roman"/>
          <w:noProof/>
          <w:lang w:val="fr-CA"/>
        </w:rPr>
        <w:t xml:space="preserve">, </w:t>
      </w:r>
      <w:r>
        <w:rPr>
          <w:rFonts w:cs="Times New Roman"/>
          <w:noProof/>
          <w:lang w:val="fr-CA"/>
        </w:rPr>
        <w:t>p. </w:t>
      </w:r>
      <w:r w:rsidRPr="003022C4">
        <w:rPr>
          <w:rFonts w:cs="Times New Roman"/>
          <w:noProof/>
          <w:lang w:val="fr-CA"/>
        </w:rPr>
        <w:t xml:space="preserve">700; </w:t>
      </w:r>
      <w:r w:rsidRPr="003022C4">
        <w:rPr>
          <w:rFonts w:cs="Times New Roman"/>
          <w:i/>
          <w:noProof/>
          <w:lang w:val="fr-CA"/>
        </w:rPr>
        <w:t>Vriend</w:t>
      </w:r>
      <w:r w:rsidRPr="003022C4">
        <w:rPr>
          <w:rFonts w:cs="Times New Roman"/>
          <w:noProof/>
          <w:lang w:val="fr-CA"/>
        </w:rPr>
        <w:t xml:space="preserve">, </w:t>
      </w:r>
      <w:r>
        <w:rPr>
          <w:rFonts w:cs="Times New Roman"/>
          <w:noProof/>
          <w:lang w:val="fr-CA"/>
        </w:rPr>
        <w:t>par. </w:t>
      </w:r>
      <w:r w:rsidRPr="003022C4">
        <w:rPr>
          <w:rFonts w:cs="Times New Roman"/>
          <w:noProof/>
          <w:lang w:val="fr-CA"/>
        </w:rPr>
        <w:t>149</w:t>
      </w:r>
      <w:r>
        <w:rPr>
          <w:rFonts w:cs="Times New Roman"/>
          <w:noProof/>
          <w:lang w:val="fr-CA"/>
        </w:rPr>
        <w:noBreakHyphen/>
      </w:r>
      <w:r w:rsidRPr="003022C4">
        <w:rPr>
          <w:rFonts w:cs="Times New Roman"/>
          <w:noProof/>
          <w:lang w:val="fr-CA"/>
        </w:rPr>
        <w:t xml:space="preserve">150). Fait essentiel, au Canada, la déclaration prononcée supprime les vices constitutionnels de la loi; la déclaration qui ne le fait pas, à l’instar du type de déclaration qu’ont proposé mes collègues les juges Côté et Brown au </w:t>
      </w:r>
      <w:r>
        <w:rPr>
          <w:rFonts w:cs="Times New Roman"/>
          <w:noProof/>
          <w:lang w:val="fr-CA"/>
        </w:rPr>
        <w:t>par. </w:t>
      </w:r>
      <w:r w:rsidRPr="003022C4">
        <w:rPr>
          <w:rFonts w:cs="Times New Roman"/>
          <w:noProof/>
          <w:lang w:val="fr-CA"/>
        </w:rPr>
        <w:t>248 de leurs motifs, s’apparente davantage à la déclaration de « non</w:t>
      </w:r>
      <w:r>
        <w:rPr>
          <w:rFonts w:cs="Times New Roman"/>
          <w:noProof/>
          <w:lang w:val="fr-CA"/>
        </w:rPr>
        <w:noBreakHyphen/>
      </w:r>
      <w:r w:rsidRPr="003022C4">
        <w:rPr>
          <w:rFonts w:cs="Times New Roman"/>
          <w:noProof/>
          <w:lang w:val="fr-CA"/>
        </w:rPr>
        <w:t>conformité » ou d’« </w:t>
      </w:r>
      <w:r>
        <w:rPr>
          <w:rFonts w:cs="Times New Roman"/>
          <w:noProof/>
          <w:lang w:val="fr-CA"/>
        </w:rPr>
        <w:t>incompatibilité </w:t>
      </w:r>
      <w:r w:rsidRPr="003022C4">
        <w:rPr>
          <w:rFonts w:cs="Times New Roman"/>
          <w:noProof/>
          <w:lang w:val="fr-CA"/>
        </w:rPr>
        <w:t xml:space="preserve">» prononcée là où les tribunaux n’ont pas le pouvoir d’annuler une loi inconstitutionnelle (voir, </w:t>
      </w:r>
      <w:r>
        <w:rPr>
          <w:rFonts w:cs="Times New Roman"/>
          <w:noProof/>
          <w:lang w:val="fr-CA"/>
        </w:rPr>
        <w:t>p. </w:t>
      </w:r>
      <w:r w:rsidRPr="003022C4">
        <w:rPr>
          <w:rFonts w:cs="Times New Roman"/>
          <w:noProof/>
          <w:lang w:val="fr-CA"/>
        </w:rPr>
        <w:t xml:space="preserve">ex., </w:t>
      </w:r>
      <w:r w:rsidRPr="003022C4">
        <w:rPr>
          <w:rFonts w:cs="Times New Roman"/>
          <w:i/>
          <w:iCs/>
          <w:noProof/>
          <w:lang w:val="fr-CA"/>
        </w:rPr>
        <w:t>Attorney</w:t>
      </w:r>
      <w:r>
        <w:rPr>
          <w:rFonts w:cs="Times New Roman"/>
          <w:i/>
          <w:iCs/>
          <w:noProof/>
          <w:lang w:val="fr-CA"/>
        </w:rPr>
        <w:noBreakHyphen/>
      </w:r>
      <w:r w:rsidRPr="003022C4">
        <w:rPr>
          <w:rFonts w:cs="Times New Roman"/>
          <w:i/>
          <w:iCs/>
          <w:noProof/>
          <w:lang w:val="fr-CA"/>
        </w:rPr>
        <w:t>General c. Taylor</w:t>
      </w:r>
      <w:r w:rsidRPr="003022C4">
        <w:rPr>
          <w:rFonts w:cs="Times New Roman"/>
          <w:noProof/>
          <w:lang w:val="fr-CA"/>
        </w:rPr>
        <w:t xml:space="preserve">, [2018] NZSC 104, [2019] 1 N.Z.L.R. 213; </w:t>
      </w:r>
      <w:r w:rsidRPr="003022C4">
        <w:rPr>
          <w:rFonts w:cs="Times New Roman"/>
          <w:i/>
          <w:iCs/>
          <w:noProof/>
          <w:lang w:val="fr-CA"/>
        </w:rPr>
        <w:t>Human Rights Act 1998</w:t>
      </w:r>
      <w:r w:rsidRPr="003022C4">
        <w:rPr>
          <w:rFonts w:cs="Times New Roman"/>
          <w:noProof/>
          <w:lang w:val="fr-CA"/>
        </w:rPr>
        <w:t xml:space="preserve"> (R.</w:t>
      </w:r>
      <w:r>
        <w:rPr>
          <w:rFonts w:cs="Times New Roman"/>
          <w:noProof/>
          <w:lang w:val="fr-CA"/>
        </w:rPr>
        <w:noBreakHyphen/>
      </w:r>
      <w:r w:rsidRPr="003022C4">
        <w:rPr>
          <w:rFonts w:cs="Times New Roman"/>
          <w:noProof/>
          <w:lang w:val="fr-CA"/>
        </w:rPr>
        <w:t xml:space="preserve">U.), 1998, c. 42, </w:t>
      </w:r>
      <w:r>
        <w:rPr>
          <w:rFonts w:cs="Times New Roman"/>
          <w:noProof/>
          <w:lang w:val="fr-CA"/>
        </w:rPr>
        <w:t>par. </w:t>
      </w:r>
      <w:r w:rsidRPr="003022C4">
        <w:rPr>
          <w:rFonts w:cs="Times New Roman"/>
          <w:noProof/>
          <w:lang w:val="fr-CA"/>
        </w:rPr>
        <w:t>4(4) et (6)).</w:t>
      </w:r>
    </w:p>
    <w:p w14:paraId="3E9A367D" w14:textId="7796E2A4" w:rsidR="00F712C6" w:rsidRPr="003022C4" w:rsidRDefault="00F712C6" w:rsidP="00F712C6">
      <w:pPr>
        <w:pStyle w:val="ParaNoNdepar-AltN"/>
        <w:rPr>
          <w:rFonts w:cs="Times New Roman"/>
          <w:noProof/>
          <w:lang w:val="fr-CA"/>
        </w:rPr>
      </w:pPr>
      <w:r w:rsidRPr="003022C4">
        <w:rPr>
          <w:rFonts w:cs="Times New Roman"/>
          <w:noProof/>
          <w:lang w:val="fr-CA"/>
        </w:rPr>
        <w:t xml:space="preserve">L’interprétation </w:t>
      </w:r>
      <w:r w:rsidRPr="003022C4">
        <w:rPr>
          <w:rFonts w:cs="Times New Roman"/>
          <w:i/>
          <w:noProof/>
          <w:lang w:val="fr-CA"/>
        </w:rPr>
        <w:t xml:space="preserve">atténuée </w:t>
      </w:r>
      <w:r w:rsidRPr="003022C4">
        <w:rPr>
          <w:rFonts w:cs="Times New Roman"/>
          <w:noProof/>
          <w:lang w:val="fr-CA"/>
        </w:rPr>
        <w:t>consiste pour un tribunal à limiter la portée d’une loi en la déclarant inopérante dans une mesure qu’il définit avec précision. L’interprétation atténuée est une réparation appropriée « [s]i la partie irrégulière d’une loi peut être isolée » (</w:t>
      </w:r>
      <w:r w:rsidRPr="003022C4">
        <w:rPr>
          <w:rFonts w:cs="Times New Roman"/>
          <w:i/>
          <w:noProof/>
          <w:lang w:val="fr-CA"/>
        </w:rPr>
        <w:t>Schachter</w:t>
      </w:r>
      <w:r w:rsidRPr="003022C4">
        <w:rPr>
          <w:rFonts w:cs="Times New Roman"/>
          <w:noProof/>
          <w:lang w:val="fr-CA"/>
        </w:rPr>
        <w:t xml:space="preserve">, </w:t>
      </w:r>
      <w:r>
        <w:rPr>
          <w:rFonts w:cs="Times New Roman"/>
          <w:noProof/>
          <w:lang w:val="fr-CA"/>
        </w:rPr>
        <w:t>p. </w:t>
      </w:r>
      <w:r w:rsidRPr="003022C4">
        <w:rPr>
          <w:rFonts w:cs="Times New Roman"/>
          <w:noProof/>
          <w:lang w:val="fr-CA"/>
        </w:rPr>
        <w:t xml:space="preserve">697). Inversement, l’interprétation </w:t>
      </w:r>
      <w:r w:rsidRPr="003022C4">
        <w:rPr>
          <w:rFonts w:cs="Times New Roman"/>
          <w:i/>
          <w:noProof/>
          <w:lang w:val="fr-CA"/>
        </w:rPr>
        <w:t xml:space="preserve">large </w:t>
      </w:r>
      <w:r w:rsidRPr="003022C4">
        <w:rPr>
          <w:rFonts w:cs="Times New Roman"/>
          <w:noProof/>
          <w:lang w:val="fr-CA"/>
        </w:rPr>
        <w:t xml:space="preserve">consiste pour un tribunal à étendre le champ d’application d’une loi en déclarant inopérante une limitation implicite de sa portée. L’interprétation large est une réparation appropriée lorsque l’incompatibilité avec la Constitution « découle de ce que la loi </w:t>
      </w:r>
      <w:r w:rsidRPr="003022C4">
        <w:rPr>
          <w:rFonts w:cs="Times New Roman"/>
          <w:noProof/>
          <w:u w:val="single"/>
          <w:lang w:val="fr-CA"/>
        </w:rPr>
        <w:t>exclut</w:t>
      </w:r>
      <w:r w:rsidRPr="003022C4">
        <w:rPr>
          <w:rFonts w:cs="Times New Roman"/>
          <w:noProof/>
          <w:lang w:val="fr-CA"/>
        </w:rPr>
        <w:t xml:space="preserve"> à tort plutôt que de ce qu’elle </w:t>
      </w:r>
      <w:r w:rsidRPr="003022C4">
        <w:rPr>
          <w:rFonts w:cs="Times New Roman"/>
          <w:noProof/>
          <w:u w:val="single"/>
          <w:lang w:val="fr-CA"/>
        </w:rPr>
        <w:t>inclut</w:t>
      </w:r>
      <w:r w:rsidRPr="003022C4">
        <w:rPr>
          <w:rFonts w:cs="Times New Roman"/>
          <w:noProof/>
          <w:lang w:val="fr-CA"/>
        </w:rPr>
        <w:t xml:space="preserve"> à tort » (</w:t>
      </w:r>
      <w:r w:rsidRPr="003022C4">
        <w:rPr>
          <w:rFonts w:cs="Times New Roman"/>
          <w:i/>
          <w:noProof/>
          <w:lang w:val="fr-CA"/>
        </w:rPr>
        <w:t>Schachter</w:t>
      </w:r>
      <w:r w:rsidRPr="003022C4">
        <w:rPr>
          <w:rFonts w:cs="Times New Roman"/>
          <w:noProof/>
          <w:lang w:val="fr-CA"/>
        </w:rPr>
        <w:t xml:space="preserve">, </w:t>
      </w:r>
      <w:r>
        <w:rPr>
          <w:rFonts w:cs="Times New Roman"/>
          <w:noProof/>
          <w:lang w:val="fr-CA"/>
        </w:rPr>
        <w:t>p. </w:t>
      </w:r>
      <w:r w:rsidR="0025412A">
        <w:rPr>
          <w:rFonts w:cs="Times New Roman"/>
          <w:noProof/>
          <w:lang w:val="fr-CA"/>
        </w:rPr>
        <w:t>698 (</w:t>
      </w:r>
      <w:r w:rsidRPr="003022C4">
        <w:rPr>
          <w:rFonts w:cs="Times New Roman"/>
          <w:noProof/>
          <w:lang w:val="fr-CA"/>
        </w:rPr>
        <w:t>souligné dans l’original</w:t>
      </w:r>
      <w:r w:rsidR="0025412A">
        <w:rPr>
          <w:rFonts w:cs="Times New Roman"/>
          <w:noProof/>
          <w:lang w:val="fr-CA"/>
        </w:rPr>
        <w:t>)</w:t>
      </w:r>
      <w:r w:rsidRPr="003022C4">
        <w:rPr>
          <w:rFonts w:cs="Times New Roman"/>
          <w:noProof/>
          <w:lang w:val="fr-CA"/>
        </w:rPr>
        <w:t xml:space="preserve">). La </w:t>
      </w:r>
      <w:r w:rsidRPr="003022C4">
        <w:rPr>
          <w:rFonts w:cs="Times New Roman"/>
          <w:i/>
          <w:noProof/>
          <w:lang w:val="fr-CA"/>
        </w:rPr>
        <w:t xml:space="preserve">dissociation </w:t>
      </w:r>
      <w:r w:rsidRPr="003022C4">
        <w:rPr>
          <w:rFonts w:cs="Times New Roman"/>
          <w:noProof/>
          <w:lang w:val="fr-CA"/>
        </w:rPr>
        <w:t>consiste pour un tribunal à déclarer inopérants certains termes d’une loi. Cette technique a les mêmes effets que l’interprétation atténuée ou l’interprétation large dans la mesure où la partie retranchée sert à restreindre ou à élargir la portée de la loi. La dissociation est de mise lorsque la partie irrégulière de la loi est énoncée explicitement dans son libellé. Ces types de réparations démontrent la latitude dont dispose le tribunal lorsqu’il statue sur une violation constitutionnelle.</w:t>
      </w:r>
    </w:p>
    <w:p w14:paraId="3D291E6B" w14:textId="1FA7BECE"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Cependant, si les circonstances ne se prêtent pas à l’octroi de réparations adaptées, il se peut que les réparations empiètent sur la sphère législative. </w:t>
      </w:r>
      <w:r>
        <w:rPr>
          <w:rFonts w:cs="Times New Roman"/>
          <w:noProof/>
          <w:lang w:val="fr-CA"/>
        </w:rPr>
        <w:t xml:space="preserve">Dans l’arrêt </w:t>
      </w:r>
      <w:r w:rsidRPr="003022C4">
        <w:rPr>
          <w:rFonts w:cs="Times New Roman"/>
          <w:i/>
          <w:noProof/>
          <w:lang w:val="fr-CA"/>
        </w:rPr>
        <w:t>Schachter</w:t>
      </w:r>
      <w:r w:rsidRPr="003022C4">
        <w:rPr>
          <w:rFonts w:cs="Times New Roman"/>
          <w:noProof/>
          <w:lang w:val="fr-CA"/>
        </w:rPr>
        <w:t>, notre Cour a précisé que des réparations adaptées ne devraient être accordées que s’il est très plausible de présumer que « le législateur aurait adopté la partie constitutionnelle de la loi en question sans la partie inconstitutionnelle » et qu’il est possible de définir avec précision la partie inconstitutionnelle de la loi (</w:t>
      </w:r>
      <w:r>
        <w:rPr>
          <w:rFonts w:cs="Times New Roman"/>
          <w:noProof/>
          <w:lang w:val="fr-CA"/>
        </w:rPr>
        <w:t>p. </w:t>
      </w:r>
      <w:r w:rsidRPr="003022C4">
        <w:rPr>
          <w:rFonts w:cs="Times New Roman"/>
          <w:noProof/>
          <w:lang w:val="fr-CA"/>
        </w:rPr>
        <w:t xml:space="preserve">697, citant </w:t>
      </w:r>
      <w:r w:rsidRPr="003022C4">
        <w:rPr>
          <w:rFonts w:cs="Times New Roman"/>
          <w:i/>
          <w:noProof/>
          <w:lang w:val="fr-CA"/>
        </w:rPr>
        <w:t>Attorney</w:t>
      </w:r>
      <w:r>
        <w:rPr>
          <w:rFonts w:cs="Times New Roman"/>
          <w:i/>
          <w:noProof/>
          <w:lang w:val="fr-CA"/>
        </w:rPr>
        <w:noBreakHyphen/>
      </w:r>
      <w:r w:rsidRPr="003022C4">
        <w:rPr>
          <w:rFonts w:cs="Times New Roman"/>
          <w:i/>
          <w:noProof/>
          <w:lang w:val="fr-CA"/>
        </w:rPr>
        <w:t>General for Alberta c. Attorney</w:t>
      </w:r>
      <w:r>
        <w:rPr>
          <w:rFonts w:cs="Times New Roman"/>
          <w:i/>
          <w:noProof/>
          <w:lang w:val="fr-CA"/>
        </w:rPr>
        <w:noBreakHyphen/>
      </w:r>
      <w:r w:rsidRPr="003022C4">
        <w:rPr>
          <w:rFonts w:cs="Times New Roman"/>
          <w:i/>
          <w:noProof/>
          <w:lang w:val="fr-CA"/>
        </w:rPr>
        <w:t>General for Canada</w:t>
      </w:r>
      <w:r w:rsidRPr="003022C4">
        <w:rPr>
          <w:rFonts w:cs="Times New Roman"/>
          <w:noProof/>
          <w:lang w:val="fr-CA"/>
        </w:rPr>
        <w:t xml:space="preserve">, [1947] A.C. 503 (C.P.), </w:t>
      </w:r>
      <w:r>
        <w:rPr>
          <w:rFonts w:cs="Times New Roman"/>
          <w:noProof/>
          <w:lang w:val="fr-CA"/>
        </w:rPr>
        <w:t>p. </w:t>
      </w:r>
      <w:r w:rsidRPr="003022C4">
        <w:rPr>
          <w:rFonts w:cs="Times New Roman"/>
          <w:noProof/>
          <w:lang w:val="fr-CA"/>
        </w:rPr>
        <w:t>518). S’il semble peu probable que le législateur aurait édicté la version adaptée de la loi, l’adaptation de la réparation ne serait pas conforme à son choix de politique et porterait donc atteinte à la souveraineté parlementaire (</w:t>
      </w:r>
      <w:r w:rsidRPr="003022C4">
        <w:rPr>
          <w:rFonts w:cs="Times New Roman"/>
          <w:i/>
          <w:noProof/>
          <w:lang w:val="fr-CA"/>
        </w:rPr>
        <w:t>Schachter</w:t>
      </w:r>
      <w:r w:rsidRPr="003022C4">
        <w:rPr>
          <w:rFonts w:cs="Times New Roman"/>
          <w:noProof/>
          <w:lang w:val="fr-CA"/>
        </w:rPr>
        <w:t xml:space="preserve">, </w:t>
      </w:r>
      <w:r>
        <w:rPr>
          <w:rFonts w:cs="Times New Roman"/>
          <w:noProof/>
          <w:lang w:val="fr-CA"/>
        </w:rPr>
        <w:t>p. </w:t>
      </w:r>
      <w:r w:rsidRPr="003022C4">
        <w:rPr>
          <w:rFonts w:cs="Times New Roman"/>
          <w:noProof/>
          <w:lang w:val="fr-CA"/>
        </w:rPr>
        <w:t>705</w:t>
      </w:r>
      <w:r>
        <w:rPr>
          <w:rFonts w:cs="Times New Roman"/>
          <w:noProof/>
          <w:lang w:val="fr-CA"/>
        </w:rPr>
        <w:noBreakHyphen/>
      </w:r>
      <w:r w:rsidRPr="003022C4">
        <w:rPr>
          <w:rFonts w:cs="Times New Roman"/>
          <w:noProof/>
          <w:lang w:val="fr-CA"/>
        </w:rPr>
        <w:t xml:space="preserve">706; </w:t>
      </w:r>
      <w:r w:rsidRPr="003022C4">
        <w:rPr>
          <w:rFonts w:cs="Times New Roman"/>
          <w:i/>
          <w:noProof/>
          <w:lang w:val="fr-CA"/>
        </w:rPr>
        <w:t>Hunter</w:t>
      </w:r>
      <w:r w:rsidRPr="003022C4">
        <w:rPr>
          <w:rFonts w:cs="Times New Roman"/>
          <w:noProof/>
          <w:lang w:val="fr-CA"/>
        </w:rPr>
        <w:t xml:space="preserve">, </w:t>
      </w:r>
      <w:r>
        <w:rPr>
          <w:rFonts w:cs="Times New Roman"/>
          <w:noProof/>
          <w:lang w:val="fr-CA"/>
        </w:rPr>
        <w:t>p. </w:t>
      </w:r>
      <w:r w:rsidRPr="003022C4">
        <w:rPr>
          <w:rFonts w:cs="Times New Roman"/>
          <w:noProof/>
          <w:lang w:val="fr-CA"/>
        </w:rPr>
        <w:t>169). Le sens de la partie de la loi qui reste doit donc être examiné, et des réparations adaptées ne devraient pas être accordées lorsqu’elles risquent de nuire à l’objectif législatif de la loi dans son ensemble (</w:t>
      </w:r>
      <w:r w:rsidRPr="003022C4">
        <w:rPr>
          <w:rFonts w:cs="Times New Roman"/>
          <w:i/>
          <w:noProof/>
          <w:lang w:val="fr-CA"/>
        </w:rPr>
        <w:t>Schachter</w:t>
      </w:r>
      <w:r w:rsidRPr="003022C4">
        <w:rPr>
          <w:rFonts w:cs="Times New Roman"/>
          <w:noProof/>
          <w:lang w:val="fr-CA"/>
        </w:rPr>
        <w:t xml:space="preserve">, </w:t>
      </w:r>
      <w:r>
        <w:rPr>
          <w:rFonts w:cs="Times New Roman"/>
          <w:noProof/>
          <w:lang w:val="fr-CA"/>
        </w:rPr>
        <w:t>p. </w:t>
      </w:r>
      <w:r w:rsidRPr="003022C4">
        <w:rPr>
          <w:rFonts w:cs="Times New Roman"/>
          <w:noProof/>
          <w:lang w:val="fr-CA"/>
        </w:rPr>
        <w:t>705</w:t>
      </w:r>
      <w:r>
        <w:rPr>
          <w:rFonts w:cs="Times New Roman"/>
          <w:noProof/>
          <w:lang w:val="fr-CA"/>
        </w:rPr>
        <w:noBreakHyphen/>
        <w:t xml:space="preserve">715). Par exemple, dans l’arrêt </w:t>
      </w:r>
      <w:r w:rsidRPr="003022C4">
        <w:rPr>
          <w:rFonts w:cs="Times New Roman"/>
          <w:i/>
          <w:noProof/>
          <w:lang w:val="fr-CA"/>
        </w:rPr>
        <w:t>Vriend</w:t>
      </w:r>
      <w:r w:rsidRPr="003022C4">
        <w:rPr>
          <w:rFonts w:cs="Times New Roman"/>
          <w:noProof/>
          <w:lang w:val="fr-CA"/>
        </w:rPr>
        <w:t>, le juge Iacobucci a conclu que l’</w:t>
      </w:r>
      <w:r w:rsidRPr="003022C4">
        <w:rPr>
          <w:rFonts w:cs="Times New Roman"/>
          <w:i/>
          <w:noProof/>
          <w:lang w:val="fr-CA"/>
        </w:rPr>
        <w:t>Individual’s Rights Protection Act</w:t>
      </w:r>
      <w:r w:rsidRPr="003022C4">
        <w:rPr>
          <w:rFonts w:cs="Times New Roman"/>
          <w:noProof/>
          <w:lang w:val="fr-CA"/>
        </w:rPr>
        <w:t>, R.S.A. 1980, c. I</w:t>
      </w:r>
      <w:r>
        <w:rPr>
          <w:rFonts w:cs="Times New Roman"/>
          <w:noProof/>
          <w:lang w:val="fr-CA"/>
        </w:rPr>
        <w:noBreakHyphen/>
      </w:r>
      <w:r w:rsidRPr="003022C4">
        <w:rPr>
          <w:rFonts w:cs="Times New Roman"/>
          <w:noProof/>
          <w:lang w:val="fr-CA"/>
        </w:rPr>
        <w:t>2,</w:t>
      </w:r>
      <w:r w:rsidRPr="003022C4">
        <w:rPr>
          <w:rFonts w:cs="Times New Roman"/>
          <w:i/>
          <w:noProof/>
          <w:lang w:val="fr-CA"/>
        </w:rPr>
        <w:t xml:space="preserve"> </w:t>
      </w:r>
      <w:r w:rsidRPr="003022C4">
        <w:rPr>
          <w:rFonts w:cs="Times New Roman"/>
          <w:noProof/>
          <w:lang w:val="fr-CA"/>
        </w:rPr>
        <w:t>devrait être interprétée comme si les mots « orientation sexuelle » y figuraient parce que ces mots sont assez précis et q</w:t>
      </w:r>
      <w:r>
        <w:rPr>
          <w:rFonts w:cs="Times New Roman"/>
          <w:noProof/>
          <w:lang w:val="fr-CA"/>
        </w:rPr>
        <w:t>ue le législateur aurait choisi</w:t>
      </w:r>
      <w:r w:rsidRPr="003022C4">
        <w:rPr>
          <w:rFonts w:cs="Times New Roman"/>
          <w:noProof/>
          <w:lang w:val="fr-CA"/>
        </w:rPr>
        <w:t xml:space="preserve"> d’intégrer cette catégorie protégée plutôt que de sacrifier l’ensemble du régime (</w:t>
      </w:r>
      <w:r>
        <w:rPr>
          <w:rFonts w:cs="Times New Roman"/>
          <w:noProof/>
          <w:lang w:val="fr-CA"/>
        </w:rPr>
        <w:t>par. </w:t>
      </w:r>
      <w:r w:rsidRPr="003022C4">
        <w:rPr>
          <w:rFonts w:cs="Times New Roman"/>
          <w:noProof/>
          <w:lang w:val="fr-CA"/>
        </w:rPr>
        <w:t>155</w:t>
      </w:r>
      <w:r>
        <w:rPr>
          <w:rFonts w:cs="Times New Roman"/>
          <w:noProof/>
          <w:lang w:val="fr-CA"/>
        </w:rPr>
        <w:noBreakHyphen/>
      </w:r>
      <w:r w:rsidRPr="003022C4">
        <w:rPr>
          <w:rFonts w:cs="Times New Roman"/>
          <w:noProof/>
          <w:lang w:val="fr-CA"/>
        </w:rPr>
        <w:t>160 et 167</w:t>
      </w:r>
      <w:r>
        <w:rPr>
          <w:rFonts w:cs="Times New Roman"/>
          <w:noProof/>
          <w:lang w:val="fr-CA"/>
        </w:rPr>
        <w:noBreakHyphen/>
      </w:r>
      <w:r w:rsidRPr="003022C4">
        <w:rPr>
          <w:rFonts w:cs="Times New Roman"/>
          <w:noProof/>
          <w:lang w:val="fr-CA"/>
        </w:rPr>
        <w:t xml:space="preserve">169). Dans </w:t>
      </w:r>
      <w:r>
        <w:rPr>
          <w:rFonts w:cs="Times New Roman"/>
          <w:noProof/>
          <w:lang w:val="fr-CA"/>
        </w:rPr>
        <w:t xml:space="preserve">l’arrêt </w:t>
      </w:r>
      <w:r w:rsidRPr="003022C4">
        <w:rPr>
          <w:rFonts w:cs="Times New Roman"/>
          <w:i/>
          <w:noProof/>
          <w:lang w:val="fr-CA"/>
        </w:rPr>
        <w:t>R. c. Hall</w:t>
      </w:r>
      <w:r w:rsidRPr="003022C4">
        <w:rPr>
          <w:rFonts w:cs="Times New Roman"/>
          <w:noProof/>
          <w:lang w:val="fr-CA"/>
        </w:rPr>
        <w:t>, 2002 CSC 64, [2002] 3 R.C.S. 309, la juge en chef McLachlin a retranché une partie du troisième motif de refuser d’accorder la mise en liberté sous caution parce que le reste de la disposition « demeure applicable en soi et ne compromet pas l’intention du législateur » (</w:t>
      </w:r>
      <w:r>
        <w:rPr>
          <w:rFonts w:cs="Times New Roman"/>
          <w:noProof/>
          <w:lang w:val="fr-CA"/>
        </w:rPr>
        <w:t>par. </w:t>
      </w:r>
      <w:r w:rsidRPr="003022C4">
        <w:rPr>
          <w:rFonts w:cs="Times New Roman"/>
          <w:noProof/>
          <w:lang w:val="fr-CA"/>
        </w:rPr>
        <w:t>44). Notre Cour a accordé une réparation autre qu’une déclaration d’invalidité intégrale d’une disposition législative au moins 24 fois</w:t>
      </w:r>
      <w:r w:rsidR="00BD64F3">
        <w:rPr>
          <w:rStyle w:val="FootnoteReference"/>
          <w:rFonts w:cs="Times New Roman"/>
          <w:noProof/>
          <w:lang w:val="fr-CA"/>
        </w:rPr>
        <w:footnoteReference w:id="4"/>
      </w:r>
      <w:r w:rsidRPr="003022C4">
        <w:rPr>
          <w:rFonts w:cs="Times New Roman"/>
          <w:noProof/>
          <w:lang w:val="fr-CA"/>
        </w:rPr>
        <w:t>. Néanmoins, une réparation adaptée ne sera souvent pas appropriée. Notre Cour a décidé d’invalider complètement une disposition dans au moins 55 affaires</w:t>
      </w:r>
      <w:r w:rsidR="00BD64F3">
        <w:rPr>
          <w:rStyle w:val="FootnoteReference"/>
          <w:rFonts w:cs="Times New Roman"/>
          <w:noProof/>
          <w:lang w:val="fr-CA"/>
        </w:rPr>
        <w:footnoteReference w:id="5"/>
      </w:r>
      <w:r w:rsidRPr="003022C4">
        <w:rPr>
          <w:rFonts w:cs="Times New Roman"/>
          <w:noProof/>
          <w:lang w:val="fr-CA"/>
        </w:rPr>
        <w:t>, dont les affaires précitées portant sur des dispositions qui prescrivent des peines minimales obligatoires. En adoptant une disposition qui prescrit une peine minimale obligatoire, le législateur veut retirer aux juges leur pouvoir discrétionnaire en la matière. Ainsi, le fait d’adapter une déclaration de manière à rétablir ce pouvoir discrétionnaire dénaturerait la disposition en cause, qui ne serait alors plus conforme à son objectif législatif (</w:t>
      </w:r>
      <w:r w:rsidRPr="003022C4">
        <w:rPr>
          <w:rFonts w:cs="Times New Roman"/>
          <w:i/>
          <w:noProof/>
          <w:lang w:val="fr-CA"/>
        </w:rPr>
        <w:t>R. c. Ferguson</w:t>
      </w:r>
      <w:r w:rsidRPr="003022C4">
        <w:rPr>
          <w:rFonts w:cs="Times New Roman"/>
          <w:noProof/>
          <w:lang w:val="fr-CA"/>
        </w:rPr>
        <w:t xml:space="preserve">, 2008 CSC 6, [2008] 1 R.C.S. 96, </w:t>
      </w:r>
      <w:r>
        <w:rPr>
          <w:rFonts w:cs="Times New Roman"/>
          <w:noProof/>
          <w:lang w:val="fr-CA"/>
        </w:rPr>
        <w:t>par. </w:t>
      </w:r>
      <w:r w:rsidRPr="003022C4">
        <w:rPr>
          <w:rFonts w:cs="Times New Roman"/>
          <w:noProof/>
          <w:lang w:val="fr-CA"/>
        </w:rPr>
        <w:t>50 et 53).</w:t>
      </w:r>
    </w:p>
    <w:p w14:paraId="6D80D3DF" w14:textId="77777777" w:rsidR="00F712C6" w:rsidRPr="003022C4" w:rsidRDefault="00F712C6" w:rsidP="00F712C6">
      <w:pPr>
        <w:pStyle w:val="ParaNoNdepar-AltN"/>
        <w:rPr>
          <w:rFonts w:cs="Times New Roman"/>
          <w:noProof/>
          <w:lang w:val="fr-CA"/>
        </w:rPr>
      </w:pPr>
      <w:r w:rsidRPr="003022C4">
        <w:rPr>
          <w:rFonts w:cs="Times New Roman"/>
          <w:noProof/>
          <w:lang w:val="fr-CA"/>
        </w:rPr>
        <w:t>Le juge en chef</w:t>
      </w:r>
      <w:r>
        <w:rPr>
          <w:rFonts w:cs="Times New Roman"/>
          <w:noProof/>
          <w:lang w:val="fr-CA"/>
        </w:rPr>
        <w:t xml:space="preserve"> </w:t>
      </w:r>
      <w:r w:rsidRPr="003022C4">
        <w:rPr>
          <w:rFonts w:cs="Times New Roman"/>
          <w:noProof/>
          <w:lang w:val="fr-CA"/>
        </w:rPr>
        <w:t>Lamer était également conscient de la limite du rôle judiciaire lo</w:t>
      </w:r>
      <w:r>
        <w:rPr>
          <w:rFonts w:cs="Times New Roman"/>
          <w:noProof/>
          <w:lang w:val="fr-CA"/>
        </w:rPr>
        <w:t xml:space="preserve">rsqu’il a expliqué dans l’arrêt </w:t>
      </w:r>
      <w:r w:rsidRPr="003022C4">
        <w:rPr>
          <w:rFonts w:cs="Times New Roman"/>
          <w:i/>
          <w:noProof/>
          <w:lang w:val="fr-CA"/>
        </w:rPr>
        <w:t xml:space="preserve">Schachter </w:t>
      </w:r>
      <w:r w:rsidRPr="003022C4">
        <w:rPr>
          <w:rFonts w:cs="Times New Roman"/>
          <w:noProof/>
          <w:lang w:val="fr-CA"/>
        </w:rPr>
        <w:t>que des réparations adaptées ne devraient pas être accordées lorsqu’elles ne se « dégage[nt] pas avec suffisamment de précision des exigences de la Constitution », car même si les tribunaux sont en mesure de déterminer les exigences de la Constitution, ils ne sont pas aptes à faire « des choix particuliers entre diverses options » (</w:t>
      </w:r>
      <w:r>
        <w:rPr>
          <w:rFonts w:cs="Times New Roman"/>
          <w:noProof/>
          <w:lang w:val="fr-CA"/>
        </w:rPr>
        <w:t>p. </w:t>
      </w:r>
      <w:r w:rsidRPr="003022C4">
        <w:rPr>
          <w:rFonts w:cs="Times New Roman"/>
          <w:noProof/>
          <w:lang w:val="fr-CA"/>
        </w:rPr>
        <w:t>707).</w:t>
      </w:r>
    </w:p>
    <w:p w14:paraId="024D0C86"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En somme, conformément au principe de la suprématie de la Constitution qui est incorporé dans le </w:t>
      </w:r>
      <w:r>
        <w:rPr>
          <w:rFonts w:cs="Times New Roman"/>
          <w:noProof/>
          <w:lang w:val="fr-CA"/>
        </w:rPr>
        <w:t>par. </w:t>
      </w:r>
      <w:r w:rsidRPr="003022C4">
        <w:rPr>
          <w:rFonts w:cs="Times New Roman"/>
          <w:noProof/>
          <w:lang w:val="fr-CA"/>
        </w:rPr>
        <w:t>52(1), et compte tenu de l’importance de protéger les droits, les tribunaux doivent définir toute l’étendue de l’inconstitutionnalité et corriger celle</w:t>
      </w:r>
      <w:r>
        <w:rPr>
          <w:rFonts w:cs="Times New Roman"/>
          <w:noProof/>
          <w:lang w:val="fr-CA"/>
        </w:rPr>
        <w:noBreakHyphen/>
      </w:r>
      <w:r w:rsidRPr="003022C4">
        <w:rPr>
          <w:rFonts w:cs="Times New Roman"/>
          <w:noProof/>
          <w:lang w:val="fr-CA"/>
        </w:rPr>
        <w:t xml:space="preserve">ci en examinant la nature et la portée précises de la violation de la </w:t>
      </w:r>
      <w:r w:rsidRPr="003022C4">
        <w:rPr>
          <w:rFonts w:cs="Times New Roman"/>
          <w:i/>
          <w:noProof/>
          <w:lang w:val="fr-CA"/>
        </w:rPr>
        <w:t>Charte</w:t>
      </w:r>
      <w:r w:rsidRPr="003022C4">
        <w:rPr>
          <w:rFonts w:cs="Times New Roman"/>
          <w:noProof/>
          <w:lang w:val="fr-CA"/>
        </w:rPr>
        <w:t>. Pour garantir le droit du public au bénéfice des lois qui sont adoptées conformément à notre système démocratique, l’interprétation atténuée, l’interprétation large et la dissociation, qui sont des réparations adaptées à l’étendue de la violation, devraient être utilisées dans la mesure du possible afin de préserver les aspects constitutionnels des lois (</w:t>
      </w:r>
      <w:r w:rsidRPr="003022C4">
        <w:rPr>
          <w:rFonts w:cs="Times New Roman"/>
          <w:i/>
          <w:noProof/>
          <w:lang w:val="fr-CA"/>
        </w:rPr>
        <w:t>Schachter</w:t>
      </w:r>
      <w:r w:rsidRPr="003022C4">
        <w:rPr>
          <w:rFonts w:cs="Times New Roman"/>
          <w:noProof/>
          <w:lang w:val="fr-CA"/>
        </w:rPr>
        <w:t xml:space="preserve">, </w:t>
      </w:r>
      <w:r>
        <w:rPr>
          <w:rFonts w:cs="Times New Roman"/>
          <w:noProof/>
          <w:lang w:val="fr-CA"/>
        </w:rPr>
        <w:t>p. </w:t>
      </w:r>
      <w:r w:rsidRPr="003022C4">
        <w:rPr>
          <w:rFonts w:cs="Times New Roman"/>
          <w:noProof/>
          <w:lang w:val="fr-CA"/>
        </w:rPr>
        <w:t xml:space="preserve">700; </w:t>
      </w:r>
      <w:r w:rsidRPr="003022C4">
        <w:rPr>
          <w:rFonts w:cs="Times New Roman"/>
          <w:i/>
          <w:noProof/>
          <w:lang w:val="fr-CA"/>
        </w:rPr>
        <w:t>Vriend</w:t>
      </w:r>
      <w:r w:rsidRPr="003022C4">
        <w:rPr>
          <w:rFonts w:cs="Times New Roman"/>
          <w:noProof/>
          <w:lang w:val="fr-CA"/>
        </w:rPr>
        <w:t xml:space="preserve">, </w:t>
      </w:r>
      <w:r>
        <w:rPr>
          <w:rFonts w:cs="Times New Roman"/>
          <w:noProof/>
          <w:lang w:val="fr-CA"/>
        </w:rPr>
        <w:t>par. </w:t>
      </w:r>
      <w:r w:rsidRPr="003022C4">
        <w:rPr>
          <w:rFonts w:cs="Times New Roman"/>
          <w:noProof/>
          <w:lang w:val="fr-CA"/>
        </w:rPr>
        <w:t>149</w:t>
      </w:r>
      <w:r>
        <w:rPr>
          <w:rFonts w:cs="Times New Roman"/>
          <w:noProof/>
          <w:lang w:val="fr-CA"/>
        </w:rPr>
        <w:noBreakHyphen/>
      </w:r>
      <w:r w:rsidRPr="003022C4">
        <w:rPr>
          <w:rFonts w:cs="Times New Roman"/>
          <w:noProof/>
          <w:lang w:val="fr-CA"/>
        </w:rPr>
        <w:t xml:space="preserve">150). Pour respecter les rôles différents des tribunaux et des législateurs, un principe fondamental de notre architecture constitutionnelle, le choix d’annuler une loi dans sa totalité ou d’accorder une réparation adaptée en donnant à cette loi une interprétation large, une interprétation atténuée ou en retranchant une de ses dispositions dépend de la réponse à la question de savoir si l’intention du législateur était telle qu’une cour peut raisonnablement conclure qu’il aurait adopté la loi telle que l’a modifiée la cour. </w:t>
      </w:r>
      <w:r w:rsidRPr="003022C4">
        <w:rPr>
          <w:rFonts w:cs="Times New Roman"/>
          <w:noProof/>
          <w:lang w:val="fr-CA" w:eastAsia="en-CA"/>
        </w:rPr>
        <w:t>Pour ce faire, la cour doit déterminer si l’objet général de la loi peut être réalisé sans qu’il y ait violation des droits.</w:t>
      </w:r>
      <w:r w:rsidRPr="003022C4">
        <w:rPr>
          <w:rFonts w:cs="Times New Roman"/>
          <w:noProof/>
          <w:lang w:val="fr-CA"/>
        </w:rPr>
        <w:t xml:space="preserve"> Si une réparation adaptée peut être accordée sans que la cour empiète sur le rôle du législateur, une telle réparation permettra de préserver les effets conformes sur le plan constitutionnel d’une loi ainsi que le bénéfice que cette loi procure au public. La primauté du droit est donc respectée si l’on veille à la conformité des lois avec la Constitution et si l’on s’assure que le public bénéficie des lois dans la mesure du possible.</w:t>
      </w:r>
    </w:p>
    <w:p w14:paraId="60E6238E" w14:textId="77777777" w:rsidR="00F712C6" w:rsidRPr="003022C4" w:rsidRDefault="00F712C6" w:rsidP="00F712C6">
      <w:pPr>
        <w:pStyle w:val="Title3LevelTitre3Niveau"/>
        <w:rPr>
          <w:rFonts w:cs="Times New Roman"/>
          <w:noProof/>
          <w:lang w:val="fr-CA"/>
        </w:rPr>
      </w:pPr>
      <w:r w:rsidRPr="003022C4">
        <w:rPr>
          <w:rFonts w:cs="Times New Roman"/>
          <w:noProof/>
          <w:lang w:val="fr-CA"/>
        </w:rPr>
        <w:t xml:space="preserve">Suspendre l’effet de déclarations prononcées en vertu du </w:t>
      </w:r>
      <w:r>
        <w:rPr>
          <w:rFonts w:cs="Times New Roman"/>
          <w:noProof/>
          <w:lang w:val="fr-CA"/>
        </w:rPr>
        <w:t>par. </w:t>
      </w:r>
      <w:r w:rsidRPr="003022C4">
        <w:rPr>
          <w:rFonts w:cs="Times New Roman"/>
          <w:noProof/>
          <w:lang w:val="fr-CA"/>
        </w:rPr>
        <w:t>52(1)</w:t>
      </w:r>
    </w:p>
    <w:p w14:paraId="77EEE53D"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Il arrive parfois qu’une déclaration d’invalidité avec effet immédiat soit susceptible de porter atteinte à un intérêt qui revêt une importance si grande que, tout bien considéré, les avantages qu’il y a à suspendre l’effet de cette déclaration l’emportent sur les inconvénients du maintien d’une loi inconstitutionnelle qui viole des droits garantis par la </w:t>
      </w:r>
      <w:r w:rsidRPr="003022C4">
        <w:rPr>
          <w:rFonts w:cs="Times New Roman"/>
          <w:i/>
          <w:noProof/>
          <w:lang w:val="fr-CA"/>
        </w:rPr>
        <w:t>Charte</w:t>
      </w:r>
      <w:r w:rsidRPr="003022C4">
        <w:rPr>
          <w:rFonts w:cs="Times New Roman"/>
          <w:noProof/>
          <w:lang w:val="fr-CA"/>
        </w:rPr>
        <w:t>.</w:t>
      </w:r>
    </w:p>
    <w:p w14:paraId="22DD4029" w14:textId="6A5E3666" w:rsidR="00F712C6" w:rsidRPr="003022C4" w:rsidRDefault="00F712C6" w:rsidP="00F712C6">
      <w:pPr>
        <w:pStyle w:val="ParaNoNdepar-AltN"/>
        <w:rPr>
          <w:rFonts w:cs="Times New Roman"/>
          <w:noProof/>
          <w:lang w:val="fr-CA"/>
        </w:rPr>
      </w:pPr>
      <w:r w:rsidRPr="003022C4">
        <w:rPr>
          <w:rFonts w:cs="Times New Roman"/>
          <w:noProof/>
          <w:lang w:val="fr-CA"/>
        </w:rPr>
        <w:t>En tout, notre Cour a suspendu l’effet de déclarations d’invalidité dans 23</w:t>
      </w:r>
      <w:r>
        <w:rPr>
          <w:rFonts w:cs="Times New Roman"/>
          <w:noProof/>
          <w:lang w:val="fr-CA"/>
        </w:rPr>
        <w:t xml:space="preserve"> des quelque 90 </w:t>
      </w:r>
      <w:r w:rsidRPr="003022C4">
        <w:rPr>
          <w:rFonts w:cs="Times New Roman"/>
          <w:noProof/>
          <w:lang w:val="fr-CA"/>
        </w:rPr>
        <w:t xml:space="preserve">arrêts où elle a déclaré inopérantes des dispositions législatives parce qu’elles violaient la </w:t>
      </w:r>
      <w:r w:rsidRPr="003022C4">
        <w:rPr>
          <w:rFonts w:cs="Times New Roman"/>
          <w:i/>
          <w:noProof/>
          <w:lang w:val="fr-CA"/>
        </w:rPr>
        <w:t>Charte</w:t>
      </w:r>
      <w:r w:rsidR="008E0D78" w:rsidRPr="00C15213">
        <w:rPr>
          <w:rStyle w:val="FootnoteReference"/>
          <w:rFonts w:cs="Times New Roman"/>
          <w:noProof/>
          <w:lang w:val="fr-CA"/>
        </w:rPr>
        <w:footnoteReference w:id="6"/>
      </w:r>
      <w:r w:rsidRPr="003022C4">
        <w:rPr>
          <w:rFonts w:cs="Times New Roman"/>
          <w:noProof/>
          <w:lang w:val="fr-CA"/>
        </w:rPr>
        <w:t>. Au cours des 35</w:t>
      </w:r>
      <w:r>
        <w:rPr>
          <w:rFonts w:cs="Times New Roman"/>
          <w:noProof/>
          <w:lang w:val="fr-CA"/>
        </w:rPr>
        <w:t xml:space="preserve"> </w:t>
      </w:r>
      <w:r w:rsidRPr="003022C4">
        <w:rPr>
          <w:rFonts w:cs="Times New Roman"/>
          <w:noProof/>
          <w:lang w:val="fr-CA"/>
        </w:rPr>
        <w:t>dernières années, la méthode utilisée pour suspendre des déclarations d’invalidité a varié. La possibilité de procéder à une suspension a initialement été reconnue lorsqu’une telle réparation était nécessaire pour se prémunir contre de graves menaces à la primauté du droit. Ensuite, dans l’arrêt</w:t>
      </w:r>
      <w:r>
        <w:rPr>
          <w:rFonts w:cs="Times New Roman"/>
          <w:noProof/>
          <w:lang w:val="fr-CA"/>
        </w:rPr>
        <w:t xml:space="preserve"> </w:t>
      </w:r>
      <w:r w:rsidRPr="003022C4">
        <w:rPr>
          <w:rFonts w:cs="Times New Roman"/>
          <w:i/>
          <w:noProof/>
          <w:lang w:val="fr-CA"/>
        </w:rPr>
        <w:t>Schachter</w:t>
      </w:r>
      <w:r w:rsidRPr="003022C4">
        <w:rPr>
          <w:rFonts w:cs="Times New Roman"/>
          <w:noProof/>
          <w:lang w:val="fr-CA"/>
        </w:rPr>
        <w:t>, notre Cour a statué que pour déterminer s’il faut suspendre l’effet de déclarations, il faut se demander si la loi en cause s’inscrit dans une liste de catégories —</w:t>
      </w:r>
      <w:r>
        <w:rPr>
          <w:rFonts w:cs="Times New Roman"/>
          <w:noProof/>
          <w:lang w:val="fr-CA"/>
        </w:rPr>
        <w:t xml:space="preserve"> </w:t>
      </w:r>
      <w:r w:rsidRPr="003022C4">
        <w:rPr>
          <w:rFonts w:cs="Times New Roman"/>
          <w:noProof/>
          <w:lang w:val="fr-CA"/>
        </w:rPr>
        <w:t xml:space="preserve">la primauté du droit est menacée, il existe un danger pour le public ou la loi comporte des avantages limitatifs — en tenant compte de l’intérêt qu’a le public à ce que la loi soit appliquée de façon temporaire. Depuis cet arrêt, d’autres catégories que celles énumérées dans l’arrêt </w:t>
      </w:r>
      <w:r w:rsidRPr="003022C4">
        <w:rPr>
          <w:rFonts w:cs="Times New Roman"/>
          <w:i/>
          <w:noProof/>
          <w:lang w:val="fr-CA"/>
        </w:rPr>
        <w:t xml:space="preserve">Schachter </w:t>
      </w:r>
      <w:r w:rsidRPr="003022C4">
        <w:rPr>
          <w:rFonts w:cs="Times New Roman"/>
          <w:noProof/>
          <w:lang w:val="fr-CA"/>
        </w:rPr>
        <w:t>ont été prises en compte pour suspendre l’effet de déclarations pour d’autres motifs, dont l’existence de préoccupations quant aux rôles et à la compétence des tribun</w:t>
      </w:r>
      <w:r>
        <w:rPr>
          <w:rFonts w:cs="Times New Roman"/>
          <w:noProof/>
          <w:lang w:val="fr-CA"/>
        </w:rPr>
        <w:t xml:space="preserve">aux et des législateurs. Les 12 </w:t>
      </w:r>
      <w:r w:rsidRPr="003022C4">
        <w:rPr>
          <w:rFonts w:cs="Times New Roman"/>
          <w:noProof/>
          <w:lang w:val="fr-CA"/>
        </w:rPr>
        <w:t>déclarations d’invalidité qui o</w:t>
      </w:r>
      <w:r>
        <w:rPr>
          <w:rFonts w:cs="Times New Roman"/>
          <w:noProof/>
          <w:lang w:val="fr-CA"/>
        </w:rPr>
        <w:t xml:space="preserve">nt été prononcées après l’arrêt </w:t>
      </w:r>
      <w:r w:rsidRPr="003022C4">
        <w:rPr>
          <w:rFonts w:cs="Times New Roman"/>
          <w:i/>
          <w:noProof/>
          <w:lang w:val="fr-CA"/>
        </w:rPr>
        <w:t xml:space="preserve">Schachter </w:t>
      </w:r>
      <w:r>
        <w:rPr>
          <w:rFonts w:cs="Times New Roman"/>
          <w:noProof/>
          <w:lang w:val="fr-CA"/>
        </w:rPr>
        <w:t xml:space="preserve">entre 1992 et </w:t>
      </w:r>
      <w:r w:rsidRPr="003022C4">
        <w:rPr>
          <w:rFonts w:cs="Times New Roman"/>
          <w:noProof/>
          <w:lang w:val="fr-CA"/>
        </w:rPr>
        <w:t xml:space="preserve">1997 par suite de violations de la </w:t>
      </w:r>
      <w:r w:rsidRPr="003022C4">
        <w:rPr>
          <w:rFonts w:cs="Times New Roman"/>
          <w:i/>
          <w:noProof/>
          <w:lang w:val="fr-CA"/>
        </w:rPr>
        <w:t>Charte</w:t>
      </w:r>
      <w:r w:rsidRPr="003022C4">
        <w:rPr>
          <w:rFonts w:cs="Times New Roman"/>
          <w:noProof/>
          <w:lang w:val="fr-CA"/>
        </w:rPr>
        <w:t xml:space="preserve"> —</w:t>
      </w:r>
      <w:r>
        <w:rPr>
          <w:rFonts w:cs="Times New Roman"/>
          <w:noProof/>
          <w:lang w:val="fr-CA"/>
        </w:rPr>
        <w:t xml:space="preserve"> de l’arrêt </w:t>
      </w:r>
      <w:r w:rsidRPr="003022C4">
        <w:rPr>
          <w:rFonts w:cs="Times New Roman"/>
          <w:i/>
          <w:noProof/>
          <w:lang w:val="fr-CA"/>
        </w:rPr>
        <w:t xml:space="preserve">Zundel </w:t>
      </w:r>
      <w:r>
        <w:rPr>
          <w:rFonts w:cs="Times New Roman"/>
          <w:noProof/>
          <w:lang w:val="fr-CA"/>
        </w:rPr>
        <w:t xml:space="preserve">à l’arrêt </w:t>
      </w:r>
      <w:r w:rsidRPr="003022C4">
        <w:rPr>
          <w:rFonts w:cs="Times New Roman"/>
          <w:i/>
          <w:noProof/>
          <w:lang w:val="fr-CA"/>
        </w:rPr>
        <w:t xml:space="preserve">Benner — </w:t>
      </w:r>
      <w:r w:rsidRPr="003022C4">
        <w:rPr>
          <w:rFonts w:cs="Times New Roman"/>
          <w:noProof/>
          <w:lang w:val="fr-CA"/>
        </w:rPr>
        <w:t>ont pris effet immédiatement. Par contre,</w:t>
      </w:r>
      <w:r>
        <w:rPr>
          <w:rFonts w:cs="Times New Roman"/>
          <w:noProof/>
          <w:lang w:val="fr-CA"/>
        </w:rPr>
        <w:t xml:space="preserve"> entre 2003 et </w:t>
      </w:r>
      <w:r w:rsidRPr="003022C4">
        <w:rPr>
          <w:rFonts w:cs="Times New Roman"/>
          <w:noProof/>
          <w:lang w:val="fr-CA"/>
        </w:rPr>
        <w:t>2015 —</w:t>
      </w:r>
      <w:r>
        <w:rPr>
          <w:rFonts w:cs="Times New Roman"/>
          <w:noProof/>
          <w:lang w:val="fr-CA"/>
        </w:rPr>
        <w:t xml:space="preserve"> de l’arrêt </w:t>
      </w:r>
      <w:r w:rsidRPr="003022C4">
        <w:rPr>
          <w:rFonts w:cs="Times New Roman"/>
          <w:i/>
          <w:noProof/>
          <w:lang w:val="fr-CA"/>
        </w:rPr>
        <w:t xml:space="preserve">Trociuk </w:t>
      </w:r>
      <w:r>
        <w:rPr>
          <w:rFonts w:cs="Times New Roman"/>
          <w:noProof/>
          <w:lang w:val="fr-CA"/>
        </w:rPr>
        <w:t xml:space="preserve">à l’arrêt </w:t>
      </w:r>
      <w:r w:rsidRPr="003022C4">
        <w:rPr>
          <w:rFonts w:cs="Times New Roman"/>
          <w:i/>
          <w:noProof/>
          <w:lang w:val="fr-CA"/>
        </w:rPr>
        <w:t>Carter —</w:t>
      </w:r>
      <w:r w:rsidRPr="003022C4">
        <w:rPr>
          <w:rFonts w:cs="Times New Roman"/>
          <w:noProof/>
          <w:lang w:val="fr-CA"/>
        </w:rPr>
        <w:t xml:space="preserve"> l’effet de </w:t>
      </w:r>
      <w:r>
        <w:rPr>
          <w:rFonts w:cs="Times New Roman"/>
          <w:noProof/>
          <w:lang w:val="fr-CA"/>
        </w:rPr>
        <w:t xml:space="preserve">13 </w:t>
      </w:r>
      <w:r w:rsidRPr="003022C4">
        <w:rPr>
          <w:rFonts w:cs="Times New Roman"/>
          <w:noProof/>
          <w:lang w:val="fr-CA"/>
        </w:rPr>
        <w:t>déclarations sur</w:t>
      </w:r>
      <w:r>
        <w:rPr>
          <w:rFonts w:cs="Times New Roman"/>
          <w:noProof/>
          <w:lang w:val="fr-CA"/>
        </w:rPr>
        <w:t xml:space="preserve"> </w:t>
      </w:r>
      <w:r w:rsidRPr="003022C4">
        <w:rPr>
          <w:rFonts w:cs="Times New Roman"/>
          <w:noProof/>
          <w:lang w:val="fr-CA"/>
        </w:rPr>
        <w:t xml:space="preserve">17 qui avaient été prononcées en vertu du </w:t>
      </w:r>
      <w:r>
        <w:rPr>
          <w:rFonts w:cs="Times New Roman"/>
          <w:noProof/>
          <w:lang w:val="fr-CA"/>
        </w:rPr>
        <w:t>par. </w:t>
      </w:r>
      <w:r w:rsidRPr="003022C4">
        <w:rPr>
          <w:rFonts w:cs="Times New Roman"/>
          <w:noProof/>
          <w:lang w:val="fr-CA"/>
        </w:rPr>
        <w:t>52(1) a été suspendu. La suspension de l’effet de déclarations dans ces arrêts plus récents a été critiquée parce que cette réparation a été utilisée trop souvent sans qu’une explication suffisante soit fournie. Dans la présente affaire, la Cour a l’occasion de réorienter les principes en matière de réparation qui guident l’exercice du pouvoir discrétionnaire qu’ont les tribunaux de suspendre l’effet d’une déclaration d’invalidité.</w:t>
      </w:r>
    </w:p>
    <w:p w14:paraId="1CF3270F" w14:textId="49360760" w:rsidR="00F712C6" w:rsidRPr="003022C4" w:rsidRDefault="00F712C6" w:rsidP="00F712C6">
      <w:pPr>
        <w:pStyle w:val="ParaNoNdepar-AltN"/>
        <w:rPr>
          <w:rFonts w:cs="Times New Roman"/>
          <w:noProof/>
          <w:lang w:val="fr-CA"/>
        </w:rPr>
      </w:pPr>
      <w:r w:rsidRPr="003022C4">
        <w:rPr>
          <w:rFonts w:cs="Times New Roman"/>
          <w:noProof/>
          <w:lang w:val="fr-CA"/>
        </w:rPr>
        <w:t xml:space="preserve">La suspension de l’effet de déclarations d’invalidité a suscité de grandes préoccupations même si elle en est venue à être utilisée un peu partout dans le monde, notamment au Canada, en Allemagne, en Afrique du Sud, à Hong Kong et en Indonésie (voir, </w:t>
      </w:r>
      <w:r>
        <w:rPr>
          <w:rFonts w:cs="Times New Roman"/>
          <w:noProof/>
          <w:lang w:val="fr-CA"/>
        </w:rPr>
        <w:t>p. </w:t>
      </w:r>
      <w:r w:rsidRPr="003022C4">
        <w:rPr>
          <w:rFonts w:cs="Times New Roman"/>
          <w:noProof/>
          <w:lang w:val="fr-CA"/>
        </w:rPr>
        <w:t xml:space="preserve">ex., Leckey; S. Jhaveri, « Sunsetting suspension orders in Hong Kong » dans </w:t>
      </w:r>
      <w:r>
        <w:rPr>
          <w:rFonts w:cs="Times New Roman"/>
          <w:noProof/>
          <w:lang w:val="fr-CA"/>
        </w:rPr>
        <w:t>P. </w:t>
      </w:r>
      <w:r w:rsidRPr="003022C4">
        <w:rPr>
          <w:rFonts w:cs="Times New Roman"/>
          <w:noProof/>
          <w:lang w:val="fr-CA"/>
        </w:rPr>
        <w:t xml:space="preserve">J. Yap, dir., </w:t>
      </w:r>
      <w:r w:rsidRPr="003022C4">
        <w:rPr>
          <w:rFonts w:cs="Times New Roman"/>
          <w:i/>
          <w:noProof/>
          <w:lang w:val="fr-CA"/>
        </w:rPr>
        <w:t>Constitutional Remedies in Asia</w:t>
      </w:r>
      <w:r w:rsidRPr="003022C4">
        <w:rPr>
          <w:rFonts w:cs="Times New Roman"/>
          <w:noProof/>
          <w:lang w:val="fr-CA"/>
        </w:rPr>
        <w:t xml:space="preserve"> (2019), 49). Bien que la plupart des auteurs reconnaissent que la mise en œuvre immédiate des droits doit céder le pas à d’autres préoccupations constitutionnelles dans certaines circonstances, les opinions varient en ce qui a trait aux principes sous</w:t>
      </w:r>
      <w:r>
        <w:rPr>
          <w:rFonts w:cs="Times New Roman"/>
          <w:noProof/>
          <w:lang w:val="fr-CA"/>
        </w:rPr>
        <w:noBreakHyphen/>
      </w:r>
      <w:r w:rsidRPr="003022C4">
        <w:rPr>
          <w:rFonts w:cs="Times New Roman"/>
          <w:noProof/>
          <w:lang w:val="fr-CA"/>
        </w:rPr>
        <w:t xml:space="preserve">jacents applicables et au juste équilibre qui doit être établi entre ces principes. D’aucuns soutiennent que l’effet d’une déclaration d’invalidité ne devrait être suspendu que dans les </w:t>
      </w:r>
      <w:r w:rsidRPr="003022C4">
        <w:rPr>
          <w:rFonts w:cs="Times New Roman"/>
          <w:smallCaps/>
          <w:noProof/>
          <w:lang w:val="fr-CA"/>
        </w:rPr>
        <w:t xml:space="preserve">[traduction] </w:t>
      </w:r>
      <w:r w:rsidRPr="003022C4">
        <w:rPr>
          <w:rFonts w:cs="Times New Roman"/>
          <w:noProof/>
          <w:lang w:val="fr-CA"/>
        </w:rPr>
        <w:t>« cas extrêmes » afin d’éviter le « chaos juridique » (B. Bird, « The Judicial Notwithstanding Clause</w:t>
      </w:r>
      <w:r w:rsidR="00C15213">
        <w:rPr>
          <w:rFonts w:cs="Times New Roman"/>
          <w:noProof/>
          <w:lang w:val="fr-CA"/>
        </w:rPr>
        <w:t> </w:t>
      </w:r>
      <w:r w:rsidRPr="003022C4">
        <w:rPr>
          <w:rFonts w:cs="Times New Roman"/>
          <w:noProof/>
          <w:lang w:val="fr-CA"/>
        </w:rPr>
        <w:t>: Suspended Declarations of Invalidity » (2019), 42 </w:t>
      </w:r>
      <w:r w:rsidRPr="003022C4">
        <w:rPr>
          <w:rFonts w:cs="Times New Roman"/>
          <w:i/>
          <w:noProof/>
          <w:lang w:val="fr-CA"/>
        </w:rPr>
        <w:t>Man. L.J. </w:t>
      </w:r>
      <w:r w:rsidRPr="003022C4">
        <w:rPr>
          <w:rFonts w:cs="Times New Roman"/>
          <w:noProof/>
          <w:lang w:val="fr-CA"/>
        </w:rPr>
        <w:t xml:space="preserve">23, </w:t>
      </w:r>
      <w:r>
        <w:rPr>
          <w:rFonts w:cs="Times New Roman"/>
          <w:noProof/>
          <w:lang w:val="fr-CA"/>
        </w:rPr>
        <w:t>p. </w:t>
      </w:r>
      <w:r w:rsidRPr="003022C4">
        <w:rPr>
          <w:rFonts w:cs="Times New Roman"/>
          <w:noProof/>
          <w:lang w:val="fr-CA"/>
        </w:rPr>
        <w:t xml:space="preserve">39 et 46). D’autres suggèrent que l’effet de déclarations d’invalidité peut être suspendu pour </w:t>
      </w:r>
      <w:r w:rsidRPr="003022C4">
        <w:rPr>
          <w:rFonts w:cs="Times New Roman"/>
          <w:smallCaps/>
          <w:noProof/>
          <w:lang w:val="fr-CA"/>
        </w:rPr>
        <w:t xml:space="preserve">[traduction] </w:t>
      </w:r>
      <w:r w:rsidRPr="003022C4">
        <w:rPr>
          <w:rFonts w:cs="Times New Roman"/>
          <w:noProof/>
          <w:lang w:val="fr-CA"/>
        </w:rPr>
        <w:t xml:space="preserve">« renvoyer des questions complexes à des institutions législatives » (S. Choudhry et </w:t>
      </w:r>
      <w:r>
        <w:rPr>
          <w:rFonts w:cs="Times New Roman"/>
          <w:noProof/>
          <w:lang w:val="fr-CA"/>
        </w:rPr>
        <w:t>K. </w:t>
      </w:r>
      <w:r w:rsidRPr="003022C4">
        <w:rPr>
          <w:rFonts w:cs="Times New Roman"/>
          <w:noProof/>
          <w:lang w:val="fr-CA"/>
        </w:rPr>
        <w:t xml:space="preserve">Roach, </w:t>
      </w:r>
      <w:r>
        <w:rPr>
          <w:rFonts w:cs="Times New Roman"/>
          <w:noProof/>
          <w:lang w:val="fr-CA"/>
        </w:rPr>
        <w:t>« </w:t>
      </w:r>
      <w:r w:rsidRPr="003022C4">
        <w:rPr>
          <w:rFonts w:cs="Times New Roman"/>
          <w:noProof/>
          <w:lang w:val="fr-CA"/>
        </w:rPr>
        <w:t>Putting the Past Behind Us? Prospective Judicial and Legi</w:t>
      </w:r>
      <w:r>
        <w:rPr>
          <w:rFonts w:cs="Times New Roman"/>
          <w:noProof/>
          <w:lang w:val="fr-CA"/>
        </w:rPr>
        <w:t>slative Constitutional Remedies </w:t>
      </w:r>
      <w:r w:rsidRPr="003022C4">
        <w:rPr>
          <w:rFonts w:cs="Times New Roman"/>
          <w:noProof/>
          <w:lang w:val="fr-CA"/>
        </w:rPr>
        <w:t xml:space="preserve">» (2003), 21 </w:t>
      </w:r>
      <w:r w:rsidRPr="003022C4">
        <w:rPr>
          <w:rFonts w:cs="Times New Roman"/>
          <w:i/>
          <w:noProof/>
          <w:lang w:val="fr-CA"/>
        </w:rPr>
        <w:t xml:space="preserve">S.C.L.R. </w:t>
      </w:r>
      <w:r w:rsidRPr="003022C4">
        <w:rPr>
          <w:rFonts w:cs="Times New Roman"/>
          <w:noProof/>
          <w:lang w:val="fr-CA"/>
        </w:rPr>
        <w:t xml:space="preserve">(2d) 205, </w:t>
      </w:r>
      <w:r>
        <w:rPr>
          <w:rFonts w:cs="Times New Roman"/>
          <w:noProof/>
          <w:lang w:val="fr-CA"/>
        </w:rPr>
        <w:t>p. </w:t>
      </w:r>
      <w:r w:rsidRPr="003022C4">
        <w:rPr>
          <w:rFonts w:cs="Times New Roman"/>
          <w:noProof/>
          <w:lang w:val="fr-CA"/>
        </w:rPr>
        <w:t xml:space="preserve">232), ce qui leur donne l’occasion d’être les premières à répondre à un constat d’inconstitutionnalité. D’autres encore souscrivent à une méthode fondée sur la proportionnalité qui comporterait des facteurs tirés du </w:t>
      </w:r>
      <w:r>
        <w:rPr>
          <w:rFonts w:cs="Times New Roman"/>
          <w:noProof/>
          <w:lang w:val="fr-CA"/>
        </w:rPr>
        <w:t xml:space="preserve">critère de l’arrêt </w:t>
      </w:r>
      <w:r w:rsidRPr="003022C4">
        <w:rPr>
          <w:rFonts w:cs="Times New Roman"/>
          <w:i/>
          <w:noProof/>
          <w:lang w:val="fr-CA"/>
        </w:rPr>
        <w:t xml:space="preserve">Oakes </w:t>
      </w:r>
      <w:r w:rsidRPr="003022C4">
        <w:rPr>
          <w:rFonts w:cs="Times New Roman"/>
          <w:noProof/>
          <w:lang w:val="fr-CA"/>
        </w:rPr>
        <w:t xml:space="preserve">afin d’obliger le gouvernement à démontrer qu’une suspension est justifiée (Hoole, </w:t>
      </w:r>
      <w:r>
        <w:rPr>
          <w:rFonts w:cs="Times New Roman"/>
          <w:noProof/>
          <w:lang w:val="fr-CA"/>
        </w:rPr>
        <w:t>p. </w:t>
      </w:r>
      <w:r w:rsidRPr="003022C4">
        <w:rPr>
          <w:rFonts w:cs="Times New Roman"/>
          <w:noProof/>
          <w:lang w:val="fr-CA"/>
        </w:rPr>
        <w:t>136</w:t>
      </w:r>
      <w:r>
        <w:rPr>
          <w:rFonts w:cs="Times New Roman"/>
          <w:noProof/>
          <w:lang w:val="fr-CA"/>
        </w:rPr>
        <w:noBreakHyphen/>
      </w:r>
      <w:r w:rsidRPr="003022C4">
        <w:rPr>
          <w:rFonts w:cs="Times New Roman"/>
          <w:noProof/>
          <w:lang w:val="fr-CA"/>
        </w:rPr>
        <w:t xml:space="preserve">147; B. Ryder, </w:t>
      </w:r>
      <w:r>
        <w:rPr>
          <w:rFonts w:cs="Times New Roman"/>
          <w:noProof/>
          <w:lang w:val="fr-CA"/>
        </w:rPr>
        <w:t>« Suspending the Charter </w:t>
      </w:r>
      <w:r w:rsidRPr="003022C4">
        <w:rPr>
          <w:rFonts w:cs="Times New Roman"/>
          <w:noProof/>
          <w:lang w:val="fr-CA"/>
        </w:rPr>
        <w:t xml:space="preserve">» (2003), 21 </w:t>
      </w:r>
      <w:r w:rsidRPr="0025412A">
        <w:rPr>
          <w:rFonts w:cs="Times New Roman"/>
          <w:i/>
          <w:noProof/>
          <w:lang w:val="fr-CA"/>
        </w:rPr>
        <w:t>S.C.L.R.</w:t>
      </w:r>
      <w:r w:rsidRPr="003022C4">
        <w:rPr>
          <w:rFonts w:cs="Times New Roman"/>
          <w:noProof/>
          <w:lang w:val="fr-CA"/>
        </w:rPr>
        <w:t xml:space="preserve"> (2d) 267, </w:t>
      </w:r>
      <w:r>
        <w:rPr>
          <w:rFonts w:cs="Times New Roman"/>
          <w:noProof/>
          <w:lang w:val="fr-CA"/>
        </w:rPr>
        <w:t>p. </w:t>
      </w:r>
      <w:r w:rsidRPr="003022C4">
        <w:rPr>
          <w:rFonts w:cs="Times New Roman"/>
          <w:noProof/>
          <w:lang w:val="fr-CA"/>
        </w:rPr>
        <w:t>282</w:t>
      </w:r>
      <w:r>
        <w:rPr>
          <w:rFonts w:cs="Times New Roman"/>
          <w:noProof/>
          <w:lang w:val="fr-CA"/>
        </w:rPr>
        <w:noBreakHyphen/>
      </w:r>
      <w:r w:rsidRPr="003022C4">
        <w:rPr>
          <w:rFonts w:cs="Times New Roman"/>
          <w:noProof/>
          <w:lang w:val="fr-CA"/>
        </w:rPr>
        <w:t>283). Cependant, tous les auteurs reconnaissent un certain pouvoir discrétionnaire de suspendre l’effet de déclarations d’invalidité au Canada.</w:t>
      </w:r>
    </w:p>
    <w:p w14:paraId="372E2CD6" w14:textId="3AC5328B" w:rsidR="00F712C6" w:rsidRPr="003022C4" w:rsidRDefault="00F712C6" w:rsidP="00F712C6">
      <w:pPr>
        <w:pStyle w:val="ParaNoNdepar-AltN"/>
        <w:rPr>
          <w:rFonts w:cs="Times New Roman"/>
          <w:noProof/>
          <w:lang w:val="fr-CA"/>
        </w:rPr>
      </w:pPr>
      <w:r w:rsidRPr="003022C4">
        <w:rPr>
          <w:rFonts w:cs="Times New Roman"/>
          <w:noProof/>
          <w:lang w:val="fr-CA"/>
        </w:rPr>
        <w:t xml:space="preserve">Même si le </w:t>
      </w:r>
      <w:r>
        <w:rPr>
          <w:rFonts w:cs="Times New Roman"/>
          <w:noProof/>
          <w:lang w:val="fr-CA"/>
        </w:rPr>
        <w:t>par. </w:t>
      </w:r>
      <w:r w:rsidRPr="003022C4">
        <w:rPr>
          <w:rFonts w:cs="Times New Roman"/>
          <w:noProof/>
          <w:lang w:val="fr-CA"/>
        </w:rPr>
        <w:t>52(1) ne confère pas explicitement le pouvoir de suspendre l’effet d’une déclaration</w:t>
      </w:r>
      <w:r w:rsidR="00C15213">
        <w:rPr>
          <w:rStyle w:val="FootnoteReference"/>
          <w:rFonts w:cs="Times New Roman"/>
          <w:noProof/>
          <w:lang w:val="fr-CA"/>
        </w:rPr>
        <w:footnoteReference w:id="7"/>
      </w:r>
      <w:r w:rsidRPr="003022C4">
        <w:rPr>
          <w:rFonts w:cs="Times New Roman"/>
          <w:noProof/>
          <w:lang w:val="fr-CA"/>
        </w:rPr>
        <w:t>, dans les décisions constitutionnelles, les tribunaux « peu[ven]t tenir compte des postulats non écrits qui constituent le fondement même de la Constitution du Canada » (</w:t>
      </w:r>
      <w:r w:rsidRPr="003022C4">
        <w:rPr>
          <w:rFonts w:cs="Times New Roman"/>
          <w:i/>
          <w:noProof/>
          <w:lang w:val="fr-CA"/>
        </w:rPr>
        <w:t>Droits linguistiques au Manitoba</w:t>
      </w:r>
      <w:r w:rsidRPr="003022C4">
        <w:rPr>
          <w:rFonts w:cs="Times New Roman"/>
          <w:noProof/>
          <w:lang w:val="fr-CA"/>
        </w:rPr>
        <w:t xml:space="preserve">, </w:t>
      </w:r>
      <w:r>
        <w:rPr>
          <w:rFonts w:cs="Times New Roman"/>
          <w:noProof/>
          <w:lang w:val="fr-CA"/>
        </w:rPr>
        <w:t>p. </w:t>
      </w:r>
      <w:r w:rsidRPr="003022C4">
        <w:rPr>
          <w:rFonts w:cs="Times New Roman"/>
          <w:noProof/>
          <w:lang w:val="fr-CA"/>
        </w:rPr>
        <w:t xml:space="preserve">752; voir aussi </w:t>
      </w:r>
      <w:r w:rsidRPr="003022C4">
        <w:rPr>
          <w:rFonts w:cs="Times New Roman"/>
          <w:i/>
          <w:noProof/>
          <w:lang w:val="fr-CA"/>
        </w:rPr>
        <w:t>R. c. Comeau</w:t>
      </w:r>
      <w:r w:rsidRPr="003022C4">
        <w:rPr>
          <w:rFonts w:cs="Times New Roman"/>
          <w:noProof/>
          <w:lang w:val="fr-CA"/>
        </w:rPr>
        <w:t xml:space="preserve">, 2018 CSC 15, [2018] 1 R.C.S. 342, </w:t>
      </w:r>
      <w:r>
        <w:rPr>
          <w:rFonts w:cs="Times New Roman"/>
          <w:noProof/>
          <w:lang w:val="fr-CA"/>
        </w:rPr>
        <w:t>par. </w:t>
      </w:r>
      <w:r w:rsidRPr="003022C4">
        <w:rPr>
          <w:rFonts w:cs="Times New Roman"/>
          <w:noProof/>
          <w:lang w:val="fr-CA"/>
        </w:rPr>
        <w:t>52).</w:t>
      </w:r>
    </w:p>
    <w:p w14:paraId="017AE50A"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Le pouvoir de suspendre l’effet d’une déclaration d’invalidité devrait être perçu comme découlant de la prise en compte de considérations constitutionnelles générales et ce pouvoir est compris dans celui de déclarer une loi invalide (voir </w:t>
      </w:r>
      <w:r w:rsidRPr="003022C4">
        <w:rPr>
          <w:rFonts w:cs="Times New Roman"/>
          <w:i/>
          <w:noProof/>
          <w:lang w:val="fr-CA"/>
        </w:rPr>
        <w:t>Koo Sze Yiu c. Chief Executive of the HKSAR</w:t>
      </w:r>
      <w:r w:rsidRPr="003022C4">
        <w:rPr>
          <w:rFonts w:cs="Times New Roman"/>
          <w:noProof/>
          <w:lang w:val="fr-CA"/>
        </w:rPr>
        <w:t>, [2006]</w:t>
      </w:r>
      <w:r>
        <w:rPr>
          <w:rFonts w:cs="Times New Roman"/>
          <w:noProof/>
          <w:lang w:val="fr-CA"/>
        </w:rPr>
        <w:t xml:space="preserve"> </w:t>
      </w:r>
      <w:r w:rsidRPr="003022C4">
        <w:rPr>
          <w:rFonts w:cs="Times New Roman"/>
          <w:noProof/>
          <w:lang w:val="fr-CA"/>
        </w:rPr>
        <w:t xml:space="preserve">3 H.K.L.R.D. 455, </w:t>
      </w:r>
      <w:r>
        <w:rPr>
          <w:rFonts w:cs="Times New Roman"/>
          <w:noProof/>
          <w:lang w:val="fr-CA"/>
        </w:rPr>
        <w:t>par. </w:t>
      </w:r>
      <w:r w:rsidRPr="003022C4">
        <w:rPr>
          <w:rFonts w:cs="Times New Roman"/>
          <w:noProof/>
          <w:lang w:val="fr-CA"/>
        </w:rPr>
        <w:t xml:space="preserve">35). Il ne s’agit là que d’un exemple parmi d’autres de cas où le fait de donner immédiatement et rétroactivement effet aux droits et libertés fondamentaux garantis par la </w:t>
      </w:r>
      <w:r w:rsidRPr="003022C4">
        <w:rPr>
          <w:rFonts w:cs="Times New Roman"/>
          <w:i/>
          <w:noProof/>
          <w:lang w:val="fr-CA"/>
        </w:rPr>
        <w:t xml:space="preserve">Charte </w:t>
      </w:r>
      <w:r w:rsidRPr="003022C4">
        <w:rPr>
          <w:rFonts w:cs="Times New Roman"/>
          <w:noProof/>
          <w:lang w:val="fr-CA"/>
        </w:rPr>
        <w:t>doit, parfois, céder le pas à d’autres impératifs. Cela reflète la « différence manifeste entre le fait de déclarer une loi inconstitutionnelle et la détermination des conséquences d’ordre pratique et juridique qui découlent de cette déclaration » (</w:t>
      </w:r>
      <w:r w:rsidRPr="003022C4">
        <w:rPr>
          <w:rFonts w:cs="Times New Roman"/>
          <w:i/>
          <w:iCs/>
          <w:noProof/>
          <w:lang w:val="fr-CA"/>
        </w:rPr>
        <w:t>Air Canada c. Colombie</w:t>
      </w:r>
      <w:r>
        <w:rPr>
          <w:rFonts w:cs="Times New Roman"/>
          <w:i/>
          <w:iCs/>
          <w:noProof/>
          <w:lang w:val="fr-CA"/>
        </w:rPr>
        <w:noBreakHyphen/>
      </w:r>
      <w:r w:rsidRPr="003022C4">
        <w:rPr>
          <w:rFonts w:cs="Times New Roman"/>
          <w:i/>
          <w:iCs/>
          <w:noProof/>
          <w:lang w:val="fr-CA"/>
        </w:rPr>
        <w:t>Britannique</w:t>
      </w:r>
      <w:r w:rsidRPr="00850AF0">
        <w:rPr>
          <w:rFonts w:cs="Times New Roman"/>
          <w:iCs/>
          <w:noProof/>
          <w:lang w:val="fr-CA"/>
        </w:rPr>
        <w:t>,</w:t>
      </w:r>
      <w:r w:rsidRPr="003022C4">
        <w:rPr>
          <w:rFonts w:cs="Times New Roman"/>
          <w:i/>
          <w:iCs/>
          <w:noProof/>
          <w:lang w:val="fr-CA"/>
        </w:rPr>
        <w:t xml:space="preserve"> </w:t>
      </w:r>
      <w:r>
        <w:rPr>
          <w:rFonts w:cs="Times New Roman"/>
          <w:iCs/>
          <w:noProof/>
          <w:lang w:val="fr-CA"/>
        </w:rPr>
        <w:t>[</w:t>
      </w:r>
      <w:r w:rsidRPr="003022C4">
        <w:rPr>
          <w:rFonts w:cs="Times New Roman"/>
          <w:noProof/>
          <w:lang w:val="fr-CA"/>
        </w:rPr>
        <w:t>1989]</w:t>
      </w:r>
      <w:r>
        <w:rPr>
          <w:rFonts w:cs="Times New Roman"/>
          <w:noProof/>
          <w:lang w:val="fr-CA"/>
        </w:rPr>
        <w:t xml:space="preserve"> </w:t>
      </w:r>
      <w:r w:rsidRPr="003022C4">
        <w:rPr>
          <w:rFonts w:cs="Times New Roman"/>
          <w:noProof/>
          <w:lang w:val="fr-CA"/>
        </w:rPr>
        <w:t xml:space="preserve">1 R.C.S. 1161, </w:t>
      </w:r>
      <w:r>
        <w:rPr>
          <w:rFonts w:cs="Times New Roman"/>
          <w:noProof/>
          <w:lang w:val="fr-CA"/>
        </w:rPr>
        <w:t>p. </w:t>
      </w:r>
      <w:r w:rsidRPr="003022C4">
        <w:rPr>
          <w:rFonts w:cs="Times New Roman"/>
          <w:noProof/>
          <w:lang w:val="fr-CA"/>
        </w:rPr>
        <w:t>1195).</w:t>
      </w:r>
      <w:r w:rsidRPr="003022C4">
        <w:rPr>
          <w:rFonts w:cs="Times New Roman"/>
          <w:i/>
          <w:iCs/>
          <w:noProof/>
          <w:lang w:val="fr-CA"/>
        </w:rPr>
        <w:t xml:space="preserve"> </w:t>
      </w:r>
      <w:r w:rsidRPr="003022C4">
        <w:rPr>
          <w:rFonts w:cs="Times New Roman"/>
          <w:noProof/>
          <w:lang w:val="fr-CA"/>
        </w:rPr>
        <w:t xml:space="preserve">Par exemple, même dans les cas où une déclaration d’invalidité est prononcée, d’autres doctrines juridiques, telles que le principe de la validité </w:t>
      </w:r>
      <w:r w:rsidRPr="003022C4">
        <w:rPr>
          <w:rFonts w:cs="Times New Roman"/>
          <w:i/>
          <w:noProof/>
          <w:lang w:val="fr-CA"/>
        </w:rPr>
        <w:t>de facto</w:t>
      </w:r>
      <w:r w:rsidRPr="003022C4">
        <w:rPr>
          <w:rFonts w:cs="Times New Roman"/>
          <w:noProof/>
          <w:lang w:val="fr-CA"/>
        </w:rPr>
        <w:t>, l’autorité de la chose jugée ou les règles de prescription, peuvent restreindre la portée rétrospective de la déclaration (</w:t>
      </w:r>
      <w:r w:rsidRPr="003022C4">
        <w:rPr>
          <w:rFonts w:cs="Times New Roman"/>
          <w:i/>
          <w:noProof/>
          <w:lang w:val="fr-CA"/>
        </w:rPr>
        <w:t>Hislop</w:t>
      </w:r>
      <w:r w:rsidRPr="003022C4">
        <w:rPr>
          <w:rFonts w:cs="Times New Roman"/>
          <w:noProof/>
          <w:lang w:val="fr-CA"/>
        </w:rPr>
        <w:t xml:space="preserve">, </w:t>
      </w:r>
      <w:r>
        <w:rPr>
          <w:rFonts w:cs="Times New Roman"/>
          <w:noProof/>
          <w:lang w:val="fr-CA"/>
        </w:rPr>
        <w:t>par. </w:t>
      </w:r>
      <w:r w:rsidRPr="003022C4">
        <w:rPr>
          <w:rFonts w:cs="Times New Roman"/>
          <w:noProof/>
          <w:lang w:val="fr-CA"/>
        </w:rPr>
        <w:t>101).</w:t>
      </w:r>
    </w:p>
    <w:p w14:paraId="62B15532" w14:textId="0C003648" w:rsidR="00F712C6" w:rsidRPr="003022C4" w:rsidRDefault="00F712C6" w:rsidP="00F712C6">
      <w:pPr>
        <w:pStyle w:val="ParaNoNdepar-AltN"/>
        <w:rPr>
          <w:rFonts w:cs="Times New Roman"/>
          <w:noProof/>
          <w:lang w:val="fr-CA"/>
        </w:rPr>
      </w:pPr>
      <w:r w:rsidRPr="003022C4">
        <w:rPr>
          <w:rFonts w:cs="Times New Roman"/>
          <w:noProof/>
          <w:lang w:val="fr-CA"/>
        </w:rPr>
        <w:t>À l’origine, l’idée que l’effet d’une déclaration pouvait être suspendu avait pour but de se protéger contre une situation d’urgence potentielle. En</w:t>
      </w:r>
      <w:r>
        <w:rPr>
          <w:rFonts w:cs="Times New Roman"/>
          <w:noProof/>
          <w:lang w:val="fr-CA"/>
        </w:rPr>
        <w:t xml:space="preserve"> 1985, dans l’arrêt </w:t>
      </w:r>
      <w:r w:rsidRPr="003022C4">
        <w:rPr>
          <w:rFonts w:cs="Times New Roman"/>
          <w:i/>
          <w:noProof/>
          <w:lang w:val="fr-CA"/>
        </w:rPr>
        <w:t>Droits linguistiques au Manitoba</w:t>
      </w:r>
      <w:r w:rsidRPr="003022C4">
        <w:rPr>
          <w:rFonts w:cs="Times New Roman"/>
          <w:noProof/>
          <w:lang w:val="fr-CA"/>
        </w:rPr>
        <w:t xml:space="preserve">, presque toutes les lois du Manitoba ont été déclarées inconstitutionnelles parce qu’elles avaient été adoptées en anglais seulement. La Cour a alors déclaré temporairement valides ces lois afin de permettre au législateur de les adopter de nouveau. Pour en arriver à cette décision, la Cour s’est appuyée sur le principe constitutionnel de la primauté du droit, qui est explicitement reconnu dans les préambules de la </w:t>
      </w:r>
      <w:r w:rsidRPr="003022C4">
        <w:rPr>
          <w:rFonts w:cs="Times New Roman"/>
          <w:i/>
          <w:noProof/>
          <w:lang w:val="fr-CA"/>
        </w:rPr>
        <w:t xml:space="preserve">Loi constitutionnelle de 1867 </w:t>
      </w:r>
      <w:r w:rsidRPr="003022C4">
        <w:rPr>
          <w:rFonts w:cs="Times New Roman"/>
          <w:noProof/>
          <w:lang w:val="fr-CA"/>
        </w:rPr>
        <w:t xml:space="preserve">et de la </w:t>
      </w:r>
      <w:r w:rsidRPr="003022C4">
        <w:rPr>
          <w:rFonts w:cs="Times New Roman"/>
          <w:i/>
          <w:noProof/>
          <w:lang w:val="fr-CA"/>
        </w:rPr>
        <w:t xml:space="preserve">Charte </w:t>
      </w:r>
      <w:r w:rsidRPr="003022C4">
        <w:rPr>
          <w:rFonts w:cs="Times New Roman"/>
          <w:noProof/>
          <w:lang w:val="fr-CA"/>
        </w:rPr>
        <w:t>et qui est implicite de par la « nature même d’une constitution » (</w:t>
      </w:r>
      <w:r w:rsidRPr="003022C4">
        <w:rPr>
          <w:rFonts w:cs="Times New Roman"/>
          <w:i/>
          <w:noProof/>
          <w:lang w:val="fr-CA"/>
        </w:rPr>
        <w:t>Droits linguistiques au Manitoba</w:t>
      </w:r>
      <w:r w:rsidRPr="003022C4">
        <w:rPr>
          <w:rFonts w:cs="Times New Roman"/>
          <w:noProof/>
          <w:lang w:val="fr-CA"/>
        </w:rPr>
        <w:t xml:space="preserve">, </w:t>
      </w:r>
      <w:r>
        <w:rPr>
          <w:rFonts w:cs="Times New Roman"/>
          <w:noProof/>
          <w:lang w:val="fr-CA"/>
        </w:rPr>
        <w:t>p. </w:t>
      </w:r>
      <w:r w:rsidRPr="003022C4">
        <w:rPr>
          <w:rFonts w:cs="Times New Roman"/>
          <w:noProof/>
          <w:lang w:val="fr-CA"/>
        </w:rPr>
        <w:t>750). La primauté du droit exige la création et le maintien d’un ordre réel de droit positif régissant la société; la création d’un vide juridique, de même que le chaos en la matière qui s’ensuivrait inévitablement seraient contraires à ce principe (</w:t>
      </w:r>
      <w:r>
        <w:rPr>
          <w:rFonts w:cs="Times New Roman"/>
          <w:noProof/>
          <w:lang w:val="fr-CA"/>
        </w:rPr>
        <w:t>p. </w:t>
      </w:r>
      <w:r w:rsidRPr="003022C4">
        <w:rPr>
          <w:rFonts w:cs="Times New Roman"/>
          <w:noProof/>
          <w:lang w:val="fr-CA"/>
        </w:rPr>
        <w:t xml:space="preserve">753). La période de validité temporaire a commencé à courir à compter de la date du jugement et a pris fin « à l’expiration du délai minimum requis pour </w:t>
      </w:r>
      <w:r w:rsidR="00A3657D">
        <w:rPr>
          <w:rFonts w:cs="Times New Roman"/>
          <w:noProof/>
          <w:lang w:val="fr-CA"/>
        </w:rPr>
        <w:t xml:space="preserve">les </w:t>
      </w:r>
      <w:r w:rsidRPr="003022C4">
        <w:rPr>
          <w:rFonts w:cs="Times New Roman"/>
          <w:noProof/>
          <w:lang w:val="fr-CA"/>
        </w:rPr>
        <w:t xml:space="preserve">traduire, </w:t>
      </w:r>
      <w:r w:rsidR="00A3657D">
        <w:rPr>
          <w:rFonts w:cs="Times New Roman"/>
          <w:noProof/>
          <w:lang w:val="fr-CA"/>
        </w:rPr>
        <w:t xml:space="preserve">les </w:t>
      </w:r>
      <w:r w:rsidRPr="003022C4">
        <w:rPr>
          <w:rFonts w:cs="Times New Roman"/>
          <w:noProof/>
          <w:lang w:val="fr-CA"/>
        </w:rPr>
        <w:t xml:space="preserve">adopter de nouveau, </w:t>
      </w:r>
      <w:r w:rsidR="00A3657D">
        <w:rPr>
          <w:rFonts w:cs="Times New Roman"/>
          <w:noProof/>
          <w:lang w:val="fr-CA"/>
        </w:rPr>
        <w:t xml:space="preserve">les </w:t>
      </w:r>
      <w:r w:rsidRPr="003022C4">
        <w:rPr>
          <w:rFonts w:cs="Times New Roman"/>
          <w:noProof/>
          <w:lang w:val="fr-CA"/>
        </w:rPr>
        <w:t xml:space="preserve">imprimer et </w:t>
      </w:r>
      <w:r w:rsidR="00A3657D">
        <w:rPr>
          <w:rFonts w:cs="Times New Roman"/>
          <w:noProof/>
          <w:lang w:val="fr-CA"/>
        </w:rPr>
        <w:t>les publier </w:t>
      </w:r>
      <w:r w:rsidRPr="003022C4">
        <w:rPr>
          <w:rFonts w:cs="Times New Roman"/>
          <w:noProof/>
          <w:lang w:val="fr-CA"/>
        </w:rPr>
        <w:t>» (</w:t>
      </w:r>
      <w:r>
        <w:rPr>
          <w:rFonts w:cs="Times New Roman"/>
          <w:noProof/>
          <w:lang w:val="fr-CA"/>
        </w:rPr>
        <w:t>p. </w:t>
      </w:r>
      <w:r w:rsidRPr="003022C4">
        <w:rPr>
          <w:rFonts w:cs="Times New Roman"/>
          <w:noProof/>
          <w:lang w:val="fr-CA"/>
        </w:rPr>
        <w:t>767).</w:t>
      </w:r>
    </w:p>
    <w:p w14:paraId="481E5195"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La Cour a suspendu l’effet d’une déclaration d’invalidité pour la première fois dans une affaire portant sur la </w:t>
      </w:r>
      <w:r w:rsidRPr="003022C4">
        <w:rPr>
          <w:rFonts w:cs="Times New Roman"/>
          <w:i/>
          <w:noProof/>
          <w:lang w:val="fr-CA"/>
        </w:rPr>
        <w:t xml:space="preserve">Charte </w:t>
      </w:r>
      <w:r w:rsidRPr="003022C4">
        <w:rPr>
          <w:rFonts w:cs="Times New Roman"/>
          <w:noProof/>
          <w:lang w:val="fr-CA"/>
        </w:rPr>
        <w:t xml:space="preserve">dans </w:t>
      </w:r>
      <w:r>
        <w:rPr>
          <w:rFonts w:cs="Times New Roman"/>
          <w:noProof/>
          <w:lang w:val="fr-CA"/>
        </w:rPr>
        <w:t xml:space="preserve">l’arrêt </w:t>
      </w:r>
      <w:r w:rsidRPr="003022C4">
        <w:rPr>
          <w:rFonts w:cs="Times New Roman"/>
          <w:i/>
          <w:noProof/>
          <w:lang w:val="fr-CA"/>
        </w:rPr>
        <w:t>Swain</w:t>
      </w:r>
      <w:r w:rsidRPr="003022C4">
        <w:rPr>
          <w:rFonts w:cs="Times New Roman"/>
          <w:noProof/>
          <w:lang w:val="fr-CA"/>
        </w:rPr>
        <w:t>, où elle a déclaré inconstitutionnelle la détention automatique d’une personne acquittée pour cause de ce qu’on appelait à l’époque l’« aliénation mentale</w:t>
      </w:r>
      <w:r>
        <w:rPr>
          <w:rFonts w:cs="Times New Roman"/>
          <w:noProof/>
          <w:lang w:val="fr-CA"/>
        </w:rPr>
        <w:t> </w:t>
      </w:r>
      <w:r w:rsidRPr="003022C4">
        <w:rPr>
          <w:rFonts w:cs="Times New Roman"/>
          <w:noProof/>
          <w:lang w:val="fr-CA"/>
        </w:rPr>
        <w:t>».</w:t>
      </w:r>
      <w:r>
        <w:rPr>
          <w:rFonts w:cs="Times New Roman"/>
          <w:noProof/>
          <w:lang w:val="fr-CA"/>
        </w:rPr>
        <w:t xml:space="preserve"> Le juge en chef </w:t>
      </w:r>
      <w:r w:rsidRPr="003022C4">
        <w:rPr>
          <w:rFonts w:cs="Times New Roman"/>
          <w:noProof/>
          <w:lang w:val="fr-CA"/>
        </w:rPr>
        <w:t>Lamer a suspendu l’effet de la déclaration de crainte que les juges soient obligés de libérer les personnes acquittées « qui pourraient fort bien présenter un danger pour le public » (</w:t>
      </w:r>
      <w:r>
        <w:rPr>
          <w:rFonts w:cs="Times New Roman"/>
          <w:noProof/>
          <w:lang w:val="fr-CA"/>
        </w:rPr>
        <w:t>p. </w:t>
      </w:r>
      <w:r w:rsidRPr="003022C4">
        <w:rPr>
          <w:rFonts w:cs="Times New Roman"/>
          <w:noProof/>
          <w:lang w:val="fr-CA"/>
        </w:rPr>
        <w:t>1021) si la disposition législative était immédiatement invalidée.</w:t>
      </w:r>
    </w:p>
    <w:p w14:paraId="4E2C8E14" w14:textId="77777777" w:rsidR="00F712C6" w:rsidRPr="003022C4" w:rsidRDefault="00F712C6" w:rsidP="00F712C6">
      <w:pPr>
        <w:pStyle w:val="ParaNoNdepar-AltN"/>
        <w:rPr>
          <w:rFonts w:cs="Times New Roman"/>
          <w:noProof/>
          <w:lang w:val="fr-CA"/>
        </w:rPr>
      </w:pPr>
      <w:r>
        <w:rPr>
          <w:rFonts w:cs="Times New Roman"/>
          <w:noProof/>
          <w:lang w:val="fr-CA"/>
        </w:rPr>
        <w:t xml:space="preserve">Dans l’arrêt </w:t>
      </w:r>
      <w:r w:rsidRPr="003022C4">
        <w:rPr>
          <w:rFonts w:cs="Times New Roman"/>
          <w:i/>
          <w:noProof/>
          <w:lang w:val="fr-CA"/>
        </w:rPr>
        <w:t>Schachter</w:t>
      </w:r>
      <w:r w:rsidRPr="003022C4">
        <w:rPr>
          <w:rFonts w:cs="Times New Roman"/>
          <w:noProof/>
          <w:lang w:val="fr-CA"/>
        </w:rPr>
        <w:t>, le juge en chef Lamer a reconnu l’existence de trois catégories de cas où l’effet d’une déclaration d’invalidité peut être suspendu</w:t>
      </w:r>
      <w:r>
        <w:rPr>
          <w:rFonts w:cs="Times New Roman"/>
          <w:noProof/>
          <w:lang w:val="fr-CA"/>
        </w:rPr>
        <w:t> :</w:t>
      </w:r>
      <w:r w:rsidRPr="003022C4">
        <w:rPr>
          <w:rFonts w:cs="Times New Roman"/>
          <w:noProof/>
          <w:lang w:val="fr-CA"/>
        </w:rPr>
        <w:t xml:space="preserve"> lorsque la primauté du droit est menacée, lorsque la sécurité du public est en danger, et lorsque la loi est limitative (</w:t>
      </w:r>
      <w:r>
        <w:rPr>
          <w:rFonts w:cs="Times New Roman"/>
          <w:noProof/>
          <w:lang w:val="fr-CA"/>
        </w:rPr>
        <w:t>p. </w:t>
      </w:r>
      <w:r w:rsidRPr="003022C4">
        <w:rPr>
          <w:rFonts w:cs="Times New Roman"/>
          <w:noProof/>
          <w:lang w:val="fr-CA"/>
        </w:rPr>
        <w:t>715</w:t>
      </w:r>
      <w:r>
        <w:rPr>
          <w:rFonts w:cs="Times New Roman"/>
          <w:noProof/>
          <w:lang w:val="fr-CA"/>
        </w:rPr>
        <w:noBreakHyphen/>
      </w:r>
      <w:r w:rsidRPr="003022C4">
        <w:rPr>
          <w:rFonts w:cs="Times New Roman"/>
          <w:noProof/>
          <w:lang w:val="fr-CA"/>
        </w:rPr>
        <w:t>716). La première catégorie découle directement de l’arrêt</w:t>
      </w:r>
      <w:r>
        <w:rPr>
          <w:rFonts w:cs="Times New Roman"/>
          <w:noProof/>
          <w:lang w:val="fr-CA"/>
        </w:rPr>
        <w:t xml:space="preserve"> </w:t>
      </w:r>
      <w:r w:rsidRPr="003022C4">
        <w:rPr>
          <w:rFonts w:cs="Times New Roman"/>
          <w:i/>
          <w:noProof/>
          <w:lang w:val="fr-CA"/>
        </w:rPr>
        <w:t>Droits linguistiques au Manitoba</w:t>
      </w:r>
      <w:r w:rsidRPr="003022C4">
        <w:rPr>
          <w:rFonts w:cs="Times New Roman"/>
          <w:noProof/>
          <w:lang w:val="fr-CA"/>
        </w:rPr>
        <w:t xml:space="preserve">, alors que la deuxième catégorie correspond à celle établie dans </w:t>
      </w:r>
      <w:r>
        <w:rPr>
          <w:rFonts w:cs="Times New Roman"/>
          <w:noProof/>
          <w:lang w:val="fr-CA"/>
        </w:rPr>
        <w:t xml:space="preserve">l’arrêt </w:t>
      </w:r>
      <w:r w:rsidRPr="003022C4">
        <w:rPr>
          <w:rFonts w:cs="Times New Roman"/>
          <w:i/>
          <w:noProof/>
          <w:lang w:val="fr-CA"/>
        </w:rPr>
        <w:t>Swain</w:t>
      </w:r>
      <w:r w:rsidRPr="003022C4">
        <w:rPr>
          <w:rFonts w:cs="Times New Roman"/>
          <w:noProof/>
          <w:lang w:val="fr-CA"/>
        </w:rPr>
        <w:t>,</w:t>
      </w:r>
      <w:r w:rsidRPr="003022C4">
        <w:rPr>
          <w:rFonts w:cs="Times New Roman"/>
          <w:i/>
          <w:noProof/>
          <w:lang w:val="fr-CA"/>
        </w:rPr>
        <w:t xml:space="preserve"> </w:t>
      </w:r>
      <w:r w:rsidRPr="003022C4">
        <w:rPr>
          <w:rFonts w:cs="Times New Roman"/>
          <w:noProof/>
          <w:lang w:val="fr-CA"/>
        </w:rPr>
        <w:t>et la troisième catégorie représen</w:t>
      </w:r>
      <w:r>
        <w:rPr>
          <w:rFonts w:cs="Times New Roman"/>
          <w:noProof/>
          <w:lang w:val="fr-CA"/>
        </w:rPr>
        <w:t xml:space="preserve">te les circonstances de l’arrêt </w:t>
      </w:r>
      <w:r w:rsidRPr="003022C4">
        <w:rPr>
          <w:rFonts w:cs="Times New Roman"/>
          <w:i/>
          <w:noProof/>
          <w:lang w:val="fr-CA"/>
        </w:rPr>
        <w:t xml:space="preserve">Schachter </w:t>
      </w:r>
      <w:r w:rsidRPr="003022C4">
        <w:rPr>
          <w:rFonts w:cs="Times New Roman"/>
          <w:noProof/>
          <w:lang w:val="fr-CA"/>
        </w:rPr>
        <w:t>lui</w:t>
      </w:r>
      <w:r>
        <w:rPr>
          <w:rFonts w:cs="Times New Roman"/>
          <w:noProof/>
          <w:lang w:val="fr-CA"/>
        </w:rPr>
        <w:noBreakHyphen/>
      </w:r>
      <w:r w:rsidRPr="003022C4">
        <w:rPr>
          <w:rFonts w:cs="Times New Roman"/>
          <w:noProof/>
          <w:lang w:val="fr-CA"/>
        </w:rPr>
        <w:t>même, dans lequel l’invalidation immédiate de la disposition législative aurait privé des personnes admissibles des avantages financiers auxquels elles avaient droit en vertu de la loi, sans offrir de réparation aux personnes directement privées des avantages en question</w:t>
      </w:r>
      <w:r>
        <w:rPr>
          <w:rFonts w:cs="Times New Roman"/>
          <w:noProof/>
          <w:lang w:val="fr-CA"/>
        </w:rPr>
        <w:t xml:space="preserve">. Les trois </w:t>
      </w:r>
      <w:r w:rsidRPr="003022C4">
        <w:rPr>
          <w:rFonts w:cs="Times New Roman"/>
          <w:noProof/>
          <w:lang w:val="fr-CA"/>
        </w:rPr>
        <w:t xml:space="preserve">catégories tiennent toutes compte de considérations fondées sur la Constitution, y compris la reconnaissance </w:t>
      </w:r>
      <w:r>
        <w:rPr>
          <w:rFonts w:cs="Times New Roman"/>
          <w:noProof/>
          <w:lang w:val="fr-CA"/>
        </w:rPr>
        <w:t xml:space="preserve">de </w:t>
      </w:r>
      <w:r w:rsidRPr="003022C4">
        <w:rPr>
          <w:rFonts w:cs="Times New Roman"/>
          <w:noProof/>
          <w:lang w:val="fr-CA"/>
        </w:rPr>
        <w:t xml:space="preserve">l’intérêt </w:t>
      </w:r>
      <w:r>
        <w:rPr>
          <w:rFonts w:cs="Times New Roman"/>
          <w:noProof/>
          <w:lang w:val="fr-CA"/>
        </w:rPr>
        <w:t>qu’a le</w:t>
      </w:r>
      <w:r w:rsidRPr="003022C4">
        <w:rPr>
          <w:rFonts w:cs="Times New Roman"/>
          <w:noProof/>
          <w:lang w:val="fr-CA"/>
        </w:rPr>
        <w:t xml:space="preserve"> public </w:t>
      </w:r>
      <w:r>
        <w:rPr>
          <w:rFonts w:cs="Times New Roman"/>
          <w:noProof/>
          <w:lang w:val="fr-CA"/>
        </w:rPr>
        <w:t>dans</w:t>
      </w:r>
      <w:r w:rsidRPr="003022C4">
        <w:rPr>
          <w:rFonts w:cs="Times New Roman"/>
          <w:noProof/>
          <w:lang w:val="fr-CA"/>
        </w:rPr>
        <w:t xml:space="preserve"> des lois </w:t>
      </w:r>
      <w:r>
        <w:rPr>
          <w:rFonts w:cs="Times New Roman"/>
          <w:noProof/>
          <w:lang w:val="fr-CA"/>
        </w:rPr>
        <w:t>a</w:t>
      </w:r>
      <w:r w:rsidRPr="003022C4">
        <w:rPr>
          <w:rFonts w:cs="Times New Roman"/>
          <w:noProof/>
          <w:lang w:val="fr-CA"/>
        </w:rPr>
        <w:t>doptées pour son bénéfice. La suspension de l’effet d’une déclaration constitue donc pour les tribunaux un moyen de préserver les droits et privilèges que les régimes existants confèrent au public.</w:t>
      </w:r>
    </w:p>
    <w:p w14:paraId="1E538403" w14:textId="77777777" w:rsidR="00F712C6" w:rsidRPr="003022C4" w:rsidRDefault="00F712C6" w:rsidP="00F712C6">
      <w:pPr>
        <w:pStyle w:val="ParaNoNdepar-AltN"/>
        <w:rPr>
          <w:rFonts w:cs="Times New Roman"/>
          <w:noProof/>
          <w:lang w:val="fr-CA" w:eastAsia="en-CA"/>
        </w:rPr>
      </w:pPr>
      <w:r w:rsidRPr="003022C4">
        <w:rPr>
          <w:rFonts w:cs="Times New Roman"/>
          <w:noProof/>
          <w:lang w:val="fr-CA" w:eastAsia="en-CA"/>
        </w:rPr>
        <w:t xml:space="preserve">L’approche fondée sur des catégories qui a été adoptée </w:t>
      </w:r>
      <w:r>
        <w:rPr>
          <w:rFonts w:cs="Times New Roman"/>
          <w:noProof/>
          <w:lang w:val="fr-CA" w:eastAsia="en-CA"/>
        </w:rPr>
        <w:t xml:space="preserve">dans l’arrêt </w:t>
      </w:r>
      <w:r w:rsidRPr="003022C4">
        <w:rPr>
          <w:rFonts w:cs="Times New Roman"/>
          <w:i/>
          <w:noProof/>
          <w:lang w:val="fr-CA" w:eastAsia="en-CA"/>
        </w:rPr>
        <w:t xml:space="preserve">Schachter </w:t>
      </w:r>
      <w:r w:rsidRPr="003022C4">
        <w:rPr>
          <w:rFonts w:cs="Times New Roman"/>
          <w:noProof/>
          <w:lang w:val="fr-CA" w:eastAsia="en-CA"/>
        </w:rPr>
        <w:t xml:space="preserve">a causé de l’incertitude en ce qui concerne le moment où l’effet d’une déclaration d’invalidité sera suspendu. Dans certains arrêts, d’autres catégories que celles établies dans </w:t>
      </w:r>
      <w:r w:rsidRPr="003022C4">
        <w:rPr>
          <w:rFonts w:cs="Times New Roman"/>
          <w:i/>
          <w:noProof/>
          <w:lang w:val="fr-CA" w:eastAsia="en-CA"/>
        </w:rPr>
        <w:t xml:space="preserve">Schachter </w:t>
      </w:r>
      <w:r w:rsidRPr="003022C4">
        <w:rPr>
          <w:rFonts w:cs="Times New Roman"/>
          <w:noProof/>
          <w:lang w:val="fr-CA" w:eastAsia="en-CA"/>
        </w:rPr>
        <w:t>ont été énoncées. Par exemple, la suspension de l’effet d’une déclaration a été approuvée lorsque cette réparation favorisait la recherche de solutions communes dans le contexte des droits ancestraux (</w:t>
      </w:r>
      <w:r w:rsidRPr="003022C4">
        <w:rPr>
          <w:rFonts w:cs="Times New Roman"/>
          <w:i/>
          <w:noProof/>
          <w:lang w:val="fr-CA" w:eastAsia="en-CA"/>
        </w:rPr>
        <w:t>R. c. Powley</w:t>
      </w:r>
      <w:r w:rsidRPr="003022C4">
        <w:rPr>
          <w:rFonts w:cs="Times New Roman"/>
          <w:noProof/>
          <w:lang w:val="fr-CA" w:eastAsia="en-CA"/>
        </w:rPr>
        <w:t xml:space="preserve">, 2003 CSC 43, [2003] 2 R.C.S. 207, </w:t>
      </w:r>
      <w:r>
        <w:rPr>
          <w:rFonts w:cs="Times New Roman"/>
          <w:noProof/>
          <w:lang w:val="fr-CA" w:eastAsia="en-CA"/>
        </w:rPr>
        <w:t>par. </w:t>
      </w:r>
      <w:r w:rsidRPr="003022C4">
        <w:rPr>
          <w:rFonts w:cs="Times New Roman"/>
          <w:noProof/>
          <w:lang w:val="fr-CA" w:eastAsia="en-CA"/>
        </w:rPr>
        <w:t xml:space="preserve">51), et cette réparation a été accordée lorsqu’elle s’inscrivait dans une catégorie analogue à l’une de celles établies dans l’arrêt </w:t>
      </w:r>
      <w:r w:rsidRPr="003022C4">
        <w:rPr>
          <w:rFonts w:cs="Times New Roman"/>
          <w:i/>
          <w:noProof/>
          <w:lang w:val="fr-CA" w:eastAsia="en-CA"/>
        </w:rPr>
        <w:t xml:space="preserve">Schachter </w:t>
      </w:r>
      <w:r w:rsidRPr="003022C4">
        <w:rPr>
          <w:rFonts w:cs="Times New Roman"/>
          <w:noProof/>
          <w:lang w:val="fr-CA" w:eastAsia="en-CA"/>
        </w:rPr>
        <w:t>(</w:t>
      </w:r>
      <w:r w:rsidRPr="003022C4">
        <w:rPr>
          <w:rFonts w:cs="Times New Roman"/>
          <w:i/>
          <w:noProof/>
          <w:lang w:val="fr-CA" w:eastAsia="en-CA"/>
        </w:rPr>
        <w:t>Trociuk</w:t>
      </w:r>
      <w:r w:rsidRPr="003022C4">
        <w:rPr>
          <w:rFonts w:cs="Times New Roman"/>
          <w:noProof/>
          <w:lang w:val="fr-CA" w:eastAsia="en-CA"/>
        </w:rPr>
        <w:t xml:space="preserve">, </w:t>
      </w:r>
      <w:r>
        <w:rPr>
          <w:rFonts w:cs="Times New Roman"/>
          <w:noProof/>
          <w:lang w:val="fr-CA" w:eastAsia="en-CA"/>
        </w:rPr>
        <w:t>par. </w:t>
      </w:r>
      <w:r w:rsidRPr="003022C4">
        <w:rPr>
          <w:rFonts w:cs="Times New Roman"/>
          <w:noProof/>
          <w:lang w:val="fr-CA" w:eastAsia="en-CA"/>
        </w:rPr>
        <w:t xml:space="preserve">43). Dans d’autres arrêts, le fait qu’un cas ne s’inscrivait pas dans l’une des catégories établies dans </w:t>
      </w:r>
      <w:r>
        <w:rPr>
          <w:rFonts w:cs="Times New Roman"/>
          <w:noProof/>
          <w:lang w:val="fr-CA" w:eastAsia="en-CA"/>
        </w:rPr>
        <w:t xml:space="preserve">l’arrêt </w:t>
      </w:r>
      <w:r w:rsidRPr="003022C4">
        <w:rPr>
          <w:rFonts w:cs="Times New Roman"/>
          <w:i/>
          <w:noProof/>
          <w:lang w:val="fr-CA" w:eastAsia="en-CA"/>
        </w:rPr>
        <w:t xml:space="preserve">Schachter </w:t>
      </w:r>
      <w:r w:rsidRPr="003022C4">
        <w:rPr>
          <w:rFonts w:cs="Times New Roman"/>
          <w:noProof/>
          <w:lang w:val="fr-CA" w:eastAsia="en-CA"/>
        </w:rPr>
        <w:t>a été invoqué pour expliquer le refus de suspendre l’effet d’une déclaration (</w:t>
      </w:r>
      <w:r w:rsidRPr="003022C4">
        <w:rPr>
          <w:rFonts w:cs="Times New Roman"/>
          <w:i/>
          <w:noProof/>
          <w:lang w:val="fr-CA"/>
        </w:rPr>
        <w:t>Boudreault</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98; </w:t>
      </w:r>
      <w:r w:rsidRPr="003022C4">
        <w:rPr>
          <w:rFonts w:cs="Times New Roman"/>
          <w:i/>
          <w:noProof/>
          <w:lang w:val="fr-CA"/>
        </w:rPr>
        <w:t>Hislop</w:t>
      </w:r>
      <w:r w:rsidRPr="003022C4">
        <w:rPr>
          <w:rFonts w:cs="Times New Roman"/>
          <w:noProof/>
          <w:lang w:val="fr-CA"/>
        </w:rPr>
        <w:t xml:space="preserve">, </w:t>
      </w:r>
      <w:r>
        <w:rPr>
          <w:rFonts w:cs="Times New Roman"/>
          <w:noProof/>
          <w:lang w:val="fr-CA"/>
        </w:rPr>
        <w:t>par. </w:t>
      </w:r>
      <w:r w:rsidRPr="003022C4">
        <w:rPr>
          <w:rFonts w:cs="Times New Roman"/>
          <w:noProof/>
          <w:lang w:val="fr-CA"/>
        </w:rPr>
        <w:t>121</w:t>
      </w:r>
      <w:r w:rsidRPr="003022C4">
        <w:rPr>
          <w:rFonts w:cs="Times New Roman"/>
          <w:noProof/>
          <w:lang w:val="fr-CA" w:eastAsia="en-CA"/>
        </w:rPr>
        <w:t xml:space="preserve">). Parfois, la Cour n’a fourni </w:t>
      </w:r>
      <w:r w:rsidRPr="003022C4">
        <w:rPr>
          <w:rFonts w:cs="Times New Roman"/>
          <w:i/>
          <w:noProof/>
          <w:lang w:val="fr-CA" w:eastAsia="en-CA"/>
        </w:rPr>
        <w:t xml:space="preserve">aucune </w:t>
      </w:r>
      <w:r w:rsidRPr="003022C4">
        <w:rPr>
          <w:rFonts w:cs="Times New Roman"/>
          <w:noProof/>
          <w:lang w:val="fr-CA" w:eastAsia="en-CA"/>
        </w:rPr>
        <w:t>explication pour justifier la suspension de l’effet de sa déclaration (</w:t>
      </w:r>
      <w:r w:rsidRPr="003022C4">
        <w:rPr>
          <w:rFonts w:cs="Times New Roman"/>
          <w:i/>
          <w:noProof/>
          <w:lang w:val="fr-CA" w:eastAsia="en-CA"/>
        </w:rPr>
        <w:t>Association de la police montée</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158; </w:t>
      </w:r>
      <w:r w:rsidRPr="003022C4">
        <w:rPr>
          <w:rFonts w:cs="Times New Roman"/>
          <w:i/>
          <w:noProof/>
          <w:lang w:val="fr-CA"/>
        </w:rPr>
        <w:t>Saskatchewan Federation of Labour</w:t>
      </w:r>
      <w:r w:rsidRPr="003022C4">
        <w:rPr>
          <w:rFonts w:cs="Times New Roman"/>
          <w:noProof/>
          <w:lang w:val="fr-CA"/>
        </w:rPr>
        <w:t xml:space="preserve">, </w:t>
      </w:r>
      <w:r>
        <w:rPr>
          <w:rFonts w:cs="Times New Roman"/>
          <w:noProof/>
          <w:lang w:val="fr-CA"/>
        </w:rPr>
        <w:t>par. </w:t>
      </w:r>
      <w:r w:rsidRPr="003022C4">
        <w:rPr>
          <w:rFonts w:cs="Times New Roman"/>
          <w:noProof/>
          <w:lang w:val="fr-CA"/>
        </w:rPr>
        <w:t>103</w:t>
      </w:r>
      <w:r w:rsidRPr="003022C4">
        <w:rPr>
          <w:rFonts w:cs="Times New Roman"/>
          <w:noProof/>
          <w:lang w:val="fr-CA" w:eastAsia="en-CA"/>
        </w:rPr>
        <w:t>). Certains auteurs de doctrine ont également souligné l’absence de raisonnement transparent dans certains des arrêts de notre Cour où l’effet d’une déclaration d’invalidité a été suspendu (</w:t>
      </w:r>
      <w:r w:rsidRPr="003022C4">
        <w:rPr>
          <w:rFonts w:cs="Times New Roman"/>
          <w:noProof/>
          <w:lang w:val="fr-CA"/>
        </w:rPr>
        <w:t xml:space="preserve">Roach (2004); Hoole, </w:t>
      </w:r>
      <w:r>
        <w:rPr>
          <w:rFonts w:cs="Times New Roman"/>
          <w:noProof/>
          <w:lang w:val="fr-CA"/>
        </w:rPr>
        <w:t>p. </w:t>
      </w:r>
      <w:r w:rsidRPr="003022C4">
        <w:rPr>
          <w:rFonts w:cs="Times New Roman"/>
          <w:noProof/>
          <w:lang w:val="fr-CA"/>
        </w:rPr>
        <w:t>118</w:t>
      </w:r>
      <w:r>
        <w:rPr>
          <w:rFonts w:cs="Times New Roman"/>
          <w:noProof/>
          <w:lang w:val="fr-CA"/>
        </w:rPr>
        <w:noBreakHyphen/>
      </w:r>
      <w:r w:rsidRPr="003022C4">
        <w:rPr>
          <w:rFonts w:cs="Times New Roman"/>
          <w:noProof/>
          <w:lang w:val="fr-CA"/>
        </w:rPr>
        <w:t>123).</w:t>
      </w:r>
    </w:p>
    <w:p w14:paraId="04FC2C67"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Une méthode fondée sur des principes permet de concilier ces précédents sur la suspension de l’effet d’une déclaration en plus de favoriser l’uniformité et la transparence. Comme je vais l’expliquer, il incombe au gouvernement de démontrer qu’un intérêt public impérieux, semblable à ceux que vise l’arrêt </w:t>
      </w:r>
      <w:r w:rsidRPr="003022C4">
        <w:rPr>
          <w:rFonts w:cs="Times New Roman"/>
          <w:i/>
          <w:iCs/>
          <w:noProof/>
          <w:lang w:val="fr-CA"/>
        </w:rPr>
        <w:t>Shachter</w:t>
      </w:r>
      <w:r w:rsidRPr="003022C4">
        <w:rPr>
          <w:rFonts w:cs="Times New Roman"/>
          <w:noProof/>
          <w:lang w:val="fr-CA"/>
        </w:rPr>
        <w:t xml:space="preserve">, justifie de prononcer la suspension. Ces intérêts impérieux ne peuvent se limiter à une liste exhaustive de catégories, mais doivent être liés à un principe de réparation fondé sur la Constitution — habituellement le principe selon lequel le public a droit au bénéfice de la loi ou suivant lequel les tribunaux et les législateurs jouent des rôles institutionnels différents. L’approche fondée sur des catégories qui a été adoptée dans </w:t>
      </w:r>
      <w:r>
        <w:rPr>
          <w:rFonts w:cs="Times New Roman"/>
          <w:noProof/>
          <w:lang w:val="fr-CA"/>
        </w:rPr>
        <w:t xml:space="preserve">l’arrêt </w:t>
      </w:r>
      <w:r w:rsidRPr="003022C4">
        <w:rPr>
          <w:rFonts w:cs="Times New Roman"/>
          <w:i/>
          <w:noProof/>
          <w:lang w:val="fr-CA"/>
        </w:rPr>
        <w:t xml:space="preserve">Schachter </w:t>
      </w:r>
      <w:r w:rsidRPr="003022C4">
        <w:rPr>
          <w:rFonts w:cs="Times New Roman"/>
          <w:noProof/>
          <w:lang w:val="fr-CA"/>
        </w:rPr>
        <w:t>a été remplacée par les principes sous</w:t>
      </w:r>
      <w:r>
        <w:rPr>
          <w:rFonts w:cs="Times New Roman"/>
          <w:noProof/>
          <w:lang w:val="fr-CA"/>
        </w:rPr>
        <w:noBreakHyphen/>
      </w:r>
      <w:r w:rsidRPr="003022C4">
        <w:rPr>
          <w:rFonts w:cs="Times New Roman"/>
          <w:noProof/>
          <w:lang w:val="fr-CA"/>
        </w:rPr>
        <w:t xml:space="preserve">jacents en matière de réparation sur lesquels reposaient les catégories établies, ce qui n’est pas surprenant, puisque, dans </w:t>
      </w:r>
      <w:r>
        <w:rPr>
          <w:rFonts w:cs="Times New Roman"/>
          <w:noProof/>
          <w:lang w:val="fr-CA"/>
        </w:rPr>
        <w:t xml:space="preserve">l’arrêt </w:t>
      </w:r>
      <w:r w:rsidRPr="003022C4">
        <w:rPr>
          <w:rFonts w:cs="Times New Roman"/>
          <w:i/>
          <w:noProof/>
          <w:lang w:val="fr-CA"/>
        </w:rPr>
        <w:t>Schachter</w:t>
      </w:r>
      <w:r w:rsidRPr="003022C4">
        <w:rPr>
          <w:rFonts w:cs="Times New Roman"/>
          <w:noProof/>
          <w:lang w:val="fr-CA"/>
        </w:rPr>
        <w:t xml:space="preserve">, la Cour s’est appuyée sur un petit nombre d’affaires pour établir son approche fondée sur les catégories. </w:t>
      </w:r>
    </w:p>
    <w:p w14:paraId="59401F91" w14:textId="06B97FBA" w:rsidR="00F712C6" w:rsidRPr="003022C4" w:rsidRDefault="00F712C6" w:rsidP="00F712C6">
      <w:pPr>
        <w:pStyle w:val="ParaNoNdepar-AltN"/>
        <w:rPr>
          <w:rFonts w:cs="Times New Roman"/>
          <w:noProof/>
          <w:lang w:val="fr-CA"/>
        </w:rPr>
      </w:pPr>
      <w:r w:rsidRPr="003022C4">
        <w:rPr>
          <w:rFonts w:cs="Times New Roman"/>
          <w:noProof/>
          <w:lang w:val="fr-CA"/>
        </w:rPr>
        <w:t>En outre, la pertinence de certains des principes sous</w:t>
      </w:r>
      <w:r>
        <w:rPr>
          <w:rFonts w:cs="Times New Roman"/>
          <w:noProof/>
          <w:lang w:val="fr-CA"/>
        </w:rPr>
        <w:noBreakHyphen/>
      </w:r>
      <w:r w:rsidRPr="003022C4">
        <w:rPr>
          <w:rFonts w:cs="Times New Roman"/>
          <w:noProof/>
          <w:lang w:val="fr-CA"/>
        </w:rPr>
        <w:t xml:space="preserve">jacents a évolué dans notre jurisprudence. Le juge en chef Lamer a expressément souligné dans l’arrêt </w:t>
      </w:r>
      <w:r w:rsidRPr="003022C4">
        <w:rPr>
          <w:rFonts w:cs="Times New Roman"/>
          <w:i/>
          <w:noProof/>
          <w:lang w:val="fr-CA"/>
        </w:rPr>
        <w:t xml:space="preserve">Schachter </w:t>
      </w:r>
      <w:r w:rsidRPr="003022C4">
        <w:rPr>
          <w:rFonts w:cs="Times New Roman"/>
          <w:noProof/>
          <w:lang w:val="fr-CA"/>
        </w:rPr>
        <w:t xml:space="preserve">que « [l]a question de savoir s’il y lieu de suspendre l’effet d’une déclaration d’invalidité </w:t>
      </w:r>
      <w:r w:rsidRPr="003022C4">
        <w:rPr>
          <w:rFonts w:cs="Times New Roman"/>
          <w:noProof/>
          <w:u w:val="single"/>
          <w:lang w:val="fr-CA"/>
        </w:rPr>
        <w:t>ne devrait pas dépendre de considérations ayant trait au rôle des tribunaux et des législateurs</w:t>
      </w:r>
      <w:r w:rsidRPr="003022C4">
        <w:rPr>
          <w:rFonts w:cs="Times New Roman"/>
          <w:noProof/>
          <w:lang w:val="fr-CA"/>
        </w:rPr>
        <w:t xml:space="preserve">, mais plutôt de considérations </w:t>
      </w:r>
      <w:r w:rsidR="0026623B">
        <w:rPr>
          <w:rFonts w:cs="Times New Roman"/>
          <w:noProof/>
          <w:lang w:val="fr-CA" w:eastAsia="en-CA"/>
        </w:rPr>
        <w:t>[. . .</w:t>
      </w:r>
      <w:r w:rsidR="0026623B" w:rsidRPr="003022C4">
        <w:rPr>
          <w:rFonts w:cs="Times New Roman"/>
          <w:noProof/>
          <w:lang w:val="fr-CA" w:eastAsia="en-CA"/>
        </w:rPr>
        <w:t xml:space="preserve">] </w:t>
      </w:r>
      <w:r w:rsidRPr="003022C4">
        <w:rPr>
          <w:rFonts w:cs="Times New Roman"/>
          <w:noProof/>
          <w:lang w:val="fr-CA"/>
        </w:rPr>
        <w:t>sur l’effet d’une déclaration d’invalidité sur le public » (</w:t>
      </w:r>
      <w:r>
        <w:rPr>
          <w:rFonts w:cs="Times New Roman"/>
          <w:noProof/>
          <w:lang w:val="fr-CA"/>
        </w:rPr>
        <w:t>p. </w:t>
      </w:r>
      <w:r w:rsidR="0025412A">
        <w:rPr>
          <w:rFonts w:cs="Times New Roman"/>
          <w:noProof/>
          <w:lang w:val="fr-CA"/>
        </w:rPr>
        <w:t>717 (</w:t>
      </w:r>
      <w:r w:rsidRPr="003022C4">
        <w:rPr>
          <w:rFonts w:cs="Times New Roman"/>
          <w:noProof/>
          <w:lang w:val="fr-CA"/>
        </w:rPr>
        <w:t>je souligne</w:t>
      </w:r>
      <w:r w:rsidR="0025412A">
        <w:rPr>
          <w:rFonts w:cs="Times New Roman"/>
          <w:noProof/>
          <w:lang w:val="fr-CA"/>
        </w:rPr>
        <w:t>)</w:t>
      </w:r>
      <w:r w:rsidRPr="003022C4">
        <w:rPr>
          <w:rFonts w:cs="Times New Roman"/>
          <w:noProof/>
          <w:lang w:val="fr-CA"/>
        </w:rPr>
        <w:t>).</w:t>
      </w:r>
    </w:p>
    <w:p w14:paraId="0C07E7B4" w14:textId="0CDD5672" w:rsidR="00F712C6" w:rsidRPr="003022C4" w:rsidRDefault="00F712C6" w:rsidP="00F712C6">
      <w:pPr>
        <w:pStyle w:val="ParaNoNdepar-AltN"/>
        <w:rPr>
          <w:rFonts w:cs="Times New Roman"/>
          <w:noProof/>
          <w:lang w:val="fr-CA"/>
        </w:rPr>
      </w:pPr>
      <w:r w:rsidRPr="003022C4">
        <w:rPr>
          <w:rFonts w:cs="Times New Roman"/>
          <w:noProof/>
          <w:lang w:val="fr-CA" w:eastAsia="en-CA"/>
        </w:rPr>
        <w:t>Néanmoins, depuis la fin des années 1990, le principe général selon lequel les tribunaux et les législateurs ont des rôles et des compétences différents a guidé la manière dont la Cour exerce sa compétence pour suspendre l’effet de ses déclarations pendant une période donnée.</w:t>
      </w:r>
      <w:r w:rsidRPr="003022C4">
        <w:rPr>
          <w:rFonts w:cs="Times New Roman"/>
          <w:noProof/>
          <w:lang w:val="fr-CA"/>
        </w:rPr>
        <w:t xml:space="preserve"> Dans pas moins de 10 arrêts, notre Cour s’est appuyée sur les différents rôles et attributions des législateurs et des tribunaux pour suspendre les effets de déclarations</w:t>
      </w:r>
      <w:r w:rsidR="00773E54">
        <w:rPr>
          <w:rStyle w:val="FootnoteReference"/>
          <w:rFonts w:cs="Times New Roman"/>
          <w:noProof/>
          <w:lang w:val="fr-CA"/>
        </w:rPr>
        <w:footnoteReference w:id="8"/>
      </w:r>
      <w:r w:rsidRPr="003022C4">
        <w:rPr>
          <w:rFonts w:cs="Times New Roman"/>
          <w:noProof/>
          <w:lang w:val="fr-CA"/>
        </w:rPr>
        <w:t xml:space="preserve">. Le professeur Roach a soutenu que les remarques incidentes de l’arrêt </w:t>
      </w:r>
      <w:r w:rsidRPr="003022C4">
        <w:rPr>
          <w:rFonts w:cs="Times New Roman"/>
          <w:i/>
          <w:noProof/>
          <w:lang w:val="fr-CA"/>
        </w:rPr>
        <w:t xml:space="preserve">Schachter </w:t>
      </w:r>
      <w:r w:rsidRPr="003022C4">
        <w:rPr>
          <w:rFonts w:cs="Times New Roman"/>
          <w:noProof/>
          <w:lang w:val="fr-CA"/>
        </w:rPr>
        <w:t xml:space="preserve">citées dans le paragraphe précédent devraient être rejetées ou nuancées compte tenu de ces jugements, et que les rôles institutionnels devraient être explicitement reconnus comme un motif légitime pour suspendre la prise d’effet de déclarations (Roach (2004), </w:t>
      </w:r>
      <w:r>
        <w:rPr>
          <w:rFonts w:cs="Times New Roman"/>
          <w:noProof/>
          <w:lang w:val="fr-CA"/>
        </w:rPr>
        <w:t>p. </w:t>
      </w:r>
      <w:r w:rsidRPr="003022C4">
        <w:rPr>
          <w:rFonts w:cs="Times New Roman"/>
          <w:noProof/>
          <w:lang w:val="fr-CA"/>
        </w:rPr>
        <w:t xml:space="preserve">144). Selon l’acception la plus large de cette conception, les suspensions permettent aux législateurs de décider de la réparation qu’il convient d’accorder pour corriger leur propre violation de la Constitution, </w:t>
      </w:r>
      <w:r w:rsidRPr="003022C4">
        <w:rPr>
          <w:rFonts w:cs="Times New Roman"/>
          <w:smallCaps/>
          <w:noProof/>
          <w:lang w:val="fr-CA"/>
        </w:rPr>
        <w:t xml:space="preserve">[traduction] </w:t>
      </w:r>
      <w:r w:rsidRPr="003022C4">
        <w:rPr>
          <w:rFonts w:cs="Times New Roman"/>
          <w:noProof/>
          <w:lang w:val="fr-CA"/>
        </w:rPr>
        <w:t>« élimin[ant] ou atténu[ant] [ainsi] l’objection contre</w:t>
      </w:r>
      <w:r>
        <w:rPr>
          <w:rFonts w:cs="Times New Roman"/>
          <w:noProof/>
          <w:lang w:val="fr-CA"/>
        </w:rPr>
        <w:noBreakHyphen/>
      </w:r>
      <w:r w:rsidRPr="003022C4">
        <w:rPr>
          <w:rFonts w:cs="Times New Roman"/>
          <w:noProof/>
          <w:lang w:val="fr-CA"/>
        </w:rPr>
        <w:t xml:space="preserve">majoritaire au contrôle judiciaire [des lois] » (Choudhry et Roach, </w:t>
      </w:r>
      <w:r>
        <w:rPr>
          <w:rFonts w:cs="Times New Roman"/>
          <w:noProof/>
          <w:lang w:val="fr-CA"/>
        </w:rPr>
        <w:t>p. </w:t>
      </w:r>
      <w:r w:rsidRPr="003022C4">
        <w:rPr>
          <w:rFonts w:cs="Times New Roman"/>
          <w:noProof/>
          <w:lang w:val="fr-CA"/>
        </w:rPr>
        <w:t>227). À mon avis, cette acception suppose une interprétation trop étroite du rôle des tribunaux. Le respect du rôle du législateur ne peut pas se faire au détriment des fonctions que la Constitution attribue aux tribunaux, soit celles de donner effet aux droits constitutionnels et de tirer des conclusions de droit.</w:t>
      </w:r>
    </w:p>
    <w:p w14:paraId="265098B1" w14:textId="77777777" w:rsidR="00F712C6" w:rsidRPr="003022C4" w:rsidRDefault="00F712C6" w:rsidP="00F712C6">
      <w:pPr>
        <w:pStyle w:val="ParaNoNdepar-AltN"/>
        <w:rPr>
          <w:rFonts w:cs="Times New Roman"/>
          <w:noProof/>
          <w:lang w:val="fr-CA"/>
        </w:rPr>
      </w:pPr>
      <w:r w:rsidRPr="003022C4">
        <w:rPr>
          <w:rFonts w:cs="Times New Roman"/>
          <w:noProof/>
          <w:lang w:val="fr-CA"/>
        </w:rPr>
        <w:t>Bien que les rôles institutionnels puissent être pertinents pour l’exercice du pouvoir discrétionnaire de réparation, les tribunaux n’ont pas expliqué de façon transparente comment ces rôles pouvaient être un motif légitime pour suspendre l’effet d’une déclaration d’invalidité lorsqu’ils se sont appuyés sur ceux</w:t>
      </w:r>
      <w:r>
        <w:rPr>
          <w:rFonts w:cs="Times New Roman"/>
          <w:noProof/>
          <w:lang w:val="fr-CA"/>
        </w:rPr>
        <w:noBreakHyphen/>
      </w:r>
      <w:r w:rsidRPr="003022C4">
        <w:rPr>
          <w:rFonts w:cs="Times New Roman"/>
          <w:noProof/>
          <w:lang w:val="fr-CA"/>
        </w:rPr>
        <w:t xml:space="preserve">ci pour rendre leur décision (Hoole, </w:t>
      </w:r>
      <w:r>
        <w:rPr>
          <w:rFonts w:cs="Times New Roman"/>
          <w:noProof/>
          <w:lang w:val="fr-CA"/>
        </w:rPr>
        <w:t>p. </w:t>
      </w:r>
      <w:r w:rsidRPr="003022C4">
        <w:rPr>
          <w:rFonts w:cs="Times New Roman"/>
          <w:noProof/>
          <w:lang w:val="fr-CA"/>
        </w:rPr>
        <w:t>118</w:t>
      </w:r>
      <w:r>
        <w:rPr>
          <w:rFonts w:cs="Times New Roman"/>
          <w:noProof/>
          <w:lang w:val="fr-CA"/>
        </w:rPr>
        <w:noBreakHyphen/>
      </w:r>
      <w:r w:rsidRPr="003022C4">
        <w:rPr>
          <w:rFonts w:cs="Times New Roman"/>
          <w:noProof/>
          <w:lang w:val="fr-CA"/>
        </w:rPr>
        <w:t xml:space="preserve">123). La pertinence des rôles institutionnels pour suspendre l’effet de déclarations d’invalidité ne peut être dissociée de la raison d’être première de la suspension de l’effet de déclarations, soit éviter les conséquences néfastes et indésirables d’une déclaration avec effet immédiat. À mon avis, la meilleure manière de concilier </w:t>
      </w:r>
      <w:r>
        <w:rPr>
          <w:rFonts w:cs="Times New Roman"/>
          <w:noProof/>
          <w:lang w:val="fr-CA"/>
        </w:rPr>
        <w:t xml:space="preserve">l’arrêt </w:t>
      </w:r>
      <w:r w:rsidRPr="003022C4">
        <w:rPr>
          <w:rFonts w:cs="Times New Roman"/>
          <w:i/>
          <w:noProof/>
          <w:lang w:val="fr-CA"/>
        </w:rPr>
        <w:t xml:space="preserve">Schachter </w:t>
      </w:r>
      <w:r w:rsidRPr="003022C4">
        <w:rPr>
          <w:rFonts w:cs="Times New Roman"/>
          <w:noProof/>
          <w:lang w:val="fr-CA"/>
        </w:rPr>
        <w:t xml:space="preserve">et les décisions qui ont été rendues par la suite serait de reconnaître que le fait de permettre au législateur de s’acquitter de son rôle d’adopter des lois est un facteur pertinent pour trancher la question de savoir si l’effet d’une déclaration d’invalidité doit être suspendu, mais seulement lorsque le gouvernement établit qu’une déclaration avec effet immédiat </w:t>
      </w:r>
      <w:r w:rsidRPr="003022C4">
        <w:rPr>
          <w:rFonts w:cs="Times New Roman"/>
          <w:i/>
          <w:noProof/>
          <w:lang w:val="fr-CA"/>
        </w:rPr>
        <w:t>nuirait</w:t>
      </w:r>
      <w:r w:rsidRPr="003022C4">
        <w:rPr>
          <w:rFonts w:cs="Times New Roman"/>
          <w:noProof/>
          <w:lang w:val="fr-CA"/>
        </w:rPr>
        <w:t xml:space="preserve"> </w:t>
      </w:r>
      <w:r w:rsidRPr="003022C4">
        <w:rPr>
          <w:rFonts w:cs="Times New Roman"/>
          <w:i/>
          <w:noProof/>
          <w:lang w:val="fr-CA"/>
        </w:rPr>
        <w:t xml:space="preserve">considérablement </w:t>
      </w:r>
      <w:r w:rsidRPr="003022C4">
        <w:rPr>
          <w:rFonts w:cs="Times New Roman"/>
          <w:noProof/>
          <w:lang w:val="fr-CA"/>
        </w:rPr>
        <w:t>à la capacité du législateur de légiférer.</w:t>
      </w:r>
    </w:p>
    <w:p w14:paraId="7CFE8FE5"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Pour décider si elle doit exercer son pouvoir discrétionnaire de réparation pour suspendre l’effet d’une déclaration d’invalidité, la Cour devrait se demander si et dans quelle mesure le gouvernement a établi qu’une déclaration d’invalidité avec effet immédiat limite la capacité du législateur à mettre en place des politiques. Comme l’a reconnu Bruce Ryder, dans la grande majorité des cas, </w:t>
      </w:r>
      <w:r w:rsidRPr="003022C4">
        <w:rPr>
          <w:rFonts w:cs="Times New Roman"/>
          <w:smallCaps/>
          <w:noProof/>
          <w:lang w:val="fr-CA"/>
        </w:rPr>
        <w:t xml:space="preserve">[traduction] </w:t>
      </w:r>
      <w:r w:rsidRPr="003022C4">
        <w:rPr>
          <w:rFonts w:cs="Times New Roman"/>
          <w:noProof/>
          <w:lang w:val="fr-CA"/>
        </w:rPr>
        <w:t>« [u]ne déclaration dont l’effet a été suspendu n’augmente pas ni ne réduit la gamme de choix constitutionnels dont dispose un législateur » (</w:t>
      </w:r>
      <w:r>
        <w:rPr>
          <w:rFonts w:cs="Times New Roman"/>
          <w:noProof/>
          <w:lang w:val="fr-CA"/>
        </w:rPr>
        <w:t>p. </w:t>
      </w:r>
      <w:r w:rsidRPr="003022C4">
        <w:rPr>
          <w:rFonts w:cs="Times New Roman"/>
          <w:noProof/>
          <w:lang w:val="fr-CA"/>
        </w:rPr>
        <w:t xml:space="preserve">285). Par exemple, dans </w:t>
      </w:r>
      <w:r>
        <w:rPr>
          <w:rFonts w:cs="Times New Roman"/>
          <w:noProof/>
          <w:lang w:val="fr-CA"/>
        </w:rPr>
        <w:t xml:space="preserve">l’arrêt </w:t>
      </w:r>
      <w:r w:rsidRPr="003022C4">
        <w:rPr>
          <w:rFonts w:cs="Times New Roman"/>
          <w:i/>
          <w:noProof/>
          <w:lang w:val="fr-CA"/>
        </w:rPr>
        <w:t>M. c. H.</w:t>
      </w:r>
      <w:r w:rsidRPr="003022C4">
        <w:rPr>
          <w:rFonts w:cs="Times New Roman"/>
          <w:noProof/>
          <w:lang w:val="fr-CA"/>
        </w:rPr>
        <w:t xml:space="preserve">, où la Cour a déclaré inconstitutionnelle la définition de </w:t>
      </w:r>
      <w:r>
        <w:rPr>
          <w:rFonts w:cs="Times New Roman"/>
          <w:noProof/>
          <w:lang w:val="fr-CA"/>
        </w:rPr>
        <w:t>« </w:t>
      </w:r>
      <w:r w:rsidRPr="003022C4">
        <w:rPr>
          <w:rFonts w:cs="Times New Roman"/>
          <w:noProof/>
          <w:lang w:val="fr-CA"/>
        </w:rPr>
        <w:t>conjoint</w:t>
      </w:r>
      <w:r>
        <w:rPr>
          <w:rFonts w:cs="Times New Roman"/>
          <w:noProof/>
          <w:lang w:val="fr-CA"/>
        </w:rPr>
        <w:t> »</w:t>
      </w:r>
      <w:r w:rsidRPr="003022C4">
        <w:rPr>
          <w:rFonts w:cs="Times New Roman"/>
          <w:noProof/>
          <w:lang w:val="fr-CA"/>
        </w:rPr>
        <w:t xml:space="preserve"> qui prive d’un bénéfice les conjoints de même sexe, l’effet d’une déclaration d’invalidité a été suspendu parce que « si ces questions étaient laissées à l’appréciation des tribunaux, elles ne pourraient être tranchées que sur la base du cas par cas, à grands frais pour les plaideurs privés et pour le contribuable. Par conséquent, [. . .] il faut accorder au législateur une certaine latitude pour lui permettre d’aborder ces questions d’une façon plus globale » (</w:t>
      </w:r>
      <w:r>
        <w:rPr>
          <w:rFonts w:cs="Times New Roman"/>
          <w:noProof/>
          <w:lang w:val="fr-CA"/>
        </w:rPr>
        <w:t>par. </w:t>
      </w:r>
      <w:r w:rsidRPr="003022C4">
        <w:rPr>
          <w:rFonts w:cs="Times New Roman"/>
          <w:noProof/>
          <w:lang w:val="fr-CA"/>
        </w:rPr>
        <w:t>147). Cependant, une déclaration avec effet immédiat n’aurait pas empêché le législateur d’aborder ces questions d’une façon plus globale compte tenu de la décision de la Cour. Par contre, dans certains cas, une déclaration avec effet immédiat pourrait créer des droits juridiques qui limiteraient la gamme de choix de politiques constitutionnels dont dispose le gouvernement ou qui compromettraient l’efficacité de ses choix de politique. Comme je l’expliquerai, la présente affaire constitue un exemple de situation où les droits juridiques créés par une déclaration d’invalidité pourraient compromettre l’efficacité des choix de politique du législateur. Or, le fait d’éviter de restreindre ainsi la capacité du législateur de légiférer n’est qu’un facteur pertinent à prendre en considération et peut ne pas être suffisant pour justifier la suspension de l’effet d’une déclaration d’invalidité.</w:t>
      </w:r>
    </w:p>
    <w:p w14:paraId="4CE33CFA" w14:textId="77777777" w:rsidR="00F712C6" w:rsidRPr="003022C4" w:rsidRDefault="00F712C6" w:rsidP="00F712C6">
      <w:pPr>
        <w:pStyle w:val="ParaNoNdepar-AltN"/>
        <w:rPr>
          <w:rFonts w:cs="Times New Roman"/>
          <w:noProof/>
          <w:lang w:val="fr-CA"/>
        </w:rPr>
      </w:pPr>
      <w:r w:rsidRPr="003022C4">
        <w:rPr>
          <w:rFonts w:cs="Times New Roman"/>
          <w:noProof/>
          <w:lang w:val="fr-CA"/>
        </w:rPr>
        <w:t>L’avantage qui découle de la suspension (ou le préjudice que celle</w:t>
      </w:r>
      <w:r>
        <w:rPr>
          <w:rFonts w:cs="Times New Roman"/>
          <w:noProof/>
          <w:lang w:val="fr-CA"/>
        </w:rPr>
        <w:noBreakHyphen/>
      </w:r>
      <w:r w:rsidRPr="003022C4">
        <w:rPr>
          <w:rFonts w:cs="Times New Roman"/>
          <w:noProof/>
          <w:lang w:val="fr-CA"/>
        </w:rPr>
        <w:t xml:space="preserve">ci permet d’éviter) doit alors être soupesé de façon transparente avec les principes fondamentaux faisant contrepoids en matière de réparation, soit le principe selon lequel les droits garantis par la </w:t>
      </w:r>
      <w:r w:rsidRPr="003022C4">
        <w:rPr>
          <w:rFonts w:cs="Times New Roman"/>
          <w:i/>
          <w:noProof/>
          <w:lang w:val="fr-CA"/>
        </w:rPr>
        <w:t xml:space="preserve">Charte </w:t>
      </w:r>
      <w:r w:rsidRPr="003022C4">
        <w:rPr>
          <w:rFonts w:cs="Times New Roman"/>
          <w:noProof/>
          <w:lang w:val="fr-CA"/>
        </w:rPr>
        <w:t>doivent être protégés par l’octroi de réparations efficaces et le principe selon lequel il est dans l’intérêt du public que les lois soient conformes à la Constitution. Pour ce faire, divers facteurs doivent être pris en considération, dont l’importance de l’atteinte aux droits (</w:t>
      </w:r>
      <w:r w:rsidRPr="003022C4">
        <w:rPr>
          <w:rFonts w:cs="Times New Roman"/>
          <w:i/>
          <w:noProof/>
          <w:lang w:val="fr-CA"/>
        </w:rPr>
        <w:t>Bedford</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167) — ainsi, l’atteinte continue aux droits aura un très grand poids lorsqu’un risque de poursuite criminelle est en jeu — et le préjudice que pourrait causer la suspension, comme la création d’une incertitude juridique (Leckey, </w:t>
      </w:r>
      <w:r>
        <w:rPr>
          <w:rFonts w:cs="Times New Roman"/>
          <w:noProof/>
          <w:lang w:val="fr-CA"/>
        </w:rPr>
        <w:t>p. </w:t>
      </w:r>
      <w:r w:rsidRPr="003022C4">
        <w:rPr>
          <w:rFonts w:cs="Times New Roman"/>
          <w:noProof/>
          <w:lang w:val="fr-CA"/>
        </w:rPr>
        <w:t>594</w:t>
      </w:r>
      <w:r>
        <w:rPr>
          <w:rFonts w:cs="Times New Roman"/>
          <w:noProof/>
          <w:lang w:val="fr-CA"/>
        </w:rPr>
        <w:noBreakHyphen/>
      </w:r>
      <w:r w:rsidRPr="003022C4">
        <w:rPr>
          <w:rFonts w:cs="Times New Roman"/>
          <w:noProof/>
          <w:lang w:val="fr-CA"/>
        </w:rPr>
        <w:t>595). Bien que les contextes constitutionnels soient différents, les cours constitutionnelles de l’Afrique du Sud et de l’Allemagne ont également reconnu que le bien</w:t>
      </w:r>
      <w:r>
        <w:rPr>
          <w:rFonts w:cs="Times New Roman"/>
          <w:noProof/>
          <w:lang w:val="fr-CA"/>
        </w:rPr>
        <w:noBreakHyphen/>
      </w:r>
      <w:r w:rsidRPr="003022C4">
        <w:rPr>
          <w:rFonts w:cs="Times New Roman"/>
          <w:noProof/>
          <w:lang w:val="fr-CA"/>
        </w:rPr>
        <w:t xml:space="preserve">fondé d’une réparation constitutionnelle autre qu’une déclaration d’invalidité avec effet immédiat repose sur l’équilibre qui peut être établi entre les préjudices qui sont causés lorsque les droits des individus ne sont pas protégés immédiatement et les préjudices qui découlent d’une déclaration avec effet immédiat (voir, </w:t>
      </w:r>
      <w:r>
        <w:rPr>
          <w:rFonts w:cs="Times New Roman"/>
          <w:noProof/>
          <w:lang w:val="fr-CA"/>
        </w:rPr>
        <w:t>p. </w:t>
      </w:r>
      <w:r w:rsidRPr="003022C4">
        <w:rPr>
          <w:rFonts w:cs="Times New Roman"/>
          <w:noProof/>
          <w:lang w:val="fr-CA"/>
        </w:rPr>
        <w:t xml:space="preserve">ex., </w:t>
      </w:r>
      <w:r w:rsidRPr="003022C4">
        <w:rPr>
          <w:rFonts w:cs="Times New Roman"/>
          <w:i/>
          <w:noProof/>
          <w:lang w:val="fr-CA"/>
        </w:rPr>
        <w:t>Coetzee c. Government of the Republic of South Africa</w:t>
      </w:r>
      <w:r w:rsidRPr="003022C4">
        <w:rPr>
          <w:rFonts w:cs="Times New Roman"/>
          <w:noProof/>
          <w:lang w:val="fr-CA"/>
        </w:rPr>
        <w:t xml:space="preserve">, [1995] ZACC 7, 1995 (4) S.A. 631, </w:t>
      </w:r>
      <w:r>
        <w:rPr>
          <w:rFonts w:cs="Times New Roman"/>
          <w:noProof/>
          <w:lang w:val="fr-CA"/>
        </w:rPr>
        <w:t>par. </w:t>
      </w:r>
      <w:r w:rsidRPr="003022C4">
        <w:rPr>
          <w:rFonts w:cs="Times New Roman"/>
          <w:noProof/>
          <w:lang w:val="fr-CA"/>
        </w:rPr>
        <w:t xml:space="preserve">76; BVerfG, 2 BvC 62/14, décision du 29 janvier 2019 (Allemagne), </w:t>
      </w:r>
      <w:r>
        <w:rPr>
          <w:rFonts w:cs="Times New Roman"/>
          <w:noProof/>
          <w:lang w:val="fr-CA"/>
        </w:rPr>
        <w:t>par. </w:t>
      </w:r>
      <w:r w:rsidRPr="003022C4">
        <w:rPr>
          <w:rFonts w:cs="Times New Roman"/>
          <w:noProof/>
          <w:lang w:val="fr-CA"/>
        </w:rPr>
        <w:t>136</w:t>
      </w:r>
      <w:r>
        <w:rPr>
          <w:rFonts w:cs="Times New Roman"/>
          <w:noProof/>
          <w:lang w:val="fr-CA"/>
        </w:rPr>
        <w:noBreakHyphen/>
      </w:r>
      <w:r w:rsidRPr="003022C4">
        <w:rPr>
          <w:rFonts w:cs="Times New Roman"/>
          <w:noProof/>
          <w:lang w:val="fr-CA"/>
        </w:rPr>
        <w:t>137).</w:t>
      </w:r>
    </w:p>
    <w:p w14:paraId="44A7152B" w14:textId="77777777" w:rsidR="00F712C6" w:rsidRPr="003022C4" w:rsidRDefault="00F712C6" w:rsidP="00F712C6">
      <w:pPr>
        <w:pStyle w:val="ParaNoNdepar-AltN"/>
        <w:rPr>
          <w:rFonts w:cs="Times New Roman"/>
          <w:noProof/>
          <w:lang w:val="fr-CA"/>
        </w:rPr>
      </w:pPr>
      <w:r w:rsidRPr="003022C4">
        <w:rPr>
          <w:rFonts w:cs="Times New Roman"/>
          <w:noProof/>
          <w:lang w:val="fr-CA"/>
        </w:rPr>
        <w:t>Toutefois, l’établissement d’un équilibre ne signifie pas pour autant qu’il est plus facile de justifier la suspension. L’approche fondée sur des catégories avait peut</w:t>
      </w:r>
      <w:r>
        <w:rPr>
          <w:rFonts w:cs="Times New Roman"/>
          <w:noProof/>
          <w:lang w:val="fr-CA"/>
        </w:rPr>
        <w:noBreakHyphen/>
      </w:r>
      <w:r w:rsidRPr="003022C4">
        <w:rPr>
          <w:rFonts w:cs="Times New Roman"/>
          <w:noProof/>
          <w:lang w:val="fr-CA"/>
        </w:rPr>
        <w:t>être pour objectif de définir les circonstances limitées dans lesquelles une loi inconstitutionnelle peut continuer de s’appliquer de façon temporaire, mais elle n’a pas eu cet effet. L’établissement d’un équilibre permet aux tribunaux de faire intervenir les principes sous</w:t>
      </w:r>
      <w:r>
        <w:rPr>
          <w:rFonts w:cs="Times New Roman"/>
          <w:noProof/>
          <w:lang w:val="fr-CA"/>
        </w:rPr>
        <w:noBreakHyphen/>
      </w:r>
      <w:r w:rsidRPr="003022C4">
        <w:rPr>
          <w:rFonts w:cs="Times New Roman"/>
          <w:noProof/>
          <w:lang w:val="fr-CA"/>
        </w:rPr>
        <w:t xml:space="preserve">jacents applicables et de veiller à ce que la suspension de l’effet d’une déclaration ne soit pas ordonnée à moins que des raisons impérieuses le justifient. Lorsqu’un juste équilibre est établi, l’effet d’une déclaration n’est suspendu qu’en de rares circonstances. Compte tenu du libellé impératif du </w:t>
      </w:r>
      <w:r>
        <w:rPr>
          <w:rFonts w:cs="Times New Roman"/>
          <w:noProof/>
          <w:lang w:val="fr-CA"/>
        </w:rPr>
        <w:t>par. </w:t>
      </w:r>
      <w:r w:rsidRPr="003022C4">
        <w:rPr>
          <w:rFonts w:cs="Times New Roman"/>
          <w:noProof/>
          <w:lang w:val="fr-CA"/>
        </w:rPr>
        <w:t xml:space="preserve">52(1), et de l’importance des principes fondamentaux en matière de réparation que sont la conformité des lois avec la Constitution et l’octroi de réparations efficaces afin de protéger les droits des personnes directement touchées, les déclarations avec effet immédiat revêtent un grand intérêt. En effet, si des lois inconstitutionnelles demeurent en vigueur indéfiniment, une incertitude et une instabilité juridiques pourraient alors s’installer, surtout si ces lois établissent des interdictions criminelles qui obligent de nombreux acteurs (dont les corps de police, les procureurs de la Couronne et le public) à se comporter d’une certaine façon (Leckey, </w:t>
      </w:r>
      <w:r>
        <w:rPr>
          <w:rFonts w:cs="Times New Roman"/>
          <w:noProof/>
          <w:lang w:val="fr-CA"/>
        </w:rPr>
        <w:t>p. </w:t>
      </w:r>
      <w:r w:rsidRPr="003022C4">
        <w:rPr>
          <w:rFonts w:cs="Times New Roman"/>
          <w:noProof/>
          <w:lang w:val="fr-CA"/>
        </w:rPr>
        <w:t>594</w:t>
      </w:r>
      <w:r>
        <w:rPr>
          <w:rFonts w:cs="Times New Roman"/>
          <w:noProof/>
          <w:lang w:val="fr-CA"/>
        </w:rPr>
        <w:noBreakHyphen/>
      </w:r>
      <w:r w:rsidRPr="003022C4">
        <w:rPr>
          <w:rFonts w:cs="Times New Roman"/>
          <w:noProof/>
          <w:lang w:val="fr-CA"/>
        </w:rPr>
        <w:t>595). La confiance du public dans la Constitution, les lois et le système juridique est ébranlée lorsqu’une loi inconstitutionnelle continue d’avoir un effet juridique sans qu’une raison impérieuse ne le justifie. Évidemment, la violation de droits constitutionnels milite fortement en faveur d’une déclaration d’invalidité avec effet immédiat. Dans la pratique, une méthode fondée sur des principes exige que ces facteurs opposés soient soupesés et ne permet pas la suspension de l’effet d’une déclaration simplement parce que l’affaire met en jeu la sécurité du public, par exemple. Une méthode fondée sur des principes est donc disciplinée en pratique et serait plus rigoureuse qu’une approche fondée sur des catégories, parce que toute suspension doit être justifiée de manière précise.</w:t>
      </w:r>
    </w:p>
    <w:p w14:paraId="58E3DDFF"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Par conséquent, je suis d’accord avec les observations du Asper Centre selon lesquelles il incombe au gouvernement de démontrer que l’importance d’un autre intérêt impérieux fondé sur la Constitution l’emporte sur la violation continue de droits constitutionnels. Dans chaque cas, l’intérêt précis, ainsi que la manière dont une déclaration avec effet immédiat menacerait cet intérêt, doit être défini et, le cas échéant, étayé par une preuve. La suspension d’effet d’une déclaration d’invalidité est rare. Cette façon de faire cadre d’ailleurs avec la pratique récente de notre Cour. En effet, notre Cour n’a pas suspendu l’effet d’une déclaration d’invalidité depuis qu’elle a rendu sa décision dans </w:t>
      </w:r>
      <w:r>
        <w:rPr>
          <w:rFonts w:cs="Times New Roman"/>
          <w:noProof/>
          <w:lang w:val="fr-CA"/>
        </w:rPr>
        <w:t xml:space="preserve">l’arrêt </w:t>
      </w:r>
      <w:r w:rsidRPr="003022C4">
        <w:rPr>
          <w:rFonts w:cs="Times New Roman"/>
          <w:i/>
          <w:noProof/>
          <w:lang w:val="fr-CA"/>
        </w:rPr>
        <w:t xml:space="preserve">Carter </w:t>
      </w:r>
      <w:r>
        <w:rPr>
          <w:rFonts w:cs="Times New Roman"/>
          <w:noProof/>
          <w:lang w:val="fr-CA"/>
        </w:rPr>
        <w:t xml:space="preserve">il y a plus de cinq </w:t>
      </w:r>
      <w:r w:rsidRPr="003022C4">
        <w:rPr>
          <w:rFonts w:cs="Times New Roman"/>
          <w:noProof/>
          <w:lang w:val="fr-CA"/>
        </w:rPr>
        <w:t xml:space="preserve">ans. </w:t>
      </w:r>
      <w:r>
        <w:rPr>
          <w:rFonts w:cs="Times New Roman"/>
          <w:noProof/>
          <w:lang w:val="fr-CA"/>
        </w:rPr>
        <w:t>A</w:t>
      </w:r>
      <w:r w:rsidRPr="003022C4">
        <w:rPr>
          <w:rFonts w:cs="Times New Roman"/>
          <w:noProof/>
          <w:lang w:val="fr-CA"/>
        </w:rPr>
        <w:t>u cours de la période qui s’est écoulée depui</w:t>
      </w:r>
      <w:r>
        <w:rPr>
          <w:rFonts w:cs="Times New Roman"/>
          <w:noProof/>
          <w:lang w:val="fr-CA"/>
        </w:rPr>
        <w:t xml:space="preserve">s cet arrêt, elle a prononcé 13 </w:t>
      </w:r>
      <w:r w:rsidRPr="003022C4">
        <w:rPr>
          <w:rFonts w:cs="Times New Roman"/>
          <w:noProof/>
          <w:lang w:val="fr-CA"/>
        </w:rPr>
        <w:t xml:space="preserve">déclarations avec effet immédiat portant inopérabilité de dispositions législatives parce qu’elles violaient la </w:t>
      </w:r>
      <w:r w:rsidRPr="003022C4">
        <w:rPr>
          <w:rFonts w:cs="Times New Roman"/>
          <w:i/>
          <w:noProof/>
          <w:lang w:val="fr-CA"/>
        </w:rPr>
        <w:t>Charte</w:t>
      </w:r>
      <w:r w:rsidRPr="003163CF">
        <w:rPr>
          <w:rStyle w:val="Hyperlink"/>
          <w:color w:val="auto"/>
          <w:u w:val="none"/>
          <w:vertAlign w:val="superscript"/>
        </w:rPr>
        <w:footnoteReference w:id="9"/>
      </w:r>
      <w:r w:rsidRPr="003022C4">
        <w:rPr>
          <w:rFonts w:cs="Times New Roman"/>
          <w:noProof/>
          <w:lang w:val="fr-CA"/>
        </w:rPr>
        <w:t>.</w:t>
      </w:r>
    </w:p>
    <w:p w14:paraId="38C87580" w14:textId="10A8F9EC" w:rsidR="00F712C6" w:rsidRPr="003022C4" w:rsidRDefault="00F712C6" w:rsidP="00F712C6">
      <w:pPr>
        <w:pStyle w:val="ParaNoNdepar-AltN"/>
        <w:rPr>
          <w:rFonts w:cs="Times New Roman"/>
          <w:noProof/>
          <w:lang w:val="fr-CA"/>
        </w:rPr>
      </w:pPr>
      <w:r w:rsidRPr="003022C4">
        <w:rPr>
          <w:rFonts w:cs="Times New Roman"/>
          <w:noProof/>
          <w:lang w:val="fr-CA"/>
        </w:rPr>
        <w:t>Lorsqu’il décide si l’effet d’une déclaration d’invalidité doit être suspendu, le tribunal doit également fixer la</w:t>
      </w:r>
      <w:r>
        <w:rPr>
          <w:rFonts w:cs="Times New Roman"/>
          <w:noProof/>
          <w:lang w:val="fr-CA"/>
        </w:rPr>
        <w:t xml:space="preserve"> durée de la suspension. À Hong </w:t>
      </w:r>
      <w:r w:rsidRPr="003022C4">
        <w:rPr>
          <w:rFonts w:cs="Times New Roman"/>
          <w:noProof/>
          <w:lang w:val="fr-CA"/>
        </w:rPr>
        <w:t xml:space="preserve">Kong, la Cour de dernier ressort a affirmé que l’effet d’une déclaration ne devrait pas être suspendu plus longtemps qu’il n’est </w:t>
      </w:r>
      <w:r w:rsidRPr="003022C4">
        <w:rPr>
          <w:rFonts w:cs="Times New Roman"/>
          <w:smallCaps/>
          <w:noProof/>
          <w:lang w:val="fr-CA"/>
        </w:rPr>
        <w:t xml:space="preserve">[traduction] </w:t>
      </w:r>
      <w:r w:rsidRPr="003022C4">
        <w:rPr>
          <w:rFonts w:cs="Times New Roman"/>
          <w:noProof/>
          <w:lang w:val="fr-CA"/>
        </w:rPr>
        <w:t>« nécessaire » (</w:t>
      </w:r>
      <w:r w:rsidRPr="003022C4">
        <w:rPr>
          <w:rFonts w:cs="Times New Roman"/>
          <w:i/>
          <w:noProof/>
          <w:lang w:val="fr-CA"/>
        </w:rPr>
        <w:t>Koo Sze Yiu</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41). En revanche, dans </w:t>
      </w:r>
      <w:r>
        <w:rPr>
          <w:rFonts w:cs="Times New Roman"/>
          <w:noProof/>
          <w:lang w:val="fr-CA"/>
        </w:rPr>
        <w:t xml:space="preserve">l’arrêt </w:t>
      </w:r>
      <w:r w:rsidRPr="003022C4">
        <w:rPr>
          <w:rFonts w:cs="Times New Roman"/>
          <w:i/>
          <w:noProof/>
          <w:lang w:val="fr-CA"/>
        </w:rPr>
        <w:t>Corbiere</w:t>
      </w:r>
      <w:r w:rsidRPr="003022C4">
        <w:rPr>
          <w:rFonts w:cs="Times New Roman"/>
          <w:noProof/>
          <w:lang w:val="fr-CA"/>
        </w:rPr>
        <w:t>, la suspension de la prise d’effet de la déclaration pour une période relativement longue a donné au législateur une plus grande marge de manœuvre pour mettre à profit sa capacité de consulter (</w:t>
      </w:r>
      <w:r>
        <w:rPr>
          <w:rFonts w:cs="Times New Roman"/>
          <w:noProof/>
          <w:lang w:val="fr-CA"/>
        </w:rPr>
        <w:t>par. </w:t>
      </w:r>
      <w:r w:rsidRPr="003022C4">
        <w:rPr>
          <w:rFonts w:cs="Times New Roman"/>
          <w:noProof/>
          <w:lang w:val="fr-CA"/>
        </w:rPr>
        <w:t>119 et 121, la juge L’Heureux</w:t>
      </w:r>
      <w:r>
        <w:rPr>
          <w:rFonts w:cs="Times New Roman"/>
          <w:noProof/>
          <w:lang w:val="fr-CA"/>
        </w:rPr>
        <w:noBreakHyphen/>
      </w:r>
      <w:r w:rsidRPr="003022C4">
        <w:rPr>
          <w:rFonts w:cs="Times New Roman"/>
          <w:noProof/>
          <w:lang w:val="fr-CA"/>
        </w:rPr>
        <w:t xml:space="preserve">Dubé). Dans </w:t>
      </w:r>
      <w:r>
        <w:rPr>
          <w:rFonts w:cs="Times New Roman"/>
          <w:noProof/>
          <w:lang w:val="fr-CA"/>
        </w:rPr>
        <w:t xml:space="preserve">l’arrêt </w:t>
      </w:r>
      <w:r w:rsidRPr="003022C4">
        <w:rPr>
          <w:rFonts w:cs="Times New Roman"/>
          <w:i/>
          <w:noProof/>
          <w:lang w:val="fr-CA"/>
        </w:rPr>
        <w:t>Carter c. Canada (Procureur général)</w:t>
      </w:r>
      <w:r w:rsidR="006149C3">
        <w:rPr>
          <w:rFonts w:cs="Times New Roman"/>
          <w:noProof/>
          <w:lang w:val="fr-CA"/>
        </w:rPr>
        <w:t>, 2016 CSC 4, [2016] 1 R.C.S. 13</w:t>
      </w:r>
      <w:r w:rsidRPr="003022C4">
        <w:rPr>
          <w:rFonts w:cs="Times New Roman"/>
          <w:noProof/>
          <w:lang w:val="fr-CA"/>
        </w:rPr>
        <w:t xml:space="preserve">, la prorogation de la suspension de la prise d’effet d’une déclaration était assortie d’un processus par lequel tout titulaire de droits pouvait demander une réparation en vertu du </w:t>
      </w:r>
      <w:r>
        <w:rPr>
          <w:rFonts w:cs="Times New Roman"/>
          <w:noProof/>
          <w:lang w:val="fr-CA"/>
        </w:rPr>
        <w:t>par. </w:t>
      </w:r>
      <w:r w:rsidRPr="003022C4">
        <w:rPr>
          <w:rFonts w:cs="Times New Roman"/>
          <w:noProof/>
          <w:lang w:val="fr-CA"/>
        </w:rPr>
        <w:t>24(1) pour atténuer l’effet préjudiciable de la disposition inconstitutionnelle.</w:t>
      </w:r>
    </w:p>
    <w:p w14:paraId="7D507E9F" w14:textId="77777777" w:rsidR="00F712C6" w:rsidRPr="003022C4" w:rsidRDefault="00F712C6" w:rsidP="00F712C6">
      <w:pPr>
        <w:pStyle w:val="ParaNoNdepar-AltN"/>
        <w:rPr>
          <w:rFonts w:cs="Times New Roman"/>
          <w:noProof/>
          <w:lang w:val="fr-CA"/>
        </w:rPr>
      </w:pPr>
      <w:r w:rsidRPr="003022C4">
        <w:rPr>
          <w:rFonts w:cs="Times New Roman"/>
          <w:noProof/>
          <w:lang w:val="fr-CA" w:eastAsia="en-CA"/>
        </w:rPr>
        <w:t>À mon avis, il incombe encore au gouvernement d’établir la durée que doit avoir la suspension de la prise d’effet d’une déclaration et il n’existe pa</w:t>
      </w:r>
      <w:r>
        <w:rPr>
          <w:rFonts w:cs="Times New Roman"/>
          <w:noProof/>
          <w:lang w:val="fr-CA" w:eastAsia="en-CA"/>
        </w:rPr>
        <w:t xml:space="preserve">s de durée « par défaut » de 12 </w:t>
      </w:r>
      <w:r w:rsidRPr="003022C4">
        <w:rPr>
          <w:rFonts w:cs="Times New Roman"/>
          <w:noProof/>
          <w:lang w:val="fr-CA" w:eastAsia="en-CA"/>
        </w:rPr>
        <w:t xml:space="preserve">mois. Dans </w:t>
      </w:r>
      <w:r w:rsidRPr="003022C4">
        <w:rPr>
          <w:rFonts w:cs="Times New Roman"/>
          <w:i/>
          <w:noProof/>
          <w:lang w:val="fr-CA" w:eastAsia="en-CA"/>
        </w:rPr>
        <w:t>D</w:t>
      </w:r>
      <w:r w:rsidRPr="003022C4">
        <w:rPr>
          <w:rFonts w:cs="Times New Roman"/>
          <w:i/>
          <w:iCs/>
          <w:noProof/>
          <w:lang w:val="fr-CA" w:eastAsia="en-CA"/>
        </w:rPr>
        <w:t>roits linguistiques au Manitoba</w:t>
      </w:r>
      <w:r w:rsidRPr="003022C4">
        <w:rPr>
          <w:rFonts w:cs="Times New Roman"/>
          <w:noProof/>
          <w:lang w:val="fr-CA" w:eastAsia="en-CA"/>
        </w:rPr>
        <w:t>, notre Cour, qui n’avait pas été saisie d’observations sur ce point, s’est estimée mal outillée pour fixer le délai approprié à accorder à la législature du Manitoba pour adopter de nouveau toutes ses lois tant en français qu’en anglais (</w:t>
      </w:r>
      <w:r>
        <w:rPr>
          <w:rFonts w:cs="Times New Roman"/>
          <w:noProof/>
          <w:lang w:val="fr-CA" w:eastAsia="en-CA"/>
        </w:rPr>
        <w:t>p. </w:t>
      </w:r>
      <w:r w:rsidRPr="003022C4">
        <w:rPr>
          <w:rFonts w:cs="Times New Roman"/>
          <w:noProof/>
          <w:lang w:val="fr-CA" w:eastAsia="en-CA"/>
        </w:rPr>
        <w:t>769). Il appartient au gouvernement de justifier le délai de la suspension qu’il sollicite.</w:t>
      </w:r>
    </w:p>
    <w:p w14:paraId="141692C6" w14:textId="77777777" w:rsidR="00F712C6" w:rsidRPr="003022C4" w:rsidRDefault="00F712C6" w:rsidP="00F712C6">
      <w:pPr>
        <w:pStyle w:val="ParaNoNdepar-AltN"/>
        <w:rPr>
          <w:rFonts w:cs="Times New Roman"/>
          <w:noProof/>
          <w:lang w:val="fr-CA"/>
        </w:rPr>
      </w:pPr>
      <w:r w:rsidRPr="003022C4">
        <w:rPr>
          <w:rFonts w:cs="Times New Roman"/>
          <w:noProof/>
          <w:lang w:val="fr-CA" w:eastAsia="en-CA"/>
        </w:rPr>
        <w:t>J’ajouterai ceci. Mes collègues affirment que l’</w:t>
      </w:r>
      <w:r>
        <w:rPr>
          <w:rFonts w:cs="Times New Roman"/>
          <w:noProof/>
          <w:lang w:val="fr-CA" w:eastAsia="en-CA"/>
        </w:rPr>
        <w:t>art. </w:t>
      </w:r>
      <w:r w:rsidRPr="003022C4">
        <w:rPr>
          <w:rFonts w:cs="Times New Roman"/>
          <w:noProof/>
          <w:lang w:val="fr-CA" w:eastAsia="en-CA"/>
        </w:rPr>
        <w:t xml:space="preserve">33 de la </w:t>
      </w:r>
      <w:r w:rsidRPr="003022C4">
        <w:rPr>
          <w:rFonts w:cs="Times New Roman"/>
          <w:i/>
          <w:iCs/>
          <w:noProof/>
          <w:lang w:val="fr-CA" w:eastAsia="en-CA"/>
        </w:rPr>
        <w:t>Charte</w:t>
      </w:r>
      <w:r w:rsidRPr="003022C4">
        <w:rPr>
          <w:rFonts w:cs="Times New Roman"/>
          <w:noProof/>
          <w:lang w:val="fr-CA" w:eastAsia="en-CA"/>
        </w:rPr>
        <w:t xml:space="preserve"> est une source de pouvoir explicite et, de ce fait, plus légitime qui permet au législateur fédéral ou provincial de suspendre l’effet d’une déclaration d’invalidité. Selon mes collègues, étant donné que la Constitution accorde ce pouvoir aux législateurs fédéral et provinciaux, la suspension serait une mesure de nature législative et en contradiction avec la fonction judiciaire.</w:t>
      </w:r>
    </w:p>
    <w:p w14:paraId="410976E5" w14:textId="77777777" w:rsidR="00F712C6" w:rsidRPr="003022C4" w:rsidRDefault="00F712C6" w:rsidP="00F712C6">
      <w:pPr>
        <w:pStyle w:val="ParaNoNdepar-AltN"/>
        <w:rPr>
          <w:rFonts w:cs="Times New Roman"/>
          <w:noProof/>
          <w:lang w:val="fr-CA"/>
        </w:rPr>
      </w:pPr>
      <w:r w:rsidRPr="003022C4">
        <w:rPr>
          <w:rFonts w:cs="Times New Roman"/>
          <w:noProof/>
          <w:lang w:val="fr-CA" w:eastAsia="en-CA"/>
        </w:rPr>
        <w:t xml:space="preserve">Cette proposition est insoutenable. L’article 33 permet au législateur fédéral ou provincial de soustraire temporairement une loi à l’application des droits et libertés garantis par les </w:t>
      </w:r>
      <w:r>
        <w:rPr>
          <w:rFonts w:cs="Times New Roman"/>
          <w:noProof/>
          <w:lang w:val="fr-CA" w:eastAsia="en-CA"/>
        </w:rPr>
        <w:t>art. </w:t>
      </w:r>
      <w:r w:rsidRPr="003022C4">
        <w:rPr>
          <w:rFonts w:cs="Times New Roman"/>
          <w:noProof/>
          <w:lang w:val="fr-CA" w:eastAsia="en-CA"/>
        </w:rPr>
        <w:t xml:space="preserve">2 et 7 à 15 de notre </w:t>
      </w:r>
      <w:r w:rsidRPr="003022C4">
        <w:rPr>
          <w:rFonts w:cs="Times New Roman"/>
          <w:i/>
          <w:iCs/>
          <w:noProof/>
          <w:lang w:val="fr-CA" w:eastAsia="en-CA"/>
        </w:rPr>
        <w:t>Charte</w:t>
      </w:r>
      <w:r w:rsidRPr="003022C4">
        <w:rPr>
          <w:rFonts w:cs="Times New Roman"/>
          <w:noProof/>
          <w:lang w:val="fr-CA" w:eastAsia="en-CA"/>
        </w:rPr>
        <w:t>, même pour des motifs purement politiques (</w:t>
      </w:r>
      <w:r w:rsidRPr="003022C4">
        <w:rPr>
          <w:rFonts w:cs="Times New Roman"/>
          <w:i/>
          <w:iCs/>
          <w:noProof/>
          <w:lang w:val="fr-CA" w:eastAsia="en-CA"/>
        </w:rPr>
        <w:t>Charte</w:t>
      </w:r>
      <w:r w:rsidRPr="003022C4">
        <w:rPr>
          <w:rFonts w:cs="Times New Roman"/>
          <w:noProof/>
          <w:lang w:val="fr-CA" w:eastAsia="en-CA"/>
        </w:rPr>
        <w:t xml:space="preserve">, </w:t>
      </w:r>
      <w:r>
        <w:rPr>
          <w:rFonts w:cs="Times New Roman"/>
          <w:noProof/>
          <w:lang w:val="fr-CA" w:eastAsia="en-CA"/>
        </w:rPr>
        <w:t>par. </w:t>
      </w:r>
      <w:r w:rsidRPr="003022C4">
        <w:rPr>
          <w:rFonts w:cs="Times New Roman"/>
          <w:noProof/>
          <w:lang w:val="fr-CA" w:eastAsia="en-CA"/>
        </w:rPr>
        <w:t xml:space="preserve">32(1) ainsi que 33(1) et (2); </w:t>
      </w:r>
      <w:r w:rsidRPr="003022C4">
        <w:rPr>
          <w:rFonts w:cs="Times New Roman"/>
          <w:i/>
          <w:iCs/>
          <w:noProof/>
          <w:lang w:val="fr-CA" w:eastAsia="en-CA"/>
        </w:rPr>
        <w:t>Québec Association of Protestant School Boards</w:t>
      </w:r>
      <w:r w:rsidRPr="003022C4">
        <w:rPr>
          <w:rFonts w:cs="Times New Roman"/>
          <w:noProof/>
          <w:lang w:val="fr-CA" w:eastAsia="en-CA"/>
        </w:rPr>
        <w:t xml:space="preserve">, </w:t>
      </w:r>
      <w:r>
        <w:rPr>
          <w:rFonts w:cs="Times New Roman"/>
          <w:noProof/>
          <w:lang w:val="fr-CA" w:eastAsia="en-CA"/>
        </w:rPr>
        <w:t>p. </w:t>
      </w:r>
      <w:r w:rsidRPr="003022C4">
        <w:rPr>
          <w:rFonts w:cs="Times New Roman"/>
          <w:noProof/>
          <w:lang w:val="fr-CA" w:eastAsia="en-CA"/>
        </w:rPr>
        <w:t xml:space="preserve">86). Lorsque le tribunal conclut qu’une loi viole la </w:t>
      </w:r>
      <w:r w:rsidRPr="003022C4">
        <w:rPr>
          <w:rFonts w:cs="Times New Roman"/>
          <w:i/>
          <w:iCs/>
          <w:noProof/>
          <w:lang w:val="fr-CA" w:eastAsia="en-CA"/>
        </w:rPr>
        <w:t>Charte</w:t>
      </w:r>
      <w:r w:rsidRPr="003022C4">
        <w:rPr>
          <w:rFonts w:cs="Times New Roman"/>
          <w:noProof/>
          <w:lang w:val="fr-CA" w:eastAsia="en-CA"/>
        </w:rPr>
        <w:t xml:space="preserve"> d’une façon qui ne peut se justifier dans le cadre d’une société libre et démocratique au sens de l’article premier, il doit accorder la réparation appropriée. Dans de rares cas, cette réparation prend la forme d’une suspension des effets d’une déclaration d’invalidité au vu d’un intérêt public impérieux. La suspension ordonnée par le tribunal laisse aux législateurs fédéral et provinciaux le loisir de répondre à la déclaration d’invalidité, notamment en recourant à l’</w:t>
      </w:r>
      <w:r>
        <w:rPr>
          <w:rFonts w:cs="Times New Roman"/>
          <w:noProof/>
          <w:lang w:val="fr-CA" w:eastAsia="en-CA"/>
        </w:rPr>
        <w:t>art. </w:t>
      </w:r>
      <w:r w:rsidRPr="003022C4">
        <w:rPr>
          <w:rFonts w:cs="Times New Roman"/>
          <w:noProof/>
          <w:lang w:val="fr-CA" w:eastAsia="en-CA"/>
        </w:rPr>
        <w:t xml:space="preserve">33 (voir </w:t>
      </w:r>
      <w:r w:rsidRPr="003022C4">
        <w:rPr>
          <w:rFonts w:cs="Times New Roman"/>
          <w:i/>
          <w:iCs/>
          <w:noProof/>
          <w:lang w:val="fr-CA" w:eastAsia="en-CA"/>
        </w:rPr>
        <w:t>Vriend</w:t>
      </w:r>
      <w:r w:rsidRPr="003022C4">
        <w:rPr>
          <w:rFonts w:cs="Times New Roman"/>
          <w:noProof/>
          <w:lang w:val="fr-CA" w:eastAsia="en-CA"/>
        </w:rPr>
        <w:t xml:space="preserve">, </w:t>
      </w:r>
      <w:r>
        <w:rPr>
          <w:rFonts w:cs="Times New Roman"/>
          <w:noProof/>
          <w:lang w:val="fr-CA" w:eastAsia="en-CA"/>
        </w:rPr>
        <w:t>par. </w:t>
      </w:r>
      <w:r w:rsidRPr="003022C4">
        <w:rPr>
          <w:rFonts w:cs="Times New Roman"/>
          <w:noProof/>
          <w:lang w:val="fr-CA" w:eastAsia="en-CA"/>
        </w:rPr>
        <w:t>139 et 178). Le tribunal ne peut se dérober à sa responsabilité d’accorder une réparation en cas de violation de la Constitution simplement parce que l’</w:t>
      </w:r>
      <w:r>
        <w:rPr>
          <w:rFonts w:cs="Times New Roman"/>
          <w:noProof/>
          <w:lang w:val="fr-CA" w:eastAsia="en-CA"/>
        </w:rPr>
        <w:t>art. </w:t>
      </w:r>
      <w:r w:rsidRPr="003022C4">
        <w:rPr>
          <w:rFonts w:cs="Times New Roman"/>
          <w:noProof/>
          <w:lang w:val="fr-CA" w:eastAsia="en-CA"/>
        </w:rPr>
        <w:t xml:space="preserve">33 permet au législateur fédéral ou provincial de passer outre, dans des cas exceptionnels, à certains droits et libertés garantis par la </w:t>
      </w:r>
      <w:r w:rsidRPr="003022C4">
        <w:rPr>
          <w:rFonts w:cs="Times New Roman"/>
          <w:i/>
          <w:iCs/>
          <w:noProof/>
          <w:lang w:val="fr-CA" w:eastAsia="en-CA"/>
        </w:rPr>
        <w:t>Charte</w:t>
      </w:r>
      <w:r w:rsidRPr="003022C4">
        <w:rPr>
          <w:rFonts w:cs="Times New Roman"/>
          <w:noProof/>
          <w:lang w:val="fr-CA" w:eastAsia="en-CA"/>
        </w:rPr>
        <w:t>.</w:t>
      </w:r>
    </w:p>
    <w:p w14:paraId="2322F52D" w14:textId="77777777" w:rsidR="00F712C6" w:rsidRPr="003022C4" w:rsidRDefault="00F712C6" w:rsidP="00F712C6">
      <w:pPr>
        <w:pStyle w:val="ParaNoNdepar-AltN"/>
        <w:rPr>
          <w:rFonts w:cs="Times New Roman"/>
          <w:noProof/>
          <w:lang w:val="fr-CA"/>
        </w:rPr>
      </w:pPr>
      <w:r w:rsidRPr="003022C4">
        <w:rPr>
          <w:rFonts w:cs="Times New Roman"/>
          <w:noProof/>
          <w:lang w:val="fr-CA" w:eastAsia="en-CA"/>
        </w:rPr>
        <w:t xml:space="preserve">Le tribunal a le pouvoir — et l’obligation — de se prononcer sur l’opportunité de suspendre l’effet d’une déclaration d’invalidité. Il n’appartient pas aux tribunaux d’ordonner aux législateurs fédéral et provinciaux d’exercer leur pouvoir exceptionnel pour passer outre à des droits et libertés protégés par la </w:t>
      </w:r>
      <w:r w:rsidRPr="003022C4">
        <w:rPr>
          <w:rFonts w:cs="Times New Roman"/>
          <w:i/>
          <w:iCs/>
          <w:noProof/>
          <w:lang w:val="fr-CA" w:eastAsia="en-CA"/>
        </w:rPr>
        <w:t>Charte,</w:t>
      </w:r>
      <w:r w:rsidRPr="003022C4">
        <w:rPr>
          <w:rFonts w:cs="Times New Roman"/>
          <w:noProof/>
          <w:lang w:val="fr-CA" w:eastAsia="en-CA"/>
        </w:rPr>
        <w:t xml:space="preserve"> ou de les inciter à le faire.</w:t>
      </w:r>
    </w:p>
    <w:p w14:paraId="0F248BDA"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En somme, l’effet d’une déclaration ne devrait pas être suspendu à moins que le gouvernement ne démontre qu’une déclaration avec effet immédiat menacerait un intérêt public impérieux qui l’emporte sur l’importance de se conformer immédiatement à la Constitution et sur une réparation qui s’appliquerait immédiatement aux personnes dont les droits garantis par la </w:t>
      </w:r>
      <w:r w:rsidRPr="003022C4">
        <w:rPr>
          <w:rFonts w:cs="Times New Roman"/>
          <w:i/>
          <w:noProof/>
          <w:lang w:val="fr-CA"/>
        </w:rPr>
        <w:t xml:space="preserve">Charte </w:t>
      </w:r>
      <w:r w:rsidRPr="003022C4">
        <w:rPr>
          <w:rFonts w:cs="Times New Roman"/>
          <w:noProof/>
          <w:lang w:val="fr-CA"/>
        </w:rPr>
        <w:t>seront violés. Le tribunal doit se demander quelle sera l’incidence d’une telle suspension sur les titulaires de droits et le public, et doit établir si une déclaration d’invalidité avec effet immédiat nuirait considérablement au pouvoir démocratique qu’a le législateur de mettre en place des politiques au moyen de lois. Lorsqu’une telle mesure est justifiée, la période de suspension devrait être suffisamment longue pour donner au législateur le temps dont il a démontré qu’il avait besoin pour s’acquitter avec diligence et efficacité de l’obligation qui lui incombe, tout en reconnaissant que chaque jour additionnel pendant lequel les droits sont violés constitue un contrepoids important à l’octroi de temps supplémentaire au législateur.</w:t>
      </w:r>
    </w:p>
    <w:p w14:paraId="0815EF22" w14:textId="77777777" w:rsidR="00F712C6" w:rsidRPr="003022C4" w:rsidRDefault="00F712C6" w:rsidP="00F712C6">
      <w:pPr>
        <w:pStyle w:val="Title3LevelTitre3Niveau"/>
        <w:rPr>
          <w:rFonts w:cs="Times New Roman"/>
          <w:noProof/>
          <w:lang w:val="fr-CA"/>
        </w:rPr>
      </w:pPr>
      <w:r w:rsidRPr="003022C4">
        <w:rPr>
          <w:rFonts w:cs="Times New Roman"/>
          <w:noProof/>
          <w:lang w:val="fr-CA"/>
        </w:rPr>
        <w:t>Réparations individuelles — exemptions des suspensions</w:t>
      </w:r>
    </w:p>
    <w:p w14:paraId="4C83A306" w14:textId="77777777" w:rsidR="00F712C6" w:rsidRPr="003022C4" w:rsidRDefault="00F712C6" w:rsidP="00F712C6">
      <w:pPr>
        <w:pStyle w:val="ParaNoNdepar-AltN"/>
        <w:rPr>
          <w:rFonts w:cs="Times New Roman"/>
          <w:noProof/>
          <w:lang w:val="fr-CA"/>
        </w:rPr>
      </w:pPr>
      <w:r w:rsidRPr="003022C4">
        <w:rPr>
          <w:rFonts w:cs="Times New Roman"/>
          <w:noProof/>
          <w:lang w:val="fr-CA"/>
        </w:rPr>
        <w:t>La suspension de l’effet d’une déclaration d’invalidité soulève fréquemment la question de savoir si le demandeur devrait obtenir une réparation ou une exemption individuelle de cette suspension. Le procureur général affirme que des exemptions individuelles d’une suspension ne devraient être accordées que dans des cas extrêmes où le demandeur ne pourra pas bénéficier des avantages de la déclaration faute d’exemption. Il soutient que les exemptions individuelles créent de l’incertitude et sapent la primauté du droit en appliquant les lois à tout le monde, sauf aux demandeurs qui les ont contestées. Selon lui, l’octroi d’exemptions individuelles usurpe le rôle du législateur en imposant un pouvoir discrétionnaire lorsque la loi l’interdit.</w:t>
      </w:r>
    </w:p>
    <w:p w14:paraId="7111F571" w14:textId="7E1D64B0" w:rsidR="00F712C6" w:rsidRPr="003022C4" w:rsidRDefault="00F712C6" w:rsidP="00F712C6">
      <w:pPr>
        <w:pStyle w:val="ParaNoNdepar-AltN"/>
        <w:rPr>
          <w:rFonts w:cs="Times New Roman"/>
          <w:noProof/>
          <w:lang w:val="fr-CA"/>
        </w:rPr>
      </w:pPr>
      <w:r w:rsidRPr="003022C4">
        <w:rPr>
          <w:rFonts w:cs="Times New Roman"/>
          <w:noProof/>
          <w:lang w:val="fr-CA" w:eastAsia="en-CA"/>
        </w:rPr>
        <w:t xml:space="preserve">Le procureur général s’appuie également sur une « règle » qui a été approuvée dans l’arrêt </w:t>
      </w:r>
      <w:r w:rsidRPr="003022C4">
        <w:rPr>
          <w:rFonts w:cs="Times New Roman"/>
          <w:i/>
          <w:noProof/>
          <w:lang w:val="fr-CA" w:eastAsia="en-CA"/>
        </w:rPr>
        <w:t xml:space="preserve">Demers </w:t>
      </w:r>
      <w:r w:rsidRPr="003022C4">
        <w:rPr>
          <w:rFonts w:cs="Times New Roman"/>
          <w:noProof/>
          <w:lang w:val="fr-CA" w:eastAsia="en-CA"/>
        </w:rPr>
        <w:t xml:space="preserve">selon laquelle des réparations fondées sur le </w:t>
      </w:r>
      <w:r>
        <w:rPr>
          <w:rFonts w:cs="Times New Roman"/>
          <w:noProof/>
          <w:lang w:val="fr-CA" w:eastAsia="en-CA"/>
        </w:rPr>
        <w:t>par. </w:t>
      </w:r>
      <w:r w:rsidRPr="003022C4">
        <w:rPr>
          <w:rFonts w:cs="Times New Roman"/>
          <w:noProof/>
          <w:lang w:val="fr-CA" w:eastAsia="en-CA"/>
        </w:rPr>
        <w:t xml:space="preserve">24(1) ne peuvent pas être combinées à des réparations fondées sur le </w:t>
      </w:r>
      <w:r>
        <w:rPr>
          <w:rFonts w:cs="Times New Roman"/>
          <w:noProof/>
          <w:lang w:val="fr-CA" w:eastAsia="en-CA"/>
        </w:rPr>
        <w:t>par. </w:t>
      </w:r>
      <w:r w:rsidRPr="003022C4">
        <w:rPr>
          <w:rFonts w:cs="Times New Roman"/>
          <w:noProof/>
          <w:lang w:val="fr-CA" w:eastAsia="en-CA"/>
        </w:rPr>
        <w:t xml:space="preserve">52(1), ce qui empêche les tribunaux d’octroyer une réparation individuelle en vertu du </w:t>
      </w:r>
      <w:r>
        <w:rPr>
          <w:rFonts w:cs="Times New Roman"/>
          <w:noProof/>
          <w:lang w:val="fr-CA" w:eastAsia="en-CA"/>
        </w:rPr>
        <w:t>par. </w:t>
      </w:r>
      <w:r w:rsidRPr="003022C4">
        <w:rPr>
          <w:rFonts w:cs="Times New Roman"/>
          <w:noProof/>
          <w:lang w:val="fr-CA" w:eastAsia="en-CA"/>
        </w:rPr>
        <w:t>24(1) pendant la période de suspension (</w:t>
      </w:r>
      <w:r>
        <w:rPr>
          <w:rFonts w:cs="Times New Roman"/>
          <w:noProof/>
          <w:lang w:val="fr-CA" w:eastAsia="en-CA"/>
        </w:rPr>
        <w:t>par. </w:t>
      </w:r>
      <w:r w:rsidRPr="003022C4">
        <w:rPr>
          <w:rFonts w:cs="Times New Roman"/>
          <w:noProof/>
          <w:lang w:val="fr-CA" w:eastAsia="en-CA"/>
        </w:rPr>
        <w:t xml:space="preserve">62). Cependant, au </w:t>
      </w:r>
      <w:r>
        <w:rPr>
          <w:rFonts w:cs="Times New Roman"/>
          <w:noProof/>
          <w:lang w:val="fr-CA" w:eastAsia="en-CA"/>
        </w:rPr>
        <w:t>par. </w:t>
      </w:r>
      <w:r w:rsidRPr="003022C4">
        <w:rPr>
          <w:rFonts w:cs="Times New Roman"/>
          <w:noProof/>
          <w:lang w:val="fr-CA" w:eastAsia="en-CA"/>
        </w:rPr>
        <w:t xml:space="preserve">61 de </w:t>
      </w:r>
      <w:r w:rsidRPr="003022C4">
        <w:rPr>
          <w:rFonts w:cs="Times New Roman"/>
          <w:i/>
          <w:noProof/>
          <w:lang w:val="fr-CA" w:eastAsia="en-CA"/>
        </w:rPr>
        <w:t>Demers</w:t>
      </w:r>
      <w:r w:rsidRPr="003022C4">
        <w:rPr>
          <w:rFonts w:cs="Times New Roman"/>
          <w:noProof/>
          <w:lang w:val="fr-CA" w:eastAsia="en-CA"/>
        </w:rPr>
        <w:t xml:space="preserve">, les juges Iacobucci et Bastarache ont tiré cette conclusion d’un passage de </w:t>
      </w:r>
      <w:r>
        <w:rPr>
          <w:rFonts w:cs="Times New Roman"/>
          <w:noProof/>
          <w:lang w:val="fr-CA" w:eastAsia="en-CA"/>
        </w:rPr>
        <w:t xml:space="preserve">l’arrêt </w:t>
      </w:r>
      <w:r w:rsidRPr="003022C4">
        <w:rPr>
          <w:rFonts w:cs="Times New Roman"/>
          <w:i/>
          <w:noProof/>
          <w:lang w:val="fr-CA" w:eastAsia="en-CA"/>
        </w:rPr>
        <w:t xml:space="preserve">Schachter </w:t>
      </w:r>
      <w:r w:rsidRPr="003022C4">
        <w:rPr>
          <w:rFonts w:cs="Times New Roman"/>
          <w:noProof/>
          <w:lang w:val="fr-CA" w:eastAsia="en-CA"/>
        </w:rPr>
        <w:t xml:space="preserve">où la Cour précisait que « si l’effet de la déclaration d’invalidité est temporairement suspendu, il n’y aura </w:t>
      </w:r>
      <w:r w:rsidRPr="003022C4">
        <w:rPr>
          <w:rFonts w:cs="Times New Roman"/>
          <w:noProof/>
          <w:u w:val="single"/>
          <w:lang w:val="fr-CA" w:eastAsia="en-CA"/>
        </w:rPr>
        <w:t>pas non plus souvent</w:t>
      </w:r>
      <w:r w:rsidRPr="003022C4">
        <w:rPr>
          <w:rFonts w:cs="Times New Roman"/>
          <w:noProof/>
          <w:lang w:val="fr-CA" w:eastAsia="en-CA"/>
        </w:rPr>
        <w:t xml:space="preserve"> lieu à une réparation en vertu de l’</w:t>
      </w:r>
      <w:r>
        <w:rPr>
          <w:rFonts w:cs="Times New Roman"/>
          <w:noProof/>
          <w:lang w:val="fr-CA" w:eastAsia="en-CA"/>
        </w:rPr>
        <w:t>art. </w:t>
      </w:r>
      <w:r w:rsidRPr="003022C4">
        <w:rPr>
          <w:rFonts w:cs="Times New Roman"/>
          <w:noProof/>
          <w:lang w:val="fr-CA" w:eastAsia="en-CA"/>
        </w:rPr>
        <w:t>24 » (</w:t>
      </w:r>
      <w:r>
        <w:rPr>
          <w:rFonts w:cs="Times New Roman"/>
          <w:noProof/>
          <w:lang w:val="fr-CA" w:eastAsia="en-CA"/>
        </w:rPr>
        <w:t>p. </w:t>
      </w:r>
      <w:r w:rsidR="0025412A">
        <w:rPr>
          <w:rFonts w:cs="Times New Roman"/>
          <w:noProof/>
          <w:lang w:val="fr-CA" w:eastAsia="en-CA"/>
        </w:rPr>
        <w:t>720 (</w:t>
      </w:r>
      <w:r w:rsidRPr="003022C4">
        <w:rPr>
          <w:rFonts w:cs="Times New Roman"/>
          <w:noProof/>
          <w:lang w:val="fr-CA" w:eastAsia="en-CA"/>
        </w:rPr>
        <w:t>je souligne</w:t>
      </w:r>
      <w:r w:rsidR="0025412A">
        <w:rPr>
          <w:rFonts w:cs="Times New Roman"/>
          <w:noProof/>
          <w:lang w:val="fr-CA" w:eastAsia="en-CA"/>
        </w:rPr>
        <w:t>)</w:t>
      </w:r>
      <w:r w:rsidRPr="003022C4">
        <w:rPr>
          <w:rFonts w:cs="Times New Roman"/>
          <w:noProof/>
          <w:lang w:val="fr-CA" w:eastAsia="en-CA"/>
        </w:rPr>
        <w:t>) parce qu’une telle réparation saperait l’effet de la suspension. En ce qui concerne l’octroi d’une réparation individuelle pendant une période de suspension, le juge en chef Lamer a expliqué que cette mesure « équivaudrait » à donner un effet rétroactif à la déclaration d’invalidité.</w:t>
      </w:r>
    </w:p>
    <w:p w14:paraId="5901EF34"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eastAsia="en-CA"/>
        </w:rPr>
        <w:t xml:space="preserve">Dans la mesure où, dans l’arrêt </w:t>
      </w:r>
      <w:r w:rsidRPr="003022C4">
        <w:rPr>
          <w:rFonts w:cs="Times New Roman"/>
          <w:i/>
          <w:noProof/>
          <w:lang w:val="fr-CA" w:eastAsia="en-CA"/>
        </w:rPr>
        <w:t>Demers</w:t>
      </w:r>
      <w:r w:rsidRPr="003022C4">
        <w:rPr>
          <w:rFonts w:cs="Times New Roman"/>
          <w:noProof/>
          <w:lang w:val="fr-CA" w:eastAsia="en-CA"/>
        </w:rPr>
        <w:t xml:space="preserve">, la Cour affirme que l’arrêt </w:t>
      </w:r>
      <w:r w:rsidRPr="003022C4">
        <w:rPr>
          <w:rFonts w:cs="Times New Roman"/>
          <w:i/>
          <w:noProof/>
          <w:lang w:val="fr-CA" w:eastAsia="en-CA"/>
        </w:rPr>
        <w:t>Schachter</w:t>
      </w:r>
      <w:r w:rsidRPr="003022C4">
        <w:rPr>
          <w:rFonts w:cs="Times New Roman"/>
          <w:noProof/>
          <w:lang w:val="fr-CA" w:eastAsia="en-CA"/>
        </w:rPr>
        <w:t xml:space="preserve"> énonce une règle rigide qui interdit de combiner des réparations fondées sur le </w:t>
      </w:r>
      <w:r>
        <w:rPr>
          <w:rFonts w:cs="Times New Roman"/>
          <w:noProof/>
          <w:lang w:val="fr-CA" w:eastAsia="en-CA"/>
        </w:rPr>
        <w:t>par. </w:t>
      </w:r>
      <w:r w:rsidRPr="003022C4">
        <w:rPr>
          <w:rFonts w:cs="Times New Roman"/>
          <w:noProof/>
          <w:lang w:val="fr-CA" w:eastAsia="en-CA"/>
        </w:rPr>
        <w:t xml:space="preserve">24(1) et des réparations fondées sur le </w:t>
      </w:r>
      <w:r>
        <w:rPr>
          <w:rFonts w:cs="Times New Roman"/>
          <w:noProof/>
          <w:lang w:val="fr-CA" w:eastAsia="en-CA"/>
        </w:rPr>
        <w:t>par. </w:t>
      </w:r>
      <w:r w:rsidRPr="003022C4">
        <w:rPr>
          <w:rFonts w:cs="Times New Roman"/>
          <w:noProof/>
          <w:lang w:val="fr-CA" w:eastAsia="en-CA"/>
        </w:rPr>
        <w:t xml:space="preserve">52(1), elle interprète erronément ce jugement. Comme je vais l’expliquer, le </w:t>
      </w:r>
      <w:r>
        <w:rPr>
          <w:rFonts w:cs="Times New Roman"/>
          <w:noProof/>
          <w:lang w:val="fr-CA" w:eastAsia="en-CA"/>
        </w:rPr>
        <w:t>par. </w:t>
      </w:r>
      <w:r w:rsidRPr="003022C4">
        <w:rPr>
          <w:rFonts w:cs="Times New Roman"/>
          <w:noProof/>
          <w:lang w:val="fr-CA" w:eastAsia="en-CA"/>
        </w:rPr>
        <w:t>24(1) a une application trop souple pour être restreint de cette manière. Comme le laissent entendre d’autres arrêts de notre Cour, l’exemption individuelle d’une suspension constituera souvent une réparation « convenable et juste » dans les cas où un demandeur a bravé la tempête d’un litige constitutionnel et a obtenu un jugement déclaratoire dont « toute la société [. . .] profite » (</w:t>
      </w:r>
      <w:r w:rsidRPr="003022C4">
        <w:rPr>
          <w:rFonts w:cs="Times New Roman"/>
          <w:i/>
          <w:noProof/>
          <w:lang w:val="fr-CA" w:eastAsia="en-CA"/>
        </w:rPr>
        <w:t>Demers</w:t>
      </w:r>
      <w:r w:rsidRPr="003022C4">
        <w:rPr>
          <w:rFonts w:cs="Times New Roman"/>
          <w:noProof/>
          <w:lang w:val="fr-CA" w:eastAsia="en-CA"/>
        </w:rPr>
        <w:t xml:space="preserve">, </w:t>
      </w:r>
      <w:r>
        <w:rPr>
          <w:rFonts w:cs="Times New Roman"/>
          <w:noProof/>
          <w:lang w:val="fr-CA" w:eastAsia="en-CA"/>
        </w:rPr>
        <w:t>par. </w:t>
      </w:r>
      <w:r w:rsidRPr="003022C4">
        <w:rPr>
          <w:rFonts w:cs="Times New Roman"/>
          <w:noProof/>
          <w:lang w:val="fr-CA" w:eastAsia="en-CA"/>
        </w:rPr>
        <w:t>99, le juge LeBel). Par contre, si une exemption mine la raison d’être d’une suspension, ce facteur important ira à l’encontre de l’octroi d’une exemption.</w:t>
      </w:r>
    </w:p>
    <w:p w14:paraId="3A42812C"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Le paragraphe 24(1) de la </w:t>
      </w:r>
      <w:r w:rsidRPr="003022C4">
        <w:rPr>
          <w:rFonts w:cs="Times New Roman"/>
          <w:i/>
          <w:noProof/>
          <w:lang w:val="fr-CA"/>
        </w:rPr>
        <w:t xml:space="preserve">Charte </w:t>
      </w:r>
      <w:r w:rsidRPr="003022C4">
        <w:rPr>
          <w:rFonts w:cs="Times New Roman"/>
          <w:noProof/>
          <w:lang w:val="fr-CA"/>
        </w:rPr>
        <w:t>est ainsi libellé</w:t>
      </w:r>
      <w:r>
        <w:rPr>
          <w:rFonts w:cs="Times New Roman"/>
          <w:noProof/>
          <w:lang w:val="fr-CA"/>
        </w:rPr>
        <w:t> :</w:t>
      </w:r>
    </w:p>
    <w:p w14:paraId="24624250" w14:textId="3D888084" w:rsidR="00F712C6" w:rsidRPr="003022C4" w:rsidRDefault="00F712C6" w:rsidP="00F712C6">
      <w:pPr>
        <w:pStyle w:val="Citation-AltC"/>
        <w:ind w:hanging="1166"/>
        <w:rPr>
          <w:noProof/>
          <w:lang w:val="fr-CA"/>
        </w:rPr>
      </w:pPr>
      <w:r w:rsidRPr="003022C4">
        <w:rPr>
          <w:b/>
          <w:noProof/>
          <w:lang w:val="fr-CA"/>
        </w:rPr>
        <w:tab/>
        <w:t>24.</w:t>
      </w:r>
      <w:r w:rsidRPr="003022C4">
        <w:rPr>
          <w:noProof/>
          <w:lang w:val="fr-CA"/>
        </w:rPr>
        <w:t xml:space="preserve"> (1) Toute personne, victime de violation ou de négation des droits ou libertés qui </w:t>
      </w:r>
      <w:r w:rsidR="006149C3">
        <w:rPr>
          <w:noProof/>
          <w:lang w:val="fr-CA"/>
        </w:rPr>
        <w:t xml:space="preserve">lui </w:t>
      </w:r>
      <w:r w:rsidRPr="003022C4">
        <w:rPr>
          <w:noProof/>
          <w:lang w:val="fr-CA"/>
        </w:rPr>
        <w:t>sont garantis par la présente charte, peut s’adresser à un tribunal compétent pour obtenir la réparation que le tribunal estime convenable et juste eu égard aux circonstances.</w:t>
      </w:r>
    </w:p>
    <w:p w14:paraId="6896BBEB"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Notre Cour a déclaré que pour être « convenable et juste », une réparation fondée sur le </w:t>
      </w:r>
      <w:r>
        <w:rPr>
          <w:rFonts w:cs="Times New Roman"/>
          <w:noProof/>
          <w:lang w:val="fr-CA"/>
        </w:rPr>
        <w:t>par. </w:t>
      </w:r>
      <w:r w:rsidRPr="003022C4">
        <w:rPr>
          <w:rFonts w:cs="Times New Roman"/>
          <w:noProof/>
          <w:lang w:val="fr-CA"/>
        </w:rPr>
        <w:t xml:space="preserve">24(1) devrait permettre de défendre utilement les droits du demandeur, respecter la séparation des pouvoirs, mettre à contribution le rôle et les pouvoirs d’un tribunal, être équitable pour la partie visée par la réparation et permettre au </w:t>
      </w:r>
      <w:r>
        <w:rPr>
          <w:rFonts w:cs="Times New Roman"/>
          <w:noProof/>
          <w:lang w:val="fr-CA"/>
        </w:rPr>
        <w:t>par. </w:t>
      </w:r>
      <w:r w:rsidRPr="003022C4">
        <w:rPr>
          <w:rFonts w:cs="Times New Roman"/>
          <w:noProof/>
          <w:lang w:val="fr-CA"/>
        </w:rPr>
        <w:t>24(1) d’évoluer de manière à relever les défis de chaque cas (</w:t>
      </w:r>
      <w:r w:rsidRPr="003022C4">
        <w:rPr>
          <w:rFonts w:cs="Times New Roman"/>
          <w:i/>
          <w:noProof/>
          <w:lang w:val="fr-CA"/>
        </w:rPr>
        <w:t>Doucet</w:t>
      </w:r>
      <w:r>
        <w:rPr>
          <w:rFonts w:cs="Times New Roman"/>
          <w:i/>
          <w:noProof/>
          <w:lang w:val="fr-CA"/>
        </w:rPr>
        <w:noBreakHyphen/>
      </w:r>
      <w:r w:rsidRPr="003022C4">
        <w:rPr>
          <w:rFonts w:cs="Times New Roman"/>
          <w:i/>
          <w:noProof/>
          <w:lang w:val="fr-CA"/>
        </w:rPr>
        <w:t>Boudreau</w:t>
      </w:r>
      <w:r w:rsidRPr="003022C4">
        <w:rPr>
          <w:rFonts w:cs="Times New Roman"/>
          <w:noProof/>
          <w:lang w:val="fr-CA"/>
        </w:rPr>
        <w:t xml:space="preserve">, </w:t>
      </w:r>
      <w:r>
        <w:rPr>
          <w:rFonts w:cs="Times New Roman"/>
          <w:noProof/>
          <w:lang w:val="fr-CA"/>
        </w:rPr>
        <w:t>par. </w:t>
      </w:r>
      <w:r w:rsidRPr="003022C4">
        <w:rPr>
          <w:rFonts w:cs="Times New Roman"/>
          <w:noProof/>
          <w:lang w:val="fr-CA"/>
        </w:rPr>
        <w:t>55</w:t>
      </w:r>
      <w:r>
        <w:rPr>
          <w:rFonts w:cs="Times New Roman"/>
          <w:noProof/>
          <w:lang w:val="fr-CA"/>
        </w:rPr>
        <w:noBreakHyphen/>
      </w:r>
      <w:r w:rsidRPr="003022C4">
        <w:rPr>
          <w:rFonts w:cs="Times New Roman"/>
          <w:noProof/>
          <w:lang w:val="fr-CA"/>
        </w:rPr>
        <w:t>59). Plus particulièrement, une réparation efficace qui permet de défendre utilement les droits et libertés du demandeur tiendra compte de la nature des droits violés et de la situation du demandeur, sera adaptée à l’expérience vécue par le demandeur et tiendra compte des circonstances de la violation des droits en cause, et ne sera pas « étouffé[e] » dans les délais et les difficultés de procédure (</w:t>
      </w:r>
      <w:r>
        <w:rPr>
          <w:rFonts w:cs="Times New Roman"/>
          <w:noProof/>
          <w:lang w:val="fr-CA"/>
        </w:rPr>
        <w:t>par. </w:t>
      </w:r>
      <w:r w:rsidRPr="003022C4">
        <w:rPr>
          <w:rFonts w:cs="Times New Roman"/>
          <w:noProof/>
          <w:lang w:val="fr-CA"/>
        </w:rPr>
        <w:t xml:space="preserve">55). De plus, la manière dont la Cour aborde les réparations accordées sur le fondement du </w:t>
      </w:r>
      <w:r>
        <w:rPr>
          <w:rFonts w:cs="Times New Roman"/>
          <w:noProof/>
          <w:lang w:val="fr-CA"/>
        </w:rPr>
        <w:t>par. </w:t>
      </w:r>
      <w:r w:rsidRPr="003022C4">
        <w:rPr>
          <w:rFonts w:cs="Times New Roman"/>
          <w:noProof/>
          <w:lang w:val="fr-CA"/>
        </w:rPr>
        <w:t>24(1) doit rester souple et prendre en considération les besoins en cause (</w:t>
      </w:r>
      <w:r>
        <w:rPr>
          <w:rFonts w:cs="Times New Roman"/>
          <w:noProof/>
          <w:lang w:val="fr-CA"/>
        </w:rPr>
        <w:t>par. </w:t>
      </w:r>
      <w:r w:rsidRPr="003022C4">
        <w:rPr>
          <w:rFonts w:cs="Times New Roman"/>
          <w:noProof/>
          <w:lang w:val="fr-CA"/>
        </w:rPr>
        <w:t>59).</w:t>
      </w:r>
    </w:p>
    <w:p w14:paraId="79B423CC"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Il ressort clairement de la jurisprudence de notre Cour qu’il peut être convenable et juste d’accorder des réparations individuelles pendant la suspension de l’effet d’une déclaration d’invalidité. Par exemple, notre Cour a accordé des prestations d’invalidité à une travailleuse souffrant de douleur chronique pendant la suspension de l’effet d’une déclaration qui invalidait des dispositions </w:t>
      </w:r>
      <w:r w:rsidRPr="003022C4">
        <w:rPr>
          <w:rFonts w:cs="Times New Roman"/>
          <w:i/>
          <w:noProof/>
          <w:lang w:val="fr-CA"/>
        </w:rPr>
        <w:t xml:space="preserve">excluant </w:t>
      </w:r>
      <w:r w:rsidRPr="003022C4">
        <w:rPr>
          <w:rFonts w:cs="Times New Roman"/>
          <w:noProof/>
          <w:lang w:val="fr-CA"/>
        </w:rPr>
        <w:t>la douleur chronique du champ d’application du régime d’indemnisation des accidentés du travail (</w:t>
      </w:r>
      <w:r w:rsidRPr="003022C4">
        <w:rPr>
          <w:rFonts w:cs="Times New Roman"/>
          <w:i/>
          <w:noProof/>
          <w:lang w:val="fr-CA"/>
        </w:rPr>
        <w:t>Martin</w:t>
      </w:r>
      <w:r w:rsidRPr="003022C4">
        <w:rPr>
          <w:rFonts w:cs="Times New Roman"/>
          <w:noProof/>
          <w:lang w:val="fr-CA"/>
        </w:rPr>
        <w:t xml:space="preserve">, </w:t>
      </w:r>
      <w:r>
        <w:rPr>
          <w:rFonts w:cs="Times New Roman"/>
          <w:noProof/>
          <w:lang w:val="fr-CA"/>
        </w:rPr>
        <w:t>par. </w:t>
      </w:r>
      <w:r w:rsidRPr="003022C4">
        <w:rPr>
          <w:rFonts w:cs="Times New Roman"/>
          <w:noProof/>
          <w:lang w:val="fr-CA"/>
        </w:rPr>
        <w:t>121</w:t>
      </w:r>
      <w:r>
        <w:rPr>
          <w:rFonts w:cs="Times New Roman"/>
          <w:noProof/>
          <w:lang w:val="fr-CA"/>
        </w:rPr>
        <w:noBreakHyphen/>
      </w:r>
      <w:r w:rsidRPr="003022C4">
        <w:rPr>
          <w:rFonts w:cs="Times New Roman"/>
          <w:noProof/>
          <w:lang w:val="fr-CA"/>
        </w:rPr>
        <w:t>122). La Cour a également acquitté des individus d’accusations criminelles ou quasi criminelles qui découlaient de lois inconstitutionnelles en dépit de la suspension des effets des déclarations d’invalidité (</w:t>
      </w:r>
      <w:r w:rsidRPr="003022C4">
        <w:rPr>
          <w:rFonts w:cs="Times New Roman"/>
          <w:i/>
          <w:noProof/>
          <w:lang w:val="fr-CA"/>
        </w:rPr>
        <w:t>Guignard</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32; </w:t>
      </w:r>
      <w:r w:rsidRPr="003022C4">
        <w:rPr>
          <w:rFonts w:cs="Times New Roman"/>
          <w:i/>
          <w:noProof/>
          <w:lang w:val="fr-CA"/>
        </w:rPr>
        <w:t>Bain</w:t>
      </w:r>
      <w:r w:rsidRPr="003022C4">
        <w:rPr>
          <w:rFonts w:cs="Times New Roman"/>
          <w:noProof/>
          <w:lang w:val="fr-CA"/>
        </w:rPr>
        <w:t xml:space="preserve">, </w:t>
      </w:r>
      <w:r>
        <w:rPr>
          <w:rFonts w:cs="Times New Roman"/>
          <w:noProof/>
          <w:lang w:val="fr-CA"/>
        </w:rPr>
        <w:t>p. </w:t>
      </w:r>
      <w:r w:rsidRPr="003022C4">
        <w:rPr>
          <w:rFonts w:cs="Times New Roman"/>
          <w:noProof/>
          <w:lang w:val="fr-CA"/>
        </w:rPr>
        <w:t xml:space="preserve">105 et 165; voir aussi </w:t>
      </w:r>
      <w:r w:rsidRPr="003022C4">
        <w:rPr>
          <w:rFonts w:cs="Times New Roman"/>
          <w:i/>
          <w:noProof/>
          <w:lang w:val="fr-CA"/>
        </w:rPr>
        <w:t>Corbiere</w:t>
      </w:r>
      <w:r w:rsidRPr="003022C4">
        <w:rPr>
          <w:rFonts w:cs="Times New Roman"/>
          <w:noProof/>
          <w:lang w:val="fr-CA"/>
        </w:rPr>
        <w:t xml:space="preserve">, </w:t>
      </w:r>
      <w:r>
        <w:rPr>
          <w:rFonts w:cs="Times New Roman"/>
          <w:noProof/>
          <w:lang w:val="fr-CA"/>
        </w:rPr>
        <w:t>par. </w:t>
      </w:r>
      <w:r w:rsidRPr="003022C4">
        <w:rPr>
          <w:rFonts w:cs="Times New Roman"/>
          <w:noProof/>
          <w:lang w:val="fr-CA"/>
        </w:rPr>
        <w:t>22</w:t>
      </w:r>
      <w:r>
        <w:rPr>
          <w:rFonts w:cs="Times New Roman"/>
          <w:noProof/>
          <w:lang w:val="fr-CA"/>
        </w:rPr>
        <w:noBreakHyphen/>
      </w:r>
      <w:r w:rsidRPr="003022C4">
        <w:rPr>
          <w:rFonts w:cs="Times New Roman"/>
          <w:noProof/>
          <w:lang w:val="fr-CA"/>
        </w:rPr>
        <w:t>23).</w:t>
      </w:r>
    </w:p>
    <w:p w14:paraId="0ECE4BDD"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Une règle selon laquelle les demandeurs individuels ne peuvent pas être exemptés de la suspension de l’effet d’une déclaration d’invalidité entraverait indûment l’exercice du large pouvoir discrétionnaire qui est conféré aux tribunaux par le </w:t>
      </w:r>
      <w:r>
        <w:rPr>
          <w:rFonts w:cs="Times New Roman"/>
          <w:noProof/>
          <w:lang w:val="fr-CA"/>
        </w:rPr>
        <w:t>par. </w:t>
      </w:r>
      <w:r w:rsidRPr="003022C4">
        <w:rPr>
          <w:rFonts w:cs="Times New Roman"/>
          <w:noProof/>
          <w:lang w:val="fr-CA"/>
        </w:rPr>
        <w:t xml:space="preserve">24(1) de la </w:t>
      </w:r>
      <w:r w:rsidRPr="003022C4">
        <w:rPr>
          <w:rFonts w:cs="Times New Roman"/>
          <w:i/>
          <w:noProof/>
          <w:lang w:val="fr-CA"/>
        </w:rPr>
        <w:t>Charte</w:t>
      </w:r>
      <w:r w:rsidRPr="003022C4">
        <w:rPr>
          <w:rFonts w:cs="Times New Roman"/>
          <w:noProof/>
          <w:lang w:val="fr-CA"/>
        </w:rPr>
        <w:t xml:space="preserve">, qui leur permet d’accorder les réparations qu’ils « estime[nt] convenable[s] et juste[s] eu égard aux circonstances ». Le pouvoir discrétionnaire de réparation est un élément fondamental de la </w:t>
      </w:r>
      <w:r w:rsidRPr="003022C4">
        <w:rPr>
          <w:rFonts w:cs="Times New Roman"/>
          <w:i/>
          <w:noProof/>
          <w:lang w:val="fr-CA"/>
        </w:rPr>
        <w:t>Charte</w:t>
      </w:r>
      <w:r w:rsidRPr="003022C4">
        <w:rPr>
          <w:rFonts w:cs="Times New Roman"/>
          <w:noProof/>
          <w:lang w:val="fr-CA"/>
        </w:rPr>
        <w:t xml:space="preserve">. Interdire aux demandeurs individuels d’être exemptés d’une suspension sera souvent injuste pour ces derniers, surtout compte tenu du fait que la nécessité de la réparation individuelle découle de la décision du tribunal de suspendre l’effet de la déclaration en cause. Il ne fait certes aucun doute que la raison pour laquelle l’effet d’une déclaration a été suspendu est un facteur important qui doit être pris en compte lors de l’octroi d’une réparation fondée sur le </w:t>
      </w:r>
      <w:r>
        <w:rPr>
          <w:rFonts w:cs="Times New Roman"/>
          <w:noProof/>
          <w:lang w:val="fr-CA"/>
        </w:rPr>
        <w:t>par. </w:t>
      </w:r>
      <w:r w:rsidRPr="003022C4">
        <w:rPr>
          <w:rFonts w:cs="Times New Roman"/>
          <w:noProof/>
          <w:lang w:val="fr-CA"/>
        </w:rPr>
        <w:t>24(1) — et, comme je l’explique plus loin, ce facteur devrait également être pris en considération lorsque le tribunal envisage d’accorder une exemption. Cependant, Brendan Brammal</w:t>
      </w:r>
      <w:r>
        <w:rPr>
          <w:rFonts w:cs="Times New Roman"/>
          <w:noProof/>
          <w:lang w:val="fr-CA"/>
        </w:rPr>
        <w:t>l</w:t>
      </w:r>
      <w:r w:rsidRPr="003022C4">
        <w:rPr>
          <w:rFonts w:cs="Times New Roman"/>
          <w:noProof/>
          <w:lang w:val="fr-CA"/>
        </w:rPr>
        <w:t xml:space="preserve"> a décrit avec justesse une règle stricte selon laquelle la priorité doit être accordée à l’équité à laquelle le gouvernement a droit </w:t>
      </w:r>
      <w:r w:rsidRPr="003022C4">
        <w:rPr>
          <w:rFonts w:cs="Times New Roman"/>
          <w:smallCaps/>
          <w:noProof/>
          <w:lang w:val="fr-CA"/>
        </w:rPr>
        <w:t xml:space="preserve">[traduction] </w:t>
      </w:r>
      <w:r w:rsidRPr="003022C4">
        <w:rPr>
          <w:rFonts w:cs="Times New Roman"/>
          <w:noProof/>
          <w:lang w:val="fr-CA"/>
        </w:rPr>
        <w:t xml:space="preserve">« plutôt qu’à tous les motifs faisant contrepoids, comme l’octroi d’une réparation efficace » (« A Comment on </w:t>
      </w:r>
      <w:r w:rsidRPr="003022C4">
        <w:rPr>
          <w:rFonts w:cs="Times New Roman"/>
          <w:i/>
          <w:noProof/>
          <w:lang w:val="fr-CA"/>
        </w:rPr>
        <w:t>Doucet</w:t>
      </w:r>
      <w:r>
        <w:rPr>
          <w:rFonts w:cs="Times New Roman"/>
          <w:i/>
          <w:noProof/>
          <w:lang w:val="fr-CA"/>
        </w:rPr>
        <w:noBreakHyphen/>
      </w:r>
      <w:r w:rsidRPr="003022C4">
        <w:rPr>
          <w:rFonts w:cs="Times New Roman"/>
          <w:i/>
          <w:noProof/>
          <w:lang w:val="fr-CA"/>
        </w:rPr>
        <w:t>Boudreau v. Nova Scotia (Minister of Education)</w:t>
      </w:r>
      <w:r w:rsidRPr="003022C4">
        <w:rPr>
          <w:rFonts w:cs="Times New Roman"/>
          <w:noProof/>
          <w:lang w:val="fr-CA"/>
        </w:rPr>
        <w:t xml:space="preserve"> and </w:t>
      </w:r>
      <w:r w:rsidRPr="003022C4">
        <w:rPr>
          <w:rFonts w:cs="Times New Roman"/>
          <w:i/>
          <w:noProof/>
          <w:lang w:val="fr-CA"/>
        </w:rPr>
        <w:t>R. v. Demers </w:t>
      </w:r>
      <w:r w:rsidRPr="003022C4">
        <w:rPr>
          <w:rFonts w:cs="Times New Roman"/>
          <w:noProof/>
          <w:lang w:val="fr-CA"/>
        </w:rPr>
        <w:t>» (2006), 64 </w:t>
      </w:r>
      <w:r w:rsidRPr="003022C4">
        <w:rPr>
          <w:rFonts w:cs="Times New Roman"/>
          <w:i/>
          <w:noProof/>
          <w:lang w:val="fr-CA"/>
        </w:rPr>
        <w:t>U.T. Fac. L. Rev. </w:t>
      </w:r>
      <w:r w:rsidRPr="003022C4">
        <w:rPr>
          <w:rFonts w:cs="Times New Roman"/>
          <w:noProof/>
          <w:lang w:val="fr-CA"/>
        </w:rPr>
        <w:t xml:space="preserve">113, </w:t>
      </w:r>
      <w:r>
        <w:rPr>
          <w:rFonts w:cs="Times New Roman"/>
          <w:noProof/>
          <w:lang w:val="fr-CA"/>
        </w:rPr>
        <w:t>p. </w:t>
      </w:r>
      <w:r w:rsidRPr="003022C4">
        <w:rPr>
          <w:rFonts w:cs="Times New Roman"/>
          <w:noProof/>
          <w:lang w:val="fr-CA"/>
        </w:rPr>
        <w:t>117).</w:t>
      </w:r>
    </w:p>
    <w:p w14:paraId="1B410F6A"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À mon avis, lorsque l’effet d’une déclaration est suspendu, il sera souvent convenable et juste d’accorder une réparation individuelle au demandeur. En effet, l’importance de protéger les droits constitutionnels milite fortement en faveur de l’octroi d’une réparation individuelle. Le souci de défendre des droits individuels par l’octroi de réparations efficaces remonte à Blackstone et Dicey, et il reste d’actualité (voir K. Roach, « Dialogic remedies » (2019), 17 </w:t>
      </w:r>
      <w:r w:rsidRPr="003022C4">
        <w:rPr>
          <w:rFonts w:cs="Times New Roman"/>
          <w:i/>
          <w:noProof/>
          <w:lang w:val="fr-CA"/>
        </w:rPr>
        <w:t>I CON</w:t>
      </w:r>
      <w:r w:rsidRPr="003022C4">
        <w:rPr>
          <w:rFonts w:cs="Times New Roman"/>
          <w:noProof/>
          <w:lang w:val="fr-CA"/>
        </w:rPr>
        <w:t xml:space="preserve"> 860, </w:t>
      </w:r>
      <w:r>
        <w:rPr>
          <w:rFonts w:cs="Times New Roman"/>
          <w:noProof/>
          <w:lang w:val="fr-CA"/>
        </w:rPr>
        <w:t>p. </w:t>
      </w:r>
      <w:r w:rsidRPr="003022C4">
        <w:rPr>
          <w:rFonts w:cs="Times New Roman"/>
          <w:noProof/>
          <w:lang w:val="fr-CA"/>
        </w:rPr>
        <w:t>862</w:t>
      </w:r>
      <w:r>
        <w:rPr>
          <w:rFonts w:cs="Times New Roman"/>
          <w:noProof/>
          <w:lang w:val="fr-CA"/>
        </w:rPr>
        <w:noBreakHyphen/>
      </w:r>
      <w:r w:rsidRPr="003022C4">
        <w:rPr>
          <w:rFonts w:cs="Times New Roman"/>
          <w:noProof/>
          <w:lang w:val="fr-CA"/>
        </w:rPr>
        <w:t>865).</w:t>
      </w:r>
    </w:p>
    <w:p w14:paraId="29F91CD7" w14:textId="023CE706"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Exempter seulement le demandeur de l’application d’une suspension peut sembler injuste à première vue (voir, dans le contexte des réparations prospectives, Choudhry et Roach, </w:t>
      </w:r>
      <w:r>
        <w:rPr>
          <w:rFonts w:cs="Times New Roman"/>
          <w:noProof/>
          <w:lang w:val="fr-CA"/>
        </w:rPr>
        <w:t>p. </w:t>
      </w:r>
      <w:r w:rsidR="0025412A">
        <w:rPr>
          <w:rFonts w:cs="Times New Roman"/>
          <w:noProof/>
          <w:lang w:val="fr-CA"/>
        </w:rPr>
        <w:t xml:space="preserve">223, note </w:t>
      </w:r>
      <w:r w:rsidRPr="003022C4">
        <w:rPr>
          <w:rFonts w:cs="Times New Roman"/>
          <w:noProof/>
          <w:lang w:val="fr-CA"/>
        </w:rPr>
        <w:t xml:space="preserve">65, citant </w:t>
      </w:r>
      <w:r w:rsidRPr="003022C4">
        <w:rPr>
          <w:rFonts w:cs="Times New Roman"/>
          <w:i/>
          <w:noProof/>
          <w:lang w:val="fr-CA"/>
        </w:rPr>
        <w:t>Harper c. Virginia Department of Taxation</w:t>
      </w:r>
      <w:r w:rsidRPr="003022C4">
        <w:rPr>
          <w:rFonts w:cs="Times New Roman"/>
          <w:noProof/>
          <w:lang w:val="fr-CA"/>
        </w:rPr>
        <w:t xml:space="preserve">, 509 U.S. 86 (1993); </w:t>
      </w:r>
      <w:r w:rsidRPr="003022C4">
        <w:rPr>
          <w:rFonts w:cs="Times New Roman"/>
          <w:i/>
          <w:noProof/>
          <w:lang w:val="fr-CA"/>
        </w:rPr>
        <w:t>Reynoldsville Casket Co. c. Hyde</w:t>
      </w:r>
      <w:r w:rsidRPr="003022C4">
        <w:rPr>
          <w:rFonts w:cs="Times New Roman"/>
          <w:noProof/>
          <w:lang w:val="fr-CA"/>
        </w:rPr>
        <w:t>, 514 U.S. 749 (1995)). Or, le demandeur ne se trouve pas dans la même situation que les autres personnes assujetties à la loi contestée sous un rapport clé</w:t>
      </w:r>
      <w:r>
        <w:rPr>
          <w:rFonts w:cs="Times New Roman"/>
          <w:noProof/>
          <w:lang w:val="fr-CA"/>
        </w:rPr>
        <w:t> :</w:t>
      </w:r>
      <w:r w:rsidRPr="003022C4">
        <w:rPr>
          <w:rFonts w:cs="Times New Roman"/>
          <w:noProof/>
          <w:lang w:val="fr-CA"/>
        </w:rPr>
        <w:t xml:space="preserve"> le demandeur qui a gain de cause dans sa contestation constitutionnelle a servi l’intérêt du public en faisant en sorte qu’une loi inconstitutionnelle soit invalidée. En effet, le demandeur a exercé le « droit des citoyens au respect de la constitution par le Parlement » (</w:t>
      </w:r>
      <w:r w:rsidRPr="003022C4">
        <w:rPr>
          <w:rFonts w:cs="Times New Roman"/>
          <w:i/>
          <w:noProof/>
          <w:lang w:val="fr-CA"/>
        </w:rPr>
        <w:t>Thorson c. Procureur général du Canada</w:t>
      </w:r>
      <w:r w:rsidRPr="003022C4">
        <w:rPr>
          <w:rFonts w:cs="Times New Roman"/>
          <w:noProof/>
          <w:lang w:val="fr-CA"/>
        </w:rPr>
        <w:t xml:space="preserve">, [1975] 1 R.C.S. 138, </w:t>
      </w:r>
      <w:r>
        <w:rPr>
          <w:rFonts w:cs="Times New Roman"/>
          <w:noProof/>
          <w:lang w:val="fr-CA"/>
        </w:rPr>
        <w:t>p. </w:t>
      </w:r>
      <w:r w:rsidRPr="003022C4">
        <w:rPr>
          <w:rFonts w:cs="Times New Roman"/>
          <w:noProof/>
          <w:lang w:val="fr-CA"/>
        </w:rPr>
        <w:t xml:space="preserve">163). Comme l’a fait valoir le procureur général, il est dans l’intérêt du public que les lois s’appliquent à tous de façon uniforme, mais il est également dans l’intérêt du public que des réparations immédiates soient accordées aux demandeurs. Les réalités pratiques de la contestation de la constitutionnalité d’une loi peuvent cependant dissuader les demandeurs d’intenter une action qui comporte des avantages substantiels pour la société (Leckey, </w:t>
      </w:r>
      <w:r>
        <w:rPr>
          <w:rFonts w:cs="Times New Roman"/>
          <w:noProof/>
          <w:lang w:val="fr-CA"/>
        </w:rPr>
        <w:t>p. </w:t>
      </w:r>
      <w:r w:rsidRPr="003022C4">
        <w:rPr>
          <w:rFonts w:cs="Times New Roman"/>
          <w:noProof/>
          <w:lang w:val="fr-CA"/>
        </w:rPr>
        <w:t>594</w:t>
      </w:r>
      <w:r>
        <w:rPr>
          <w:rFonts w:cs="Times New Roman"/>
          <w:noProof/>
          <w:lang w:val="fr-CA"/>
        </w:rPr>
        <w:noBreakHyphen/>
      </w:r>
      <w:r w:rsidRPr="003022C4">
        <w:rPr>
          <w:rFonts w:cs="Times New Roman"/>
          <w:noProof/>
          <w:lang w:val="fr-CA"/>
        </w:rPr>
        <w:t xml:space="preserve">595; Brammall, </w:t>
      </w:r>
      <w:r>
        <w:rPr>
          <w:rFonts w:cs="Times New Roman"/>
          <w:noProof/>
          <w:lang w:val="fr-CA"/>
        </w:rPr>
        <w:t>p. </w:t>
      </w:r>
      <w:r w:rsidRPr="003022C4">
        <w:rPr>
          <w:rFonts w:cs="Times New Roman"/>
          <w:noProof/>
          <w:lang w:val="fr-CA"/>
        </w:rPr>
        <w:t>119</w:t>
      </w:r>
      <w:r w:rsidR="0025412A">
        <w:rPr>
          <w:rFonts w:cs="Times New Roman"/>
          <w:noProof/>
          <w:lang w:val="fr-CA"/>
        </w:rPr>
        <w:t xml:space="preserve">, note </w:t>
      </w:r>
      <w:r w:rsidRPr="003022C4">
        <w:rPr>
          <w:rFonts w:cs="Times New Roman"/>
          <w:noProof/>
          <w:lang w:val="fr-CA"/>
        </w:rPr>
        <w:t xml:space="preserve">44, citant </w:t>
      </w:r>
      <w:r w:rsidRPr="003022C4">
        <w:rPr>
          <w:rFonts w:cs="Times New Roman"/>
          <w:i/>
          <w:noProof/>
          <w:lang w:val="fr-CA"/>
        </w:rPr>
        <w:t>Demers</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99, le juge LeBel; voir aussi ministère de la Justice, Division de la recherche et de la statistique, </w:t>
      </w:r>
      <w:r w:rsidRPr="0050740D">
        <w:rPr>
          <w:rFonts w:cs="Times New Roman"/>
          <w:i/>
          <w:noProof/>
          <w:lang w:val="fr-CA"/>
        </w:rPr>
        <w:t>Les coûts des litiges fondés sur la Charte</w:t>
      </w:r>
      <w:r w:rsidRPr="003022C4">
        <w:rPr>
          <w:rFonts w:cs="Times New Roman"/>
          <w:noProof/>
          <w:lang w:val="fr-CA"/>
        </w:rPr>
        <w:t xml:space="preserve"> (2016)). Les exemptions individuelles peuvent </w:t>
      </w:r>
      <w:r>
        <w:rPr>
          <w:rFonts w:cs="Times New Roman"/>
          <w:noProof/>
          <w:lang w:val="fr-CA"/>
        </w:rPr>
        <w:t xml:space="preserve">également </w:t>
      </w:r>
      <w:r w:rsidRPr="003022C4">
        <w:rPr>
          <w:rFonts w:cs="Times New Roman"/>
          <w:noProof/>
          <w:lang w:val="fr-CA"/>
        </w:rPr>
        <w:t xml:space="preserve">atténuer tous les autres facteurs de dissuasion attribuables à la suspension de l’effet de déclarations (Leckey, </w:t>
      </w:r>
      <w:r>
        <w:rPr>
          <w:rFonts w:cs="Times New Roman"/>
          <w:noProof/>
          <w:lang w:val="fr-CA"/>
        </w:rPr>
        <w:t>p. </w:t>
      </w:r>
      <w:r w:rsidRPr="003022C4">
        <w:rPr>
          <w:rFonts w:cs="Times New Roman"/>
          <w:noProof/>
          <w:lang w:val="fr-CA"/>
        </w:rPr>
        <w:t xml:space="preserve">607). Par conséquent, les tribunaux ne devraient pas seulement s’attarder à l’affaire ou à la loi dont ils sont saisis, mais ils devraient aussi favoriser la conformité à la </w:t>
      </w:r>
      <w:r w:rsidRPr="003022C4">
        <w:rPr>
          <w:rFonts w:cs="Times New Roman"/>
          <w:i/>
          <w:noProof/>
          <w:lang w:val="fr-CA"/>
        </w:rPr>
        <w:t xml:space="preserve">Charte </w:t>
      </w:r>
      <w:r w:rsidRPr="003022C4">
        <w:rPr>
          <w:rFonts w:cs="Times New Roman"/>
          <w:noProof/>
          <w:lang w:val="fr-CA"/>
        </w:rPr>
        <w:t xml:space="preserve">à long terme par le truchement des réparations qu’ils accordent en vertu du </w:t>
      </w:r>
      <w:r>
        <w:rPr>
          <w:rFonts w:cs="Times New Roman"/>
          <w:noProof/>
          <w:lang w:val="fr-CA"/>
        </w:rPr>
        <w:t>par. </w:t>
      </w:r>
      <w:r w:rsidRPr="003022C4">
        <w:rPr>
          <w:rFonts w:cs="Times New Roman"/>
          <w:noProof/>
          <w:lang w:val="fr-CA"/>
        </w:rPr>
        <w:t>24(1) (</w:t>
      </w:r>
      <w:r w:rsidRPr="003022C4">
        <w:rPr>
          <w:rFonts w:cs="Times New Roman"/>
          <w:i/>
          <w:noProof/>
          <w:lang w:val="fr-CA"/>
        </w:rPr>
        <w:t>Vancouver (Ville) c. Ward</w:t>
      </w:r>
      <w:r w:rsidRPr="003022C4">
        <w:rPr>
          <w:rFonts w:cs="Times New Roman"/>
          <w:noProof/>
          <w:lang w:val="fr-CA"/>
        </w:rPr>
        <w:t xml:space="preserve">, 2010 CSC 27, [2010] 2 R.C.S. 28, </w:t>
      </w:r>
      <w:r>
        <w:rPr>
          <w:rFonts w:cs="Times New Roman"/>
          <w:noProof/>
          <w:lang w:val="fr-CA"/>
        </w:rPr>
        <w:t>par. </w:t>
      </w:r>
      <w:r w:rsidRPr="003022C4">
        <w:rPr>
          <w:rFonts w:cs="Times New Roman"/>
          <w:noProof/>
          <w:lang w:val="fr-CA"/>
        </w:rPr>
        <w:t>29 et 38).</w:t>
      </w:r>
    </w:p>
    <w:p w14:paraId="54D43AF2"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Tout comme pour la décision de suspendre l’effet d’une déclaration d’invalidité malgré la violation continue des droits, il doit y avoir une raison impérieuse de refuser au demandeur une réparation avec effet immédiat. Deux exemples sautent aux yeux. </w:t>
      </w:r>
    </w:p>
    <w:p w14:paraId="6CE643C2"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Premièrement, le tribunal doit se demander si l’octroi d’une exemption dans la situation particulière du demandeur mine l’intérêt de suspendre l’effet de la déclaration et, le cas échéant, dans quelle mesure. Par conséquent, la capacité du législateur à adapter ses réponses politiques à la déclaration et l’intérêt qu’a le public à ce que la loi soit appliquée de façon temporaire seront des éléments importants à prendre en compte pour déterminer si une exemption peut être accordée. Par exemple, lorsque l’effet d’une déclaration est suspendu afin de protéger la sécurité du public, il ne serait pas convenable et juste d’accorder une exemption individuelle si celle</w:t>
      </w:r>
      <w:r>
        <w:rPr>
          <w:rFonts w:cs="Times New Roman"/>
          <w:noProof/>
          <w:lang w:val="fr-CA"/>
        </w:rPr>
        <w:noBreakHyphen/>
      </w:r>
      <w:r w:rsidRPr="003022C4">
        <w:rPr>
          <w:rFonts w:cs="Times New Roman"/>
          <w:noProof/>
          <w:lang w:val="fr-CA"/>
        </w:rPr>
        <w:t>ci mettait en danger la sécurité du public. Une preuve de la situation du demandeur concerné, dont disposera vraisemblablement le tribunal, lui permettra de décider si tel est le cas.</w:t>
      </w:r>
    </w:p>
    <w:p w14:paraId="58C24E41" w14:textId="77777777" w:rsidR="00F712C6" w:rsidRPr="003022C4" w:rsidRDefault="00F712C6" w:rsidP="00F712C6">
      <w:pPr>
        <w:pStyle w:val="ParaNoNdepar-AltN"/>
        <w:spacing w:after="120"/>
        <w:rPr>
          <w:rFonts w:cs="Times New Roman"/>
          <w:noProof/>
          <w:lang w:val="fr-CA"/>
        </w:rPr>
      </w:pPr>
      <w:r w:rsidRPr="003022C4">
        <w:rPr>
          <w:rFonts w:cs="Times New Roman"/>
          <w:lang w:val="fr-CA"/>
        </w:rPr>
        <w:t>Deuxièmement, le tribunal peut aussi avoir une raison impérieuse de ne pas accorder d’exemption individuelle s’il est inopportun de le faire en raison de considérations pratiques comme l’économie des ressources judiciaires. Par exemple, si une catégorie ou un groupe important de demandeurs se pourvoit en justice, il ne sera peut</w:t>
      </w:r>
      <w:r>
        <w:rPr>
          <w:rFonts w:cs="Times New Roman"/>
          <w:lang w:val="fr-CA"/>
        </w:rPr>
        <w:noBreakHyphen/>
      </w:r>
      <w:r w:rsidRPr="003022C4">
        <w:rPr>
          <w:rFonts w:cs="Times New Roman"/>
          <w:lang w:val="fr-CA"/>
        </w:rPr>
        <w:t xml:space="preserve">être pas pratique — ni même possible — de procéder aux évaluations individuelles nécessaires pour accorder des exemptions à chacun d’eux. </w:t>
      </w:r>
    </w:p>
    <w:p w14:paraId="3140F94B"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En fin de compte, on sert bien le public en encourageant </w:t>
      </w:r>
      <w:r>
        <w:rPr>
          <w:rFonts w:cs="Times New Roman"/>
          <w:noProof/>
          <w:lang w:val="fr-CA"/>
        </w:rPr>
        <w:t>le</w:t>
      </w:r>
      <w:r w:rsidRPr="003022C4">
        <w:rPr>
          <w:rFonts w:cs="Times New Roman"/>
          <w:noProof/>
          <w:lang w:val="fr-CA"/>
        </w:rPr>
        <w:t xml:space="preserve"> recours aux tribunaux </w:t>
      </w:r>
      <w:r>
        <w:rPr>
          <w:rFonts w:cs="Times New Roman"/>
          <w:noProof/>
          <w:lang w:val="fr-CA"/>
        </w:rPr>
        <w:t>qui favorise l’intérêt public en mettant</w:t>
      </w:r>
      <w:r w:rsidRPr="003022C4">
        <w:rPr>
          <w:rFonts w:cs="Times New Roman"/>
          <w:noProof/>
          <w:lang w:val="fr-CA"/>
        </w:rPr>
        <w:t xml:space="preserve"> au jour l’inconstitutionnalité d’une loi. Les demandeurs consacrent du temps et des ressources pour intenter des actions dans l’intérêt public, contrairement aux autres personnes qui se trouvent dans une situation semblable — et le temps et les ressources qu’ils consacrent ainsi peuvent être profitables à d’autres personnes directement touchées, surtout celles qui n’ont pas les moyens de la contester elles</w:t>
      </w:r>
      <w:r>
        <w:rPr>
          <w:rFonts w:cs="Times New Roman"/>
          <w:noProof/>
          <w:lang w:val="fr-CA"/>
        </w:rPr>
        <w:noBreakHyphen/>
      </w:r>
      <w:r w:rsidRPr="003022C4">
        <w:rPr>
          <w:rFonts w:cs="Times New Roman"/>
          <w:noProof/>
          <w:lang w:val="fr-CA"/>
        </w:rPr>
        <w:t>mêmes. Par conséquent, si, à tous autres égards, une exemption constitue une réparation convenable et juste, les demandeurs devraient être exemptés des suspensions s’il n’existe aucun motif impérieux de ne pas leur accorder une telle réparation. Il sera d’ailleurs souvent nécessaire d’exempter un demandeur d’une suspension pour mettre en balance les intérêts de ce dernier, du public en général et du législateur.</w:t>
      </w:r>
    </w:p>
    <w:p w14:paraId="24A87862" w14:textId="77777777" w:rsidR="00F712C6" w:rsidRPr="003022C4" w:rsidRDefault="00F712C6" w:rsidP="00F712C6">
      <w:pPr>
        <w:pStyle w:val="Title3LevelTitre3Niveau"/>
        <w:rPr>
          <w:rFonts w:cs="Times New Roman"/>
          <w:noProof/>
          <w:lang w:val="fr-CA"/>
        </w:rPr>
      </w:pPr>
      <w:r w:rsidRPr="003022C4">
        <w:rPr>
          <w:rFonts w:cs="Times New Roman"/>
          <w:noProof/>
          <w:lang w:val="fr-CA"/>
        </w:rPr>
        <w:t xml:space="preserve">Principes généraux en matière de réparation dans les cas où une loi viole la </w:t>
      </w:r>
      <w:r w:rsidRPr="003022C4">
        <w:rPr>
          <w:rFonts w:cs="Times New Roman"/>
          <w:i/>
          <w:noProof/>
          <w:lang w:val="fr-CA"/>
        </w:rPr>
        <w:t>Charte</w:t>
      </w:r>
    </w:p>
    <w:p w14:paraId="6E1EFBAD"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Comme je l’ai expliqué, la détermination du type et de la portée des réparations qu’il convient d’accorder conformément à la loi, la suspension de l’effet de ces réparations et l’exemption des plaideurs de ces suspensions sont souvent les pierres de touche de la pratique de notre Cour en matière de réparation, lesquelles guident le pouvoir discrétionnaire fondé sur des principes qu’elle exerce au moment d’accorder des réparations dans les cas où une loi viole la </w:t>
      </w:r>
      <w:r w:rsidRPr="003022C4">
        <w:rPr>
          <w:rFonts w:cs="Times New Roman"/>
          <w:i/>
          <w:noProof/>
          <w:lang w:val="fr-CA"/>
        </w:rPr>
        <w:t>Charte</w:t>
      </w:r>
      <w:r w:rsidRPr="003022C4">
        <w:rPr>
          <w:rFonts w:cs="Times New Roman"/>
          <w:noProof/>
          <w:lang w:val="fr-CA"/>
        </w:rPr>
        <w:t>.</w:t>
      </w:r>
    </w:p>
    <w:p w14:paraId="35A9FEE7"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La protection des droits se trouve au cœur de cette approche en matière de réparation. Le paragraphe 52(1) exige des tribunaux qu’ils déclarent invalide toute disposition législative qui viole la </w:t>
      </w:r>
      <w:r w:rsidRPr="003022C4">
        <w:rPr>
          <w:rFonts w:cs="Times New Roman"/>
          <w:i/>
          <w:noProof/>
          <w:lang w:val="fr-CA"/>
        </w:rPr>
        <w:t>Charte</w:t>
      </w:r>
      <w:r w:rsidRPr="003022C4">
        <w:rPr>
          <w:rFonts w:cs="Times New Roman"/>
          <w:noProof/>
          <w:lang w:val="fr-CA"/>
        </w:rPr>
        <w:t xml:space="preserve">. L’objet de la </w:t>
      </w:r>
      <w:r w:rsidRPr="003022C4">
        <w:rPr>
          <w:rFonts w:cs="Times New Roman"/>
          <w:i/>
          <w:noProof/>
          <w:lang w:val="fr-CA"/>
        </w:rPr>
        <w:t xml:space="preserve">Charte </w:t>
      </w:r>
      <w:r w:rsidRPr="003022C4">
        <w:rPr>
          <w:rFonts w:cs="Times New Roman"/>
          <w:noProof/>
          <w:lang w:val="fr-CA"/>
        </w:rPr>
        <w:t>est de « veiller à ce que toute action gouvernementale soit conforme à certains droits et libertés individuels dont la protection est essentielle au maintien d’une société démocratique et fonctionnelle dans laquelle la dignité fondamentale de tous les individus est reconnue »</w:t>
      </w:r>
      <w:r w:rsidRPr="003022C4">
        <w:rPr>
          <w:rFonts w:cs="Times New Roman"/>
          <w:noProof/>
          <w:lang w:val="fr-CA" w:eastAsia="en-CA"/>
        </w:rPr>
        <w:t xml:space="preserve"> (</w:t>
      </w:r>
      <w:r w:rsidRPr="003022C4">
        <w:rPr>
          <w:rFonts w:cs="Times New Roman"/>
          <w:i/>
          <w:noProof/>
          <w:lang w:val="fr-CA"/>
        </w:rPr>
        <w:t>Richardson</w:t>
      </w:r>
      <w:r w:rsidRPr="003022C4">
        <w:rPr>
          <w:rFonts w:cs="Times New Roman"/>
          <w:noProof/>
          <w:lang w:val="fr-CA"/>
        </w:rPr>
        <w:t xml:space="preserve">, </w:t>
      </w:r>
      <w:r>
        <w:rPr>
          <w:rFonts w:cs="Times New Roman"/>
          <w:noProof/>
          <w:lang w:val="fr-CA"/>
        </w:rPr>
        <w:t>par. </w:t>
      </w:r>
      <w:r w:rsidRPr="003022C4">
        <w:rPr>
          <w:rFonts w:cs="Times New Roman"/>
          <w:noProof/>
          <w:lang w:val="fr-CA"/>
        </w:rPr>
        <w:t>57</w:t>
      </w:r>
      <w:r w:rsidRPr="003022C4">
        <w:rPr>
          <w:rFonts w:cs="Times New Roman"/>
          <w:noProof/>
          <w:lang w:val="fr-CA" w:eastAsia="en-CA"/>
        </w:rPr>
        <w:t>).</w:t>
      </w:r>
      <w:r w:rsidRPr="003022C4">
        <w:rPr>
          <w:rFonts w:cs="Times New Roman"/>
          <w:noProof/>
          <w:lang w:val="fr-CA"/>
        </w:rPr>
        <w:t xml:space="preserve"> Le principe fondamental selon lequel les tribunaux devraient accorder des réparations lorsque des droits constitutionnels sont violés (</w:t>
      </w:r>
      <w:r w:rsidRPr="003022C4">
        <w:rPr>
          <w:rFonts w:cs="Times New Roman"/>
          <w:i/>
          <w:noProof/>
          <w:lang w:val="fr-CA"/>
        </w:rPr>
        <w:t>Doucet</w:t>
      </w:r>
      <w:r>
        <w:rPr>
          <w:rFonts w:cs="Times New Roman"/>
          <w:i/>
          <w:noProof/>
          <w:lang w:val="fr-CA"/>
        </w:rPr>
        <w:noBreakHyphen/>
      </w:r>
      <w:r w:rsidRPr="003022C4">
        <w:rPr>
          <w:rFonts w:cs="Times New Roman"/>
          <w:i/>
          <w:noProof/>
          <w:lang w:val="fr-CA"/>
        </w:rPr>
        <w:t>Boudreau</w:t>
      </w:r>
      <w:r w:rsidRPr="003022C4">
        <w:rPr>
          <w:rFonts w:cs="Times New Roman"/>
          <w:noProof/>
          <w:lang w:val="fr-CA"/>
        </w:rPr>
        <w:t xml:space="preserve">, </w:t>
      </w:r>
      <w:r>
        <w:rPr>
          <w:rFonts w:cs="Times New Roman"/>
          <w:noProof/>
          <w:lang w:val="fr-CA"/>
        </w:rPr>
        <w:t>par. </w:t>
      </w:r>
      <w:r w:rsidRPr="003022C4">
        <w:rPr>
          <w:rFonts w:cs="Times New Roman"/>
          <w:noProof/>
          <w:lang w:val="fr-CA"/>
        </w:rPr>
        <w:t>25) oriente la détermination du type et de la portée de la déclaration, constitue un contrepoids important à la suspension de l’effet de cette déclaration, et milite en faveur de l’octroi d’une réparation individuelle en même temps qu’une suspension.</w:t>
      </w:r>
    </w:p>
    <w:p w14:paraId="55A4C2DA"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rPr>
        <w:t xml:space="preserve">L’une des caractéristiques déterminantes de notre société, qui trouve son expression au </w:t>
      </w:r>
      <w:r>
        <w:rPr>
          <w:rFonts w:cs="Times New Roman"/>
          <w:noProof/>
          <w:lang w:val="fr-CA"/>
        </w:rPr>
        <w:t>par. </w:t>
      </w:r>
      <w:r w:rsidRPr="003022C4">
        <w:rPr>
          <w:rFonts w:cs="Times New Roman"/>
          <w:noProof/>
          <w:lang w:val="fr-CA"/>
        </w:rPr>
        <w:t>52(1) et que requiert la primauté du droit, est le principe suivant lequel les lois et mesures étatiques doivent être conformes à la Constitution (</w:t>
      </w:r>
      <w:r w:rsidRPr="003022C4">
        <w:rPr>
          <w:rFonts w:cs="Times New Roman"/>
          <w:i/>
          <w:noProof/>
          <w:lang w:val="fr-CA"/>
        </w:rPr>
        <w:t>SWUAV</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31; </w:t>
      </w:r>
      <w:r w:rsidRPr="003022C4">
        <w:rPr>
          <w:rFonts w:cs="Times New Roman"/>
          <w:i/>
          <w:noProof/>
          <w:lang w:val="fr-CA"/>
        </w:rPr>
        <w:t>Conseil canadien des Églises c. Canada (Ministre de l’Emploi et de l’Immigration)</w:t>
      </w:r>
      <w:r w:rsidRPr="003022C4">
        <w:rPr>
          <w:rFonts w:cs="Times New Roman"/>
          <w:noProof/>
          <w:lang w:val="fr-CA"/>
        </w:rPr>
        <w:t xml:space="preserve">, [1992] 1 R.C.S. 236, </w:t>
      </w:r>
      <w:r>
        <w:rPr>
          <w:rFonts w:cs="Times New Roman"/>
          <w:noProof/>
          <w:lang w:val="fr-CA"/>
        </w:rPr>
        <w:t>p. </w:t>
      </w:r>
      <w:r w:rsidRPr="003022C4">
        <w:rPr>
          <w:rFonts w:cs="Times New Roman"/>
          <w:noProof/>
          <w:lang w:val="fr-CA"/>
        </w:rPr>
        <w:t xml:space="preserve">250; </w:t>
      </w:r>
      <w:r w:rsidRPr="003022C4">
        <w:rPr>
          <w:rFonts w:cs="Times New Roman"/>
          <w:i/>
          <w:noProof/>
          <w:lang w:val="fr-CA"/>
        </w:rPr>
        <w:t>Renvoi relatif à la sécession</w:t>
      </w:r>
      <w:r w:rsidRPr="003022C4">
        <w:rPr>
          <w:rFonts w:cs="Times New Roman"/>
          <w:noProof/>
          <w:lang w:val="fr-CA"/>
        </w:rPr>
        <w:t xml:space="preserve">, </w:t>
      </w:r>
      <w:r>
        <w:rPr>
          <w:rFonts w:cs="Times New Roman"/>
          <w:noProof/>
          <w:lang w:val="fr-CA"/>
        </w:rPr>
        <w:t>par. </w:t>
      </w:r>
      <w:r w:rsidRPr="003022C4">
        <w:rPr>
          <w:rFonts w:cs="Times New Roman"/>
          <w:noProof/>
          <w:lang w:val="fr-CA"/>
        </w:rPr>
        <w:t xml:space="preserve">72). Il ressort d’ailleurs des décisions de notre Cour en matière de réparation qu’il est dans l’intérêt du public que les lois qui le régissent soient conformes à la Constitution. Les tribunaux s’assurent qu’une réparation s’applique à la pleine portée des violations de la </w:t>
      </w:r>
      <w:r w:rsidRPr="003022C4">
        <w:rPr>
          <w:rFonts w:cs="Times New Roman"/>
          <w:i/>
          <w:noProof/>
          <w:lang w:val="fr-CA"/>
        </w:rPr>
        <w:t>Charte</w:t>
      </w:r>
      <w:r w:rsidRPr="003022C4">
        <w:rPr>
          <w:rFonts w:cs="Times New Roman"/>
          <w:noProof/>
          <w:lang w:val="fr-CA"/>
        </w:rPr>
        <w:t xml:space="preserve">; si cela joue un rôle important dans la protection des droits, cela sert également l’intérêt du public en veillant à ce que les actes de l’État soient conformes à la loi, puisque « [l]e respect des normes établies dans la </w:t>
      </w:r>
      <w:r w:rsidRPr="003022C4">
        <w:rPr>
          <w:rFonts w:cs="Times New Roman"/>
          <w:i/>
          <w:noProof/>
          <w:lang w:val="fr-CA"/>
        </w:rPr>
        <w:t xml:space="preserve">Charte </w:t>
      </w:r>
      <w:r w:rsidRPr="003022C4">
        <w:rPr>
          <w:rFonts w:cs="Times New Roman"/>
          <w:noProof/>
          <w:lang w:val="fr-CA"/>
        </w:rPr>
        <w:t>constitue un principe fondamental de bon gouvernement » (</w:t>
      </w:r>
      <w:r w:rsidRPr="003022C4">
        <w:rPr>
          <w:rFonts w:cs="Times New Roman"/>
          <w:i/>
          <w:noProof/>
          <w:lang w:val="fr-CA"/>
        </w:rPr>
        <w:t>Ward</w:t>
      </w:r>
      <w:r w:rsidRPr="003022C4">
        <w:rPr>
          <w:rFonts w:cs="Times New Roman"/>
          <w:noProof/>
          <w:lang w:val="fr-CA"/>
        </w:rPr>
        <w:t xml:space="preserve">, </w:t>
      </w:r>
      <w:r>
        <w:rPr>
          <w:rFonts w:cs="Times New Roman"/>
          <w:noProof/>
          <w:lang w:val="fr-CA"/>
        </w:rPr>
        <w:t>par. </w:t>
      </w:r>
      <w:r w:rsidRPr="003022C4">
        <w:rPr>
          <w:rFonts w:cs="Times New Roman"/>
          <w:noProof/>
          <w:lang w:val="fr-CA"/>
        </w:rPr>
        <w:t>38). L’importance de la conformité à la Constitution milite contre la suspension de l’effet d’une déclaration et en faveur d’une exemption individuelle de toute suspension.</w:t>
      </w:r>
    </w:p>
    <w:p w14:paraId="2CD4045B"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Un autre aspect de la primauté du droit exprimé au </w:t>
      </w:r>
      <w:r>
        <w:rPr>
          <w:rFonts w:cs="Times New Roman"/>
          <w:noProof/>
          <w:lang w:val="fr-CA"/>
        </w:rPr>
        <w:t>par. </w:t>
      </w:r>
      <w:r w:rsidRPr="003022C4">
        <w:rPr>
          <w:rFonts w:cs="Times New Roman"/>
          <w:noProof/>
          <w:lang w:val="fr-CA"/>
        </w:rPr>
        <w:t>52(1), qui dispose que la Constitution rend inopérantes les « dispositions incompatibles de toute autre règle de droit », est qu’il doit y avoir un ordre de droit positif qui régit la société et la protège. Il est dans l’intérêt du public de conserver des lois qui ont été dûment adoptées par les législatures démocratiquement élues du pays, pourvu que ces lois ne soient pas inconstitutionnelles. C’est pourquoi les tribunaux adaptent les réparations pour préserver, dans la mesure du possible, les aspects constitutionnels d’une loi inconstitutionnelle et pourquoi ils suspendent temporairement l’effet d’une déclaration lorsqu’une ordonnance avec effet immédiat risque de miner l’intérêt du public en le privant de lois qui ont été adoptées pour son bénéfice. Cependant, des préoccupations liées à l’instabilité juridique peuvent militer contre la suspension.</w:t>
      </w:r>
    </w:p>
    <w:p w14:paraId="5CB7E4C2" w14:textId="77777777" w:rsidR="00F712C6" w:rsidRPr="003022C4" w:rsidRDefault="00F712C6" w:rsidP="00F712C6">
      <w:pPr>
        <w:pStyle w:val="ParaNoNdepar-AltN"/>
        <w:rPr>
          <w:rFonts w:cs="Times New Roman"/>
          <w:noProof/>
          <w:lang w:val="fr-CA"/>
        </w:rPr>
      </w:pPr>
      <w:r w:rsidRPr="003022C4">
        <w:rPr>
          <w:rFonts w:cs="Times New Roman"/>
          <w:noProof/>
          <w:lang w:val="fr-CA"/>
        </w:rPr>
        <w:t xml:space="preserve">Enfin, le respect du rôle du législateur conjugué à la compréhension des fonctions des tribunaux est le fil conducteur de la pratique de notre Cour en ce qui concerne les réparations qu’il convient d’accorder en présence de lois inconstitutionnelles. Lorsque les tribunaux déterminent le type et la portée des réparations, ils conservent le plus de dispositions possible de la loi en cause afin de respecter les choix de politique du législateur, respectant ainsi son intention évidente. Toutefois, les tribunaux ne se dérobent pas à leur obligation de protéger les droits au moyen de réparations fondées sur le </w:t>
      </w:r>
      <w:r>
        <w:rPr>
          <w:rFonts w:cs="Times New Roman"/>
          <w:noProof/>
          <w:lang w:val="fr-CA"/>
        </w:rPr>
        <w:t>par. </w:t>
      </w:r>
      <w:r w:rsidRPr="003022C4">
        <w:rPr>
          <w:rFonts w:cs="Times New Roman"/>
          <w:noProof/>
          <w:lang w:val="fr-CA"/>
        </w:rPr>
        <w:t>52(1), et ils n’hésitent pas à déterminer l’étendue complète des incompatibilités avec la Constitution et à déclarer inopérantes des dispositions législatives lorsque cela est nécessaire. Les tribunaux peuvent également suspendre l’effet d’une déclaration lorsque le rôle démocratique du législateur en matière d’élaboration de politiques serait ébranlé à un point tel par une déclaration avec effet immédiat que cela l’emporte sur d’importants principes qui font contrepoids. Dans un tel cas, si une exemption mine ce rôle, cela militera contre l’octroi d’une réparation individuelle.</w:t>
      </w:r>
    </w:p>
    <w:p w14:paraId="15CFCE2E" w14:textId="77777777" w:rsidR="00F712C6" w:rsidRPr="003022C4" w:rsidRDefault="00F712C6" w:rsidP="00F712C6">
      <w:pPr>
        <w:pStyle w:val="ParaNoNdepar-AltN"/>
        <w:rPr>
          <w:rFonts w:cs="Times New Roman"/>
          <w:noProof/>
          <w:lang w:val="fr-CA"/>
        </w:rPr>
      </w:pPr>
      <w:r w:rsidRPr="003022C4">
        <w:rPr>
          <w:rFonts w:cs="Times New Roman"/>
          <w:noProof/>
          <w:lang w:val="fr-CA" w:eastAsia="en-CA"/>
        </w:rPr>
        <w:t xml:space="preserve">Comme je l’ai expliqué, ces considérations constitutionnelles, qui se dégagent de notre Constitution ainsi que de l’architecture générale de notre ordre constitutionnel et de la primauté du droit, ont maintes fois été soulevées dans la jurisprudence de notre Cour au sujet des réparations accordées en vertu du </w:t>
      </w:r>
      <w:r>
        <w:rPr>
          <w:rFonts w:cs="Times New Roman"/>
          <w:noProof/>
          <w:lang w:val="fr-CA" w:eastAsia="en-CA"/>
        </w:rPr>
        <w:t>par. </w:t>
      </w:r>
      <w:r w:rsidRPr="003022C4">
        <w:rPr>
          <w:rFonts w:cs="Times New Roman"/>
          <w:noProof/>
          <w:lang w:val="fr-CA" w:eastAsia="en-CA"/>
        </w:rPr>
        <w:t xml:space="preserve">52(1) pour des violations de la </w:t>
      </w:r>
      <w:r w:rsidRPr="003022C4">
        <w:rPr>
          <w:rFonts w:cs="Times New Roman"/>
          <w:i/>
          <w:noProof/>
          <w:lang w:val="fr-CA" w:eastAsia="en-CA"/>
        </w:rPr>
        <w:t xml:space="preserve">Charte </w:t>
      </w:r>
      <w:r w:rsidRPr="003022C4">
        <w:rPr>
          <w:rFonts w:cs="Times New Roman"/>
          <w:noProof/>
          <w:lang w:val="fr-CA" w:eastAsia="en-CA"/>
        </w:rPr>
        <w:t>et ont donné naissance à quatre principes fondamentaux</w:t>
      </w:r>
      <w:r>
        <w:rPr>
          <w:rFonts w:cs="Times New Roman"/>
          <w:noProof/>
          <w:lang w:val="fr-CA" w:eastAsia="en-CA"/>
        </w:rPr>
        <w:t> :</w:t>
      </w:r>
    </w:p>
    <w:p w14:paraId="60257D2C" w14:textId="77777777" w:rsidR="00F712C6" w:rsidRPr="003022C4" w:rsidRDefault="00F712C6" w:rsidP="00B6647D">
      <w:pPr>
        <w:pStyle w:val="Citation-AltC"/>
        <w:numPr>
          <w:ilvl w:val="0"/>
          <w:numId w:val="17"/>
        </w:numPr>
        <w:spacing w:after="480" w:line="480" w:lineRule="auto"/>
        <w:ind w:left="540" w:hanging="537"/>
        <w:contextualSpacing w:val="0"/>
        <w:rPr>
          <w:noProof/>
          <w:lang w:val="fr-CA"/>
        </w:rPr>
      </w:pPr>
      <w:r w:rsidRPr="003022C4">
        <w:rPr>
          <w:noProof/>
          <w:lang w:val="fr-CA"/>
        </w:rPr>
        <w:t xml:space="preserve">Les droits garantis par la </w:t>
      </w:r>
      <w:r w:rsidRPr="003022C4">
        <w:rPr>
          <w:i/>
          <w:noProof/>
          <w:lang w:val="fr-CA"/>
        </w:rPr>
        <w:t xml:space="preserve">Charte </w:t>
      </w:r>
      <w:r w:rsidRPr="003022C4">
        <w:rPr>
          <w:noProof/>
          <w:lang w:val="fr-CA"/>
        </w:rPr>
        <w:t>doivent être protégés par l’octroi de réparations efficaces</w:t>
      </w:r>
      <w:r w:rsidRPr="003022C4">
        <w:rPr>
          <w:i/>
          <w:noProof/>
          <w:lang w:val="fr-CA"/>
        </w:rPr>
        <w:t>.</w:t>
      </w:r>
    </w:p>
    <w:p w14:paraId="193FDF3F" w14:textId="77777777" w:rsidR="00F712C6" w:rsidRPr="003022C4" w:rsidRDefault="00F712C6" w:rsidP="00B6647D">
      <w:pPr>
        <w:pStyle w:val="Citation-AltC"/>
        <w:numPr>
          <w:ilvl w:val="0"/>
          <w:numId w:val="17"/>
        </w:numPr>
        <w:spacing w:after="480" w:line="480" w:lineRule="auto"/>
        <w:ind w:left="540" w:hanging="537"/>
        <w:contextualSpacing w:val="0"/>
        <w:rPr>
          <w:noProof/>
          <w:lang w:val="fr-CA"/>
        </w:rPr>
      </w:pPr>
      <w:r w:rsidRPr="003022C4">
        <w:rPr>
          <w:noProof/>
          <w:lang w:val="fr-CA" w:eastAsia="en-US"/>
        </w:rPr>
        <w:t xml:space="preserve">Il est </w:t>
      </w:r>
      <w:r w:rsidRPr="003022C4">
        <w:rPr>
          <w:noProof/>
          <w:lang w:val="fr-CA"/>
        </w:rPr>
        <w:t>dans</w:t>
      </w:r>
      <w:r w:rsidRPr="003022C4">
        <w:rPr>
          <w:noProof/>
          <w:lang w:val="fr-CA" w:eastAsia="en-US"/>
        </w:rPr>
        <w:t xml:space="preserve"> l’intérêt du public que les lois soient conformes à la Constitution</w:t>
      </w:r>
      <w:r w:rsidRPr="003022C4">
        <w:rPr>
          <w:noProof/>
          <w:lang w:val="fr-CA"/>
        </w:rPr>
        <w:t>.</w:t>
      </w:r>
    </w:p>
    <w:p w14:paraId="42643AB2" w14:textId="77777777" w:rsidR="00F712C6" w:rsidRPr="003022C4" w:rsidRDefault="00F712C6" w:rsidP="00B6647D">
      <w:pPr>
        <w:pStyle w:val="Citation-AltC"/>
        <w:numPr>
          <w:ilvl w:val="0"/>
          <w:numId w:val="17"/>
        </w:numPr>
        <w:spacing w:after="480" w:line="480" w:lineRule="auto"/>
        <w:ind w:left="540" w:hanging="537"/>
        <w:contextualSpacing w:val="0"/>
        <w:rPr>
          <w:noProof/>
          <w:lang w:val="fr-CA"/>
        </w:rPr>
      </w:pPr>
      <w:r w:rsidRPr="003022C4">
        <w:rPr>
          <w:noProof/>
          <w:lang w:val="fr-CA"/>
        </w:rPr>
        <w:t>Le public a droit au bénéfice de la loi.</w:t>
      </w:r>
    </w:p>
    <w:p w14:paraId="1A2C8B18" w14:textId="77777777" w:rsidR="00F712C6" w:rsidRPr="003022C4" w:rsidRDefault="00F712C6" w:rsidP="00B6647D">
      <w:pPr>
        <w:pStyle w:val="Citation-AltC"/>
        <w:numPr>
          <w:ilvl w:val="0"/>
          <w:numId w:val="17"/>
        </w:numPr>
        <w:spacing w:after="480" w:line="480" w:lineRule="auto"/>
        <w:ind w:left="540" w:hanging="537"/>
        <w:contextualSpacing w:val="0"/>
        <w:rPr>
          <w:noProof/>
          <w:lang w:val="fr-CA"/>
        </w:rPr>
      </w:pPr>
      <w:r w:rsidRPr="003022C4">
        <w:rPr>
          <w:noProof/>
          <w:lang w:val="fr-CA"/>
        </w:rPr>
        <w:t>Les tribunaux et les législateurs jouent des rôles institutionnels différents.</w:t>
      </w:r>
    </w:p>
    <w:p w14:paraId="39E0D5AF" w14:textId="77777777" w:rsidR="00F712C6" w:rsidRPr="003022C4" w:rsidRDefault="00F712C6" w:rsidP="00F712C6">
      <w:pPr>
        <w:pStyle w:val="ParaNoNdepar-AltN"/>
        <w:rPr>
          <w:rFonts w:cs="Times New Roman"/>
          <w:noProof/>
          <w:lang w:val="fr-CA"/>
        </w:rPr>
      </w:pPr>
      <w:r w:rsidRPr="003022C4">
        <w:rPr>
          <w:rFonts w:cs="Times New Roman"/>
          <w:noProof/>
          <w:lang w:val="fr-CA" w:eastAsia="en-CA"/>
        </w:rPr>
        <w:t>À mon avis, ces principes en matière de réparation jettent les bases de l’octroi de réparations utiles dans différents contextes. Ils guident les tribunaux et les encouragent à expliquer de façon transparente leurs décisions au chapitre des réparations. Ces principes ne débouchent pas toujours sur une entente quant à l’issue appropriée, mais leur valeur réside dans la transparence, ce qui aide les personnes en désaccord à exprimer clairement leurs points de vue.</w:t>
      </w:r>
    </w:p>
    <w:p w14:paraId="01727CBC" w14:textId="77777777" w:rsidR="00F712C6" w:rsidRPr="003022C4" w:rsidRDefault="00F712C6" w:rsidP="00F712C6">
      <w:pPr>
        <w:pStyle w:val="Title3LevelTitre3Niveau"/>
        <w:rPr>
          <w:rFonts w:cs="Times New Roman"/>
          <w:noProof/>
          <w:lang w:val="fr-CA"/>
        </w:rPr>
      </w:pPr>
      <w:r w:rsidRPr="003022C4">
        <w:rPr>
          <w:rFonts w:cs="Times New Roman"/>
          <w:noProof/>
          <w:lang w:val="fr-CA"/>
        </w:rPr>
        <w:t>Application en l’espèce</w:t>
      </w:r>
    </w:p>
    <w:p w14:paraId="2027E9D4" w14:textId="77777777" w:rsidR="00F712C6" w:rsidRPr="003022C4" w:rsidRDefault="00F712C6" w:rsidP="0025412A">
      <w:pPr>
        <w:pStyle w:val="Title4LevelTitre4Niveau"/>
        <w:rPr>
          <w:noProof/>
          <w:lang w:val="fr-CA"/>
        </w:rPr>
      </w:pPr>
      <w:r w:rsidRPr="003022C4">
        <w:rPr>
          <w:noProof/>
          <w:lang w:val="fr-CA"/>
        </w:rPr>
        <w:t>Quels devraient être le type et la portée de la réparation?</w:t>
      </w:r>
    </w:p>
    <w:p w14:paraId="36421FF7"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 xml:space="preserve">La première étape à suivre pour déterminer le type et la portée d’une réparation fondée sur le </w:t>
      </w:r>
      <w:r>
        <w:rPr>
          <w:rFonts w:cs="Times New Roman"/>
          <w:noProof/>
          <w:lang w:val="fr-CA" w:eastAsia="en-CA"/>
        </w:rPr>
        <w:t>par. </w:t>
      </w:r>
      <w:r w:rsidRPr="003022C4">
        <w:rPr>
          <w:rFonts w:cs="Times New Roman"/>
          <w:noProof/>
          <w:lang w:val="fr-CA" w:eastAsia="en-CA"/>
        </w:rPr>
        <w:t xml:space="preserve">52(1) consiste à établir dans quelle mesure la loi est incompatible avec la </w:t>
      </w:r>
      <w:r w:rsidRPr="003022C4">
        <w:rPr>
          <w:rFonts w:cs="Times New Roman"/>
          <w:i/>
          <w:noProof/>
          <w:lang w:val="fr-CA" w:eastAsia="en-CA"/>
        </w:rPr>
        <w:t>Charte</w:t>
      </w:r>
      <w:r w:rsidRPr="003022C4">
        <w:rPr>
          <w:rFonts w:cs="Times New Roman"/>
          <w:noProof/>
          <w:lang w:val="fr-CA" w:eastAsia="en-CA"/>
        </w:rPr>
        <w:t>,</w:t>
      </w:r>
      <w:r w:rsidRPr="003022C4">
        <w:rPr>
          <w:rFonts w:cs="Times New Roman"/>
          <w:i/>
          <w:noProof/>
          <w:lang w:val="fr-CA" w:eastAsia="en-CA"/>
        </w:rPr>
        <w:t xml:space="preserve"> </w:t>
      </w:r>
      <w:r w:rsidRPr="003022C4">
        <w:rPr>
          <w:rFonts w:cs="Times New Roman"/>
          <w:noProof/>
          <w:lang w:val="fr-CA" w:eastAsia="en-CA"/>
        </w:rPr>
        <w:t>ce qui dépend de la nature de la violation de fond des droits.</w:t>
      </w:r>
    </w:p>
    <w:p w14:paraId="21D123AE"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 xml:space="preserve">En l’espèce, la </w:t>
      </w:r>
      <w:r>
        <w:rPr>
          <w:rFonts w:cs="Times New Roman"/>
          <w:i/>
          <w:noProof/>
          <w:lang w:val="fr-CA" w:eastAsia="en-CA"/>
        </w:rPr>
        <w:t>Loi Christopher</w:t>
      </w:r>
      <w:r w:rsidRPr="003022C4">
        <w:rPr>
          <w:rFonts w:cs="Times New Roman"/>
          <w:noProof/>
          <w:lang w:val="fr-CA" w:eastAsia="en-CA"/>
        </w:rPr>
        <w:t xml:space="preserve"> restreint l’application du </w:t>
      </w:r>
      <w:r>
        <w:rPr>
          <w:rFonts w:cs="Times New Roman"/>
          <w:noProof/>
          <w:lang w:val="fr-CA" w:eastAsia="en-CA"/>
        </w:rPr>
        <w:t>par. </w:t>
      </w:r>
      <w:r w:rsidRPr="003022C4">
        <w:rPr>
          <w:rFonts w:cs="Times New Roman"/>
          <w:noProof/>
          <w:lang w:val="fr-CA" w:eastAsia="en-CA"/>
        </w:rPr>
        <w:t xml:space="preserve">15(1) de la </w:t>
      </w:r>
      <w:r w:rsidRPr="003022C4">
        <w:rPr>
          <w:rFonts w:cs="Times New Roman"/>
          <w:i/>
          <w:noProof/>
          <w:lang w:val="fr-CA" w:eastAsia="en-CA"/>
        </w:rPr>
        <w:t xml:space="preserve">Charte </w:t>
      </w:r>
      <w:r w:rsidRPr="003022C4">
        <w:rPr>
          <w:rFonts w:cs="Times New Roman"/>
          <w:noProof/>
          <w:lang w:val="fr-CA" w:eastAsia="en-CA"/>
        </w:rPr>
        <w:t>en exigeant que les personnes déclarées non responsables criminellement pour cause de troubles mentaux s’acquittent de l’obligation de s’inscrire au registre des délinquants sexuels après avoir obtenu une libération, sans leur donner la possibilité d’être dispensées de cette obligation et d’être retirées du registre à la suite d’une évaluation individuelle. Cette loi crée des distinctions fondées sur le motif énuméré de la déficience mentale en offrant aux personnes déclarées coupables d’une infraction sexuelle la possibilité d’être dispensées de l’obligation de s’inscrire au registre et d’être retirées de celui</w:t>
      </w:r>
      <w:r>
        <w:rPr>
          <w:rFonts w:cs="Times New Roman"/>
          <w:noProof/>
          <w:lang w:val="fr-CA" w:eastAsia="en-CA"/>
        </w:rPr>
        <w:noBreakHyphen/>
      </w:r>
      <w:r w:rsidRPr="003022C4">
        <w:rPr>
          <w:rFonts w:cs="Times New Roman"/>
          <w:noProof/>
          <w:lang w:val="fr-CA" w:eastAsia="en-CA"/>
        </w:rPr>
        <w:t>ci, alors qu’une telle possibilité n’est pas offerte aux personnes déclarées non responsables criminellement pour cause de troubles mentaux. Ces distinctions sont discriminatoires parce qu’elles perpétuent le désavantage historique que continuent de subir les personnes souffrant de troubles mentaux.</w:t>
      </w:r>
    </w:p>
    <w:p w14:paraId="6F529D61"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 xml:space="preserve">Il a été conclu que la violation du </w:t>
      </w:r>
      <w:r>
        <w:rPr>
          <w:rFonts w:cs="Times New Roman"/>
          <w:noProof/>
          <w:lang w:val="fr-CA" w:eastAsia="en-CA"/>
        </w:rPr>
        <w:t>par. </w:t>
      </w:r>
      <w:r w:rsidRPr="003022C4">
        <w:rPr>
          <w:rFonts w:cs="Times New Roman"/>
          <w:noProof/>
          <w:lang w:val="fr-CA" w:eastAsia="en-CA"/>
        </w:rPr>
        <w:t>15(1) ne portait pas atteinte de façon minimale au droit que confère cette disposition parce que le fait d’offrir aux personnes déclarées non responsables criminellement pour cause de troubles mentaux la possibilité de se soumettre à une évaluation individuelle au terme de laquelle elles pourraient être dispensées de l’obligation de s’inscrire au registre et être retirées de celui</w:t>
      </w:r>
      <w:r>
        <w:rPr>
          <w:rFonts w:cs="Times New Roman"/>
          <w:noProof/>
          <w:lang w:val="fr-CA" w:eastAsia="en-CA"/>
        </w:rPr>
        <w:noBreakHyphen/>
      </w:r>
      <w:r w:rsidRPr="003022C4">
        <w:rPr>
          <w:rFonts w:cs="Times New Roman"/>
          <w:noProof/>
          <w:lang w:val="fr-CA" w:eastAsia="en-CA"/>
        </w:rPr>
        <w:t>ci porterait moins atteinte à ce droit.</w:t>
      </w:r>
    </w:p>
    <w:p w14:paraId="4F6C83E7"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eastAsia="en-CA"/>
        </w:rPr>
        <w:t>À la deuxième étape, le tribunal doit décider s’il convient d’accorder une réparation adaptée au lieu de déclarer invalide l’ensemble de la loi contestée.</w:t>
      </w:r>
    </w:p>
    <w:p w14:paraId="110D23E4" w14:textId="77777777" w:rsidR="00F712C6" w:rsidRPr="003022C4" w:rsidRDefault="00F712C6" w:rsidP="00F712C6">
      <w:pPr>
        <w:pStyle w:val="ParaNoNdepar-AltN"/>
        <w:spacing w:after="120"/>
        <w:rPr>
          <w:rFonts w:cs="Times New Roman"/>
          <w:noProof/>
          <w:lang w:val="fr-CA"/>
        </w:rPr>
      </w:pPr>
      <w:r w:rsidRPr="003022C4">
        <w:rPr>
          <w:rFonts w:cs="Times New Roman"/>
          <w:noProof/>
          <w:lang w:val="fr-CA" w:eastAsia="en-CA"/>
        </w:rPr>
        <w:t xml:space="preserve">Compte tenu de la nature limitée et précise de la violation dans le contexte du régime général d’enregistrement des délinquants sexuels, il convenait manifestement d’accorder une réparation adaptée en réaction à l’inconstitutionnalité de la </w:t>
      </w:r>
      <w:r w:rsidRPr="003022C4">
        <w:rPr>
          <w:rFonts w:cs="Times New Roman"/>
          <w:i/>
          <w:noProof/>
          <w:lang w:val="fr-CA" w:eastAsia="en-CA"/>
        </w:rPr>
        <w:t>Loi</w:t>
      </w:r>
      <w:r w:rsidRPr="003022C4">
        <w:rPr>
          <w:rFonts w:cs="Times New Roman"/>
          <w:noProof/>
          <w:lang w:val="fr-CA" w:eastAsia="en-CA"/>
        </w:rPr>
        <w:t xml:space="preserve">. Il ne fait d’ailleurs aucun doute que la législature aurait appliqué la </w:t>
      </w:r>
      <w:r w:rsidRPr="003022C4">
        <w:rPr>
          <w:rFonts w:cs="Times New Roman"/>
          <w:i/>
          <w:noProof/>
          <w:lang w:val="fr-CA" w:eastAsia="en-CA"/>
        </w:rPr>
        <w:t xml:space="preserve">Loi Christopher </w:t>
      </w:r>
      <w:r w:rsidRPr="003022C4">
        <w:rPr>
          <w:rFonts w:cs="Times New Roman"/>
          <w:noProof/>
          <w:lang w:val="fr-CA" w:eastAsia="en-CA"/>
        </w:rPr>
        <w:t>aux personnes déclarées coupables d’une infraction sexuelle même si elle ne pouvait pas inclure dans cette loi les personnes qui ont été déclarées non responsables criminellement pour cause de troubles mentaux et qui ont obtenu une libération.</w:t>
      </w:r>
    </w:p>
    <w:p w14:paraId="402695AE"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rPr>
        <w:t xml:space="preserve">Dans la présente affaire, une interprétation large de la </w:t>
      </w:r>
      <w:r>
        <w:rPr>
          <w:rFonts w:cs="Times New Roman"/>
          <w:i/>
          <w:noProof/>
          <w:lang w:val="fr-CA"/>
        </w:rPr>
        <w:t>Loi Christopher</w:t>
      </w:r>
      <w:r w:rsidRPr="003022C4">
        <w:rPr>
          <w:rFonts w:cs="Times New Roman"/>
          <w:i/>
          <w:noProof/>
          <w:lang w:val="fr-CA"/>
        </w:rPr>
        <w:t xml:space="preserve"> </w:t>
      </w:r>
      <w:r w:rsidRPr="003022C4">
        <w:rPr>
          <w:rFonts w:cs="Times New Roman"/>
          <w:noProof/>
          <w:lang w:val="fr-CA"/>
        </w:rPr>
        <w:t>selon laquelle cette loi exige qu’une évaluation individuelle soit réalisée empiéterait sur le domaine législatif. En effet, il y a maintes façons de procéder à une telle évaluation et « [i]l appartient [</w:t>
      </w:r>
      <w:r>
        <w:rPr>
          <w:rFonts w:cs="Times New Roman"/>
          <w:noProof/>
          <w:lang w:val="fr-CA"/>
        </w:rPr>
        <w:t>. . .</w:t>
      </w:r>
      <w:r w:rsidRPr="003022C4">
        <w:rPr>
          <w:rFonts w:cs="Times New Roman"/>
          <w:noProof/>
          <w:lang w:val="fr-CA"/>
        </w:rPr>
        <w:t>] aux législateurs et non aux tribunaux de combler les lacunes » (</w:t>
      </w:r>
      <w:r w:rsidRPr="003022C4">
        <w:rPr>
          <w:rFonts w:cs="Times New Roman"/>
          <w:i/>
          <w:noProof/>
          <w:lang w:val="fr-CA"/>
        </w:rPr>
        <w:t>Schachter</w:t>
      </w:r>
      <w:r w:rsidRPr="003022C4">
        <w:rPr>
          <w:rFonts w:cs="Times New Roman"/>
          <w:noProof/>
          <w:lang w:val="fr-CA"/>
        </w:rPr>
        <w:t xml:space="preserve">, </w:t>
      </w:r>
      <w:r>
        <w:rPr>
          <w:rFonts w:cs="Times New Roman"/>
          <w:noProof/>
          <w:lang w:val="fr-CA"/>
        </w:rPr>
        <w:t>p. </w:t>
      </w:r>
      <w:r w:rsidRPr="003022C4">
        <w:rPr>
          <w:rFonts w:cs="Times New Roman"/>
          <w:noProof/>
          <w:lang w:val="fr-CA"/>
        </w:rPr>
        <w:t>705).</w:t>
      </w:r>
    </w:p>
    <w:p w14:paraId="2349025D"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 xml:space="preserve">Par contre, une interprétation atténuée de la </w:t>
      </w:r>
      <w:r>
        <w:rPr>
          <w:rFonts w:cs="Times New Roman"/>
          <w:i/>
          <w:noProof/>
          <w:lang w:val="fr-CA" w:eastAsia="en-CA"/>
        </w:rPr>
        <w:t>Loi Christopher</w:t>
      </w:r>
      <w:r w:rsidRPr="003022C4">
        <w:rPr>
          <w:rFonts w:cs="Times New Roman"/>
          <w:i/>
          <w:noProof/>
          <w:lang w:val="fr-CA" w:eastAsia="en-CA"/>
        </w:rPr>
        <w:t xml:space="preserve"> </w:t>
      </w:r>
      <w:r w:rsidRPr="003022C4">
        <w:rPr>
          <w:rFonts w:cs="Times New Roman"/>
          <w:noProof/>
          <w:lang w:val="fr-CA" w:eastAsia="en-CA"/>
        </w:rPr>
        <w:t xml:space="preserve">selon laquelle cette loi est inopérante dans la mesure où elle s’applique à toutes les personnes touchées par ses effets inconstitutionnels permettrait de défendre efficacement les droits sans empiéter sur les aspects de l’application de cette loi qui ne sont pas visés par le constat d’inconstitutionnalité. En l’espèce, l’octroi d’une réparation adaptée permettra de mieux protéger l’intérêt qu’a le public </w:t>
      </w:r>
      <w:r>
        <w:rPr>
          <w:rFonts w:cs="Times New Roman"/>
          <w:noProof/>
          <w:lang w:val="fr-CA" w:eastAsia="en-CA"/>
        </w:rPr>
        <w:t>dans</w:t>
      </w:r>
      <w:r w:rsidRPr="003022C4">
        <w:rPr>
          <w:rFonts w:cs="Times New Roman"/>
          <w:noProof/>
          <w:lang w:val="fr-CA" w:eastAsia="en-CA"/>
        </w:rPr>
        <w:t xml:space="preserve"> des lois adoptées pour son bénéfice et de mieux respecter le rôle du législateur tout en protégeant aussi les droits garantis par la </w:t>
      </w:r>
      <w:r w:rsidRPr="003022C4">
        <w:rPr>
          <w:rFonts w:cs="Times New Roman"/>
          <w:i/>
          <w:noProof/>
          <w:lang w:val="fr-CA" w:eastAsia="en-CA"/>
        </w:rPr>
        <w:t xml:space="preserve">Charte </w:t>
      </w:r>
      <w:r w:rsidRPr="003022C4">
        <w:rPr>
          <w:rFonts w:cs="Times New Roman"/>
          <w:noProof/>
          <w:lang w:val="fr-CA" w:eastAsia="en-CA"/>
        </w:rPr>
        <w:t xml:space="preserve">et </w:t>
      </w:r>
      <w:r>
        <w:rPr>
          <w:rFonts w:cs="Times New Roman"/>
          <w:noProof/>
          <w:lang w:val="fr-CA" w:eastAsia="en-CA"/>
        </w:rPr>
        <w:t>en défendant</w:t>
      </w:r>
      <w:r w:rsidRPr="003022C4">
        <w:rPr>
          <w:rFonts w:cs="Times New Roman"/>
          <w:noProof/>
          <w:lang w:val="fr-CA" w:eastAsia="en-CA"/>
        </w:rPr>
        <w:t xml:space="preserve"> l’intérêt du public à ce que les lois soient conformes à la Constitution.</w:t>
      </w:r>
    </w:p>
    <w:p w14:paraId="42EC6E92"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 xml:space="preserve">Il reste à examiner une dernière question concernant la portée qu’il convient de donner à la déclaration dans la présente affaire. Certes, G a fait valoir que la </w:t>
      </w:r>
      <w:r>
        <w:rPr>
          <w:rFonts w:cs="Times New Roman"/>
          <w:i/>
          <w:noProof/>
          <w:lang w:val="fr-CA" w:eastAsia="en-CA"/>
        </w:rPr>
        <w:t>Loi Christopher</w:t>
      </w:r>
      <w:r w:rsidRPr="003022C4">
        <w:rPr>
          <w:rFonts w:cs="Times New Roman"/>
          <w:i/>
          <w:noProof/>
          <w:lang w:val="fr-CA" w:eastAsia="en-CA"/>
        </w:rPr>
        <w:t xml:space="preserve"> </w:t>
      </w:r>
      <w:r w:rsidRPr="003022C4">
        <w:rPr>
          <w:rFonts w:cs="Times New Roman"/>
          <w:noProof/>
          <w:lang w:val="fr-CA" w:eastAsia="en-CA"/>
        </w:rPr>
        <w:t xml:space="preserve">viole le </w:t>
      </w:r>
      <w:r>
        <w:rPr>
          <w:rFonts w:cs="Times New Roman"/>
          <w:noProof/>
          <w:lang w:val="fr-CA" w:eastAsia="en-CA"/>
        </w:rPr>
        <w:t>par. </w:t>
      </w:r>
      <w:r w:rsidRPr="003022C4">
        <w:rPr>
          <w:rFonts w:cs="Times New Roman"/>
          <w:noProof/>
          <w:lang w:val="fr-CA" w:eastAsia="en-CA"/>
        </w:rPr>
        <w:t xml:space="preserve">15(1) de la </w:t>
      </w:r>
      <w:r w:rsidRPr="003022C4">
        <w:rPr>
          <w:rFonts w:cs="Times New Roman"/>
          <w:i/>
          <w:noProof/>
          <w:lang w:val="fr-CA" w:eastAsia="en-CA"/>
        </w:rPr>
        <w:t xml:space="preserve">Charte </w:t>
      </w:r>
      <w:r w:rsidRPr="003022C4">
        <w:rPr>
          <w:rFonts w:cs="Times New Roman"/>
          <w:noProof/>
          <w:lang w:val="fr-CA" w:eastAsia="en-CA"/>
        </w:rPr>
        <w:t xml:space="preserve">qui, tel qu’en conviennent notre Cour et la Cour d’appel, s’applique à toutes les personnes qui ont été déclarées non responsables criminellement pour cause de troubles mentaux à l’égard d’infractions sexuelles et qui ont obtenu une libération. Cependant, la contestation constitutionnelle de G ne visait que les personnes qui ont obtenu une libération </w:t>
      </w:r>
      <w:r w:rsidRPr="003022C4">
        <w:rPr>
          <w:rFonts w:cs="Times New Roman"/>
          <w:i/>
          <w:noProof/>
          <w:lang w:val="fr-CA" w:eastAsia="en-CA"/>
        </w:rPr>
        <w:t>inconditionnelle</w:t>
      </w:r>
      <w:r w:rsidRPr="003022C4">
        <w:rPr>
          <w:rFonts w:cs="Times New Roman"/>
          <w:noProof/>
          <w:lang w:val="fr-CA"/>
        </w:rPr>
        <w:t xml:space="preserve">. L’ordonnance de la Cour d’appel et les questions constitutionnelles qui ont été soulevées par les parties devant notre Cour avaient également une portée limitée. La déclaration prononcée en vertu du </w:t>
      </w:r>
      <w:r>
        <w:rPr>
          <w:rFonts w:cs="Times New Roman"/>
          <w:noProof/>
          <w:lang w:val="fr-CA"/>
        </w:rPr>
        <w:t>par. </w:t>
      </w:r>
      <w:r w:rsidRPr="003022C4">
        <w:rPr>
          <w:rFonts w:cs="Times New Roman"/>
          <w:noProof/>
          <w:lang w:val="fr-CA"/>
        </w:rPr>
        <w:t>52(1) doit</w:t>
      </w:r>
      <w:r>
        <w:rPr>
          <w:rFonts w:cs="Times New Roman"/>
          <w:noProof/>
          <w:lang w:val="fr-CA"/>
        </w:rPr>
        <w:noBreakHyphen/>
      </w:r>
      <w:r w:rsidRPr="003022C4">
        <w:rPr>
          <w:rFonts w:cs="Times New Roman"/>
          <w:noProof/>
          <w:lang w:val="fr-CA"/>
        </w:rPr>
        <w:t xml:space="preserve">elle être limitée ainsi? </w:t>
      </w:r>
    </w:p>
    <w:p w14:paraId="035AA724" w14:textId="77777777" w:rsidR="00F712C6" w:rsidRPr="003022C4" w:rsidRDefault="00F712C6" w:rsidP="00F712C6">
      <w:pPr>
        <w:pStyle w:val="ParaNoNdepar-AltN"/>
        <w:rPr>
          <w:rFonts w:cs="Times New Roman"/>
          <w:noProof/>
          <w:lang w:val="fr-CA" w:eastAsia="en-CA"/>
        </w:rPr>
      </w:pPr>
      <w:r w:rsidRPr="003022C4">
        <w:rPr>
          <w:rFonts w:cs="Times New Roman"/>
          <w:noProof/>
          <w:lang w:val="fr-CA"/>
        </w:rPr>
        <w:t xml:space="preserve">À mon avis, les limites formelles dont est assortie la requête de G ne reflètent pas l’essence de la question constitutionnelle dont est saisie la Cour, comme le soutiennent les parties. Les arguments de G concernant le </w:t>
      </w:r>
      <w:r>
        <w:rPr>
          <w:rFonts w:cs="Times New Roman"/>
          <w:noProof/>
          <w:lang w:val="fr-CA"/>
        </w:rPr>
        <w:t>par. </w:t>
      </w:r>
      <w:r w:rsidRPr="003022C4">
        <w:rPr>
          <w:rFonts w:cs="Times New Roman"/>
          <w:noProof/>
          <w:lang w:val="fr-CA"/>
        </w:rPr>
        <w:t xml:space="preserve">15(1) visent toutes les personnes déclarées non responsables criminellement pour cause de troubles mentaux à l’égard d’une infraction sexuelle qui n’ont pas accès à des mécanismes de dispense et de retrait à la suite d’une évaluation individuelle, soit toutes les personnes qui ont été déclarées non responsables criminellement pour cause de troubles mentaux et qui ont obtenu une libération. De plus, toutes les personnes déclarées non responsables criminellement pour cause de troubles mentaux sont également visées par le principal argument fondé sur l’article premier qui a été invoqué par le procureur général pour tenter de justifier la violation du </w:t>
      </w:r>
      <w:r>
        <w:rPr>
          <w:rFonts w:cs="Times New Roman"/>
          <w:noProof/>
          <w:lang w:val="fr-CA"/>
        </w:rPr>
        <w:t>par. </w:t>
      </w:r>
      <w:r w:rsidRPr="003022C4">
        <w:rPr>
          <w:rFonts w:cs="Times New Roman"/>
          <w:noProof/>
          <w:lang w:val="fr-CA"/>
        </w:rPr>
        <w:t>15(1) — à savoir que notre Cour devrait s’en remettre à la conclusion du législateur suivant laquelle toutes les personnes déclarées non responsables criminellement pour cause de troubles mentaux à l’égard d’une infraction sexuelle devraient être inscrites au registre parce qu’elles sont plus susceptibles de récidiver qu’un membre du grand public l’est de commettre une première infraction, et qu’il est impossible de prédire avec certitude leur risque de récidive.</w:t>
      </w:r>
      <w:r w:rsidRPr="003022C4">
        <w:rPr>
          <w:rFonts w:cs="Times New Roman"/>
          <w:bCs/>
          <w:noProof/>
          <w:lang w:val="fr-CA"/>
        </w:rPr>
        <w:t xml:space="preserve"> Bien entendu, les personnes libérées sous conditions ont la possibilité d’obtenir une libération inconditionnelle à l’issue de chaque audience de révision annuelle devant la commission d’examen.</w:t>
      </w:r>
    </w:p>
    <w:p w14:paraId="47CACA39"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 xml:space="preserve">Toutefois, si la requête de G avait visé toutes les personnes déclarées non responsables criminellement pour cause de troubles mentaux à l’égard d’une infraction sexuelle qui ont obtenu une libération, le procureur général aurait pu produire d’autres éléments de preuve pour étayer ses arguments fondés sur l’article premier et aurait également pu aborder la question des différents risques que présentent ces personnes — en particulier le risque de récidive que présentent les personnes déclarées non responsables criminellement pour cause de troubles mentaux à l’égard d’une infraction sexuelle qui ont obtenu une libération </w:t>
      </w:r>
      <w:r w:rsidRPr="003022C4">
        <w:rPr>
          <w:rFonts w:cs="Times New Roman"/>
          <w:i/>
          <w:noProof/>
          <w:lang w:val="fr-CA" w:eastAsia="en-CA"/>
        </w:rPr>
        <w:t>sous conditions</w:t>
      </w:r>
      <w:r w:rsidRPr="003022C4">
        <w:rPr>
          <w:rFonts w:cs="Times New Roman"/>
          <w:noProof/>
          <w:lang w:val="fr-CA" w:eastAsia="en-CA"/>
        </w:rPr>
        <w:t>.</w:t>
      </w:r>
    </w:p>
    <w:p w14:paraId="49BCC4BF"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 xml:space="preserve">Comme je ne peux conclure que le procureur général a « vraiment [eu] l’occasion de soutenir la validité » de la </w:t>
      </w:r>
      <w:r>
        <w:rPr>
          <w:rFonts w:cs="Times New Roman"/>
          <w:i/>
          <w:noProof/>
          <w:lang w:val="fr-CA" w:eastAsia="en-CA"/>
        </w:rPr>
        <w:t>Loi Christopher</w:t>
      </w:r>
      <w:r w:rsidRPr="003022C4">
        <w:rPr>
          <w:rFonts w:cs="Times New Roman"/>
          <w:i/>
          <w:noProof/>
          <w:lang w:val="fr-CA" w:eastAsia="en-CA"/>
        </w:rPr>
        <w:t xml:space="preserve"> </w:t>
      </w:r>
      <w:r w:rsidRPr="003022C4">
        <w:rPr>
          <w:rFonts w:cs="Times New Roman"/>
          <w:noProof/>
          <w:lang w:val="fr-CA" w:eastAsia="en-CA"/>
        </w:rPr>
        <w:t>à l’endroit des personnes qui ont obtenu une libération sous conditions, je suis d’avis, à l’instar de la Cour d’appel, de limiter la déclaration aux personnes déclarées non responsables criminellement pour cause de troubles mentaux à l’égard d’une infraction sexuelle qui ont obtenu une libération inconditionnelle (</w:t>
      </w:r>
      <w:r w:rsidRPr="003022C4">
        <w:rPr>
          <w:rFonts w:cs="Times New Roman"/>
          <w:i/>
          <w:noProof/>
          <w:lang w:val="fr-CA"/>
        </w:rPr>
        <w:t>Guindon</w:t>
      </w:r>
      <w:r w:rsidRPr="003022C4">
        <w:rPr>
          <w:rFonts w:eastAsiaTheme="minorHAnsi" w:cs="Times New Roman"/>
          <w:bCs/>
          <w:i/>
          <w:noProof/>
          <w:szCs w:val="24"/>
          <w:lang w:val="fr-CA"/>
        </w:rPr>
        <w:t> c</w:t>
      </w:r>
      <w:r w:rsidRPr="003022C4">
        <w:rPr>
          <w:rFonts w:cs="Times New Roman"/>
          <w:bCs/>
          <w:i/>
          <w:noProof/>
          <w:lang w:val="fr-CA"/>
        </w:rPr>
        <w:t>. Canada</w:t>
      </w:r>
      <w:r w:rsidRPr="003022C4">
        <w:rPr>
          <w:rFonts w:cs="Times New Roman"/>
          <w:bCs/>
          <w:noProof/>
          <w:lang w:val="fr-CA"/>
        </w:rPr>
        <w:t xml:space="preserve">, 2015 CSC 41, [2015] 3 R.C.S. 3, </w:t>
      </w:r>
      <w:r>
        <w:rPr>
          <w:rFonts w:cs="Times New Roman"/>
          <w:bCs/>
          <w:noProof/>
          <w:lang w:val="fr-CA"/>
        </w:rPr>
        <w:t>par. </w:t>
      </w:r>
      <w:r w:rsidRPr="003022C4">
        <w:rPr>
          <w:rFonts w:cs="Times New Roman"/>
          <w:bCs/>
          <w:noProof/>
          <w:lang w:val="fr-CA"/>
        </w:rPr>
        <w:t>19 et 22).</w:t>
      </w:r>
    </w:p>
    <w:p w14:paraId="69D4BDA2" w14:textId="77777777" w:rsidR="00F712C6" w:rsidRPr="003022C4" w:rsidRDefault="00F712C6" w:rsidP="00F712C6">
      <w:pPr>
        <w:pStyle w:val="Title4LevelTitre4Niveau"/>
        <w:rPr>
          <w:rFonts w:cs="Times New Roman"/>
          <w:noProof/>
          <w:lang w:val="fr-CA"/>
        </w:rPr>
      </w:pPr>
      <w:r w:rsidRPr="003022C4">
        <w:rPr>
          <w:rFonts w:cs="Times New Roman"/>
          <w:noProof/>
          <w:lang w:val="fr-CA"/>
        </w:rPr>
        <w:t>L’effet de la déclaration a</w:t>
      </w:r>
      <w:r>
        <w:rPr>
          <w:rFonts w:cs="Times New Roman"/>
          <w:noProof/>
          <w:lang w:val="fr-CA"/>
        </w:rPr>
        <w:noBreakHyphen/>
      </w:r>
      <w:r w:rsidRPr="003022C4">
        <w:rPr>
          <w:rFonts w:cs="Times New Roman"/>
          <w:noProof/>
          <w:lang w:val="fr-CA"/>
        </w:rPr>
        <w:t>t</w:t>
      </w:r>
      <w:r>
        <w:rPr>
          <w:rFonts w:cs="Times New Roman"/>
          <w:noProof/>
          <w:lang w:val="fr-CA"/>
        </w:rPr>
        <w:noBreakHyphen/>
      </w:r>
      <w:r w:rsidRPr="003022C4">
        <w:rPr>
          <w:rFonts w:cs="Times New Roman"/>
          <w:noProof/>
          <w:lang w:val="fr-CA"/>
        </w:rPr>
        <w:t>il été suspendu à juste titre?</w:t>
      </w:r>
    </w:p>
    <w:p w14:paraId="217BDF6C"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 xml:space="preserve">Comme je l’ai déjà mentionné, le libellé du </w:t>
      </w:r>
      <w:r>
        <w:rPr>
          <w:rFonts w:cs="Times New Roman"/>
          <w:noProof/>
          <w:lang w:val="fr-CA" w:eastAsia="en-CA"/>
        </w:rPr>
        <w:t>par. </w:t>
      </w:r>
      <w:r w:rsidRPr="003022C4">
        <w:rPr>
          <w:rFonts w:cs="Times New Roman"/>
          <w:noProof/>
          <w:lang w:val="fr-CA" w:eastAsia="en-CA"/>
        </w:rPr>
        <w:t xml:space="preserve">52(1) ainsi que la nécessité de protéger les droits garantis par la </w:t>
      </w:r>
      <w:r w:rsidRPr="003022C4">
        <w:rPr>
          <w:rFonts w:cs="Times New Roman"/>
          <w:i/>
          <w:noProof/>
          <w:lang w:val="fr-CA" w:eastAsia="en-CA"/>
        </w:rPr>
        <w:t xml:space="preserve">Charte </w:t>
      </w:r>
      <w:r w:rsidRPr="003022C4">
        <w:rPr>
          <w:rFonts w:cs="Times New Roman"/>
          <w:noProof/>
          <w:lang w:val="fr-CA" w:eastAsia="en-CA"/>
        </w:rPr>
        <w:t xml:space="preserve">et de veiller à ce que toutes les lois soient conformes à la Constitution militent fortement en faveur d’une déclaration avec effet immédiat. Or, ces éléments doivent être mis en balance avec la protection de l’intérêt du public </w:t>
      </w:r>
      <w:r>
        <w:rPr>
          <w:rFonts w:cs="Times New Roman"/>
          <w:noProof/>
          <w:lang w:val="fr-CA" w:eastAsia="en-CA"/>
        </w:rPr>
        <w:t>dans</w:t>
      </w:r>
      <w:r w:rsidRPr="003022C4">
        <w:rPr>
          <w:rFonts w:cs="Times New Roman"/>
          <w:noProof/>
          <w:lang w:val="fr-CA" w:eastAsia="en-CA"/>
        </w:rPr>
        <w:t xml:space="preserve"> des lois adoptées pour son bénéfice. Pour ce faire, la Cour doit tenir compte de la nature et de la portée des violations continues des droits, de même que du fait qu’une déclaration d’invalidité avec effet immédiat pourrait compromettre un intérêt public en particulier.</w:t>
      </w:r>
    </w:p>
    <w:p w14:paraId="2836F778"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Le procureur général soutient que la sécurité du public est l’intérêt public qui justifie une suspension. L’importance de cet intérêt, de même que le poids qu’il convient de lui accorder dans l’analyse, reposent sur le risque que présentent les personnes qui ont été déclarées non responsables criminellement pour cause de troubles mentaux à l’égard d’infractions sexuelles et qui ont obtenu une libération inconditionnelle d’une commission d’examen provinciale.</w:t>
      </w:r>
    </w:p>
    <w:p w14:paraId="5FC08A23"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 xml:space="preserve">Le </w:t>
      </w:r>
      <w:r w:rsidRPr="003022C4">
        <w:rPr>
          <w:rFonts w:cs="Times New Roman"/>
          <w:i/>
          <w:noProof/>
          <w:lang w:val="fr-CA" w:eastAsia="en-CA"/>
        </w:rPr>
        <w:t xml:space="preserve">Code criminel </w:t>
      </w:r>
      <w:r w:rsidRPr="003022C4">
        <w:rPr>
          <w:rFonts w:cs="Times New Roman"/>
          <w:noProof/>
          <w:lang w:val="fr-CA" w:eastAsia="en-CA"/>
        </w:rPr>
        <w:t>exige que les commissions d’examen provinciales accordent une libération inconditionnelle à toute personne déclarée non responsable criminellement pour cause de troubles mentaux s’il n’y a pas de risque important que cette personne commette une infraction criminelle grave (</w:t>
      </w:r>
      <w:r w:rsidRPr="003022C4">
        <w:rPr>
          <w:rFonts w:cs="Times New Roman"/>
          <w:i/>
          <w:noProof/>
          <w:lang w:val="fr-CA" w:eastAsia="en-CA"/>
        </w:rPr>
        <w:t>Winko</w:t>
      </w:r>
      <w:r w:rsidRPr="003022C4">
        <w:rPr>
          <w:rFonts w:cs="Times New Roman"/>
          <w:noProof/>
          <w:lang w:val="fr-CA" w:eastAsia="en-CA"/>
        </w:rPr>
        <w:t xml:space="preserve">, </w:t>
      </w:r>
      <w:r>
        <w:rPr>
          <w:rFonts w:cs="Times New Roman"/>
          <w:noProof/>
          <w:lang w:val="fr-CA" w:eastAsia="en-CA"/>
        </w:rPr>
        <w:t>par. </w:t>
      </w:r>
      <w:r w:rsidRPr="003022C4">
        <w:rPr>
          <w:rFonts w:cs="Times New Roman"/>
          <w:noProof/>
          <w:lang w:val="fr-CA" w:eastAsia="en-CA"/>
        </w:rPr>
        <w:t>57). Cependant, si un tel risque existe, la commission d’examen peut rendre une décision portant libération de cette personne sous réserve des modalités que la commission juge indiquées (</w:t>
      </w:r>
      <w:r w:rsidRPr="003022C4">
        <w:rPr>
          <w:rFonts w:cs="Times New Roman"/>
          <w:i/>
          <w:noProof/>
          <w:lang w:val="fr-CA" w:eastAsia="en-CA"/>
        </w:rPr>
        <w:t>Code criminel</w:t>
      </w:r>
      <w:r w:rsidRPr="003022C4">
        <w:rPr>
          <w:rFonts w:cs="Times New Roman"/>
          <w:noProof/>
          <w:lang w:val="fr-CA" w:eastAsia="en-CA"/>
        </w:rPr>
        <w:t xml:space="preserve">, </w:t>
      </w:r>
      <w:r>
        <w:rPr>
          <w:rFonts w:cs="Times New Roman"/>
          <w:noProof/>
          <w:lang w:val="fr-CA" w:eastAsia="en-CA"/>
        </w:rPr>
        <w:t>al. </w:t>
      </w:r>
      <w:r w:rsidRPr="003022C4">
        <w:rPr>
          <w:rFonts w:cs="Times New Roman"/>
          <w:noProof/>
          <w:lang w:val="fr-CA" w:eastAsia="en-CA"/>
        </w:rPr>
        <w:t>672.54b)). Quelle que soit la décision rendue, la commission d’examen prend en considération la sécurité du public, qui est le « facteur prépondérant ».</w:t>
      </w:r>
    </w:p>
    <w:p w14:paraId="78804EDB"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 xml:space="preserve">Le juge de première instance a conclu que, statistiquement parlant, les personnes qui ont obtenu une libération après avoir été déclarées non responsables criminellement pour cause de troubles mentaux risquent davantage de contrevenir à la loi que la population générale. Les personnes qui ont obtenu une libération inconditionnelle sont donc </w:t>
      </w:r>
      <w:r w:rsidRPr="003022C4">
        <w:rPr>
          <w:rFonts w:cs="Times New Roman"/>
          <w:i/>
          <w:noProof/>
          <w:lang w:val="fr-CA" w:eastAsia="en-CA"/>
        </w:rPr>
        <w:t>quelque peu</w:t>
      </w:r>
      <w:r w:rsidRPr="003022C4">
        <w:rPr>
          <w:rFonts w:cs="Times New Roman"/>
          <w:noProof/>
          <w:lang w:val="fr-CA" w:eastAsia="en-CA"/>
        </w:rPr>
        <w:t xml:space="preserve"> plus</w:t>
      </w:r>
      <w:r w:rsidRPr="003022C4">
        <w:rPr>
          <w:rFonts w:cs="Times New Roman"/>
          <w:i/>
          <w:noProof/>
          <w:lang w:val="fr-CA" w:eastAsia="en-CA"/>
        </w:rPr>
        <w:t xml:space="preserve"> </w:t>
      </w:r>
      <w:r w:rsidRPr="003022C4">
        <w:rPr>
          <w:rFonts w:cs="Times New Roman"/>
          <w:noProof/>
          <w:lang w:val="fr-CA" w:eastAsia="en-CA"/>
        </w:rPr>
        <w:t xml:space="preserve">susceptibles de commettre des infractions criminelles. Une déclaration avec effet immédiat menacerait donc, dans une certaine mesure, l’intérêt qu’a le public d’être protégé des infractions sexuelles, car certaines personnes qui présentent encore un risque élevé de contrevenir à la loi seraient dispensées de l’obligation de se présenter devant les autorités. Ces personnes pourraient également présenter une demande en vue de faire retirer leurs renseignements personnels de la base de données conformément au </w:t>
      </w:r>
      <w:r>
        <w:rPr>
          <w:rFonts w:cs="Times New Roman"/>
          <w:noProof/>
          <w:lang w:val="fr-CA" w:eastAsia="en-CA"/>
        </w:rPr>
        <w:t>par. </w:t>
      </w:r>
      <w:r w:rsidRPr="003022C4">
        <w:rPr>
          <w:rFonts w:cs="Times New Roman"/>
          <w:noProof/>
          <w:lang w:val="fr-CA" w:eastAsia="en-CA"/>
        </w:rPr>
        <w:t xml:space="preserve">24(1) (voir, </w:t>
      </w:r>
      <w:r>
        <w:rPr>
          <w:rFonts w:cs="Times New Roman"/>
          <w:noProof/>
          <w:lang w:val="fr-CA" w:eastAsia="en-CA"/>
        </w:rPr>
        <w:t>p. </w:t>
      </w:r>
      <w:r w:rsidRPr="003022C4">
        <w:rPr>
          <w:rFonts w:cs="Times New Roman"/>
          <w:noProof/>
          <w:lang w:val="fr-CA" w:eastAsia="en-CA"/>
        </w:rPr>
        <w:t xml:space="preserve">ex., </w:t>
      </w:r>
      <w:r w:rsidRPr="003022C4">
        <w:rPr>
          <w:rFonts w:cs="Times New Roman"/>
          <w:i/>
          <w:noProof/>
          <w:lang w:val="fr-CA" w:eastAsia="en-CA"/>
        </w:rPr>
        <w:t>Boudreault</w:t>
      </w:r>
      <w:r w:rsidRPr="003022C4">
        <w:rPr>
          <w:rFonts w:cs="Times New Roman"/>
          <w:noProof/>
          <w:lang w:val="fr-CA" w:eastAsia="en-CA"/>
        </w:rPr>
        <w:t xml:space="preserve">, </w:t>
      </w:r>
      <w:r>
        <w:rPr>
          <w:rFonts w:cs="Times New Roman"/>
          <w:noProof/>
          <w:lang w:val="fr-CA" w:eastAsia="en-CA"/>
        </w:rPr>
        <w:t>par. </w:t>
      </w:r>
      <w:r w:rsidRPr="003022C4">
        <w:rPr>
          <w:rFonts w:cs="Times New Roman"/>
          <w:noProof/>
          <w:lang w:val="fr-CA" w:eastAsia="en-CA"/>
        </w:rPr>
        <w:t>107</w:t>
      </w:r>
      <w:r>
        <w:rPr>
          <w:rFonts w:cs="Times New Roman"/>
          <w:noProof/>
          <w:lang w:val="fr-CA" w:eastAsia="en-CA"/>
        </w:rPr>
        <w:noBreakHyphen/>
      </w:r>
      <w:r w:rsidRPr="003022C4">
        <w:rPr>
          <w:rFonts w:cs="Times New Roman"/>
          <w:noProof/>
          <w:lang w:val="fr-CA" w:eastAsia="en-CA"/>
        </w:rPr>
        <w:t>109).</w:t>
      </w:r>
    </w:p>
    <w:p w14:paraId="6D5E2835"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Selon le juge de première instance, le registre contribue à la sécurité du public en accroissant la capacité des corps de police de prévenir les infractions sexuelles et d’enquêter sur celles</w:t>
      </w:r>
      <w:r>
        <w:rPr>
          <w:rFonts w:cs="Times New Roman"/>
          <w:noProof/>
          <w:lang w:val="fr-CA" w:eastAsia="en-CA"/>
        </w:rPr>
        <w:noBreakHyphen/>
      </w:r>
      <w:r w:rsidRPr="003022C4">
        <w:rPr>
          <w:rFonts w:cs="Times New Roman"/>
          <w:noProof/>
          <w:lang w:val="fr-CA" w:eastAsia="en-CA"/>
        </w:rPr>
        <w:t>ci. Dispenser immédiatement un groupe de personnes qui risquent de commettre des infractions sexuelles de l’obligation de se présenter devant les autorités et permettre à ces personnes de solliciter le retrait des renseignements les concernant du registre pourraient diminuer cette capacité accrue. La menace qui pèse sur la sécurité du public est donc sérieuse. Toutefois, cette menace est limitée puisque des libérations inconditionnelles ne sont pas accordées aux personnes déclarées non responsables criminellement pour cause de troubles mentaux qui présentent manifestement le risque le plus élevé de récidive.</w:t>
      </w:r>
    </w:p>
    <w:p w14:paraId="503974CF"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 xml:space="preserve">L’autre intérêt public en jeu est le respect de la capacité du législateur d’adopter le régime respectueux des droits qu’il préfère. Une déclaration d’invalidité avec effet immédiat risque de compromettre la capacité du législateur de s’acquitter de son rôle de décideur politique, car le fait de permettre à toutes les personnes déclarées non responsables criminellement pour cause de troubles mentaux à l’égard d’une infraction sexuelle qui ont obtenu une libération inconditionnelle d’être retirées du registre des délinquants sexuels pourrait limiter l’efficacité de la nouvelle version de la </w:t>
      </w:r>
      <w:r w:rsidRPr="003022C4">
        <w:rPr>
          <w:rFonts w:cs="Times New Roman"/>
          <w:i/>
          <w:noProof/>
          <w:lang w:val="fr-CA" w:eastAsia="en-CA"/>
        </w:rPr>
        <w:t xml:space="preserve">Loi Christopher </w:t>
      </w:r>
      <w:r w:rsidRPr="003022C4">
        <w:rPr>
          <w:rFonts w:cs="Times New Roman"/>
          <w:noProof/>
          <w:lang w:val="fr-CA" w:eastAsia="en-CA"/>
        </w:rPr>
        <w:t>que le législateur ontarien adoptera un jour en réaction aux présents motifs. Qui plus est, il serait probablement impossible d’identifier ces personnes et de les obliger à s’inscrire au registre et à se présenter de nouveau devant les autorités — ou à se soumettre à une évaluation individuelle quelconque — parce que les renseignements à leur sujet ne seraient tout simplement pas conservés dans l’intervalle.</w:t>
      </w:r>
    </w:p>
    <w:p w14:paraId="47431745" w14:textId="77777777" w:rsidR="00F712C6" w:rsidRPr="003022C4" w:rsidRDefault="00F712C6" w:rsidP="00F712C6">
      <w:pPr>
        <w:pStyle w:val="ParaNoNdepar-AltN"/>
        <w:spacing w:after="120"/>
        <w:rPr>
          <w:rFonts w:cs="Times New Roman"/>
          <w:noProof/>
          <w:lang w:val="fr-CA" w:eastAsia="en-CA"/>
        </w:rPr>
      </w:pPr>
      <w:r w:rsidRPr="003022C4">
        <w:rPr>
          <w:rFonts w:cs="Times New Roman"/>
          <w:noProof/>
          <w:lang w:val="fr-CA" w:eastAsia="en-CA"/>
        </w:rPr>
        <w:t xml:space="preserve">Ces considérations sont contrebalancées par l’importance de la violation des droits qui persisterait temporairement si l’effet de la déclaration d’invalidité était suspendu. Les personnes déclarées non responsables criminellement pour cause de troubles mentaux qui ont obtenu une absolution continuent de faire l’objet de stéréotypes méprisants qui leur sont imposés par la </w:t>
      </w:r>
      <w:r>
        <w:rPr>
          <w:rFonts w:cs="Times New Roman"/>
          <w:i/>
          <w:noProof/>
          <w:lang w:val="fr-CA" w:eastAsia="en-CA"/>
        </w:rPr>
        <w:t>Loi Christopher</w:t>
      </w:r>
      <w:r w:rsidRPr="003022C4">
        <w:rPr>
          <w:rFonts w:cs="Times New Roman"/>
          <w:noProof/>
          <w:lang w:val="fr-CA" w:eastAsia="en-CA"/>
        </w:rPr>
        <w:t>. Celle</w:t>
      </w:r>
      <w:r>
        <w:rPr>
          <w:rFonts w:cs="Times New Roman"/>
          <w:noProof/>
          <w:lang w:val="fr-CA" w:eastAsia="en-CA"/>
        </w:rPr>
        <w:noBreakHyphen/>
      </w:r>
      <w:r w:rsidRPr="003022C4">
        <w:rPr>
          <w:rFonts w:cs="Times New Roman"/>
          <w:noProof/>
          <w:lang w:val="fr-CA" w:eastAsia="en-CA"/>
        </w:rPr>
        <w:t xml:space="preserve">ci les contraint </w:t>
      </w:r>
      <w:r w:rsidRPr="003022C4">
        <w:rPr>
          <w:rFonts w:cs="Times New Roman"/>
          <w:noProof/>
          <w:lang w:val="fr-CA"/>
        </w:rPr>
        <w:t>à se présenter en personne à un poste de police, les oblige à se soumettre à des vérifications policières aléatoires à leur domicile, et prévoit la conservation de leurs renseignements personnels, et ce, sans qu’il soit donné aux autorités l’occasion de déterminer si elles posent un risque suffisant pour justifier cette atteinte à leur liberté et à leur vie privée.</w:t>
      </w:r>
      <w:r w:rsidRPr="003022C4">
        <w:rPr>
          <w:rFonts w:cs="Times New Roman"/>
          <w:noProof/>
          <w:lang w:val="fr-CA" w:eastAsia="en-CA"/>
        </w:rPr>
        <w:t xml:space="preserve"> Il importe de souligner que la suspension de l’effet de la déclaration va aussi à l’encontre de l’intérêt du public à ce que les lois soient conformes à la Constitution.</w:t>
      </w:r>
    </w:p>
    <w:p w14:paraId="73E08562" w14:textId="77777777" w:rsidR="00F712C6" w:rsidRPr="003022C4" w:rsidRDefault="00F712C6" w:rsidP="00F712C6">
      <w:pPr>
        <w:pStyle w:val="ParaNoNdepar-AltN"/>
        <w:rPr>
          <w:rFonts w:cs="Times New Roman"/>
          <w:noProof/>
          <w:lang w:val="fr-CA"/>
        </w:rPr>
      </w:pPr>
      <w:r w:rsidRPr="003022C4">
        <w:rPr>
          <w:rFonts w:cs="Times New Roman"/>
          <w:noProof/>
          <w:lang w:val="fr-CA" w:eastAsia="en-CA"/>
        </w:rPr>
        <w:t>En l’espèce, la sécurité du public continue d’être menacée, mais cette menace est limitée car le groupe d’individus dont les renseignements ne seraient plus compilés est formé entièrement de personnes qui, selon la Commission d’examen, ne présentent pas un risque important pour la sécurité du public. Toutefois, une déclaration avec effet immédiat restreindrait sensiblement la capacité du législateur de corriger cette lacune au chapitre de la sécurité du public. Il s’agit d’un cas difficile à trancher. Cependant, tout bien considéré, la combinaison de ces deux intérêts légitimes (la sécurité du public et la protection de la capacité du législateur de répondre au constat d’inconstitutionnalité) justifie que l’on prive temporairement les personnes touchées de l’avantage que procure immédiatement le présent jugement et que l’on laisse la violation perdurer.</w:t>
      </w:r>
    </w:p>
    <w:p w14:paraId="076A0035" w14:textId="77777777" w:rsidR="00F712C6" w:rsidRPr="003022C4" w:rsidRDefault="00F712C6" w:rsidP="00F712C6">
      <w:pPr>
        <w:pStyle w:val="ParaNoNdepar-AltN"/>
        <w:rPr>
          <w:rFonts w:cs="Times New Roman"/>
          <w:noProof/>
          <w:lang w:val="fr-CA"/>
        </w:rPr>
      </w:pPr>
      <w:r w:rsidRPr="003022C4">
        <w:rPr>
          <w:rFonts w:cs="Times New Roman"/>
          <w:noProof/>
          <w:lang w:val="fr-CA" w:eastAsia="en-CA"/>
        </w:rPr>
        <w:t>Les parties sont d’accord avec la suspension de 12 mois qui a été ordonnée par la Cour d’appel. Je ne vois aucune raison de modifier cette décision. Cependant, à l’avenir, les tribunaux s’attendront à ce que des observations plus détaillées soient formulées au sujet de la durée de la période pendant laquelle l’effet d’une déclaration doit être suspendu.</w:t>
      </w:r>
    </w:p>
    <w:p w14:paraId="0896B19F" w14:textId="77777777" w:rsidR="00F712C6" w:rsidRPr="003022C4" w:rsidRDefault="00F712C6" w:rsidP="00F712C6">
      <w:pPr>
        <w:pStyle w:val="Title4LevelTitre4Niveau"/>
        <w:rPr>
          <w:rFonts w:cs="Times New Roman"/>
          <w:noProof/>
          <w:lang w:val="fr-CA"/>
        </w:rPr>
      </w:pPr>
      <w:r w:rsidRPr="003022C4">
        <w:rPr>
          <w:rFonts w:cs="Times New Roman"/>
          <w:noProof/>
          <w:lang w:val="fr-CA"/>
        </w:rPr>
        <w:t>G aurait</w:t>
      </w:r>
      <w:r>
        <w:rPr>
          <w:rFonts w:cs="Times New Roman"/>
          <w:noProof/>
          <w:lang w:val="fr-CA"/>
        </w:rPr>
        <w:noBreakHyphen/>
      </w:r>
      <w:r w:rsidRPr="003022C4">
        <w:rPr>
          <w:rFonts w:cs="Times New Roman"/>
          <w:noProof/>
          <w:lang w:val="fr-CA"/>
        </w:rPr>
        <w:t>il dû être exempté de la suspension?</w:t>
      </w:r>
    </w:p>
    <w:p w14:paraId="1828D55D" w14:textId="77777777" w:rsidR="00F712C6" w:rsidRPr="003022C4" w:rsidRDefault="00F712C6" w:rsidP="00F712C6">
      <w:pPr>
        <w:pStyle w:val="ParaNoNdepar-AltN"/>
        <w:rPr>
          <w:rFonts w:cs="Times New Roman"/>
          <w:noProof/>
          <w:lang w:val="fr-CA"/>
        </w:rPr>
      </w:pPr>
      <w:r w:rsidRPr="003022C4">
        <w:rPr>
          <w:rFonts w:cs="Times New Roman"/>
          <w:noProof/>
          <w:lang w:val="fr-CA" w:eastAsia="en-CA"/>
        </w:rPr>
        <w:t xml:space="preserve">La dernière question à trancher consiste à savoir s’il était convenable et juste d’exempter G de la suspension. Le procureur général soutient que cette réparation n’était pas convenable et juste vu l’absence d’une </w:t>
      </w:r>
      <w:r w:rsidRPr="003022C4">
        <w:rPr>
          <w:rFonts w:cs="Times New Roman"/>
          <w:smallCaps/>
          <w:noProof/>
          <w:lang w:val="fr-CA" w:eastAsia="en-CA"/>
        </w:rPr>
        <w:t xml:space="preserve">[traduction] </w:t>
      </w:r>
      <w:r w:rsidRPr="003022C4">
        <w:rPr>
          <w:rFonts w:cs="Times New Roman"/>
          <w:noProof/>
          <w:lang w:val="fr-CA" w:eastAsia="en-CA"/>
        </w:rPr>
        <w:t>« évaluation judiciaire du risque effectuée par un expert ».</w:t>
      </w:r>
    </w:p>
    <w:p w14:paraId="718E17E4" w14:textId="19EC5EC9" w:rsidR="00F712C6" w:rsidRPr="003022C4" w:rsidRDefault="00F712C6" w:rsidP="00F712C6">
      <w:pPr>
        <w:pStyle w:val="ParaNoNdepar-AltN"/>
        <w:rPr>
          <w:rFonts w:cs="Times New Roman"/>
          <w:noProof/>
          <w:lang w:val="fr-CA"/>
        </w:rPr>
      </w:pPr>
      <w:r w:rsidRPr="003022C4">
        <w:rPr>
          <w:rFonts w:cs="Times New Roman"/>
          <w:noProof/>
          <w:lang w:val="fr-CA" w:eastAsia="en-CA"/>
        </w:rPr>
        <w:t>Les juges ne possèdent peut</w:t>
      </w:r>
      <w:r>
        <w:rPr>
          <w:rFonts w:cs="Times New Roman"/>
          <w:noProof/>
          <w:lang w:val="fr-CA" w:eastAsia="en-CA"/>
        </w:rPr>
        <w:noBreakHyphen/>
      </w:r>
      <w:r w:rsidRPr="003022C4">
        <w:rPr>
          <w:rFonts w:cs="Times New Roman"/>
          <w:noProof/>
          <w:lang w:val="fr-CA" w:eastAsia="en-CA"/>
        </w:rPr>
        <w:t>être pas l’expertise nécessaire pour effectuer eux</w:t>
      </w:r>
      <w:r>
        <w:rPr>
          <w:rFonts w:cs="Times New Roman"/>
          <w:noProof/>
          <w:lang w:val="fr-CA" w:eastAsia="en-CA"/>
        </w:rPr>
        <w:noBreakHyphen/>
      </w:r>
      <w:r w:rsidRPr="003022C4">
        <w:rPr>
          <w:rFonts w:cs="Times New Roman"/>
          <w:noProof/>
          <w:lang w:val="fr-CA" w:eastAsia="en-CA"/>
        </w:rPr>
        <w:t>mêmes des évaluations judiciaires de ce genre, mais ils sont bien placés pour rendre des décisions et sont souvent appelés à tirer des conclusions sur la sécurité du public et le risque dans d’autres contextes, notamment dans des contextes qui donnent lieu à la dispense de l’obligation de s’inscrire au registre des délinquants sexuels et au retrait de ce registre. Lorsque les juges doivent décider s’il y a lieu d’accorder une absolution inconditionnelle ou sous conditions à une personne déclarée coupable d’une infraction, ils doivent tenir compte de l’intérêt véritable de l’accusé et de l’intérêt public (</w:t>
      </w:r>
      <w:r w:rsidRPr="003022C4">
        <w:rPr>
          <w:rFonts w:cs="Times New Roman"/>
          <w:i/>
          <w:noProof/>
          <w:lang w:val="fr-CA" w:eastAsia="en-CA"/>
        </w:rPr>
        <w:t>Code criminel</w:t>
      </w:r>
      <w:r w:rsidRPr="003022C4">
        <w:rPr>
          <w:rFonts w:cs="Times New Roman"/>
          <w:noProof/>
          <w:lang w:val="fr-CA" w:eastAsia="en-CA"/>
        </w:rPr>
        <w:t xml:space="preserve">, </w:t>
      </w:r>
      <w:r>
        <w:rPr>
          <w:rFonts w:cs="Times New Roman"/>
          <w:noProof/>
          <w:lang w:val="fr-CA" w:eastAsia="en-CA"/>
        </w:rPr>
        <w:t>art. </w:t>
      </w:r>
      <w:r w:rsidRPr="003022C4">
        <w:rPr>
          <w:rFonts w:cs="Times New Roman"/>
          <w:noProof/>
          <w:lang w:val="fr-CA" w:eastAsia="en-CA"/>
        </w:rPr>
        <w:t>730). De plus, lorsqu’un juge est appelé à décider s’il convient de prononcer une révocation ou d’accorder une dispense à une personne qui est tenue de s’inscrire au registre fédéral des délinquants sexuels, il doit déterminer si le maintien de cette obligation aurait à l’égard du demandeur « un effet nettement démesuré par rapp</w:t>
      </w:r>
      <w:r w:rsidR="0025412A">
        <w:rPr>
          <w:rFonts w:cs="Times New Roman"/>
          <w:noProof/>
          <w:lang w:val="fr-CA" w:eastAsia="en-CA"/>
        </w:rPr>
        <w:t xml:space="preserve">ort à l’intérêt [qu’il] </w:t>
      </w:r>
      <w:r w:rsidRPr="003022C4">
        <w:rPr>
          <w:rFonts w:cs="Times New Roman"/>
          <w:noProof/>
          <w:lang w:val="fr-CA" w:eastAsia="en-CA"/>
        </w:rPr>
        <w:t>présente pour la protection de la société contre les crimes de nature sexuelle au moyen d’enquêtes ou de mesures de prévention efficaces » (</w:t>
      </w:r>
      <w:r w:rsidRPr="003022C4">
        <w:rPr>
          <w:rFonts w:cs="Times New Roman"/>
          <w:i/>
          <w:noProof/>
          <w:lang w:val="fr-CA" w:eastAsia="en-CA"/>
        </w:rPr>
        <w:t>Code criminel</w:t>
      </w:r>
      <w:r w:rsidRPr="003022C4">
        <w:rPr>
          <w:rFonts w:cs="Times New Roman"/>
          <w:noProof/>
          <w:lang w:val="fr-CA" w:eastAsia="en-CA"/>
        </w:rPr>
        <w:t xml:space="preserve">, </w:t>
      </w:r>
      <w:r>
        <w:rPr>
          <w:rFonts w:cs="Times New Roman"/>
          <w:noProof/>
          <w:lang w:val="fr-CA" w:eastAsia="en-CA"/>
        </w:rPr>
        <w:t>par. </w:t>
      </w:r>
      <w:r w:rsidRPr="003022C4">
        <w:rPr>
          <w:rFonts w:cs="Times New Roman"/>
          <w:noProof/>
          <w:lang w:val="fr-CA" w:eastAsia="en-CA"/>
        </w:rPr>
        <w:t>490.016(1) et 490.023(2); projet de loi C</w:t>
      </w:r>
      <w:r>
        <w:rPr>
          <w:rFonts w:cs="Times New Roman"/>
          <w:noProof/>
          <w:lang w:val="fr-CA" w:eastAsia="en-CA"/>
        </w:rPr>
        <w:noBreakHyphen/>
      </w:r>
      <w:r w:rsidRPr="003022C4">
        <w:rPr>
          <w:rFonts w:cs="Times New Roman"/>
          <w:noProof/>
          <w:lang w:val="fr-CA" w:eastAsia="en-CA"/>
        </w:rPr>
        <w:t xml:space="preserve">16, </w:t>
      </w:r>
      <w:r w:rsidRPr="003022C4">
        <w:rPr>
          <w:rFonts w:cs="Times New Roman"/>
          <w:i/>
          <w:noProof/>
          <w:lang w:val="fr-CA" w:eastAsia="en-CA"/>
        </w:rPr>
        <w:t>Loi sur l’enregistrement de renseignements sur les délinquants sexuels</w:t>
      </w:r>
      <w:r w:rsidRPr="003022C4">
        <w:rPr>
          <w:rFonts w:cs="Times New Roman"/>
          <w:noProof/>
          <w:lang w:val="fr-CA" w:eastAsia="en-CA"/>
        </w:rPr>
        <w:t>, 37</w:t>
      </w:r>
      <w:r w:rsidRPr="003022C4">
        <w:rPr>
          <w:rFonts w:cs="Times New Roman"/>
          <w:noProof/>
          <w:vertAlign w:val="superscript"/>
          <w:lang w:val="fr-CA" w:eastAsia="en-CA"/>
        </w:rPr>
        <w:t>e</w:t>
      </w:r>
      <w:r w:rsidRPr="003022C4">
        <w:rPr>
          <w:rFonts w:cs="Times New Roman"/>
          <w:noProof/>
          <w:lang w:val="fr-CA" w:eastAsia="en-CA"/>
        </w:rPr>
        <w:t xml:space="preserve"> lég., 3</w:t>
      </w:r>
      <w:r w:rsidRPr="003022C4">
        <w:rPr>
          <w:rFonts w:cs="Times New Roman"/>
          <w:noProof/>
          <w:vertAlign w:val="superscript"/>
          <w:lang w:val="fr-CA" w:eastAsia="en-CA"/>
        </w:rPr>
        <w:t>e</w:t>
      </w:r>
      <w:r w:rsidRPr="003022C4">
        <w:rPr>
          <w:rFonts w:cs="Times New Roman"/>
          <w:noProof/>
          <w:lang w:val="fr-CA" w:eastAsia="en-CA"/>
        </w:rPr>
        <w:t xml:space="preserve"> sess., 2004, </w:t>
      </w:r>
      <w:r>
        <w:rPr>
          <w:rFonts w:cs="Times New Roman"/>
          <w:noProof/>
          <w:lang w:val="fr-CA" w:eastAsia="en-CA"/>
        </w:rPr>
        <w:t>art. </w:t>
      </w:r>
      <w:r w:rsidRPr="003022C4">
        <w:rPr>
          <w:rFonts w:cs="Times New Roman"/>
          <w:noProof/>
          <w:lang w:val="fr-CA" w:eastAsia="en-CA"/>
        </w:rPr>
        <w:t>20)</w:t>
      </w:r>
      <w:r w:rsidRPr="00B2500E">
        <w:rPr>
          <w:rStyle w:val="Hyperlink"/>
          <w:color w:val="auto"/>
          <w:u w:val="none"/>
          <w:vertAlign w:val="superscript"/>
        </w:rPr>
        <w:footnoteReference w:id="10"/>
      </w:r>
      <w:r w:rsidRPr="003022C4">
        <w:rPr>
          <w:rFonts w:cs="Times New Roman"/>
          <w:noProof/>
          <w:lang w:val="fr-CA" w:eastAsia="en-CA"/>
        </w:rPr>
        <w:t xml:space="preserve">. Les décisions de ce genre n’exigent pas qu’un expert produise une preuve criminalistique. Qui plus est, il faut distinguer la fonction </w:t>
      </w:r>
      <w:r w:rsidRPr="003022C4">
        <w:rPr>
          <w:rFonts w:cs="Times New Roman"/>
          <w:i/>
          <w:iCs/>
          <w:noProof/>
          <w:lang w:val="fr-CA" w:eastAsia="en-CA"/>
        </w:rPr>
        <w:t xml:space="preserve">juridictionnelle </w:t>
      </w:r>
      <w:r w:rsidRPr="003022C4">
        <w:rPr>
          <w:rFonts w:cs="Times New Roman"/>
          <w:noProof/>
          <w:lang w:val="fr-CA" w:eastAsia="en-CA"/>
        </w:rPr>
        <w:t xml:space="preserve">que constitue l’évaluation d’un risque dans un cas donné afin d’accorder au demandeur une réparation convenable et juste, eu égard à sa situation, d’avec la tâche </w:t>
      </w:r>
      <w:r w:rsidRPr="003022C4">
        <w:rPr>
          <w:rFonts w:cs="Times New Roman"/>
          <w:i/>
          <w:iCs/>
          <w:noProof/>
          <w:lang w:val="fr-CA" w:eastAsia="en-CA"/>
        </w:rPr>
        <w:t>législative</w:t>
      </w:r>
      <w:r w:rsidRPr="003022C4">
        <w:rPr>
          <w:rFonts w:cs="Times New Roman"/>
          <w:noProof/>
          <w:lang w:val="fr-CA" w:eastAsia="en-CA"/>
        </w:rPr>
        <w:t xml:space="preserve"> de créer un régime conçu pour évaluer ce risque.</w:t>
      </w:r>
    </w:p>
    <w:p w14:paraId="73376E20" w14:textId="77777777" w:rsidR="00F712C6" w:rsidRPr="003022C4" w:rsidRDefault="00F712C6" w:rsidP="00F712C6">
      <w:pPr>
        <w:pStyle w:val="ParaNoNdepar-AltN"/>
        <w:rPr>
          <w:rFonts w:cs="Times New Roman"/>
          <w:noProof/>
          <w:lang w:val="fr-CA"/>
        </w:rPr>
      </w:pPr>
      <w:r w:rsidRPr="003022C4">
        <w:rPr>
          <w:rFonts w:cs="Times New Roman"/>
          <w:noProof/>
          <w:lang w:val="fr-CA" w:eastAsia="en-CA"/>
        </w:rPr>
        <w:t xml:space="preserve">La Cour d’appel a accordé une exemption individuelle à G afin de le dispenser de l’application de la </w:t>
      </w:r>
      <w:r>
        <w:rPr>
          <w:rFonts w:cs="Times New Roman"/>
          <w:i/>
          <w:noProof/>
          <w:lang w:val="fr-CA" w:eastAsia="en-CA"/>
        </w:rPr>
        <w:t>Loi Christopher</w:t>
      </w:r>
      <w:r w:rsidRPr="003022C4">
        <w:rPr>
          <w:rFonts w:cs="Times New Roman"/>
          <w:noProof/>
          <w:lang w:val="fr-CA" w:eastAsia="en-CA"/>
        </w:rPr>
        <w:t>.</w:t>
      </w:r>
      <w:r w:rsidRPr="003022C4">
        <w:rPr>
          <w:rFonts w:cs="Times New Roman"/>
          <w:i/>
          <w:noProof/>
          <w:lang w:val="fr-CA" w:eastAsia="en-CA"/>
        </w:rPr>
        <w:t xml:space="preserve"> </w:t>
      </w:r>
      <w:r w:rsidRPr="003022C4">
        <w:rPr>
          <w:rFonts w:cs="Times New Roman"/>
          <w:noProof/>
          <w:lang w:val="fr-CA" w:eastAsia="en-CA"/>
        </w:rPr>
        <w:t xml:space="preserve">Le juge Doherty a conclu qu’une exemption ne minait pas l’effet de la suspension et qu’il était difficile d’imaginer un régime législatif conforme à la Constitution dans lequel G ne serait pas dispensé de l’obligation de s’inscrire au registre. L’exercice du pouvoir discrétionnaire de la cour commande une certaine retenue. La Commission, un tribunal spécialisé, a établi il y a 17 ans qu’il n’y avait pas </w:t>
      </w:r>
      <w:r w:rsidRPr="003022C4">
        <w:rPr>
          <w:rFonts w:cs="Times New Roman"/>
          <w:noProof/>
          <w:lang w:val="fr-CA"/>
        </w:rPr>
        <w:t>de risque important que G commette une infraction criminelle grave</w:t>
      </w:r>
      <w:r w:rsidRPr="003022C4">
        <w:rPr>
          <w:rFonts w:cs="Times New Roman"/>
          <w:noProof/>
          <w:lang w:val="fr-CA" w:eastAsia="en-CA"/>
        </w:rPr>
        <w:t xml:space="preserve">. Depuis sa remise en liberté, il </w:t>
      </w:r>
      <w:r w:rsidRPr="003022C4">
        <w:rPr>
          <w:rFonts w:cs="Times New Roman"/>
          <w:noProof/>
          <w:lang w:val="fr-CA"/>
        </w:rPr>
        <w:t xml:space="preserve">n’a </w:t>
      </w:r>
      <w:r>
        <w:rPr>
          <w:rFonts w:cs="Times New Roman"/>
          <w:noProof/>
          <w:lang w:val="fr-CA"/>
        </w:rPr>
        <w:t>rien à se reprocher</w:t>
      </w:r>
      <w:r w:rsidRPr="003022C4">
        <w:rPr>
          <w:rFonts w:cs="Times New Roman"/>
          <w:noProof/>
          <w:lang w:val="fr-CA"/>
        </w:rPr>
        <w:t xml:space="preserve"> </w:t>
      </w:r>
      <w:r w:rsidRPr="003022C4">
        <w:rPr>
          <w:rFonts w:cs="Times New Roman"/>
          <w:noProof/>
          <w:lang w:val="fr-CA" w:eastAsia="en-CA"/>
        </w:rPr>
        <w:t>et rien n’indique qu’il présente un risque pour la sécurité du public. Une exemption ferait en sorte qu’il bénéficie d’une réparation efficace — près</w:t>
      </w:r>
      <w:r>
        <w:rPr>
          <w:rFonts w:cs="Times New Roman"/>
          <w:noProof/>
          <w:lang w:val="fr-CA" w:eastAsia="en-CA"/>
        </w:rPr>
        <w:t xml:space="preserve"> de six </w:t>
      </w:r>
      <w:r w:rsidRPr="003022C4">
        <w:rPr>
          <w:rFonts w:cs="Times New Roman"/>
          <w:noProof/>
          <w:lang w:val="fr-CA" w:eastAsia="en-CA"/>
        </w:rPr>
        <w:t xml:space="preserve">années se sont écoulées depuis qu’il a déposé son avis de demande et sa cause a été plaidée devant trois instances. Il ne devrait pas être privé de l’avantage d’avoir eu gain de cause sur le fond de ses contestations constitutionnelles. </w:t>
      </w:r>
    </w:p>
    <w:p w14:paraId="3088BBD6" w14:textId="77777777" w:rsidR="00F712C6" w:rsidRPr="003022C4" w:rsidRDefault="00F712C6" w:rsidP="00F712C6">
      <w:pPr>
        <w:pStyle w:val="ParaNoNdepar-AltN"/>
        <w:rPr>
          <w:rFonts w:cs="Times New Roman"/>
          <w:noProof/>
          <w:lang w:val="fr-CA"/>
        </w:rPr>
      </w:pPr>
      <w:r w:rsidRPr="003022C4">
        <w:rPr>
          <w:rFonts w:cs="Times New Roman"/>
          <w:noProof/>
          <w:lang w:val="fr-CA" w:eastAsia="en-CA"/>
        </w:rPr>
        <w:t>Par définition, la durée de l’exemption individuelle de la suspension correspond à la durée de la suspension. La réponse à la question</w:t>
      </w:r>
      <w:r>
        <w:rPr>
          <w:rFonts w:cs="Times New Roman"/>
          <w:noProof/>
          <w:lang w:val="fr-CA" w:eastAsia="en-CA"/>
        </w:rPr>
        <w:t xml:space="preserve"> de savoir si G sera visé par une</w:t>
      </w:r>
      <w:r w:rsidRPr="003022C4">
        <w:rPr>
          <w:rFonts w:cs="Times New Roman"/>
          <w:noProof/>
          <w:lang w:val="fr-CA" w:eastAsia="en-CA"/>
        </w:rPr>
        <w:t xml:space="preserve"> nouvelle loi, quoique très peu probable, dépendra de son assuj</w:t>
      </w:r>
      <w:r>
        <w:rPr>
          <w:rFonts w:cs="Times New Roman"/>
          <w:noProof/>
          <w:lang w:val="fr-CA" w:eastAsia="en-CA"/>
        </w:rPr>
        <w:t>ettissement aux modalités de cette</w:t>
      </w:r>
      <w:r w:rsidRPr="003022C4">
        <w:rPr>
          <w:rFonts w:cs="Times New Roman"/>
          <w:noProof/>
          <w:lang w:val="fr-CA" w:eastAsia="en-CA"/>
        </w:rPr>
        <w:t xml:space="preserve"> loi. Les tribunaux ne peuvent pas dispenser des individus de l’application d’une loi qui n’a pas encore été adoptée, car ils ne peuvent pas prédire l’issue du processus législatif.</w:t>
      </w:r>
    </w:p>
    <w:p w14:paraId="089ABE1D" w14:textId="77777777" w:rsidR="00F712C6" w:rsidRPr="003022C4" w:rsidRDefault="00F712C6" w:rsidP="00F712C6">
      <w:pPr>
        <w:pStyle w:val="Title1LevelTitre1Niveau-AltL"/>
        <w:rPr>
          <w:rFonts w:cs="Times New Roman"/>
          <w:noProof/>
          <w:lang w:val="fr-CA"/>
        </w:rPr>
      </w:pPr>
      <w:r w:rsidRPr="003022C4">
        <w:rPr>
          <w:rFonts w:cs="Times New Roman"/>
          <w:noProof/>
          <w:lang w:val="fr-CA"/>
        </w:rPr>
        <w:t>Conclusion</w:t>
      </w:r>
    </w:p>
    <w:p w14:paraId="0C7978DE" w14:textId="4AC4B005" w:rsidR="00F712C6" w:rsidRPr="00B76EBA" w:rsidRDefault="00F712C6" w:rsidP="00F712C6">
      <w:pPr>
        <w:pStyle w:val="ParaNoNdepar-AltN"/>
        <w:rPr>
          <w:rStyle w:val="SCCCounselPartyRoleChar"/>
          <w:rFonts w:cs="Times New Roman"/>
          <w:noProof/>
          <w:lang w:val="fr-CA"/>
        </w:rPr>
      </w:pPr>
      <w:r w:rsidRPr="003022C4">
        <w:rPr>
          <w:rFonts w:cs="Times New Roman"/>
          <w:noProof/>
          <w:lang w:val="fr-CA"/>
        </w:rPr>
        <w:t>Pour ces motifs, je suis d’avis de rejeter le pourvoi avec dépens.</w:t>
      </w:r>
    </w:p>
    <w:p w14:paraId="459920B3" w14:textId="768A8FD1" w:rsidR="00F712C6" w:rsidRPr="00D35361" w:rsidRDefault="00F712C6" w:rsidP="00B76EBA">
      <w:pPr>
        <w:spacing w:after="480" w:line="480" w:lineRule="auto"/>
        <w:ind w:left="1170"/>
        <w:rPr>
          <w:lang w:val="fr-CA"/>
        </w:rPr>
      </w:pPr>
      <w:r w:rsidRPr="00173A02">
        <w:rPr>
          <w:lang w:val="fr-CA"/>
        </w:rPr>
        <w:t>Version française des motifs rendus par</w:t>
      </w:r>
    </w:p>
    <w:p w14:paraId="1E8842AE" w14:textId="3CBC4A00" w:rsidR="00F712C6" w:rsidRPr="00D35361" w:rsidRDefault="00B76EBA" w:rsidP="00F712C6">
      <w:pPr>
        <w:pStyle w:val="ParaNoNdepar-AltN"/>
        <w:tabs>
          <w:tab w:val="clear" w:pos="1166"/>
          <w:tab w:val="num" w:pos="1152"/>
        </w:tabs>
        <w:rPr>
          <w:lang w:val="fr-CA"/>
        </w:rPr>
      </w:pPr>
      <w:r w:rsidRPr="00B76EBA">
        <w:rPr>
          <w:smallCaps/>
          <w:noProof/>
          <w:lang w:val="fr-CA"/>
        </w:rPr>
        <w:t>Le juge Rowe</w:t>
      </w:r>
      <w:r w:rsidRPr="00D35361">
        <w:rPr>
          <w:noProof/>
          <w:lang w:val="fr-CA"/>
        </w:rPr>
        <w:t xml:space="preserve"> —</w:t>
      </w:r>
      <w:r>
        <w:rPr>
          <w:noProof/>
          <w:lang w:val="fr-CA"/>
        </w:rPr>
        <w:t xml:space="preserve"> </w:t>
      </w:r>
      <w:r w:rsidR="00F712C6" w:rsidRPr="00D35361">
        <w:rPr>
          <w:lang w:val="fr-CA"/>
        </w:rPr>
        <w:t xml:space="preserve">Je suis d’accord avec les juges Côté et Brown en ce qui concerne le par. 15(1) de la </w:t>
      </w:r>
      <w:r w:rsidR="00F712C6" w:rsidRPr="00D35361">
        <w:rPr>
          <w:i/>
          <w:lang w:val="fr-CA"/>
        </w:rPr>
        <w:t>Charte canadienne des droits et libertés</w:t>
      </w:r>
      <w:r w:rsidR="00F712C6" w:rsidRPr="00D35361">
        <w:rPr>
          <w:lang w:val="fr-CA"/>
        </w:rPr>
        <w:t xml:space="preserve"> (par. 221</w:t>
      </w:r>
      <w:r w:rsidR="00F712C6" w:rsidRPr="00D35361">
        <w:rPr>
          <w:lang w:val="fr-CA"/>
        </w:rPr>
        <w:noBreakHyphen/>
        <w:t xml:space="preserve">224) et la démarche générale qu’ils proposent lorsqu’il s’agit d’accorder, en vertu du par. 24(1), une exemption individuelle de la suspension de l’effet d’une déclaration d’invalidité prononcée au titre du par. 52(1) de la </w:t>
      </w:r>
      <w:r w:rsidR="00F712C6" w:rsidRPr="00D35361">
        <w:rPr>
          <w:i/>
          <w:lang w:val="fr-CA"/>
        </w:rPr>
        <w:t>Loi constitutionnelle de 1982</w:t>
      </w:r>
      <w:r w:rsidR="00F712C6" w:rsidRPr="00D35361">
        <w:rPr>
          <w:lang w:val="fr-CA"/>
        </w:rPr>
        <w:t xml:space="preserve"> (renvois aux </w:t>
      </w:r>
      <w:proofErr w:type="spellStart"/>
      <w:r w:rsidR="00F712C6" w:rsidRPr="00D35361">
        <w:rPr>
          <w:lang w:val="fr-CA"/>
        </w:rPr>
        <w:t>par</w:t>
      </w:r>
      <w:proofErr w:type="spellEnd"/>
      <w:r w:rsidR="00F712C6" w:rsidRPr="00D35361">
        <w:rPr>
          <w:lang w:val="fr-CA"/>
        </w:rPr>
        <w:t>. 273</w:t>
      </w:r>
      <w:r w:rsidR="00F712C6" w:rsidRPr="00D35361">
        <w:rPr>
          <w:lang w:val="fr-CA"/>
        </w:rPr>
        <w:noBreakHyphen/>
        <w:t>293).</w:t>
      </w:r>
    </w:p>
    <w:p w14:paraId="6C72C3E8"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Toutefois, en ce qui a trait à la méthode qu’il convient d’employer pour suspendre l’effet d’une déclaration d’invalidité en vertu du par. 52(1), je suis d’avis de confirmer une fois de plus l’arrêt </w:t>
      </w:r>
      <w:proofErr w:type="spellStart"/>
      <w:r w:rsidRPr="00D35361">
        <w:rPr>
          <w:rFonts w:cs="Times New Roman"/>
          <w:i/>
          <w:lang w:val="fr-CA"/>
        </w:rPr>
        <w:t>Schachter</w:t>
      </w:r>
      <w:proofErr w:type="spellEnd"/>
      <w:r w:rsidRPr="00D35361">
        <w:rPr>
          <w:rFonts w:cs="Times New Roman"/>
          <w:i/>
          <w:lang w:val="fr-CA"/>
        </w:rPr>
        <w:t xml:space="preserve"> c. Canada</w:t>
      </w:r>
      <w:r w:rsidRPr="00D35361">
        <w:rPr>
          <w:rFonts w:cs="Times New Roman"/>
          <w:lang w:val="fr-CA"/>
        </w:rPr>
        <w:t>, [1992] 2 R.C.S. 679. Comme notre Cour l’a déclaré dans cet arrêt, l’effet d’une déclaration d’invalidité ne devrait être suspendu que dans l’un ou l’autre des cas suivants, à savoir : (1) la déclaration d’invalidité avec effet immédiat serait susceptible de présenter un danger pour le public; (2) la déclaration menacerait d’une autre manière la primauté du droit; (3) la loi a une portée trop limitative et le tribunal n’est pas en mesure de se prononcer en toute connaissance de cause sur l’opportunité de l’annuler ou d’accorder des avantages à un groupe non visé par la loi, et devrait plutôt laisser au législateur le soin de trancher la question. À mon avis, ces catégories ne sont pas étanches. Je ne les délaisserais pas non plus au profit de l’exercice d’un pouvoir discrétionnaire vague. Au contraire, il n’y a lieu de les élargir que si une déclaration d’invalidité avec effet immédiat enfreindrait un principe constitutionnel.</w:t>
      </w:r>
    </w:p>
    <w:p w14:paraId="09D28C0D" w14:textId="4006F97F"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La Cour ne devrait s’écarter de précédents comme l’arrêt </w:t>
      </w:r>
      <w:proofErr w:type="spellStart"/>
      <w:r w:rsidRPr="00D35361">
        <w:rPr>
          <w:rFonts w:cs="Times New Roman"/>
          <w:i/>
          <w:lang w:val="fr-CA"/>
        </w:rPr>
        <w:t>Schachter</w:t>
      </w:r>
      <w:proofErr w:type="spellEnd"/>
      <w:r w:rsidRPr="00D35361">
        <w:rPr>
          <w:rFonts w:cs="Times New Roman"/>
          <w:lang w:val="fr-CA"/>
        </w:rPr>
        <w:t xml:space="preserve"> que s’il existe des « circonstances convaincantes » (</w:t>
      </w:r>
      <w:r w:rsidRPr="00D35361">
        <w:rPr>
          <w:rFonts w:cs="Times New Roman"/>
          <w:i/>
          <w:lang w:val="fr-CA"/>
        </w:rPr>
        <w:t xml:space="preserve">Canada (Ministre de la Citoyenneté et de l’Immigration) c. </w:t>
      </w:r>
      <w:proofErr w:type="spellStart"/>
      <w:r w:rsidRPr="00D35361">
        <w:rPr>
          <w:rFonts w:cs="Times New Roman"/>
          <w:i/>
          <w:lang w:val="fr-CA"/>
        </w:rPr>
        <w:t>Vavilov</w:t>
      </w:r>
      <w:proofErr w:type="spellEnd"/>
      <w:r w:rsidRPr="00D35361">
        <w:rPr>
          <w:rFonts w:cs="Times New Roman"/>
          <w:lang w:val="fr-CA"/>
        </w:rPr>
        <w:t>, 2019 CSC 65</w:t>
      </w:r>
      <w:r w:rsidR="00D008CA" w:rsidRPr="00D35361">
        <w:rPr>
          <w:rFonts w:cs="Times New Roman"/>
          <w:lang w:val="fr-CA"/>
        </w:rPr>
        <w:t xml:space="preserve">, </w:t>
      </w:r>
      <w:r w:rsidR="00D008CA">
        <w:rPr>
          <w:rFonts w:cs="Times New Roman"/>
          <w:lang w:val="fr-CA"/>
        </w:rPr>
        <w:t>[2019</w:t>
      </w:r>
      <w:r w:rsidR="00D008CA" w:rsidRPr="00D35361">
        <w:rPr>
          <w:rFonts w:cs="Times New Roman"/>
          <w:lang w:val="fr-CA"/>
        </w:rPr>
        <w:t>]</w:t>
      </w:r>
      <w:r w:rsidR="00D008CA">
        <w:rPr>
          <w:rFonts w:cs="Times New Roman"/>
          <w:lang w:val="fr-CA"/>
        </w:rPr>
        <w:t xml:space="preserve"> 4 R.C.S. 653</w:t>
      </w:r>
      <w:r w:rsidRPr="00D35361">
        <w:rPr>
          <w:rFonts w:cs="Times New Roman"/>
          <w:lang w:val="fr-CA"/>
        </w:rPr>
        <w:t xml:space="preserve">, par. 18). Par exemple, la Cour peut revoir </w:t>
      </w:r>
      <w:r w:rsidRPr="00D35361">
        <w:rPr>
          <w:rFonts w:cs="Times New Roman"/>
          <w:shd w:val="clear" w:color="auto" w:fill="FFFFFF"/>
          <w:lang w:val="fr-CA"/>
        </w:rPr>
        <w:t>des précédents s’ils sont « non fondés en principe », s’ils sont « inapplicables et indûment complexes » ou s’ils se sont « attirés d’importantes critiques valables, notamment judiciaires et doctrinales »</w:t>
      </w:r>
      <w:r w:rsidRPr="00D35361">
        <w:rPr>
          <w:rFonts w:cs="Times New Roman"/>
          <w:lang w:val="fr-CA"/>
        </w:rPr>
        <w:t xml:space="preserve"> (</w:t>
      </w:r>
      <w:proofErr w:type="spellStart"/>
      <w:r w:rsidRPr="00D35361">
        <w:rPr>
          <w:rFonts w:cs="Times New Roman"/>
          <w:i/>
          <w:lang w:val="fr-CA"/>
        </w:rPr>
        <w:t>Vavilov</w:t>
      </w:r>
      <w:proofErr w:type="spellEnd"/>
      <w:r w:rsidRPr="00D35361">
        <w:rPr>
          <w:rFonts w:cs="Times New Roman"/>
          <w:lang w:val="fr-CA"/>
        </w:rPr>
        <w:t>, par. 20).</w:t>
      </w:r>
    </w:p>
    <w:p w14:paraId="6D53906F"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Ces dernières années, la Cour a, sans réflexion suffisante, rompu avec l’approche énoncée dans l’arrêt </w:t>
      </w:r>
      <w:proofErr w:type="spellStart"/>
      <w:r w:rsidRPr="00D35361">
        <w:rPr>
          <w:rFonts w:cs="Times New Roman"/>
          <w:i/>
          <w:lang w:val="fr-CA"/>
        </w:rPr>
        <w:t>Schachter</w:t>
      </w:r>
      <w:proofErr w:type="spellEnd"/>
      <w:r w:rsidRPr="00D35361">
        <w:rPr>
          <w:rFonts w:cs="Times New Roman"/>
          <w:lang w:val="fr-CA"/>
        </w:rPr>
        <w:t xml:space="preserve">. Elle a suspendu l’effet de déclarations dans d’autres situations que celles prévues par les catégories de l’arrêt </w:t>
      </w:r>
      <w:proofErr w:type="spellStart"/>
      <w:r w:rsidRPr="00D35361">
        <w:rPr>
          <w:rFonts w:cs="Times New Roman"/>
          <w:i/>
          <w:lang w:val="fr-CA"/>
        </w:rPr>
        <w:t>Schachter</w:t>
      </w:r>
      <w:proofErr w:type="spellEnd"/>
      <w:r w:rsidRPr="00D35361">
        <w:rPr>
          <w:rFonts w:cs="Times New Roman"/>
          <w:lang w:val="fr-CA"/>
        </w:rPr>
        <w:t xml:space="preserve">, et ce, sans tenir compte du raisonnement à la base de ces catégories. Dans certains cas, des suspensions ont été prononcées sans même renvoyer à l’arrêt </w:t>
      </w:r>
      <w:proofErr w:type="spellStart"/>
      <w:r w:rsidRPr="00D35361">
        <w:rPr>
          <w:rFonts w:cs="Times New Roman"/>
          <w:i/>
          <w:lang w:val="fr-CA"/>
        </w:rPr>
        <w:t>Schachter</w:t>
      </w:r>
      <w:proofErr w:type="spellEnd"/>
      <w:r w:rsidRPr="00D35361">
        <w:rPr>
          <w:rFonts w:cs="Times New Roman"/>
          <w:lang w:val="fr-CA"/>
        </w:rPr>
        <w:t xml:space="preserve">. Ce fossé entre la théorie et la pratique — entre les précédents et leur application — est constaté tant par la juge </w:t>
      </w:r>
      <w:proofErr w:type="spellStart"/>
      <w:r w:rsidRPr="00D35361">
        <w:rPr>
          <w:rFonts w:cs="Times New Roman"/>
          <w:lang w:val="fr-CA"/>
        </w:rPr>
        <w:t>Karakatsanis</w:t>
      </w:r>
      <w:proofErr w:type="spellEnd"/>
      <w:r w:rsidRPr="00D35361">
        <w:rPr>
          <w:rFonts w:cs="Times New Roman"/>
          <w:lang w:val="fr-CA"/>
        </w:rPr>
        <w:t xml:space="preserve"> (par. 106 et 125) que par les juges Côté et Brown (par. 233</w:t>
      </w:r>
      <w:r w:rsidRPr="00D35361">
        <w:rPr>
          <w:rFonts w:cs="Times New Roman"/>
          <w:lang w:val="fr-CA"/>
        </w:rPr>
        <w:noBreakHyphen/>
        <w:t>235).</w:t>
      </w:r>
    </w:p>
    <w:p w14:paraId="39D8D7A1"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Pareil fossé donne matière à réflexion. Cela ne signifie pas pour autant qu’il faudrait abandonner le précédent en question, comme le préconisent mes collègues. Après y avoir réfléchi, je confirmerais l’approche suivie dans l’arrêt </w:t>
      </w:r>
      <w:proofErr w:type="spellStart"/>
      <w:r w:rsidRPr="00D35361">
        <w:rPr>
          <w:rFonts w:cs="Times New Roman"/>
          <w:i/>
          <w:lang w:val="fr-CA"/>
        </w:rPr>
        <w:t>Schachter</w:t>
      </w:r>
      <w:proofErr w:type="spellEnd"/>
      <w:r w:rsidRPr="00D35361">
        <w:rPr>
          <w:rFonts w:cs="Times New Roman"/>
          <w:lang w:val="fr-CA"/>
        </w:rPr>
        <w:t xml:space="preserve">, pour les raisons que je vais expliquer. </w:t>
      </w:r>
    </w:p>
    <w:p w14:paraId="4ED50524" w14:textId="77777777" w:rsidR="00F712C6" w:rsidRPr="00282441" w:rsidRDefault="00F712C6" w:rsidP="00282441">
      <w:pPr>
        <w:pStyle w:val="Title1LevelTitre1Niveau-AltL"/>
        <w:numPr>
          <w:ilvl w:val="0"/>
          <w:numId w:val="31"/>
        </w:numPr>
        <w:rPr>
          <w:rFonts w:cs="Times New Roman"/>
          <w:lang w:val="fr-CA"/>
        </w:rPr>
      </w:pPr>
      <w:r w:rsidRPr="00282441">
        <w:rPr>
          <w:rFonts w:cs="Times New Roman"/>
          <w:iCs/>
          <w:lang w:val="fr-CA"/>
        </w:rPr>
        <w:t>L’arrêt</w:t>
      </w:r>
      <w:r w:rsidRPr="00282441">
        <w:rPr>
          <w:rFonts w:cs="Times New Roman"/>
          <w:i/>
          <w:lang w:val="fr-CA"/>
        </w:rPr>
        <w:t xml:space="preserve"> </w:t>
      </w:r>
      <w:proofErr w:type="spellStart"/>
      <w:r w:rsidRPr="00282441">
        <w:rPr>
          <w:rFonts w:cs="Times New Roman"/>
          <w:i/>
          <w:lang w:val="fr-CA"/>
        </w:rPr>
        <w:t>Schachter</w:t>
      </w:r>
      <w:proofErr w:type="spellEnd"/>
      <w:r w:rsidRPr="00282441">
        <w:rPr>
          <w:rFonts w:cs="Times New Roman"/>
          <w:lang w:val="fr-CA"/>
        </w:rPr>
        <w:t xml:space="preserve"> est bien fondé sur le plan des principes</w:t>
      </w:r>
    </w:p>
    <w:p w14:paraId="5D33251F"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L’arrêt </w:t>
      </w:r>
      <w:proofErr w:type="spellStart"/>
      <w:r w:rsidRPr="00D35361">
        <w:rPr>
          <w:rFonts w:cs="Times New Roman"/>
          <w:i/>
          <w:lang w:val="fr-CA"/>
        </w:rPr>
        <w:t>Schachter</w:t>
      </w:r>
      <w:proofErr w:type="spellEnd"/>
      <w:r w:rsidRPr="00D35361">
        <w:rPr>
          <w:rFonts w:cs="Times New Roman"/>
          <w:i/>
          <w:lang w:val="fr-CA"/>
        </w:rPr>
        <w:t xml:space="preserve"> </w:t>
      </w:r>
      <w:r w:rsidRPr="00D35361">
        <w:rPr>
          <w:rFonts w:cs="Times New Roman"/>
          <w:lang w:val="fr-CA"/>
        </w:rPr>
        <w:t xml:space="preserve">repose sur l’idée que la suspension de l’effet de déclarations d’invalidité doit être réservée à des cas exceptionnels, vu que le par. 52(1) ne confère pas aux tribunaux de pouvoir discrétionnaire de réparation. Le point de départ de toute réflexion sur l’arrêt </w:t>
      </w:r>
      <w:proofErr w:type="spellStart"/>
      <w:r w:rsidRPr="00D35361">
        <w:rPr>
          <w:rFonts w:cs="Times New Roman"/>
          <w:i/>
          <w:lang w:val="fr-CA"/>
        </w:rPr>
        <w:t>Schachter</w:t>
      </w:r>
      <w:proofErr w:type="spellEnd"/>
      <w:r w:rsidRPr="00D35361">
        <w:rPr>
          <w:rFonts w:cs="Times New Roman"/>
          <w:lang w:val="fr-CA"/>
        </w:rPr>
        <w:t xml:space="preserve"> consiste à se demander si l’interprétation du par. 52(1) est bien fondée.</w:t>
      </w:r>
    </w:p>
    <w:p w14:paraId="0E23F772" w14:textId="77777777" w:rsidR="00F712C6" w:rsidRPr="00D35361" w:rsidRDefault="00F712C6" w:rsidP="00F712C6">
      <w:pPr>
        <w:pStyle w:val="ParaNoNdepar-AltN"/>
        <w:tabs>
          <w:tab w:val="clear" w:pos="1166"/>
          <w:tab w:val="num" w:pos="1152"/>
        </w:tabs>
        <w:rPr>
          <w:rFonts w:cs="Times New Roman"/>
          <w:u w:val="single"/>
          <w:lang w:val="fr-CA"/>
        </w:rPr>
      </w:pPr>
      <w:r w:rsidRPr="00D35361">
        <w:rPr>
          <w:rFonts w:cs="Times New Roman"/>
          <w:lang w:val="fr-CA"/>
        </w:rPr>
        <w:t xml:space="preserve">Conformément à l’approche téléologique en matière d’interprétation de la Constitution, le libellé du par. 52(1) doit être interprété eu égard à la nature et aux objets plus généraux de la </w:t>
      </w:r>
      <w:r w:rsidRPr="00D35361">
        <w:rPr>
          <w:rFonts w:cs="Times New Roman"/>
          <w:i/>
          <w:lang w:val="fr-CA"/>
        </w:rPr>
        <w:t xml:space="preserve">Loi constitutionnelle de 1982 </w:t>
      </w:r>
      <w:r w:rsidRPr="00D35361">
        <w:rPr>
          <w:rFonts w:cs="Times New Roman"/>
          <w:lang w:val="fr-CA"/>
        </w:rPr>
        <w:t>(</w:t>
      </w:r>
      <w:r w:rsidRPr="00D35361">
        <w:rPr>
          <w:rFonts w:cs="Times New Roman"/>
          <w:i/>
          <w:lang w:val="fr-CA"/>
        </w:rPr>
        <w:t xml:space="preserve">R. c. </w:t>
      </w:r>
      <w:proofErr w:type="spellStart"/>
      <w:r w:rsidRPr="00D35361">
        <w:rPr>
          <w:rFonts w:cs="Times New Roman"/>
          <w:i/>
          <w:lang w:val="fr-CA"/>
        </w:rPr>
        <w:t>Big</w:t>
      </w:r>
      <w:proofErr w:type="spellEnd"/>
      <w:r w:rsidRPr="00D35361">
        <w:rPr>
          <w:rFonts w:cs="Times New Roman"/>
          <w:i/>
          <w:lang w:val="fr-CA"/>
        </w:rPr>
        <w:t xml:space="preserve"> M Drug </w:t>
      </w:r>
      <w:proofErr w:type="spellStart"/>
      <w:r w:rsidRPr="00D35361">
        <w:rPr>
          <w:rFonts w:cs="Times New Roman"/>
          <w:i/>
          <w:lang w:val="fr-CA"/>
        </w:rPr>
        <w:t>Mart</w:t>
      </w:r>
      <w:proofErr w:type="spellEnd"/>
      <w:r w:rsidRPr="00D35361">
        <w:rPr>
          <w:rFonts w:cs="Times New Roman"/>
          <w:i/>
          <w:lang w:val="fr-CA"/>
        </w:rPr>
        <w:t xml:space="preserve"> Ltd.</w:t>
      </w:r>
      <w:r w:rsidRPr="00D35361">
        <w:rPr>
          <w:rFonts w:cs="Times New Roman"/>
          <w:lang w:val="fr-CA"/>
        </w:rPr>
        <w:t>, [1985] 1 R.C.S. 295, p. 344;</w:t>
      </w:r>
      <w:r w:rsidRPr="00D35361">
        <w:rPr>
          <w:rFonts w:cs="Times New Roman"/>
          <w:i/>
          <w:lang w:val="fr-CA"/>
        </w:rPr>
        <w:t xml:space="preserve"> Law Society of British Columbia c. Trinity Western </w:t>
      </w:r>
      <w:proofErr w:type="spellStart"/>
      <w:r w:rsidRPr="00D35361">
        <w:rPr>
          <w:rFonts w:cs="Times New Roman"/>
          <w:i/>
          <w:lang w:val="fr-CA"/>
        </w:rPr>
        <w:t>University</w:t>
      </w:r>
      <w:proofErr w:type="spellEnd"/>
      <w:r w:rsidRPr="00D35361">
        <w:rPr>
          <w:rFonts w:cs="Times New Roman"/>
          <w:lang w:val="fr-CA"/>
        </w:rPr>
        <w:t>, 2018 CSC 32, [2018] 2 R.C.S. 293, par. 178</w:t>
      </w:r>
      <w:r w:rsidRPr="00D35361">
        <w:rPr>
          <w:rFonts w:cs="Times New Roman"/>
          <w:lang w:val="fr-CA"/>
        </w:rPr>
        <w:noBreakHyphen/>
        <w:t xml:space="preserve">185, le juge Rowe; </w:t>
      </w:r>
      <w:r w:rsidRPr="00D35361">
        <w:rPr>
          <w:rFonts w:cs="Times New Roman"/>
          <w:i/>
          <w:lang w:val="fr-CA"/>
        </w:rPr>
        <w:t>R. c. Comeau</w:t>
      </w:r>
      <w:r w:rsidRPr="00D35361">
        <w:rPr>
          <w:rFonts w:cs="Times New Roman"/>
          <w:lang w:val="fr-CA"/>
        </w:rPr>
        <w:t xml:space="preserve">, 2018 CSC 15, [2018] 1 R.C.S. 342, par. 39). </w:t>
      </w:r>
    </w:p>
    <w:p w14:paraId="14D89A72"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Hormis la situation dans laquelle une preuve a été obtenue illégalement (par. 24(2)), la </w:t>
      </w:r>
      <w:r w:rsidRPr="00D35361">
        <w:rPr>
          <w:rFonts w:cs="Times New Roman"/>
          <w:i/>
          <w:lang w:val="fr-CA"/>
        </w:rPr>
        <w:t>Loi constitutionnelle de 1982</w:t>
      </w:r>
      <w:r w:rsidRPr="00D35361">
        <w:rPr>
          <w:rFonts w:cs="Times New Roman"/>
          <w:lang w:val="fr-CA"/>
        </w:rPr>
        <w:t xml:space="preserve"> prévoit deux réparations en cas d’actes illégaux de l’État. Le contraste entre ces deux réparations est instructif : </w:t>
      </w:r>
    </w:p>
    <w:p w14:paraId="54A9CC92" w14:textId="77777777" w:rsidR="00F712C6" w:rsidRPr="00D35361" w:rsidRDefault="00F712C6" w:rsidP="00653A1F">
      <w:pPr>
        <w:pStyle w:val="Citation-AltC"/>
        <w:numPr>
          <w:ilvl w:val="0"/>
          <w:numId w:val="22"/>
        </w:numPr>
        <w:spacing w:after="480" w:line="480" w:lineRule="auto"/>
        <w:ind w:left="540" w:hanging="540"/>
        <w:contextualSpacing w:val="0"/>
        <w:rPr>
          <w:lang w:val="fr-CA"/>
        </w:rPr>
      </w:pPr>
      <w:r w:rsidRPr="00D35361">
        <w:rPr>
          <w:lang w:val="fr-CA"/>
        </w:rPr>
        <w:t>Le paragraphe 24(1) prévoit qu’en cas de violation de droits ou libertés, le tribunal peut accorder « la réparation [qu’il] estime convenable et juste eu égard aux circonstances ». Il est « </w:t>
      </w:r>
      <w:r w:rsidRPr="00D35361">
        <w:rPr>
          <w:shd w:val="clear" w:color="auto" w:fill="FFFFFF"/>
          <w:lang w:val="fr-CA"/>
        </w:rPr>
        <w:t>difficile de concevoir comment on pourrait donner au tribunal un pouvoir discrétion</w:t>
      </w:r>
      <w:r>
        <w:rPr>
          <w:shd w:val="clear" w:color="auto" w:fill="FFFFFF"/>
          <w:lang w:val="fr-CA"/>
        </w:rPr>
        <w:t>naire plus large et plus absolu </w:t>
      </w:r>
      <w:r w:rsidRPr="00D35361">
        <w:rPr>
          <w:shd w:val="clear" w:color="auto" w:fill="FFFFFF"/>
          <w:lang w:val="fr-CA"/>
        </w:rPr>
        <w:t xml:space="preserve">» </w:t>
      </w:r>
      <w:r w:rsidRPr="00D35361">
        <w:rPr>
          <w:lang w:val="fr-CA"/>
        </w:rPr>
        <w:t>(</w:t>
      </w:r>
      <w:r w:rsidRPr="00D35361">
        <w:rPr>
          <w:i/>
          <w:lang w:val="fr-CA"/>
        </w:rPr>
        <w:t>Mills c. La Reine</w:t>
      </w:r>
      <w:r w:rsidRPr="00D35361">
        <w:rPr>
          <w:lang w:val="fr-CA"/>
        </w:rPr>
        <w:t>, [1986] 1 R.C.S. 863, p. 965).</w:t>
      </w:r>
    </w:p>
    <w:p w14:paraId="1119EFFB" w14:textId="77777777" w:rsidR="00F712C6" w:rsidRPr="00D35361" w:rsidRDefault="00F712C6" w:rsidP="00653A1F">
      <w:pPr>
        <w:pStyle w:val="Citation-AltC"/>
        <w:numPr>
          <w:ilvl w:val="0"/>
          <w:numId w:val="22"/>
        </w:numPr>
        <w:spacing w:after="480" w:line="480" w:lineRule="auto"/>
        <w:ind w:left="540" w:hanging="540"/>
        <w:contextualSpacing w:val="0"/>
        <w:rPr>
          <w:lang w:val="fr-CA"/>
        </w:rPr>
      </w:pPr>
      <w:r w:rsidRPr="00D35361">
        <w:rPr>
          <w:lang w:val="fr-CA"/>
        </w:rPr>
        <w:t xml:space="preserve">Le justiciable qui se plaint, non pas d’une violation en particulier, mais de l’existence d’une loi inconstitutionnelle, peut demander réparation en vertu du par. 52(1). Contrairement au </w:t>
      </w:r>
      <w:proofErr w:type="spellStart"/>
      <w:r w:rsidRPr="00D35361">
        <w:rPr>
          <w:lang w:val="fr-CA"/>
        </w:rPr>
        <w:t>par</w:t>
      </w:r>
      <w:proofErr w:type="spellEnd"/>
      <w:r w:rsidRPr="00D35361">
        <w:rPr>
          <w:lang w:val="fr-CA"/>
        </w:rPr>
        <w:t xml:space="preserve">. 24(1), le par. 52(1) ne parle ni </w:t>
      </w:r>
      <w:r>
        <w:rPr>
          <w:lang w:val="fr-CA"/>
        </w:rPr>
        <w:t>du processus judiciaire</w:t>
      </w:r>
      <w:r w:rsidRPr="00D35361">
        <w:rPr>
          <w:lang w:val="fr-CA"/>
        </w:rPr>
        <w:t xml:space="preserve"> ni de pouvoir discrétionnaire. Il prévoit plutôt que la Constitution « rend inopérantes les dispositions incompatibles » de toute autre loi.</w:t>
      </w:r>
    </w:p>
    <w:p w14:paraId="2B183C16" w14:textId="77777777" w:rsidR="00F712C6" w:rsidRPr="00D35361" w:rsidRDefault="00F712C6" w:rsidP="00F712C6">
      <w:pPr>
        <w:pStyle w:val="ParaNoNdepar-AltN"/>
        <w:tabs>
          <w:tab w:val="clear" w:pos="1166"/>
          <w:tab w:val="num" w:pos="1152"/>
        </w:tabs>
        <w:rPr>
          <w:rFonts w:cs="Times New Roman"/>
          <w:u w:val="single"/>
          <w:lang w:val="fr-CA"/>
        </w:rPr>
      </w:pPr>
      <w:r w:rsidRPr="00D35361">
        <w:rPr>
          <w:rFonts w:cs="Times New Roman"/>
          <w:lang w:val="fr-CA"/>
        </w:rPr>
        <w:t xml:space="preserve">Ainsi, alors qu’en vertu du par. 24(1), les tribunaux disposent d’un vaste pouvoir discrétionnaire qui leur permet d’élaborer des réparations pour des violations spécifiques, aucun pouvoir discrétionnaire semblable ne leur est conféré par le par. 52(1) en ce qui concerne les lois inconstitutionnelles. Le libellé de l’article premier illustre la raison d’être de cette dichotomie : </w:t>
      </w:r>
      <w:r>
        <w:rPr>
          <w:rFonts w:cs="Times New Roman"/>
          <w:lang w:val="fr-CA"/>
        </w:rPr>
        <w:t xml:space="preserve">« La </w:t>
      </w:r>
      <w:r w:rsidRPr="00D35361">
        <w:rPr>
          <w:rFonts w:cs="Times New Roman"/>
          <w:i/>
          <w:iCs/>
          <w:lang w:val="fr-CA"/>
        </w:rPr>
        <w:t>Charte canadienne des droits et libertés</w:t>
      </w:r>
      <w:r>
        <w:rPr>
          <w:rFonts w:cs="Times New Roman"/>
          <w:lang w:val="fr-CA"/>
        </w:rPr>
        <w:t xml:space="preserve"> </w:t>
      </w:r>
      <w:r w:rsidRPr="00D35361">
        <w:rPr>
          <w:rFonts w:cs="Times New Roman"/>
          <w:lang w:val="fr-CA"/>
        </w:rPr>
        <w:t xml:space="preserve">garantit les droits et libertés qui y sont énoncés. Ils ne peuvent être restreints </w:t>
      </w:r>
      <w:r w:rsidRPr="00D35361">
        <w:rPr>
          <w:rFonts w:cs="Times New Roman"/>
          <w:u w:val="single"/>
          <w:lang w:val="fr-CA"/>
        </w:rPr>
        <w:t>que par une règle de droit</w:t>
      </w:r>
      <w:r w:rsidRPr="00D35361">
        <w:rPr>
          <w:rFonts w:cs="Times New Roman"/>
          <w:lang w:val="fr-CA"/>
        </w:rPr>
        <w:t>, dans des limites qui soient raisonnables et dont la justification puis</w:t>
      </w:r>
      <w:r>
        <w:rPr>
          <w:rFonts w:cs="Times New Roman"/>
          <w:lang w:val="fr-CA"/>
        </w:rPr>
        <w:t>se se démontrer dans le cadre d’</w:t>
      </w:r>
      <w:r w:rsidRPr="00D35361">
        <w:rPr>
          <w:rFonts w:cs="Times New Roman"/>
          <w:lang w:val="fr-CA"/>
        </w:rPr>
        <w:t>une société libre et démocratique. » Le pouvoir de limiter des droits constitutionnels a été confié au législateur et non aux tribunaux.</w:t>
      </w:r>
    </w:p>
    <w:p w14:paraId="5BC5F1E8"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Selon une interprétation téléologique, l’absence de pouvoir discrétionnaire en matière de réparation au </w:t>
      </w:r>
      <w:proofErr w:type="spellStart"/>
      <w:r w:rsidRPr="00D35361">
        <w:rPr>
          <w:rFonts w:cs="Times New Roman"/>
          <w:lang w:val="fr-CA"/>
        </w:rPr>
        <w:t>par</w:t>
      </w:r>
      <w:proofErr w:type="spellEnd"/>
      <w:r w:rsidRPr="00D35361">
        <w:rPr>
          <w:rFonts w:cs="Times New Roman"/>
          <w:lang w:val="fr-CA"/>
        </w:rPr>
        <w:t xml:space="preserve">. 52(1) n’est pas attribuable à un oubli. La </w:t>
      </w:r>
      <w:r w:rsidRPr="00D35361">
        <w:rPr>
          <w:rFonts w:cs="Times New Roman"/>
          <w:i/>
          <w:lang w:val="fr-CA"/>
        </w:rPr>
        <w:t>Loi</w:t>
      </w:r>
      <w:r>
        <w:rPr>
          <w:rFonts w:cs="Times New Roman"/>
          <w:i/>
          <w:lang w:val="fr-CA"/>
        </w:rPr>
        <w:t xml:space="preserve"> </w:t>
      </w:r>
      <w:r w:rsidRPr="00D35361">
        <w:rPr>
          <w:rFonts w:cs="Times New Roman"/>
          <w:i/>
          <w:lang w:val="fr-CA"/>
        </w:rPr>
        <w:t>constitutionnelle de 1982</w:t>
      </w:r>
      <w:r w:rsidRPr="00D35361">
        <w:rPr>
          <w:rFonts w:cs="Times New Roman"/>
          <w:lang w:val="fr-CA"/>
        </w:rPr>
        <w:t xml:space="preserve"> ne donne pas aux tribunaux le choix de donner ou non effet au droit des Canadiens d’être à l’abri des lois inconstitutionnelles. La Constitution n’est pas une réparation en </w:t>
      </w:r>
      <w:proofErr w:type="spellStart"/>
      <w:r w:rsidRPr="00D35361">
        <w:rPr>
          <w:rFonts w:cs="Times New Roman"/>
          <w:lang w:val="fr-CA"/>
        </w:rPr>
        <w:t>equity</w:t>
      </w:r>
      <w:proofErr w:type="spellEnd"/>
      <w:r w:rsidRPr="00D35361">
        <w:rPr>
          <w:rFonts w:cs="Times New Roman"/>
          <w:lang w:val="fr-CA"/>
        </w:rPr>
        <w:t xml:space="preserve"> ou un bref de complaisance que les tribunaux peuvent accorder selon leur bon plaisir. La Constitution confère des droits pour lesquels les Canadiens peuvent exiger une protection immédiate. Mais la Constitution ne se résume pas à la </w:t>
      </w:r>
      <w:r w:rsidRPr="00D35361">
        <w:rPr>
          <w:rFonts w:cs="Times New Roman"/>
          <w:i/>
          <w:lang w:val="fr-CA"/>
        </w:rPr>
        <w:t>Loi constitutionnelle de 1982</w:t>
      </w:r>
      <w:r w:rsidRPr="00D35361">
        <w:rPr>
          <w:rFonts w:cs="Times New Roman"/>
          <w:lang w:val="fr-CA"/>
        </w:rPr>
        <w:t xml:space="preserve">. </w:t>
      </w:r>
    </w:p>
    <w:p w14:paraId="53DE29EC" w14:textId="07C086A3" w:rsidR="00F712C6" w:rsidRPr="00D35361" w:rsidRDefault="00F712C6" w:rsidP="004A6852">
      <w:pPr>
        <w:pStyle w:val="ParaNoNdepar-AltN"/>
        <w:rPr>
          <w:lang w:val="fr-CA"/>
        </w:rPr>
      </w:pPr>
      <w:r w:rsidRPr="00D35361">
        <w:rPr>
          <w:lang w:val="fr-CA"/>
        </w:rPr>
        <w:t xml:space="preserve">Les dix premières années de la </w:t>
      </w:r>
      <w:r w:rsidRPr="00D35361">
        <w:rPr>
          <w:i/>
          <w:lang w:val="fr-CA"/>
        </w:rPr>
        <w:t>Loi constitutionnelle de 1982</w:t>
      </w:r>
      <w:r w:rsidRPr="00D35361">
        <w:rPr>
          <w:lang w:val="fr-CA"/>
        </w:rPr>
        <w:t xml:space="preserve"> ont fait ressortir des situations dans lesquelles une application sans nuance et immédiate du par. 52(1) créerait des conflits avec d’autres principes constitutionnels. Ainsi, dans le </w:t>
      </w:r>
      <w:r w:rsidR="004A6852" w:rsidRPr="004A6852">
        <w:rPr>
          <w:rFonts w:cs="Times New Roman"/>
          <w:i/>
          <w:lang w:val="fr-CA"/>
        </w:rPr>
        <w:t>Renvoi relatif aux droits linguistiques au Manitoba</w:t>
      </w:r>
      <w:r w:rsidRPr="00D35361">
        <w:rPr>
          <w:lang w:val="fr-CA"/>
        </w:rPr>
        <w:t xml:space="preserve">, [1985] 1 R.C.S. 721, le prononcé d’une déclaration d’invalidité avec effet immédiat aurait compromis la primauté du droit. De même, dans l’affaire </w:t>
      </w:r>
      <w:r w:rsidRPr="00D35361">
        <w:rPr>
          <w:i/>
          <w:lang w:val="fr-CA"/>
        </w:rPr>
        <w:t xml:space="preserve">R. c. </w:t>
      </w:r>
      <w:proofErr w:type="spellStart"/>
      <w:r w:rsidRPr="00D35361">
        <w:rPr>
          <w:i/>
          <w:lang w:val="fr-CA"/>
        </w:rPr>
        <w:t>Swain</w:t>
      </w:r>
      <w:proofErr w:type="spellEnd"/>
      <w:r w:rsidRPr="00D35361">
        <w:rPr>
          <w:lang w:val="fr-CA"/>
        </w:rPr>
        <w:t xml:space="preserve">, [1991] 1 </w:t>
      </w:r>
      <w:proofErr w:type="spellStart"/>
      <w:r w:rsidRPr="00D35361">
        <w:rPr>
          <w:lang w:val="fr-CA"/>
        </w:rPr>
        <w:t>R.C.S</w:t>
      </w:r>
      <w:proofErr w:type="spellEnd"/>
      <w:r w:rsidRPr="00D35361">
        <w:rPr>
          <w:lang w:val="fr-CA"/>
        </w:rPr>
        <w:t>. 933, le prononcé d’une déclaration d’invalidité avec effet immédiat aurait constitué un danger potentiel pour le public, privant ainsi les Canadiens de la protection de la loi, ce qui constitue un des aspects de la primauté du droit. Dans ces affaires, la résolution du conflit entre des principes constitutionnels divergents exigeait que le tribunal suspende l’effet de la déclaration d’invalidité.</w:t>
      </w:r>
    </w:p>
    <w:p w14:paraId="0CFB1802"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L’arrêt </w:t>
      </w:r>
      <w:proofErr w:type="spellStart"/>
      <w:r w:rsidRPr="00D35361">
        <w:rPr>
          <w:rFonts w:cs="Times New Roman"/>
          <w:i/>
          <w:lang w:val="fr-CA"/>
        </w:rPr>
        <w:t>Schachter</w:t>
      </w:r>
      <w:proofErr w:type="spellEnd"/>
      <w:r w:rsidRPr="00D35361">
        <w:rPr>
          <w:rFonts w:cs="Times New Roman"/>
          <w:lang w:val="fr-CA"/>
        </w:rPr>
        <w:t xml:space="preserve"> portait lui aussi sur une ambiguïté latente dans le par. 52(1). Lorsqu’une loi accorde des avantages dont la portée est trop limitative, il se peut qu’elle ne comporte pas </w:t>
      </w:r>
      <w:r>
        <w:rPr>
          <w:rFonts w:cs="Times New Roman"/>
          <w:lang w:val="fr-CA"/>
        </w:rPr>
        <w:t>de « dispositions incompatibles </w:t>
      </w:r>
      <w:r w:rsidRPr="00D35361">
        <w:rPr>
          <w:rFonts w:cs="Times New Roman"/>
          <w:lang w:val="fr-CA"/>
        </w:rPr>
        <w:t>» à invalider. Il pourrait être possible de rendre le régime constitutionnel en dissociant des termes de la loi (</w:t>
      </w:r>
      <w:r w:rsidRPr="00D35361">
        <w:rPr>
          <w:rFonts w:cs="Times New Roman"/>
          <w:i/>
          <w:lang w:val="fr-CA"/>
        </w:rPr>
        <w:t>R. c. Morales</w:t>
      </w:r>
      <w:r w:rsidRPr="00D35361">
        <w:rPr>
          <w:rFonts w:cs="Times New Roman"/>
          <w:lang w:val="fr-CA"/>
        </w:rPr>
        <w:t>, [1992] 3 R.C.S. 711), en procédant à une interprétation large par insertion de mots (</w:t>
      </w:r>
      <w:proofErr w:type="spellStart"/>
      <w:r w:rsidRPr="00D35361">
        <w:rPr>
          <w:rFonts w:cs="Times New Roman"/>
          <w:i/>
          <w:lang w:val="fr-CA"/>
        </w:rPr>
        <w:t>Vriend</w:t>
      </w:r>
      <w:proofErr w:type="spellEnd"/>
      <w:r w:rsidRPr="00D35361">
        <w:rPr>
          <w:rFonts w:cs="Times New Roman"/>
          <w:i/>
          <w:lang w:val="fr-CA"/>
        </w:rPr>
        <w:t xml:space="preserve"> c. Alberta</w:t>
      </w:r>
      <w:r w:rsidRPr="00D35361">
        <w:rPr>
          <w:rFonts w:cs="Times New Roman"/>
          <w:lang w:val="fr-CA"/>
        </w:rPr>
        <w:t>, [1998] 1 R.C.S. 493), en donnant une interprétation atténuée au régime (</w:t>
      </w:r>
      <w:r w:rsidRPr="00D35361">
        <w:rPr>
          <w:rFonts w:cs="Times New Roman"/>
          <w:i/>
          <w:lang w:val="fr-CA"/>
        </w:rPr>
        <w:t>Canada (Procureur général) c. Fédération des ordres professionnels de juristes du Canada</w:t>
      </w:r>
      <w:r w:rsidRPr="00D35361">
        <w:rPr>
          <w:rFonts w:cs="Times New Roman"/>
          <w:lang w:val="fr-CA"/>
        </w:rPr>
        <w:t>, 2015 CSC 7, [2015] 1 R.C.S. 401), ou en invalidant purement et simplement le régime.</w:t>
      </w:r>
    </w:p>
    <w:p w14:paraId="17D4ACF7" w14:textId="6BC92081"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Puisque le tribunal n’est pas toujours en mesure de discerner la réparation appropriée lorsqu’une loi accorde des avantages trop limitatifs, le principe constitutionnel de la suprématie du législateur entre légitimement en jeu; la suspension de l’effet de la déclaration d’invalidité offre une occasion de donner effet à ce principe. Par exemple, l’affaire </w:t>
      </w:r>
      <w:proofErr w:type="spellStart"/>
      <w:r w:rsidRPr="00D35361">
        <w:rPr>
          <w:rFonts w:cs="Times New Roman"/>
          <w:i/>
          <w:lang w:val="fr-CA"/>
        </w:rPr>
        <w:t>Schachter</w:t>
      </w:r>
      <w:proofErr w:type="spellEnd"/>
      <w:r w:rsidRPr="00D35361">
        <w:rPr>
          <w:rFonts w:cs="Times New Roman"/>
          <w:i/>
          <w:lang w:val="fr-CA"/>
        </w:rPr>
        <w:t xml:space="preserve"> </w:t>
      </w:r>
      <w:r w:rsidRPr="00D35361">
        <w:rPr>
          <w:rFonts w:cs="Times New Roman"/>
          <w:lang w:val="fr-CA"/>
        </w:rPr>
        <w:t xml:space="preserve">concernait une prestation </w:t>
      </w:r>
      <w:r w:rsidRPr="00D35361">
        <w:rPr>
          <w:rFonts w:cs="Times New Roman"/>
          <w:i/>
          <w:iCs/>
          <w:lang w:val="fr-CA"/>
        </w:rPr>
        <w:t>financière</w:t>
      </w:r>
      <w:r w:rsidRPr="00D35361">
        <w:rPr>
          <w:rFonts w:cs="Times New Roman"/>
          <w:lang w:val="fr-CA"/>
        </w:rPr>
        <w:t xml:space="preserve"> à laquelle avaient droit les parents adoptifs, mais non les parents biologiques. Introduire par interprétation large les parents biologiques dans le champ d’application de la disposition contestée aurait considérablement élargi la portée de cette prestation et l’aurait complètement transformée, ce qui aurait amené notre Cour (comme le juge en chef Lamer l’a fait observer) à déborder le cadre de son rôle institutionnel. En revanche, l’annulation complète de la prestation aurait causé du tort à de nombreux parents adoptifs sans pour autant bénéficier aux demandeurs. En suspendant l’effet de la déclaration d’invalidité, la Cour s’est </w:t>
      </w:r>
      <w:proofErr w:type="gramStart"/>
      <w:r w:rsidRPr="00D35361">
        <w:rPr>
          <w:rFonts w:cs="Times New Roman"/>
          <w:lang w:val="fr-CA"/>
        </w:rPr>
        <w:t>assurée</w:t>
      </w:r>
      <w:proofErr w:type="gramEnd"/>
      <w:r w:rsidRPr="00D35361">
        <w:rPr>
          <w:rFonts w:cs="Times New Roman"/>
          <w:lang w:val="fr-CA"/>
        </w:rPr>
        <w:t xml:space="preserve"> </w:t>
      </w:r>
      <w:r>
        <w:rPr>
          <w:rFonts w:cs="Times New Roman"/>
          <w:lang w:val="fr-CA"/>
        </w:rPr>
        <w:t>que</w:t>
      </w:r>
      <w:r w:rsidRPr="00D35361">
        <w:rPr>
          <w:rFonts w:cs="Times New Roman"/>
          <w:lang w:val="fr-CA"/>
        </w:rPr>
        <w:t xml:space="preserve"> la loi </w:t>
      </w:r>
      <w:r>
        <w:rPr>
          <w:rFonts w:cs="Times New Roman"/>
          <w:lang w:val="fr-CA"/>
        </w:rPr>
        <w:t>puisse être rendue constitutionnelle</w:t>
      </w:r>
      <w:r w:rsidRPr="00D35361">
        <w:rPr>
          <w:rFonts w:cs="Times New Roman"/>
          <w:lang w:val="fr-CA"/>
        </w:rPr>
        <w:t xml:space="preserve"> tout en laissant au législateur le soin de décider des moyens à mettre en œuvre pour ce faire.</w:t>
      </w:r>
    </w:p>
    <w:p w14:paraId="54FC47F6"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Pour bien comprendre l’observation formulée dans l’arrêt </w:t>
      </w:r>
      <w:proofErr w:type="spellStart"/>
      <w:r w:rsidRPr="00D35361">
        <w:rPr>
          <w:rFonts w:cs="Times New Roman"/>
          <w:i/>
          <w:lang w:val="fr-CA"/>
        </w:rPr>
        <w:t>Schachter</w:t>
      </w:r>
      <w:proofErr w:type="spellEnd"/>
      <w:r w:rsidRPr="00D35361">
        <w:rPr>
          <w:rFonts w:cs="Times New Roman"/>
          <w:i/>
          <w:lang w:val="fr-CA"/>
        </w:rPr>
        <w:t xml:space="preserve"> </w:t>
      </w:r>
      <w:r w:rsidRPr="00D35361">
        <w:rPr>
          <w:rFonts w:cs="Times New Roman"/>
          <w:lang w:val="fr-CA"/>
        </w:rPr>
        <w:t xml:space="preserve">selon laquelle la décision de suspendre une réparation accordée en vertu du par. 52(1) dépend de « l’effet d’une déclaration d'invalidité sur le public » et non de « considérations ayant trait au rôle des tribunaux et des législateurs » (p. 717), il faut situer ce passage dans ce contexte. Les considérations relatives au rôle institutionnel ne sont pas des assises constitutionnelles qui permettent à elles seules de prononcer une suspension. Ce n’est que dans une situation de portée trop limitative où la réparation convenable à accorder en vertu du par. 52(1) est incertaine que de telles considérations institutionnelles peuvent avoir une incidence sur l’opportunité de prononcer une suspension, comme ce fut effectivement le cas dans </w:t>
      </w:r>
      <w:proofErr w:type="spellStart"/>
      <w:r w:rsidRPr="00D35361">
        <w:rPr>
          <w:rFonts w:cs="Times New Roman"/>
          <w:i/>
          <w:lang w:val="fr-CA"/>
        </w:rPr>
        <w:t>Schachter</w:t>
      </w:r>
      <w:proofErr w:type="spellEnd"/>
      <w:r w:rsidRPr="00D35361">
        <w:rPr>
          <w:rFonts w:cs="Times New Roman"/>
          <w:lang w:val="fr-CA"/>
        </w:rPr>
        <w:t xml:space="preserve"> (p. 721</w:t>
      </w:r>
      <w:r w:rsidRPr="00D35361">
        <w:rPr>
          <w:rFonts w:cs="Times New Roman"/>
          <w:lang w:val="fr-CA"/>
        </w:rPr>
        <w:noBreakHyphen/>
        <w:t>724).</w:t>
      </w:r>
    </w:p>
    <w:p w14:paraId="6D61861A"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Dans cette optique, les catégories établies dans l’arrêt </w:t>
      </w:r>
      <w:proofErr w:type="spellStart"/>
      <w:r w:rsidRPr="00D35361">
        <w:rPr>
          <w:rFonts w:cs="Times New Roman"/>
          <w:i/>
          <w:lang w:val="fr-CA"/>
        </w:rPr>
        <w:t>Schachter</w:t>
      </w:r>
      <w:proofErr w:type="spellEnd"/>
      <w:r w:rsidRPr="00D35361">
        <w:rPr>
          <w:rFonts w:cs="Times New Roman"/>
          <w:i/>
          <w:lang w:val="fr-CA"/>
        </w:rPr>
        <w:t xml:space="preserve"> </w:t>
      </w:r>
      <w:r w:rsidRPr="00D35361">
        <w:rPr>
          <w:rFonts w:cs="Times New Roman"/>
          <w:lang w:val="fr-CA"/>
        </w:rPr>
        <w:t xml:space="preserve">illustrent les circonstances dans lesquelles des principes constitutionnels faisant contrepoids constituent une raison valable de suspendre la déclaration d’invalidité avec effet immédiat qui serait sinon prononcée en vertu du par. 52(1). Bien qu’à mon avis, ces trois catégories ne soient pas exhaustives, le tribunal ne devrait suspendre l’effet d’une déclaration d’invalidité que si </w:t>
      </w:r>
      <w:r>
        <w:rPr>
          <w:rFonts w:cs="Times New Roman"/>
          <w:lang w:val="fr-CA"/>
        </w:rPr>
        <w:t>un motif constitutionnel</w:t>
      </w:r>
      <w:r w:rsidRPr="00D35361">
        <w:rPr>
          <w:rFonts w:cs="Times New Roman"/>
          <w:lang w:val="fr-CA"/>
        </w:rPr>
        <w:t xml:space="preserve"> lui permet de le faire. Il en découle nécessairement que la compétence inhérente du tribunal ne constitue pas un fondement juridique valable ou suffisant pour écarter l’effet immédiat du par. 52(1). </w:t>
      </w:r>
    </w:p>
    <w:p w14:paraId="51627633" w14:textId="77777777" w:rsidR="00F712C6" w:rsidRPr="00D35361" w:rsidRDefault="00F712C6" w:rsidP="00F712C6">
      <w:pPr>
        <w:pStyle w:val="Title1LevelTitre1Niveau-AltL"/>
        <w:rPr>
          <w:rFonts w:cs="Times New Roman"/>
          <w:lang w:val="fr-CA"/>
        </w:rPr>
      </w:pPr>
      <w:r w:rsidRPr="00D35361">
        <w:rPr>
          <w:rFonts w:cs="Times New Roman"/>
          <w:iCs/>
          <w:lang w:val="fr-CA"/>
        </w:rPr>
        <w:t>L’arrêt</w:t>
      </w:r>
      <w:r w:rsidRPr="00D35361">
        <w:rPr>
          <w:rFonts w:cs="Times New Roman"/>
          <w:i/>
          <w:lang w:val="fr-CA"/>
        </w:rPr>
        <w:t xml:space="preserve"> </w:t>
      </w:r>
      <w:proofErr w:type="spellStart"/>
      <w:r w:rsidRPr="00D35361">
        <w:rPr>
          <w:rFonts w:cs="Times New Roman"/>
          <w:i/>
          <w:lang w:val="fr-CA"/>
        </w:rPr>
        <w:t>Schachter</w:t>
      </w:r>
      <w:proofErr w:type="spellEnd"/>
      <w:r w:rsidRPr="00D35361">
        <w:rPr>
          <w:rFonts w:cs="Times New Roman"/>
          <w:lang w:val="fr-CA"/>
        </w:rPr>
        <w:t xml:space="preserve"> est applicable</w:t>
      </w:r>
    </w:p>
    <w:p w14:paraId="495D6BF4"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Même si notre Cour s’est écartée de l’arrêt </w:t>
      </w:r>
      <w:proofErr w:type="spellStart"/>
      <w:r w:rsidRPr="00D35361">
        <w:rPr>
          <w:rFonts w:cs="Times New Roman"/>
          <w:i/>
          <w:lang w:val="fr-CA"/>
        </w:rPr>
        <w:t>Schachter</w:t>
      </w:r>
      <w:proofErr w:type="spellEnd"/>
      <w:r w:rsidRPr="00D35361">
        <w:rPr>
          <w:rFonts w:cs="Times New Roman"/>
          <w:lang w:val="fr-CA"/>
        </w:rPr>
        <w:t xml:space="preserve">, il ne faut pas pour autant en conclure que l’approche suggérée dans l’arrêt </w:t>
      </w:r>
      <w:proofErr w:type="spellStart"/>
      <w:r w:rsidRPr="00D35361">
        <w:rPr>
          <w:rFonts w:cs="Times New Roman"/>
          <w:i/>
          <w:lang w:val="fr-CA"/>
        </w:rPr>
        <w:t>Schachter</w:t>
      </w:r>
      <w:proofErr w:type="spellEnd"/>
      <w:r w:rsidRPr="00D35361">
        <w:rPr>
          <w:rFonts w:cs="Times New Roman"/>
          <w:lang w:val="fr-CA"/>
        </w:rPr>
        <w:t xml:space="preserve"> est entachée de lacunes sur le plan conceptuel. Cela dit, je n’oublie pas les arrêts comme </w:t>
      </w:r>
      <w:r w:rsidRPr="00D35361">
        <w:rPr>
          <w:rFonts w:cs="Times New Roman"/>
          <w:i/>
          <w:lang w:val="fr-CA"/>
        </w:rPr>
        <w:t>Canada (Procureur général) c. Bedford</w:t>
      </w:r>
      <w:r w:rsidRPr="00D35361">
        <w:rPr>
          <w:rFonts w:cs="Times New Roman"/>
          <w:lang w:val="fr-CA"/>
        </w:rPr>
        <w:t xml:space="preserve">, 2013 CSC 72, [2013] 3 R.C.S. 1101, dans lequel notre Cour a invalidé des infractions relatives au travail du sexe. Expliquant qu’« [i]l peut y avoir controverse quant à savoir si l’invalidité avec effet immédiat présenterait un danger pour le public ou compromettrait la primauté du droit », la juge en chef </w:t>
      </w:r>
      <w:proofErr w:type="spellStart"/>
      <w:r w:rsidRPr="00D35361">
        <w:rPr>
          <w:rFonts w:cs="Times New Roman"/>
          <w:lang w:val="fr-CA"/>
        </w:rPr>
        <w:t>McLachlin</w:t>
      </w:r>
      <w:proofErr w:type="spellEnd"/>
      <w:r w:rsidRPr="00D35361">
        <w:rPr>
          <w:rFonts w:cs="Times New Roman"/>
          <w:lang w:val="fr-CA"/>
        </w:rPr>
        <w:t xml:space="preserve"> a néanmoins suspendu l’effet de la déclaration d’invalidité parce que « passer carrément de la situation où la prostitution est réglementée à la situation où elle ne le serait pas du tout susciterait de vives inquiétudes chez de nombreux Canadiens » (par. 167). La suspension était</w:t>
      </w:r>
      <w:r w:rsidRPr="00D35361">
        <w:rPr>
          <w:rFonts w:cs="Times New Roman"/>
          <w:lang w:val="fr-CA"/>
        </w:rPr>
        <w:noBreakHyphen/>
        <w:t xml:space="preserve">elle légalement justifiée dans l’affaire </w:t>
      </w:r>
      <w:r w:rsidRPr="00D35361">
        <w:rPr>
          <w:rFonts w:cs="Times New Roman"/>
          <w:i/>
          <w:lang w:val="fr-CA"/>
        </w:rPr>
        <w:t>Bedford</w:t>
      </w:r>
      <w:r w:rsidRPr="00D35361">
        <w:rPr>
          <w:rFonts w:cs="Times New Roman"/>
          <w:lang w:val="fr-CA"/>
        </w:rPr>
        <w:t xml:space="preserve">? Je ne suis pas certain que les inquiétudes relevées par la juge en chef constituent un fondement juridique valable pour continuer d’assujettir des Canadiens à des dispositions législatives rendues inconstitutionnelles par application du par. 52(1). </w:t>
      </w:r>
    </w:p>
    <w:p w14:paraId="200338EC" w14:textId="08BBE958" w:rsidR="00F712C6" w:rsidRPr="00D35361" w:rsidRDefault="00F712C6" w:rsidP="00F712C6">
      <w:pPr>
        <w:pStyle w:val="ParaNoNdepar-AltN"/>
        <w:tabs>
          <w:tab w:val="clear" w:pos="1166"/>
          <w:tab w:val="num" w:pos="1152"/>
        </w:tabs>
        <w:rPr>
          <w:rFonts w:cs="Times New Roman"/>
          <w:lang w:val="en-US"/>
        </w:rPr>
      </w:pPr>
      <w:r w:rsidRPr="00D35361">
        <w:rPr>
          <w:rFonts w:cs="Times New Roman"/>
          <w:lang w:val="fr-CA"/>
        </w:rPr>
        <w:t xml:space="preserve">Les catégories établies dans l’arrêt </w:t>
      </w:r>
      <w:proofErr w:type="spellStart"/>
      <w:r w:rsidRPr="00D35361">
        <w:rPr>
          <w:rFonts w:cs="Times New Roman"/>
          <w:i/>
          <w:lang w:val="fr-CA"/>
        </w:rPr>
        <w:t>Schachter</w:t>
      </w:r>
      <w:proofErr w:type="spellEnd"/>
      <w:r w:rsidRPr="00D35361">
        <w:rPr>
          <w:rFonts w:cs="Times New Roman"/>
          <w:lang w:val="fr-CA"/>
        </w:rPr>
        <w:t xml:space="preserve"> ne se sont pas non plus avérées difficiles ou impossibles à appliquer en pratique. </w:t>
      </w:r>
      <w:r w:rsidRPr="00D35361">
        <w:rPr>
          <w:rFonts w:cs="Times New Roman"/>
          <w:lang w:val="en-US"/>
        </w:rPr>
        <w:t xml:space="preserve">Les auteurs </w:t>
      </w:r>
      <w:proofErr w:type="spellStart"/>
      <w:r w:rsidRPr="00D35361">
        <w:rPr>
          <w:rFonts w:cs="Times New Roman"/>
          <w:lang w:val="en-US"/>
        </w:rPr>
        <w:t>n’ont</w:t>
      </w:r>
      <w:proofErr w:type="spellEnd"/>
      <w:r w:rsidRPr="00D35361">
        <w:rPr>
          <w:rFonts w:cs="Times New Roman"/>
          <w:lang w:val="en-US"/>
        </w:rPr>
        <w:t xml:space="preserve"> pas </w:t>
      </w:r>
      <w:proofErr w:type="spellStart"/>
      <w:r w:rsidRPr="00D35361">
        <w:rPr>
          <w:rFonts w:cs="Times New Roman"/>
          <w:lang w:val="en-US"/>
        </w:rPr>
        <w:t>eu</w:t>
      </w:r>
      <w:proofErr w:type="spellEnd"/>
      <w:r w:rsidRPr="00D35361">
        <w:rPr>
          <w:rFonts w:cs="Times New Roman"/>
          <w:lang w:val="en-US"/>
        </w:rPr>
        <w:t xml:space="preserve"> de </w:t>
      </w:r>
      <w:proofErr w:type="spellStart"/>
      <w:r w:rsidRPr="00D35361">
        <w:rPr>
          <w:rFonts w:cs="Times New Roman"/>
          <w:lang w:val="en-US"/>
        </w:rPr>
        <w:t>difficulté</w:t>
      </w:r>
      <w:proofErr w:type="spellEnd"/>
      <w:r w:rsidRPr="00D35361">
        <w:rPr>
          <w:rFonts w:cs="Times New Roman"/>
          <w:lang w:val="en-US"/>
        </w:rPr>
        <w:t xml:space="preserve"> à </w:t>
      </w:r>
      <w:proofErr w:type="spellStart"/>
      <w:r w:rsidRPr="00D35361">
        <w:rPr>
          <w:rFonts w:cs="Times New Roman"/>
          <w:lang w:val="en-US"/>
        </w:rPr>
        <w:t>relever</w:t>
      </w:r>
      <w:proofErr w:type="spellEnd"/>
      <w:r w:rsidRPr="00D35361">
        <w:rPr>
          <w:rFonts w:cs="Times New Roman"/>
          <w:lang w:val="en-US"/>
        </w:rPr>
        <w:t xml:space="preserve"> les </w:t>
      </w:r>
      <w:proofErr w:type="spellStart"/>
      <w:r w:rsidRPr="00D35361">
        <w:rPr>
          <w:rFonts w:cs="Times New Roman"/>
          <w:lang w:val="en-US"/>
        </w:rPr>
        <w:t>décisions</w:t>
      </w:r>
      <w:proofErr w:type="spellEnd"/>
      <w:r w:rsidRPr="00D35361">
        <w:rPr>
          <w:rFonts w:cs="Times New Roman"/>
          <w:lang w:val="en-US"/>
        </w:rPr>
        <w:t xml:space="preserve"> </w:t>
      </w:r>
      <w:proofErr w:type="spellStart"/>
      <w:r w:rsidRPr="00D35361">
        <w:rPr>
          <w:rFonts w:cs="Times New Roman"/>
          <w:lang w:val="en-US"/>
        </w:rPr>
        <w:t>dans</w:t>
      </w:r>
      <w:proofErr w:type="spellEnd"/>
      <w:r w:rsidRPr="00D35361">
        <w:rPr>
          <w:rFonts w:cs="Times New Roman"/>
          <w:lang w:val="en-US"/>
        </w:rPr>
        <w:t xml:space="preserve"> </w:t>
      </w:r>
      <w:proofErr w:type="spellStart"/>
      <w:r w:rsidRPr="00D35361">
        <w:rPr>
          <w:rFonts w:cs="Times New Roman"/>
          <w:lang w:val="en-US"/>
        </w:rPr>
        <w:t>lesquelles</w:t>
      </w:r>
      <w:proofErr w:type="spellEnd"/>
      <w:r w:rsidRPr="00D35361">
        <w:rPr>
          <w:rFonts w:cs="Times New Roman"/>
          <w:lang w:val="en-US"/>
        </w:rPr>
        <w:t xml:space="preserve"> </w:t>
      </w:r>
      <w:proofErr w:type="spellStart"/>
      <w:r w:rsidRPr="00D35361">
        <w:rPr>
          <w:rFonts w:cs="Times New Roman"/>
          <w:lang w:val="en-US"/>
        </w:rPr>
        <w:t>notre</w:t>
      </w:r>
      <w:proofErr w:type="spellEnd"/>
      <w:r w:rsidRPr="00D35361">
        <w:rPr>
          <w:rFonts w:cs="Times New Roman"/>
          <w:lang w:val="en-US"/>
        </w:rPr>
        <w:t xml:space="preserve"> </w:t>
      </w:r>
      <w:proofErr w:type="spellStart"/>
      <w:r w:rsidRPr="00D35361">
        <w:rPr>
          <w:rFonts w:cs="Times New Roman"/>
          <w:lang w:val="en-US"/>
        </w:rPr>
        <w:t>Cour</w:t>
      </w:r>
      <w:proofErr w:type="spellEnd"/>
      <w:r w:rsidRPr="00D35361">
        <w:rPr>
          <w:rFonts w:cs="Times New Roman"/>
          <w:lang w:val="en-US"/>
        </w:rPr>
        <w:t xml:space="preserve"> </w:t>
      </w:r>
      <w:proofErr w:type="spellStart"/>
      <w:r w:rsidRPr="00D35361">
        <w:rPr>
          <w:rFonts w:cs="Times New Roman"/>
          <w:lang w:val="en-US"/>
        </w:rPr>
        <w:t>s’est</w:t>
      </w:r>
      <w:proofErr w:type="spellEnd"/>
      <w:r w:rsidRPr="00D35361">
        <w:rPr>
          <w:rFonts w:cs="Times New Roman"/>
          <w:lang w:val="en-US"/>
        </w:rPr>
        <w:t xml:space="preserve"> </w:t>
      </w:r>
      <w:proofErr w:type="spellStart"/>
      <w:r w:rsidRPr="00D35361">
        <w:rPr>
          <w:rFonts w:cs="Times New Roman"/>
          <w:lang w:val="en-US"/>
        </w:rPr>
        <w:t>écartée</w:t>
      </w:r>
      <w:proofErr w:type="spellEnd"/>
      <w:r w:rsidRPr="00D35361">
        <w:rPr>
          <w:rFonts w:cs="Times New Roman"/>
          <w:lang w:val="en-US"/>
        </w:rPr>
        <w:t xml:space="preserve"> de </w:t>
      </w:r>
      <w:proofErr w:type="spellStart"/>
      <w:r w:rsidRPr="00D35361">
        <w:rPr>
          <w:rFonts w:cs="Times New Roman"/>
          <w:lang w:val="en-US"/>
        </w:rPr>
        <w:t>l’arrêt</w:t>
      </w:r>
      <w:proofErr w:type="spellEnd"/>
      <w:r w:rsidRPr="00D35361">
        <w:rPr>
          <w:rFonts w:cs="Times New Roman"/>
          <w:lang w:val="en-US"/>
        </w:rPr>
        <w:t xml:space="preserve"> </w:t>
      </w:r>
      <w:proofErr w:type="spellStart"/>
      <w:r w:rsidR="0025412A">
        <w:rPr>
          <w:rFonts w:cs="Times New Roman"/>
          <w:i/>
          <w:lang w:val="en-US"/>
        </w:rPr>
        <w:t>Schachter</w:t>
      </w:r>
      <w:proofErr w:type="spellEnd"/>
      <w:r w:rsidR="0025412A">
        <w:rPr>
          <w:rFonts w:cs="Times New Roman"/>
          <w:i/>
          <w:lang w:val="en-US"/>
        </w:rPr>
        <w:t> </w:t>
      </w:r>
      <w:r w:rsidR="0025412A">
        <w:rPr>
          <w:rFonts w:cs="Times New Roman"/>
          <w:lang w:val="en-US"/>
        </w:rPr>
        <w:t>(</w:t>
      </w:r>
      <w:r w:rsidRPr="00D35361">
        <w:rPr>
          <w:rFonts w:cs="Times New Roman"/>
          <w:lang w:val="en-US"/>
        </w:rPr>
        <w:t>B. Ryder, « Suspending the Charter</w:t>
      </w:r>
      <w:r w:rsidRPr="00D35361">
        <w:rPr>
          <w:rFonts w:cs="Times New Roman"/>
          <w:i/>
          <w:lang w:val="en-US"/>
        </w:rPr>
        <w:t> </w:t>
      </w:r>
      <w:r w:rsidRPr="00D35361">
        <w:rPr>
          <w:rFonts w:cs="Times New Roman"/>
          <w:lang w:val="en-US"/>
        </w:rPr>
        <w:t xml:space="preserve">» (2003), 21 </w:t>
      </w:r>
      <w:r w:rsidRPr="00D35361">
        <w:rPr>
          <w:rFonts w:cs="Times New Roman"/>
          <w:i/>
          <w:lang w:val="en-US"/>
        </w:rPr>
        <w:t>S.C.L.R.</w:t>
      </w:r>
      <w:r w:rsidRPr="00D35361">
        <w:rPr>
          <w:rFonts w:cs="Times New Roman"/>
          <w:lang w:val="en-US"/>
        </w:rPr>
        <w:t xml:space="preserve"> (2d) 267; C. </w:t>
      </w:r>
      <w:proofErr w:type="spellStart"/>
      <w:r w:rsidRPr="00D35361">
        <w:rPr>
          <w:rFonts w:cs="Times New Roman"/>
          <w:lang w:val="en-US"/>
        </w:rPr>
        <w:t>Mouland</w:t>
      </w:r>
      <w:proofErr w:type="spellEnd"/>
      <w:r w:rsidRPr="00D35361">
        <w:rPr>
          <w:rFonts w:cs="Times New Roman"/>
          <w:lang w:val="en-US"/>
        </w:rPr>
        <w:t>, « Remedying the Remedy</w:t>
      </w:r>
      <w:r w:rsidR="00AB03F2">
        <w:rPr>
          <w:rFonts w:cs="Times New Roman"/>
          <w:lang w:val="en-US"/>
        </w:rPr>
        <w:t> </w:t>
      </w:r>
      <w:r w:rsidRPr="00D35361">
        <w:rPr>
          <w:rFonts w:cs="Times New Roman"/>
          <w:lang w:val="en-US"/>
        </w:rPr>
        <w:t xml:space="preserve">: </w:t>
      </w:r>
      <w:r w:rsidRPr="00D35361">
        <w:rPr>
          <w:rFonts w:cs="Times New Roman"/>
          <w:i/>
          <w:lang w:val="en-US"/>
        </w:rPr>
        <w:t>Bedford</w:t>
      </w:r>
      <w:r w:rsidRPr="00D35361">
        <w:rPr>
          <w:rFonts w:cs="Times New Roman"/>
          <w:lang w:val="en-US"/>
        </w:rPr>
        <w:t xml:space="preserve">’s Suspended Declaration of Invalidity » (2018), 41 </w:t>
      </w:r>
      <w:r w:rsidRPr="00D35361">
        <w:rPr>
          <w:rFonts w:cs="Times New Roman"/>
          <w:i/>
          <w:iCs/>
          <w:lang w:val="en-US"/>
        </w:rPr>
        <w:t>Man. L.J.</w:t>
      </w:r>
      <w:r w:rsidRPr="00D35361">
        <w:rPr>
          <w:rFonts w:cs="Times New Roman"/>
          <w:lang w:val="en-US"/>
        </w:rPr>
        <w:t xml:space="preserve"> 281, p. </w:t>
      </w:r>
      <w:r>
        <w:rPr>
          <w:rFonts w:cs="Times New Roman"/>
          <w:lang w:val="en-US"/>
        </w:rPr>
        <w:t>289-</w:t>
      </w:r>
      <w:r w:rsidRPr="00D35361">
        <w:rPr>
          <w:rFonts w:cs="Times New Roman"/>
          <w:lang w:val="en-US"/>
        </w:rPr>
        <w:t>290; L</w:t>
      </w:r>
      <w:r>
        <w:rPr>
          <w:rFonts w:cs="Times New Roman"/>
          <w:lang w:val="en-US"/>
        </w:rPr>
        <w:t>. </w:t>
      </w:r>
      <w:proofErr w:type="spellStart"/>
      <w:r w:rsidRPr="00D35361">
        <w:rPr>
          <w:rFonts w:cs="Times New Roman"/>
          <w:lang w:val="en-US"/>
        </w:rPr>
        <w:t>Weinrib</w:t>
      </w:r>
      <w:proofErr w:type="spellEnd"/>
      <w:r w:rsidRPr="00D35361">
        <w:rPr>
          <w:rFonts w:cs="Times New Roman"/>
          <w:lang w:val="en-US"/>
        </w:rPr>
        <w:t xml:space="preserve">, </w:t>
      </w:r>
      <w:r w:rsidRPr="00D35361">
        <w:rPr>
          <w:rFonts w:cs="Times New Roman"/>
          <w:i/>
          <w:lang w:val="en-US"/>
        </w:rPr>
        <w:t>Suspended invalidity orders out of sync with Constitution</w:t>
      </w:r>
      <w:r w:rsidRPr="00D35361">
        <w:rPr>
          <w:rFonts w:cs="Times New Roman"/>
          <w:lang w:val="en-US"/>
        </w:rPr>
        <w:t>, 21</w:t>
      </w:r>
      <w:r>
        <w:rPr>
          <w:rFonts w:cs="Times New Roman"/>
          <w:lang w:val="en-US"/>
        </w:rPr>
        <w:t> </w:t>
      </w:r>
      <w:proofErr w:type="spellStart"/>
      <w:r>
        <w:rPr>
          <w:rFonts w:cs="Times New Roman"/>
          <w:lang w:val="en-US"/>
        </w:rPr>
        <w:t>août</w:t>
      </w:r>
      <w:proofErr w:type="spellEnd"/>
      <w:r>
        <w:rPr>
          <w:rFonts w:cs="Times New Roman"/>
          <w:lang w:val="en-US"/>
        </w:rPr>
        <w:t xml:space="preserve"> </w:t>
      </w:r>
      <w:r w:rsidRPr="00D35361">
        <w:rPr>
          <w:rFonts w:cs="Times New Roman"/>
          <w:lang w:val="en-US"/>
        </w:rPr>
        <w:t xml:space="preserve">2006 (en </w:t>
      </w:r>
      <w:proofErr w:type="spellStart"/>
      <w:r w:rsidRPr="00D35361">
        <w:rPr>
          <w:rFonts w:cs="Times New Roman"/>
          <w:lang w:val="en-US"/>
        </w:rPr>
        <w:t>ligne</w:t>
      </w:r>
      <w:proofErr w:type="spellEnd"/>
      <w:r w:rsidRPr="00D35361">
        <w:rPr>
          <w:rFonts w:cs="Times New Roman"/>
          <w:lang w:val="en-US"/>
        </w:rPr>
        <w:t>); R. </w:t>
      </w:r>
      <w:proofErr w:type="spellStart"/>
      <w:r w:rsidRPr="00D35361">
        <w:rPr>
          <w:rFonts w:cs="Times New Roman"/>
          <w:lang w:val="en-US"/>
        </w:rPr>
        <w:t>Leckey</w:t>
      </w:r>
      <w:proofErr w:type="spellEnd"/>
      <w:r w:rsidRPr="00D35361">
        <w:rPr>
          <w:rFonts w:cs="Times New Roman"/>
          <w:lang w:val="en-US"/>
        </w:rPr>
        <w:t>, « The harms of remedial discretion » (2016)</w:t>
      </w:r>
      <w:r>
        <w:rPr>
          <w:rFonts w:cs="Times New Roman"/>
          <w:lang w:val="en-US"/>
        </w:rPr>
        <w:t>,</w:t>
      </w:r>
      <w:r w:rsidRPr="00D35361">
        <w:rPr>
          <w:rFonts w:cs="Times New Roman"/>
          <w:lang w:val="en-US"/>
        </w:rPr>
        <w:t xml:space="preserve"> 14 </w:t>
      </w:r>
      <w:r w:rsidRPr="00D35361">
        <w:rPr>
          <w:rFonts w:cs="Times New Roman"/>
          <w:i/>
          <w:lang w:val="en-US"/>
        </w:rPr>
        <w:t>I CON</w:t>
      </w:r>
      <w:r w:rsidRPr="00D35361">
        <w:rPr>
          <w:rFonts w:cs="Times New Roman"/>
          <w:lang w:val="en-US"/>
        </w:rPr>
        <w:t xml:space="preserve"> 584; S. </w:t>
      </w:r>
      <w:proofErr w:type="spellStart"/>
      <w:r w:rsidRPr="00D35361">
        <w:rPr>
          <w:rFonts w:cs="Times New Roman"/>
          <w:lang w:val="en-US"/>
        </w:rPr>
        <w:t>Burningham</w:t>
      </w:r>
      <w:proofErr w:type="spellEnd"/>
      <w:r w:rsidRPr="00D35361">
        <w:rPr>
          <w:rFonts w:cs="Times New Roman"/>
          <w:lang w:val="en-US"/>
        </w:rPr>
        <w:t xml:space="preserve">, « A Comment on the Court’s Decision to Suspend the Declaration of Invalidity in </w:t>
      </w:r>
      <w:r w:rsidRPr="00D35361">
        <w:rPr>
          <w:rFonts w:cs="Times New Roman"/>
          <w:i/>
          <w:lang w:val="en-US"/>
        </w:rPr>
        <w:t>Carter v. Canada</w:t>
      </w:r>
      <w:r w:rsidRPr="00D35361">
        <w:rPr>
          <w:rFonts w:cs="Times New Roman"/>
          <w:lang w:val="en-US"/>
        </w:rPr>
        <w:t xml:space="preserve"> » (2015), 78 </w:t>
      </w:r>
      <w:r w:rsidRPr="00D35361">
        <w:rPr>
          <w:rFonts w:cs="Times New Roman"/>
          <w:i/>
          <w:iCs/>
          <w:lang w:val="en-US"/>
        </w:rPr>
        <w:t>Sask. L. Rev.</w:t>
      </w:r>
      <w:r w:rsidRPr="00D35361">
        <w:rPr>
          <w:rFonts w:cs="Times New Roman"/>
          <w:lang w:val="en-US"/>
        </w:rPr>
        <w:t xml:space="preserve"> 201; G</w:t>
      </w:r>
      <w:r>
        <w:rPr>
          <w:rFonts w:cs="Times New Roman"/>
          <w:lang w:val="en-US"/>
        </w:rPr>
        <w:t>. R. </w:t>
      </w:r>
      <w:proofErr w:type="spellStart"/>
      <w:r w:rsidRPr="00D35361">
        <w:rPr>
          <w:rFonts w:cs="Times New Roman"/>
          <w:lang w:val="en-US"/>
        </w:rPr>
        <w:t>Hoole</w:t>
      </w:r>
      <w:proofErr w:type="spellEnd"/>
      <w:r w:rsidRPr="00D35361">
        <w:rPr>
          <w:rFonts w:cs="Times New Roman"/>
          <w:lang w:val="en-US"/>
        </w:rPr>
        <w:t>, « Proportionality as a Remedial Principle</w:t>
      </w:r>
      <w:r w:rsidR="0025412A">
        <w:rPr>
          <w:rFonts w:cs="Times New Roman"/>
          <w:lang w:val="en-US"/>
        </w:rPr>
        <w:t> </w:t>
      </w:r>
      <w:r w:rsidRPr="00D35361">
        <w:rPr>
          <w:rFonts w:cs="Times New Roman"/>
          <w:lang w:val="en-US"/>
        </w:rPr>
        <w:t xml:space="preserve">: A Framework for Suspended Declarations of Invalidity in Canadian Constitutional Law » (2011), 49 </w:t>
      </w:r>
      <w:r w:rsidRPr="00D35361">
        <w:rPr>
          <w:rFonts w:cs="Times New Roman"/>
          <w:i/>
          <w:iCs/>
          <w:lang w:val="en-US"/>
        </w:rPr>
        <w:t xml:space="preserve">Alta. L. Rev. </w:t>
      </w:r>
      <w:r w:rsidRPr="00D35361">
        <w:rPr>
          <w:rFonts w:cs="Times New Roman"/>
          <w:lang w:val="en-US"/>
        </w:rPr>
        <w:t>107</w:t>
      </w:r>
      <w:r w:rsidR="0025412A">
        <w:rPr>
          <w:rFonts w:cs="Times New Roman"/>
          <w:lang w:val="en-US"/>
        </w:rPr>
        <w:t>)</w:t>
      </w:r>
      <w:r w:rsidRPr="00D35361">
        <w:rPr>
          <w:rFonts w:cs="Times New Roman"/>
          <w:lang w:val="en-US"/>
        </w:rPr>
        <w:t>.</w:t>
      </w:r>
    </w:p>
    <w:p w14:paraId="36AB81F0"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Au cours des six années qui ont suivi le prononcé de l’arrêt </w:t>
      </w:r>
      <w:proofErr w:type="spellStart"/>
      <w:r w:rsidRPr="00D35361">
        <w:rPr>
          <w:rFonts w:cs="Times New Roman"/>
          <w:i/>
          <w:lang w:val="fr-CA"/>
        </w:rPr>
        <w:t>Schachter</w:t>
      </w:r>
      <w:proofErr w:type="spellEnd"/>
      <w:r w:rsidRPr="00D35361">
        <w:rPr>
          <w:rFonts w:cs="Times New Roman"/>
          <w:lang w:val="fr-CA"/>
        </w:rPr>
        <w:t xml:space="preserve">, les catégories établies dans ce dernier ont été appliquées sans problème. Selon les calculs de </w:t>
      </w:r>
      <w:proofErr w:type="spellStart"/>
      <w:r w:rsidRPr="00D35361">
        <w:rPr>
          <w:rFonts w:cs="Times New Roman"/>
          <w:lang w:val="fr-CA"/>
        </w:rPr>
        <w:t>Ryder</w:t>
      </w:r>
      <w:proofErr w:type="spellEnd"/>
      <w:r w:rsidRPr="00D35361">
        <w:rPr>
          <w:rFonts w:cs="Times New Roman"/>
          <w:lang w:val="fr-CA"/>
        </w:rPr>
        <w:t>, seulement deux des seize réparations accordées en vertu du par. 52(1) ont été suspendues (</w:t>
      </w:r>
      <w:proofErr w:type="spellStart"/>
      <w:r w:rsidRPr="00D35361">
        <w:rPr>
          <w:rFonts w:cs="Times New Roman"/>
          <w:lang w:val="fr-CA"/>
        </w:rPr>
        <w:t>Ryder</w:t>
      </w:r>
      <w:proofErr w:type="spellEnd"/>
      <w:r w:rsidRPr="00D35361">
        <w:rPr>
          <w:rFonts w:cs="Times New Roman"/>
          <w:lang w:val="fr-CA"/>
        </w:rPr>
        <w:t>, p. 294</w:t>
      </w:r>
      <w:r w:rsidRPr="00D35361">
        <w:rPr>
          <w:rFonts w:cs="Times New Roman"/>
          <w:lang w:val="fr-CA"/>
        </w:rPr>
        <w:noBreakHyphen/>
        <w:t>297). L’arrêt</w:t>
      </w:r>
      <w:r w:rsidRPr="00D35361">
        <w:rPr>
          <w:rFonts w:cs="Times New Roman"/>
          <w:b/>
          <w:lang w:val="fr-CA"/>
        </w:rPr>
        <w:t xml:space="preserve"> </w:t>
      </w:r>
      <w:proofErr w:type="spellStart"/>
      <w:r w:rsidRPr="00D35361">
        <w:rPr>
          <w:rFonts w:cs="Times New Roman"/>
          <w:i/>
          <w:lang w:val="fr-CA"/>
        </w:rPr>
        <w:t>Schachter</w:t>
      </w:r>
      <w:proofErr w:type="spellEnd"/>
      <w:r w:rsidRPr="00D35361">
        <w:rPr>
          <w:rFonts w:cs="Times New Roman"/>
          <w:i/>
          <w:lang w:val="fr-CA"/>
        </w:rPr>
        <w:t xml:space="preserve"> </w:t>
      </w:r>
      <w:r w:rsidRPr="00D35361">
        <w:rPr>
          <w:rFonts w:cs="Times New Roman"/>
          <w:lang w:val="fr-CA"/>
        </w:rPr>
        <w:t>ne s’est pas avéré inapplicable en pratique; le problème vient du fait qu’on a trop souvent refusé de l’appliquer. Il a été mis à l’épreuve, il a donné de bons résultats et il peut continuer à en donner.</w:t>
      </w:r>
    </w:p>
    <w:p w14:paraId="6CA4A39C" w14:textId="77777777" w:rsidR="00F712C6" w:rsidRPr="00D35361" w:rsidRDefault="00F712C6" w:rsidP="00F712C6">
      <w:pPr>
        <w:pStyle w:val="Title1LevelTitre1Niveau-AltL"/>
        <w:rPr>
          <w:rFonts w:cs="Times New Roman"/>
          <w:lang w:val="fr-CA"/>
        </w:rPr>
      </w:pPr>
      <w:r w:rsidRPr="00D35361">
        <w:rPr>
          <w:rFonts w:cs="Times New Roman"/>
          <w:lang w:val="fr-CA"/>
        </w:rPr>
        <w:t>Les autres approches proposées ne sont pas préférables</w:t>
      </w:r>
    </w:p>
    <w:p w14:paraId="03258632"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La juge </w:t>
      </w:r>
      <w:proofErr w:type="spellStart"/>
      <w:r w:rsidRPr="00D35361">
        <w:rPr>
          <w:rFonts w:cs="Times New Roman"/>
          <w:lang w:val="fr-CA"/>
        </w:rPr>
        <w:t>Karakatsanis</w:t>
      </w:r>
      <w:proofErr w:type="spellEnd"/>
      <w:r w:rsidRPr="00D35361">
        <w:rPr>
          <w:rFonts w:cs="Times New Roman"/>
          <w:lang w:val="fr-CA"/>
        </w:rPr>
        <w:t xml:space="preserve"> suggère de remplacer les catégories de l’arrêt </w:t>
      </w:r>
      <w:proofErr w:type="spellStart"/>
      <w:r w:rsidRPr="00D35361">
        <w:rPr>
          <w:rFonts w:cs="Times New Roman"/>
          <w:i/>
          <w:lang w:val="fr-CA"/>
        </w:rPr>
        <w:t>Schachter</w:t>
      </w:r>
      <w:proofErr w:type="spellEnd"/>
      <w:r w:rsidRPr="00D35361">
        <w:rPr>
          <w:rFonts w:cs="Times New Roman"/>
          <w:i/>
          <w:lang w:val="fr-CA"/>
        </w:rPr>
        <w:t xml:space="preserve"> </w:t>
      </w:r>
      <w:r w:rsidRPr="00D35361">
        <w:rPr>
          <w:rFonts w:cs="Times New Roman"/>
          <w:lang w:val="fr-CA"/>
        </w:rPr>
        <w:t>par ce qu’elle appelle un « </w:t>
      </w:r>
      <w:r w:rsidRPr="00D35361">
        <w:rPr>
          <w:rFonts w:cs="Times New Roman"/>
          <w:noProof/>
          <w:lang w:val="fr-CA"/>
        </w:rPr>
        <w:t xml:space="preserve">pouvoir discrétionnaire fondé sur des principes », lequel se distingue de ce qu’elle appelle un </w:t>
      </w:r>
      <w:r w:rsidRPr="00D35361">
        <w:rPr>
          <w:rFonts w:cs="Times New Roman"/>
          <w:lang w:val="fr-CA"/>
        </w:rPr>
        <w:t>« pouvoir discrétionnaire</w:t>
      </w:r>
      <w:r>
        <w:rPr>
          <w:rFonts w:cs="Times New Roman"/>
          <w:lang w:val="fr-CA"/>
        </w:rPr>
        <w:t xml:space="preserve"> </w:t>
      </w:r>
      <w:r w:rsidRPr="00D35361">
        <w:rPr>
          <w:rFonts w:cs="Times New Roman"/>
          <w:lang w:val="fr-CA"/>
        </w:rPr>
        <w:t>absolu » en raison des quatre principes suivants :</w:t>
      </w:r>
    </w:p>
    <w:p w14:paraId="5199DCA4" w14:textId="77777777" w:rsidR="00F712C6" w:rsidRPr="00D35361" w:rsidRDefault="00F712C6" w:rsidP="00C326E1">
      <w:pPr>
        <w:pStyle w:val="Citation-AltC"/>
        <w:numPr>
          <w:ilvl w:val="2"/>
          <w:numId w:val="21"/>
        </w:numPr>
        <w:spacing w:after="480" w:line="480" w:lineRule="auto"/>
        <w:ind w:left="540" w:hanging="540"/>
        <w:contextualSpacing w:val="0"/>
        <w:rPr>
          <w:noProof/>
          <w:lang w:val="fr-CA"/>
        </w:rPr>
      </w:pPr>
      <w:r w:rsidRPr="00D35361">
        <w:rPr>
          <w:noProof/>
          <w:lang w:val="fr-CA"/>
        </w:rPr>
        <w:t xml:space="preserve">Les droits garantis par la </w:t>
      </w:r>
      <w:r w:rsidRPr="00D35361">
        <w:rPr>
          <w:i/>
          <w:noProof/>
          <w:lang w:val="fr-CA"/>
        </w:rPr>
        <w:t xml:space="preserve">Charte </w:t>
      </w:r>
      <w:r w:rsidRPr="00D35361">
        <w:rPr>
          <w:noProof/>
          <w:lang w:val="fr-CA"/>
        </w:rPr>
        <w:t>doivent être protégés par l’octroi de réparations efficaces.</w:t>
      </w:r>
    </w:p>
    <w:p w14:paraId="16B26D6E" w14:textId="77777777" w:rsidR="00F712C6" w:rsidRPr="00D35361" w:rsidRDefault="00F712C6" w:rsidP="00C326E1">
      <w:pPr>
        <w:pStyle w:val="Citation-AltC"/>
        <w:numPr>
          <w:ilvl w:val="2"/>
          <w:numId w:val="21"/>
        </w:numPr>
        <w:spacing w:after="480" w:line="480" w:lineRule="auto"/>
        <w:ind w:left="540" w:hanging="540"/>
        <w:contextualSpacing w:val="0"/>
        <w:rPr>
          <w:noProof/>
          <w:lang w:val="fr-CA"/>
        </w:rPr>
      </w:pPr>
      <w:r w:rsidRPr="00D35361">
        <w:rPr>
          <w:noProof/>
          <w:lang w:val="fr-CA" w:eastAsia="en-US"/>
        </w:rPr>
        <w:t xml:space="preserve">Il est </w:t>
      </w:r>
      <w:r w:rsidRPr="00D35361">
        <w:rPr>
          <w:noProof/>
          <w:lang w:val="fr-CA"/>
        </w:rPr>
        <w:t>dans</w:t>
      </w:r>
      <w:r w:rsidRPr="00D35361">
        <w:rPr>
          <w:noProof/>
          <w:lang w:val="fr-CA" w:eastAsia="en-US"/>
        </w:rPr>
        <w:t xml:space="preserve"> l’intérêt du public que les lois soient conformes à la Constitution.</w:t>
      </w:r>
    </w:p>
    <w:p w14:paraId="561CC404" w14:textId="77777777" w:rsidR="00F712C6" w:rsidRPr="00D35361" w:rsidRDefault="00F712C6" w:rsidP="00C326E1">
      <w:pPr>
        <w:pStyle w:val="Citation-AltC"/>
        <w:numPr>
          <w:ilvl w:val="2"/>
          <w:numId w:val="21"/>
        </w:numPr>
        <w:spacing w:after="480" w:line="480" w:lineRule="auto"/>
        <w:ind w:left="540" w:hanging="540"/>
        <w:contextualSpacing w:val="0"/>
        <w:rPr>
          <w:noProof/>
          <w:lang w:val="fr-CA"/>
        </w:rPr>
      </w:pPr>
      <w:r w:rsidRPr="00D35361">
        <w:rPr>
          <w:noProof/>
          <w:lang w:val="fr-CA"/>
        </w:rPr>
        <w:t>Le public a droit au bénéfice de la loi.</w:t>
      </w:r>
    </w:p>
    <w:p w14:paraId="2898A9FE" w14:textId="1F988B3E" w:rsidR="00F712C6" w:rsidRPr="00D35361" w:rsidRDefault="00F712C6" w:rsidP="00C326E1">
      <w:pPr>
        <w:pStyle w:val="Citation-AltC"/>
        <w:numPr>
          <w:ilvl w:val="2"/>
          <w:numId w:val="21"/>
        </w:numPr>
        <w:spacing w:after="480" w:line="480" w:lineRule="auto"/>
        <w:ind w:left="540" w:hanging="540"/>
        <w:contextualSpacing w:val="0"/>
        <w:rPr>
          <w:noProof/>
          <w:lang w:val="fr-CA"/>
        </w:rPr>
      </w:pPr>
      <w:r w:rsidRPr="00D35361">
        <w:rPr>
          <w:noProof/>
          <w:lang w:val="fr-CA"/>
        </w:rPr>
        <w:t>Les tribunaux et les législateurs jouent des rôl</w:t>
      </w:r>
      <w:r w:rsidR="0025412A">
        <w:rPr>
          <w:noProof/>
          <w:lang w:val="fr-CA"/>
        </w:rPr>
        <w:t>es institutionnels différents (par. 94).</w:t>
      </w:r>
    </w:p>
    <w:p w14:paraId="03BE3544"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Je n’ai rien à redire sur ces quatre affirmations. Mais elles sont mal structurées sur le plan analytique. Elles sont en fait tellement vagues et évidentes qu’elles ne nous offrent aucune ligne directrice utile. Bien qu’elles soient conciliables avec la jurisprudence inconstante de notre Cour, elles sont tout aussi compatibles avec les options les plus différentes qui soient. Elles ne servent pas tant à limiter l’exercice, par les tribunaux, de leur pouvoir discrétionnaire qu’à proposer un vocabulaire pour justifier des décisions ponctuelles.</w:t>
      </w:r>
    </w:p>
    <w:p w14:paraId="330E29D3"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Ma collègue affirme qu’une méthode « fondée sur des principes » est préférable car elle exige une justification. Cette thèse n’est pas convaincante. Toute décision doit être justifiée. Que le cadre d’analyse soit formulé au moyen de principes ou de catégories, ce qui est en jeu, c’est de savoir s’il restreint le pouvoir discrétionnaire — comme le fait le cadre énoncé dans </w:t>
      </w:r>
      <w:proofErr w:type="spellStart"/>
      <w:r w:rsidRPr="00D35361">
        <w:rPr>
          <w:rFonts w:cs="Times New Roman"/>
          <w:i/>
          <w:lang w:val="fr-CA"/>
        </w:rPr>
        <w:t>Schachter</w:t>
      </w:r>
      <w:proofErr w:type="spellEnd"/>
      <w:r w:rsidRPr="00D35361">
        <w:rPr>
          <w:rFonts w:cs="Times New Roman"/>
          <w:lang w:val="fr-CA"/>
        </w:rPr>
        <w:t xml:space="preserve"> — ou s’il ouvre en réalité la porte à l’arbitraire des tribunaux. Je crains que l’approche axée sur l’exercice d’un pouvoir discrétionnaire qui est préconisée par la juge </w:t>
      </w:r>
      <w:proofErr w:type="spellStart"/>
      <w:r w:rsidRPr="00D35361">
        <w:rPr>
          <w:rFonts w:cs="Times New Roman"/>
          <w:lang w:val="fr-CA"/>
        </w:rPr>
        <w:t>Karakatsanis</w:t>
      </w:r>
      <w:proofErr w:type="spellEnd"/>
      <w:r w:rsidRPr="00D35361">
        <w:rPr>
          <w:rFonts w:cs="Times New Roman"/>
          <w:lang w:val="fr-CA"/>
        </w:rPr>
        <w:t xml:space="preserve"> ne contribue qu’à maintenir la tendance actuelle, selon laquelle on suspend l’effet de déclarations d’invalidité de façon totalement arbitraire.</w:t>
      </w:r>
    </w:p>
    <w:p w14:paraId="41675F5D"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Plus fondamentalement, je ne vois aucune raison légitime d’intégrer, par voie d’interprétation, un pouvoir discrétionnaire de réparation au </w:t>
      </w:r>
      <w:proofErr w:type="spellStart"/>
      <w:r w:rsidRPr="00D35361">
        <w:rPr>
          <w:rFonts w:cs="Times New Roman"/>
          <w:lang w:val="fr-CA"/>
        </w:rPr>
        <w:t>par</w:t>
      </w:r>
      <w:proofErr w:type="spellEnd"/>
      <w:r w:rsidRPr="00D35361">
        <w:rPr>
          <w:rFonts w:cs="Times New Roman"/>
          <w:lang w:val="fr-CA"/>
        </w:rPr>
        <w:t xml:space="preserve">. 52(1). La disposition n’admet pas l’exercice d’un tel pouvoir discrétionnaire. Au contraire, ce n’est qu’en raison de l’existence de principes constitutionnels </w:t>
      </w:r>
      <w:r>
        <w:rPr>
          <w:rFonts w:cs="Times New Roman"/>
          <w:lang w:val="fr-CA"/>
        </w:rPr>
        <w:t>opposés</w:t>
      </w:r>
      <w:r w:rsidRPr="00D35361">
        <w:rPr>
          <w:rFonts w:cs="Times New Roman"/>
          <w:lang w:val="fr-CA"/>
        </w:rPr>
        <w:t xml:space="preserve"> ou de l’ambiguïté du par. 52(1) lui</w:t>
      </w:r>
      <w:r w:rsidRPr="00D35361">
        <w:rPr>
          <w:rFonts w:cs="Times New Roman"/>
          <w:lang w:val="fr-CA"/>
        </w:rPr>
        <w:noBreakHyphen/>
        <w:t>même que l’on peut justifier la suspension de l’effet d’une déclaration d’invalidité. Les lois incompatibles avec la Constitution sont inopérantes. Rien ne peut les faire revivre. La seule condition à laquelle on peut en ordonner l’application nonobstant leur illégalité est que les déclarer telles sur</w:t>
      </w:r>
      <w:r w:rsidRPr="00D35361">
        <w:rPr>
          <w:rFonts w:cs="Times New Roman"/>
          <w:lang w:val="fr-CA"/>
        </w:rPr>
        <w:noBreakHyphen/>
        <w:t>le</w:t>
      </w:r>
      <w:r w:rsidRPr="00D35361">
        <w:rPr>
          <w:rFonts w:cs="Times New Roman"/>
          <w:lang w:val="fr-CA"/>
        </w:rPr>
        <w:noBreakHyphen/>
        <w:t xml:space="preserve">champ irait à l’encontre d’un autre principe constitutionnel. Les tribunaux n’ont pas compétence inhérente pour rendre légal ce qui ne l’est pas. À cet égard, je diffère fondamentalement d’opinion avec ma collègue. </w:t>
      </w:r>
    </w:p>
    <w:p w14:paraId="35C25937"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Ma collègue écrit</w:t>
      </w:r>
      <w:r>
        <w:rPr>
          <w:rFonts w:cs="Times New Roman"/>
          <w:lang w:val="fr-CA"/>
        </w:rPr>
        <w:t>,</w:t>
      </w:r>
      <w:r w:rsidRPr="00D35361">
        <w:rPr>
          <w:rFonts w:cs="Times New Roman"/>
          <w:lang w:val="fr-CA"/>
        </w:rPr>
        <w:t xml:space="preserve"> aux </w:t>
      </w:r>
      <w:proofErr w:type="spellStart"/>
      <w:r w:rsidRPr="00D35361">
        <w:rPr>
          <w:rFonts w:cs="Times New Roman"/>
          <w:lang w:val="fr-CA"/>
        </w:rPr>
        <w:t>par</w:t>
      </w:r>
      <w:proofErr w:type="spellEnd"/>
      <w:r w:rsidRPr="00D35361">
        <w:rPr>
          <w:rFonts w:cs="Times New Roman"/>
          <w:lang w:val="fr-CA"/>
        </w:rPr>
        <w:t>. 12</w:t>
      </w:r>
      <w:r>
        <w:rPr>
          <w:rFonts w:cs="Times New Roman"/>
          <w:lang w:val="fr-CA"/>
        </w:rPr>
        <w:t xml:space="preserve">0 et 121 </w:t>
      </w:r>
      <w:r w:rsidRPr="00D35361">
        <w:rPr>
          <w:rFonts w:cs="Times New Roman"/>
          <w:lang w:val="fr-CA"/>
        </w:rPr>
        <w:t xml:space="preserve">: </w:t>
      </w:r>
    </w:p>
    <w:p w14:paraId="7BE55211" w14:textId="6B7083D6" w:rsidR="00F712C6" w:rsidRPr="00D35361" w:rsidRDefault="00F712C6" w:rsidP="00F712C6">
      <w:pPr>
        <w:pStyle w:val="Citation-AltC"/>
        <w:spacing w:after="240"/>
        <w:ind w:left="1168" w:hanging="1168"/>
        <w:contextualSpacing w:val="0"/>
        <w:rPr>
          <w:lang w:val="fr-CA"/>
        </w:rPr>
      </w:pPr>
      <w:r>
        <w:rPr>
          <w:noProof/>
          <w:lang w:val="fr-CA"/>
        </w:rPr>
        <w:tab/>
      </w:r>
      <w:r>
        <w:rPr>
          <w:noProof/>
          <w:lang w:val="fr-CA"/>
        </w:rPr>
        <w:tab/>
      </w:r>
      <w:r w:rsidRPr="00D35361">
        <w:rPr>
          <w:noProof/>
          <w:lang w:val="fr-CA"/>
        </w:rPr>
        <w:t xml:space="preserve">Même si le par. 52(1) ne confère pas explicitement le pouvoir de suspendre l’effet d’une déclaration, dans les décisions constitutionnelles, les tribunaux « peu[ven]t tenir compte des postulats non écrits qui constituent le fondement même de la Constitution du Canada » </w:t>
      </w:r>
      <w:r w:rsidRPr="00D35361">
        <w:rPr>
          <w:lang w:val="fr-CA"/>
        </w:rPr>
        <w:t>(</w:t>
      </w:r>
      <w:r w:rsidRPr="00D35361">
        <w:rPr>
          <w:i/>
          <w:lang w:val="fr-CA"/>
        </w:rPr>
        <w:t>Droits linguistiques au Manitoba</w:t>
      </w:r>
      <w:r w:rsidRPr="00D35361">
        <w:rPr>
          <w:lang w:val="fr-CA"/>
        </w:rPr>
        <w:t xml:space="preserve">, p. 752; voir aussi </w:t>
      </w:r>
      <w:r w:rsidRPr="00D35361">
        <w:rPr>
          <w:i/>
          <w:lang w:val="fr-CA"/>
        </w:rPr>
        <w:t>R. c. Comeau</w:t>
      </w:r>
      <w:r w:rsidRPr="00D35361">
        <w:rPr>
          <w:lang w:val="fr-CA"/>
        </w:rPr>
        <w:t>, 2018 CSC 15,</w:t>
      </w:r>
      <w:r w:rsidR="00F06CEB">
        <w:rPr>
          <w:lang w:val="fr-CA"/>
        </w:rPr>
        <w:t xml:space="preserve"> [2018] 1 R.C.S. 342, par. 52)</w:t>
      </w:r>
      <w:r w:rsidRPr="00D35361">
        <w:rPr>
          <w:lang w:val="fr-CA"/>
        </w:rPr>
        <w:t xml:space="preserve">. [Note de bas de page omise.] </w:t>
      </w:r>
    </w:p>
    <w:p w14:paraId="278A5422" w14:textId="77777777" w:rsidR="00F712C6" w:rsidRPr="00D35361" w:rsidRDefault="00F712C6" w:rsidP="00F712C6">
      <w:pPr>
        <w:pStyle w:val="Citation-AltC"/>
        <w:ind w:left="1168" w:hanging="1168"/>
        <w:contextualSpacing w:val="0"/>
        <w:rPr>
          <w:lang w:val="fr-CA"/>
        </w:rPr>
      </w:pPr>
      <w:r>
        <w:rPr>
          <w:lang w:val="fr-CA"/>
        </w:rPr>
        <w:tab/>
      </w:r>
      <w:r>
        <w:rPr>
          <w:lang w:val="fr-CA"/>
        </w:rPr>
        <w:tab/>
      </w:r>
      <w:r w:rsidRPr="00D35361">
        <w:rPr>
          <w:lang w:val="fr-CA"/>
        </w:rPr>
        <w:t>L</w:t>
      </w:r>
      <w:r w:rsidRPr="00D35361">
        <w:rPr>
          <w:noProof/>
          <w:lang w:val="fr-CA"/>
        </w:rPr>
        <w:t>e pouvoir de suspendre l’effet d’une déclaration d’invalidité devrait être perçu comme découlant de la prise en compte de considérations constitutionnelles générales et ce pouvoir est compris dans celui de déclarer une loi invalide. . .</w:t>
      </w:r>
      <w:r w:rsidRPr="00D35361">
        <w:rPr>
          <w:lang w:val="fr-CA"/>
        </w:rPr>
        <w:t xml:space="preserve"> </w:t>
      </w:r>
    </w:p>
    <w:p w14:paraId="00CA5CDE" w14:textId="77777777" w:rsidR="00F712C6" w:rsidRPr="00D35361" w:rsidRDefault="00F712C6" w:rsidP="00F712C6">
      <w:pPr>
        <w:pStyle w:val="ContinueParaSuitedupar-AltP"/>
        <w:rPr>
          <w:rFonts w:cs="Times New Roman"/>
          <w:lang w:val="fr-CA"/>
        </w:rPr>
      </w:pPr>
      <w:r w:rsidRPr="00D35361">
        <w:rPr>
          <w:rFonts w:cs="Times New Roman"/>
          <w:lang w:val="fr-CA"/>
        </w:rPr>
        <w:t xml:space="preserve">Elle écrit aussi, au </w:t>
      </w:r>
      <w:proofErr w:type="spellStart"/>
      <w:r w:rsidRPr="00D35361">
        <w:rPr>
          <w:rFonts w:cs="Times New Roman"/>
          <w:lang w:val="fr-CA"/>
        </w:rPr>
        <w:t>par</w:t>
      </w:r>
      <w:proofErr w:type="spellEnd"/>
      <w:r w:rsidRPr="00D35361">
        <w:rPr>
          <w:rFonts w:cs="Times New Roman"/>
          <w:lang w:val="fr-CA"/>
        </w:rPr>
        <w:t>. 85, que « [l]</w:t>
      </w:r>
      <w:r w:rsidRPr="00D35361">
        <w:rPr>
          <w:rFonts w:cs="Times New Roman"/>
          <w:noProof/>
          <w:lang w:val="fr-CA"/>
        </w:rPr>
        <w:t>es tribunaux ont plutôt le pouvoir de prononcer une déclaration générale conformément à la compétence légale ou inhérente dont ils sont investis pour donner aux termes généraux du par. 52(1) leur plein effet ».</w:t>
      </w:r>
      <w:r w:rsidRPr="00D35361">
        <w:rPr>
          <w:rFonts w:cs="Times New Roman"/>
          <w:lang w:val="fr-CA"/>
        </w:rPr>
        <w:t xml:space="preserve"> </w:t>
      </w:r>
    </w:p>
    <w:p w14:paraId="6E59732F" w14:textId="48C3EAD5"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En toute déférence, je ne suis pas d’accord. Cela donne à penser que les cours supérieures jouissent d’une forme de compétence inhérente suffisante pour écarter des dispositions expresses de la Constitution. Les tribunaux ont parfois été appelés à répondre à des questions sur la relation entre des institutions étatiques, des questions auxquelles on ne trouve pas de réponse dans la Constitution écrite, p. ex. dans le </w:t>
      </w:r>
      <w:r w:rsidRPr="00D35361">
        <w:rPr>
          <w:rFonts w:cs="Times New Roman"/>
          <w:i/>
          <w:lang w:val="fr-CA"/>
        </w:rPr>
        <w:t>Renvoi relatif à la sécession du Québec</w:t>
      </w:r>
      <w:r w:rsidRPr="00D35361">
        <w:rPr>
          <w:rFonts w:cs="Times New Roman"/>
          <w:lang w:val="fr-CA"/>
        </w:rPr>
        <w:t>,</w:t>
      </w:r>
      <w:r w:rsidRPr="00D35361">
        <w:rPr>
          <w:rFonts w:cs="Times New Roman"/>
          <w:i/>
          <w:lang w:val="fr-CA"/>
        </w:rPr>
        <w:t xml:space="preserve"> </w:t>
      </w:r>
      <w:r w:rsidR="00F06CEB">
        <w:rPr>
          <w:rFonts w:cs="Times New Roman"/>
          <w:lang w:val="fr-CA"/>
        </w:rPr>
        <w:t>[1998] 2 R.C.S</w:t>
      </w:r>
      <w:r w:rsidRPr="00D35361">
        <w:rPr>
          <w:rFonts w:cs="Times New Roman"/>
          <w:lang w:val="fr-CA"/>
        </w:rPr>
        <w:t xml:space="preserve">. 217. Lors d’occasions aussi rares et exceptionnelles, les tribunaux </w:t>
      </w:r>
      <w:r w:rsidRPr="00D35361">
        <w:rPr>
          <w:rFonts w:cs="Times New Roman"/>
          <w:noProof/>
          <w:lang w:val="fr-CA"/>
        </w:rPr>
        <w:t>« peu[ven]t tenir compte des postulats non écrits qui constituent le fondement mê</w:t>
      </w:r>
      <w:r>
        <w:rPr>
          <w:rFonts w:cs="Times New Roman"/>
          <w:noProof/>
          <w:lang w:val="fr-CA"/>
        </w:rPr>
        <w:t>me de la Constitution du Canada </w:t>
      </w:r>
      <w:r w:rsidRPr="00D35361">
        <w:rPr>
          <w:rFonts w:cs="Times New Roman"/>
          <w:noProof/>
          <w:lang w:val="fr-CA"/>
        </w:rPr>
        <w:t>»</w:t>
      </w:r>
      <w:r w:rsidRPr="00D35361">
        <w:rPr>
          <w:rFonts w:cs="Times New Roman"/>
          <w:lang w:val="fr-CA"/>
        </w:rPr>
        <w:t xml:space="preserve">, ce que l’on pourrait appeler une analyse structurelle. Mais en pareil cas, les tribunaux donnent une réponse au sujet du pouvoir du législateur ou de l’exécutif lorsque la Constitution écrite est muette sur ce point. Si la Constitution est explicite, comme au </w:t>
      </w:r>
      <w:proofErr w:type="spellStart"/>
      <w:r w:rsidRPr="00D35361">
        <w:rPr>
          <w:rFonts w:cs="Times New Roman"/>
          <w:lang w:val="fr-CA"/>
        </w:rPr>
        <w:t>par</w:t>
      </w:r>
      <w:proofErr w:type="spellEnd"/>
      <w:r w:rsidRPr="00D35361">
        <w:rPr>
          <w:rFonts w:cs="Times New Roman"/>
          <w:lang w:val="fr-CA"/>
        </w:rPr>
        <w:t>. 52(1), il en faut davantage. Le pouvoir de suspendre l’effet d’une déclaration d’invalidité n’est pas « </w:t>
      </w:r>
      <w:r>
        <w:rPr>
          <w:rFonts w:cs="Times New Roman"/>
          <w:lang w:val="fr-CA"/>
        </w:rPr>
        <w:t>compris </w:t>
      </w:r>
      <w:r w:rsidRPr="00D35361">
        <w:rPr>
          <w:rFonts w:cs="Times New Roman"/>
          <w:lang w:val="fr-CA"/>
        </w:rPr>
        <w:t xml:space="preserve">» dans le par. 52(1); il contredit plutôt cette disposition. Par conséquent, il faut s’appuyer sur un principe constitutionnel faisant contrepoids pour justifier une suspension. </w:t>
      </w:r>
    </w:p>
    <w:p w14:paraId="78A4B74D"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Quant à l’approche des juges Côté et Brown, la primauté du droit n’est pas le seul principe constitutionnel susceptible de justifier la suspension de l’effet d’une déclaration d’invalidité. Notamment, selon une interprétation téléologique, l’existence d’avantages trop limitatifs exige que le tribunal ordonne la suspension afin de donner au législateur la place qui lui revient dans l’élaboration d’une réparation. </w:t>
      </w:r>
    </w:p>
    <w:p w14:paraId="6218F9A2" w14:textId="77777777" w:rsidR="00F712C6" w:rsidRPr="00D35361" w:rsidRDefault="00F712C6" w:rsidP="00F712C6">
      <w:pPr>
        <w:pStyle w:val="Title1LevelTitre1Niveau-AltL"/>
        <w:rPr>
          <w:rFonts w:cs="Times New Roman"/>
          <w:lang w:val="fr-CA"/>
        </w:rPr>
      </w:pPr>
      <w:r w:rsidRPr="00D35361">
        <w:rPr>
          <w:rFonts w:cs="Times New Roman"/>
          <w:lang w:val="fr-CA"/>
        </w:rPr>
        <w:t>Application de</w:t>
      </w:r>
      <w:r w:rsidRPr="00D35361">
        <w:rPr>
          <w:rFonts w:cs="Times New Roman"/>
          <w:i/>
          <w:lang w:val="fr-CA"/>
        </w:rPr>
        <w:t xml:space="preserve"> </w:t>
      </w:r>
      <w:r w:rsidRPr="00D35361">
        <w:rPr>
          <w:rFonts w:cs="Times New Roman"/>
          <w:lang w:val="fr-CA"/>
        </w:rPr>
        <w:t xml:space="preserve">l’arrêt </w:t>
      </w:r>
      <w:proofErr w:type="spellStart"/>
      <w:r w:rsidRPr="00D35361">
        <w:rPr>
          <w:rFonts w:cs="Times New Roman"/>
          <w:i/>
          <w:iCs/>
          <w:lang w:val="fr-CA"/>
        </w:rPr>
        <w:t>Schachter</w:t>
      </w:r>
      <w:proofErr w:type="spellEnd"/>
    </w:p>
    <w:p w14:paraId="732DB502"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En l’espèce, l’effet de la déclaration d’invalidité a été suspendu pour des raisons de sécurité publique.</w:t>
      </w:r>
    </w:p>
    <w:p w14:paraId="3B8602EA"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L’analyse qui précède suggère que les tribunaux ne peuvent suspendre l’effet d’une déclaration d’invalidité simplement parce qu’une déclaration d’invalidité avec effet immédiat pourrait créer un certain risque pour la sécurité publique. Le risque pour la sécurité publique doit être suffisamment élevé pour transgresser le principe constitutionnel de la primauté du droit, de sorte que le tribunal est forcé de concilier deux principes constitutionnels opposés.</w:t>
      </w:r>
    </w:p>
    <w:p w14:paraId="1F2AA825"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On peut illustrer en quoi consiste le critère minimal à satisfaire pour pouvoir suspendre l’effet d’une déclaration d’invalidité en se reportant aux décisions dans lesquelles notre Cour a invoqué la sécurité publique pour justifier une telle mesure. Dans l’arrêt </w:t>
      </w:r>
      <w:proofErr w:type="spellStart"/>
      <w:r w:rsidRPr="00D35361">
        <w:rPr>
          <w:rFonts w:cs="Times New Roman"/>
          <w:i/>
          <w:lang w:val="fr-CA"/>
        </w:rPr>
        <w:t>Swain</w:t>
      </w:r>
      <w:proofErr w:type="spellEnd"/>
      <w:r w:rsidRPr="00D35361">
        <w:rPr>
          <w:rFonts w:cs="Times New Roman"/>
          <w:lang w:val="fr-CA"/>
        </w:rPr>
        <w:t xml:space="preserve">, notre Cour a invalidé le pouvoir de détenir les prévenus acquittés « pour cause d’aliénation mentale », pour reprendre l’expression employée à l’époque. Dans l’arrêt </w:t>
      </w:r>
      <w:r w:rsidRPr="00D35361">
        <w:rPr>
          <w:rFonts w:cs="Times New Roman"/>
          <w:i/>
          <w:lang w:val="fr-CA"/>
        </w:rPr>
        <w:t>R. c. Demers</w:t>
      </w:r>
      <w:r w:rsidRPr="00D35361">
        <w:rPr>
          <w:rFonts w:cs="Times New Roman"/>
          <w:lang w:val="fr-CA"/>
        </w:rPr>
        <w:t xml:space="preserve">, 2004 CSC 46, [2004] 2 R.C.S. 489, la Cour a invalidé le régime permettant de détenir des accusés inaptes à subir leur procès. Dans l’arrêt </w:t>
      </w:r>
      <w:proofErr w:type="spellStart"/>
      <w:r w:rsidRPr="00D35361">
        <w:rPr>
          <w:rFonts w:cs="Times New Roman"/>
          <w:i/>
          <w:lang w:val="fr-CA"/>
        </w:rPr>
        <w:t>Charkaoui</w:t>
      </w:r>
      <w:proofErr w:type="spellEnd"/>
      <w:r w:rsidRPr="00D35361">
        <w:rPr>
          <w:rFonts w:cs="Times New Roman"/>
          <w:i/>
          <w:lang w:val="fr-CA"/>
        </w:rPr>
        <w:t xml:space="preserve"> c. Canada (Citoyenneté et Immigration)</w:t>
      </w:r>
      <w:r w:rsidRPr="00D35361">
        <w:rPr>
          <w:rFonts w:cs="Times New Roman"/>
          <w:lang w:val="fr-CA"/>
        </w:rPr>
        <w:t>, 2007 CSC 9, [2007] 1 R.C.S. 350, la Cour a invalidé un régime permettant de détenir des étrangers ou des résidents permanents pour raison de sécurité.</w:t>
      </w:r>
    </w:p>
    <w:p w14:paraId="428164D0"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Dans ces trois affaires, le prononcé d’une déclaration d’invalidité avec effet immédiat aurait donné lieu à la libération de personnes qui étaient détenues au motif qu’elles présentaient un danger pour la sécurité publique. Le risque pour la sécurité publique était élevé, </w:t>
      </w:r>
      <w:r>
        <w:rPr>
          <w:rFonts w:cs="Times New Roman"/>
          <w:lang w:val="fr-CA"/>
        </w:rPr>
        <w:t>comme il se devait de l’être afin de justifier</w:t>
      </w:r>
      <w:r w:rsidRPr="00D35361">
        <w:rPr>
          <w:rFonts w:cs="Times New Roman"/>
          <w:lang w:val="fr-CA"/>
        </w:rPr>
        <w:t xml:space="preserve"> que l’on introduise par interprétation large dans la Constitution un pouvoir discrétionnaire permettant de suspendre l’effet d’une déclaration d’invalidité.</w:t>
      </w:r>
    </w:p>
    <w:p w14:paraId="79056370" w14:textId="3CE9F856"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Dans le cas qui nous occupe, aucune des parties n’a axé son argumentation sur la suspension. De plus, notre Cour a refusé de surseoir au jugement décrétant une suspension de 12 mois (</w:t>
      </w:r>
      <w:r w:rsidRPr="00D35361">
        <w:rPr>
          <w:rFonts w:cs="Times New Roman"/>
          <w:i/>
          <w:lang w:val="fr-CA"/>
        </w:rPr>
        <w:t>Ontario (Procureur</w:t>
      </w:r>
      <w:r w:rsidR="001F2A00">
        <w:rPr>
          <w:rFonts w:cs="Times New Roman"/>
          <w:i/>
          <w:lang w:val="fr-CA"/>
        </w:rPr>
        <w:t>e</w:t>
      </w:r>
      <w:r w:rsidRPr="00D35361">
        <w:rPr>
          <w:rFonts w:cs="Times New Roman"/>
          <w:i/>
          <w:lang w:val="fr-CA"/>
        </w:rPr>
        <w:t xml:space="preserve"> général</w:t>
      </w:r>
      <w:r w:rsidR="001F2A00">
        <w:rPr>
          <w:rFonts w:cs="Times New Roman"/>
          <w:i/>
          <w:lang w:val="fr-CA"/>
        </w:rPr>
        <w:t>e</w:t>
      </w:r>
      <w:r w:rsidRPr="00D35361">
        <w:rPr>
          <w:rFonts w:cs="Times New Roman"/>
          <w:i/>
          <w:lang w:val="fr-CA"/>
        </w:rPr>
        <w:t>) c. G</w:t>
      </w:r>
      <w:r w:rsidRPr="00D35361">
        <w:rPr>
          <w:rFonts w:cs="Times New Roman"/>
          <w:lang w:val="fr-CA"/>
        </w:rPr>
        <w:t>,</w:t>
      </w:r>
      <w:r w:rsidRPr="00D35361">
        <w:rPr>
          <w:rFonts w:cs="Times New Roman"/>
          <w:i/>
          <w:lang w:val="fr-CA"/>
        </w:rPr>
        <w:t xml:space="preserve"> </w:t>
      </w:r>
      <w:r w:rsidRPr="00D35361">
        <w:rPr>
          <w:rFonts w:cs="Times New Roman"/>
          <w:lang w:val="fr-CA"/>
        </w:rPr>
        <w:t>2019 CSC 36</w:t>
      </w:r>
      <w:r w:rsidR="001F2A00">
        <w:rPr>
          <w:rFonts w:cs="Times New Roman"/>
          <w:lang w:val="fr-CA"/>
        </w:rPr>
        <w:t>,</w:t>
      </w:r>
      <w:r w:rsidR="001F2A00" w:rsidRPr="00D35361">
        <w:rPr>
          <w:rFonts w:cs="Times New Roman"/>
          <w:lang w:val="fr-CA"/>
        </w:rPr>
        <w:t xml:space="preserve"> </w:t>
      </w:r>
      <w:r w:rsidR="001F2A00">
        <w:rPr>
          <w:rFonts w:cs="Times New Roman"/>
          <w:lang w:val="fr-CA"/>
        </w:rPr>
        <w:t>[2019</w:t>
      </w:r>
      <w:r w:rsidR="001F2A00" w:rsidRPr="00D35361">
        <w:rPr>
          <w:rFonts w:cs="Times New Roman"/>
          <w:lang w:val="fr-CA"/>
        </w:rPr>
        <w:t>]</w:t>
      </w:r>
      <w:r w:rsidR="001F2A00">
        <w:rPr>
          <w:rFonts w:cs="Times New Roman"/>
          <w:lang w:val="fr-CA"/>
        </w:rPr>
        <w:t xml:space="preserve"> 2 R.C.S. 990</w:t>
      </w:r>
      <w:r w:rsidRPr="00D35361">
        <w:rPr>
          <w:rFonts w:cs="Times New Roman"/>
          <w:lang w:val="fr-CA"/>
        </w:rPr>
        <w:t>), qui est donc venue à expiration le 4 avril 2020, rendant théorique la question. Dans ces conditions, il n’y a pas lieu de décider si l’effet de la déclaration a été suspendu à bon droit.</w:t>
      </w:r>
    </w:p>
    <w:p w14:paraId="5EC4C4C2"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La question de l’ordonnance d’exemption est également sans objet. L’intimé n’a pas besoin d’être exempté d’une loi qui est déjà inopérante. Par conséquent, bien que je souscrive pour l’essentiel à l’approche proposée par les juges Côté et Brown en matière d’exemptions individuelles, j’estime qu’il n’y a pas lieu de décider si l’exemption individuelle a été accordée à bon droit en l’espèce.</w:t>
      </w:r>
    </w:p>
    <w:p w14:paraId="3DBD3718" w14:textId="77777777" w:rsidR="00F712C6" w:rsidRPr="00D35361" w:rsidRDefault="00F712C6" w:rsidP="00F712C6">
      <w:pPr>
        <w:pStyle w:val="Title1LevelTitre1Niveau-AltL"/>
        <w:rPr>
          <w:rFonts w:cs="Times New Roman"/>
          <w:lang w:val="fr-CA"/>
        </w:rPr>
      </w:pPr>
      <w:r w:rsidRPr="00D35361">
        <w:rPr>
          <w:rFonts w:cs="Times New Roman"/>
          <w:lang w:val="fr-CA"/>
        </w:rPr>
        <w:t>Dispositif</w:t>
      </w:r>
    </w:p>
    <w:p w14:paraId="1EF76DC9" w14:textId="77777777" w:rsidR="00F712C6" w:rsidRPr="00D35361" w:rsidRDefault="00F712C6" w:rsidP="00F712C6">
      <w:pPr>
        <w:pStyle w:val="ParaNoNdepar-AltN"/>
        <w:tabs>
          <w:tab w:val="clear" w:pos="1166"/>
          <w:tab w:val="num" w:pos="1152"/>
        </w:tabs>
        <w:rPr>
          <w:rFonts w:cs="Times New Roman"/>
          <w:lang w:val="fr-CA"/>
        </w:rPr>
      </w:pPr>
      <w:r w:rsidRPr="00D35361">
        <w:rPr>
          <w:rFonts w:cs="Times New Roman"/>
          <w:lang w:val="fr-CA"/>
        </w:rPr>
        <w:t xml:space="preserve">Plutôt que de s’écarter de l’arrêt </w:t>
      </w:r>
      <w:proofErr w:type="spellStart"/>
      <w:r w:rsidRPr="00D35361">
        <w:rPr>
          <w:rFonts w:cs="Times New Roman"/>
          <w:i/>
          <w:lang w:val="fr-CA"/>
        </w:rPr>
        <w:t>Schachter</w:t>
      </w:r>
      <w:proofErr w:type="spellEnd"/>
      <w:r w:rsidRPr="00D35361">
        <w:rPr>
          <w:rFonts w:cs="Times New Roman"/>
          <w:lang w:val="fr-CA"/>
        </w:rPr>
        <w:t xml:space="preserve"> et de le remplacer par une autre approche, je suis d’avis de le confirmer pour les motifs que j’ai exposés précédemment. </w:t>
      </w:r>
    </w:p>
    <w:p w14:paraId="2B1E9973" w14:textId="43800F84" w:rsidR="00F712C6" w:rsidRPr="001F2A00" w:rsidRDefault="00F712C6" w:rsidP="00F712C6">
      <w:pPr>
        <w:pStyle w:val="ParaNoNdepar-AltN"/>
        <w:tabs>
          <w:tab w:val="clear" w:pos="1166"/>
          <w:tab w:val="num" w:pos="1152"/>
        </w:tabs>
        <w:rPr>
          <w:rStyle w:val="SCCCounselPartyRoleChar"/>
          <w:rFonts w:cs="Times New Roman"/>
          <w:lang w:val="fr-CA"/>
        </w:rPr>
      </w:pPr>
      <w:r w:rsidRPr="00D35361">
        <w:rPr>
          <w:rFonts w:cs="Times New Roman"/>
          <w:lang w:val="fr-CA"/>
        </w:rPr>
        <w:t>En conséquence, je suis d’avis de rejeter le pourvoi.</w:t>
      </w:r>
    </w:p>
    <w:p w14:paraId="6AABCF8C" w14:textId="7D18E4FA" w:rsidR="00F712C6" w:rsidRPr="001F2A00" w:rsidRDefault="00F712C6" w:rsidP="001F2A00">
      <w:pPr>
        <w:spacing w:after="480" w:line="480" w:lineRule="auto"/>
        <w:ind w:left="1170"/>
        <w:rPr>
          <w:lang w:val="fr-CA"/>
        </w:rPr>
      </w:pPr>
      <w:r w:rsidRPr="00173A02">
        <w:rPr>
          <w:lang w:val="fr-CA"/>
        </w:rPr>
        <w:t>Version française des motifs rendus par</w:t>
      </w:r>
    </w:p>
    <w:p w14:paraId="641BB1F0" w14:textId="38A0FDF8" w:rsidR="00F712C6" w:rsidRPr="00883823" w:rsidRDefault="00F712C6" w:rsidP="00F712C6">
      <w:pPr>
        <w:pStyle w:val="JudgeJuge"/>
        <w:spacing w:before="480"/>
        <w:rPr>
          <w:noProof/>
          <w:lang w:val="fr-CA"/>
        </w:rPr>
      </w:pPr>
      <w:r w:rsidRPr="00883823">
        <w:rPr>
          <w:noProof/>
          <w:lang w:val="fr-CA"/>
        </w:rPr>
        <w:tab/>
        <w:t>Les juges Côté et Brown</w:t>
      </w:r>
      <w:r w:rsidR="001F2A00">
        <w:rPr>
          <w:noProof/>
          <w:lang w:val="fr-CA"/>
        </w:rPr>
        <w:t xml:space="preserve"> </w:t>
      </w:r>
      <w:r w:rsidR="001F2A00" w:rsidRPr="001F2A00">
        <w:rPr>
          <w:smallCaps w:val="0"/>
          <w:noProof/>
          <w:lang w:val="fr-CA"/>
        </w:rPr>
        <w:t>(dissidents en partie)</w:t>
      </w:r>
      <w:r w:rsidRPr="00883823">
        <w:rPr>
          <w:noProof/>
          <w:lang w:val="fr-CA"/>
        </w:rPr>
        <w:t xml:space="preserve"> —</w:t>
      </w:r>
    </w:p>
    <w:p w14:paraId="15863D0D" w14:textId="77777777" w:rsidR="00F712C6" w:rsidRPr="00953023" w:rsidRDefault="00F712C6" w:rsidP="00953023">
      <w:pPr>
        <w:pStyle w:val="Title1LevelTitre1Niveau-AltL"/>
        <w:numPr>
          <w:ilvl w:val="0"/>
          <w:numId w:val="32"/>
        </w:numPr>
        <w:rPr>
          <w:rFonts w:cs="Times New Roman"/>
        </w:rPr>
      </w:pPr>
      <w:proofErr w:type="spellStart"/>
      <w:r w:rsidRPr="00953023">
        <w:rPr>
          <w:rFonts w:cs="Times New Roman"/>
        </w:rPr>
        <w:t>Vue</w:t>
      </w:r>
      <w:proofErr w:type="spellEnd"/>
      <w:r w:rsidRPr="00953023">
        <w:rPr>
          <w:rFonts w:cs="Times New Roman"/>
        </w:rPr>
        <w:t xml:space="preserve"> </w:t>
      </w:r>
      <w:proofErr w:type="spellStart"/>
      <w:r w:rsidRPr="00953023">
        <w:rPr>
          <w:rFonts w:cs="Times New Roman"/>
        </w:rPr>
        <w:t>d’ensemble</w:t>
      </w:r>
      <w:proofErr w:type="spellEnd"/>
    </w:p>
    <w:p w14:paraId="59E0CEAC" w14:textId="77777777" w:rsidR="00F712C6" w:rsidRPr="00883823" w:rsidRDefault="00F712C6" w:rsidP="00F712C6">
      <w:pPr>
        <w:pStyle w:val="ParaNoNdepar-AltN"/>
        <w:tabs>
          <w:tab w:val="clear" w:pos="1166"/>
          <w:tab w:val="num" w:pos="1152"/>
        </w:tabs>
        <w:rPr>
          <w:rFonts w:cs="Times New Roman"/>
        </w:rPr>
      </w:pPr>
      <w:r w:rsidRPr="00883823">
        <w:rPr>
          <w:rFonts w:cs="Times New Roman"/>
          <w:lang w:val="fr-CA"/>
        </w:rPr>
        <w:t xml:space="preserve">Bien que nous souscrivions à la conclusion de notre collègue la juge </w:t>
      </w:r>
      <w:proofErr w:type="spellStart"/>
      <w:r w:rsidRPr="00883823">
        <w:rPr>
          <w:rFonts w:cs="Times New Roman"/>
          <w:lang w:val="fr-CA"/>
        </w:rPr>
        <w:t>Karakatsanis</w:t>
      </w:r>
      <w:proofErr w:type="spellEnd"/>
      <w:r w:rsidRPr="00883823">
        <w:rPr>
          <w:rFonts w:cs="Times New Roman"/>
          <w:lang w:val="fr-CA"/>
        </w:rPr>
        <w:t xml:space="preserve"> suivant laquelle la </w:t>
      </w:r>
      <w:r w:rsidRPr="00883823">
        <w:rPr>
          <w:rFonts w:cs="Times New Roman"/>
          <w:i/>
          <w:lang w:val="fr-CA"/>
        </w:rPr>
        <w:t xml:space="preserve">Loi Christopher </w:t>
      </w:r>
      <w:r w:rsidRPr="00883823">
        <w:rPr>
          <w:rFonts w:cs="Times New Roman"/>
          <w:lang w:val="fr-CA"/>
        </w:rPr>
        <w:t xml:space="preserve">porte atteinte au droit à l’égalité de traitement devant la loi que la </w:t>
      </w:r>
      <w:r w:rsidRPr="00883823">
        <w:rPr>
          <w:rFonts w:cs="Times New Roman"/>
          <w:i/>
          <w:iCs/>
          <w:lang w:val="fr-CA"/>
        </w:rPr>
        <w:t xml:space="preserve">Charte </w:t>
      </w:r>
      <w:r>
        <w:rPr>
          <w:rFonts w:cs="Times New Roman"/>
          <w:iCs/>
          <w:lang w:val="fr-CA"/>
        </w:rPr>
        <w:t>reconnaît à M. </w:t>
      </w:r>
      <w:r w:rsidRPr="00883823">
        <w:rPr>
          <w:rFonts w:cs="Times New Roman"/>
          <w:iCs/>
          <w:lang w:val="fr-CA"/>
        </w:rPr>
        <w:t>G</w:t>
      </w:r>
      <w:r w:rsidRPr="00883823">
        <w:rPr>
          <w:rFonts w:cs="Times New Roman"/>
          <w:lang w:val="fr-CA"/>
        </w:rPr>
        <w:t xml:space="preserve">, nous rédigeons des motifs distincts pour asseoir constitutionnellement le recours à la suspension de l’effet des déclarations d’invalidité d’une façon différente de notre collègue. À notre avis, la suspension de l’effet d’une déclaration d’invalidité — qui permet à une atteinte aux droits garantis par la </w:t>
      </w:r>
      <w:r w:rsidRPr="00883823">
        <w:rPr>
          <w:rFonts w:cs="Times New Roman"/>
          <w:i/>
          <w:lang w:val="fr-CA"/>
        </w:rPr>
        <w:t>Charte</w:t>
      </w:r>
      <w:r w:rsidRPr="00883823">
        <w:rPr>
          <w:rFonts w:cs="Times New Roman"/>
          <w:lang w:val="fr-CA"/>
        </w:rPr>
        <w:t xml:space="preserve"> de perdurer — ne devrait être accordée qu’en dernier ressort, et uniquement pour protéger la primauté du droit. Dans le même ordre d’idées, nous ne partageons pas l’avis de notre collègue suivant lequel la jurisprudence de notre Cour en matière de réparation a, depuis l’arrêt </w:t>
      </w:r>
      <w:proofErr w:type="spellStart"/>
      <w:r w:rsidRPr="00883823">
        <w:rPr>
          <w:rFonts w:cs="Times New Roman"/>
          <w:i/>
          <w:lang w:val="fr-CA"/>
        </w:rPr>
        <w:t>Schachter</w:t>
      </w:r>
      <w:proofErr w:type="spellEnd"/>
      <w:r w:rsidRPr="00883823">
        <w:rPr>
          <w:rFonts w:cs="Times New Roman"/>
          <w:i/>
          <w:lang w:val="fr-CA"/>
        </w:rPr>
        <w:t xml:space="preserve"> c. Canada</w:t>
      </w:r>
      <w:r w:rsidRPr="00883823">
        <w:rPr>
          <w:rFonts w:cs="Times New Roman"/>
          <w:lang w:val="fr-CA"/>
        </w:rPr>
        <w:t>, [1992] 2 R.C.S. 679, « </w:t>
      </w:r>
      <w:r w:rsidRPr="00883823">
        <w:rPr>
          <w:rFonts w:cs="Times New Roman"/>
          <w:noProof/>
          <w:lang w:val="fr-CA"/>
        </w:rPr>
        <w:t>intégré un groupe de principes fondamentaux en matière de réparation</w:t>
      </w:r>
      <w:r>
        <w:rPr>
          <w:rFonts w:cs="Times New Roman"/>
          <w:noProof/>
          <w:lang w:val="fr-CA"/>
        </w:rPr>
        <w:t> </w:t>
      </w:r>
      <w:r w:rsidRPr="00883823">
        <w:rPr>
          <w:rFonts w:cs="Times New Roman"/>
          <w:noProof/>
          <w:lang w:val="fr-CA"/>
        </w:rPr>
        <w:t>»</w:t>
      </w:r>
      <w:r w:rsidRPr="00883823">
        <w:rPr>
          <w:rFonts w:cs="Times New Roman"/>
          <w:lang w:val="fr-CA"/>
        </w:rPr>
        <w:t xml:space="preserve"> (motifs de la juge </w:t>
      </w:r>
      <w:proofErr w:type="spellStart"/>
      <w:r w:rsidRPr="00883823">
        <w:rPr>
          <w:rFonts w:cs="Times New Roman"/>
          <w:lang w:val="fr-CA"/>
        </w:rPr>
        <w:t>Karakatsanis</w:t>
      </w:r>
      <w:proofErr w:type="spellEnd"/>
      <w:r w:rsidRPr="00883823">
        <w:rPr>
          <w:rFonts w:cs="Times New Roman"/>
          <w:lang w:val="fr-CA"/>
        </w:rPr>
        <w:t xml:space="preserve">, </w:t>
      </w:r>
      <w:r>
        <w:rPr>
          <w:rFonts w:cs="Times New Roman"/>
          <w:lang w:val="fr-CA"/>
        </w:rPr>
        <w:t>par. </w:t>
      </w:r>
      <w:r w:rsidRPr="00883823">
        <w:rPr>
          <w:rFonts w:cs="Times New Roman"/>
          <w:lang w:val="fr-CA"/>
        </w:rPr>
        <w:t xml:space="preserve">82). Nous estimons, au contraire, que la jurisprudence de notre Cour ne révèle l’existence d’aucun des principes invoqués par notre collègue. Sans aucun lien avec la primauté du droit, cette jurisprudence a plutôt donné lieu à des décisions incohérentes et non fondées sur des principes. </w:t>
      </w:r>
      <w:proofErr w:type="gramStart"/>
      <w:r w:rsidRPr="00883823">
        <w:rPr>
          <w:rFonts w:cs="Times New Roman"/>
        </w:rPr>
        <w:t>Un</w:t>
      </w:r>
      <w:proofErr w:type="gramEnd"/>
      <w:r w:rsidRPr="00883823">
        <w:rPr>
          <w:rFonts w:cs="Times New Roman"/>
        </w:rPr>
        <w:t xml:space="preserve"> retour aux</w:t>
      </w:r>
      <w:r>
        <w:rPr>
          <w:rFonts w:cs="Times New Roman"/>
        </w:rPr>
        <w:t xml:space="preserve"> </w:t>
      </w:r>
      <w:proofErr w:type="spellStart"/>
      <w:r w:rsidRPr="00883823">
        <w:rPr>
          <w:rFonts w:cs="Times New Roman"/>
        </w:rPr>
        <w:t>principes</w:t>
      </w:r>
      <w:proofErr w:type="spellEnd"/>
      <w:r w:rsidRPr="00883823">
        <w:rPr>
          <w:rFonts w:cs="Times New Roman"/>
        </w:rPr>
        <w:t xml:space="preserve"> </w:t>
      </w:r>
      <w:r>
        <w:rPr>
          <w:rFonts w:cs="Times New Roman"/>
        </w:rPr>
        <w:t xml:space="preserve">premiers </w:t>
      </w:r>
      <w:proofErr w:type="spellStart"/>
      <w:r w:rsidRPr="00883823">
        <w:rPr>
          <w:rFonts w:cs="Times New Roman"/>
        </w:rPr>
        <w:t>est</w:t>
      </w:r>
      <w:proofErr w:type="spellEnd"/>
      <w:r w:rsidRPr="00883823">
        <w:rPr>
          <w:rFonts w:cs="Times New Roman"/>
        </w:rPr>
        <w:t xml:space="preserve"> </w:t>
      </w:r>
      <w:proofErr w:type="spellStart"/>
      <w:r w:rsidRPr="00883823">
        <w:rPr>
          <w:rFonts w:cs="Times New Roman"/>
        </w:rPr>
        <w:t>nécessaire</w:t>
      </w:r>
      <w:proofErr w:type="spellEnd"/>
      <w:r w:rsidRPr="00883823">
        <w:rPr>
          <w:rFonts w:cs="Times New Roman"/>
        </w:rPr>
        <w:t>.</w:t>
      </w:r>
    </w:p>
    <w:p w14:paraId="20658A1B"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Notre collègue accorderait également à M. G une exemption individuelle de la suspension de l’effet de la déclaration d’invalidité. Avec égards, si notre Cour accordait une telle exemption en l’espèce, elle excéderait sa compétence institutionnelle et empiéterait sur le domaine législatif. </w:t>
      </w:r>
    </w:p>
    <w:p w14:paraId="726FFDAE"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Pour les motifs qui suivent, nous sommes d’avis de confirmer la suspension, pour 12 mois, de l’effet de la déclaration d’invalidité. Nous n’accorderions cependant pas d’exemption individuelle à l’intimé.</w:t>
      </w:r>
    </w:p>
    <w:p w14:paraId="4D63EE2D" w14:textId="77777777" w:rsidR="00F712C6" w:rsidRPr="00883823" w:rsidRDefault="00F712C6" w:rsidP="00F712C6">
      <w:pPr>
        <w:pStyle w:val="Title1LevelTitre1Niveau-AltL"/>
        <w:rPr>
          <w:rFonts w:cs="Times New Roman"/>
          <w:lang w:val="fr-CA"/>
        </w:rPr>
      </w:pPr>
      <w:r w:rsidRPr="00883823">
        <w:rPr>
          <w:rFonts w:cs="Times New Roman"/>
          <w:lang w:val="fr-CA"/>
        </w:rPr>
        <w:t xml:space="preserve">Paragraphe 15(1) de la </w:t>
      </w:r>
      <w:r w:rsidRPr="00883823">
        <w:rPr>
          <w:rFonts w:cs="Times New Roman"/>
          <w:i/>
          <w:lang w:val="fr-CA"/>
        </w:rPr>
        <w:t>Charte canadienne des droits et libertés</w:t>
      </w:r>
    </w:p>
    <w:p w14:paraId="0DB518D4"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Avant d’entamer notre analyse des réparations, nous tenons à formuler les observations suivantes au sujet de la façon dont notre collègue aborde le </w:t>
      </w:r>
      <w:r>
        <w:rPr>
          <w:rFonts w:cs="Times New Roman"/>
          <w:lang w:val="fr-CA"/>
        </w:rPr>
        <w:t>par. </w:t>
      </w:r>
      <w:r w:rsidRPr="00883823">
        <w:rPr>
          <w:rFonts w:cs="Times New Roman"/>
          <w:lang w:val="fr-CA"/>
        </w:rPr>
        <w:t xml:space="preserve">15(1) de la </w:t>
      </w:r>
      <w:r w:rsidRPr="00883823">
        <w:rPr>
          <w:rFonts w:cs="Times New Roman"/>
          <w:i/>
          <w:lang w:val="fr-CA"/>
        </w:rPr>
        <w:t>Charte</w:t>
      </w:r>
      <w:r w:rsidRPr="00883823">
        <w:rPr>
          <w:rFonts w:cs="Times New Roman"/>
          <w:lang w:val="fr-CA"/>
        </w:rPr>
        <w:t xml:space="preserve">. </w:t>
      </w:r>
    </w:p>
    <w:p w14:paraId="778646BE" w14:textId="77777777" w:rsidR="00F712C6" w:rsidRPr="00883823" w:rsidRDefault="00F712C6" w:rsidP="00F712C6">
      <w:pPr>
        <w:pStyle w:val="ParaNoNdepar-AltN"/>
        <w:tabs>
          <w:tab w:val="clear" w:pos="1166"/>
          <w:tab w:val="num" w:pos="1152"/>
        </w:tabs>
        <w:rPr>
          <w:rFonts w:cs="Times New Roman"/>
          <w:szCs w:val="24"/>
          <w:lang w:val="fr-CA"/>
        </w:rPr>
      </w:pPr>
      <w:r w:rsidRPr="00883823">
        <w:rPr>
          <w:rFonts w:cs="Times New Roman"/>
          <w:lang w:val="fr-CA"/>
        </w:rPr>
        <w:t xml:space="preserve">À notre avis, il est facile de trancher la question du </w:t>
      </w:r>
      <w:r>
        <w:rPr>
          <w:rFonts w:cs="Times New Roman"/>
          <w:lang w:val="fr-CA"/>
        </w:rPr>
        <w:t>par. </w:t>
      </w:r>
      <w:r w:rsidRPr="00883823">
        <w:rPr>
          <w:rFonts w:cs="Times New Roman"/>
          <w:lang w:val="fr-CA"/>
        </w:rPr>
        <w:t>15(1). La</w:t>
      </w:r>
      <w:r>
        <w:rPr>
          <w:rFonts w:cs="Times New Roman"/>
          <w:lang w:val="fr-CA"/>
        </w:rPr>
        <w:t xml:space="preserve"> </w:t>
      </w:r>
      <w:r>
        <w:rPr>
          <w:rFonts w:cs="Times New Roman"/>
          <w:i/>
          <w:noProof/>
          <w:lang w:val="fr-CA"/>
        </w:rPr>
        <w:t xml:space="preserve">Loi Christopher de </w:t>
      </w:r>
      <w:r w:rsidRPr="00883823">
        <w:rPr>
          <w:rFonts w:cs="Times New Roman"/>
          <w:i/>
          <w:noProof/>
          <w:lang w:val="fr-CA"/>
        </w:rPr>
        <w:t>2000 sur le registre des délinquants sexuels</w:t>
      </w:r>
      <w:r w:rsidRPr="00883823">
        <w:rPr>
          <w:rFonts w:cs="Times New Roman"/>
          <w:noProof/>
          <w:lang w:val="fr-CA"/>
        </w:rPr>
        <w:t>, L.O. 2000, c. 1 (« </w:t>
      </w:r>
      <w:r>
        <w:rPr>
          <w:rFonts w:cs="Times New Roman"/>
          <w:i/>
          <w:noProof/>
          <w:lang w:val="fr-CA"/>
        </w:rPr>
        <w:t>Loi Christopher</w:t>
      </w:r>
      <w:r w:rsidRPr="00883823">
        <w:rPr>
          <w:rFonts w:cs="Times New Roman"/>
          <w:i/>
          <w:noProof/>
          <w:lang w:val="fr-CA"/>
        </w:rPr>
        <w:t> </w:t>
      </w:r>
      <w:r w:rsidRPr="00883823">
        <w:rPr>
          <w:rFonts w:cs="Times New Roman"/>
          <w:noProof/>
          <w:lang w:val="fr-CA"/>
        </w:rPr>
        <w:t>»),</w:t>
      </w:r>
      <w:r w:rsidRPr="00883823">
        <w:rPr>
          <w:rFonts w:cs="Times New Roman"/>
          <w:szCs w:val="24"/>
          <w:lang w:val="fr-CA"/>
        </w:rPr>
        <w:t xml:space="preserve"> établit une distinction entre les personnes déclarées non responsables criminellement pour cause de troubles mentaux et les personnes reconnues coupables. Et cette distinction accentue un désavantage préexistant en perpétuant le stéréotype selon lequel les personnes souffrant de troubles mentaux sont en soi dangereuses (</w:t>
      </w:r>
      <w:r w:rsidRPr="00883823">
        <w:rPr>
          <w:rFonts w:cs="Times New Roman"/>
          <w:i/>
          <w:szCs w:val="24"/>
          <w:lang w:val="fr-CA"/>
        </w:rPr>
        <w:t xml:space="preserve">Première Nation de </w:t>
      </w:r>
      <w:proofErr w:type="spellStart"/>
      <w:r w:rsidRPr="00883823">
        <w:rPr>
          <w:rFonts w:cs="Times New Roman"/>
          <w:i/>
          <w:szCs w:val="24"/>
          <w:lang w:val="fr-CA"/>
        </w:rPr>
        <w:t>Kahkewistahaw</w:t>
      </w:r>
      <w:proofErr w:type="spellEnd"/>
      <w:r w:rsidRPr="00883823">
        <w:rPr>
          <w:rFonts w:cs="Times New Roman"/>
          <w:i/>
          <w:szCs w:val="24"/>
          <w:lang w:val="fr-CA"/>
        </w:rPr>
        <w:t xml:space="preserve"> c. </w:t>
      </w:r>
      <w:proofErr w:type="spellStart"/>
      <w:r w:rsidRPr="00883823">
        <w:rPr>
          <w:rFonts w:cs="Times New Roman"/>
          <w:i/>
          <w:szCs w:val="24"/>
          <w:lang w:val="fr-CA"/>
        </w:rPr>
        <w:t>Taypotat</w:t>
      </w:r>
      <w:proofErr w:type="spellEnd"/>
      <w:r w:rsidRPr="00883823">
        <w:rPr>
          <w:rFonts w:cs="Times New Roman"/>
          <w:szCs w:val="24"/>
          <w:lang w:val="fr-CA"/>
        </w:rPr>
        <w:t xml:space="preserve">, 2015 CSC 30, [2015] 2 R.C.S. 548, </w:t>
      </w:r>
      <w:r>
        <w:rPr>
          <w:rFonts w:cs="Times New Roman"/>
          <w:szCs w:val="24"/>
          <w:lang w:val="fr-CA"/>
        </w:rPr>
        <w:t>par. </w:t>
      </w:r>
      <w:r w:rsidRPr="00883823">
        <w:rPr>
          <w:rFonts w:cs="Times New Roman"/>
          <w:szCs w:val="24"/>
          <w:lang w:val="fr-CA"/>
        </w:rPr>
        <w:t>19</w:t>
      </w:r>
      <w:r>
        <w:rPr>
          <w:rFonts w:cs="Times New Roman"/>
          <w:szCs w:val="24"/>
          <w:lang w:val="fr-CA"/>
        </w:rPr>
        <w:noBreakHyphen/>
      </w:r>
      <w:r w:rsidRPr="00883823">
        <w:rPr>
          <w:rFonts w:cs="Times New Roman"/>
          <w:szCs w:val="24"/>
          <w:lang w:val="fr-CA"/>
        </w:rPr>
        <w:t>20). Les personnes déclarées coupables disposent de plusieurs « </w:t>
      </w:r>
      <w:r>
        <w:rPr>
          <w:rFonts w:cs="Times New Roman"/>
          <w:szCs w:val="24"/>
          <w:lang w:val="fr-CA"/>
        </w:rPr>
        <w:t>voies</w:t>
      </w:r>
      <w:r w:rsidRPr="00883823">
        <w:rPr>
          <w:rFonts w:cs="Times New Roman"/>
          <w:szCs w:val="24"/>
          <w:lang w:val="fr-CA"/>
        </w:rPr>
        <w:t xml:space="preserve"> de sortie » qui leur permettent d’être dispensées de l’obligation de s’inscrire au registre des délinquants sexuels instauré par la </w:t>
      </w:r>
      <w:r w:rsidRPr="00883823">
        <w:rPr>
          <w:rFonts w:cs="Times New Roman"/>
          <w:i/>
          <w:szCs w:val="24"/>
          <w:lang w:val="fr-CA"/>
        </w:rPr>
        <w:t>Loi Christopher</w:t>
      </w:r>
      <w:r>
        <w:rPr>
          <w:rFonts w:cs="Times New Roman"/>
          <w:i/>
          <w:szCs w:val="24"/>
          <w:lang w:val="fr-CA"/>
        </w:rPr>
        <w:t> </w:t>
      </w:r>
      <w:r>
        <w:rPr>
          <w:rFonts w:cs="Times New Roman"/>
          <w:szCs w:val="24"/>
          <w:lang w:val="fr-CA"/>
        </w:rPr>
        <w:t>:</w:t>
      </w:r>
      <w:r w:rsidRPr="00883823">
        <w:rPr>
          <w:rFonts w:cs="Times New Roman"/>
          <w:szCs w:val="24"/>
          <w:lang w:val="fr-CA"/>
        </w:rPr>
        <w:t xml:space="preserve"> si elles reçoivent une absolution conditionnelle ou une absolution inconditionnelle en vertu de l’</w:t>
      </w:r>
      <w:r>
        <w:rPr>
          <w:rFonts w:cs="Times New Roman"/>
          <w:szCs w:val="24"/>
          <w:lang w:val="fr-CA"/>
        </w:rPr>
        <w:t>art. </w:t>
      </w:r>
      <w:r w:rsidRPr="00883823">
        <w:rPr>
          <w:rFonts w:cs="Times New Roman"/>
          <w:szCs w:val="24"/>
          <w:lang w:val="fr-CA"/>
        </w:rPr>
        <w:t xml:space="preserve">730 du </w:t>
      </w:r>
      <w:r w:rsidRPr="00883823">
        <w:rPr>
          <w:rFonts w:cs="Times New Roman"/>
          <w:i/>
          <w:szCs w:val="24"/>
          <w:lang w:val="fr-CA"/>
        </w:rPr>
        <w:t>Code criminel</w:t>
      </w:r>
      <w:r w:rsidRPr="00883823">
        <w:rPr>
          <w:rFonts w:cs="Times New Roman"/>
          <w:szCs w:val="24"/>
          <w:lang w:val="fr-CA"/>
        </w:rPr>
        <w:t>, L.R.C. 1985, c. C</w:t>
      </w:r>
      <w:r>
        <w:rPr>
          <w:rFonts w:cs="Times New Roman"/>
          <w:szCs w:val="24"/>
          <w:lang w:val="fr-CA"/>
        </w:rPr>
        <w:noBreakHyphen/>
      </w:r>
      <w:r w:rsidRPr="00883823">
        <w:rPr>
          <w:rFonts w:cs="Times New Roman"/>
          <w:szCs w:val="24"/>
          <w:lang w:val="fr-CA"/>
        </w:rPr>
        <w:t>46,</w:t>
      </w:r>
      <w:r w:rsidRPr="00883823">
        <w:rPr>
          <w:rFonts w:cs="Times New Roman"/>
          <w:i/>
          <w:szCs w:val="24"/>
          <w:lang w:val="fr-CA"/>
        </w:rPr>
        <w:t xml:space="preserve"> </w:t>
      </w:r>
      <w:r w:rsidRPr="00883823">
        <w:rPr>
          <w:rFonts w:cs="Times New Roman"/>
          <w:szCs w:val="24"/>
          <w:lang w:val="fr-CA"/>
        </w:rPr>
        <w:t xml:space="preserve">ou </w:t>
      </w:r>
      <w:r w:rsidRPr="00883823">
        <w:rPr>
          <w:rFonts w:cs="Times New Roman"/>
          <w:noProof/>
          <w:lang w:val="fr-CA"/>
        </w:rPr>
        <w:t xml:space="preserve">si elles obtiennent un pardon ou une suspension de leur casier judiciaire </w:t>
      </w:r>
      <w:r w:rsidRPr="00883823">
        <w:rPr>
          <w:rFonts w:cs="Times New Roman"/>
          <w:lang w:val="fr-CA"/>
        </w:rPr>
        <w:t>(</w:t>
      </w:r>
      <w:r w:rsidRPr="00883823">
        <w:rPr>
          <w:rFonts w:cs="Times New Roman"/>
          <w:i/>
          <w:lang w:val="fr-CA"/>
        </w:rPr>
        <w:t>Loi Christopher</w:t>
      </w:r>
      <w:r w:rsidRPr="00883823">
        <w:rPr>
          <w:rFonts w:cs="Times New Roman"/>
          <w:lang w:val="fr-CA"/>
        </w:rPr>
        <w:t>,</w:t>
      </w:r>
      <w:r w:rsidRPr="00883823">
        <w:rPr>
          <w:rFonts w:cs="Times New Roman"/>
          <w:i/>
          <w:lang w:val="fr-CA"/>
        </w:rPr>
        <w:t xml:space="preserve"> </w:t>
      </w:r>
      <w:r>
        <w:rPr>
          <w:rFonts w:cs="Times New Roman"/>
          <w:lang w:val="fr-CA"/>
        </w:rPr>
        <w:t>par. </w:t>
      </w:r>
      <w:r w:rsidRPr="00883823">
        <w:rPr>
          <w:rFonts w:cs="Times New Roman"/>
          <w:lang w:val="fr-CA"/>
        </w:rPr>
        <w:t>1(1) « délinquant » et « pardon », 7(4) et 9.1)</w:t>
      </w:r>
      <w:r w:rsidRPr="00883823">
        <w:rPr>
          <w:rFonts w:cs="Times New Roman"/>
          <w:szCs w:val="24"/>
          <w:lang w:val="fr-CA"/>
        </w:rPr>
        <w:t xml:space="preserve">. En revanche, les personnes déclarées non responsables criminellement pour cause de troubles mentaux n’ont pas accès à ces mécanismes, même lorsque la Commission ontarienne d’examen juge qu’elles ne </w:t>
      </w:r>
      <w:r w:rsidRPr="00883823">
        <w:rPr>
          <w:rFonts w:cs="Times New Roman"/>
          <w:noProof/>
          <w:lang w:val="fr-CA"/>
        </w:rPr>
        <w:t>représentent plus un risque important pour la sécurité du public</w:t>
      </w:r>
      <w:r w:rsidRPr="00883823">
        <w:rPr>
          <w:rFonts w:cs="Times New Roman"/>
          <w:szCs w:val="24"/>
          <w:lang w:val="fr-CA"/>
        </w:rPr>
        <w:t xml:space="preserve"> et qu’elle leur accorde une libération inconditionnelle. Par conséquent, les personnes déclarées non responsables criminellement, pour cause de troubles mentaux, de plusieurs infractions sexuelles ou d’une infraction sexuelle pour laquelle la peine maximale prévue dépasse dix ans doivent — systématiquement et sans exception — se conformer à la </w:t>
      </w:r>
      <w:r w:rsidRPr="00883823">
        <w:rPr>
          <w:rFonts w:cs="Times New Roman"/>
          <w:i/>
          <w:szCs w:val="24"/>
          <w:lang w:val="fr-CA"/>
        </w:rPr>
        <w:t>Loi Christopher</w:t>
      </w:r>
      <w:r w:rsidRPr="00883823">
        <w:rPr>
          <w:rFonts w:cs="Times New Roman"/>
          <w:szCs w:val="24"/>
          <w:lang w:val="fr-CA"/>
        </w:rPr>
        <w:t xml:space="preserve"> pour le reste de leur vie (</w:t>
      </w:r>
      <w:r>
        <w:rPr>
          <w:rFonts w:cs="Times New Roman"/>
          <w:szCs w:val="24"/>
          <w:lang w:val="fr-CA"/>
        </w:rPr>
        <w:t>al. </w:t>
      </w:r>
      <w:r w:rsidRPr="00883823">
        <w:rPr>
          <w:rFonts w:cs="Times New Roman"/>
          <w:szCs w:val="24"/>
          <w:lang w:val="fr-CA"/>
        </w:rPr>
        <w:t>7(1</w:t>
      </w:r>
      <w:proofErr w:type="gramStart"/>
      <w:r w:rsidRPr="00883823">
        <w:rPr>
          <w:rFonts w:cs="Times New Roman"/>
          <w:szCs w:val="24"/>
          <w:lang w:val="fr-CA"/>
        </w:rPr>
        <w:t>)b</w:t>
      </w:r>
      <w:proofErr w:type="gramEnd"/>
      <w:r w:rsidRPr="00883823">
        <w:rPr>
          <w:rFonts w:cs="Times New Roman"/>
          <w:szCs w:val="24"/>
          <w:lang w:val="fr-CA"/>
        </w:rPr>
        <w:t>) et c)). Ceci constitue une différence de traitement fondée sur un motif énuméré</w:t>
      </w:r>
      <w:r>
        <w:rPr>
          <w:rFonts w:cs="Times New Roman"/>
          <w:szCs w:val="24"/>
          <w:lang w:val="fr-CA"/>
        </w:rPr>
        <w:t> :</w:t>
      </w:r>
      <w:r w:rsidRPr="00883823">
        <w:rPr>
          <w:rFonts w:cs="Times New Roman"/>
          <w:szCs w:val="24"/>
          <w:lang w:val="fr-CA"/>
        </w:rPr>
        <w:t xml:space="preserve"> la déficience mentale. La réparation appropriée consiste à exiger de la législature qu’elle offre aux personnes déclarées non responsables criminellement pour cause de troubles mentaux, qui ont été libérées inconditionnellement, la</w:t>
      </w:r>
      <w:r w:rsidRPr="00883823">
        <w:rPr>
          <w:rFonts w:cs="Times New Roman"/>
          <w:i/>
          <w:szCs w:val="24"/>
          <w:lang w:val="fr-CA"/>
        </w:rPr>
        <w:t xml:space="preserve"> possibilité</w:t>
      </w:r>
      <w:r w:rsidRPr="00883823">
        <w:rPr>
          <w:rFonts w:cs="Times New Roman"/>
          <w:szCs w:val="24"/>
          <w:lang w:val="fr-CA"/>
        </w:rPr>
        <w:t xml:space="preserve"> de bénéficier d’une exemption et d’être retirées du registre prévu par la </w:t>
      </w:r>
      <w:r w:rsidRPr="00883823">
        <w:rPr>
          <w:rFonts w:cs="Times New Roman"/>
          <w:i/>
          <w:szCs w:val="24"/>
          <w:lang w:val="fr-CA"/>
        </w:rPr>
        <w:t>Loi Christopher</w:t>
      </w:r>
      <w:r w:rsidRPr="00883823">
        <w:rPr>
          <w:rFonts w:cs="Times New Roman"/>
          <w:szCs w:val="24"/>
          <w:lang w:val="fr-CA"/>
        </w:rPr>
        <w:t>.</w:t>
      </w:r>
    </w:p>
    <w:p w14:paraId="7554DD08" w14:textId="77777777" w:rsidR="00F712C6" w:rsidRPr="00883823" w:rsidRDefault="00F712C6" w:rsidP="00F712C6">
      <w:pPr>
        <w:pStyle w:val="ParaNoNdepar-AltN"/>
        <w:tabs>
          <w:tab w:val="clear" w:pos="1166"/>
          <w:tab w:val="num" w:pos="1152"/>
        </w:tabs>
        <w:rPr>
          <w:rFonts w:cs="Times New Roman"/>
          <w:szCs w:val="24"/>
          <w:lang w:val="fr-CA"/>
        </w:rPr>
      </w:pPr>
      <w:r w:rsidRPr="00883823">
        <w:rPr>
          <w:rFonts w:cs="Times New Roman"/>
          <w:szCs w:val="24"/>
          <w:lang w:val="fr-CA"/>
        </w:rPr>
        <w:t xml:space="preserve">Voilà qui tranche le fond de la question relative au </w:t>
      </w:r>
      <w:proofErr w:type="spellStart"/>
      <w:r>
        <w:rPr>
          <w:rFonts w:cs="Times New Roman"/>
          <w:szCs w:val="24"/>
          <w:lang w:val="fr-CA"/>
        </w:rPr>
        <w:t>par</w:t>
      </w:r>
      <w:proofErr w:type="spellEnd"/>
      <w:r>
        <w:rPr>
          <w:rFonts w:cs="Times New Roman"/>
          <w:szCs w:val="24"/>
          <w:lang w:val="fr-CA"/>
        </w:rPr>
        <w:t>. </w:t>
      </w:r>
      <w:r w:rsidRPr="00883823">
        <w:rPr>
          <w:rFonts w:cs="Times New Roman"/>
          <w:szCs w:val="24"/>
          <w:lang w:val="fr-CA"/>
        </w:rPr>
        <w:t xml:space="preserve">15(1). Notre collègue va toutefois plus loin et, dans une longue opinion en </w:t>
      </w:r>
      <w:proofErr w:type="spellStart"/>
      <w:r w:rsidRPr="00883823">
        <w:rPr>
          <w:rFonts w:cs="Times New Roman"/>
          <w:szCs w:val="24"/>
          <w:lang w:val="fr-CA"/>
        </w:rPr>
        <w:t>obiter</w:t>
      </w:r>
      <w:proofErr w:type="spellEnd"/>
      <w:r w:rsidRPr="00883823">
        <w:rPr>
          <w:rFonts w:cs="Times New Roman"/>
          <w:szCs w:val="24"/>
          <w:lang w:val="fr-CA"/>
        </w:rPr>
        <w:t>, parle de la discrimination par suite d’un effet préjudiciable et de « l’égalité réelle » (</w:t>
      </w:r>
      <w:r>
        <w:rPr>
          <w:rFonts w:cs="Times New Roman"/>
          <w:szCs w:val="24"/>
          <w:lang w:val="fr-CA"/>
        </w:rPr>
        <w:t>par. </w:t>
      </w:r>
      <w:r w:rsidRPr="00883823">
        <w:rPr>
          <w:rFonts w:cs="Times New Roman"/>
          <w:szCs w:val="24"/>
          <w:lang w:val="fr-CA"/>
        </w:rPr>
        <w:t>41</w:t>
      </w:r>
      <w:r>
        <w:rPr>
          <w:rFonts w:cs="Times New Roman"/>
          <w:szCs w:val="24"/>
          <w:lang w:val="fr-CA"/>
        </w:rPr>
        <w:noBreakHyphen/>
      </w:r>
      <w:r w:rsidRPr="00883823">
        <w:rPr>
          <w:rFonts w:cs="Times New Roman"/>
          <w:szCs w:val="24"/>
          <w:lang w:val="fr-CA"/>
        </w:rPr>
        <w:t>69). Ses affirmations doctrinales n’ont pas le moindre rapport avec les questions soulevées par le présent pourvoi, d’autant plus que la présente affaire n’en est pas une de discrimination par suite d’un effet préjudiciable</w:t>
      </w:r>
      <w:r>
        <w:rPr>
          <w:rFonts w:cs="Times New Roman"/>
          <w:szCs w:val="24"/>
          <w:lang w:val="fr-CA"/>
        </w:rPr>
        <w:t>.</w:t>
      </w:r>
      <w:r w:rsidRPr="00883823">
        <w:rPr>
          <w:rFonts w:cs="Times New Roman"/>
          <w:szCs w:val="24"/>
          <w:lang w:val="fr-CA"/>
        </w:rPr>
        <w:t xml:space="preserve"> La distinction en l’espèce est à première vue évidente</w:t>
      </w:r>
      <w:r>
        <w:rPr>
          <w:rFonts w:cs="Times New Roman"/>
          <w:szCs w:val="24"/>
          <w:lang w:val="fr-CA"/>
        </w:rPr>
        <w:t> :</w:t>
      </w:r>
      <w:r w:rsidRPr="00883823">
        <w:rPr>
          <w:rFonts w:cs="Times New Roman"/>
          <w:szCs w:val="24"/>
          <w:lang w:val="fr-CA"/>
        </w:rPr>
        <w:t xml:space="preserve"> la </w:t>
      </w:r>
      <w:r w:rsidRPr="00883823">
        <w:rPr>
          <w:rFonts w:cs="Times New Roman"/>
          <w:i/>
          <w:szCs w:val="24"/>
          <w:lang w:val="fr-CA"/>
        </w:rPr>
        <w:t>Loi Christopher</w:t>
      </w:r>
      <w:r w:rsidRPr="00883823">
        <w:rPr>
          <w:rFonts w:cs="Times New Roman"/>
          <w:szCs w:val="24"/>
          <w:lang w:val="fr-CA"/>
        </w:rPr>
        <w:t xml:space="preserve"> prévoit explicitement que les personnes déclarées non responsables criminellement pour cause de troubles mentaux — des personnes qui sont atteintes d’une déficience mentale — et celles qui ont été « déclarées coupables » doivent se conformer à </w:t>
      </w:r>
      <w:r w:rsidRPr="00883823">
        <w:rPr>
          <w:rFonts w:cs="Times New Roman"/>
          <w:noProof/>
          <w:lang w:val="fr-CA" w:eastAsia="en-CA"/>
        </w:rPr>
        <w:t>l’obligation de s’inscrire au registre des délinquants sexuels</w:t>
      </w:r>
      <w:r w:rsidRPr="00883823">
        <w:rPr>
          <w:rFonts w:cs="Times New Roman"/>
          <w:szCs w:val="24"/>
          <w:lang w:val="fr-CA"/>
        </w:rPr>
        <w:t xml:space="preserve"> (</w:t>
      </w:r>
      <w:r>
        <w:rPr>
          <w:rFonts w:cs="Times New Roman"/>
          <w:szCs w:val="24"/>
          <w:lang w:val="fr-CA"/>
        </w:rPr>
        <w:t>par. </w:t>
      </w:r>
      <w:r w:rsidRPr="00883823">
        <w:rPr>
          <w:rFonts w:cs="Times New Roman"/>
          <w:szCs w:val="24"/>
          <w:lang w:val="fr-CA"/>
        </w:rPr>
        <w:t xml:space="preserve">1(1) « délinquant », </w:t>
      </w:r>
      <w:r>
        <w:rPr>
          <w:rFonts w:cs="Times New Roman"/>
          <w:szCs w:val="24"/>
          <w:lang w:val="fr-CA"/>
        </w:rPr>
        <w:t>art. </w:t>
      </w:r>
      <w:r w:rsidRPr="00883823">
        <w:rPr>
          <w:rFonts w:cs="Times New Roman"/>
          <w:szCs w:val="24"/>
          <w:lang w:val="fr-CA"/>
        </w:rPr>
        <w:t xml:space="preserve">2 et </w:t>
      </w:r>
      <w:r>
        <w:rPr>
          <w:rFonts w:cs="Times New Roman"/>
          <w:szCs w:val="24"/>
          <w:lang w:val="fr-CA"/>
        </w:rPr>
        <w:t>al. </w:t>
      </w:r>
      <w:r w:rsidRPr="00883823">
        <w:rPr>
          <w:rFonts w:cs="Times New Roman"/>
          <w:szCs w:val="24"/>
          <w:lang w:val="fr-CA"/>
        </w:rPr>
        <w:t>8(1</w:t>
      </w:r>
      <w:proofErr w:type="gramStart"/>
      <w:r w:rsidRPr="00883823">
        <w:rPr>
          <w:rFonts w:cs="Times New Roman"/>
          <w:szCs w:val="24"/>
          <w:lang w:val="fr-CA"/>
        </w:rPr>
        <w:t>)c</w:t>
      </w:r>
      <w:proofErr w:type="gramEnd"/>
      <w:r w:rsidRPr="00883823">
        <w:rPr>
          <w:rFonts w:cs="Times New Roman"/>
          <w:szCs w:val="24"/>
          <w:lang w:val="fr-CA"/>
        </w:rPr>
        <w:t>)). Elle dispense ensuite expressément de cette obligation les personnes qui ont reçu un pardon et celles qui ont obtenu une suspension de leur casier judiciaire ou qui ont été absoutes inconditionnellement ou sous conditions en vertu de l’</w:t>
      </w:r>
      <w:r>
        <w:rPr>
          <w:rFonts w:cs="Times New Roman"/>
          <w:szCs w:val="24"/>
          <w:lang w:val="fr-CA"/>
        </w:rPr>
        <w:t>art. </w:t>
      </w:r>
      <w:r w:rsidRPr="00883823">
        <w:rPr>
          <w:rFonts w:cs="Times New Roman"/>
          <w:szCs w:val="24"/>
          <w:lang w:val="fr-CA"/>
        </w:rPr>
        <w:t xml:space="preserve">730 du </w:t>
      </w:r>
      <w:r w:rsidRPr="00883823">
        <w:rPr>
          <w:rFonts w:cs="Times New Roman"/>
          <w:i/>
          <w:szCs w:val="24"/>
          <w:lang w:val="fr-CA"/>
        </w:rPr>
        <w:t>Code</w:t>
      </w:r>
      <w:r w:rsidRPr="00883823">
        <w:rPr>
          <w:rFonts w:cs="Times New Roman"/>
          <w:szCs w:val="24"/>
          <w:lang w:val="fr-CA"/>
        </w:rPr>
        <w:t>. Toutefois, la personne déclarée non responsable criminellement pour cause de troubles mentaux n’est pas admissible à un pardon, à une suspension de son casier judiciaire ou à une absolution en vertu de l’</w:t>
      </w:r>
      <w:r>
        <w:rPr>
          <w:rFonts w:cs="Times New Roman"/>
          <w:szCs w:val="24"/>
          <w:lang w:val="fr-CA"/>
        </w:rPr>
        <w:t>art. </w:t>
      </w:r>
      <w:r w:rsidRPr="00883823">
        <w:rPr>
          <w:rFonts w:cs="Times New Roman"/>
          <w:szCs w:val="24"/>
          <w:lang w:val="fr-CA"/>
        </w:rPr>
        <w:t xml:space="preserve">730 parce qu’elle est réputée, en application du </w:t>
      </w:r>
      <w:r w:rsidRPr="00883823">
        <w:rPr>
          <w:rFonts w:cs="Times New Roman"/>
          <w:i/>
          <w:szCs w:val="24"/>
          <w:lang w:val="fr-CA"/>
        </w:rPr>
        <w:t>Code</w:t>
      </w:r>
      <w:r w:rsidRPr="00883823">
        <w:rPr>
          <w:rFonts w:cs="Times New Roman"/>
          <w:szCs w:val="24"/>
          <w:lang w:val="fr-CA"/>
        </w:rPr>
        <w:t>, n’avoir commis aucun crime (</w:t>
      </w:r>
      <w:r>
        <w:rPr>
          <w:rFonts w:cs="Times New Roman"/>
          <w:szCs w:val="24"/>
          <w:lang w:val="fr-CA"/>
        </w:rPr>
        <w:t>par. </w:t>
      </w:r>
      <w:r w:rsidRPr="00883823">
        <w:rPr>
          <w:rFonts w:cs="Times New Roman"/>
          <w:szCs w:val="24"/>
          <w:lang w:val="fr-CA"/>
        </w:rPr>
        <w:t xml:space="preserve">16(1) et 672.1(1), </w:t>
      </w:r>
      <w:r>
        <w:rPr>
          <w:rFonts w:cs="Times New Roman"/>
          <w:szCs w:val="24"/>
          <w:lang w:val="fr-CA"/>
        </w:rPr>
        <w:t>art. </w:t>
      </w:r>
      <w:r w:rsidRPr="00883823">
        <w:rPr>
          <w:rFonts w:cs="Times New Roman"/>
          <w:szCs w:val="24"/>
          <w:lang w:val="fr-CA"/>
        </w:rPr>
        <w:t>672.34 et 672.35). Cette situation discriminatoire, qui résulte de l’interprétation conjointe de deux ou de plusieurs lois, ne constitue pas de la discrimination par suite d’un effet préjudiciable. Dans le cas d’une discrimination par suite d’un effet préjudiciable, la loi discriminatoire semble à première vue neutre et la question centrale est celle du lien de causalité</w:t>
      </w:r>
      <w:r>
        <w:rPr>
          <w:rFonts w:cs="Times New Roman"/>
          <w:szCs w:val="24"/>
          <w:lang w:val="fr-CA"/>
        </w:rPr>
        <w:t> :</w:t>
      </w:r>
      <w:r w:rsidRPr="00883823">
        <w:rPr>
          <w:rFonts w:cs="Times New Roman"/>
          <w:szCs w:val="24"/>
          <w:lang w:val="fr-CA"/>
        </w:rPr>
        <w:t xml:space="preserve"> il s’agit de savoir si, en dépit de son apparente neutralité, la loi contestée accentue, de par son effet, un désavantage préexistant (</w:t>
      </w:r>
      <w:proofErr w:type="spellStart"/>
      <w:r w:rsidRPr="00883823">
        <w:rPr>
          <w:rFonts w:cs="Times New Roman"/>
          <w:i/>
          <w:lang w:val="fr-CA"/>
        </w:rPr>
        <w:t>Vriend</w:t>
      </w:r>
      <w:proofErr w:type="spellEnd"/>
      <w:r w:rsidRPr="00883823">
        <w:rPr>
          <w:rFonts w:cs="Times New Roman"/>
          <w:lang w:val="fr-CA"/>
        </w:rPr>
        <w:t xml:space="preserve"> </w:t>
      </w:r>
      <w:r w:rsidRPr="00883823">
        <w:rPr>
          <w:rFonts w:cs="Times New Roman"/>
          <w:i/>
          <w:lang w:val="fr-CA"/>
        </w:rPr>
        <w:t>c. Alberta</w:t>
      </w:r>
      <w:r w:rsidRPr="00883823">
        <w:rPr>
          <w:rFonts w:cs="Times New Roman"/>
          <w:lang w:val="fr-CA"/>
        </w:rPr>
        <w:t xml:space="preserve">, [1998] 1 R.C.S. 493, </w:t>
      </w:r>
      <w:r>
        <w:rPr>
          <w:rFonts w:cs="Times New Roman"/>
          <w:lang w:val="fr-CA"/>
        </w:rPr>
        <w:t>par. </w:t>
      </w:r>
      <w:r w:rsidRPr="00883823">
        <w:rPr>
          <w:rFonts w:cs="Times New Roman"/>
          <w:lang w:val="fr-CA"/>
        </w:rPr>
        <w:t>75</w:t>
      </w:r>
      <w:r>
        <w:rPr>
          <w:rFonts w:cs="Times New Roman"/>
          <w:lang w:val="fr-CA"/>
        </w:rPr>
        <w:noBreakHyphen/>
      </w:r>
      <w:r w:rsidRPr="00883823">
        <w:rPr>
          <w:rFonts w:cs="Times New Roman"/>
          <w:lang w:val="fr-CA"/>
        </w:rPr>
        <w:t>76</w:t>
      </w:r>
      <w:r w:rsidRPr="00883823">
        <w:rPr>
          <w:rFonts w:cs="Times New Roman"/>
          <w:szCs w:val="24"/>
          <w:lang w:val="fr-CA"/>
        </w:rPr>
        <w:t>). En pareil cas, le demandeur a alors « une tâche plus lourde » (</w:t>
      </w:r>
      <w:proofErr w:type="spellStart"/>
      <w:r w:rsidRPr="00883823">
        <w:rPr>
          <w:rFonts w:cs="Times New Roman"/>
          <w:i/>
          <w:szCs w:val="24"/>
          <w:lang w:val="fr-CA"/>
        </w:rPr>
        <w:t>Withler</w:t>
      </w:r>
      <w:proofErr w:type="spellEnd"/>
      <w:r w:rsidRPr="00883823">
        <w:rPr>
          <w:rFonts w:cs="Times New Roman"/>
          <w:i/>
          <w:szCs w:val="24"/>
          <w:lang w:val="fr-CA"/>
        </w:rPr>
        <w:t xml:space="preserve"> c. Canada (Procureur général)</w:t>
      </w:r>
      <w:r w:rsidRPr="00883823">
        <w:rPr>
          <w:rFonts w:cs="Times New Roman"/>
          <w:szCs w:val="24"/>
          <w:lang w:val="fr-CA"/>
        </w:rPr>
        <w:t xml:space="preserve">, 2011 CSC 12, [2011] 1 R.C.S. 396, </w:t>
      </w:r>
      <w:r>
        <w:rPr>
          <w:rFonts w:cs="Times New Roman"/>
          <w:szCs w:val="24"/>
          <w:lang w:val="fr-CA"/>
        </w:rPr>
        <w:t>par. </w:t>
      </w:r>
      <w:r w:rsidRPr="00883823">
        <w:rPr>
          <w:rFonts w:cs="Times New Roman"/>
          <w:szCs w:val="24"/>
          <w:lang w:val="fr-CA"/>
        </w:rPr>
        <w:t>64). En l’espèce, il n’y a tout simplement aucune tâche à accomplir ni lien de causalité à établir</w:t>
      </w:r>
      <w:r>
        <w:rPr>
          <w:rFonts w:cs="Times New Roman"/>
          <w:szCs w:val="24"/>
          <w:lang w:val="fr-CA"/>
        </w:rPr>
        <w:t> :</w:t>
      </w:r>
      <w:r w:rsidRPr="00883823">
        <w:rPr>
          <w:rFonts w:cs="Times New Roman"/>
          <w:szCs w:val="24"/>
          <w:lang w:val="fr-CA"/>
        </w:rPr>
        <w:t xml:space="preserve"> considérées ensemble, les lois en question établissent à première vue une distinction fondée sur la déficience mentale. </w:t>
      </w:r>
    </w:p>
    <w:p w14:paraId="53B07F68" w14:textId="1A3FFBF4" w:rsidR="00F712C6" w:rsidRPr="00883823" w:rsidRDefault="00F712C6" w:rsidP="00F712C6">
      <w:pPr>
        <w:pStyle w:val="ParaNoNdepar-AltN"/>
        <w:tabs>
          <w:tab w:val="clear" w:pos="1166"/>
          <w:tab w:val="num" w:pos="1152"/>
        </w:tabs>
        <w:rPr>
          <w:rFonts w:cs="Times New Roman"/>
          <w:szCs w:val="24"/>
          <w:lang w:val="fr-CA"/>
        </w:rPr>
      </w:pPr>
      <w:r w:rsidRPr="00883823">
        <w:rPr>
          <w:rFonts w:cs="Times New Roman"/>
          <w:szCs w:val="24"/>
          <w:lang w:val="fr-CA"/>
        </w:rPr>
        <w:t xml:space="preserve">Par conséquent, notre silence au sujet des </w:t>
      </w:r>
      <w:proofErr w:type="spellStart"/>
      <w:r w:rsidR="0025412A">
        <w:rPr>
          <w:rFonts w:cs="Times New Roman"/>
          <w:szCs w:val="24"/>
          <w:lang w:val="fr-CA"/>
        </w:rPr>
        <w:t>par</w:t>
      </w:r>
      <w:proofErr w:type="spellEnd"/>
      <w:r w:rsidR="0025412A">
        <w:rPr>
          <w:rFonts w:cs="Times New Roman"/>
          <w:szCs w:val="24"/>
          <w:lang w:val="fr-CA"/>
        </w:rPr>
        <w:t>. </w:t>
      </w:r>
      <w:r w:rsidRPr="00883823">
        <w:rPr>
          <w:rFonts w:cs="Times New Roman"/>
          <w:szCs w:val="24"/>
          <w:lang w:val="fr-CA"/>
        </w:rPr>
        <w:t xml:space="preserve">41 à 69 des motifs de notre collègue ne doit pas être interprété comme une approbation tacite de leur contenu. Nous estimons simplement qu’ils ne constituent pas de </w:t>
      </w:r>
      <w:r w:rsidRPr="00883823">
        <w:rPr>
          <w:rFonts w:cs="Times New Roman"/>
          <w:i/>
          <w:iCs/>
          <w:szCs w:val="24"/>
          <w:lang w:val="fr-CA"/>
        </w:rPr>
        <w:t>véritables motifs</w:t>
      </w:r>
      <w:r w:rsidRPr="00883823">
        <w:rPr>
          <w:rFonts w:cs="Times New Roman"/>
          <w:szCs w:val="24"/>
          <w:lang w:val="fr-CA"/>
        </w:rPr>
        <w:t xml:space="preserve"> à l’appui de son jugement, mais qu’il s’agit plutôt de « commentaires [. . .] ou d’exposés » (</w:t>
      </w:r>
      <w:r w:rsidRPr="00883823">
        <w:rPr>
          <w:rFonts w:cs="Times New Roman"/>
          <w:i/>
          <w:szCs w:val="24"/>
          <w:lang w:val="fr-CA"/>
        </w:rPr>
        <w:t>R. c. Henry</w:t>
      </w:r>
      <w:r w:rsidRPr="00883823">
        <w:rPr>
          <w:rFonts w:cs="Times New Roman"/>
          <w:szCs w:val="24"/>
          <w:lang w:val="fr-CA"/>
        </w:rPr>
        <w:t xml:space="preserve">, 2005 CSC 76, [2005] 3 R.C.S. 609, </w:t>
      </w:r>
      <w:r>
        <w:rPr>
          <w:rFonts w:cs="Times New Roman"/>
          <w:szCs w:val="24"/>
          <w:lang w:val="fr-CA"/>
        </w:rPr>
        <w:t>par. </w:t>
      </w:r>
      <w:r w:rsidRPr="00883823">
        <w:rPr>
          <w:rFonts w:cs="Times New Roman"/>
          <w:szCs w:val="24"/>
          <w:lang w:val="fr-CA"/>
        </w:rPr>
        <w:t xml:space="preserve">57). </w:t>
      </w:r>
    </w:p>
    <w:p w14:paraId="35148A3B" w14:textId="77777777" w:rsidR="00F712C6" w:rsidRPr="00883823" w:rsidRDefault="00F712C6" w:rsidP="00F712C6">
      <w:pPr>
        <w:pStyle w:val="Title1LevelTitre1Niveau-AltL"/>
        <w:rPr>
          <w:rFonts w:cs="Times New Roman"/>
          <w:lang w:val="fr-CA"/>
        </w:rPr>
      </w:pPr>
      <w:r w:rsidRPr="00883823">
        <w:rPr>
          <w:rFonts w:cs="Times New Roman"/>
          <w:lang w:val="fr-CA"/>
        </w:rPr>
        <w:t>Suspension de l’effet des déclarations d’invalidité</w:t>
      </w:r>
    </w:p>
    <w:p w14:paraId="7007BDEA" w14:textId="746A081B" w:rsidR="00F712C6" w:rsidRPr="00883823" w:rsidRDefault="00F712C6" w:rsidP="004A6852">
      <w:pPr>
        <w:pStyle w:val="ParaNoNdepar-AltN"/>
        <w:rPr>
          <w:lang w:val="fr-CA"/>
        </w:rPr>
      </w:pPr>
      <w:r w:rsidRPr="00883823">
        <w:rPr>
          <w:lang w:val="fr-CA"/>
        </w:rPr>
        <w:t xml:space="preserve">À notre avis, il y a trois principales raisons pour lesquelles une suspension de l’effet d’une déclaration d’invalidité est justifiée uniquement lorsque la primauté du droit est menacée. Tout d’abord, c’est le scénario qu’envisageait la Cour lorsqu’elle a exercé pour la première fois le pouvoir de suspendre l’effet d’une déclaration d’invalidité dans le </w:t>
      </w:r>
      <w:r w:rsidR="004A6852" w:rsidRPr="004A6852">
        <w:rPr>
          <w:rFonts w:cs="Times New Roman"/>
          <w:i/>
          <w:noProof/>
          <w:lang w:val="fr-CA"/>
        </w:rPr>
        <w:t>Renvoi relatif aux droits linguistiques au Manitoba</w:t>
      </w:r>
      <w:r w:rsidRPr="00883823">
        <w:rPr>
          <w:noProof/>
          <w:lang w:val="fr-CA"/>
        </w:rPr>
        <w:t>, [1985] 1 R.C.S. 721 (« </w:t>
      </w:r>
      <w:r w:rsidRPr="00883823">
        <w:rPr>
          <w:i/>
          <w:noProof/>
          <w:lang w:val="fr-CA"/>
        </w:rPr>
        <w:t>Renvoi relatif au Manitoba</w:t>
      </w:r>
      <w:r>
        <w:rPr>
          <w:i/>
          <w:noProof/>
          <w:lang w:val="fr-CA"/>
        </w:rPr>
        <w:t> </w:t>
      </w:r>
      <w:r w:rsidRPr="00883823">
        <w:rPr>
          <w:noProof/>
          <w:lang w:val="fr-CA"/>
        </w:rPr>
        <w:t>»)</w:t>
      </w:r>
      <w:r w:rsidRPr="00883823">
        <w:rPr>
          <w:lang w:val="fr-CA"/>
        </w:rPr>
        <w:t>. Deuxièmement, la Constitution commande un tel résultat</w:t>
      </w:r>
      <w:r>
        <w:rPr>
          <w:lang w:val="fr-CA"/>
        </w:rPr>
        <w:t> :</w:t>
      </w:r>
      <w:r w:rsidRPr="00883823">
        <w:rPr>
          <w:lang w:val="fr-CA"/>
        </w:rPr>
        <w:t xml:space="preserve"> son texte prévoit que la règle est le prononcé d’une déclaration avec effet immédiat, sous réserve uniquement d’une préoccupation quant à la primauté du droit. Troisièmement, les leçons tirées dans la foulée de l’arrêt </w:t>
      </w:r>
      <w:proofErr w:type="spellStart"/>
      <w:r w:rsidRPr="00883823">
        <w:rPr>
          <w:i/>
          <w:lang w:val="fr-CA"/>
        </w:rPr>
        <w:t>Schachter</w:t>
      </w:r>
      <w:proofErr w:type="spellEnd"/>
      <w:r w:rsidRPr="00883823">
        <w:rPr>
          <w:i/>
          <w:lang w:val="fr-CA"/>
        </w:rPr>
        <w:t xml:space="preserve"> </w:t>
      </w:r>
      <w:r w:rsidRPr="00883823">
        <w:rPr>
          <w:lang w:val="fr-CA"/>
        </w:rPr>
        <w:t>au sujet des répercussions pratiques de la suspension de l’effet des déclarations d’invalidité nous aident à comprendre pourquoi une approche discrétionnaire axée sur les « principes en matière de réparation » n’est pas souhaitable et pourquoi un lien entre la Constitution et la primauté du droit est si essentiel. Nous examinerons à tour de rôle chacun de ces aspects.</w:t>
      </w:r>
    </w:p>
    <w:p w14:paraId="740DBAF5" w14:textId="77777777" w:rsidR="00F712C6" w:rsidRPr="00883823" w:rsidRDefault="00F712C6" w:rsidP="00F712C6">
      <w:pPr>
        <w:pStyle w:val="Title2LevelTitre2Niveau"/>
        <w:ind w:left="578"/>
        <w:rPr>
          <w:rFonts w:cs="Times New Roman"/>
          <w:lang w:val="fr-CA"/>
        </w:rPr>
      </w:pPr>
      <w:r w:rsidRPr="00883823">
        <w:rPr>
          <w:rFonts w:cs="Times New Roman"/>
          <w:lang w:val="fr-CA"/>
        </w:rPr>
        <w:t>Genèse et évolution de la suspension de l’effet de déclarations d’invalidité</w:t>
      </w:r>
    </w:p>
    <w:p w14:paraId="4DCA3A12" w14:textId="5713A5A0"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Pour bien saisir le caractère forcément exceptionnel de la suspension de l’effet d’une déclaration d’invalidité, il est utile de rappeler le contexte sans précédent du </w:t>
      </w:r>
      <w:r w:rsidRPr="00883823">
        <w:rPr>
          <w:rFonts w:cs="Times New Roman"/>
          <w:i/>
          <w:lang w:val="fr-CA"/>
        </w:rPr>
        <w:t>Renvoi relatif au Manitoba</w:t>
      </w:r>
      <w:r w:rsidRPr="00883823">
        <w:rPr>
          <w:rFonts w:cs="Times New Roman"/>
          <w:lang w:val="fr-CA"/>
        </w:rPr>
        <w:t xml:space="preserve">. Comme le Manitoba n’avait pas promulgué ses lois en français et en anglais, pratiquement toutes les lois qui avaient été </w:t>
      </w:r>
      <w:r>
        <w:rPr>
          <w:rFonts w:cs="Times New Roman"/>
          <w:lang w:val="fr-CA"/>
        </w:rPr>
        <w:t xml:space="preserve">adoptées au cours des 90 </w:t>
      </w:r>
      <w:r w:rsidRPr="00883823">
        <w:rPr>
          <w:rFonts w:cs="Times New Roman"/>
          <w:lang w:val="fr-CA"/>
        </w:rPr>
        <w:t>années précédentes étaient sur le point d’être invalidées. Toutefois, le fait de déclarer sur</w:t>
      </w:r>
      <w:r>
        <w:rPr>
          <w:rFonts w:cs="Times New Roman"/>
          <w:lang w:val="fr-CA"/>
        </w:rPr>
        <w:noBreakHyphen/>
      </w:r>
      <w:r w:rsidRPr="00883823">
        <w:rPr>
          <w:rFonts w:cs="Times New Roman"/>
          <w:lang w:val="fr-CA"/>
        </w:rPr>
        <w:t>le</w:t>
      </w:r>
      <w:r>
        <w:rPr>
          <w:rFonts w:cs="Times New Roman"/>
          <w:lang w:val="fr-CA"/>
        </w:rPr>
        <w:noBreakHyphen/>
      </w:r>
      <w:r w:rsidRPr="00883823">
        <w:rPr>
          <w:rFonts w:cs="Times New Roman"/>
          <w:lang w:val="fr-CA"/>
        </w:rPr>
        <w:t xml:space="preserve">champ ces lois invalides aurait créé </w:t>
      </w:r>
      <w:r w:rsidR="00521ED2" w:rsidRPr="00883823">
        <w:rPr>
          <w:rFonts w:cs="Times New Roman"/>
          <w:lang w:val="fr-CA"/>
        </w:rPr>
        <w:t xml:space="preserve">un </w:t>
      </w:r>
      <w:r w:rsidRPr="00883823">
        <w:rPr>
          <w:rFonts w:cs="Times New Roman"/>
          <w:lang w:val="fr-CA"/>
        </w:rPr>
        <w:t>« </w:t>
      </w:r>
      <w:r w:rsidR="00521ED2">
        <w:rPr>
          <w:rFonts w:cs="Times New Roman"/>
          <w:lang w:val="fr-CA"/>
        </w:rPr>
        <w:t>vide juridique</w:t>
      </w:r>
      <w:r w:rsidR="00521ED2" w:rsidRPr="00D35361">
        <w:rPr>
          <w:rFonts w:cs="Times New Roman"/>
          <w:lang w:val="fr-CA"/>
        </w:rPr>
        <w:t xml:space="preserve"> </w:t>
      </w:r>
      <w:r w:rsidR="00521ED2">
        <w:rPr>
          <w:rFonts w:cs="Times New Roman"/>
          <w:lang w:val="fr-CA"/>
        </w:rPr>
        <w:t>[. . .</w:t>
      </w:r>
      <w:r w:rsidR="00521ED2" w:rsidRPr="00D35361">
        <w:rPr>
          <w:rFonts w:cs="Times New Roman"/>
          <w:lang w:val="fr-CA"/>
        </w:rPr>
        <w:t xml:space="preserve">] </w:t>
      </w:r>
      <w:r w:rsidR="00521ED2">
        <w:rPr>
          <w:rFonts w:cs="Times New Roman"/>
          <w:lang w:val="fr-CA"/>
        </w:rPr>
        <w:t xml:space="preserve">et le </w:t>
      </w:r>
      <w:r w:rsidRPr="00883823">
        <w:rPr>
          <w:rFonts w:cs="Times New Roman"/>
          <w:lang w:val="fr-CA"/>
        </w:rPr>
        <w:t>chaos</w:t>
      </w:r>
      <w:r w:rsidR="00521ED2">
        <w:rPr>
          <w:rFonts w:cs="Times New Roman"/>
          <w:lang w:val="fr-CA"/>
        </w:rPr>
        <w:t xml:space="preserve"> qui s’ensuivra</w:t>
      </w:r>
      <w:r w:rsidRPr="00883823">
        <w:rPr>
          <w:rFonts w:cs="Times New Roman"/>
          <w:lang w:val="fr-CA"/>
        </w:rPr>
        <w:t xml:space="preserve"> en la matière » d’une ampleur insupportable (</w:t>
      </w:r>
      <w:r>
        <w:rPr>
          <w:rFonts w:cs="Times New Roman"/>
          <w:lang w:val="fr-CA"/>
        </w:rPr>
        <w:t>p. </w:t>
      </w:r>
      <w:r w:rsidRPr="00883823">
        <w:rPr>
          <w:rFonts w:cs="Times New Roman"/>
          <w:lang w:val="fr-CA"/>
        </w:rPr>
        <w:t xml:space="preserve">747). </w:t>
      </w:r>
      <w:r w:rsidRPr="00883823">
        <w:rPr>
          <w:rFonts w:cs="Times New Roman"/>
          <w:shd w:val="clear" w:color="auto" w:fill="FFFFFF"/>
          <w:lang w:val="fr-CA"/>
        </w:rPr>
        <w:t>Tous les organismes manitobains créés par des lois, y compris les tribunaux administratifs ou judiciaires, les titulaires de charges publiques et les commissions scolaires auraient été dépouillés des pouvoirs conférés par ces lois</w:t>
      </w:r>
      <w:r w:rsidRPr="00883823">
        <w:rPr>
          <w:rFonts w:cs="Times New Roman"/>
          <w:lang w:val="fr-CA"/>
        </w:rPr>
        <w:t xml:space="preserve">. La composition de la législature du Manitoba aurait été mise en doute. L’ordre juridique qui règlementait les affaires des Manitobains « depuis 1890 </w:t>
      </w:r>
      <w:r w:rsidR="0025412A">
        <w:rPr>
          <w:rFonts w:cs="Times New Roman"/>
          <w:lang w:val="fr-CA"/>
        </w:rPr>
        <w:t xml:space="preserve">[aurait été] détruit et </w:t>
      </w:r>
      <w:r w:rsidRPr="00883823">
        <w:rPr>
          <w:rFonts w:cs="Times New Roman"/>
          <w:lang w:val="fr-CA"/>
        </w:rPr>
        <w:t>[leurs] droits, obligations et autres effets découlant de ces [lois unilingues seraient devenus] invalides et non exécutoires » (</w:t>
      </w:r>
      <w:r>
        <w:rPr>
          <w:rFonts w:cs="Times New Roman"/>
          <w:lang w:val="fr-CA"/>
        </w:rPr>
        <w:t>p. </w:t>
      </w:r>
      <w:r w:rsidRPr="00883823">
        <w:rPr>
          <w:rFonts w:cs="Times New Roman"/>
          <w:lang w:val="fr-CA"/>
        </w:rPr>
        <w:t xml:space="preserve">749; voir aussi </w:t>
      </w:r>
      <w:r>
        <w:rPr>
          <w:rFonts w:cs="Times New Roman"/>
          <w:lang w:val="fr-CA"/>
        </w:rPr>
        <w:t>p. </w:t>
      </w:r>
      <w:r w:rsidRPr="00883823">
        <w:rPr>
          <w:rFonts w:cs="Times New Roman"/>
          <w:lang w:val="fr-CA"/>
        </w:rPr>
        <w:t>747</w:t>
      </w:r>
      <w:r>
        <w:rPr>
          <w:rFonts w:cs="Times New Roman"/>
          <w:lang w:val="fr-CA"/>
        </w:rPr>
        <w:noBreakHyphen/>
      </w:r>
      <w:r w:rsidRPr="00883823">
        <w:rPr>
          <w:rFonts w:cs="Times New Roman"/>
          <w:lang w:val="fr-CA"/>
        </w:rPr>
        <w:t>748). Une « situation d’urgence » sans précédent était imminente (</w:t>
      </w:r>
      <w:r>
        <w:rPr>
          <w:rFonts w:cs="Times New Roman"/>
          <w:lang w:val="fr-CA"/>
        </w:rPr>
        <w:t>p. </w:t>
      </w:r>
      <w:r w:rsidRPr="00883823">
        <w:rPr>
          <w:rFonts w:cs="Times New Roman"/>
          <w:lang w:val="fr-CA"/>
        </w:rPr>
        <w:t>766).</w:t>
      </w:r>
    </w:p>
    <w:p w14:paraId="6222A21F"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La Cour a alors créé le mécanisme de la suspension de l’effet de la déclaration d’invalidité, s’inspirant du principe de l’état de nécessité. Le principe de l’état de nécessité, qui ne s’applique que dans des situations exceptionnelles, comme une insurrection ou l’élaboration d’une nouvelle constitution, permet à un gouvernement d’être dispensé temporairement de respecter sa constitution pour répondre à une situation d’urgence publique et préserver la primauté du droit (</w:t>
      </w:r>
      <w:r w:rsidRPr="00883823">
        <w:rPr>
          <w:rFonts w:cs="Times New Roman"/>
          <w:i/>
          <w:lang w:val="fr-CA"/>
        </w:rPr>
        <w:t>Renvoi relatif au Manitoba</w:t>
      </w:r>
      <w:r w:rsidRPr="00883823">
        <w:rPr>
          <w:rFonts w:cs="Times New Roman"/>
          <w:lang w:val="fr-CA"/>
        </w:rPr>
        <w:t xml:space="preserve">, </w:t>
      </w:r>
      <w:r>
        <w:rPr>
          <w:rFonts w:cs="Times New Roman"/>
          <w:lang w:val="fr-CA"/>
        </w:rPr>
        <w:t>p. </w:t>
      </w:r>
      <w:r w:rsidRPr="00883823">
        <w:rPr>
          <w:rFonts w:cs="Times New Roman"/>
          <w:lang w:val="fr-CA"/>
        </w:rPr>
        <w:t>761). En reconnaissant qu’elle avait le pouvoir de prendre de telles mesures d’urgence, la Cour a franchi un pas important, car les précédents sur l’état de nécessité cités par la Cour portaient sur des mesures d’urgence prises par l’organe exécutif ou l’organe législatif et non par les tribunaux (</w:t>
      </w:r>
      <w:r>
        <w:rPr>
          <w:rFonts w:cs="Times New Roman"/>
          <w:lang w:val="fr-CA"/>
        </w:rPr>
        <w:t>p. </w:t>
      </w:r>
      <w:r w:rsidRPr="00883823">
        <w:rPr>
          <w:rFonts w:cs="Times New Roman"/>
          <w:lang w:val="fr-CA"/>
        </w:rPr>
        <w:t>763 et 765</w:t>
      </w:r>
      <w:r>
        <w:rPr>
          <w:rFonts w:cs="Times New Roman"/>
          <w:lang w:val="fr-CA"/>
        </w:rPr>
        <w:noBreakHyphen/>
      </w:r>
      <w:r w:rsidRPr="00883823">
        <w:rPr>
          <w:rFonts w:cs="Times New Roman"/>
          <w:lang w:val="fr-CA"/>
        </w:rPr>
        <w:t>766). De plus, pour des raisons évidentes, le principe de l’état de nécessité est potentiellement dangereux et doit être [</w:t>
      </w:r>
      <w:r w:rsidRPr="00883823">
        <w:rPr>
          <w:rFonts w:cs="Times New Roman"/>
          <w:smallCaps/>
          <w:lang w:val="fr-CA"/>
        </w:rPr>
        <w:t>traduction</w:t>
      </w:r>
      <w:r>
        <w:rPr>
          <w:rFonts w:cs="Times New Roman"/>
          <w:lang w:val="fr-CA"/>
        </w:rPr>
        <w:t xml:space="preserve">] « rigoureusement circonscrit </w:t>
      </w:r>
      <w:r w:rsidRPr="00883823">
        <w:rPr>
          <w:rFonts w:cs="Times New Roman"/>
          <w:lang w:val="fr-CA"/>
        </w:rPr>
        <w:t>[et] strict</w:t>
      </w:r>
      <w:r>
        <w:rPr>
          <w:rFonts w:cs="Times New Roman"/>
          <w:lang w:val="fr-CA"/>
        </w:rPr>
        <w:t>ement et soigneusement appliqué </w:t>
      </w:r>
      <w:r w:rsidRPr="00883823">
        <w:rPr>
          <w:rFonts w:cs="Times New Roman"/>
          <w:lang w:val="fr-CA"/>
        </w:rPr>
        <w:t>» pour constituer une confirmation de la primauté du droit plutôt qu’une atteinte à cette dernière (M. M. </w:t>
      </w:r>
      <w:proofErr w:type="spellStart"/>
      <w:r w:rsidRPr="00883823">
        <w:rPr>
          <w:rFonts w:cs="Times New Roman"/>
          <w:lang w:val="fr-CA"/>
        </w:rPr>
        <w:t>Stavsky</w:t>
      </w:r>
      <w:proofErr w:type="spellEnd"/>
      <w:r w:rsidRPr="00883823">
        <w:rPr>
          <w:rFonts w:cs="Times New Roman"/>
          <w:lang w:val="fr-CA"/>
        </w:rPr>
        <w:t xml:space="preserve">, « The Doctrine of State </w:t>
      </w:r>
      <w:proofErr w:type="spellStart"/>
      <w:r w:rsidRPr="00883823">
        <w:rPr>
          <w:rFonts w:cs="Times New Roman"/>
          <w:lang w:val="fr-CA"/>
        </w:rPr>
        <w:t>Necessity</w:t>
      </w:r>
      <w:proofErr w:type="spellEnd"/>
      <w:r w:rsidRPr="00883823">
        <w:rPr>
          <w:rFonts w:cs="Times New Roman"/>
          <w:lang w:val="fr-CA"/>
        </w:rPr>
        <w:t xml:space="preserve"> in Pakistan » (1983), 16 </w:t>
      </w:r>
      <w:r w:rsidRPr="00883823">
        <w:rPr>
          <w:rFonts w:cs="Times New Roman"/>
          <w:i/>
          <w:lang w:val="fr-CA"/>
        </w:rPr>
        <w:t xml:space="preserve">Cornell </w:t>
      </w:r>
      <w:proofErr w:type="spellStart"/>
      <w:r w:rsidRPr="00883823">
        <w:rPr>
          <w:rFonts w:cs="Times New Roman"/>
          <w:i/>
          <w:lang w:val="fr-CA"/>
        </w:rPr>
        <w:t>Int’l</w:t>
      </w:r>
      <w:proofErr w:type="spellEnd"/>
      <w:r w:rsidRPr="00883823">
        <w:rPr>
          <w:rFonts w:cs="Times New Roman"/>
          <w:i/>
          <w:lang w:val="fr-CA"/>
        </w:rPr>
        <w:t xml:space="preserve"> </w:t>
      </w:r>
      <w:proofErr w:type="spellStart"/>
      <w:r w:rsidRPr="00883823">
        <w:rPr>
          <w:rFonts w:cs="Times New Roman"/>
          <w:i/>
          <w:lang w:val="fr-CA"/>
        </w:rPr>
        <w:t>L.J</w:t>
      </w:r>
      <w:proofErr w:type="spellEnd"/>
      <w:r w:rsidRPr="00883823">
        <w:rPr>
          <w:rFonts w:cs="Times New Roman"/>
          <w:i/>
          <w:lang w:val="fr-CA"/>
        </w:rPr>
        <w:t xml:space="preserve">. </w:t>
      </w:r>
      <w:r w:rsidRPr="00883823">
        <w:rPr>
          <w:rFonts w:cs="Times New Roman"/>
          <w:lang w:val="fr-CA"/>
        </w:rPr>
        <w:t xml:space="preserve">341, </w:t>
      </w:r>
      <w:r>
        <w:rPr>
          <w:rFonts w:cs="Times New Roman"/>
          <w:lang w:val="fr-CA"/>
        </w:rPr>
        <w:t>p. </w:t>
      </w:r>
      <w:r w:rsidRPr="00883823">
        <w:rPr>
          <w:rFonts w:cs="Times New Roman"/>
          <w:lang w:val="fr-CA"/>
        </w:rPr>
        <w:t xml:space="preserve">344 et 342; voir aussi </w:t>
      </w:r>
      <w:r>
        <w:rPr>
          <w:rFonts w:cs="Times New Roman"/>
          <w:lang w:val="fr-CA"/>
        </w:rPr>
        <w:t>p. </w:t>
      </w:r>
      <w:r w:rsidRPr="00883823">
        <w:rPr>
          <w:rFonts w:cs="Times New Roman"/>
          <w:lang w:val="fr-CA"/>
        </w:rPr>
        <w:t xml:space="preserve">354; </w:t>
      </w:r>
      <w:r w:rsidRPr="00883823">
        <w:rPr>
          <w:rFonts w:cs="Times New Roman"/>
          <w:i/>
          <w:lang w:val="fr-CA"/>
        </w:rPr>
        <w:t>Renvoi relatif au Manitoba</w:t>
      </w:r>
      <w:r w:rsidRPr="00883823">
        <w:rPr>
          <w:rFonts w:cs="Times New Roman"/>
          <w:lang w:val="fr-CA"/>
        </w:rPr>
        <w:t xml:space="preserve">, </w:t>
      </w:r>
      <w:r>
        <w:rPr>
          <w:rFonts w:cs="Times New Roman"/>
          <w:lang w:val="fr-CA"/>
        </w:rPr>
        <w:t>p. </w:t>
      </w:r>
      <w:r w:rsidRPr="00883823">
        <w:rPr>
          <w:rFonts w:cs="Times New Roman"/>
          <w:lang w:val="fr-CA"/>
        </w:rPr>
        <w:t>758</w:t>
      </w:r>
      <w:r>
        <w:rPr>
          <w:rFonts w:cs="Times New Roman"/>
          <w:lang w:val="fr-CA"/>
        </w:rPr>
        <w:noBreakHyphen/>
      </w:r>
      <w:r w:rsidRPr="00883823">
        <w:rPr>
          <w:rFonts w:cs="Times New Roman"/>
          <w:lang w:val="fr-CA"/>
        </w:rPr>
        <w:t>759). La distinction entre l’utilisation de ce principe pour dissimuler une usurpation de pouvoir et le fait de s’en servir pour protéger l’ordre constitutionnel de tout danger est subtile. Pour cette raison, au cœur de ce principe réside la prémisse suivant laquelle [</w:t>
      </w:r>
      <w:r w:rsidRPr="00883823">
        <w:rPr>
          <w:rFonts w:cs="Times New Roman"/>
          <w:smallCaps/>
          <w:lang w:val="fr-CA"/>
        </w:rPr>
        <w:t>traduction</w:t>
      </w:r>
      <w:r w:rsidRPr="00883823">
        <w:rPr>
          <w:rFonts w:cs="Times New Roman"/>
          <w:lang w:val="fr-CA"/>
        </w:rPr>
        <w:t>] « les tribunaux devraient hésiter à permettre que l’on déroge à des normes constitutionnelles » (</w:t>
      </w:r>
      <w:proofErr w:type="spellStart"/>
      <w:r w:rsidRPr="00883823">
        <w:rPr>
          <w:rFonts w:cs="Times New Roman"/>
          <w:lang w:val="fr-CA"/>
        </w:rPr>
        <w:t>Stavsky</w:t>
      </w:r>
      <w:proofErr w:type="spellEnd"/>
      <w:r w:rsidRPr="00883823">
        <w:rPr>
          <w:rFonts w:cs="Times New Roman"/>
          <w:lang w:val="fr-CA"/>
        </w:rPr>
        <w:t xml:space="preserve">, </w:t>
      </w:r>
      <w:r>
        <w:rPr>
          <w:rFonts w:cs="Times New Roman"/>
          <w:lang w:val="fr-CA"/>
        </w:rPr>
        <w:t>p. </w:t>
      </w:r>
      <w:r w:rsidRPr="00883823">
        <w:rPr>
          <w:rFonts w:cs="Times New Roman"/>
          <w:lang w:val="fr-CA"/>
        </w:rPr>
        <w:t>344).</w:t>
      </w:r>
    </w:p>
    <w:p w14:paraId="65B27A71"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Reconnaissant l’ampleur de cette étape et la menace potentielle qu’elle représentait pour le partage des pouvoirs et la primauté du droit, la Cour a, dans le </w:t>
      </w:r>
      <w:r w:rsidRPr="00883823">
        <w:rPr>
          <w:rFonts w:cs="Times New Roman"/>
          <w:i/>
          <w:lang w:val="fr-CA"/>
        </w:rPr>
        <w:t>Renvoi relatif au Manitoba</w:t>
      </w:r>
      <w:r w:rsidRPr="00883823">
        <w:rPr>
          <w:rFonts w:cs="Times New Roman"/>
          <w:lang w:val="fr-CA"/>
        </w:rPr>
        <w:t xml:space="preserve">, rigoureusement limité le recours à la suspension de l’effet des déclarations d’invalidité. Elle a conclu que l’on ne devait prendre une telle mesure qu’« afin de préserver la </w:t>
      </w:r>
      <w:r w:rsidRPr="00883823">
        <w:rPr>
          <w:rFonts w:cs="Times New Roman"/>
          <w:u w:val="single"/>
          <w:lang w:val="fr-CA"/>
        </w:rPr>
        <w:t>primauté du droit</w:t>
      </w:r>
      <w:r w:rsidRPr="00883823">
        <w:rPr>
          <w:rFonts w:cs="Times New Roman"/>
          <w:lang w:val="fr-CA"/>
        </w:rPr>
        <w:t xml:space="preserve"> [. . .] en situation d’</w:t>
      </w:r>
      <w:r w:rsidRPr="00883823">
        <w:rPr>
          <w:rFonts w:cs="Times New Roman"/>
          <w:u w:val="single"/>
          <w:lang w:val="fr-CA"/>
        </w:rPr>
        <w:t>urgence</w:t>
      </w:r>
      <w:r w:rsidRPr="00883823">
        <w:rPr>
          <w:rFonts w:cs="Times New Roman"/>
          <w:lang w:val="fr-CA"/>
        </w:rPr>
        <w:t xml:space="preserve">, lorsqu’il est </w:t>
      </w:r>
      <w:r w:rsidRPr="00883823">
        <w:rPr>
          <w:rFonts w:cs="Times New Roman"/>
          <w:u w:val="single"/>
          <w:lang w:val="fr-CA"/>
        </w:rPr>
        <w:t>impossible</w:t>
      </w:r>
      <w:r w:rsidRPr="00883823">
        <w:rPr>
          <w:rFonts w:cs="Times New Roman"/>
          <w:lang w:val="fr-CA"/>
        </w:rPr>
        <w:t xml:space="preserve"> d’observer » les droits constitutionnels (</w:t>
      </w:r>
      <w:r>
        <w:rPr>
          <w:rFonts w:cs="Times New Roman"/>
          <w:lang w:val="fr-CA"/>
        </w:rPr>
        <w:t>p. </w:t>
      </w:r>
      <w:r w:rsidRPr="00883823">
        <w:rPr>
          <w:rFonts w:cs="Times New Roman"/>
          <w:lang w:val="fr-CA"/>
        </w:rPr>
        <w:t>763 (nous soulignons)). La question essentielle est celle de savoir si « l’omission de [suspendre l’effet de la déclaration] entraînerait le chaos sur le plan juridique » (</w:t>
      </w:r>
      <w:r>
        <w:rPr>
          <w:rFonts w:cs="Times New Roman"/>
          <w:lang w:val="fr-CA"/>
        </w:rPr>
        <w:t>p. </w:t>
      </w:r>
      <w:r w:rsidRPr="00883823">
        <w:rPr>
          <w:rFonts w:cs="Times New Roman"/>
          <w:lang w:val="fr-CA"/>
        </w:rPr>
        <w:t>766) ou, en d’autres termes, si la suspension de l’effet de la déclaration d’invalidité est nécessaire [</w:t>
      </w:r>
      <w:r w:rsidRPr="00883823">
        <w:rPr>
          <w:rFonts w:cs="Times New Roman"/>
          <w:smallCaps/>
          <w:lang w:val="fr-CA"/>
        </w:rPr>
        <w:t>traduction</w:t>
      </w:r>
      <w:r w:rsidRPr="00883823">
        <w:rPr>
          <w:rFonts w:cs="Times New Roman"/>
          <w:lang w:val="fr-CA"/>
        </w:rPr>
        <w:t>] « pour préserver la primauté du droit que la Constitution est censée incarner » (B. </w:t>
      </w:r>
      <w:proofErr w:type="spellStart"/>
      <w:r w:rsidRPr="00883823">
        <w:rPr>
          <w:rFonts w:cs="Times New Roman"/>
          <w:lang w:val="fr-CA"/>
        </w:rPr>
        <w:t>Ryder</w:t>
      </w:r>
      <w:proofErr w:type="spellEnd"/>
      <w:r w:rsidRPr="00883823">
        <w:rPr>
          <w:rFonts w:cs="Times New Roman"/>
          <w:lang w:val="fr-CA"/>
        </w:rPr>
        <w:t>, « </w:t>
      </w:r>
      <w:proofErr w:type="spellStart"/>
      <w:r w:rsidRPr="00883823">
        <w:rPr>
          <w:rFonts w:cs="Times New Roman"/>
          <w:lang w:val="fr-CA"/>
        </w:rPr>
        <w:t>Suspending</w:t>
      </w:r>
      <w:proofErr w:type="spellEnd"/>
      <w:r w:rsidRPr="00883823">
        <w:rPr>
          <w:rFonts w:cs="Times New Roman"/>
          <w:lang w:val="fr-CA"/>
        </w:rPr>
        <w:t xml:space="preserve"> the </w:t>
      </w:r>
      <w:r w:rsidRPr="00883823">
        <w:rPr>
          <w:rFonts w:cs="Times New Roman"/>
          <w:i/>
          <w:lang w:val="fr-CA"/>
        </w:rPr>
        <w:t>Charter </w:t>
      </w:r>
      <w:r w:rsidRPr="0021756D">
        <w:rPr>
          <w:rFonts w:cs="Times New Roman"/>
          <w:lang w:val="fr-CA"/>
        </w:rPr>
        <w:t>»</w:t>
      </w:r>
      <w:r w:rsidRPr="00883823">
        <w:rPr>
          <w:rFonts w:cs="Times New Roman"/>
          <w:lang w:val="fr-CA"/>
        </w:rPr>
        <w:t xml:space="preserve"> (2003), 21 </w:t>
      </w:r>
      <w:r w:rsidRPr="00883823">
        <w:rPr>
          <w:rFonts w:cs="Times New Roman"/>
          <w:i/>
          <w:lang w:val="fr-CA"/>
        </w:rPr>
        <w:t>S.C.L.R.</w:t>
      </w:r>
      <w:r>
        <w:rPr>
          <w:rFonts w:cs="Times New Roman"/>
          <w:i/>
          <w:lang w:val="fr-CA"/>
        </w:rPr>
        <w:t xml:space="preserve"> </w:t>
      </w:r>
      <w:r w:rsidRPr="00883823">
        <w:rPr>
          <w:rFonts w:cs="Times New Roman"/>
          <w:lang w:val="fr-CA"/>
        </w:rPr>
        <w:t xml:space="preserve">(2d) 267, </w:t>
      </w:r>
      <w:r>
        <w:rPr>
          <w:rFonts w:cs="Times New Roman"/>
          <w:lang w:val="fr-CA"/>
        </w:rPr>
        <w:t>p. </w:t>
      </w:r>
      <w:r w:rsidRPr="00883823">
        <w:rPr>
          <w:rFonts w:cs="Times New Roman"/>
          <w:lang w:val="fr-CA"/>
        </w:rPr>
        <w:t xml:space="preserve">268). Bref, dans le </w:t>
      </w:r>
      <w:r w:rsidRPr="00883823">
        <w:rPr>
          <w:rFonts w:cs="Times New Roman"/>
          <w:i/>
          <w:lang w:val="fr-CA"/>
        </w:rPr>
        <w:t>Renvoi relatif au Manitoba</w:t>
      </w:r>
      <w:r w:rsidRPr="00883823">
        <w:rPr>
          <w:rFonts w:cs="Times New Roman"/>
          <w:lang w:val="fr-CA"/>
        </w:rPr>
        <w:t>, la Cour [</w:t>
      </w:r>
      <w:r w:rsidRPr="00883823">
        <w:rPr>
          <w:rFonts w:cs="Times New Roman"/>
          <w:smallCaps/>
          <w:lang w:val="fr-CA"/>
        </w:rPr>
        <w:t>traduction</w:t>
      </w:r>
      <w:r>
        <w:rPr>
          <w:rFonts w:cs="Times New Roman"/>
          <w:lang w:val="fr-CA"/>
        </w:rPr>
        <w:t>] « </w:t>
      </w:r>
      <w:r w:rsidRPr="00883823">
        <w:rPr>
          <w:rFonts w:cs="Times New Roman"/>
          <w:lang w:val="fr-CA"/>
        </w:rPr>
        <w:t>a clairement estimé que la suspension temporaire du respect des exigences constitutionnelles était une mesure exceptionnelle » (</w:t>
      </w:r>
      <w:proofErr w:type="spellStart"/>
      <w:r w:rsidRPr="00883823">
        <w:rPr>
          <w:rFonts w:cs="Times New Roman"/>
          <w:lang w:val="fr-CA"/>
        </w:rPr>
        <w:t>Ryder</w:t>
      </w:r>
      <w:proofErr w:type="spellEnd"/>
      <w:r w:rsidRPr="00883823">
        <w:rPr>
          <w:rFonts w:cs="Times New Roman"/>
          <w:lang w:val="fr-CA"/>
        </w:rPr>
        <w:t xml:space="preserve">, </w:t>
      </w:r>
      <w:r>
        <w:rPr>
          <w:rFonts w:cs="Times New Roman"/>
          <w:lang w:val="fr-CA"/>
        </w:rPr>
        <w:t>p. </w:t>
      </w:r>
      <w:r w:rsidRPr="00883823">
        <w:rPr>
          <w:rFonts w:cs="Times New Roman"/>
          <w:lang w:val="fr-CA"/>
        </w:rPr>
        <w:t>268) subordonnée à l’impératif « d’éviter une situation d’urgence » (</w:t>
      </w:r>
      <w:r w:rsidRPr="00883823">
        <w:rPr>
          <w:rFonts w:cs="Times New Roman"/>
          <w:i/>
          <w:lang w:val="fr-CA"/>
        </w:rPr>
        <w:t>Renvoi relatif au Manitoba</w:t>
      </w:r>
      <w:r w:rsidRPr="00883823">
        <w:rPr>
          <w:rFonts w:cs="Times New Roman"/>
          <w:lang w:val="fr-CA"/>
        </w:rPr>
        <w:t xml:space="preserve">, </w:t>
      </w:r>
      <w:r>
        <w:rPr>
          <w:rFonts w:cs="Times New Roman"/>
          <w:lang w:val="fr-CA"/>
        </w:rPr>
        <w:t>p. </w:t>
      </w:r>
      <w:r w:rsidRPr="00883823">
        <w:rPr>
          <w:rFonts w:cs="Times New Roman"/>
          <w:lang w:val="fr-CA"/>
        </w:rPr>
        <w:t xml:space="preserve">763). </w:t>
      </w:r>
    </w:p>
    <w:p w14:paraId="0B103292" w14:textId="3229EC2B" w:rsidR="00F712C6" w:rsidRPr="00883823" w:rsidRDefault="00F712C6" w:rsidP="00F712C6">
      <w:pPr>
        <w:pStyle w:val="ParaNoNdepar-AltN"/>
        <w:tabs>
          <w:tab w:val="clear" w:pos="1166"/>
          <w:tab w:val="num" w:pos="1152"/>
        </w:tabs>
        <w:rPr>
          <w:rFonts w:cs="Times New Roman"/>
          <w:lang w:val="en-US"/>
        </w:rPr>
      </w:pPr>
      <w:r w:rsidRPr="00883823">
        <w:rPr>
          <w:rFonts w:cs="Times New Roman"/>
          <w:lang w:val="fr-CA"/>
        </w:rPr>
        <w:t xml:space="preserve">Mais depuis le </w:t>
      </w:r>
      <w:r w:rsidRPr="00883823">
        <w:rPr>
          <w:rFonts w:cs="Times New Roman"/>
          <w:i/>
          <w:lang w:val="fr-CA"/>
        </w:rPr>
        <w:t>Renvoi relatif au Manitoba</w:t>
      </w:r>
      <w:r w:rsidRPr="00883823">
        <w:rPr>
          <w:rFonts w:cs="Times New Roman"/>
          <w:lang w:val="fr-CA"/>
        </w:rPr>
        <w:t>, notre Cour s’est égarée. Elle suspend désormais l’effet des déclarations d’invalidité presque automatiquement, souvent sans justifier sa décision ni se soucier de la primauté du droit</w:t>
      </w:r>
      <w:r w:rsidRPr="00521ED2">
        <w:rPr>
          <w:rStyle w:val="Hyperlink"/>
          <w:color w:val="auto"/>
          <w:u w:val="none"/>
          <w:vertAlign w:val="superscript"/>
        </w:rPr>
        <w:footnoteReference w:id="11"/>
      </w:r>
      <w:r w:rsidRPr="00883823">
        <w:rPr>
          <w:rFonts w:cs="Times New Roman"/>
          <w:lang w:val="fr-CA"/>
        </w:rPr>
        <w:t xml:space="preserve">. Selon nous, la plupart des affaires dans lesquelles la suspension de l’effet d’une déclaration d’invalidité a été prononcée depuis le </w:t>
      </w:r>
      <w:r w:rsidRPr="00883823">
        <w:rPr>
          <w:rFonts w:cs="Times New Roman"/>
          <w:i/>
          <w:lang w:val="fr-CA"/>
        </w:rPr>
        <w:t>Renvoi relatif au Manitoba</w:t>
      </w:r>
      <w:r w:rsidRPr="00883823">
        <w:rPr>
          <w:rFonts w:cs="Times New Roman"/>
          <w:lang w:val="fr-CA"/>
        </w:rPr>
        <w:t xml:space="preserve"> sont loin de satisfaire au critère exigeant que la Cour y </w:t>
      </w:r>
      <w:proofErr w:type="gramStart"/>
      <w:r w:rsidRPr="00883823">
        <w:rPr>
          <w:rFonts w:cs="Times New Roman"/>
          <w:lang w:val="fr-CA"/>
        </w:rPr>
        <w:t>avait</w:t>
      </w:r>
      <w:proofErr w:type="gramEnd"/>
      <w:r w:rsidRPr="00883823">
        <w:rPr>
          <w:rFonts w:cs="Times New Roman"/>
          <w:lang w:val="fr-CA"/>
        </w:rPr>
        <w:t xml:space="preserve"> fixé. Les suspensions de l’effet de déclarations d’invalidité sont plutôt devenues la [</w:t>
      </w:r>
      <w:r w:rsidRPr="00883823">
        <w:rPr>
          <w:rFonts w:cs="Times New Roman"/>
          <w:smallCaps/>
          <w:lang w:val="fr-CA"/>
        </w:rPr>
        <w:t>traduction]</w:t>
      </w:r>
      <w:r w:rsidRPr="00883823">
        <w:rPr>
          <w:rFonts w:cs="Times New Roman"/>
          <w:lang w:val="fr-CA"/>
        </w:rPr>
        <w:t xml:space="preserve"> « mesure de réparation de prédilection » de notre Cour, qui l’applique « de façon désinvolte » et « systématique » ou « pour des raisons de préférences personnelles », tout en ne prenant acte « que pour la forme [. . .] des risques que comporte le fait de permettre la violation continue des droits et libertés garantis par la </w:t>
      </w:r>
      <w:r w:rsidRPr="00883823">
        <w:rPr>
          <w:rFonts w:cs="Times New Roman"/>
          <w:i/>
          <w:lang w:val="fr-CA"/>
        </w:rPr>
        <w:t>Charte </w:t>
      </w:r>
      <w:r w:rsidRPr="00883823">
        <w:rPr>
          <w:rFonts w:cs="Times New Roman"/>
          <w:lang w:val="fr-CA"/>
        </w:rPr>
        <w:t xml:space="preserve">» (G. R. </w:t>
      </w:r>
      <w:proofErr w:type="spellStart"/>
      <w:r w:rsidRPr="00883823">
        <w:rPr>
          <w:rFonts w:cs="Times New Roman"/>
          <w:lang w:val="fr-CA"/>
        </w:rPr>
        <w:t>Hoole</w:t>
      </w:r>
      <w:proofErr w:type="spellEnd"/>
      <w:r w:rsidRPr="00883823">
        <w:rPr>
          <w:rFonts w:cs="Times New Roman"/>
          <w:lang w:val="fr-CA"/>
        </w:rPr>
        <w:t>, « </w:t>
      </w:r>
      <w:proofErr w:type="spellStart"/>
      <w:r w:rsidRPr="00883823">
        <w:rPr>
          <w:rFonts w:cs="Times New Roman"/>
          <w:lang w:val="fr-CA"/>
        </w:rPr>
        <w:t>Proportionality</w:t>
      </w:r>
      <w:proofErr w:type="spellEnd"/>
      <w:r w:rsidRPr="00883823">
        <w:rPr>
          <w:rFonts w:cs="Times New Roman"/>
          <w:lang w:val="fr-CA"/>
        </w:rPr>
        <w:t xml:space="preserve"> as a </w:t>
      </w:r>
      <w:proofErr w:type="spellStart"/>
      <w:r w:rsidRPr="00883823">
        <w:rPr>
          <w:rFonts w:cs="Times New Roman"/>
          <w:lang w:val="fr-CA"/>
        </w:rPr>
        <w:t>Remedial</w:t>
      </w:r>
      <w:proofErr w:type="spellEnd"/>
      <w:r w:rsidRPr="00883823">
        <w:rPr>
          <w:rFonts w:cs="Times New Roman"/>
          <w:lang w:val="fr-CA"/>
        </w:rPr>
        <w:t xml:space="preserve"> </w:t>
      </w:r>
      <w:proofErr w:type="spellStart"/>
      <w:r w:rsidRPr="00883823">
        <w:rPr>
          <w:rFonts w:cs="Times New Roman"/>
          <w:lang w:val="fr-CA"/>
        </w:rPr>
        <w:t>Principle</w:t>
      </w:r>
      <w:proofErr w:type="spellEnd"/>
      <w:r w:rsidR="0025669C">
        <w:rPr>
          <w:rFonts w:cs="Times New Roman"/>
          <w:lang w:val="fr-CA"/>
        </w:rPr>
        <w:t> </w:t>
      </w:r>
      <w:r w:rsidRPr="00883823">
        <w:rPr>
          <w:rFonts w:cs="Times New Roman"/>
          <w:lang w:val="fr-CA"/>
        </w:rPr>
        <w:t xml:space="preserve">: A Framework for </w:t>
      </w:r>
      <w:proofErr w:type="spellStart"/>
      <w:r w:rsidRPr="00883823">
        <w:rPr>
          <w:rFonts w:cs="Times New Roman"/>
          <w:lang w:val="fr-CA"/>
        </w:rPr>
        <w:t>Suspended</w:t>
      </w:r>
      <w:proofErr w:type="spellEnd"/>
      <w:r w:rsidRPr="00883823">
        <w:rPr>
          <w:rFonts w:cs="Times New Roman"/>
          <w:lang w:val="fr-CA"/>
        </w:rPr>
        <w:t xml:space="preserve"> </w:t>
      </w:r>
      <w:proofErr w:type="spellStart"/>
      <w:r w:rsidRPr="00883823">
        <w:rPr>
          <w:rFonts w:cs="Times New Roman"/>
          <w:lang w:val="fr-CA"/>
        </w:rPr>
        <w:t>Declarations</w:t>
      </w:r>
      <w:proofErr w:type="spellEnd"/>
      <w:r w:rsidRPr="00883823">
        <w:rPr>
          <w:rFonts w:cs="Times New Roman"/>
          <w:lang w:val="fr-CA"/>
        </w:rPr>
        <w:t xml:space="preserve"> of </w:t>
      </w:r>
      <w:proofErr w:type="spellStart"/>
      <w:r w:rsidRPr="00883823">
        <w:rPr>
          <w:rFonts w:cs="Times New Roman"/>
          <w:lang w:val="fr-CA"/>
        </w:rPr>
        <w:t>Invalidity</w:t>
      </w:r>
      <w:proofErr w:type="spellEnd"/>
      <w:r w:rsidRPr="00883823">
        <w:rPr>
          <w:rFonts w:cs="Times New Roman"/>
          <w:lang w:val="fr-CA"/>
        </w:rPr>
        <w:t xml:space="preserve"> in Canadian </w:t>
      </w:r>
      <w:proofErr w:type="spellStart"/>
      <w:r w:rsidRPr="00883823">
        <w:rPr>
          <w:rFonts w:cs="Times New Roman"/>
          <w:lang w:val="fr-CA"/>
        </w:rPr>
        <w:t>Constitutional</w:t>
      </w:r>
      <w:proofErr w:type="spellEnd"/>
      <w:r w:rsidRPr="00883823">
        <w:rPr>
          <w:rFonts w:cs="Times New Roman"/>
          <w:lang w:val="fr-CA"/>
        </w:rPr>
        <w:t xml:space="preserve"> Law » (2011), 49 </w:t>
      </w:r>
      <w:r w:rsidRPr="00883823">
        <w:rPr>
          <w:rFonts w:cs="Times New Roman"/>
          <w:i/>
          <w:lang w:val="fr-CA"/>
        </w:rPr>
        <w:t>Alta. L. </w:t>
      </w:r>
      <w:proofErr w:type="spellStart"/>
      <w:r w:rsidRPr="00883823">
        <w:rPr>
          <w:rFonts w:cs="Times New Roman"/>
          <w:i/>
          <w:lang w:val="fr-CA"/>
        </w:rPr>
        <w:t>Rev</w:t>
      </w:r>
      <w:proofErr w:type="spellEnd"/>
      <w:r w:rsidRPr="00883823">
        <w:rPr>
          <w:rFonts w:cs="Times New Roman"/>
          <w:i/>
          <w:lang w:val="fr-CA"/>
        </w:rPr>
        <w:t xml:space="preserve">. </w:t>
      </w:r>
      <w:r w:rsidRPr="00883823">
        <w:rPr>
          <w:rFonts w:cs="Times New Roman"/>
          <w:lang w:val="fr-CA"/>
        </w:rPr>
        <w:t xml:space="preserve">107, </w:t>
      </w:r>
      <w:r>
        <w:rPr>
          <w:rFonts w:cs="Times New Roman"/>
          <w:lang w:val="fr-CA"/>
        </w:rPr>
        <w:t>p. </w:t>
      </w:r>
      <w:r w:rsidRPr="00883823">
        <w:rPr>
          <w:rFonts w:cs="Times New Roman"/>
          <w:lang w:val="fr-CA"/>
        </w:rPr>
        <w:t>110</w:t>
      </w:r>
      <w:r>
        <w:rPr>
          <w:rFonts w:cs="Times New Roman"/>
          <w:lang w:val="fr-CA"/>
        </w:rPr>
        <w:noBreakHyphen/>
      </w:r>
      <w:r w:rsidRPr="00883823">
        <w:rPr>
          <w:rFonts w:cs="Times New Roman"/>
          <w:lang w:val="fr-CA"/>
        </w:rPr>
        <w:t xml:space="preserve">111; </w:t>
      </w:r>
      <w:proofErr w:type="spellStart"/>
      <w:r w:rsidRPr="00883823">
        <w:rPr>
          <w:rFonts w:cs="Times New Roman"/>
          <w:lang w:val="fr-CA"/>
        </w:rPr>
        <w:t>Ryder</w:t>
      </w:r>
      <w:proofErr w:type="spellEnd"/>
      <w:r w:rsidRPr="00883823">
        <w:rPr>
          <w:rFonts w:cs="Times New Roman"/>
          <w:lang w:val="fr-CA"/>
        </w:rPr>
        <w:t xml:space="preserve">, </w:t>
      </w:r>
      <w:r>
        <w:rPr>
          <w:rFonts w:cs="Times New Roman"/>
          <w:lang w:val="fr-CA"/>
        </w:rPr>
        <w:t>p. </w:t>
      </w:r>
      <w:r w:rsidRPr="00883823">
        <w:rPr>
          <w:rFonts w:cs="Times New Roman"/>
          <w:lang w:val="fr-CA"/>
        </w:rPr>
        <w:t>271</w:t>
      </w:r>
      <w:r>
        <w:rPr>
          <w:rFonts w:cs="Times New Roman"/>
          <w:lang w:val="fr-CA"/>
        </w:rPr>
        <w:noBreakHyphen/>
      </w:r>
      <w:r w:rsidRPr="00883823">
        <w:rPr>
          <w:rFonts w:cs="Times New Roman"/>
          <w:lang w:val="fr-CA"/>
        </w:rPr>
        <w:t>272 et 280; S. </w:t>
      </w:r>
      <w:proofErr w:type="spellStart"/>
      <w:r w:rsidRPr="00883823">
        <w:rPr>
          <w:rFonts w:cs="Times New Roman"/>
          <w:lang w:val="fr-CA"/>
        </w:rPr>
        <w:t>Choudhry</w:t>
      </w:r>
      <w:proofErr w:type="spellEnd"/>
      <w:r w:rsidRPr="00883823">
        <w:rPr>
          <w:rFonts w:cs="Times New Roman"/>
          <w:lang w:val="fr-CA"/>
        </w:rPr>
        <w:t xml:space="preserve"> et K. </w:t>
      </w:r>
      <w:proofErr w:type="spellStart"/>
      <w:r w:rsidRPr="00883823">
        <w:rPr>
          <w:rFonts w:cs="Times New Roman"/>
          <w:lang w:val="fr-CA"/>
        </w:rPr>
        <w:t>Roach</w:t>
      </w:r>
      <w:proofErr w:type="spellEnd"/>
      <w:r w:rsidRPr="00883823">
        <w:rPr>
          <w:rFonts w:cs="Times New Roman"/>
          <w:lang w:val="fr-CA"/>
        </w:rPr>
        <w:t xml:space="preserve">, « Putting the </w:t>
      </w:r>
      <w:proofErr w:type="spellStart"/>
      <w:r w:rsidRPr="00883823">
        <w:rPr>
          <w:rFonts w:cs="Times New Roman"/>
          <w:lang w:val="fr-CA"/>
        </w:rPr>
        <w:t>Past</w:t>
      </w:r>
      <w:proofErr w:type="spellEnd"/>
      <w:r w:rsidRPr="00883823">
        <w:rPr>
          <w:rFonts w:cs="Times New Roman"/>
          <w:lang w:val="fr-CA"/>
        </w:rPr>
        <w:t xml:space="preserve"> </w:t>
      </w:r>
      <w:proofErr w:type="spellStart"/>
      <w:r w:rsidRPr="00883823">
        <w:rPr>
          <w:rFonts w:cs="Times New Roman"/>
          <w:lang w:val="fr-CA"/>
        </w:rPr>
        <w:t>Behind</w:t>
      </w:r>
      <w:proofErr w:type="spellEnd"/>
      <w:r w:rsidRPr="00883823">
        <w:rPr>
          <w:rFonts w:cs="Times New Roman"/>
          <w:lang w:val="fr-CA"/>
        </w:rPr>
        <w:t xml:space="preserve"> Us? </w:t>
      </w:r>
      <w:r w:rsidRPr="00883823">
        <w:rPr>
          <w:rFonts w:cs="Times New Roman"/>
          <w:lang w:val="en-US"/>
        </w:rPr>
        <w:t xml:space="preserve">Prospective Judicial and Legislative Constitutional Remedies » (2003), 21 </w:t>
      </w:r>
      <w:r w:rsidRPr="00883823">
        <w:rPr>
          <w:rFonts w:cs="Times New Roman"/>
          <w:i/>
          <w:lang w:val="en-US"/>
        </w:rPr>
        <w:t>S.C.L.R.</w:t>
      </w:r>
      <w:r w:rsidRPr="00883823">
        <w:rPr>
          <w:rFonts w:cs="Times New Roman"/>
          <w:lang w:val="en-US"/>
        </w:rPr>
        <w:t xml:space="preserve"> (2d) 205, </w:t>
      </w:r>
      <w:r>
        <w:rPr>
          <w:rFonts w:cs="Times New Roman"/>
          <w:lang w:val="en-US"/>
        </w:rPr>
        <w:t>p. </w:t>
      </w:r>
      <w:r w:rsidRPr="00883823">
        <w:rPr>
          <w:rFonts w:cs="Times New Roman"/>
          <w:lang w:val="en-US"/>
        </w:rPr>
        <w:t>228; S. </w:t>
      </w:r>
      <w:proofErr w:type="spellStart"/>
      <w:r w:rsidRPr="00883823">
        <w:rPr>
          <w:rFonts w:cs="Times New Roman"/>
          <w:lang w:val="en-US"/>
        </w:rPr>
        <w:t>Burningham</w:t>
      </w:r>
      <w:proofErr w:type="spellEnd"/>
      <w:r w:rsidRPr="00883823">
        <w:rPr>
          <w:rFonts w:cs="Times New Roman"/>
          <w:lang w:val="en-US"/>
        </w:rPr>
        <w:t xml:space="preserve">, « A Comment on the Court’s Decision to Suspend the Declaration of Invalidity in </w:t>
      </w:r>
      <w:r w:rsidRPr="00883823">
        <w:rPr>
          <w:rFonts w:cs="Times New Roman"/>
          <w:i/>
          <w:lang w:val="en-US"/>
        </w:rPr>
        <w:t>Carter v. Canada</w:t>
      </w:r>
      <w:r w:rsidRPr="00883823">
        <w:rPr>
          <w:rFonts w:cs="Times New Roman"/>
          <w:lang w:val="en-US"/>
        </w:rPr>
        <w:t xml:space="preserve"> » (2015), 78 </w:t>
      </w:r>
      <w:r w:rsidRPr="00883823">
        <w:rPr>
          <w:rFonts w:cs="Times New Roman"/>
          <w:i/>
          <w:lang w:val="en-US"/>
        </w:rPr>
        <w:t xml:space="preserve">Sask. L. Rev. </w:t>
      </w:r>
      <w:r w:rsidRPr="00883823">
        <w:rPr>
          <w:rFonts w:cs="Times New Roman"/>
          <w:lang w:val="en-US"/>
        </w:rPr>
        <w:t xml:space="preserve">201, </w:t>
      </w:r>
      <w:r>
        <w:rPr>
          <w:rFonts w:cs="Times New Roman"/>
          <w:lang w:val="en-US"/>
        </w:rPr>
        <w:t>p. </w:t>
      </w:r>
      <w:r w:rsidRPr="00883823">
        <w:rPr>
          <w:rFonts w:cs="Times New Roman"/>
          <w:lang w:val="en-US"/>
        </w:rPr>
        <w:t xml:space="preserve">202; R. </w:t>
      </w:r>
      <w:proofErr w:type="spellStart"/>
      <w:r w:rsidRPr="00883823">
        <w:rPr>
          <w:rFonts w:cs="Times New Roman"/>
          <w:lang w:val="en-US"/>
        </w:rPr>
        <w:t>Leckey</w:t>
      </w:r>
      <w:proofErr w:type="spellEnd"/>
      <w:r w:rsidRPr="00883823">
        <w:rPr>
          <w:rFonts w:cs="Times New Roman"/>
          <w:lang w:val="en-US"/>
        </w:rPr>
        <w:t xml:space="preserve">, « Remedial Practice Beyond Constitutional Text » (2016), 64 </w:t>
      </w:r>
      <w:r w:rsidRPr="00883823">
        <w:rPr>
          <w:rFonts w:cs="Times New Roman"/>
          <w:i/>
          <w:lang w:val="en-US"/>
        </w:rPr>
        <w:t>Am. J. Com</w:t>
      </w:r>
      <w:r>
        <w:rPr>
          <w:rFonts w:cs="Times New Roman"/>
          <w:i/>
          <w:lang w:val="en-US"/>
        </w:rPr>
        <w:t>p. </w:t>
      </w:r>
      <w:r w:rsidRPr="00883823">
        <w:rPr>
          <w:rFonts w:cs="Times New Roman"/>
          <w:i/>
          <w:lang w:val="en-US"/>
        </w:rPr>
        <w:t xml:space="preserve">L. </w:t>
      </w:r>
      <w:r w:rsidRPr="00883823">
        <w:rPr>
          <w:rFonts w:cs="Times New Roman"/>
          <w:lang w:val="en-US"/>
        </w:rPr>
        <w:t>1</w:t>
      </w:r>
      <w:r>
        <w:rPr>
          <w:rFonts w:cs="Times New Roman"/>
          <w:lang w:val="en-US"/>
        </w:rPr>
        <w:t xml:space="preserve"> (« </w:t>
      </w:r>
      <w:proofErr w:type="spellStart"/>
      <w:r>
        <w:rPr>
          <w:rFonts w:cs="Times New Roman"/>
          <w:lang w:val="en-US"/>
        </w:rPr>
        <w:t>Leckey</w:t>
      </w:r>
      <w:proofErr w:type="spellEnd"/>
      <w:r>
        <w:rPr>
          <w:rFonts w:cs="Times New Roman"/>
          <w:lang w:val="en-US"/>
        </w:rPr>
        <w:t>, “Remedial” </w:t>
      </w:r>
      <w:r w:rsidRPr="00883823">
        <w:rPr>
          <w:rFonts w:cs="Times New Roman"/>
          <w:lang w:val="en-US"/>
        </w:rPr>
        <w:t xml:space="preserve">», </w:t>
      </w:r>
      <w:r>
        <w:rPr>
          <w:rFonts w:cs="Times New Roman"/>
          <w:lang w:val="en-US"/>
        </w:rPr>
        <w:t>p. </w:t>
      </w:r>
      <w:r w:rsidRPr="00883823">
        <w:rPr>
          <w:rFonts w:cs="Times New Roman"/>
          <w:lang w:val="en-US"/>
        </w:rPr>
        <w:t xml:space="preserve">23). </w:t>
      </w:r>
    </w:p>
    <w:p w14:paraId="0770C5A3"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Autrement dit, notre Cour a prononcé des suspensions de l’effet de déclarations d’invalidité — allant même jusqu’à </w:t>
      </w:r>
      <w:r w:rsidRPr="00883823">
        <w:rPr>
          <w:rFonts w:cs="Times New Roman"/>
          <w:i/>
          <w:lang w:val="fr-CA"/>
        </w:rPr>
        <w:t>prolonger</w:t>
      </w:r>
      <w:r w:rsidRPr="00883823">
        <w:rPr>
          <w:rFonts w:cs="Times New Roman"/>
          <w:lang w:val="fr-CA"/>
        </w:rPr>
        <w:t xml:space="preserve"> ces suspensions — sur la base de fondements constitutionnels ou jurisprudentiels ténus. Ainsi, dans les arrêts </w:t>
      </w:r>
      <w:r w:rsidRPr="00883823">
        <w:rPr>
          <w:rFonts w:cs="Times New Roman"/>
          <w:i/>
          <w:lang w:val="fr-CA"/>
        </w:rPr>
        <w:t>Canada (Procureur général) c. Bedford</w:t>
      </w:r>
      <w:r w:rsidRPr="00883823">
        <w:rPr>
          <w:rFonts w:cs="Times New Roman"/>
          <w:lang w:val="fr-CA"/>
        </w:rPr>
        <w:t xml:space="preserve">, 2013 CSC 72, [2013] 3 R.C.S. 1101, et </w:t>
      </w:r>
      <w:r w:rsidRPr="00883823">
        <w:rPr>
          <w:rFonts w:cs="Times New Roman"/>
          <w:i/>
          <w:lang w:val="fr-CA"/>
        </w:rPr>
        <w:t>Carter c. Canada (Procureur général)</w:t>
      </w:r>
      <w:r w:rsidRPr="00883823">
        <w:rPr>
          <w:rFonts w:cs="Times New Roman"/>
          <w:lang w:val="fr-CA"/>
        </w:rPr>
        <w:t>, 2015 CSC 5, [2015] 1 R.C.S. 331,</w:t>
      </w:r>
      <w:r w:rsidRPr="00883823">
        <w:rPr>
          <w:rFonts w:cs="Times New Roman"/>
          <w:i/>
          <w:lang w:val="fr-CA"/>
        </w:rPr>
        <w:t xml:space="preserve"> </w:t>
      </w:r>
      <w:r w:rsidRPr="00883823">
        <w:rPr>
          <w:rFonts w:cs="Times New Roman"/>
          <w:lang w:val="fr-CA"/>
        </w:rPr>
        <w:t xml:space="preserve">la Cour a avancé des raisons laconiques pour justifier la suspension de l’effet d’une déclaration d’invalidité. Dans </w:t>
      </w:r>
      <w:r w:rsidRPr="00883823">
        <w:rPr>
          <w:rFonts w:cs="Times New Roman"/>
          <w:i/>
          <w:lang w:val="fr-CA"/>
        </w:rPr>
        <w:t>Bedford</w:t>
      </w:r>
      <w:r w:rsidRPr="00883823">
        <w:rPr>
          <w:rFonts w:cs="Times New Roman"/>
          <w:lang w:val="fr-CA"/>
        </w:rPr>
        <w:t>, la Cour a suspendu l’effet de la déclaration d’invalidité en évoquant l’idée nébuleuse suivant laquelle le fait de ne pas encadrer la prostitution « susciterait de vives inquiétudes chez de nombreux Canadiens » tout en reconnaissant qu’« [i]l peut y avoir controverse » quant à savoir si une déclaration d’invalidité avec effet immédiat présenterait un danger pour le public ou compromettrait la primauté du droit (</w:t>
      </w:r>
      <w:r>
        <w:rPr>
          <w:rFonts w:cs="Times New Roman"/>
          <w:lang w:val="fr-CA"/>
        </w:rPr>
        <w:t>par. </w:t>
      </w:r>
      <w:r w:rsidRPr="00883823">
        <w:rPr>
          <w:rFonts w:cs="Times New Roman"/>
          <w:lang w:val="fr-CA"/>
        </w:rPr>
        <w:t xml:space="preserve">167). Fait encore plus remarquable, dans l’arrêt </w:t>
      </w:r>
      <w:r w:rsidRPr="00883823">
        <w:rPr>
          <w:rFonts w:cs="Times New Roman"/>
          <w:i/>
          <w:lang w:val="fr-CA"/>
        </w:rPr>
        <w:t>Carter</w:t>
      </w:r>
      <w:r w:rsidRPr="00883823">
        <w:rPr>
          <w:rFonts w:cs="Times New Roman"/>
          <w:lang w:val="fr-CA"/>
        </w:rPr>
        <w:t xml:space="preserve">, la Cour </w:t>
      </w:r>
      <w:r w:rsidRPr="00883823">
        <w:rPr>
          <w:rFonts w:cs="Times New Roman"/>
          <w:i/>
          <w:iCs/>
          <w:lang w:val="fr-CA"/>
        </w:rPr>
        <w:t xml:space="preserve">n’a pas </w:t>
      </w:r>
      <w:r w:rsidRPr="00883823">
        <w:rPr>
          <w:rFonts w:cs="Times New Roman"/>
          <w:iCs/>
          <w:lang w:val="fr-CA"/>
        </w:rPr>
        <w:t>motivé</w:t>
      </w:r>
      <w:r w:rsidRPr="00883823">
        <w:rPr>
          <w:rFonts w:cs="Times New Roman"/>
          <w:lang w:val="fr-CA"/>
        </w:rPr>
        <w:t xml:space="preserve"> sa décision de suspendre l’effet de sa déclaration d’invalidité (</w:t>
      </w:r>
      <w:r>
        <w:rPr>
          <w:rFonts w:cs="Times New Roman"/>
          <w:lang w:val="fr-CA"/>
        </w:rPr>
        <w:t>par. </w:t>
      </w:r>
      <w:r w:rsidRPr="00883823">
        <w:rPr>
          <w:rFonts w:cs="Times New Roman"/>
          <w:lang w:val="fr-CA"/>
        </w:rPr>
        <w:t>128).</w:t>
      </w:r>
    </w:p>
    <w:p w14:paraId="0C5AB358"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En conséquence, le recours par la Cour à la suspension de l’effet de déclarations d’invalidité n’est plus fondé sur les principes qui avaient été énoncés dans le </w:t>
      </w:r>
      <w:r w:rsidRPr="00883823">
        <w:rPr>
          <w:rFonts w:cs="Times New Roman"/>
          <w:i/>
          <w:lang w:val="fr-CA"/>
        </w:rPr>
        <w:t>Renvoi relatif au Manitoba</w:t>
      </w:r>
      <w:r w:rsidRPr="00883823">
        <w:rPr>
          <w:rFonts w:cs="Times New Roman"/>
          <w:lang w:val="fr-CA"/>
        </w:rPr>
        <w:t xml:space="preserve"> et qui justifiaient l’existence d’un moyen qui n’était censé servir qu’en dernier ressort. De nos jours, cette réparation est devenue la règle plutôt que l’exception. Nous ne pensons pas que notre collègue soit en désaccord avec cette proposition. Mais sa solution présuppose que </w:t>
      </w:r>
      <w:r w:rsidRPr="00883823">
        <w:rPr>
          <w:rFonts w:cs="Times New Roman"/>
          <w:i/>
          <w:iCs/>
          <w:lang w:val="fr-CA"/>
        </w:rPr>
        <w:t xml:space="preserve">d’autres </w:t>
      </w:r>
      <w:r w:rsidRPr="00883823">
        <w:rPr>
          <w:rFonts w:cs="Times New Roman"/>
          <w:iCs/>
          <w:lang w:val="fr-CA"/>
        </w:rPr>
        <w:t>principes</w:t>
      </w:r>
      <w:r w:rsidRPr="00883823">
        <w:rPr>
          <w:rFonts w:cs="Times New Roman"/>
          <w:lang w:val="fr-CA"/>
        </w:rPr>
        <w:t xml:space="preserve"> ont pu aussi jouer discrètement un rôle dans la jurisprudence. En toute déférence, nous ne sommes absolument pas convaincus que ce soit le cas. </w:t>
      </w:r>
    </w:p>
    <w:p w14:paraId="0E9EE221" w14:textId="692ED854"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Nous ne sommes pas non plus d’accord avec notre collègue pour dire que l’arrêt </w:t>
      </w:r>
      <w:proofErr w:type="spellStart"/>
      <w:r w:rsidRPr="00883823">
        <w:rPr>
          <w:rFonts w:cs="Times New Roman"/>
          <w:i/>
          <w:lang w:val="fr-CA"/>
        </w:rPr>
        <w:t>Schachter</w:t>
      </w:r>
      <w:proofErr w:type="spellEnd"/>
      <w:r w:rsidRPr="00883823">
        <w:rPr>
          <w:rFonts w:cs="Times New Roman"/>
          <w:i/>
          <w:lang w:val="fr-CA"/>
        </w:rPr>
        <w:t xml:space="preserve"> </w:t>
      </w:r>
      <w:r w:rsidRPr="00883823">
        <w:rPr>
          <w:rFonts w:cs="Times New Roman"/>
          <w:lang w:val="fr-CA"/>
        </w:rPr>
        <w:t xml:space="preserve">est le vaccin. En fait, c’est plutôt le germe. Avant l’arrêt </w:t>
      </w:r>
      <w:proofErr w:type="spellStart"/>
      <w:r w:rsidRPr="00883823">
        <w:rPr>
          <w:rFonts w:cs="Times New Roman"/>
          <w:i/>
          <w:lang w:val="fr-CA"/>
        </w:rPr>
        <w:t>Schachter</w:t>
      </w:r>
      <w:proofErr w:type="spellEnd"/>
      <w:r w:rsidRPr="00883823">
        <w:rPr>
          <w:rFonts w:cs="Times New Roman"/>
          <w:i/>
          <w:lang w:val="fr-CA"/>
        </w:rPr>
        <w:t xml:space="preserve"> </w:t>
      </w:r>
      <w:r w:rsidRPr="00883823">
        <w:rPr>
          <w:rFonts w:cs="Times New Roman"/>
          <w:lang w:val="fr-CA"/>
        </w:rPr>
        <w:t xml:space="preserve">(mais après le </w:t>
      </w:r>
      <w:r w:rsidRPr="00883823">
        <w:rPr>
          <w:rFonts w:cs="Times New Roman"/>
          <w:i/>
          <w:lang w:val="fr-CA"/>
        </w:rPr>
        <w:t>Renvoi relatif au Manitoba</w:t>
      </w:r>
      <w:r w:rsidRPr="00883823">
        <w:rPr>
          <w:rFonts w:cs="Times New Roman"/>
          <w:lang w:val="fr-CA"/>
        </w:rPr>
        <w:t>), notre Cour tenait pour acquis [</w:t>
      </w:r>
      <w:r w:rsidRPr="00883823">
        <w:rPr>
          <w:rFonts w:cs="Times New Roman"/>
          <w:smallCaps/>
          <w:lang w:val="fr-CA"/>
        </w:rPr>
        <w:t>traduction</w:t>
      </w:r>
      <w:r w:rsidRPr="00883823">
        <w:rPr>
          <w:rFonts w:cs="Times New Roman"/>
          <w:lang w:val="fr-CA"/>
        </w:rPr>
        <w:t xml:space="preserve">] « que l’invalidité des lois déclarées incompatibles avec la nouvelle </w:t>
      </w:r>
      <w:r w:rsidRPr="00883823">
        <w:rPr>
          <w:rFonts w:cs="Times New Roman"/>
          <w:i/>
          <w:lang w:val="fr-CA"/>
        </w:rPr>
        <w:t xml:space="preserve">Charte </w:t>
      </w:r>
      <w:r w:rsidRPr="00883823">
        <w:rPr>
          <w:rFonts w:cs="Times New Roman"/>
          <w:lang w:val="fr-CA"/>
        </w:rPr>
        <w:t>devrait prendre effet sur</w:t>
      </w:r>
      <w:r>
        <w:rPr>
          <w:rFonts w:cs="Times New Roman"/>
          <w:lang w:val="fr-CA"/>
        </w:rPr>
        <w:noBreakHyphen/>
      </w:r>
      <w:r w:rsidRPr="00883823">
        <w:rPr>
          <w:rFonts w:cs="Times New Roman"/>
          <w:lang w:val="fr-CA"/>
        </w:rPr>
        <w:t>le</w:t>
      </w:r>
      <w:r>
        <w:rPr>
          <w:rFonts w:cs="Times New Roman"/>
          <w:lang w:val="fr-CA"/>
        </w:rPr>
        <w:noBreakHyphen/>
      </w:r>
      <w:r w:rsidRPr="00883823">
        <w:rPr>
          <w:rFonts w:cs="Times New Roman"/>
          <w:lang w:val="fr-CA"/>
        </w:rPr>
        <w:t xml:space="preserve">champ [et, ce faisant,] elle confirmait la primauté et l’inviolabilité des droits et libertés consacrés par la </w:t>
      </w:r>
      <w:r w:rsidRPr="00883823">
        <w:rPr>
          <w:rFonts w:cs="Times New Roman"/>
          <w:i/>
          <w:lang w:val="fr-CA"/>
        </w:rPr>
        <w:t>Charte</w:t>
      </w:r>
      <w:r w:rsidRPr="00883823">
        <w:rPr>
          <w:rFonts w:cs="Times New Roman"/>
          <w:lang w:val="fr-CA"/>
        </w:rPr>
        <w:t> » (</w:t>
      </w:r>
      <w:proofErr w:type="spellStart"/>
      <w:r w:rsidRPr="00883823">
        <w:rPr>
          <w:rFonts w:cs="Times New Roman"/>
          <w:lang w:val="fr-CA"/>
        </w:rPr>
        <w:t>Ryder</w:t>
      </w:r>
      <w:proofErr w:type="spellEnd"/>
      <w:r w:rsidRPr="00883823">
        <w:rPr>
          <w:rFonts w:cs="Times New Roman"/>
          <w:lang w:val="fr-CA"/>
        </w:rPr>
        <w:t xml:space="preserve">, </w:t>
      </w:r>
      <w:r>
        <w:rPr>
          <w:rFonts w:cs="Times New Roman"/>
          <w:lang w:val="fr-CA"/>
        </w:rPr>
        <w:t>p. </w:t>
      </w:r>
      <w:r w:rsidRPr="00883823">
        <w:rPr>
          <w:rFonts w:cs="Times New Roman"/>
          <w:lang w:val="fr-CA"/>
        </w:rPr>
        <w:t xml:space="preserve">268). Mais, depuis l’arrêt </w:t>
      </w:r>
      <w:proofErr w:type="spellStart"/>
      <w:r w:rsidRPr="00883823">
        <w:rPr>
          <w:rFonts w:cs="Times New Roman"/>
          <w:i/>
          <w:lang w:val="fr-CA"/>
        </w:rPr>
        <w:t>Schachter</w:t>
      </w:r>
      <w:proofErr w:type="spellEnd"/>
      <w:r w:rsidRPr="00883823">
        <w:rPr>
          <w:rFonts w:cs="Times New Roman"/>
          <w:lang w:val="fr-CA"/>
        </w:rPr>
        <w:t>, notre Cour a changé son fusil d’épaule, comme le confirment les statistiques</w:t>
      </w:r>
      <w:r>
        <w:rPr>
          <w:rFonts w:cs="Times New Roman"/>
          <w:lang w:val="fr-CA"/>
        </w:rPr>
        <w:t> :</w:t>
      </w:r>
      <w:r w:rsidRPr="00883823">
        <w:rPr>
          <w:rFonts w:cs="Times New Roman"/>
          <w:lang w:val="fr-CA"/>
        </w:rPr>
        <w:t xml:space="preserve"> d’après nos calculs, sur les 44 fois où elle a déclaré une loi invalide pour cause d’inconstitutionnalité depuis l’arrêt </w:t>
      </w:r>
      <w:proofErr w:type="spellStart"/>
      <w:r w:rsidRPr="00883823">
        <w:rPr>
          <w:rFonts w:cs="Times New Roman"/>
          <w:i/>
          <w:lang w:val="fr-CA"/>
        </w:rPr>
        <w:t>Schachter</w:t>
      </w:r>
      <w:proofErr w:type="spellEnd"/>
      <w:r w:rsidRPr="00883823">
        <w:rPr>
          <w:rFonts w:cs="Times New Roman"/>
          <w:lang w:val="fr-CA"/>
        </w:rPr>
        <w:t>, notre Cour a suspendu l’effet de cette déclaration à 23 reprises (c’est</w:t>
      </w:r>
      <w:r>
        <w:rPr>
          <w:rFonts w:cs="Times New Roman"/>
          <w:lang w:val="fr-CA"/>
        </w:rPr>
        <w:noBreakHyphen/>
      </w:r>
      <w:r w:rsidRPr="00883823">
        <w:rPr>
          <w:rFonts w:cs="Times New Roman"/>
          <w:lang w:val="fr-CA"/>
        </w:rPr>
        <w:t>à</w:t>
      </w:r>
      <w:r>
        <w:rPr>
          <w:rFonts w:cs="Times New Roman"/>
          <w:lang w:val="fr-CA"/>
        </w:rPr>
        <w:noBreakHyphen/>
      </w:r>
      <w:r w:rsidRPr="00883823">
        <w:rPr>
          <w:rFonts w:cs="Times New Roman"/>
          <w:lang w:val="fr-CA"/>
        </w:rPr>
        <w:t>dire 52 p</w:t>
      </w:r>
      <w:r>
        <w:rPr>
          <w:rFonts w:cs="Times New Roman"/>
          <w:lang w:val="fr-CA"/>
        </w:rPr>
        <w:t>.</w:t>
      </w:r>
      <w:r w:rsidRPr="00883823">
        <w:rPr>
          <w:rFonts w:cs="Times New Roman"/>
          <w:lang w:val="fr-CA"/>
        </w:rPr>
        <w:t xml:space="preserve"> 100 du temps)</w:t>
      </w:r>
      <w:r w:rsidRPr="00A575B7">
        <w:rPr>
          <w:rStyle w:val="Hyperlink"/>
          <w:color w:val="auto"/>
          <w:u w:val="none"/>
          <w:vertAlign w:val="superscript"/>
        </w:rPr>
        <w:footnoteReference w:id="12"/>
      </w:r>
      <w:r w:rsidRPr="00883823">
        <w:rPr>
          <w:rFonts w:cs="Times New Roman"/>
          <w:lang w:val="fr-CA"/>
        </w:rPr>
        <w:t>. Et la tendance est à la hausse</w:t>
      </w:r>
      <w:r>
        <w:rPr>
          <w:rFonts w:cs="Times New Roman"/>
          <w:lang w:val="fr-CA"/>
        </w:rPr>
        <w:t> :</w:t>
      </w:r>
      <w:r w:rsidRPr="00883823">
        <w:rPr>
          <w:rFonts w:cs="Times New Roman"/>
          <w:lang w:val="fr-CA"/>
        </w:rPr>
        <w:t xml:space="preserve"> entre 2003 et 2015, ce chiffre a augmenté à 74 p</w:t>
      </w:r>
      <w:r>
        <w:rPr>
          <w:rFonts w:cs="Times New Roman"/>
          <w:lang w:val="fr-CA"/>
        </w:rPr>
        <w:t>. 100</w:t>
      </w:r>
      <w:r w:rsidRPr="00883823">
        <w:rPr>
          <w:rFonts w:cs="Times New Roman"/>
          <w:lang w:val="fr-CA"/>
        </w:rPr>
        <w:t xml:space="preserve"> (voir également </w:t>
      </w:r>
      <w:proofErr w:type="spellStart"/>
      <w:r w:rsidRPr="00883823">
        <w:rPr>
          <w:rFonts w:cs="Times New Roman"/>
          <w:lang w:val="fr-CA"/>
        </w:rPr>
        <w:t>Ryder</w:t>
      </w:r>
      <w:proofErr w:type="spellEnd"/>
      <w:r w:rsidRPr="00883823">
        <w:rPr>
          <w:rFonts w:cs="Times New Roman"/>
          <w:lang w:val="fr-CA"/>
        </w:rPr>
        <w:t xml:space="preserve">, </w:t>
      </w:r>
      <w:r>
        <w:rPr>
          <w:rFonts w:cs="Times New Roman"/>
          <w:lang w:val="fr-CA"/>
        </w:rPr>
        <w:t>p. </w:t>
      </w:r>
      <w:r w:rsidRPr="00883823">
        <w:rPr>
          <w:rFonts w:cs="Times New Roman"/>
          <w:lang w:val="fr-CA"/>
        </w:rPr>
        <w:t xml:space="preserve">272; </w:t>
      </w:r>
      <w:proofErr w:type="spellStart"/>
      <w:r w:rsidRPr="00883823">
        <w:rPr>
          <w:rFonts w:cs="Times New Roman"/>
          <w:lang w:val="fr-CA"/>
        </w:rPr>
        <w:t>Hoole</w:t>
      </w:r>
      <w:proofErr w:type="spellEnd"/>
      <w:r w:rsidRPr="00883823">
        <w:rPr>
          <w:rFonts w:cs="Times New Roman"/>
          <w:lang w:val="fr-CA"/>
        </w:rPr>
        <w:t xml:space="preserve">, </w:t>
      </w:r>
      <w:r>
        <w:rPr>
          <w:rFonts w:cs="Times New Roman"/>
          <w:lang w:val="fr-CA"/>
        </w:rPr>
        <w:t>p. </w:t>
      </w:r>
      <w:r w:rsidRPr="00883823">
        <w:rPr>
          <w:rFonts w:cs="Times New Roman"/>
          <w:lang w:val="fr-CA"/>
        </w:rPr>
        <w:t>114</w:t>
      </w:r>
      <w:r>
        <w:rPr>
          <w:rFonts w:cs="Times New Roman"/>
          <w:lang w:val="fr-CA"/>
        </w:rPr>
        <w:t>; J. </w:t>
      </w:r>
      <w:r w:rsidRPr="00883823">
        <w:rPr>
          <w:rFonts w:cs="Times New Roman"/>
          <w:lang w:val="fr-CA"/>
        </w:rPr>
        <w:t xml:space="preserve">B. Kelly, </w:t>
      </w:r>
      <w:proofErr w:type="spellStart"/>
      <w:r w:rsidRPr="00883823">
        <w:rPr>
          <w:rFonts w:cs="Times New Roman"/>
          <w:i/>
          <w:lang w:val="fr-CA"/>
        </w:rPr>
        <w:t>Governing</w:t>
      </w:r>
      <w:proofErr w:type="spellEnd"/>
      <w:r w:rsidRPr="00883823">
        <w:rPr>
          <w:rFonts w:cs="Times New Roman"/>
          <w:i/>
          <w:lang w:val="fr-CA"/>
        </w:rPr>
        <w:t xml:space="preserve"> </w:t>
      </w:r>
      <w:proofErr w:type="spellStart"/>
      <w:r w:rsidRPr="00883823">
        <w:rPr>
          <w:rFonts w:cs="Times New Roman"/>
          <w:i/>
          <w:lang w:val="fr-CA"/>
        </w:rPr>
        <w:t>with</w:t>
      </w:r>
      <w:proofErr w:type="spellEnd"/>
      <w:r w:rsidRPr="00883823">
        <w:rPr>
          <w:rFonts w:cs="Times New Roman"/>
          <w:i/>
          <w:lang w:val="fr-CA"/>
        </w:rPr>
        <w:t xml:space="preserve"> the Charter</w:t>
      </w:r>
      <w:r w:rsidR="004A7655">
        <w:rPr>
          <w:rFonts w:cs="Times New Roman"/>
          <w:i/>
          <w:lang w:val="fr-CA"/>
        </w:rPr>
        <w:t> </w:t>
      </w:r>
      <w:r w:rsidRPr="00883823">
        <w:rPr>
          <w:rFonts w:cs="Times New Roman"/>
          <w:i/>
          <w:lang w:val="fr-CA"/>
        </w:rPr>
        <w:t xml:space="preserve">: </w:t>
      </w:r>
      <w:proofErr w:type="spellStart"/>
      <w:r w:rsidRPr="00883823">
        <w:rPr>
          <w:rFonts w:cs="Times New Roman"/>
          <w:i/>
          <w:lang w:val="fr-CA"/>
        </w:rPr>
        <w:t>Legislative</w:t>
      </w:r>
      <w:proofErr w:type="spellEnd"/>
      <w:r w:rsidRPr="00883823">
        <w:rPr>
          <w:rFonts w:cs="Times New Roman"/>
          <w:i/>
          <w:lang w:val="fr-CA"/>
        </w:rPr>
        <w:t xml:space="preserve"> and </w:t>
      </w:r>
      <w:proofErr w:type="spellStart"/>
      <w:r w:rsidRPr="00883823">
        <w:rPr>
          <w:rFonts w:cs="Times New Roman"/>
          <w:i/>
          <w:lang w:val="fr-CA"/>
        </w:rPr>
        <w:t>Judicial</w:t>
      </w:r>
      <w:proofErr w:type="spellEnd"/>
      <w:r w:rsidRPr="00883823">
        <w:rPr>
          <w:rFonts w:cs="Times New Roman"/>
          <w:i/>
          <w:lang w:val="fr-CA"/>
        </w:rPr>
        <w:t xml:space="preserve"> </w:t>
      </w:r>
      <w:proofErr w:type="spellStart"/>
      <w:r w:rsidRPr="00883823">
        <w:rPr>
          <w:rFonts w:cs="Times New Roman"/>
          <w:i/>
          <w:lang w:val="fr-CA"/>
        </w:rPr>
        <w:t>Activism</w:t>
      </w:r>
      <w:proofErr w:type="spellEnd"/>
      <w:r w:rsidRPr="00883823">
        <w:rPr>
          <w:rFonts w:cs="Times New Roman"/>
          <w:i/>
          <w:lang w:val="fr-CA"/>
        </w:rPr>
        <w:t xml:space="preserve"> and </w:t>
      </w:r>
      <w:proofErr w:type="spellStart"/>
      <w:r w:rsidRPr="00883823">
        <w:rPr>
          <w:rFonts w:cs="Times New Roman"/>
          <w:i/>
          <w:lang w:val="fr-CA"/>
        </w:rPr>
        <w:t>Framers</w:t>
      </w:r>
      <w:proofErr w:type="spellEnd"/>
      <w:r w:rsidRPr="00883823">
        <w:rPr>
          <w:rFonts w:cs="Times New Roman"/>
          <w:i/>
          <w:lang w:val="fr-CA"/>
        </w:rPr>
        <w:t xml:space="preserve">’ </w:t>
      </w:r>
      <w:proofErr w:type="spellStart"/>
      <w:r w:rsidRPr="00883823">
        <w:rPr>
          <w:rFonts w:cs="Times New Roman"/>
          <w:i/>
          <w:lang w:val="fr-CA"/>
        </w:rPr>
        <w:t>Intent</w:t>
      </w:r>
      <w:proofErr w:type="spellEnd"/>
      <w:r w:rsidRPr="00883823">
        <w:rPr>
          <w:rFonts w:cs="Times New Roman"/>
          <w:i/>
          <w:lang w:val="fr-CA"/>
        </w:rPr>
        <w:t xml:space="preserve"> </w:t>
      </w:r>
      <w:r w:rsidRPr="00883823">
        <w:rPr>
          <w:rFonts w:cs="Times New Roman"/>
          <w:lang w:val="fr-CA"/>
        </w:rPr>
        <w:t xml:space="preserve">(2005), </w:t>
      </w:r>
      <w:r>
        <w:rPr>
          <w:rFonts w:cs="Times New Roman"/>
          <w:lang w:val="fr-CA"/>
        </w:rPr>
        <w:t>p. </w:t>
      </w:r>
      <w:r w:rsidRPr="00883823">
        <w:rPr>
          <w:rFonts w:cs="Times New Roman"/>
          <w:lang w:val="fr-CA"/>
        </w:rPr>
        <w:t xml:space="preserve">175). Le moindre inconvénient associé à une déclaration avec effet immédiat, ainsi que des circonstances qui n’ont rien en commun avec la grave situation à laquelle la Cour était confrontée dans le </w:t>
      </w:r>
      <w:r w:rsidRPr="00883823">
        <w:rPr>
          <w:rFonts w:cs="Times New Roman"/>
          <w:i/>
          <w:lang w:val="fr-CA"/>
        </w:rPr>
        <w:t>Renvoi relatif au Manitoba</w:t>
      </w:r>
      <w:r w:rsidRPr="00883823">
        <w:rPr>
          <w:rFonts w:cs="Times New Roman"/>
          <w:lang w:val="fr-CA"/>
        </w:rPr>
        <w:t xml:space="preserve">, conduisent désormais la Cour à suspendre temporairement l’application de la </w:t>
      </w:r>
      <w:r w:rsidRPr="00883823">
        <w:rPr>
          <w:rFonts w:cs="Times New Roman"/>
          <w:i/>
          <w:lang w:val="fr-CA"/>
        </w:rPr>
        <w:t>Charte</w:t>
      </w:r>
      <w:r w:rsidRPr="00883823">
        <w:rPr>
          <w:rFonts w:cs="Times New Roman"/>
          <w:lang w:val="fr-CA"/>
        </w:rPr>
        <w:t xml:space="preserve">. </w:t>
      </w:r>
    </w:p>
    <w:p w14:paraId="0055D772"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Ce dérapage est attribuable à l’abandon du principe énoncé dans le </w:t>
      </w:r>
      <w:r w:rsidRPr="00883823">
        <w:rPr>
          <w:rFonts w:cs="Times New Roman"/>
          <w:i/>
          <w:lang w:val="fr-CA"/>
        </w:rPr>
        <w:t>Renvoi sur le Manitoba</w:t>
      </w:r>
      <w:r w:rsidRPr="00883823">
        <w:rPr>
          <w:rFonts w:cs="Times New Roman"/>
          <w:lang w:val="fr-CA"/>
        </w:rPr>
        <w:t xml:space="preserve">. L’arrêt </w:t>
      </w:r>
      <w:proofErr w:type="spellStart"/>
      <w:r w:rsidRPr="00883823">
        <w:rPr>
          <w:rFonts w:cs="Times New Roman"/>
          <w:i/>
          <w:lang w:val="fr-CA"/>
        </w:rPr>
        <w:t>Schachter</w:t>
      </w:r>
      <w:proofErr w:type="spellEnd"/>
      <w:r w:rsidRPr="00883823">
        <w:rPr>
          <w:rFonts w:cs="Times New Roman"/>
          <w:lang w:val="fr-CA"/>
        </w:rPr>
        <w:t xml:space="preserve"> a délaissé les facteurs justifiant la suspension de l’effet d’une déclaration d’invalidité qui étaient fondés sur la primauté du droit au profit de considérations relatives à « l’effet d’une déclaration d’invalidité sur le public » (</w:t>
      </w:r>
      <w:r>
        <w:rPr>
          <w:rFonts w:cs="Times New Roman"/>
          <w:lang w:val="fr-CA"/>
        </w:rPr>
        <w:t>p. </w:t>
      </w:r>
      <w:r w:rsidRPr="00883823">
        <w:rPr>
          <w:rFonts w:cs="Times New Roman"/>
          <w:lang w:val="fr-CA"/>
        </w:rPr>
        <w:t xml:space="preserve">715; voir aussi </w:t>
      </w:r>
      <w:r>
        <w:rPr>
          <w:rFonts w:cs="Times New Roman"/>
          <w:lang w:val="fr-CA"/>
        </w:rPr>
        <w:t>p. </w:t>
      </w:r>
      <w:r w:rsidRPr="00883823">
        <w:rPr>
          <w:rFonts w:cs="Times New Roman"/>
          <w:lang w:val="fr-CA"/>
        </w:rPr>
        <w:t>716</w:t>
      </w:r>
      <w:r>
        <w:rPr>
          <w:rFonts w:cs="Times New Roman"/>
          <w:lang w:val="fr-CA"/>
        </w:rPr>
        <w:noBreakHyphen/>
      </w:r>
      <w:r w:rsidRPr="00883823">
        <w:rPr>
          <w:rFonts w:cs="Times New Roman"/>
          <w:lang w:val="fr-CA"/>
        </w:rPr>
        <w:t xml:space="preserve">717). Dans l’arrêt </w:t>
      </w:r>
      <w:proofErr w:type="spellStart"/>
      <w:r w:rsidRPr="00883823">
        <w:rPr>
          <w:rFonts w:cs="Times New Roman"/>
          <w:i/>
          <w:lang w:val="fr-CA"/>
        </w:rPr>
        <w:t>Schachter</w:t>
      </w:r>
      <w:proofErr w:type="spellEnd"/>
      <w:r w:rsidRPr="00883823">
        <w:rPr>
          <w:rFonts w:cs="Times New Roman"/>
          <w:lang w:val="fr-CA"/>
        </w:rPr>
        <w:t>, la Cour a aussi expressément reconnu deux autres situations dans lesquelles on pouvait suspendre l’effet d’une déclaration d’invalidité</w:t>
      </w:r>
      <w:r>
        <w:rPr>
          <w:rFonts w:cs="Times New Roman"/>
          <w:lang w:val="fr-CA"/>
        </w:rPr>
        <w:t> :</w:t>
      </w:r>
      <w:r w:rsidRPr="00883823">
        <w:rPr>
          <w:rFonts w:cs="Times New Roman"/>
          <w:lang w:val="fr-CA"/>
        </w:rPr>
        <w:t xml:space="preserve"> lorsque la sécurité du public est menacée ou qu’une loi a une portée trop limitative (</w:t>
      </w:r>
      <w:r>
        <w:rPr>
          <w:rFonts w:cs="Times New Roman"/>
          <w:lang w:val="fr-CA"/>
        </w:rPr>
        <w:t>p. </w:t>
      </w:r>
      <w:r w:rsidRPr="00883823">
        <w:rPr>
          <w:rFonts w:cs="Times New Roman"/>
          <w:lang w:val="fr-CA"/>
        </w:rPr>
        <w:t>715). Elle a également bien précisé (comme notre collègue le fait dans ses motifs) que ces catégories ne sont pas exhaustives (</w:t>
      </w:r>
      <w:r>
        <w:rPr>
          <w:rFonts w:cs="Times New Roman"/>
          <w:lang w:val="fr-CA"/>
        </w:rPr>
        <w:t>p. </w:t>
      </w:r>
      <w:r w:rsidRPr="00883823">
        <w:rPr>
          <w:rFonts w:cs="Times New Roman"/>
          <w:lang w:val="fr-CA"/>
        </w:rPr>
        <w:t xml:space="preserve">719). De plus, l’arrêt </w:t>
      </w:r>
      <w:proofErr w:type="spellStart"/>
      <w:r w:rsidRPr="00883823">
        <w:rPr>
          <w:rFonts w:cs="Times New Roman"/>
          <w:i/>
          <w:lang w:val="fr-CA"/>
        </w:rPr>
        <w:t>Schachter</w:t>
      </w:r>
      <w:proofErr w:type="spellEnd"/>
      <w:r w:rsidRPr="00883823">
        <w:rPr>
          <w:rFonts w:cs="Times New Roman"/>
          <w:lang w:val="fr-CA"/>
        </w:rPr>
        <w:t xml:space="preserve"> a explicitement </w:t>
      </w:r>
      <w:r w:rsidRPr="00883823">
        <w:rPr>
          <w:rFonts w:cs="Times New Roman"/>
          <w:i/>
          <w:lang w:val="fr-CA"/>
        </w:rPr>
        <w:t xml:space="preserve">obligé </w:t>
      </w:r>
      <w:r w:rsidRPr="00883823">
        <w:rPr>
          <w:rFonts w:cs="Times New Roman"/>
          <w:lang w:val="fr-CA"/>
        </w:rPr>
        <w:t>les tribunaux à se demander dans chaque cas s’il y a lieu de suspendre l’effet d’une déclaration d’invalidité (</w:t>
      </w:r>
      <w:r>
        <w:rPr>
          <w:rFonts w:cs="Times New Roman"/>
          <w:lang w:val="fr-CA"/>
        </w:rPr>
        <w:t>p. </w:t>
      </w:r>
      <w:r w:rsidRPr="00883823">
        <w:rPr>
          <w:rFonts w:cs="Times New Roman"/>
          <w:lang w:val="fr-CA"/>
        </w:rPr>
        <w:t xml:space="preserve">715 et 717). </w:t>
      </w:r>
    </w:p>
    <w:p w14:paraId="7836E084" w14:textId="77777777" w:rsidR="00F712C6" w:rsidRPr="00883823" w:rsidRDefault="00F712C6" w:rsidP="00F712C6">
      <w:pPr>
        <w:pStyle w:val="ParaNoNdepar-AltN"/>
        <w:tabs>
          <w:tab w:val="clear" w:pos="1166"/>
          <w:tab w:val="num" w:pos="1152"/>
        </w:tabs>
        <w:rPr>
          <w:rFonts w:cs="Times New Roman"/>
        </w:rPr>
      </w:pPr>
      <w:r w:rsidRPr="00883823">
        <w:rPr>
          <w:rFonts w:cs="Times New Roman"/>
          <w:lang w:val="fr-CA"/>
        </w:rPr>
        <w:t xml:space="preserve">Il n’est pas étonnant qu’après l’arrêt </w:t>
      </w:r>
      <w:proofErr w:type="spellStart"/>
      <w:r w:rsidRPr="00883823">
        <w:rPr>
          <w:rFonts w:cs="Times New Roman"/>
          <w:i/>
          <w:lang w:val="fr-CA"/>
        </w:rPr>
        <w:t>Schachter</w:t>
      </w:r>
      <w:proofErr w:type="spellEnd"/>
      <w:r w:rsidRPr="00883823">
        <w:rPr>
          <w:rFonts w:cs="Times New Roman"/>
          <w:lang w:val="fr-CA"/>
        </w:rPr>
        <w:t>, les tribunaux aient commencé à trouver d’autres raisons pour justifier la suspension de l’effet des déclarations d’invalidité, dont l’une est devenue la principale justification invoquée par notre Cour pour en suspendre l’effet</w:t>
      </w:r>
      <w:r>
        <w:rPr>
          <w:rFonts w:cs="Times New Roman"/>
          <w:lang w:val="fr-CA"/>
        </w:rPr>
        <w:t xml:space="preserve"> d’une déclaration :</w:t>
      </w:r>
      <w:r w:rsidRPr="00883823">
        <w:rPr>
          <w:rFonts w:cs="Times New Roman"/>
          <w:lang w:val="fr-CA"/>
        </w:rPr>
        <w:t xml:space="preserve"> donner au législateur le temps dont il a besoin pour élaborer une réponse et choisir parmi des régimes conformes à la </w:t>
      </w:r>
      <w:r w:rsidRPr="00883823">
        <w:rPr>
          <w:rFonts w:cs="Times New Roman"/>
          <w:i/>
          <w:lang w:val="fr-CA"/>
        </w:rPr>
        <w:t xml:space="preserve">Charte </w:t>
      </w:r>
      <w:r w:rsidRPr="00883823">
        <w:rPr>
          <w:rFonts w:cs="Times New Roman"/>
          <w:lang w:val="fr-CA"/>
        </w:rPr>
        <w:t>(</w:t>
      </w:r>
      <w:r>
        <w:rPr>
          <w:rFonts w:cs="Times New Roman"/>
          <w:lang w:val="fr-CA"/>
        </w:rPr>
        <w:t>p.</w:t>
      </w:r>
      <w:r w:rsidRPr="00883823">
        <w:rPr>
          <w:rFonts w:cs="Times New Roman"/>
          <w:lang w:val="fr-CA"/>
        </w:rPr>
        <w:t xml:space="preserve"> ex.,</w:t>
      </w:r>
      <w:r w:rsidRPr="00883823">
        <w:rPr>
          <w:rFonts w:cs="Times New Roman"/>
          <w:i/>
          <w:lang w:val="fr-CA"/>
        </w:rPr>
        <w:t xml:space="preserve"> </w:t>
      </w:r>
      <w:proofErr w:type="spellStart"/>
      <w:r w:rsidRPr="00883823">
        <w:rPr>
          <w:rFonts w:cs="Times New Roman"/>
          <w:i/>
          <w:lang w:val="fr-CA"/>
        </w:rPr>
        <w:t>Eldridge</w:t>
      </w:r>
      <w:proofErr w:type="spellEnd"/>
      <w:r w:rsidRPr="00883823">
        <w:rPr>
          <w:rFonts w:cs="Times New Roman"/>
          <w:lang w:val="fr-CA"/>
        </w:rPr>
        <w:t xml:space="preserve"> </w:t>
      </w:r>
      <w:r w:rsidRPr="00883823">
        <w:rPr>
          <w:rFonts w:cs="Times New Roman"/>
          <w:i/>
          <w:lang w:val="fr-CA"/>
        </w:rPr>
        <w:t>c. Colombie</w:t>
      </w:r>
      <w:r>
        <w:rPr>
          <w:rFonts w:cs="Times New Roman"/>
          <w:i/>
          <w:lang w:val="fr-CA"/>
        </w:rPr>
        <w:noBreakHyphen/>
      </w:r>
      <w:r w:rsidRPr="00883823">
        <w:rPr>
          <w:rFonts w:cs="Times New Roman"/>
          <w:i/>
          <w:lang w:val="fr-CA"/>
        </w:rPr>
        <w:t>Britannique (Procureur général)</w:t>
      </w:r>
      <w:r w:rsidRPr="00883823">
        <w:rPr>
          <w:rFonts w:cs="Times New Roman"/>
          <w:lang w:val="fr-CA"/>
        </w:rPr>
        <w:t xml:space="preserve">, [1997] 3 R.C.S. 624, </w:t>
      </w:r>
      <w:r>
        <w:rPr>
          <w:rFonts w:cs="Times New Roman"/>
          <w:lang w:val="fr-CA"/>
        </w:rPr>
        <w:t>par. </w:t>
      </w:r>
      <w:r w:rsidRPr="00883823">
        <w:rPr>
          <w:rFonts w:cs="Times New Roman"/>
          <w:lang w:val="fr-CA"/>
        </w:rPr>
        <w:t xml:space="preserve">96; </w:t>
      </w:r>
      <w:proofErr w:type="spellStart"/>
      <w:r w:rsidRPr="00883823">
        <w:rPr>
          <w:rFonts w:cs="Times New Roman"/>
          <w:i/>
          <w:lang w:val="fr-CA"/>
        </w:rPr>
        <w:t>Dunmore</w:t>
      </w:r>
      <w:proofErr w:type="spellEnd"/>
      <w:r w:rsidRPr="00883823">
        <w:rPr>
          <w:rFonts w:cs="Times New Roman"/>
          <w:i/>
          <w:lang w:val="fr-CA"/>
        </w:rPr>
        <w:t xml:space="preserve"> c. Ontario (Procureur général)</w:t>
      </w:r>
      <w:r w:rsidRPr="00883823">
        <w:rPr>
          <w:rFonts w:cs="Times New Roman"/>
          <w:lang w:val="fr-CA"/>
        </w:rPr>
        <w:t xml:space="preserve">, 2001 CSC 94, [2001] 3 R.C.S. 1016, </w:t>
      </w:r>
      <w:r>
        <w:rPr>
          <w:rFonts w:cs="Times New Roman"/>
          <w:lang w:val="fr-CA"/>
        </w:rPr>
        <w:t>par. </w:t>
      </w:r>
      <w:r w:rsidRPr="00883823">
        <w:rPr>
          <w:rFonts w:cs="Times New Roman"/>
          <w:lang w:val="fr-CA"/>
        </w:rPr>
        <w:t xml:space="preserve">66; </w:t>
      </w:r>
      <w:r w:rsidRPr="00883823">
        <w:rPr>
          <w:rFonts w:cs="Times New Roman"/>
          <w:i/>
          <w:lang w:val="fr-CA"/>
        </w:rPr>
        <w:t xml:space="preserve">T.U.A.C., section locale </w:t>
      </w:r>
      <w:r>
        <w:rPr>
          <w:rFonts w:cs="Times New Roman"/>
          <w:i/>
          <w:lang w:val="fr-CA"/>
        </w:rPr>
        <w:t>1</w:t>
      </w:r>
      <w:r w:rsidRPr="00883823">
        <w:rPr>
          <w:rFonts w:cs="Times New Roman"/>
          <w:i/>
          <w:lang w:val="fr-CA"/>
        </w:rPr>
        <w:t xml:space="preserve">518 c. </w:t>
      </w:r>
      <w:proofErr w:type="spellStart"/>
      <w:r w:rsidRPr="00883823">
        <w:rPr>
          <w:rFonts w:cs="Times New Roman"/>
          <w:i/>
          <w:lang w:val="fr-CA"/>
        </w:rPr>
        <w:t>KMart</w:t>
      </w:r>
      <w:proofErr w:type="spellEnd"/>
      <w:r w:rsidRPr="00883823">
        <w:rPr>
          <w:rFonts w:cs="Times New Roman"/>
          <w:i/>
          <w:lang w:val="fr-CA"/>
        </w:rPr>
        <w:t xml:space="preserve"> Canada Ltd.</w:t>
      </w:r>
      <w:r w:rsidRPr="00883823">
        <w:rPr>
          <w:rFonts w:cs="Times New Roman"/>
          <w:lang w:val="fr-CA"/>
        </w:rPr>
        <w:t xml:space="preserve">, [1999] 2 R.C.S. 1083, </w:t>
      </w:r>
      <w:r>
        <w:rPr>
          <w:rFonts w:cs="Times New Roman"/>
          <w:lang w:val="fr-CA"/>
        </w:rPr>
        <w:t>par. </w:t>
      </w:r>
      <w:r w:rsidRPr="00883823">
        <w:rPr>
          <w:rFonts w:cs="Times New Roman"/>
          <w:lang w:val="fr-CA"/>
        </w:rPr>
        <w:t xml:space="preserve">79; </w:t>
      </w:r>
      <w:r w:rsidRPr="00883823">
        <w:rPr>
          <w:rFonts w:cs="Times New Roman"/>
          <w:i/>
          <w:lang w:val="fr-CA"/>
        </w:rPr>
        <w:t>R. c. Guignard</w:t>
      </w:r>
      <w:r w:rsidRPr="00883823">
        <w:rPr>
          <w:rFonts w:cs="Times New Roman"/>
          <w:lang w:val="fr-CA"/>
        </w:rPr>
        <w:t xml:space="preserve">, 2002 CSC 14, [2002] 1 R.C.S. 472, </w:t>
      </w:r>
      <w:r>
        <w:rPr>
          <w:rFonts w:cs="Times New Roman"/>
          <w:lang w:val="fr-CA"/>
        </w:rPr>
        <w:t>par. </w:t>
      </w:r>
      <w:r w:rsidRPr="00883823">
        <w:rPr>
          <w:rFonts w:cs="Times New Roman"/>
          <w:lang w:val="fr-CA"/>
        </w:rPr>
        <w:t xml:space="preserve">32). Mais cette justification nous semble non pertinente. Le choix qui s’offre au juge entre une déclaration avec effet immédiat et une suspension de l’effet d’une déclaration d’invalidité n’a aucune incidence sur la gamme d’options constitutionnelles dont dispose le législateur lorsqu’une disposition législative a été contestée avec succès sur le fondement de la </w:t>
      </w:r>
      <w:r w:rsidRPr="00883823">
        <w:rPr>
          <w:rFonts w:cs="Times New Roman"/>
          <w:i/>
          <w:lang w:val="fr-CA"/>
        </w:rPr>
        <w:t>Charte</w:t>
      </w:r>
      <w:r w:rsidRPr="00883823">
        <w:rPr>
          <w:rFonts w:cs="Times New Roman"/>
          <w:lang w:val="fr-CA"/>
        </w:rPr>
        <w:t xml:space="preserve">. </w:t>
      </w:r>
      <w:proofErr w:type="spellStart"/>
      <w:r w:rsidRPr="00883823">
        <w:rPr>
          <w:rFonts w:cs="Times New Roman"/>
        </w:rPr>
        <w:t>Comme</w:t>
      </w:r>
      <w:proofErr w:type="spellEnd"/>
      <w:r w:rsidRPr="00883823">
        <w:rPr>
          <w:rFonts w:cs="Times New Roman"/>
        </w:rPr>
        <w:t xml:space="preserve"> </w:t>
      </w:r>
      <w:proofErr w:type="spellStart"/>
      <w:r w:rsidRPr="00883823">
        <w:rPr>
          <w:rFonts w:cs="Times New Roman"/>
        </w:rPr>
        <w:t>l’explique</w:t>
      </w:r>
      <w:proofErr w:type="spellEnd"/>
      <w:r w:rsidRPr="00883823">
        <w:rPr>
          <w:rFonts w:cs="Times New Roman"/>
        </w:rPr>
        <w:t xml:space="preserve"> le </w:t>
      </w:r>
      <w:proofErr w:type="spellStart"/>
      <w:r w:rsidRPr="00883823">
        <w:rPr>
          <w:rFonts w:cs="Times New Roman"/>
        </w:rPr>
        <w:t>professeur</w:t>
      </w:r>
      <w:proofErr w:type="spellEnd"/>
      <w:r w:rsidRPr="00883823">
        <w:rPr>
          <w:rFonts w:cs="Times New Roman"/>
        </w:rPr>
        <w:t xml:space="preserve"> Ryder</w:t>
      </w:r>
      <w:r>
        <w:rPr>
          <w:rFonts w:cs="Times New Roman"/>
        </w:rPr>
        <w:t> :</w:t>
      </w:r>
      <w:r w:rsidRPr="00883823">
        <w:rPr>
          <w:rFonts w:cs="Times New Roman"/>
        </w:rPr>
        <w:t xml:space="preserve"> </w:t>
      </w:r>
    </w:p>
    <w:p w14:paraId="57E84045" w14:textId="1FCFA8C7" w:rsidR="00F712C6" w:rsidRPr="00883823" w:rsidRDefault="00F712C6" w:rsidP="0025412A">
      <w:pPr>
        <w:pStyle w:val="Citation-AltC"/>
        <w:spacing w:after="240"/>
        <w:ind w:left="1168" w:hanging="1168"/>
        <w:contextualSpacing w:val="0"/>
        <w:rPr>
          <w:lang w:val="fr-CA"/>
        </w:rPr>
      </w:pPr>
      <w:r w:rsidRPr="00883823">
        <w:rPr>
          <w:smallCaps/>
          <w:lang w:val="fr-CA"/>
        </w:rPr>
        <w:tab/>
        <w:t>[traduction</w:t>
      </w:r>
      <w:r w:rsidRPr="00883823">
        <w:rPr>
          <w:lang w:val="fr-CA"/>
        </w:rPr>
        <w:t>]</w:t>
      </w:r>
      <w:r w:rsidR="0025412A">
        <w:rPr>
          <w:lang w:val="fr-CA"/>
        </w:rPr>
        <w:t xml:space="preserve"> </w:t>
      </w:r>
      <w:r w:rsidRPr="00883823">
        <w:rPr>
          <w:lang w:val="fr-CA"/>
        </w:rPr>
        <w:t xml:space="preserve">L’une des principales failles du raisonnement [de la Cour] réside dans le fait que la suspension de l’effet d’une déclaration d’invalidité n’offre en réalité rien de plus au législateur que ce dont il dispose déjà. En insistant sur le rôle positif que joue la suspension de l’effet de la déclaration d’invalidité sur les choix qui s’offrent au législateur et sur le dialogue avec les groupes touchés, la Cour semble laisser entendre que la suspension a pour effet d’élargir l’éventail de choix dont dispose le législateur et d’offrir de plus grandes possibilités de consultation. Mais ce n’est pas nécessairement le cas. Peu importe que l’effet de la déclaration d’invalidité soit immédiat ou différé, le législateur dispose d’exactement la même gamme d’options sur le plan constitutionnel. Le législateur est libre de ne pas être d’accord avec le régime juridique qui s’applique lorsque le tribunal a choisi de prononcer une déclaration d’invalidité avec effet immédiat et il peut lui substituer une autre option constitutionnelle. Il lui est aussi loisible de mener les consultations aussi vastes qu’il le souhaite en vue de concevoir un nouveau régime juridique conforme à la </w:t>
      </w:r>
      <w:r w:rsidRPr="00883823">
        <w:rPr>
          <w:i/>
          <w:lang w:val="fr-CA"/>
        </w:rPr>
        <w:t>Charte</w:t>
      </w:r>
      <w:r w:rsidR="0025412A">
        <w:rPr>
          <w:lang w:val="fr-CA"/>
        </w:rPr>
        <w:t>.</w:t>
      </w:r>
      <w:r w:rsidRPr="00883823">
        <w:rPr>
          <w:lang w:val="fr-CA"/>
        </w:rPr>
        <w:t xml:space="preserve"> [</w:t>
      </w:r>
      <w:r>
        <w:rPr>
          <w:lang w:val="fr-CA"/>
        </w:rPr>
        <w:t>p. </w:t>
      </w:r>
      <w:r w:rsidRPr="00883823">
        <w:rPr>
          <w:lang w:val="fr-CA"/>
        </w:rPr>
        <w:t xml:space="preserve">281] </w:t>
      </w:r>
    </w:p>
    <w:p w14:paraId="03F67D0C" w14:textId="452DF88A" w:rsidR="00F712C6" w:rsidRPr="00883823" w:rsidRDefault="00F712C6" w:rsidP="004A7655">
      <w:pPr>
        <w:pStyle w:val="Citation-AltC"/>
        <w:ind w:left="0"/>
        <w:contextualSpacing w:val="0"/>
        <w:rPr>
          <w:lang w:val="fr-CA"/>
        </w:rPr>
      </w:pPr>
      <w:r w:rsidRPr="00883823">
        <w:rPr>
          <w:lang w:val="fr-CA"/>
        </w:rPr>
        <w:t xml:space="preserve">(Voir également </w:t>
      </w:r>
      <w:r>
        <w:rPr>
          <w:lang w:val="fr-CA"/>
        </w:rPr>
        <w:t>p. </w:t>
      </w:r>
      <w:r w:rsidRPr="00883823">
        <w:rPr>
          <w:lang w:val="fr-CA"/>
        </w:rPr>
        <w:t xml:space="preserve">285.) </w:t>
      </w:r>
    </w:p>
    <w:p w14:paraId="2227F101" w14:textId="77777777" w:rsidR="00F712C6" w:rsidRPr="00883823" w:rsidRDefault="00F712C6" w:rsidP="00F712C6">
      <w:pPr>
        <w:pStyle w:val="ParaNoNdepar-AltN"/>
        <w:tabs>
          <w:tab w:val="clear" w:pos="1166"/>
          <w:tab w:val="num" w:pos="1152"/>
          <w:tab w:val="left" w:pos="5094"/>
        </w:tabs>
        <w:rPr>
          <w:rFonts w:cs="Times New Roman"/>
          <w:lang w:val="fr-CA"/>
        </w:rPr>
      </w:pPr>
      <w:r w:rsidRPr="00883823">
        <w:rPr>
          <w:rFonts w:cs="Times New Roman"/>
          <w:lang w:val="fr-CA"/>
        </w:rPr>
        <w:t xml:space="preserve">Avec égards, la réponse appropriée à la généralisation abusive de la mesure consistant à suspendre l’effet des déclarations d’invalidité n’est pas, comme notre collègue le propose, d’élargir la portée des catégories définies dans l’arrêt </w:t>
      </w:r>
      <w:proofErr w:type="spellStart"/>
      <w:r w:rsidRPr="00883823">
        <w:rPr>
          <w:rFonts w:cs="Times New Roman"/>
          <w:i/>
          <w:lang w:val="fr-CA"/>
        </w:rPr>
        <w:t>Schachter</w:t>
      </w:r>
      <w:proofErr w:type="spellEnd"/>
      <w:r w:rsidRPr="00883823">
        <w:rPr>
          <w:rFonts w:cs="Times New Roman"/>
          <w:lang w:val="fr-CA"/>
        </w:rPr>
        <w:t xml:space="preserve"> en s’appuyant sur des « principes en matière de réparation » et à des « pierres de touche » nouvellement imaginés (</w:t>
      </w:r>
      <w:r>
        <w:rPr>
          <w:rFonts w:cs="Times New Roman"/>
          <w:lang w:val="fr-CA"/>
        </w:rPr>
        <w:t>par. </w:t>
      </w:r>
      <w:r w:rsidRPr="00883823">
        <w:rPr>
          <w:rFonts w:cs="Times New Roman"/>
          <w:lang w:val="fr-CA"/>
        </w:rPr>
        <w:t xml:space="preserve">82 et 153). En pratique, cette solution aurait pour effet d’accorder aux tribunaux un pouvoir discrétionnaire d’une telle ampleur qu’il ne pourrait cadrer avec un régime juridique voué à la primauté du droit et à la protection des droits. Le pouvoir discrétionnaire proposé dans l’arrêt </w:t>
      </w:r>
      <w:proofErr w:type="spellStart"/>
      <w:r w:rsidRPr="00883823">
        <w:rPr>
          <w:rFonts w:cs="Times New Roman"/>
          <w:i/>
          <w:lang w:val="fr-CA"/>
        </w:rPr>
        <w:t>Schachter</w:t>
      </w:r>
      <w:proofErr w:type="spellEnd"/>
      <w:r w:rsidRPr="00883823">
        <w:rPr>
          <w:rFonts w:cs="Times New Roman"/>
          <w:lang w:val="fr-CA"/>
        </w:rPr>
        <w:t xml:space="preserve"> a favorisé le prononcé de décisions incohérentes et non fondées sur des principes, et nous ne voyons aucune raison de penser que le recours préconisé par notre collègue à une « architecture</w:t>
      </w:r>
      <w:r>
        <w:rPr>
          <w:rFonts w:cs="Times New Roman"/>
          <w:lang w:val="fr-CA"/>
        </w:rPr>
        <w:t xml:space="preserve"> </w:t>
      </w:r>
      <w:r w:rsidRPr="00DC3F47">
        <w:rPr>
          <w:rFonts w:cs="Times New Roman"/>
          <w:lang w:val="fr-CA"/>
        </w:rPr>
        <w:t>[</w:t>
      </w:r>
      <w:r w:rsidRPr="00883823">
        <w:rPr>
          <w:rFonts w:cs="Times New Roman"/>
          <w:lang w:val="fr-CA"/>
        </w:rPr>
        <w:t>constitutionnelle</w:t>
      </w:r>
      <w:r>
        <w:rPr>
          <w:rFonts w:cs="Times New Roman"/>
          <w:lang w:val="fr-CA"/>
        </w:rPr>
        <w:t>]</w:t>
      </w:r>
      <w:r w:rsidRPr="00883823">
        <w:rPr>
          <w:rFonts w:cs="Times New Roman"/>
          <w:lang w:val="fr-CA"/>
        </w:rPr>
        <w:t xml:space="preserve"> générale » (</w:t>
      </w:r>
      <w:r>
        <w:rPr>
          <w:rFonts w:cs="Times New Roman"/>
          <w:lang w:val="fr-CA"/>
        </w:rPr>
        <w:t>par. </w:t>
      </w:r>
      <w:r w:rsidRPr="00883823">
        <w:rPr>
          <w:rFonts w:cs="Times New Roman"/>
          <w:lang w:val="fr-CA"/>
        </w:rPr>
        <w:t xml:space="preserve">158) produirait des résultats différents. La réponse la plus appropriée consiste plutôt à recadrer notre attention sur la Constitution, et en particulier sur son principe de base, celui de la primauté du droit, pour s’assurer de bien défendre les droits consacrés par la </w:t>
      </w:r>
      <w:r w:rsidRPr="00883823">
        <w:rPr>
          <w:rFonts w:cs="Times New Roman"/>
          <w:i/>
          <w:lang w:val="fr-CA"/>
        </w:rPr>
        <w:t xml:space="preserve">Charte </w:t>
      </w:r>
      <w:r w:rsidRPr="00883823">
        <w:rPr>
          <w:rFonts w:cs="Times New Roman"/>
          <w:lang w:val="fr-CA"/>
        </w:rPr>
        <w:t xml:space="preserve">et de délimiter avec soin les situations dans lesquelles le tribunal peut suspendre l’effet d’une déclaration d’invalidité. </w:t>
      </w:r>
    </w:p>
    <w:p w14:paraId="71557D51" w14:textId="77777777" w:rsidR="00F712C6" w:rsidRPr="00883823" w:rsidRDefault="00F712C6" w:rsidP="00F712C6">
      <w:pPr>
        <w:pStyle w:val="Title2LevelTitre2Niveau"/>
        <w:ind w:left="578" w:hanging="578"/>
        <w:rPr>
          <w:rFonts w:cs="Times New Roman"/>
          <w:lang w:val="fr-CA"/>
        </w:rPr>
      </w:pPr>
      <w:r w:rsidRPr="00883823">
        <w:rPr>
          <w:rFonts w:cs="Times New Roman"/>
          <w:lang w:val="fr-CA"/>
        </w:rPr>
        <w:t>La</w:t>
      </w:r>
      <w:r>
        <w:rPr>
          <w:rFonts w:cs="Times New Roman"/>
          <w:lang w:val="fr-CA"/>
        </w:rPr>
        <w:t xml:space="preserve"> </w:t>
      </w:r>
      <w:r w:rsidRPr="00883823">
        <w:rPr>
          <w:rFonts w:cs="Times New Roman"/>
          <w:lang w:val="fr-CA"/>
        </w:rPr>
        <w:t>Constitution</w:t>
      </w:r>
    </w:p>
    <w:p w14:paraId="77B570FA" w14:textId="77777777" w:rsidR="00F712C6" w:rsidRPr="00883823" w:rsidRDefault="00F712C6" w:rsidP="00F712C6">
      <w:pPr>
        <w:pStyle w:val="Title3LevelTitre3Niveau"/>
        <w:ind w:left="1151" w:hanging="578"/>
        <w:rPr>
          <w:rFonts w:cs="Times New Roman"/>
          <w:lang w:val="fr-CA"/>
        </w:rPr>
      </w:pPr>
      <w:r w:rsidRPr="00883823">
        <w:rPr>
          <w:rFonts w:cs="Times New Roman"/>
          <w:lang w:val="fr-CA"/>
        </w:rPr>
        <w:t xml:space="preserve">Paragraphe 52(1) de la </w:t>
      </w:r>
      <w:r w:rsidRPr="00883823">
        <w:rPr>
          <w:rFonts w:cs="Times New Roman"/>
          <w:i/>
          <w:iCs/>
          <w:lang w:val="fr-CA"/>
        </w:rPr>
        <w:t>Loi constitutionnelle de 1982</w:t>
      </w:r>
      <w:r w:rsidRPr="00883823">
        <w:rPr>
          <w:rFonts w:cs="Times New Roman"/>
          <w:i/>
          <w:lang w:val="fr-CA"/>
        </w:rPr>
        <w:t xml:space="preserve"> </w:t>
      </w:r>
      <w:r w:rsidRPr="00883823">
        <w:rPr>
          <w:rFonts w:cs="Times New Roman"/>
          <w:lang w:val="fr-CA"/>
        </w:rPr>
        <w:t xml:space="preserve">et paragraphe 33(1) de la </w:t>
      </w:r>
      <w:r w:rsidRPr="00883823">
        <w:rPr>
          <w:rFonts w:cs="Times New Roman"/>
          <w:i/>
          <w:lang w:val="fr-CA"/>
        </w:rPr>
        <w:t>Charte canadienne des droits et libertés</w:t>
      </w:r>
    </w:p>
    <w:p w14:paraId="06BC1E09"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Le paragraphe 52(1) de la </w:t>
      </w:r>
      <w:r w:rsidRPr="00883823">
        <w:rPr>
          <w:rFonts w:cs="Times New Roman"/>
          <w:i/>
          <w:iCs/>
          <w:lang w:val="fr-CA"/>
        </w:rPr>
        <w:t>Loi constitutionnelle de 1982</w:t>
      </w:r>
      <w:r w:rsidRPr="00883823">
        <w:rPr>
          <w:rFonts w:cs="Times New Roman"/>
          <w:i/>
          <w:lang w:val="fr-CA"/>
        </w:rPr>
        <w:t xml:space="preserve"> </w:t>
      </w:r>
      <w:r w:rsidRPr="00883823">
        <w:rPr>
          <w:rFonts w:cs="Times New Roman"/>
          <w:lang w:val="fr-CA"/>
        </w:rPr>
        <w:t>prévoit ce qui suit</w:t>
      </w:r>
      <w:r>
        <w:rPr>
          <w:rFonts w:cs="Times New Roman"/>
          <w:lang w:val="fr-CA"/>
        </w:rPr>
        <w:t> :</w:t>
      </w:r>
    </w:p>
    <w:p w14:paraId="79D8F271" w14:textId="77777777" w:rsidR="00F712C6" w:rsidRPr="00883823" w:rsidRDefault="00F712C6" w:rsidP="00F712C6">
      <w:pPr>
        <w:pStyle w:val="Citation-AltC"/>
        <w:ind w:hanging="1166"/>
        <w:rPr>
          <w:lang w:val="fr-CA"/>
        </w:rPr>
      </w:pPr>
      <w:r>
        <w:rPr>
          <w:lang w:val="fr-CA"/>
        </w:rPr>
        <w:tab/>
      </w:r>
      <w:r>
        <w:rPr>
          <w:lang w:val="fr-CA"/>
        </w:rPr>
        <w:tab/>
      </w:r>
      <w:r w:rsidRPr="00883823">
        <w:rPr>
          <w:lang w:val="fr-CA"/>
        </w:rPr>
        <w:t xml:space="preserve">La Constitution du Canada est la loi suprême du Canada; elle </w:t>
      </w:r>
      <w:r w:rsidRPr="00883823">
        <w:rPr>
          <w:u w:val="single"/>
          <w:lang w:val="fr-CA"/>
        </w:rPr>
        <w:t>rend</w:t>
      </w:r>
      <w:r w:rsidRPr="00883823">
        <w:rPr>
          <w:i/>
          <w:iCs/>
          <w:lang w:val="fr-CA"/>
        </w:rPr>
        <w:t xml:space="preserve"> </w:t>
      </w:r>
      <w:r w:rsidRPr="00883823">
        <w:rPr>
          <w:lang w:val="fr-CA"/>
        </w:rPr>
        <w:t>inopérantes les dispositions incompatibles de toute autre règle de droit.</w:t>
      </w:r>
    </w:p>
    <w:p w14:paraId="12D9DB94" w14:textId="02B4F835"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Le texte ne pourrait être plus clair</w:t>
      </w:r>
      <w:r>
        <w:rPr>
          <w:rFonts w:cs="Times New Roman"/>
          <w:lang w:val="fr-CA"/>
        </w:rPr>
        <w:t> :</w:t>
      </w:r>
      <w:r w:rsidRPr="00883823">
        <w:rPr>
          <w:rFonts w:cs="Times New Roman"/>
          <w:lang w:val="fr-CA"/>
        </w:rPr>
        <w:t xml:space="preserve"> l’emploi du présent de l’indicatif « </w:t>
      </w:r>
      <w:r w:rsidRPr="00883823">
        <w:rPr>
          <w:rFonts w:cs="Times New Roman"/>
          <w:i/>
          <w:iCs/>
          <w:lang w:val="fr-CA"/>
        </w:rPr>
        <w:t>rend</w:t>
      </w:r>
      <w:r w:rsidRPr="00883823">
        <w:rPr>
          <w:rFonts w:cs="Times New Roman"/>
          <w:lang w:val="fr-CA"/>
        </w:rPr>
        <w:t xml:space="preserve"> » démontre qu’il n’envisage, par définition, que les déclarations d’invalidité </w:t>
      </w:r>
      <w:r w:rsidRPr="00883823">
        <w:rPr>
          <w:rFonts w:cs="Times New Roman"/>
          <w:i/>
          <w:iCs/>
          <w:lang w:val="fr-CA"/>
        </w:rPr>
        <w:t>avec effet immédiat</w:t>
      </w:r>
      <w:r w:rsidRPr="00883823">
        <w:rPr>
          <w:rFonts w:cs="Times New Roman"/>
          <w:lang w:val="fr-CA"/>
        </w:rPr>
        <w:t>. D’ailleurs, [</w:t>
      </w:r>
      <w:r w:rsidRPr="00883823">
        <w:rPr>
          <w:rFonts w:cs="Times New Roman"/>
          <w:smallCaps/>
          <w:lang w:val="fr-CA"/>
        </w:rPr>
        <w:t>traduction</w:t>
      </w:r>
      <w:r w:rsidRPr="00883823">
        <w:rPr>
          <w:rFonts w:cs="Times New Roman"/>
          <w:lang w:val="fr-CA"/>
        </w:rPr>
        <w:t xml:space="preserve">] « il ressort du texte même de cette disposition que l’invalidation de toute disposition jugée constitutionnellement </w:t>
      </w:r>
      <w:r w:rsidRPr="00883823">
        <w:rPr>
          <w:rFonts w:cs="Times New Roman"/>
          <w:i/>
          <w:lang w:val="fr-CA"/>
        </w:rPr>
        <w:t xml:space="preserve">ultra vires </w:t>
      </w:r>
      <w:r w:rsidRPr="00883823">
        <w:rPr>
          <w:rFonts w:cs="Times New Roman"/>
          <w:lang w:val="fr-CA"/>
        </w:rPr>
        <w:t>doit être immédiate »</w:t>
      </w:r>
      <w:r>
        <w:rPr>
          <w:rFonts w:cs="Times New Roman"/>
          <w:lang w:val="fr-CA"/>
        </w:rPr>
        <w:t xml:space="preserve"> (B. </w:t>
      </w:r>
      <w:proofErr w:type="spellStart"/>
      <w:r w:rsidRPr="00883823">
        <w:rPr>
          <w:rFonts w:cs="Times New Roman"/>
          <w:lang w:val="fr-CA"/>
        </w:rPr>
        <w:t>Bird</w:t>
      </w:r>
      <w:proofErr w:type="spellEnd"/>
      <w:r w:rsidRPr="00883823">
        <w:rPr>
          <w:rFonts w:cs="Times New Roman"/>
          <w:lang w:val="fr-CA"/>
        </w:rPr>
        <w:t xml:space="preserve">, « The </w:t>
      </w:r>
      <w:proofErr w:type="spellStart"/>
      <w:r w:rsidRPr="00883823">
        <w:rPr>
          <w:rFonts w:cs="Times New Roman"/>
          <w:lang w:val="fr-CA"/>
        </w:rPr>
        <w:t>Judicial</w:t>
      </w:r>
      <w:proofErr w:type="spellEnd"/>
      <w:r w:rsidRPr="00883823">
        <w:rPr>
          <w:rFonts w:cs="Times New Roman"/>
          <w:lang w:val="fr-CA"/>
        </w:rPr>
        <w:t xml:space="preserve"> </w:t>
      </w:r>
      <w:proofErr w:type="spellStart"/>
      <w:r w:rsidRPr="00883823">
        <w:rPr>
          <w:rFonts w:cs="Times New Roman"/>
          <w:lang w:val="fr-CA"/>
        </w:rPr>
        <w:t>Notwithstanding</w:t>
      </w:r>
      <w:proofErr w:type="spellEnd"/>
      <w:r w:rsidRPr="00883823">
        <w:rPr>
          <w:rFonts w:cs="Times New Roman"/>
          <w:lang w:val="fr-CA"/>
        </w:rPr>
        <w:t xml:space="preserve"> Clause</w:t>
      </w:r>
      <w:r w:rsidR="00276387">
        <w:rPr>
          <w:rFonts w:cs="Times New Roman"/>
          <w:lang w:val="fr-CA"/>
        </w:rPr>
        <w:t> </w:t>
      </w:r>
      <w:r w:rsidRPr="00883823">
        <w:rPr>
          <w:rFonts w:cs="Times New Roman"/>
          <w:lang w:val="fr-CA"/>
        </w:rPr>
        <w:t xml:space="preserve">: </w:t>
      </w:r>
      <w:proofErr w:type="spellStart"/>
      <w:r w:rsidRPr="00883823">
        <w:rPr>
          <w:rFonts w:cs="Times New Roman"/>
          <w:lang w:val="fr-CA"/>
        </w:rPr>
        <w:t>Suspended</w:t>
      </w:r>
      <w:proofErr w:type="spellEnd"/>
      <w:r w:rsidRPr="00883823">
        <w:rPr>
          <w:rFonts w:cs="Times New Roman"/>
          <w:lang w:val="fr-CA"/>
        </w:rPr>
        <w:t xml:space="preserve"> </w:t>
      </w:r>
      <w:proofErr w:type="spellStart"/>
      <w:r w:rsidRPr="00883823">
        <w:rPr>
          <w:rFonts w:cs="Times New Roman"/>
          <w:lang w:val="fr-CA"/>
        </w:rPr>
        <w:t>Declarations</w:t>
      </w:r>
      <w:proofErr w:type="spellEnd"/>
      <w:r w:rsidRPr="00883823">
        <w:rPr>
          <w:rFonts w:cs="Times New Roman"/>
          <w:lang w:val="fr-CA"/>
        </w:rPr>
        <w:t xml:space="preserve"> of </w:t>
      </w:r>
      <w:proofErr w:type="spellStart"/>
      <w:r w:rsidRPr="00883823">
        <w:rPr>
          <w:rFonts w:cs="Times New Roman"/>
          <w:lang w:val="fr-CA"/>
        </w:rPr>
        <w:t>Invalidity</w:t>
      </w:r>
      <w:proofErr w:type="spellEnd"/>
      <w:r w:rsidRPr="00883823">
        <w:rPr>
          <w:rFonts w:cs="Times New Roman"/>
          <w:lang w:val="fr-CA"/>
        </w:rPr>
        <w:t xml:space="preserve"> » (2019), 42 </w:t>
      </w:r>
      <w:r w:rsidRPr="00883823">
        <w:rPr>
          <w:rFonts w:cs="Times New Roman"/>
          <w:i/>
          <w:lang w:val="fr-CA"/>
        </w:rPr>
        <w:t xml:space="preserve">Man. L.J. </w:t>
      </w:r>
      <w:r w:rsidRPr="00883823">
        <w:rPr>
          <w:rFonts w:cs="Times New Roman"/>
          <w:lang w:val="fr-CA"/>
        </w:rPr>
        <w:t>23,</w:t>
      </w:r>
      <w:r>
        <w:rPr>
          <w:rFonts w:cs="Times New Roman"/>
          <w:lang w:val="fr-CA"/>
        </w:rPr>
        <w:t xml:space="preserve"> p. 32,</w:t>
      </w:r>
      <w:r w:rsidRPr="00883823">
        <w:rPr>
          <w:rFonts w:cs="Times New Roman"/>
          <w:lang w:val="fr-CA"/>
        </w:rPr>
        <w:t xml:space="preserve"> citant </w:t>
      </w:r>
      <w:proofErr w:type="spellStart"/>
      <w:r w:rsidRPr="00883823">
        <w:rPr>
          <w:rFonts w:cs="Times New Roman"/>
          <w:lang w:val="fr-CA"/>
        </w:rPr>
        <w:t>Hoole</w:t>
      </w:r>
      <w:proofErr w:type="spellEnd"/>
      <w:r w:rsidRPr="00883823">
        <w:rPr>
          <w:rFonts w:cs="Times New Roman"/>
          <w:lang w:val="fr-CA"/>
        </w:rPr>
        <w:t xml:space="preserve">, </w:t>
      </w:r>
      <w:r>
        <w:rPr>
          <w:rFonts w:cs="Times New Roman"/>
          <w:lang w:val="fr-CA"/>
        </w:rPr>
        <w:t>p. </w:t>
      </w:r>
      <w:r w:rsidRPr="00883823">
        <w:rPr>
          <w:rFonts w:cs="Times New Roman"/>
          <w:lang w:val="fr-CA"/>
        </w:rPr>
        <w:t xml:space="preserve">110; voir aussi </w:t>
      </w:r>
      <w:r>
        <w:rPr>
          <w:rFonts w:cs="Times New Roman"/>
          <w:lang w:val="fr-CA"/>
        </w:rPr>
        <w:t>p. </w:t>
      </w:r>
      <w:r w:rsidRPr="00883823">
        <w:rPr>
          <w:rFonts w:cs="Times New Roman"/>
          <w:lang w:val="fr-CA"/>
        </w:rPr>
        <w:t>34</w:t>
      </w:r>
      <w:r>
        <w:rPr>
          <w:rFonts w:cs="Times New Roman"/>
          <w:lang w:val="fr-CA"/>
        </w:rPr>
        <w:noBreakHyphen/>
      </w:r>
      <w:r w:rsidRPr="00883823">
        <w:rPr>
          <w:rFonts w:cs="Times New Roman"/>
          <w:lang w:val="fr-CA"/>
        </w:rPr>
        <w:t>36). En d’autres termes, les suspensions de l’effet de déclarations d’invalidité sont, de par leur nature, [</w:t>
      </w:r>
      <w:r w:rsidRPr="00883823">
        <w:rPr>
          <w:rFonts w:cs="Times New Roman"/>
          <w:smallCaps/>
          <w:lang w:val="fr-CA"/>
        </w:rPr>
        <w:t>traduction</w:t>
      </w:r>
      <w:r w:rsidRPr="00883823">
        <w:rPr>
          <w:rFonts w:cs="Times New Roman"/>
          <w:lang w:val="fr-CA"/>
        </w:rPr>
        <w:t xml:space="preserve">] « irréconciliables avec le libellé du </w:t>
      </w:r>
      <w:r>
        <w:rPr>
          <w:rFonts w:cs="Times New Roman"/>
          <w:lang w:val="fr-CA"/>
        </w:rPr>
        <w:t>par. </w:t>
      </w:r>
      <w:r w:rsidRPr="00883823">
        <w:rPr>
          <w:rFonts w:cs="Times New Roman"/>
          <w:lang w:val="fr-CA"/>
        </w:rPr>
        <w:t>52(1), qui prévoit dans les termes les plus nets que les lois inconstitutionnelles sont inopérantes »</w:t>
      </w:r>
      <w:r>
        <w:rPr>
          <w:rFonts w:cs="Times New Roman"/>
          <w:lang w:val="fr-CA"/>
        </w:rPr>
        <w:t xml:space="preserve"> (K. </w:t>
      </w:r>
      <w:proofErr w:type="spellStart"/>
      <w:r w:rsidRPr="00883823">
        <w:rPr>
          <w:rFonts w:cs="Times New Roman"/>
          <w:lang w:val="fr-CA"/>
        </w:rPr>
        <w:t>Roach</w:t>
      </w:r>
      <w:proofErr w:type="spellEnd"/>
      <w:r w:rsidRPr="00883823">
        <w:rPr>
          <w:rFonts w:cs="Times New Roman"/>
          <w:lang w:val="fr-CA"/>
        </w:rPr>
        <w:t xml:space="preserve">, </w:t>
      </w:r>
      <w:proofErr w:type="spellStart"/>
      <w:r w:rsidRPr="00883823">
        <w:rPr>
          <w:rFonts w:cs="Times New Roman"/>
          <w:i/>
          <w:lang w:val="fr-CA"/>
        </w:rPr>
        <w:t>Constitutional</w:t>
      </w:r>
      <w:proofErr w:type="spellEnd"/>
      <w:r w:rsidRPr="00883823">
        <w:rPr>
          <w:rFonts w:cs="Times New Roman"/>
          <w:i/>
          <w:lang w:val="fr-CA"/>
        </w:rPr>
        <w:t xml:space="preserve"> </w:t>
      </w:r>
      <w:proofErr w:type="spellStart"/>
      <w:r w:rsidRPr="00883823">
        <w:rPr>
          <w:rFonts w:cs="Times New Roman"/>
          <w:i/>
          <w:lang w:val="fr-CA"/>
        </w:rPr>
        <w:t>Remedies</w:t>
      </w:r>
      <w:proofErr w:type="spellEnd"/>
      <w:r w:rsidRPr="00883823">
        <w:rPr>
          <w:rFonts w:cs="Times New Roman"/>
          <w:i/>
          <w:lang w:val="fr-CA"/>
        </w:rPr>
        <w:t xml:space="preserve"> in Canada</w:t>
      </w:r>
      <w:r w:rsidRPr="00883823">
        <w:rPr>
          <w:rFonts w:cs="Times New Roman"/>
          <w:lang w:val="fr-CA"/>
        </w:rPr>
        <w:t xml:space="preserve"> (2</w:t>
      </w:r>
      <w:r w:rsidRPr="00883823">
        <w:rPr>
          <w:rFonts w:cs="Times New Roman"/>
          <w:vertAlign w:val="superscript"/>
          <w:lang w:val="fr-CA"/>
        </w:rPr>
        <w:t>e</w:t>
      </w:r>
      <w:r w:rsidRPr="00883823">
        <w:rPr>
          <w:rFonts w:cs="Times New Roman"/>
          <w:lang w:val="fr-CA"/>
        </w:rPr>
        <w:t xml:space="preserve"> éd. (feuilles mobiles)), §14.1540). </w:t>
      </w:r>
    </w:p>
    <w:p w14:paraId="4AC9806D"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Certes, dès lors qu’une loi est jugée incompatible avec la Constitution, [</w:t>
      </w:r>
      <w:r w:rsidRPr="00883823">
        <w:rPr>
          <w:rFonts w:cs="Times New Roman"/>
          <w:smallCaps/>
          <w:lang w:val="fr-CA"/>
        </w:rPr>
        <w:t>traduction</w:t>
      </w:r>
      <w:r w:rsidRPr="00883823">
        <w:rPr>
          <w:rFonts w:cs="Times New Roman"/>
          <w:lang w:val="fr-CA"/>
        </w:rPr>
        <w:t>] « son sort dépend directement du fait que la Constitution est la loi suprême du Canada » (</w:t>
      </w:r>
      <w:proofErr w:type="spellStart"/>
      <w:r w:rsidRPr="00883823">
        <w:rPr>
          <w:rFonts w:cs="Times New Roman"/>
          <w:lang w:val="fr-CA"/>
        </w:rPr>
        <w:t>Leckey</w:t>
      </w:r>
      <w:proofErr w:type="spellEnd"/>
      <w:r w:rsidRPr="00883823">
        <w:rPr>
          <w:rFonts w:cs="Times New Roman"/>
          <w:lang w:val="fr-CA"/>
        </w:rPr>
        <w:t>, « </w:t>
      </w:r>
      <w:proofErr w:type="spellStart"/>
      <w:r w:rsidRPr="00883823">
        <w:rPr>
          <w:rFonts w:cs="Times New Roman"/>
          <w:lang w:val="fr-CA"/>
        </w:rPr>
        <w:t>Remedial</w:t>
      </w:r>
      <w:proofErr w:type="spellEnd"/>
      <w:r w:rsidRPr="00883823">
        <w:rPr>
          <w:rFonts w:cs="Times New Roman"/>
          <w:lang w:val="fr-CA"/>
        </w:rPr>
        <w:t xml:space="preserve"> », </w:t>
      </w:r>
      <w:r>
        <w:rPr>
          <w:rFonts w:cs="Times New Roman"/>
          <w:lang w:val="fr-CA"/>
        </w:rPr>
        <w:t>p. </w:t>
      </w:r>
      <w:r w:rsidRPr="00883823">
        <w:rPr>
          <w:rFonts w:cs="Times New Roman"/>
          <w:lang w:val="fr-CA"/>
        </w:rPr>
        <w:t xml:space="preserve">30). Les tribunaux ont « non seulement le pouvoir, </w:t>
      </w:r>
      <w:r w:rsidRPr="00883823">
        <w:rPr>
          <w:rFonts w:cs="Times New Roman"/>
          <w:u w:val="single"/>
          <w:lang w:val="fr-CA"/>
        </w:rPr>
        <w:t xml:space="preserve">mais encore </w:t>
      </w:r>
      <w:r w:rsidRPr="00883823">
        <w:rPr>
          <w:rFonts w:cs="Times New Roman"/>
          <w:iCs/>
          <w:u w:val="single"/>
          <w:lang w:val="fr-CA"/>
        </w:rPr>
        <w:t>l’obligation</w:t>
      </w:r>
      <w:r>
        <w:rPr>
          <w:rFonts w:cs="Times New Roman"/>
          <w:i/>
          <w:iCs/>
          <w:lang w:val="fr-CA"/>
        </w:rPr>
        <w:t xml:space="preserve"> </w:t>
      </w:r>
      <w:r w:rsidRPr="00883823">
        <w:rPr>
          <w:rFonts w:cs="Times New Roman"/>
          <w:lang w:val="fr-CA"/>
        </w:rPr>
        <w:t>de considérer comme “inopérantes” les dispositions incompatibles de cette loi » (</w:t>
      </w:r>
      <w:r w:rsidRPr="00883823">
        <w:rPr>
          <w:rFonts w:cs="Times New Roman"/>
          <w:i/>
          <w:lang w:val="fr-CA"/>
        </w:rPr>
        <w:t xml:space="preserve">R. c. </w:t>
      </w:r>
      <w:proofErr w:type="spellStart"/>
      <w:r w:rsidRPr="00883823">
        <w:rPr>
          <w:rFonts w:cs="Times New Roman"/>
          <w:i/>
          <w:lang w:val="fr-CA"/>
        </w:rPr>
        <w:t>Big</w:t>
      </w:r>
      <w:proofErr w:type="spellEnd"/>
      <w:r w:rsidRPr="00883823">
        <w:rPr>
          <w:rFonts w:cs="Times New Roman"/>
          <w:i/>
          <w:lang w:val="fr-CA"/>
        </w:rPr>
        <w:t xml:space="preserve"> M Drug </w:t>
      </w:r>
      <w:proofErr w:type="spellStart"/>
      <w:r w:rsidRPr="00883823">
        <w:rPr>
          <w:rFonts w:cs="Times New Roman"/>
          <w:i/>
          <w:lang w:val="fr-CA"/>
        </w:rPr>
        <w:t>Mart</w:t>
      </w:r>
      <w:proofErr w:type="spellEnd"/>
      <w:r w:rsidRPr="00883823">
        <w:rPr>
          <w:rFonts w:cs="Times New Roman"/>
          <w:i/>
          <w:lang w:val="fr-CA"/>
        </w:rPr>
        <w:t xml:space="preserve"> Ltd.</w:t>
      </w:r>
      <w:r w:rsidRPr="00883823">
        <w:rPr>
          <w:rFonts w:cs="Times New Roman"/>
          <w:lang w:val="fr-CA"/>
        </w:rPr>
        <w:t xml:space="preserve">, [1985] 1 R.C.S. 295, </w:t>
      </w:r>
      <w:r>
        <w:rPr>
          <w:rFonts w:cs="Times New Roman"/>
          <w:lang w:val="fr-CA"/>
        </w:rPr>
        <w:t>p. </w:t>
      </w:r>
      <w:r w:rsidRPr="00883823">
        <w:rPr>
          <w:rFonts w:cs="Times New Roman"/>
          <w:lang w:val="fr-CA"/>
        </w:rPr>
        <w:t>353 (nous soulignons)). Même si on dit généralement que le tribunal « invalide » une loi, en réalité, le tribunal la déclare « inopérante par application de l’</w:t>
      </w:r>
      <w:r>
        <w:rPr>
          <w:rFonts w:cs="Times New Roman"/>
          <w:lang w:val="fr-CA"/>
        </w:rPr>
        <w:t>art. </w:t>
      </w:r>
      <w:r w:rsidRPr="00883823">
        <w:rPr>
          <w:rFonts w:cs="Times New Roman"/>
          <w:lang w:val="fr-CA"/>
        </w:rPr>
        <w:t xml:space="preserve">52 de la </w:t>
      </w:r>
      <w:r w:rsidRPr="00883823">
        <w:rPr>
          <w:rFonts w:cs="Times New Roman"/>
          <w:i/>
          <w:lang w:val="fr-CA"/>
        </w:rPr>
        <w:t>Loi constitutionnelle de 1982</w:t>
      </w:r>
      <w:r w:rsidRPr="00883823">
        <w:rPr>
          <w:rFonts w:cs="Times New Roman"/>
          <w:lang w:val="fr-CA"/>
        </w:rPr>
        <w:t xml:space="preserve"> » parce que le </w:t>
      </w:r>
      <w:r>
        <w:rPr>
          <w:rFonts w:cs="Times New Roman"/>
          <w:lang w:val="fr-CA"/>
        </w:rPr>
        <w:t>par. </w:t>
      </w:r>
      <w:r w:rsidRPr="00883823">
        <w:rPr>
          <w:rFonts w:cs="Times New Roman"/>
          <w:lang w:val="fr-CA"/>
        </w:rPr>
        <w:t>52(1) « ne confère aucun pouvoir discrétionnaire aux juges » (</w:t>
      </w:r>
      <w:r w:rsidRPr="00883823">
        <w:rPr>
          <w:rFonts w:cs="Times New Roman"/>
          <w:i/>
          <w:lang w:val="fr-CA"/>
        </w:rPr>
        <w:t>R. c. Ferguson</w:t>
      </w:r>
      <w:r w:rsidRPr="00883823">
        <w:rPr>
          <w:rFonts w:cs="Times New Roman"/>
          <w:lang w:val="fr-CA"/>
        </w:rPr>
        <w:t xml:space="preserve">, 2008 CSC 6, [2008] 1 R.C.S. 96, </w:t>
      </w:r>
      <w:r>
        <w:rPr>
          <w:rFonts w:cs="Times New Roman"/>
          <w:lang w:val="fr-CA"/>
        </w:rPr>
        <w:t>par. </w:t>
      </w:r>
      <w:r w:rsidRPr="00883823">
        <w:rPr>
          <w:rFonts w:cs="Times New Roman"/>
          <w:lang w:val="fr-CA"/>
        </w:rPr>
        <w:t xml:space="preserve">35). Cette « disposition [. . .] semble indiquer que toute déclaration d’invalidité ne peut avoir qu’un effet </w:t>
      </w:r>
      <w:r w:rsidRPr="00883823">
        <w:rPr>
          <w:rFonts w:cs="Times New Roman"/>
          <w:u w:val="single"/>
          <w:lang w:val="fr-CA"/>
        </w:rPr>
        <w:t>immédiat</w:t>
      </w:r>
      <w:r w:rsidRPr="00883823">
        <w:rPr>
          <w:rFonts w:cs="Times New Roman"/>
          <w:i/>
          <w:lang w:val="fr-CA"/>
        </w:rPr>
        <w:t> </w:t>
      </w:r>
      <w:r w:rsidRPr="00883823">
        <w:rPr>
          <w:rFonts w:cs="Times New Roman"/>
          <w:lang w:val="fr-CA"/>
        </w:rPr>
        <w:t>» (</w:t>
      </w:r>
      <w:r w:rsidRPr="00883823">
        <w:rPr>
          <w:rFonts w:cs="Times New Roman"/>
          <w:i/>
          <w:lang w:val="fr-CA"/>
        </w:rPr>
        <w:t>Renvoi relatif à la rémunération des juges de la Cour provinciale de l’Île</w:t>
      </w:r>
      <w:r>
        <w:rPr>
          <w:rFonts w:cs="Times New Roman"/>
          <w:i/>
          <w:lang w:val="fr-CA"/>
        </w:rPr>
        <w:noBreakHyphen/>
      </w:r>
      <w:r w:rsidRPr="00883823">
        <w:rPr>
          <w:rFonts w:cs="Times New Roman"/>
          <w:i/>
          <w:lang w:val="fr-CA"/>
        </w:rPr>
        <w:t>du</w:t>
      </w:r>
      <w:r>
        <w:rPr>
          <w:rFonts w:cs="Times New Roman"/>
          <w:i/>
          <w:lang w:val="fr-CA"/>
        </w:rPr>
        <w:noBreakHyphen/>
      </w:r>
      <w:r w:rsidRPr="00883823">
        <w:rPr>
          <w:rFonts w:cs="Times New Roman"/>
          <w:i/>
          <w:lang w:val="fr-CA"/>
        </w:rPr>
        <w:t>Prince</w:t>
      </w:r>
      <w:r>
        <w:rPr>
          <w:rFonts w:cs="Times New Roman"/>
          <w:i/>
          <w:lang w:val="fr-CA"/>
        </w:rPr>
        <w:noBreakHyphen/>
      </w:r>
      <w:r w:rsidRPr="00883823">
        <w:rPr>
          <w:rFonts w:cs="Times New Roman"/>
          <w:i/>
          <w:lang w:val="fr-CA"/>
        </w:rPr>
        <w:t>Édouard</w:t>
      </w:r>
      <w:r w:rsidRPr="00883823">
        <w:rPr>
          <w:rFonts w:cs="Times New Roman"/>
          <w:lang w:val="fr-CA"/>
        </w:rPr>
        <w:t>,</w:t>
      </w:r>
      <w:r w:rsidRPr="00883823">
        <w:rPr>
          <w:rFonts w:cs="Times New Roman"/>
          <w:i/>
          <w:lang w:val="fr-CA"/>
        </w:rPr>
        <w:t xml:space="preserve"> </w:t>
      </w:r>
      <w:r w:rsidRPr="00883823">
        <w:rPr>
          <w:rFonts w:cs="Times New Roman"/>
          <w:lang w:val="fr-CA"/>
        </w:rPr>
        <w:t>[1997] 3 R.C.S. 3,</w:t>
      </w:r>
      <w:r w:rsidRPr="00883823">
        <w:rPr>
          <w:rFonts w:cs="Times New Roman"/>
          <w:i/>
          <w:lang w:val="fr-CA"/>
        </w:rPr>
        <w:t xml:space="preserve"> </w:t>
      </w:r>
      <w:r>
        <w:rPr>
          <w:rFonts w:cs="Times New Roman"/>
          <w:lang w:val="fr-CA"/>
        </w:rPr>
        <w:t>par. </w:t>
      </w:r>
      <w:r w:rsidRPr="00883823">
        <w:rPr>
          <w:rFonts w:cs="Times New Roman"/>
          <w:lang w:val="fr-CA"/>
        </w:rPr>
        <w:t>99 (nous soulignons)).</w:t>
      </w:r>
    </w:p>
    <w:p w14:paraId="2F50B043" w14:textId="7C8A9868"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Contrairement aux constitutions d’autres pays, comme la </w:t>
      </w:r>
      <w:r w:rsidRPr="00883823">
        <w:rPr>
          <w:rFonts w:cs="Times New Roman"/>
          <w:i/>
          <w:lang w:val="fr-CA"/>
        </w:rPr>
        <w:t xml:space="preserve">Constitution of the </w:t>
      </w:r>
      <w:proofErr w:type="spellStart"/>
      <w:r w:rsidRPr="00883823">
        <w:rPr>
          <w:rFonts w:cs="Times New Roman"/>
          <w:i/>
          <w:lang w:val="fr-CA"/>
        </w:rPr>
        <w:t>Republic</w:t>
      </w:r>
      <w:proofErr w:type="spellEnd"/>
      <w:r w:rsidRPr="00883823">
        <w:rPr>
          <w:rFonts w:cs="Times New Roman"/>
          <w:i/>
          <w:lang w:val="fr-CA"/>
        </w:rPr>
        <w:t xml:space="preserve"> of South </w:t>
      </w:r>
      <w:proofErr w:type="spellStart"/>
      <w:r w:rsidRPr="00883823">
        <w:rPr>
          <w:rFonts w:cs="Times New Roman"/>
          <w:i/>
          <w:lang w:val="fr-CA"/>
        </w:rPr>
        <w:t>Africa</w:t>
      </w:r>
      <w:proofErr w:type="spellEnd"/>
      <w:r w:rsidRPr="00883823">
        <w:rPr>
          <w:rFonts w:cs="Times New Roman"/>
          <w:lang w:val="fr-CA"/>
        </w:rPr>
        <w:t>, à l’</w:t>
      </w:r>
      <w:r>
        <w:rPr>
          <w:rFonts w:cs="Times New Roman"/>
          <w:lang w:val="fr-CA"/>
        </w:rPr>
        <w:t>al. </w:t>
      </w:r>
      <w:r w:rsidRPr="00883823">
        <w:rPr>
          <w:rFonts w:cs="Times New Roman"/>
          <w:lang w:val="fr-CA"/>
        </w:rPr>
        <w:t>172(1</w:t>
      </w:r>
      <w:proofErr w:type="gramStart"/>
      <w:r w:rsidRPr="00883823">
        <w:rPr>
          <w:rFonts w:cs="Times New Roman"/>
          <w:lang w:val="fr-CA"/>
        </w:rPr>
        <w:t>)</w:t>
      </w:r>
      <w:r w:rsidR="0025412A">
        <w:rPr>
          <w:rFonts w:cs="Times New Roman"/>
          <w:lang w:val="fr-CA"/>
        </w:rPr>
        <w:t>(</w:t>
      </w:r>
      <w:proofErr w:type="gramEnd"/>
      <w:r w:rsidRPr="00883823">
        <w:rPr>
          <w:rFonts w:cs="Times New Roman"/>
          <w:lang w:val="fr-CA"/>
        </w:rPr>
        <w:t>b)</w:t>
      </w:r>
      <w:r w:rsidRPr="00276387">
        <w:rPr>
          <w:rStyle w:val="Hyperlink"/>
          <w:color w:val="auto"/>
          <w:u w:val="none"/>
          <w:vertAlign w:val="superscript"/>
        </w:rPr>
        <w:footnoteReference w:id="13"/>
      </w:r>
      <w:r w:rsidRPr="00883823">
        <w:rPr>
          <w:rFonts w:cs="Times New Roman"/>
          <w:lang w:val="fr-CA"/>
        </w:rPr>
        <w:t>, rien dans le texte de notre Constitution n’habilite expressément les tribunaux canadiens à suspendre l’effet de déclarations d’invalidité. (Et, même en Afrique du Sud, la suspension de l’effet de déclarations d’invalidité est rarement utilisée, étant donné que [</w:t>
      </w:r>
      <w:r w:rsidRPr="00883823">
        <w:rPr>
          <w:rFonts w:cs="Times New Roman"/>
          <w:smallCaps/>
          <w:lang w:val="fr-CA"/>
        </w:rPr>
        <w:t>traduction</w:t>
      </w:r>
      <w:r w:rsidRPr="00883823">
        <w:rPr>
          <w:rFonts w:cs="Times New Roman"/>
          <w:lang w:val="fr-CA"/>
        </w:rPr>
        <w:t xml:space="preserve">] « l’on part du principe général » que la Cour constitutionnelle de l’Afrique du Sud prononcera une </w:t>
      </w:r>
      <w:r>
        <w:rPr>
          <w:rFonts w:cs="Times New Roman"/>
          <w:lang w:val="fr-CA"/>
        </w:rPr>
        <w:t>déclaration</w:t>
      </w:r>
      <w:r w:rsidRPr="00883823">
        <w:rPr>
          <w:rFonts w:cs="Times New Roman"/>
          <w:lang w:val="fr-CA"/>
        </w:rPr>
        <w:t xml:space="preserve"> avec effet immédiat (</w:t>
      </w:r>
      <w:proofErr w:type="spellStart"/>
      <w:r w:rsidRPr="00883823">
        <w:rPr>
          <w:rFonts w:cs="Times New Roman"/>
          <w:lang w:val="fr-CA"/>
        </w:rPr>
        <w:t>Leckey</w:t>
      </w:r>
      <w:proofErr w:type="spellEnd"/>
      <w:r w:rsidRPr="00883823">
        <w:rPr>
          <w:rFonts w:cs="Times New Roman"/>
          <w:lang w:val="fr-CA"/>
        </w:rPr>
        <w:t>, « </w:t>
      </w:r>
      <w:proofErr w:type="spellStart"/>
      <w:r w:rsidRPr="00883823">
        <w:rPr>
          <w:rFonts w:cs="Times New Roman"/>
          <w:lang w:val="fr-CA"/>
        </w:rPr>
        <w:t>Remedial</w:t>
      </w:r>
      <w:proofErr w:type="spellEnd"/>
      <w:r w:rsidRPr="00883823">
        <w:rPr>
          <w:rFonts w:cs="Times New Roman"/>
          <w:lang w:val="fr-CA"/>
        </w:rPr>
        <w:t xml:space="preserve"> », </w:t>
      </w:r>
      <w:r>
        <w:rPr>
          <w:rFonts w:cs="Times New Roman"/>
          <w:lang w:val="fr-CA"/>
        </w:rPr>
        <w:t>p. </w:t>
      </w:r>
      <w:r w:rsidRPr="00883823">
        <w:rPr>
          <w:rFonts w:cs="Times New Roman"/>
          <w:lang w:val="fr-CA"/>
        </w:rPr>
        <w:t xml:space="preserve">20)). Les rédacteurs de notre Constitution auraient aisément pu envisager un tel pouvoir en indiquant que « les dispositions incompatibles </w:t>
      </w:r>
      <w:r w:rsidRPr="00883823">
        <w:rPr>
          <w:rFonts w:cs="Times New Roman"/>
          <w:u w:val="single"/>
          <w:lang w:val="fr-CA"/>
        </w:rPr>
        <w:t>seront</w:t>
      </w:r>
      <w:r w:rsidRPr="00883823">
        <w:rPr>
          <w:rFonts w:cs="Times New Roman"/>
          <w:lang w:val="fr-CA"/>
        </w:rPr>
        <w:t xml:space="preserve"> inopérantes » (c’est d’ailleurs l’interprétation que notre Cour donne au </w:t>
      </w:r>
      <w:proofErr w:type="spellStart"/>
      <w:r>
        <w:rPr>
          <w:rFonts w:cs="Times New Roman"/>
          <w:lang w:val="fr-CA"/>
        </w:rPr>
        <w:t>par</w:t>
      </w:r>
      <w:proofErr w:type="spellEnd"/>
      <w:r>
        <w:rPr>
          <w:rFonts w:cs="Times New Roman"/>
          <w:lang w:val="fr-CA"/>
        </w:rPr>
        <w:t>. </w:t>
      </w:r>
      <w:r w:rsidRPr="00883823">
        <w:rPr>
          <w:rFonts w:cs="Times New Roman"/>
          <w:lang w:val="fr-CA"/>
        </w:rPr>
        <w:t xml:space="preserve">52(1) dans la foulée de l’arrêt </w:t>
      </w:r>
      <w:proofErr w:type="spellStart"/>
      <w:r w:rsidRPr="00883823">
        <w:rPr>
          <w:rFonts w:cs="Times New Roman"/>
          <w:i/>
          <w:lang w:val="fr-CA"/>
        </w:rPr>
        <w:t>Schachter</w:t>
      </w:r>
      <w:proofErr w:type="spellEnd"/>
      <w:r w:rsidRPr="00883823">
        <w:rPr>
          <w:rFonts w:cs="Times New Roman"/>
          <w:lang w:val="fr-CA"/>
        </w:rPr>
        <w:t>). Au lieu de cela, la Constitution limite le rôle des tribunaux à déclarer que la Constitution « </w:t>
      </w:r>
      <w:r w:rsidRPr="00883823">
        <w:rPr>
          <w:rFonts w:cs="Times New Roman"/>
          <w:u w:val="single"/>
          <w:lang w:val="fr-CA"/>
        </w:rPr>
        <w:t xml:space="preserve">rend </w:t>
      </w:r>
      <w:r w:rsidRPr="00883823">
        <w:rPr>
          <w:rFonts w:cs="Times New Roman"/>
          <w:lang w:val="fr-CA"/>
        </w:rPr>
        <w:t xml:space="preserve">inopérantes » les dispositions incompatibles. Ainsi, lorsqu’elle exerce un tel pouvoir </w:t>
      </w:r>
      <w:r w:rsidRPr="00883823">
        <w:rPr>
          <w:rFonts w:cs="Times New Roman"/>
          <w:i/>
          <w:iCs/>
          <w:lang w:val="fr-CA"/>
        </w:rPr>
        <w:t>d’origine prétorienne</w:t>
      </w:r>
      <w:r w:rsidRPr="00883823">
        <w:rPr>
          <w:rFonts w:cs="Times New Roman"/>
          <w:lang w:val="fr-CA"/>
        </w:rPr>
        <w:t xml:space="preserve"> pour suspendre l’effet d’une déclaration d’invalidité, notre Cour doit faire preuve de discernement et de circonspection et se fonder sur des principes. Nous insistons sur les mots « d’origine prétorienne » pour une raison qui tient également à la nécessité de faire preuve de retenue</w:t>
      </w:r>
      <w:r>
        <w:rPr>
          <w:rFonts w:cs="Times New Roman"/>
          <w:lang w:val="fr-CA"/>
        </w:rPr>
        <w:t> :</w:t>
      </w:r>
      <w:r w:rsidRPr="00883823">
        <w:rPr>
          <w:rFonts w:cs="Times New Roman"/>
          <w:lang w:val="fr-CA"/>
        </w:rPr>
        <w:t xml:space="preserve"> bien que notre Constitution ne permette pas expressément aux </w:t>
      </w:r>
      <w:r w:rsidRPr="00883823">
        <w:rPr>
          <w:rFonts w:cs="Times New Roman"/>
          <w:i/>
          <w:lang w:val="fr-CA"/>
        </w:rPr>
        <w:t>tribunaux</w:t>
      </w:r>
      <w:r w:rsidRPr="00883823">
        <w:rPr>
          <w:rFonts w:cs="Times New Roman"/>
          <w:lang w:val="fr-CA"/>
        </w:rPr>
        <w:t xml:space="preserve"> de suspendre l’effet d’une déclaration d’invalidité, elle offre </w:t>
      </w:r>
      <w:r w:rsidRPr="00883823">
        <w:rPr>
          <w:rFonts w:cs="Times New Roman"/>
          <w:i/>
          <w:iCs/>
          <w:lang w:val="fr-CA"/>
        </w:rPr>
        <w:t>effectivement</w:t>
      </w:r>
      <w:r w:rsidRPr="00883823">
        <w:rPr>
          <w:rFonts w:cs="Times New Roman"/>
          <w:lang w:val="fr-CA"/>
        </w:rPr>
        <w:t xml:space="preserve"> au </w:t>
      </w:r>
      <w:r w:rsidRPr="00883823">
        <w:rPr>
          <w:rFonts w:cs="Times New Roman"/>
          <w:i/>
          <w:iCs/>
          <w:lang w:val="fr-CA"/>
        </w:rPr>
        <w:t>Parlement et aux législatures provinciales</w:t>
      </w:r>
      <w:r w:rsidRPr="00883823">
        <w:rPr>
          <w:rFonts w:cs="Times New Roman"/>
          <w:lang w:val="fr-CA"/>
        </w:rPr>
        <w:t xml:space="preserve"> la possibilité de le faire dans certains cas prévus au </w:t>
      </w:r>
      <w:proofErr w:type="spellStart"/>
      <w:r>
        <w:rPr>
          <w:rFonts w:cs="Times New Roman"/>
          <w:lang w:val="fr-CA"/>
        </w:rPr>
        <w:t>par</w:t>
      </w:r>
      <w:proofErr w:type="spellEnd"/>
      <w:r>
        <w:rPr>
          <w:rFonts w:cs="Times New Roman"/>
          <w:lang w:val="fr-CA"/>
        </w:rPr>
        <w:t>. </w:t>
      </w:r>
      <w:r w:rsidRPr="00883823">
        <w:rPr>
          <w:rFonts w:cs="Times New Roman"/>
          <w:lang w:val="fr-CA"/>
        </w:rPr>
        <w:t xml:space="preserve">33(1). En d’autres termes, en maintenant artificiellement en vie une loi qui a été invalidée pour cause d’inconstitutionnalité, le tribunal s’arroge en fait un rôle que la Constitution a confié </w:t>
      </w:r>
      <w:r w:rsidRPr="00883823">
        <w:rPr>
          <w:rFonts w:cs="Times New Roman"/>
          <w:i/>
          <w:iCs/>
          <w:lang w:val="fr-CA"/>
        </w:rPr>
        <w:t>au pouvoir législatif</w:t>
      </w:r>
      <w:r>
        <w:rPr>
          <w:rFonts w:cs="Times New Roman"/>
          <w:lang w:val="fr-CA"/>
        </w:rPr>
        <w:t> :</w:t>
      </w:r>
      <w:r w:rsidRPr="00883823">
        <w:rPr>
          <w:rFonts w:cs="Times New Roman"/>
          <w:lang w:val="fr-CA"/>
        </w:rPr>
        <w:t xml:space="preserve"> en fait, en agissant de la sorte, le tribunal </w:t>
      </w:r>
      <w:r w:rsidRPr="00883823">
        <w:rPr>
          <w:rFonts w:cs="Times New Roman"/>
          <w:i/>
          <w:iCs/>
          <w:lang w:val="fr-CA"/>
        </w:rPr>
        <w:t>légifère</w:t>
      </w:r>
      <w:r w:rsidRPr="00883823">
        <w:rPr>
          <w:rFonts w:cs="Times New Roman"/>
          <w:lang w:val="fr-CA"/>
        </w:rPr>
        <w:t xml:space="preserve">. Ainsi que </w:t>
      </w:r>
      <w:proofErr w:type="spellStart"/>
      <w:r w:rsidRPr="00883823">
        <w:rPr>
          <w:rFonts w:cs="Times New Roman"/>
          <w:lang w:val="fr-CA"/>
        </w:rPr>
        <w:t>Bird</w:t>
      </w:r>
      <w:proofErr w:type="spellEnd"/>
      <w:r w:rsidRPr="00883823">
        <w:rPr>
          <w:rFonts w:cs="Times New Roman"/>
          <w:lang w:val="fr-CA"/>
        </w:rPr>
        <w:t xml:space="preserve"> l’explique de façon convaincante</w:t>
      </w:r>
      <w:r>
        <w:rPr>
          <w:rFonts w:cs="Times New Roman"/>
          <w:lang w:val="fr-CA"/>
        </w:rPr>
        <w:t> :</w:t>
      </w:r>
    </w:p>
    <w:p w14:paraId="5F4A889B" w14:textId="4191A122" w:rsidR="00F712C6" w:rsidRPr="00883823" w:rsidRDefault="00F712C6" w:rsidP="00F712C6">
      <w:pPr>
        <w:pStyle w:val="Citation-AltC"/>
        <w:spacing w:after="240"/>
        <w:ind w:left="1168" w:hanging="1166"/>
        <w:contextualSpacing w:val="0"/>
        <w:rPr>
          <w:lang w:val="fr-CA"/>
        </w:rPr>
      </w:pPr>
      <w:r>
        <w:rPr>
          <w:lang w:val="fr-CA"/>
        </w:rPr>
        <w:tab/>
      </w:r>
      <w:r w:rsidRPr="00883823">
        <w:rPr>
          <w:lang w:val="fr-CA"/>
        </w:rPr>
        <w:t>[</w:t>
      </w:r>
      <w:r w:rsidRPr="00883823">
        <w:rPr>
          <w:smallCaps/>
          <w:lang w:val="fr-CA"/>
        </w:rPr>
        <w:t>traduction</w:t>
      </w:r>
      <w:proofErr w:type="gramStart"/>
      <w:r w:rsidRPr="00883823">
        <w:rPr>
          <w:lang w:val="fr-CA"/>
        </w:rPr>
        <w:t xml:space="preserve">] </w:t>
      </w:r>
      <w:r w:rsidR="0025412A">
        <w:rPr>
          <w:lang w:val="fr-CA"/>
        </w:rPr>
        <w:t>.</w:t>
      </w:r>
      <w:proofErr w:type="gramEnd"/>
      <w:r w:rsidR="0025412A">
        <w:rPr>
          <w:lang w:val="fr-CA"/>
        </w:rPr>
        <w:t> . . l</w:t>
      </w:r>
      <w:r w:rsidRPr="00883823">
        <w:rPr>
          <w:lang w:val="fr-CA"/>
        </w:rPr>
        <w:t>e principe de l’exclusivité s’applique lorsque la Constitution d’un pays confère un pouvoir spécifique à un organe du gouvernement. Il va de soi que le pouvoir que la Constitution attribue à un organe du gouvernement ne doit pas être exercé par un autre organe</w:t>
      </w:r>
      <w:r>
        <w:rPr>
          <w:lang w:val="fr-CA"/>
        </w:rPr>
        <w:t>. . .</w:t>
      </w:r>
      <w:r w:rsidRPr="00883823">
        <w:rPr>
          <w:lang w:val="fr-CA"/>
        </w:rPr>
        <w:t xml:space="preserve"> </w:t>
      </w:r>
    </w:p>
    <w:p w14:paraId="49679B05" w14:textId="7DA94B4F" w:rsidR="00F712C6" w:rsidRPr="00883823" w:rsidRDefault="00F712C6" w:rsidP="00F712C6">
      <w:pPr>
        <w:pStyle w:val="Citation-AltC"/>
        <w:ind w:hanging="1166"/>
        <w:rPr>
          <w:lang w:val="fr-CA"/>
        </w:rPr>
      </w:pPr>
      <w:r>
        <w:rPr>
          <w:lang w:val="fr-CA"/>
        </w:rPr>
        <w:tab/>
      </w:r>
      <w:r>
        <w:rPr>
          <w:lang w:val="fr-CA"/>
        </w:rPr>
        <w:tab/>
      </w:r>
      <w:r w:rsidRPr="00883823">
        <w:rPr>
          <w:lang w:val="fr-CA"/>
        </w:rPr>
        <w:t>C’est selon moi ce qui arrive avec la suspension de l’effet d’une déclaration d’invalidité</w:t>
      </w:r>
      <w:r>
        <w:rPr>
          <w:lang w:val="fr-CA"/>
        </w:rPr>
        <w:t xml:space="preserve"> </w:t>
      </w:r>
      <w:r w:rsidRPr="00883823">
        <w:rPr>
          <w:lang w:val="fr-CA"/>
        </w:rPr>
        <w:t>[. . .] Selon la Constitution canadienne, le seul organe du gouvernement qui est expressément habilité à valider une loi inconstitutionnelle est le législateur, par le biais de la « clause dérogatoire »</w:t>
      </w:r>
      <w:r w:rsidR="0025412A">
        <w:rPr>
          <w:lang w:val="fr-CA"/>
        </w:rPr>
        <w:t>.</w:t>
      </w:r>
      <w:r w:rsidRPr="00883823">
        <w:rPr>
          <w:lang w:val="fr-CA"/>
        </w:rPr>
        <w:t xml:space="preserve"> [</w:t>
      </w:r>
      <w:r>
        <w:rPr>
          <w:lang w:val="fr-CA"/>
        </w:rPr>
        <w:t>p. </w:t>
      </w:r>
      <w:r w:rsidRPr="00883823">
        <w:rPr>
          <w:lang w:val="fr-CA"/>
        </w:rPr>
        <w:t>43</w:t>
      </w:r>
      <w:r>
        <w:rPr>
          <w:lang w:val="fr-CA"/>
        </w:rPr>
        <w:noBreakHyphen/>
      </w:r>
      <w:r w:rsidRPr="00883823">
        <w:rPr>
          <w:lang w:val="fr-CA"/>
        </w:rPr>
        <w:t xml:space="preserve">44] </w:t>
      </w:r>
    </w:p>
    <w:p w14:paraId="26B2DA32" w14:textId="2AB55733" w:rsidR="00F712C6" w:rsidRPr="00883823" w:rsidRDefault="00F712C6" w:rsidP="005B0DF7">
      <w:pPr>
        <w:pStyle w:val="ParaNoNdepar-AltN"/>
        <w:rPr>
          <w:lang w:val="en-US"/>
        </w:rPr>
      </w:pPr>
      <w:r w:rsidRPr="00883823">
        <w:rPr>
          <w:lang w:val="fr-CA"/>
        </w:rPr>
        <w:t xml:space="preserve">D’ailleurs, le </w:t>
      </w:r>
      <w:r>
        <w:rPr>
          <w:lang w:val="fr-CA"/>
        </w:rPr>
        <w:t>par. </w:t>
      </w:r>
      <w:r w:rsidRPr="00883823">
        <w:rPr>
          <w:lang w:val="fr-CA"/>
        </w:rPr>
        <w:t xml:space="preserve">33(1) suggère que, dans les cas auxquels il s’applique, c’est </w:t>
      </w:r>
      <w:r w:rsidRPr="00883823">
        <w:rPr>
          <w:i/>
          <w:iCs/>
          <w:lang w:val="fr-CA"/>
        </w:rPr>
        <w:t>le législateur</w:t>
      </w:r>
      <w:r>
        <w:rPr>
          <w:iCs/>
          <w:lang w:val="fr-CA"/>
        </w:rPr>
        <w:t>,</w:t>
      </w:r>
      <w:r w:rsidRPr="00883823">
        <w:rPr>
          <w:lang w:val="fr-CA"/>
        </w:rPr>
        <w:t xml:space="preserve"> et </w:t>
      </w:r>
      <w:r w:rsidRPr="00883823">
        <w:rPr>
          <w:i/>
          <w:iCs/>
          <w:lang w:val="fr-CA"/>
        </w:rPr>
        <w:t>non le tribunal</w:t>
      </w:r>
      <w:r w:rsidRPr="00883823">
        <w:rPr>
          <w:lang w:val="fr-CA"/>
        </w:rPr>
        <w:t>, qui est le mieux placé pour savoir dans quels cas il est souhaitable de suspendre l’effet d’une déclaration d’invalidité et, le cas échéant, pour combien de temps (voir D. Newman, « </w:t>
      </w:r>
      <w:proofErr w:type="spellStart"/>
      <w:r w:rsidRPr="00883823">
        <w:rPr>
          <w:lang w:val="fr-CA"/>
        </w:rPr>
        <w:t>Canada’s</w:t>
      </w:r>
      <w:proofErr w:type="spellEnd"/>
      <w:r w:rsidRPr="00883823">
        <w:rPr>
          <w:lang w:val="fr-CA"/>
        </w:rPr>
        <w:t xml:space="preserve"> </w:t>
      </w:r>
      <w:proofErr w:type="spellStart"/>
      <w:r w:rsidRPr="00883823">
        <w:rPr>
          <w:lang w:val="fr-CA"/>
        </w:rPr>
        <w:t>Notwithstanding</w:t>
      </w:r>
      <w:proofErr w:type="spellEnd"/>
      <w:r w:rsidRPr="00883823">
        <w:rPr>
          <w:lang w:val="fr-CA"/>
        </w:rPr>
        <w:t xml:space="preserve"> Clause, Dialogue and </w:t>
      </w:r>
      <w:proofErr w:type="spellStart"/>
      <w:r w:rsidRPr="00883823">
        <w:rPr>
          <w:lang w:val="fr-CA"/>
        </w:rPr>
        <w:t>Constitutional</w:t>
      </w:r>
      <w:proofErr w:type="spellEnd"/>
      <w:r w:rsidRPr="00883823">
        <w:rPr>
          <w:lang w:val="fr-CA"/>
        </w:rPr>
        <w:t xml:space="preserve"> </w:t>
      </w:r>
      <w:proofErr w:type="spellStart"/>
      <w:r w:rsidRPr="00883823">
        <w:rPr>
          <w:lang w:val="fr-CA"/>
        </w:rPr>
        <w:t>Identities</w:t>
      </w:r>
      <w:proofErr w:type="spellEnd"/>
      <w:r w:rsidRPr="00883823">
        <w:rPr>
          <w:lang w:val="fr-CA"/>
        </w:rPr>
        <w:t> » dans G. </w:t>
      </w:r>
      <w:proofErr w:type="spellStart"/>
      <w:r w:rsidRPr="00883823">
        <w:rPr>
          <w:lang w:val="fr-CA"/>
        </w:rPr>
        <w:t>Sigalet</w:t>
      </w:r>
      <w:proofErr w:type="spellEnd"/>
      <w:r w:rsidRPr="00883823">
        <w:rPr>
          <w:lang w:val="fr-CA"/>
        </w:rPr>
        <w:t xml:space="preserve">, G. Webber et R. Dixon, </w:t>
      </w:r>
      <w:proofErr w:type="spellStart"/>
      <w:r w:rsidRPr="00883823">
        <w:rPr>
          <w:lang w:val="fr-CA"/>
        </w:rPr>
        <w:t>dir</w:t>
      </w:r>
      <w:proofErr w:type="spellEnd"/>
      <w:r w:rsidRPr="00883823">
        <w:rPr>
          <w:lang w:val="fr-CA"/>
        </w:rPr>
        <w:t xml:space="preserve">., </w:t>
      </w:r>
      <w:proofErr w:type="spellStart"/>
      <w:r w:rsidRPr="00883823">
        <w:rPr>
          <w:i/>
          <w:lang w:val="fr-CA"/>
        </w:rPr>
        <w:t>Constitutional</w:t>
      </w:r>
      <w:proofErr w:type="spellEnd"/>
      <w:r w:rsidRPr="00883823">
        <w:rPr>
          <w:i/>
          <w:lang w:val="fr-CA"/>
        </w:rPr>
        <w:t xml:space="preserve"> Dialogue: </w:t>
      </w:r>
      <w:proofErr w:type="spellStart"/>
      <w:r w:rsidRPr="00883823">
        <w:rPr>
          <w:i/>
          <w:lang w:val="fr-CA"/>
        </w:rPr>
        <w:t>Rights</w:t>
      </w:r>
      <w:proofErr w:type="spellEnd"/>
      <w:r w:rsidRPr="00883823">
        <w:rPr>
          <w:i/>
          <w:lang w:val="fr-CA"/>
        </w:rPr>
        <w:t xml:space="preserve">, </w:t>
      </w:r>
      <w:proofErr w:type="spellStart"/>
      <w:r w:rsidRPr="00883823">
        <w:rPr>
          <w:i/>
          <w:lang w:val="fr-CA"/>
        </w:rPr>
        <w:t>Democracy</w:t>
      </w:r>
      <w:proofErr w:type="spellEnd"/>
      <w:r w:rsidRPr="00883823">
        <w:rPr>
          <w:i/>
          <w:lang w:val="fr-CA"/>
        </w:rPr>
        <w:t xml:space="preserve">, Institutions </w:t>
      </w:r>
      <w:r w:rsidRPr="00883823">
        <w:rPr>
          <w:lang w:val="fr-CA"/>
        </w:rPr>
        <w:t xml:space="preserve">(2019), 209, </w:t>
      </w:r>
      <w:r>
        <w:rPr>
          <w:lang w:val="fr-CA"/>
        </w:rPr>
        <w:t>p. </w:t>
      </w:r>
      <w:r w:rsidRPr="00883823">
        <w:rPr>
          <w:lang w:val="fr-CA"/>
        </w:rPr>
        <w:t>230</w:t>
      </w:r>
      <w:r>
        <w:rPr>
          <w:lang w:val="fr-CA"/>
        </w:rPr>
        <w:noBreakHyphen/>
      </w:r>
      <w:r w:rsidRPr="00883823">
        <w:rPr>
          <w:lang w:val="fr-CA"/>
        </w:rPr>
        <w:t xml:space="preserve">231). Il s’agit en fait d’un des principaux objectifs du </w:t>
      </w:r>
      <w:r>
        <w:rPr>
          <w:lang w:val="fr-CA"/>
        </w:rPr>
        <w:t>par. </w:t>
      </w:r>
      <w:r w:rsidRPr="00883823">
        <w:rPr>
          <w:lang w:val="fr-CA"/>
        </w:rPr>
        <w:t>33(1)</w:t>
      </w:r>
      <w:r>
        <w:rPr>
          <w:lang w:val="fr-CA"/>
        </w:rPr>
        <w:t> :</w:t>
      </w:r>
      <w:r w:rsidRPr="00883823">
        <w:rPr>
          <w:lang w:val="fr-CA"/>
        </w:rPr>
        <w:t xml:space="preserve"> permettre au législateur de tenir compte de l’incidence d’une décision du tribunal sur les facteurs [</w:t>
      </w:r>
      <w:r w:rsidRPr="00883823">
        <w:rPr>
          <w:smallCaps/>
          <w:lang w:val="fr-CA"/>
        </w:rPr>
        <w:t>traduction</w:t>
      </w:r>
      <w:r w:rsidRPr="00883823">
        <w:rPr>
          <w:lang w:val="fr-CA"/>
        </w:rPr>
        <w:t xml:space="preserve">] « à l’égard desquels seul le législateur a une capacité institutionnelle » (Newman, </w:t>
      </w:r>
      <w:r>
        <w:rPr>
          <w:lang w:val="fr-CA"/>
        </w:rPr>
        <w:t>p. </w:t>
      </w:r>
      <w:r w:rsidRPr="00883823">
        <w:rPr>
          <w:lang w:val="fr-CA"/>
        </w:rPr>
        <w:t xml:space="preserve">218 (voir également </w:t>
      </w:r>
      <w:r>
        <w:rPr>
          <w:lang w:val="fr-CA"/>
        </w:rPr>
        <w:t>p. </w:t>
      </w:r>
      <w:r w:rsidRPr="00883823">
        <w:rPr>
          <w:lang w:val="fr-CA"/>
        </w:rPr>
        <w:t>224); voir également l’hon. </w:t>
      </w:r>
      <w:r w:rsidRPr="00883823">
        <w:rPr>
          <w:lang w:val="en-US"/>
        </w:rPr>
        <w:t xml:space="preserve">A. E. </w:t>
      </w:r>
      <w:proofErr w:type="spellStart"/>
      <w:r w:rsidRPr="00883823">
        <w:rPr>
          <w:lang w:val="en-US"/>
        </w:rPr>
        <w:t>Blakeney</w:t>
      </w:r>
      <w:proofErr w:type="spellEnd"/>
      <w:r w:rsidRPr="00883823">
        <w:rPr>
          <w:lang w:val="en-US"/>
        </w:rPr>
        <w:t xml:space="preserve">, « The Notwithstanding Clause, the </w:t>
      </w:r>
      <w:r w:rsidRPr="00883823">
        <w:rPr>
          <w:i/>
          <w:lang w:val="en-US"/>
        </w:rPr>
        <w:t>Charter</w:t>
      </w:r>
      <w:r w:rsidRPr="00883823">
        <w:rPr>
          <w:lang w:val="en-US"/>
        </w:rPr>
        <w:t>, and Canada’s Patriated Constitution</w:t>
      </w:r>
      <w:r w:rsidR="00276387">
        <w:rPr>
          <w:lang w:val="en-US"/>
        </w:rPr>
        <w:t> </w:t>
      </w:r>
      <w:r w:rsidRPr="00883823">
        <w:rPr>
          <w:lang w:val="en-US"/>
        </w:rPr>
        <w:t xml:space="preserve">: What I Thought We Were Doing » (2010), 19 </w:t>
      </w:r>
      <w:r w:rsidR="005B0DF7" w:rsidRPr="005B0DF7">
        <w:rPr>
          <w:rFonts w:cs="Times New Roman"/>
          <w:i/>
          <w:lang w:val="en-US"/>
        </w:rPr>
        <w:t>Forum</w:t>
      </w:r>
      <w:r w:rsidR="005B0DF7" w:rsidRPr="005B0DF7">
        <w:rPr>
          <w:rFonts w:cs="Times New Roman"/>
          <w:lang w:val="en-US"/>
        </w:rPr>
        <w:t xml:space="preserve"> </w:t>
      </w:r>
      <w:r w:rsidR="0025412A">
        <w:rPr>
          <w:i/>
          <w:lang w:val="en-US"/>
        </w:rPr>
        <w:t>Const.</w:t>
      </w:r>
      <w:r w:rsidRPr="00883823">
        <w:rPr>
          <w:i/>
          <w:lang w:val="en-US"/>
        </w:rPr>
        <w:t xml:space="preserve"> </w:t>
      </w:r>
      <w:r w:rsidRPr="00883823">
        <w:rPr>
          <w:lang w:val="en-US"/>
        </w:rPr>
        <w:t xml:space="preserve">1, </w:t>
      </w:r>
      <w:r>
        <w:rPr>
          <w:lang w:val="en-US"/>
        </w:rPr>
        <w:t>p. </w:t>
      </w:r>
      <w:r w:rsidRPr="00883823">
        <w:rPr>
          <w:lang w:val="en-US"/>
        </w:rPr>
        <w:t>5; J</w:t>
      </w:r>
      <w:r>
        <w:rPr>
          <w:lang w:val="en-US"/>
        </w:rPr>
        <w:t>. D. </w:t>
      </w:r>
      <w:r w:rsidRPr="00883823">
        <w:rPr>
          <w:lang w:val="en-US"/>
        </w:rPr>
        <w:t>Whyte, « Sometimes Constitutions are Made in the Streets</w:t>
      </w:r>
      <w:r w:rsidR="00276387">
        <w:rPr>
          <w:lang w:val="en-US"/>
        </w:rPr>
        <w:t> </w:t>
      </w:r>
      <w:r w:rsidRPr="00883823">
        <w:rPr>
          <w:lang w:val="en-US"/>
        </w:rPr>
        <w:t xml:space="preserve">: The Future of the </w:t>
      </w:r>
      <w:r w:rsidRPr="00883823">
        <w:rPr>
          <w:i/>
          <w:lang w:val="en-US"/>
        </w:rPr>
        <w:t>Charter</w:t>
      </w:r>
      <w:r w:rsidRPr="00883823">
        <w:rPr>
          <w:lang w:val="en-US"/>
        </w:rPr>
        <w:t xml:space="preserve">’s Notwithstanding Clause » (2007), 16 </w:t>
      </w:r>
      <w:r w:rsidR="005B0DF7" w:rsidRPr="00883823">
        <w:rPr>
          <w:i/>
          <w:lang w:val="en-US"/>
        </w:rPr>
        <w:t>Forum</w:t>
      </w:r>
      <w:r w:rsidR="005B0DF7">
        <w:rPr>
          <w:i/>
          <w:lang w:val="en-US"/>
        </w:rPr>
        <w:t xml:space="preserve"> </w:t>
      </w:r>
      <w:r w:rsidR="0025412A">
        <w:rPr>
          <w:i/>
          <w:lang w:val="en-US"/>
        </w:rPr>
        <w:t>Const.</w:t>
      </w:r>
      <w:r w:rsidRPr="00883823">
        <w:rPr>
          <w:i/>
          <w:lang w:val="en-US"/>
        </w:rPr>
        <w:t xml:space="preserve"> </w:t>
      </w:r>
      <w:r w:rsidRPr="00883823">
        <w:rPr>
          <w:lang w:val="en-US"/>
        </w:rPr>
        <w:t xml:space="preserve">79, </w:t>
      </w:r>
      <w:r>
        <w:rPr>
          <w:lang w:val="en-US"/>
        </w:rPr>
        <w:t>p. </w:t>
      </w:r>
      <w:r w:rsidRPr="00883823">
        <w:rPr>
          <w:lang w:val="en-US"/>
        </w:rPr>
        <w:t xml:space="preserve">83; </w:t>
      </w:r>
      <w:r>
        <w:rPr>
          <w:lang w:val="en-US"/>
        </w:rPr>
        <w:t>P. H. </w:t>
      </w:r>
      <w:r w:rsidRPr="00883823">
        <w:rPr>
          <w:lang w:val="en-US"/>
        </w:rPr>
        <w:t xml:space="preserve">Russell, « Standing Up for Notwithstanding » (1991), 29 </w:t>
      </w:r>
      <w:r w:rsidRPr="00883823">
        <w:rPr>
          <w:i/>
          <w:lang w:val="en-US"/>
        </w:rPr>
        <w:t>Alta. L. Rev.</w:t>
      </w:r>
      <w:r w:rsidRPr="00883823">
        <w:rPr>
          <w:lang w:val="en-US"/>
        </w:rPr>
        <w:t xml:space="preserve"> 293, </w:t>
      </w:r>
      <w:r>
        <w:rPr>
          <w:lang w:val="en-US"/>
        </w:rPr>
        <w:t>p. </w:t>
      </w:r>
      <w:r w:rsidRPr="00883823">
        <w:rPr>
          <w:lang w:val="en-US"/>
        </w:rPr>
        <w:t>308</w:t>
      </w:r>
      <w:r>
        <w:rPr>
          <w:lang w:val="en-US"/>
        </w:rPr>
        <w:noBreakHyphen/>
      </w:r>
      <w:r w:rsidRPr="00883823">
        <w:rPr>
          <w:lang w:val="en-US"/>
        </w:rPr>
        <w:t xml:space="preserve">309; </w:t>
      </w:r>
      <w:r>
        <w:rPr>
          <w:lang w:val="en-US"/>
        </w:rPr>
        <w:t>P. </w:t>
      </w:r>
      <w:r w:rsidRPr="00883823">
        <w:rPr>
          <w:lang w:val="en-US"/>
        </w:rPr>
        <w:t>C. </w:t>
      </w:r>
      <w:proofErr w:type="spellStart"/>
      <w:r w:rsidRPr="00883823">
        <w:rPr>
          <w:lang w:val="en-US"/>
        </w:rPr>
        <w:t>Weiler</w:t>
      </w:r>
      <w:proofErr w:type="spellEnd"/>
      <w:r w:rsidRPr="00883823">
        <w:rPr>
          <w:lang w:val="en-US"/>
        </w:rPr>
        <w:t>, « Rights and Judges in a Democracy</w:t>
      </w:r>
      <w:r w:rsidR="00276387">
        <w:rPr>
          <w:lang w:val="en-US"/>
        </w:rPr>
        <w:t> </w:t>
      </w:r>
      <w:r w:rsidRPr="00883823">
        <w:rPr>
          <w:lang w:val="en-US"/>
        </w:rPr>
        <w:t xml:space="preserve">: A New Canadian Version » (1984), 18 </w:t>
      </w:r>
      <w:r w:rsidRPr="00883823">
        <w:rPr>
          <w:i/>
          <w:lang w:val="en-US"/>
        </w:rPr>
        <w:t xml:space="preserve">U. </w:t>
      </w:r>
      <w:r w:rsidRPr="00883823">
        <w:rPr>
          <w:i/>
        </w:rPr>
        <w:t>Mi</w:t>
      </w:r>
      <w:r>
        <w:rPr>
          <w:i/>
        </w:rPr>
        <w:t>ch. </w:t>
      </w:r>
      <w:r w:rsidR="0025412A">
        <w:rPr>
          <w:i/>
        </w:rPr>
        <w:t>J.</w:t>
      </w:r>
      <w:r w:rsidRPr="00883823">
        <w:rPr>
          <w:i/>
        </w:rPr>
        <w:t xml:space="preserve">L. Reform </w:t>
      </w:r>
      <w:r w:rsidRPr="00883823">
        <w:rPr>
          <w:lang w:val="en-US"/>
        </w:rPr>
        <w:t xml:space="preserve">51, </w:t>
      </w:r>
      <w:r>
        <w:rPr>
          <w:lang w:val="en-US"/>
        </w:rPr>
        <w:t>p. </w:t>
      </w:r>
      <w:r w:rsidRPr="00883823">
        <w:rPr>
          <w:lang w:val="en-US"/>
        </w:rPr>
        <w:t xml:space="preserve">86). </w:t>
      </w:r>
    </w:p>
    <w:p w14:paraId="36697FAA" w14:textId="59A61DBB"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Au fond, le </w:t>
      </w:r>
      <w:r>
        <w:rPr>
          <w:rFonts w:cs="Times New Roman"/>
          <w:lang w:val="fr-CA"/>
        </w:rPr>
        <w:t>par. </w:t>
      </w:r>
      <w:r w:rsidRPr="00883823">
        <w:rPr>
          <w:rFonts w:cs="Times New Roman"/>
          <w:lang w:val="fr-CA"/>
        </w:rPr>
        <w:t>33(1) est [</w:t>
      </w:r>
      <w:r w:rsidRPr="00883823">
        <w:rPr>
          <w:rFonts w:cs="Times New Roman"/>
          <w:smallCaps/>
          <w:lang w:val="fr-CA"/>
        </w:rPr>
        <w:t>traduction</w:t>
      </w:r>
      <w:r w:rsidRPr="00883823">
        <w:rPr>
          <w:rFonts w:cs="Times New Roman"/>
          <w:lang w:val="fr-CA"/>
        </w:rPr>
        <w:t xml:space="preserve">] « un facteur qui devrait contribuer à limiter le recours à la suspension de l’effet des déclarations d’invalidité » (E. Macfarlane, « Dialogue, </w:t>
      </w:r>
      <w:proofErr w:type="spellStart"/>
      <w:r w:rsidRPr="00883823">
        <w:rPr>
          <w:rFonts w:cs="Times New Roman"/>
          <w:lang w:val="fr-CA"/>
        </w:rPr>
        <w:t>Remedies</w:t>
      </w:r>
      <w:proofErr w:type="spellEnd"/>
      <w:r w:rsidRPr="00883823">
        <w:rPr>
          <w:rFonts w:cs="Times New Roman"/>
          <w:lang w:val="fr-CA"/>
        </w:rPr>
        <w:t xml:space="preserve">, and Positive </w:t>
      </w:r>
      <w:proofErr w:type="spellStart"/>
      <w:r w:rsidRPr="00883823">
        <w:rPr>
          <w:rFonts w:cs="Times New Roman"/>
          <w:lang w:val="fr-CA"/>
        </w:rPr>
        <w:t>Rights</w:t>
      </w:r>
      <w:proofErr w:type="spellEnd"/>
      <w:r w:rsidR="007F1396">
        <w:rPr>
          <w:rFonts w:cs="Times New Roman"/>
          <w:lang w:val="fr-CA"/>
        </w:rPr>
        <w:t> </w:t>
      </w:r>
      <w:r w:rsidRPr="00883823">
        <w:rPr>
          <w:rFonts w:cs="Times New Roman"/>
          <w:lang w:val="fr-CA"/>
        </w:rPr>
        <w:t xml:space="preserve">: </w:t>
      </w:r>
      <w:r w:rsidRPr="00883823">
        <w:rPr>
          <w:rFonts w:cs="Times New Roman"/>
          <w:i/>
          <w:lang w:val="fr-CA"/>
        </w:rPr>
        <w:t>Carter v. Canada</w:t>
      </w:r>
      <w:r w:rsidRPr="00883823">
        <w:rPr>
          <w:rFonts w:cs="Times New Roman"/>
          <w:lang w:val="fr-CA"/>
        </w:rPr>
        <w:t xml:space="preserve"> as a </w:t>
      </w:r>
      <w:proofErr w:type="spellStart"/>
      <w:r w:rsidRPr="00883823">
        <w:rPr>
          <w:rFonts w:cs="Times New Roman"/>
          <w:lang w:val="fr-CA"/>
        </w:rPr>
        <w:t>Microcosm</w:t>
      </w:r>
      <w:proofErr w:type="spellEnd"/>
      <w:r w:rsidRPr="00883823">
        <w:rPr>
          <w:rFonts w:cs="Times New Roman"/>
          <w:lang w:val="fr-CA"/>
        </w:rPr>
        <w:t xml:space="preserve"> for </w:t>
      </w:r>
      <w:proofErr w:type="spellStart"/>
      <w:r w:rsidRPr="00883823">
        <w:rPr>
          <w:rFonts w:cs="Times New Roman"/>
          <w:lang w:val="fr-CA"/>
        </w:rPr>
        <w:t>Past</w:t>
      </w:r>
      <w:proofErr w:type="spellEnd"/>
      <w:r w:rsidRPr="00883823">
        <w:rPr>
          <w:rFonts w:cs="Times New Roman"/>
          <w:lang w:val="fr-CA"/>
        </w:rPr>
        <w:t xml:space="preserve"> and Future Issues Under the </w:t>
      </w:r>
      <w:r w:rsidRPr="00883823">
        <w:rPr>
          <w:rFonts w:cs="Times New Roman"/>
          <w:i/>
          <w:lang w:val="fr-CA"/>
        </w:rPr>
        <w:t xml:space="preserve">Charter of </w:t>
      </w:r>
      <w:proofErr w:type="spellStart"/>
      <w:r w:rsidRPr="00883823">
        <w:rPr>
          <w:rFonts w:cs="Times New Roman"/>
          <w:i/>
          <w:lang w:val="fr-CA"/>
        </w:rPr>
        <w:t>Rights</w:t>
      </w:r>
      <w:proofErr w:type="spellEnd"/>
      <w:r w:rsidRPr="00883823">
        <w:rPr>
          <w:rFonts w:cs="Times New Roman"/>
          <w:i/>
          <w:lang w:val="fr-CA"/>
        </w:rPr>
        <w:t xml:space="preserve"> and </w:t>
      </w:r>
      <w:proofErr w:type="spellStart"/>
      <w:r w:rsidRPr="00883823">
        <w:rPr>
          <w:rFonts w:cs="Times New Roman"/>
          <w:i/>
          <w:lang w:val="fr-CA"/>
        </w:rPr>
        <w:t>Freedoms</w:t>
      </w:r>
      <w:proofErr w:type="spellEnd"/>
      <w:r w:rsidRPr="00883823">
        <w:rPr>
          <w:rFonts w:cs="Times New Roman"/>
          <w:lang w:val="fr-CA"/>
        </w:rPr>
        <w:t xml:space="preserve"> » (2017), 49 </w:t>
      </w:r>
      <w:r w:rsidRPr="00883823">
        <w:rPr>
          <w:rFonts w:cs="Times New Roman"/>
          <w:i/>
          <w:lang w:val="fr-CA"/>
        </w:rPr>
        <w:t xml:space="preserve">Ottawa L. </w:t>
      </w:r>
      <w:proofErr w:type="spellStart"/>
      <w:r w:rsidRPr="00883823">
        <w:rPr>
          <w:rFonts w:cs="Times New Roman"/>
          <w:i/>
          <w:lang w:val="fr-CA"/>
        </w:rPr>
        <w:t>Rev</w:t>
      </w:r>
      <w:proofErr w:type="spellEnd"/>
      <w:r w:rsidRPr="00883823">
        <w:rPr>
          <w:rFonts w:cs="Times New Roman"/>
          <w:i/>
          <w:lang w:val="fr-CA"/>
        </w:rPr>
        <w:t xml:space="preserve">. </w:t>
      </w:r>
      <w:r w:rsidRPr="00883823">
        <w:rPr>
          <w:rFonts w:cs="Times New Roman"/>
          <w:lang w:val="fr-CA"/>
        </w:rPr>
        <w:t xml:space="preserve">107, </w:t>
      </w:r>
      <w:r>
        <w:rPr>
          <w:rFonts w:cs="Times New Roman"/>
          <w:lang w:val="fr-CA"/>
        </w:rPr>
        <w:t>p. </w:t>
      </w:r>
      <w:r w:rsidRPr="00883823">
        <w:rPr>
          <w:rFonts w:cs="Times New Roman"/>
          <w:lang w:val="fr-CA"/>
        </w:rPr>
        <w:t>120). Notre collègue répond que « [l]e tribunal ne peut se dérober à sa responsabilité d’accorder une réparation en cas de violation de la Constitution simplement [à cause de] l’</w:t>
      </w:r>
      <w:r>
        <w:rPr>
          <w:rFonts w:cs="Times New Roman"/>
          <w:lang w:val="fr-CA"/>
        </w:rPr>
        <w:t>art. </w:t>
      </w:r>
      <w:r w:rsidRPr="00883823">
        <w:rPr>
          <w:rFonts w:cs="Times New Roman"/>
          <w:lang w:val="fr-CA"/>
        </w:rPr>
        <w:t>33 » (</w:t>
      </w:r>
      <w:r>
        <w:rPr>
          <w:rFonts w:cs="Times New Roman"/>
          <w:lang w:val="fr-CA"/>
        </w:rPr>
        <w:t>par. </w:t>
      </w:r>
      <w:r w:rsidRPr="00883823">
        <w:rPr>
          <w:rFonts w:cs="Times New Roman"/>
          <w:lang w:val="fr-CA"/>
        </w:rPr>
        <w:t xml:space="preserve">137). Avec égards, cette réponse ignore l’argument que nous soulevons. Nous sommes d’accord pour dire qu’un tribunal doit remédier aux atteintes portées à la Constitution. Ce que nous disons, c’est que le </w:t>
      </w:r>
      <w:r>
        <w:rPr>
          <w:rFonts w:cs="Times New Roman"/>
          <w:lang w:val="fr-CA"/>
        </w:rPr>
        <w:t>par. </w:t>
      </w:r>
      <w:r w:rsidRPr="00883823">
        <w:rPr>
          <w:rFonts w:cs="Times New Roman"/>
          <w:lang w:val="fr-CA"/>
        </w:rPr>
        <w:t xml:space="preserve">33(1) milite contre l’argument </w:t>
      </w:r>
      <w:r w:rsidRPr="00883823">
        <w:rPr>
          <w:rFonts w:cs="Times New Roman"/>
          <w:i/>
          <w:lang w:val="fr-CA"/>
        </w:rPr>
        <w:t>de notre collègue</w:t>
      </w:r>
      <w:r w:rsidRPr="00883823">
        <w:rPr>
          <w:rFonts w:cs="Times New Roman"/>
          <w:lang w:val="fr-CA"/>
        </w:rPr>
        <w:t xml:space="preserve"> suivant lequel les tribunaux disposent d’un large pouvoir discrétionnaire qui leur permet de </w:t>
      </w:r>
      <w:r w:rsidRPr="00883823">
        <w:rPr>
          <w:rFonts w:cs="Times New Roman"/>
          <w:i/>
          <w:lang w:val="fr-CA"/>
        </w:rPr>
        <w:t>différer</w:t>
      </w:r>
      <w:r w:rsidRPr="00883823">
        <w:rPr>
          <w:rFonts w:cs="Times New Roman"/>
          <w:lang w:val="fr-CA"/>
        </w:rPr>
        <w:t xml:space="preserve"> l’effet de la réparation apportée à ces atteintes. Au lieu de cela, [</w:t>
      </w:r>
      <w:r w:rsidRPr="00883823">
        <w:rPr>
          <w:rFonts w:cs="Times New Roman"/>
          <w:smallCaps/>
          <w:lang w:val="fr-CA"/>
        </w:rPr>
        <w:t>traduction</w:t>
      </w:r>
      <w:r w:rsidR="0025412A">
        <w:rPr>
          <w:rFonts w:cs="Times New Roman"/>
          <w:lang w:val="fr-CA"/>
        </w:rPr>
        <w:t>] « [l]</w:t>
      </w:r>
      <w:r w:rsidRPr="00883823">
        <w:rPr>
          <w:rFonts w:cs="Times New Roman"/>
          <w:lang w:val="fr-CA"/>
        </w:rPr>
        <w:t xml:space="preserve">es tribunaux devraient respecter </w:t>
      </w:r>
      <w:r w:rsidRPr="00883823">
        <w:rPr>
          <w:rFonts w:cs="Times New Roman"/>
          <w:u w:val="single"/>
          <w:lang w:val="fr-CA"/>
        </w:rPr>
        <w:t>intégralement</w:t>
      </w:r>
      <w:r w:rsidRPr="00883823">
        <w:rPr>
          <w:rFonts w:cs="Times New Roman"/>
          <w:lang w:val="fr-CA"/>
        </w:rPr>
        <w:t xml:space="preserve"> la structure constitutionnelle, y compris la possibilité de recourir à la disposition dérogatoire lorsqu’ils exercent leur pouvoir discrétionnaire de réparation » (</w:t>
      </w:r>
      <w:proofErr w:type="spellStart"/>
      <w:r w:rsidRPr="00883823">
        <w:rPr>
          <w:rFonts w:cs="Times New Roman"/>
          <w:lang w:val="fr-CA"/>
        </w:rPr>
        <w:t>Roach</w:t>
      </w:r>
      <w:proofErr w:type="spellEnd"/>
      <w:r w:rsidRPr="00883823">
        <w:rPr>
          <w:rFonts w:cs="Times New Roman"/>
          <w:lang w:val="fr-CA"/>
        </w:rPr>
        <w:t xml:space="preserve">, </w:t>
      </w:r>
      <w:proofErr w:type="spellStart"/>
      <w:r w:rsidRPr="00883823">
        <w:rPr>
          <w:rFonts w:cs="Times New Roman"/>
          <w:i/>
          <w:lang w:val="fr-CA"/>
        </w:rPr>
        <w:t>Constitutional</w:t>
      </w:r>
      <w:proofErr w:type="spellEnd"/>
      <w:r w:rsidRPr="00883823">
        <w:rPr>
          <w:rFonts w:cs="Times New Roman"/>
          <w:i/>
          <w:lang w:val="fr-CA"/>
        </w:rPr>
        <w:t xml:space="preserve"> </w:t>
      </w:r>
      <w:proofErr w:type="spellStart"/>
      <w:r w:rsidRPr="00883823">
        <w:rPr>
          <w:rFonts w:cs="Times New Roman"/>
          <w:i/>
          <w:lang w:val="fr-CA"/>
        </w:rPr>
        <w:t>Remedies</w:t>
      </w:r>
      <w:proofErr w:type="spellEnd"/>
      <w:r w:rsidRPr="00883823">
        <w:rPr>
          <w:rFonts w:cs="Times New Roman"/>
          <w:lang w:val="fr-CA"/>
        </w:rPr>
        <w:t xml:space="preserve">, </w:t>
      </w:r>
      <w:r>
        <w:rPr>
          <w:rFonts w:cs="Times New Roman"/>
          <w:lang w:val="fr-CA"/>
        </w:rPr>
        <w:t>§ </w:t>
      </w:r>
      <w:r w:rsidRPr="00883823">
        <w:rPr>
          <w:rFonts w:cs="Times New Roman"/>
          <w:lang w:val="fr-CA"/>
        </w:rPr>
        <w:t xml:space="preserve">14.1450 (nous soulignons)). Tout cela nous conforte dans notre idée que, pour éviter d’être engorgés ou surchargés, les tribunaux ne devraient suspendre l’effet des déclarations d’invalidité que lorsque la primauté du droit est compromise. </w:t>
      </w:r>
    </w:p>
    <w:p w14:paraId="08536BE3" w14:textId="77777777" w:rsidR="00F712C6" w:rsidRPr="00883823" w:rsidRDefault="00F712C6" w:rsidP="00F712C6">
      <w:pPr>
        <w:pStyle w:val="Title3LevelTitre3Niveau"/>
        <w:ind w:left="1151"/>
        <w:rPr>
          <w:rFonts w:cs="Times New Roman"/>
          <w:lang w:val="fr-CA"/>
        </w:rPr>
      </w:pPr>
      <w:r w:rsidRPr="00883823">
        <w:rPr>
          <w:rFonts w:cs="Times New Roman"/>
          <w:lang w:val="fr-CA"/>
        </w:rPr>
        <w:t>La primauté du droit</w:t>
      </w:r>
    </w:p>
    <w:p w14:paraId="035E8FC0" w14:textId="093C91DE"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Étant donné que le </w:t>
      </w:r>
      <w:r>
        <w:rPr>
          <w:rFonts w:cs="Times New Roman"/>
          <w:lang w:val="fr-CA"/>
        </w:rPr>
        <w:t>par. </w:t>
      </w:r>
      <w:r w:rsidRPr="00883823">
        <w:rPr>
          <w:rFonts w:cs="Times New Roman"/>
          <w:lang w:val="fr-CA"/>
        </w:rPr>
        <w:t>52(1) n’autorise pas expressément les tribunaux à suspendre l’effet d’une déclaration d’invalidité, il faut chercher ce pouvoir ailleurs dans la Constitution. En particulier, la suspension de l’effet d’une déclaration d’invalidité ne devrait pas reposer sur d’obscures « </w:t>
      </w:r>
      <w:r w:rsidRPr="00883823">
        <w:rPr>
          <w:rFonts w:cs="Times New Roman"/>
          <w:noProof/>
          <w:lang w:val="fr-CA"/>
        </w:rPr>
        <w:t>considérations constitutionnelles générales » ou sur un pouvoir accessoire, jamais encore découvert, à la «</w:t>
      </w:r>
      <w:r>
        <w:rPr>
          <w:rFonts w:cs="Times New Roman"/>
          <w:noProof/>
          <w:lang w:val="fr-CA"/>
        </w:rPr>
        <w:t> </w:t>
      </w:r>
      <w:r w:rsidRPr="00883823">
        <w:rPr>
          <w:rFonts w:cs="Times New Roman"/>
          <w:noProof/>
          <w:lang w:val="fr-CA"/>
        </w:rPr>
        <w:t>compétence [</w:t>
      </w:r>
      <w:r>
        <w:rPr>
          <w:rFonts w:cs="Times New Roman"/>
          <w:noProof/>
          <w:lang w:val="fr-CA"/>
        </w:rPr>
        <w:t>. . .</w:t>
      </w:r>
      <w:r w:rsidRPr="00883823">
        <w:rPr>
          <w:rFonts w:cs="Times New Roman"/>
          <w:noProof/>
          <w:lang w:val="fr-CA"/>
        </w:rPr>
        <w:t xml:space="preserve">] inhérente » des tribunaux pour déclarer une loi invalide </w:t>
      </w:r>
      <w:r w:rsidRPr="00883823">
        <w:rPr>
          <w:rFonts w:cs="Times New Roman"/>
          <w:lang w:val="fr-CA"/>
        </w:rPr>
        <w:t xml:space="preserve">(motifs de la juge </w:t>
      </w:r>
      <w:proofErr w:type="spellStart"/>
      <w:r w:rsidRPr="00883823">
        <w:rPr>
          <w:rFonts w:cs="Times New Roman"/>
          <w:lang w:val="fr-CA"/>
        </w:rPr>
        <w:t>Karakatsanis</w:t>
      </w:r>
      <w:proofErr w:type="spellEnd"/>
      <w:r w:rsidRPr="00883823">
        <w:rPr>
          <w:rFonts w:cs="Times New Roman"/>
          <w:lang w:val="fr-CA"/>
        </w:rPr>
        <w:t xml:space="preserve">, </w:t>
      </w:r>
      <w:r>
        <w:rPr>
          <w:rFonts w:cs="Times New Roman"/>
          <w:lang w:val="fr-CA"/>
        </w:rPr>
        <w:t>par. </w:t>
      </w:r>
      <w:r w:rsidRPr="00883823">
        <w:rPr>
          <w:rFonts w:cs="Times New Roman"/>
          <w:lang w:val="fr-CA"/>
        </w:rPr>
        <w:t xml:space="preserve">121 et 85), mais plutôt sur le principe constitutionnel de la primauté </w:t>
      </w:r>
      <w:r w:rsidRPr="00794A66">
        <w:rPr>
          <w:rFonts w:cs="Times New Roman"/>
          <w:lang w:val="fr-CA"/>
        </w:rPr>
        <w:t xml:space="preserve">du droit. La primauté du droit est depuis longtemps reconnue comme </w:t>
      </w:r>
      <w:r w:rsidRPr="00794A66">
        <w:rPr>
          <w:rFonts w:cs="Times New Roman"/>
          <w:smallCaps/>
          <w:lang w:val="fr-CA"/>
        </w:rPr>
        <w:t>[traduction</w:t>
      </w:r>
      <w:r w:rsidRPr="00794A66">
        <w:rPr>
          <w:rFonts w:cs="Times New Roman"/>
          <w:lang w:val="fr-CA"/>
        </w:rPr>
        <w:t>] « </w:t>
      </w:r>
      <w:r w:rsidRPr="00906E20">
        <w:rPr>
          <w:lang w:val="fr-CA"/>
        </w:rPr>
        <w:t>un des postulats fondamentaux de notre structure constitutionnelle</w:t>
      </w:r>
      <w:r w:rsidR="0025412A">
        <w:rPr>
          <w:rFonts w:cs="Times New Roman"/>
          <w:lang w:val="fr-CA"/>
        </w:rPr>
        <w:t> » (</w:t>
      </w:r>
      <w:proofErr w:type="spellStart"/>
      <w:r w:rsidRPr="00883823">
        <w:rPr>
          <w:rFonts w:cs="Times New Roman"/>
          <w:i/>
          <w:lang w:val="fr-CA"/>
        </w:rPr>
        <w:t>Roncarelli</w:t>
      </w:r>
      <w:proofErr w:type="spellEnd"/>
      <w:r w:rsidRPr="00883823">
        <w:rPr>
          <w:rFonts w:cs="Times New Roman"/>
          <w:i/>
          <w:lang w:val="fr-CA"/>
        </w:rPr>
        <w:t xml:space="preserve"> c. Duplessis</w:t>
      </w:r>
      <w:r w:rsidRPr="00883823">
        <w:rPr>
          <w:rFonts w:cs="Times New Roman"/>
          <w:lang w:val="fr-CA"/>
        </w:rPr>
        <w:t xml:space="preserve">, [1959] R.C.S. 121, </w:t>
      </w:r>
      <w:r>
        <w:rPr>
          <w:rFonts w:cs="Times New Roman"/>
          <w:lang w:val="fr-CA"/>
        </w:rPr>
        <w:t>p. </w:t>
      </w:r>
      <w:r w:rsidRPr="00883823">
        <w:rPr>
          <w:rFonts w:cs="Times New Roman"/>
          <w:lang w:val="fr-CA"/>
        </w:rPr>
        <w:t>142</w:t>
      </w:r>
      <w:r w:rsidR="0025412A">
        <w:rPr>
          <w:rFonts w:cs="Times New Roman"/>
          <w:lang w:val="fr-CA"/>
        </w:rPr>
        <w:t>, le juge Rand</w:t>
      </w:r>
      <w:r w:rsidRPr="00883823">
        <w:rPr>
          <w:rFonts w:cs="Times New Roman"/>
          <w:lang w:val="fr-CA"/>
        </w:rPr>
        <w:t xml:space="preserve">), comme en témoigne le fait que ce principe est énoncé dans le préambule de la </w:t>
      </w:r>
      <w:r w:rsidRPr="00883823">
        <w:rPr>
          <w:rFonts w:cs="Times New Roman"/>
          <w:i/>
          <w:lang w:val="fr-CA"/>
        </w:rPr>
        <w:t>Charte</w:t>
      </w:r>
      <w:r w:rsidRPr="00883823">
        <w:rPr>
          <w:rFonts w:cs="Times New Roman"/>
          <w:lang w:val="fr-CA"/>
        </w:rPr>
        <w:t>, qui se résume à une seule phrase</w:t>
      </w:r>
      <w:r>
        <w:rPr>
          <w:rFonts w:cs="Times New Roman"/>
          <w:lang w:val="fr-CA"/>
        </w:rPr>
        <w:t> :</w:t>
      </w:r>
      <w:r w:rsidRPr="00883823">
        <w:rPr>
          <w:rFonts w:cs="Times New Roman"/>
          <w:lang w:val="fr-CA"/>
        </w:rPr>
        <w:t xml:space="preserve"> « le Canada est </w:t>
      </w:r>
      <w:r w:rsidRPr="00883823">
        <w:rPr>
          <w:rFonts w:cs="Times New Roman"/>
          <w:i/>
          <w:iCs/>
          <w:lang w:val="fr-CA"/>
        </w:rPr>
        <w:t>fondé sur</w:t>
      </w:r>
      <w:r w:rsidRPr="00883823">
        <w:rPr>
          <w:rFonts w:cs="Times New Roman"/>
          <w:lang w:val="fr-CA"/>
        </w:rPr>
        <w:t xml:space="preserve"> des principes qui reconnaissent [. . .] la primauté du droit ». Notre constitution écrite déclare que la primauté du droit constitue le « fondement même » sur lequel reposent notre pays et sa </w:t>
      </w:r>
      <w:r w:rsidRPr="00883823">
        <w:rPr>
          <w:rFonts w:cs="Times New Roman"/>
          <w:i/>
          <w:lang w:val="fr-CA"/>
        </w:rPr>
        <w:t>Charte</w:t>
      </w:r>
      <w:r w:rsidRPr="00883823">
        <w:rPr>
          <w:rFonts w:cs="Times New Roman"/>
          <w:lang w:val="fr-CA"/>
        </w:rPr>
        <w:t xml:space="preserve"> (</w:t>
      </w:r>
      <w:r w:rsidRPr="00883823">
        <w:rPr>
          <w:rFonts w:cs="Times New Roman"/>
          <w:i/>
          <w:lang w:val="fr-CA"/>
        </w:rPr>
        <w:t>B.C.G.E.U. c. Colombie</w:t>
      </w:r>
      <w:r>
        <w:rPr>
          <w:rFonts w:cs="Times New Roman"/>
          <w:i/>
          <w:lang w:val="fr-CA"/>
        </w:rPr>
        <w:noBreakHyphen/>
      </w:r>
      <w:r w:rsidRPr="00883823">
        <w:rPr>
          <w:rFonts w:cs="Times New Roman"/>
          <w:i/>
          <w:lang w:val="fr-CA"/>
        </w:rPr>
        <w:t>Britannique (Procureur général)</w:t>
      </w:r>
      <w:r w:rsidRPr="00883823">
        <w:rPr>
          <w:rFonts w:cs="Times New Roman"/>
          <w:lang w:val="fr-CA"/>
        </w:rPr>
        <w:t xml:space="preserve">, [1988] 2 R.C.S. 214, </w:t>
      </w:r>
      <w:r>
        <w:rPr>
          <w:rFonts w:cs="Times New Roman"/>
          <w:lang w:val="fr-CA"/>
        </w:rPr>
        <w:t>p. </w:t>
      </w:r>
      <w:r w:rsidRPr="00883823">
        <w:rPr>
          <w:rFonts w:cs="Times New Roman"/>
          <w:lang w:val="fr-CA"/>
        </w:rPr>
        <w:t xml:space="preserve">229). Elle constitue un principe consacré </w:t>
      </w:r>
      <w:r>
        <w:rPr>
          <w:rFonts w:cs="Times New Roman"/>
          <w:lang w:val="fr-CA"/>
        </w:rPr>
        <w:t>« </w:t>
      </w:r>
      <w:r w:rsidRPr="00883823">
        <w:rPr>
          <w:rFonts w:cs="Times New Roman"/>
          <w:lang w:val="fr-CA"/>
        </w:rPr>
        <w:t xml:space="preserve">à la base de notre système de gouvernement » et </w:t>
      </w:r>
      <w:r>
        <w:rPr>
          <w:rFonts w:cs="Times New Roman"/>
          <w:lang w:val="fr-CA"/>
        </w:rPr>
        <w:t>est l’une des « prémisses </w:t>
      </w:r>
      <w:r w:rsidRPr="00883823">
        <w:rPr>
          <w:rFonts w:cs="Times New Roman"/>
          <w:lang w:val="fr-CA"/>
        </w:rPr>
        <w:t>» sur lesquelles est fondée notre Constitution (</w:t>
      </w:r>
      <w:r w:rsidRPr="00883823">
        <w:rPr>
          <w:rFonts w:cs="Times New Roman"/>
          <w:i/>
          <w:lang w:val="fr-CA"/>
        </w:rPr>
        <w:t>Renvoi relatif à la sécession du Québec</w:t>
      </w:r>
      <w:r w:rsidRPr="00883823">
        <w:rPr>
          <w:rFonts w:cs="Times New Roman"/>
          <w:lang w:val="fr-CA"/>
        </w:rPr>
        <w:t xml:space="preserve">, </w:t>
      </w:r>
      <w:r>
        <w:rPr>
          <w:rFonts w:cs="Times New Roman"/>
          <w:lang w:val="fr-CA"/>
        </w:rPr>
        <w:t>[1998] 2 R.C.S. 217 (« </w:t>
      </w:r>
      <w:r w:rsidRPr="00883823">
        <w:rPr>
          <w:rFonts w:cs="Times New Roman"/>
          <w:i/>
          <w:lang w:val="fr-CA"/>
        </w:rPr>
        <w:t>Renvoi relatif à la sécession</w:t>
      </w:r>
      <w:r>
        <w:rPr>
          <w:rFonts w:cs="Times New Roman"/>
          <w:lang w:val="fr-CA"/>
        </w:rPr>
        <w:t> </w:t>
      </w:r>
      <w:r w:rsidRPr="00883823">
        <w:rPr>
          <w:rFonts w:cs="Times New Roman"/>
          <w:lang w:val="fr-CA"/>
        </w:rPr>
        <w:t xml:space="preserve">») </w:t>
      </w:r>
      <w:r>
        <w:rPr>
          <w:rFonts w:cs="Times New Roman"/>
          <w:lang w:val="fr-CA"/>
        </w:rPr>
        <w:t>par. </w:t>
      </w:r>
      <w:r w:rsidRPr="00883823">
        <w:rPr>
          <w:rFonts w:cs="Times New Roman"/>
          <w:lang w:val="fr-CA"/>
        </w:rPr>
        <w:t>70 et 49).</w:t>
      </w:r>
    </w:p>
    <w:p w14:paraId="5DBD79A3" w14:textId="7FC4552E"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Le rôle crucial que joue la primauté du droit dans notre ordre constitutionnel est précisément ce qui a motivé au départ l’instauration du mécanisme de la suspension de l’effet des déclarations d’invalidité dans le </w:t>
      </w:r>
      <w:r w:rsidRPr="00883823">
        <w:rPr>
          <w:rFonts w:cs="Times New Roman"/>
          <w:i/>
          <w:lang w:val="fr-CA"/>
        </w:rPr>
        <w:t>Renvoi relatif au Manitoba</w:t>
      </w:r>
      <w:r w:rsidRPr="00883823">
        <w:rPr>
          <w:rFonts w:cs="Times New Roman"/>
          <w:lang w:val="fr-CA"/>
        </w:rPr>
        <w:t xml:space="preserve">. Les tribunaux ne sont autorisés à écarter temporairement les droits reconnus par la </w:t>
      </w:r>
      <w:r w:rsidRPr="00883823">
        <w:rPr>
          <w:rFonts w:cs="Times New Roman"/>
          <w:i/>
          <w:lang w:val="fr-CA"/>
        </w:rPr>
        <w:t>Charte</w:t>
      </w:r>
      <w:r w:rsidRPr="00883823">
        <w:rPr>
          <w:rFonts w:cs="Times New Roman"/>
          <w:lang w:val="fr-CA"/>
        </w:rPr>
        <w:t xml:space="preserve"> que lorsque cela est nécessaire</w:t>
      </w:r>
      <w:r>
        <w:rPr>
          <w:rFonts w:cs="Times New Roman"/>
          <w:lang w:val="fr-CA"/>
        </w:rPr>
        <w:t xml:space="preserve"> « </w:t>
      </w:r>
      <w:r w:rsidRPr="00883823">
        <w:rPr>
          <w:rFonts w:cs="Times New Roman"/>
          <w:lang w:val="fr-CA"/>
        </w:rPr>
        <w:t>afin de préserver la primauté du droit » (</w:t>
      </w:r>
      <w:r>
        <w:rPr>
          <w:rFonts w:cs="Times New Roman"/>
          <w:lang w:val="fr-CA"/>
        </w:rPr>
        <w:t>p. </w:t>
      </w:r>
      <w:r w:rsidRPr="00883823">
        <w:rPr>
          <w:rFonts w:cs="Times New Roman"/>
          <w:lang w:val="fr-CA"/>
        </w:rPr>
        <w:t>763) et pour en assurer le « maintien » (</w:t>
      </w:r>
      <w:r>
        <w:rPr>
          <w:rFonts w:cs="Times New Roman"/>
          <w:lang w:val="fr-CA"/>
        </w:rPr>
        <w:t>p. </w:t>
      </w:r>
      <w:r w:rsidRPr="00883823">
        <w:rPr>
          <w:rFonts w:cs="Times New Roman"/>
          <w:lang w:val="fr-CA"/>
        </w:rPr>
        <w:t xml:space="preserve">753). En invoquant la protection de la primauté du droit pour justifier la suspension de l’effet d’une déclaration d’invalidité, les tribunaux sont en mesure de « reconnaître </w:t>
      </w:r>
      <w:r w:rsidR="007F1396">
        <w:rPr>
          <w:rFonts w:cs="Times New Roman"/>
          <w:lang w:val="fr-CA"/>
        </w:rPr>
        <w:t xml:space="preserve">[à </w:t>
      </w:r>
      <w:r w:rsidR="007F1396" w:rsidRPr="00883823">
        <w:rPr>
          <w:rFonts w:cs="Times New Roman"/>
          <w:lang w:val="fr-CA"/>
        </w:rPr>
        <w:t xml:space="preserve">la fois] </w:t>
      </w:r>
      <w:r w:rsidRPr="00883823">
        <w:rPr>
          <w:rFonts w:cs="Times New Roman"/>
          <w:lang w:val="fr-CA"/>
        </w:rPr>
        <w:t>l’inconstitutionnalité des [lois contestées] et le devoir de la Législature de se conformer à la “loi suprême” de notre pays » tout en faisant respecter la Constitution (</w:t>
      </w:r>
      <w:r w:rsidRPr="00883823">
        <w:rPr>
          <w:rFonts w:cs="Times New Roman"/>
          <w:i/>
          <w:lang w:val="fr-CA"/>
        </w:rPr>
        <w:t>Renvoi relatif au Manitoba</w:t>
      </w:r>
      <w:r w:rsidRPr="00883823">
        <w:rPr>
          <w:rFonts w:cs="Times New Roman"/>
          <w:lang w:val="fr-CA"/>
        </w:rPr>
        <w:t xml:space="preserve">, </w:t>
      </w:r>
      <w:r>
        <w:rPr>
          <w:rFonts w:cs="Times New Roman"/>
          <w:lang w:val="fr-CA"/>
        </w:rPr>
        <w:t>p. </w:t>
      </w:r>
      <w:r w:rsidRPr="00883823">
        <w:rPr>
          <w:rFonts w:cs="Times New Roman"/>
          <w:lang w:val="fr-CA"/>
        </w:rPr>
        <w:t xml:space="preserve">753; </w:t>
      </w:r>
      <w:r w:rsidRPr="00883823">
        <w:rPr>
          <w:rFonts w:cs="Times New Roman"/>
          <w:i/>
          <w:lang w:val="fr-CA"/>
        </w:rPr>
        <w:t xml:space="preserve">Hunter c. </w:t>
      </w:r>
      <w:proofErr w:type="spellStart"/>
      <w:r w:rsidRPr="00883823">
        <w:rPr>
          <w:rFonts w:cs="Times New Roman"/>
          <w:i/>
          <w:lang w:val="fr-CA"/>
        </w:rPr>
        <w:t>Southam</w:t>
      </w:r>
      <w:proofErr w:type="spellEnd"/>
      <w:r w:rsidRPr="00883823">
        <w:rPr>
          <w:rFonts w:cs="Times New Roman"/>
          <w:i/>
          <w:lang w:val="fr-CA"/>
        </w:rPr>
        <w:t xml:space="preserve"> Inc.</w:t>
      </w:r>
      <w:r w:rsidRPr="00883823">
        <w:rPr>
          <w:rFonts w:cs="Times New Roman"/>
          <w:lang w:val="fr-CA"/>
        </w:rPr>
        <w:t xml:space="preserve">, [1984] 2 R.C.S. 145, </w:t>
      </w:r>
      <w:r>
        <w:rPr>
          <w:rFonts w:cs="Times New Roman"/>
          <w:lang w:val="fr-CA"/>
        </w:rPr>
        <w:t>p. </w:t>
      </w:r>
      <w:r w:rsidRPr="00883823">
        <w:rPr>
          <w:rFonts w:cs="Times New Roman"/>
          <w:lang w:val="fr-CA"/>
        </w:rPr>
        <w:t xml:space="preserve">169). D’ailleurs, tout comme il lui appartient de protéger les droits garantis par la </w:t>
      </w:r>
      <w:r w:rsidRPr="00883823">
        <w:rPr>
          <w:rFonts w:cs="Times New Roman"/>
          <w:i/>
          <w:lang w:val="fr-CA"/>
        </w:rPr>
        <w:t xml:space="preserve">Charte </w:t>
      </w:r>
      <w:r w:rsidRPr="00883823">
        <w:rPr>
          <w:rFonts w:cs="Times New Roman"/>
          <w:lang w:val="fr-CA"/>
        </w:rPr>
        <w:t>(</w:t>
      </w:r>
      <w:r w:rsidRPr="00883823">
        <w:rPr>
          <w:rFonts w:cs="Times New Roman"/>
          <w:i/>
          <w:lang w:val="fr-CA"/>
        </w:rPr>
        <w:t xml:space="preserve">Hunter c. </w:t>
      </w:r>
      <w:proofErr w:type="spellStart"/>
      <w:r w:rsidRPr="00883823">
        <w:rPr>
          <w:rFonts w:cs="Times New Roman"/>
          <w:i/>
          <w:lang w:val="fr-CA"/>
        </w:rPr>
        <w:t>Southam</w:t>
      </w:r>
      <w:proofErr w:type="spellEnd"/>
      <w:r w:rsidRPr="00883823">
        <w:rPr>
          <w:rFonts w:cs="Times New Roman"/>
          <w:lang w:val="fr-CA"/>
        </w:rPr>
        <w:t xml:space="preserve">, </w:t>
      </w:r>
      <w:r>
        <w:rPr>
          <w:rFonts w:cs="Times New Roman"/>
          <w:lang w:val="fr-CA"/>
        </w:rPr>
        <w:t>p. </w:t>
      </w:r>
      <w:r w:rsidRPr="00883823">
        <w:rPr>
          <w:rFonts w:cs="Times New Roman"/>
          <w:lang w:val="fr-CA"/>
        </w:rPr>
        <w:t>169), il incombe également à la Cour de s’assurer que l’on ne « </w:t>
      </w:r>
      <w:proofErr w:type="spellStart"/>
      <w:r w:rsidRPr="00883823">
        <w:rPr>
          <w:rFonts w:cs="Times New Roman"/>
          <w:lang w:val="fr-CA"/>
        </w:rPr>
        <w:t>manqu</w:t>
      </w:r>
      <w:proofErr w:type="spellEnd"/>
      <w:r w:rsidRPr="00883823">
        <w:rPr>
          <w:rFonts w:cs="Times New Roman"/>
          <w:lang w:val="fr-CA"/>
        </w:rPr>
        <w:t>[e] » pas au principe de la primauté du droit (</w:t>
      </w:r>
      <w:r w:rsidRPr="00883823">
        <w:rPr>
          <w:rFonts w:cs="Times New Roman"/>
          <w:i/>
          <w:lang w:val="fr-CA"/>
        </w:rPr>
        <w:t>Renvoi relatif au Manitoba</w:t>
      </w:r>
      <w:r w:rsidRPr="00883823">
        <w:rPr>
          <w:rFonts w:cs="Times New Roman"/>
          <w:lang w:val="fr-CA"/>
        </w:rPr>
        <w:t xml:space="preserve">, </w:t>
      </w:r>
      <w:r>
        <w:rPr>
          <w:rFonts w:cs="Times New Roman"/>
          <w:lang w:val="fr-CA"/>
        </w:rPr>
        <w:t>p. </w:t>
      </w:r>
      <w:r w:rsidRPr="00883823">
        <w:rPr>
          <w:rFonts w:cs="Times New Roman"/>
          <w:lang w:val="fr-CA"/>
        </w:rPr>
        <w:t>753). Si une déclaration avec effet immédiat avait pour effet de manquer au principe de la primauté du droit, la Cour « renoncerait » à ses fonctions « de protectrice et de gardienne de la Constitution » (</w:t>
      </w:r>
      <w:r>
        <w:rPr>
          <w:rFonts w:cs="Times New Roman"/>
          <w:lang w:val="fr-CA"/>
        </w:rPr>
        <w:t>p. </w:t>
      </w:r>
      <w:r w:rsidRPr="00883823">
        <w:rPr>
          <w:rFonts w:cs="Times New Roman"/>
          <w:lang w:val="fr-CA"/>
        </w:rPr>
        <w:t xml:space="preserve">753) en permettant à une telle situation de survenir. Ainsi donc, en pareil cas, la Cour n’exerce pas de façon illégitime un rôle législatif, comme elle le ferait autrement en suspendant l’effet d’une déclaration d’invalidité, mais bien un rôle </w:t>
      </w:r>
      <w:r w:rsidRPr="00883823">
        <w:rPr>
          <w:rFonts w:cs="Times New Roman"/>
          <w:i/>
          <w:iCs/>
          <w:lang w:val="fr-CA"/>
        </w:rPr>
        <w:t>judiciaire</w:t>
      </w:r>
      <w:r w:rsidRPr="00883823">
        <w:rPr>
          <w:rFonts w:cs="Times New Roman"/>
          <w:lang w:val="fr-CA"/>
        </w:rPr>
        <w:t xml:space="preserve">. Cette interprétation n’est pas nouvelle; elle ne fait que reprendre l’orientation prudente donnée par la Cour dans le </w:t>
      </w:r>
      <w:r w:rsidRPr="00883823">
        <w:rPr>
          <w:rFonts w:cs="Times New Roman"/>
          <w:i/>
          <w:lang w:val="fr-CA"/>
        </w:rPr>
        <w:t>Renvoi relatif au Manitoba</w:t>
      </w:r>
      <w:r w:rsidRPr="00883823">
        <w:rPr>
          <w:rFonts w:cs="Times New Roman"/>
          <w:lang w:val="fr-CA"/>
        </w:rPr>
        <w:t xml:space="preserve"> lorsqu’elle a reconnu cette mesure judiciaire extraordinaire. </w:t>
      </w:r>
    </w:p>
    <w:p w14:paraId="48F04798"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Rien dans notre Constitution ne justifie notre Cour de s’écarter de cette orientation. Notre collègue ne peut citer aucune autre disposition de notre Constitution écrite qui pourrait justifier un tribunal d’ordonner la suspension temporaire de droits garantis par la </w:t>
      </w:r>
      <w:r w:rsidRPr="00883823">
        <w:rPr>
          <w:rFonts w:cs="Times New Roman"/>
          <w:i/>
          <w:lang w:val="fr-CA"/>
        </w:rPr>
        <w:t>Charte</w:t>
      </w:r>
      <w:r w:rsidRPr="00883823">
        <w:rPr>
          <w:rFonts w:cs="Times New Roman"/>
          <w:lang w:val="fr-CA"/>
        </w:rPr>
        <w:t>, et elle ne cite pas une seule décision qui démontrerait en quoi il est irréaliste de limiter la suspension de l’effet de déclarations d’invalidité aux seules situations dans lesquelles la primauté du droit est compromise, tout comme les divers « principes » constitutionnels et « pierres de touche » « sous</w:t>
      </w:r>
      <w:r>
        <w:rPr>
          <w:rFonts w:cs="Times New Roman"/>
          <w:lang w:val="fr-CA"/>
        </w:rPr>
        <w:noBreakHyphen/>
      </w:r>
      <w:r w:rsidRPr="00883823">
        <w:rPr>
          <w:rFonts w:cs="Times New Roman"/>
          <w:lang w:val="fr-CA"/>
        </w:rPr>
        <w:t>jacents », « contradictoires », « généraux », « </w:t>
      </w:r>
      <w:r>
        <w:rPr>
          <w:rFonts w:cs="Times New Roman"/>
          <w:lang w:val="fr-CA"/>
        </w:rPr>
        <w:t>faisant contrepoids </w:t>
      </w:r>
      <w:r w:rsidRPr="00883823">
        <w:rPr>
          <w:rFonts w:cs="Times New Roman"/>
          <w:lang w:val="fr-CA"/>
        </w:rPr>
        <w:t>» auxquels elle réfère sont irréalistes (</w:t>
      </w:r>
      <w:r>
        <w:rPr>
          <w:rFonts w:cs="Times New Roman"/>
          <w:lang w:val="fr-CA"/>
        </w:rPr>
        <w:t>par. </w:t>
      </w:r>
      <w:r w:rsidRPr="00883823">
        <w:rPr>
          <w:rFonts w:cs="Times New Roman"/>
          <w:lang w:val="fr-CA"/>
        </w:rPr>
        <w:t>89, 92, 102, 126, 131</w:t>
      </w:r>
      <w:r>
        <w:rPr>
          <w:rFonts w:cs="Times New Roman"/>
          <w:lang w:val="fr-CA"/>
        </w:rPr>
        <w:noBreakHyphen/>
      </w:r>
      <w:r w:rsidRPr="00883823">
        <w:rPr>
          <w:rFonts w:cs="Times New Roman"/>
          <w:lang w:val="fr-CA"/>
        </w:rPr>
        <w:t xml:space="preserve">132 et 153). </w:t>
      </w:r>
      <w:bookmarkStart w:id="1" w:name="_Hlk49181778"/>
      <w:r w:rsidRPr="00883823">
        <w:rPr>
          <w:rFonts w:cs="Times New Roman"/>
          <w:lang w:val="fr-CA"/>
        </w:rPr>
        <w:t xml:space="preserve">À ce propos, nous trouvons pertinents les propos suivants du juge </w:t>
      </w:r>
      <w:proofErr w:type="spellStart"/>
      <w:r w:rsidRPr="00883823">
        <w:rPr>
          <w:rFonts w:cs="Times New Roman"/>
          <w:lang w:val="fr-CA"/>
        </w:rPr>
        <w:t>Scalia</w:t>
      </w:r>
      <w:proofErr w:type="spellEnd"/>
      <w:r w:rsidRPr="00883823">
        <w:rPr>
          <w:rFonts w:cs="Times New Roman"/>
          <w:lang w:val="fr-CA"/>
        </w:rPr>
        <w:t>, tenus hors du prétoire</w:t>
      </w:r>
      <w:r>
        <w:rPr>
          <w:rFonts w:cs="Times New Roman"/>
          <w:lang w:val="fr-CA"/>
        </w:rPr>
        <w:t> :</w:t>
      </w:r>
    </w:p>
    <w:p w14:paraId="6197BD07" w14:textId="5E521E7B" w:rsidR="00F712C6" w:rsidRPr="00883823" w:rsidRDefault="00F712C6" w:rsidP="0025412A">
      <w:pPr>
        <w:pStyle w:val="Citation-AltC"/>
        <w:spacing w:after="240"/>
        <w:ind w:left="1168" w:hanging="1026"/>
        <w:contextualSpacing w:val="0"/>
        <w:rPr>
          <w:lang w:val="fr-CA"/>
        </w:rPr>
      </w:pPr>
      <w:bookmarkStart w:id="2" w:name="_Hlk48986568"/>
      <w:r w:rsidRPr="00883823">
        <w:rPr>
          <w:lang w:val="fr-CA"/>
        </w:rPr>
        <w:tab/>
        <w:t>[</w:t>
      </w:r>
      <w:r w:rsidRPr="00883823">
        <w:rPr>
          <w:smallCaps/>
          <w:lang w:val="fr-CA"/>
        </w:rPr>
        <w:t>traduction</w:t>
      </w:r>
      <w:proofErr w:type="gramStart"/>
      <w:r w:rsidRPr="00883823">
        <w:rPr>
          <w:lang w:val="fr-CA"/>
        </w:rPr>
        <w:t>]</w:t>
      </w:r>
      <w:r w:rsidR="0025412A">
        <w:rPr>
          <w:lang w:val="fr-CA"/>
        </w:rPr>
        <w:t xml:space="preserve"> .</w:t>
      </w:r>
      <w:proofErr w:type="gramEnd"/>
      <w:r w:rsidR="0025412A">
        <w:rPr>
          <w:lang w:val="fr-CA"/>
        </w:rPr>
        <w:t> . . il</w:t>
      </w:r>
      <w:r w:rsidRPr="00883823">
        <w:rPr>
          <w:lang w:val="fr-CA"/>
        </w:rPr>
        <w:t xml:space="preserve"> convient de reconnaître que, dès lors qu’il affirme que la question restante doit être tranchée au vu de l’ensemble des faits ou en pondérant tous les facteurs en jeu, le juge d’appel commence à ressembler davantage à un juge des faits qu’à un juge du droit. Le fait d’en arriver là représente jusqu’à un certain point un regrettable aveu d’impuissance, un constat qu’une limite a été franchie au</w:t>
      </w:r>
      <w:r>
        <w:rPr>
          <w:lang w:val="fr-CA"/>
        </w:rPr>
        <w:noBreakHyphen/>
      </w:r>
      <w:r w:rsidRPr="00883823">
        <w:rPr>
          <w:lang w:val="fr-CA"/>
        </w:rPr>
        <w:t>delà de laquelle le « droit », à proprement parler, ne trouve plus application. Il convient aussi de rappeler les conséquences pratiques malheureuses de cette démarche alors qu’il reste encore beaucoup de questions à trancher</w:t>
      </w:r>
      <w:r>
        <w:rPr>
          <w:lang w:val="fr-CA"/>
        </w:rPr>
        <w:t> :</w:t>
      </w:r>
      <w:r w:rsidRPr="00883823">
        <w:rPr>
          <w:lang w:val="fr-CA"/>
        </w:rPr>
        <w:t xml:space="preserve"> il devient alors difficile de démontrer que le principe de l’égalité de traitement a été respecté et, dans un système judiciaire à plusieurs niveaux, impossible d’en assurer le respect; on réduit à néant la prévisibilité; on favorise l’arbitraire dans les décisions judiciaires et on freine l’audace chez les juges. </w:t>
      </w:r>
    </w:p>
    <w:p w14:paraId="153B971A" w14:textId="77777777" w:rsidR="00F712C6" w:rsidRPr="00883823" w:rsidRDefault="00F712C6" w:rsidP="007F1396">
      <w:pPr>
        <w:pStyle w:val="Citation-AltC"/>
        <w:spacing w:after="480"/>
        <w:ind w:hanging="1166"/>
        <w:contextualSpacing w:val="0"/>
        <w:rPr>
          <w:lang w:val="en-US"/>
        </w:rPr>
      </w:pPr>
      <w:r w:rsidRPr="00883823">
        <w:rPr>
          <w:lang w:val="fr-CA"/>
        </w:rPr>
        <w:tab/>
      </w:r>
      <w:r w:rsidRPr="00883823">
        <w:rPr>
          <w:lang w:val="fr-CA"/>
        </w:rPr>
        <w:tab/>
        <w:t xml:space="preserve">Je partage donc l’avis d’Aristote — qui est assez juste — selon qui « la règle personnelle, qu’elle soit exercée par une seule personne ou par un ensemble de personnes, ne devrait être souveraine </w:t>
      </w:r>
      <w:r w:rsidRPr="00883823">
        <w:rPr>
          <w:u w:val="single"/>
          <w:lang w:val="fr-CA"/>
        </w:rPr>
        <w:t>que dans les matières sur lesquelles le droit est incapable, en raison de la difficulté d’élaborer des règles générales pour toutes les éventualités, de se prononcer de façon précise</w:t>
      </w:r>
      <w:r w:rsidRPr="0025412A">
        <w:rPr>
          <w:lang w:val="fr-CA"/>
        </w:rPr>
        <w:t>. </w:t>
      </w:r>
      <w:r w:rsidRPr="00883823">
        <w:rPr>
          <w:lang w:val="fr-CA"/>
        </w:rPr>
        <w:t xml:space="preserve">» </w:t>
      </w:r>
      <w:r w:rsidRPr="00883823">
        <w:t xml:space="preserve">[Nous </w:t>
      </w:r>
      <w:proofErr w:type="spellStart"/>
      <w:r w:rsidRPr="00883823">
        <w:t>soulignons</w:t>
      </w:r>
      <w:proofErr w:type="spellEnd"/>
      <w:r w:rsidRPr="00883823">
        <w:t xml:space="preserve">; note de bas de page </w:t>
      </w:r>
      <w:proofErr w:type="spellStart"/>
      <w:r w:rsidRPr="00883823">
        <w:t>omise</w:t>
      </w:r>
      <w:proofErr w:type="spellEnd"/>
      <w:r w:rsidRPr="00883823">
        <w:t>.]</w:t>
      </w:r>
    </w:p>
    <w:p w14:paraId="2A2086F4" w14:textId="2A04BF06" w:rsidR="00F712C6" w:rsidRPr="00883823" w:rsidRDefault="00F712C6" w:rsidP="007F1396">
      <w:pPr>
        <w:pStyle w:val="Citation-AltC"/>
        <w:ind w:left="0"/>
        <w:rPr>
          <w:lang w:val="en-US"/>
        </w:rPr>
      </w:pPr>
      <w:r w:rsidRPr="00883823">
        <w:rPr>
          <w:lang w:val="en-US"/>
        </w:rPr>
        <w:t>(A</w:t>
      </w:r>
      <w:r>
        <w:rPr>
          <w:lang w:val="en-US"/>
        </w:rPr>
        <w:t>. </w:t>
      </w:r>
      <w:r w:rsidRPr="00883823">
        <w:rPr>
          <w:lang w:val="en-US"/>
        </w:rPr>
        <w:t>Scalia, « The Rule of Law as a Law of Rules » (1989), 56</w:t>
      </w:r>
      <w:r w:rsidRPr="00883823">
        <w:rPr>
          <w:i/>
          <w:lang w:val="en-US"/>
        </w:rPr>
        <w:t xml:space="preserve"> U. Chicago L. Rev. </w:t>
      </w:r>
      <w:r w:rsidRPr="00883823">
        <w:rPr>
          <w:lang w:val="en-US"/>
        </w:rPr>
        <w:t xml:space="preserve">1175, </w:t>
      </w:r>
      <w:r>
        <w:rPr>
          <w:lang w:val="en-US"/>
        </w:rPr>
        <w:t>p. </w:t>
      </w:r>
      <w:r w:rsidRPr="00883823">
        <w:rPr>
          <w:lang w:val="en-US"/>
        </w:rPr>
        <w:t>1182)</w:t>
      </w:r>
    </w:p>
    <w:bookmarkEnd w:id="1"/>
    <w:p w14:paraId="3CE6158F" w14:textId="77777777" w:rsidR="00F712C6" w:rsidRPr="00883823" w:rsidRDefault="00F712C6" w:rsidP="00F712C6">
      <w:pPr>
        <w:pStyle w:val="ContinueParaSuitedupar-AltP"/>
        <w:rPr>
          <w:rFonts w:cs="Times New Roman"/>
        </w:rPr>
      </w:pPr>
      <w:r w:rsidRPr="00883823">
        <w:rPr>
          <w:rFonts w:cs="Times New Roman"/>
          <w:lang w:val="fr-CA"/>
        </w:rPr>
        <w:t>Notre Constitution se prononce de façon précise sur la question de la suspension de l’effet des déclarations d’invalidité</w:t>
      </w:r>
      <w:r>
        <w:rPr>
          <w:rFonts w:cs="Times New Roman"/>
          <w:lang w:val="fr-CA"/>
        </w:rPr>
        <w:t xml:space="preserve"> : c’est </w:t>
      </w:r>
      <w:r w:rsidRPr="00883823">
        <w:rPr>
          <w:rFonts w:cs="Times New Roman"/>
          <w:lang w:val="fr-CA"/>
        </w:rPr>
        <w:t xml:space="preserve">une mesure exceptionnelle. Les déclarations avec effet immédiat doivent être la norme, sauf s’il y a lieu de s’inquiéter pour la primauté du droit. </w:t>
      </w:r>
      <w:proofErr w:type="gramStart"/>
      <w:r w:rsidRPr="00883823">
        <w:rPr>
          <w:rFonts w:cs="Times New Roman"/>
        </w:rPr>
        <w:t>Il</w:t>
      </w:r>
      <w:proofErr w:type="gramEnd"/>
      <w:r w:rsidRPr="00883823">
        <w:rPr>
          <w:rFonts w:cs="Times New Roman"/>
        </w:rPr>
        <w:t xml:space="preserve"> </w:t>
      </w:r>
      <w:proofErr w:type="spellStart"/>
      <w:r w:rsidRPr="00883823">
        <w:rPr>
          <w:rFonts w:cs="Times New Roman"/>
        </w:rPr>
        <w:t>n’est</w:t>
      </w:r>
      <w:proofErr w:type="spellEnd"/>
      <w:r w:rsidRPr="00883823">
        <w:rPr>
          <w:rFonts w:cs="Times New Roman"/>
        </w:rPr>
        <w:t xml:space="preserve"> pas </w:t>
      </w:r>
      <w:proofErr w:type="spellStart"/>
      <w:r w:rsidRPr="00883823">
        <w:rPr>
          <w:rFonts w:cs="Times New Roman"/>
        </w:rPr>
        <w:t>nécessaire</w:t>
      </w:r>
      <w:proofErr w:type="spellEnd"/>
      <w:r w:rsidRPr="00883823">
        <w:rPr>
          <w:rFonts w:cs="Times New Roman"/>
        </w:rPr>
        <w:t xml:space="preserve"> de </w:t>
      </w:r>
      <w:proofErr w:type="spellStart"/>
      <w:r w:rsidRPr="00883823">
        <w:rPr>
          <w:rFonts w:cs="Times New Roman"/>
        </w:rPr>
        <w:t>pousser</w:t>
      </w:r>
      <w:proofErr w:type="spellEnd"/>
      <w:r w:rsidRPr="00883823">
        <w:rPr>
          <w:rFonts w:cs="Times New Roman"/>
        </w:rPr>
        <w:t xml:space="preserve"> </w:t>
      </w:r>
      <w:proofErr w:type="spellStart"/>
      <w:r w:rsidRPr="00883823">
        <w:rPr>
          <w:rFonts w:cs="Times New Roman"/>
        </w:rPr>
        <w:t>l’analyse</w:t>
      </w:r>
      <w:proofErr w:type="spellEnd"/>
      <w:r w:rsidRPr="00883823">
        <w:rPr>
          <w:rFonts w:cs="Times New Roman"/>
        </w:rPr>
        <w:t xml:space="preserve"> plus loin.</w:t>
      </w:r>
    </w:p>
    <w:p w14:paraId="61D5DD66" w14:textId="7185CD6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Il vaut la peine de citer quelques cas dans lesquels une menace imminente à la primauté du droit justifie la suspension de l’effet d’une déclaration d’invalidité. L’exemple classique de danger qui guette la primauté du droit est celui de la menace existentielle, comme dans le </w:t>
      </w:r>
      <w:r w:rsidRPr="00883823">
        <w:rPr>
          <w:rFonts w:cs="Times New Roman"/>
          <w:i/>
          <w:lang w:val="fr-CA"/>
        </w:rPr>
        <w:t>Renvoi relatif au Manitoba</w:t>
      </w:r>
      <w:r w:rsidRPr="00883823">
        <w:rPr>
          <w:rFonts w:cs="Times New Roman"/>
          <w:lang w:val="fr-CA"/>
        </w:rPr>
        <w:t>. Comme nous l’avons déjà signalé, craignant un « vide juridique », la Cour a déclaré dans cet arrêt que « la garantie constitutionnelle de la primauté du droit</w:t>
      </w:r>
      <w:r w:rsidR="0025412A">
        <w:rPr>
          <w:rFonts w:cs="Times New Roman"/>
          <w:lang w:val="fr-CA"/>
        </w:rPr>
        <w:t xml:space="preserve"> ne [saurait] </w:t>
      </w:r>
      <w:proofErr w:type="spellStart"/>
      <w:r w:rsidR="0025412A">
        <w:rPr>
          <w:rFonts w:cs="Times New Roman"/>
          <w:lang w:val="fr-CA"/>
        </w:rPr>
        <w:t>tolére</w:t>
      </w:r>
      <w:proofErr w:type="spellEnd"/>
      <w:r w:rsidR="0025412A">
        <w:rPr>
          <w:rFonts w:cs="Times New Roman"/>
          <w:lang w:val="fr-CA"/>
        </w:rPr>
        <w:t xml:space="preserve">[r] </w:t>
      </w:r>
      <w:r w:rsidRPr="00883823">
        <w:rPr>
          <w:rFonts w:cs="Times New Roman"/>
          <w:lang w:val="fr-CA"/>
        </w:rPr>
        <w:t>un tel chaos ou une telle anarchie » (</w:t>
      </w:r>
      <w:r>
        <w:rPr>
          <w:rFonts w:cs="Times New Roman"/>
          <w:lang w:val="fr-CA"/>
        </w:rPr>
        <w:t>p. </w:t>
      </w:r>
      <w:r w:rsidRPr="00883823">
        <w:rPr>
          <w:rFonts w:cs="Times New Roman"/>
          <w:lang w:val="fr-CA"/>
        </w:rPr>
        <w:t>747, 753 et 758).</w:t>
      </w:r>
    </w:p>
    <w:p w14:paraId="649B72B6" w14:textId="4D38A19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Il existe cependant un autre type de menace à la primauté du droit qui peut justifier la suspension de l’effet d’une déclaration d’invalidité, en</w:t>
      </w:r>
      <w:r>
        <w:rPr>
          <w:rFonts w:cs="Times New Roman"/>
          <w:lang w:val="fr-CA"/>
        </w:rPr>
        <w:t xml:space="preserve"> </w:t>
      </w:r>
      <w:r w:rsidRPr="00883823">
        <w:rPr>
          <w:rFonts w:cs="Times New Roman"/>
          <w:lang w:val="fr-CA"/>
        </w:rPr>
        <w:t xml:space="preserve">l’occurrence une menace à la sécurité publique. Comme la Cour l’a expliqué dans le </w:t>
      </w:r>
      <w:r w:rsidRPr="00883823">
        <w:rPr>
          <w:rFonts w:cs="Times New Roman"/>
          <w:i/>
          <w:lang w:val="fr-CA"/>
        </w:rPr>
        <w:t>Renvoi relatif au Manitoba</w:t>
      </w:r>
      <w:r w:rsidRPr="00883823">
        <w:rPr>
          <w:rFonts w:cs="Times New Roman"/>
          <w:lang w:val="fr-CA"/>
        </w:rPr>
        <w:t>, un précepte fondamental de la primauté du droit veut qu’on ne doive pas « </w:t>
      </w:r>
      <w:r w:rsidRPr="00883823">
        <w:rPr>
          <w:rFonts w:cs="Times New Roman"/>
          <w:shd w:val="clear" w:color="auto" w:fill="FFFFFF"/>
          <w:lang w:val="fr-CA"/>
        </w:rPr>
        <w:t>laisse[r] périr l’État et le peuple par égard pour la constitution; au contraire, une constitution doit exister pour la préservation de l’État et le bien</w:t>
      </w:r>
      <w:r>
        <w:rPr>
          <w:rFonts w:cs="Times New Roman"/>
          <w:shd w:val="clear" w:color="auto" w:fill="FFFFFF"/>
          <w:lang w:val="fr-CA"/>
        </w:rPr>
        <w:noBreakHyphen/>
      </w:r>
      <w:r w:rsidRPr="00883823">
        <w:rPr>
          <w:rFonts w:cs="Times New Roman"/>
          <w:shd w:val="clear" w:color="auto" w:fill="FFFFFF"/>
          <w:lang w:val="fr-CA"/>
        </w:rPr>
        <w:t>être du peuple »</w:t>
      </w:r>
      <w:r w:rsidRPr="00883823">
        <w:rPr>
          <w:rFonts w:cs="Times New Roman"/>
          <w:lang w:val="fr-CA"/>
        </w:rPr>
        <w:t xml:space="preserve"> (</w:t>
      </w:r>
      <w:r>
        <w:rPr>
          <w:rFonts w:cs="Times New Roman"/>
          <w:lang w:val="fr-CA"/>
        </w:rPr>
        <w:t>p. </w:t>
      </w:r>
      <w:r w:rsidRPr="00883823">
        <w:rPr>
          <w:rFonts w:cs="Times New Roman"/>
          <w:lang w:val="fr-CA"/>
        </w:rPr>
        <w:t xml:space="preserve">766, citant </w:t>
      </w:r>
      <w:r w:rsidRPr="00883823">
        <w:rPr>
          <w:rFonts w:cs="Times New Roman"/>
          <w:i/>
          <w:lang w:val="fr-CA"/>
        </w:rPr>
        <w:t xml:space="preserve">Attorney General of the </w:t>
      </w:r>
      <w:proofErr w:type="spellStart"/>
      <w:r w:rsidRPr="00883823">
        <w:rPr>
          <w:rFonts w:cs="Times New Roman"/>
          <w:i/>
          <w:lang w:val="fr-CA"/>
        </w:rPr>
        <w:t>Republic</w:t>
      </w:r>
      <w:proofErr w:type="spellEnd"/>
      <w:r w:rsidRPr="00883823">
        <w:rPr>
          <w:rFonts w:cs="Times New Roman"/>
          <w:i/>
          <w:lang w:val="fr-CA"/>
        </w:rPr>
        <w:t xml:space="preserve"> c. Mustafa Ibrahim</w:t>
      </w:r>
      <w:r w:rsidRPr="00883823">
        <w:rPr>
          <w:rFonts w:cs="Times New Roman"/>
          <w:lang w:val="fr-CA"/>
        </w:rPr>
        <w:t xml:space="preserve">, [1964] </w:t>
      </w:r>
      <w:proofErr w:type="spellStart"/>
      <w:r w:rsidRPr="00883823">
        <w:rPr>
          <w:rFonts w:cs="Times New Roman"/>
          <w:lang w:val="fr-CA"/>
        </w:rPr>
        <w:t>Cyprus</w:t>
      </w:r>
      <w:proofErr w:type="spellEnd"/>
      <w:r w:rsidRPr="00883823">
        <w:rPr>
          <w:rFonts w:cs="Times New Roman"/>
          <w:lang w:val="fr-CA"/>
        </w:rPr>
        <w:t xml:space="preserve"> Law Reports 195, </w:t>
      </w:r>
      <w:r>
        <w:rPr>
          <w:rFonts w:cs="Times New Roman"/>
          <w:lang w:val="fr-CA"/>
        </w:rPr>
        <w:t>p. </w:t>
      </w:r>
      <w:r w:rsidRPr="00883823">
        <w:rPr>
          <w:rFonts w:cs="Times New Roman"/>
          <w:lang w:val="fr-CA"/>
        </w:rPr>
        <w:t xml:space="preserve">237 (soulignement </w:t>
      </w:r>
      <w:r w:rsidR="0025412A">
        <w:rPr>
          <w:rFonts w:cs="Times New Roman"/>
          <w:lang w:val="fr-CA"/>
        </w:rPr>
        <w:t>omis</w:t>
      </w:r>
      <w:r w:rsidRPr="00883823">
        <w:rPr>
          <w:rFonts w:cs="Times New Roman"/>
          <w:lang w:val="fr-CA"/>
        </w:rPr>
        <w:t xml:space="preserve">)). En d’autres termes, la primauté du droit exige que notre Cour assure « un </w:t>
      </w:r>
      <w:r w:rsidRPr="00883823">
        <w:rPr>
          <w:rFonts w:cs="Times New Roman"/>
          <w:shd w:val="clear" w:color="auto" w:fill="FFFFFF"/>
          <w:lang w:val="fr-CA"/>
        </w:rPr>
        <w:t>ordre réel de droit positif qui préserve et incorpore le principe plus général de l’ordre normatif »</w:t>
      </w:r>
      <w:r w:rsidRPr="00883823">
        <w:rPr>
          <w:rFonts w:cs="Times New Roman"/>
          <w:lang w:val="fr-CA"/>
        </w:rPr>
        <w:t xml:space="preserve"> (</w:t>
      </w:r>
      <w:r>
        <w:rPr>
          <w:rFonts w:cs="Times New Roman"/>
          <w:lang w:val="fr-CA"/>
        </w:rPr>
        <w:t>p. </w:t>
      </w:r>
      <w:r w:rsidRPr="00883823">
        <w:rPr>
          <w:rFonts w:cs="Times New Roman"/>
          <w:lang w:val="fr-CA"/>
        </w:rPr>
        <w:t>749). L’ordre normatif en vient à disparaître lorsque la sécurité publique est compromise. D’ailleurs, « [l]</w:t>
      </w:r>
      <w:r w:rsidRPr="00883823">
        <w:rPr>
          <w:rFonts w:cs="Times New Roman"/>
          <w:shd w:val="clear" w:color="auto" w:fill="FFFFFF"/>
          <w:lang w:val="fr-CA"/>
        </w:rPr>
        <w:t>’ordre public est un élément essentiel de la vie civilisée »</w:t>
      </w:r>
      <w:r w:rsidRPr="00883823">
        <w:rPr>
          <w:rFonts w:cs="Times New Roman"/>
          <w:lang w:val="fr-CA"/>
        </w:rPr>
        <w:t xml:space="preserve"> (</w:t>
      </w:r>
      <w:r>
        <w:rPr>
          <w:rFonts w:cs="Times New Roman"/>
          <w:lang w:val="fr-CA"/>
        </w:rPr>
        <w:t>p. </w:t>
      </w:r>
      <w:r w:rsidRPr="00883823">
        <w:rPr>
          <w:rFonts w:cs="Times New Roman"/>
          <w:lang w:val="fr-CA"/>
        </w:rPr>
        <w:t>749) et la primauté du droit est depuis longtemps indissociable de [</w:t>
      </w:r>
      <w:r w:rsidRPr="00883823">
        <w:rPr>
          <w:rFonts w:cs="Times New Roman"/>
          <w:smallCaps/>
          <w:lang w:val="fr-CA"/>
        </w:rPr>
        <w:t>traduction</w:t>
      </w:r>
      <w:r w:rsidRPr="00883823">
        <w:rPr>
          <w:rFonts w:cs="Times New Roman"/>
          <w:lang w:val="fr-CA"/>
        </w:rPr>
        <w:t xml:space="preserve">] « l’existence de l’ordre public » (W. I. </w:t>
      </w:r>
      <w:proofErr w:type="spellStart"/>
      <w:r w:rsidRPr="00883823">
        <w:rPr>
          <w:rFonts w:cs="Times New Roman"/>
          <w:lang w:val="fr-CA"/>
        </w:rPr>
        <w:t>Jennings</w:t>
      </w:r>
      <w:proofErr w:type="spellEnd"/>
      <w:r w:rsidRPr="00883823">
        <w:rPr>
          <w:rFonts w:cs="Times New Roman"/>
          <w:lang w:val="fr-CA"/>
        </w:rPr>
        <w:t xml:space="preserve">, </w:t>
      </w:r>
      <w:r w:rsidRPr="00883823">
        <w:rPr>
          <w:rFonts w:cs="Times New Roman"/>
          <w:i/>
          <w:lang w:val="fr-CA"/>
        </w:rPr>
        <w:t xml:space="preserve">The Law and the Constitution </w:t>
      </w:r>
      <w:r w:rsidRPr="00883823">
        <w:rPr>
          <w:rFonts w:cs="Times New Roman"/>
          <w:lang w:val="fr-CA"/>
        </w:rPr>
        <w:t>(5</w:t>
      </w:r>
      <w:r w:rsidRPr="00883823">
        <w:rPr>
          <w:rFonts w:cs="Times New Roman"/>
          <w:vertAlign w:val="superscript"/>
          <w:lang w:val="fr-CA"/>
        </w:rPr>
        <w:t>e</w:t>
      </w:r>
      <w:r w:rsidRPr="00883823">
        <w:rPr>
          <w:rFonts w:cs="Times New Roman"/>
          <w:lang w:val="fr-CA"/>
        </w:rPr>
        <w:t xml:space="preserve"> éd. 1959), </w:t>
      </w:r>
      <w:r>
        <w:rPr>
          <w:rFonts w:cs="Times New Roman"/>
          <w:lang w:val="fr-CA"/>
        </w:rPr>
        <w:t>p. </w:t>
      </w:r>
      <w:r w:rsidRPr="00883823">
        <w:rPr>
          <w:rFonts w:cs="Times New Roman"/>
          <w:lang w:val="fr-CA"/>
        </w:rPr>
        <w:t xml:space="preserve">43, cité dans le </w:t>
      </w:r>
      <w:r w:rsidRPr="00883823">
        <w:rPr>
          <w:rFonts w:cs="Times New Roman"/>
          <w:i/>
          <w:lang w:val="fr-CA"/>
        </w:rPr>
        <w:t>Renvoi relatif au Manitoba</w:t>
      </w:r>
      <w:r w:rsidRPr="00883823">
        <w:rPr>
          <w:rFonts w:cs="Times New Roman"/>
          <w:lang w:val="fr-CA"/>
        </w:rPr>
        <w:t xml:space="preserve">, </w:t>
      </w:r>
      <w:r>
        <w:rPr>
          <w:rFonts w:cs="Times New Roman"/>
          <w:lang w:val="fr-CA"/>
        </w:rPr>
        <w:t>p. </w:t>
      </w:r>
      <w:r w:rsidRPr="00883823">
        <w:rPr>
          <w:rFonts w:cs="Times New Roman"/>
          <w:lang w:val="fr-CA"/>
        </w:rPr>
        <w:t xml:space="preserve">749). La primauté du droit </w:t>
      </w:r>
      <w:r w:rsidRPr="00883823">
        <w:rPr>
          <w:rFonts w:cs="Times New Roman"/>
          <w:shd w:val="clear" w:color="auto" w:fill="FFFFFF"/>
          <w:lang w:val="fr-CA"/>
        </w:rPr>
        <w:t>« assure aux citoyens et résidents une société stable, prévisible et ordonnée »</w:t>
      </w:r>
      <w:r w:rsidRPr="00883823">
        <w:rPr>
          <w:rFonts w:cs="Times New Roman"/>
          <w:lang w:val="fr-CA"/>
        </w:rPr>
        <w:t xml:space="preserve"> (</w:t>
      </w:r>
      <w:r w:rsidRPr="00883823">
        <w:rPr>
          <w:rFonts w:cs="Times New Roman"/>
          <w:i/>
          <w:lang w:val="fr-CA"/>
        </w:rPr>
        <w:t xml:space="preserve">Renvoi relatif à la sécession, </w:t>
      </w:r>
      <w:r>
        <w:rPr>
          <w:rFonts w:cs="Times New Roman"/>
          <w:lang w:val="fr-CA"/>
        </w:rPr>
        <w:t>par. </w:t>
      </w:r>
      <w:r w:rsidRPr="00883823">
        <w:rPr>
          <w:rFonts w:cs="Times New Roman"/>
          <w:lang w:val="fr-CA"/>
        </w:rPr>
        <w:t>70). La préservation de la sécurité publique constitue donc, du moins en ce sens, un exemple de protection de la primauté du droit.</w:t>
      </w:r>
    </w:p>
    <w:p w14:paraId="3A8C9618"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iCs/>
          <w:lang w:val="fr-CA"/>
        </w:rPr>
        <w:t>S’inspirant de l’arrêt</w:t>
      </w:r>
      <w:r w:rsidRPr="00883823">
        <w:rPr>
          <w:rFonts w:cs="Times New Roman"/>
          <w:i/>
          <w:lang w:val="fr-CA"/>
        </w:rPr>
        <w:t xml:space="preserve"> </w:t>
      </w:r>
      <w:proofErr w:type="spellStart"/>
      <w:r w:rsidRPr="00883823">
        <w:rPr>
          <w:rFonts w:cs="Times New Roman"/>
          <w:i/>
          <w:lang w:val="fr-CA"/>
        </w:rPr>
        <w:t>Schachter</w:t>
      </w:r>
      <w:proofErr w:type="spellEnd"/>
      <w:r w:rsidRPr="00883823">
        <w:rPr>
          <w:rFonts w:cs="Times New Roman"/>
          <w:lang w:val="fr-CA"/>
        </w:rPr>
        <w:t>, notre collègue estime que les avantages ou la loi</w:t>
      </w:r>
      <w:r>
        <w:rPr>
          <w:rFonts w:cs="Times New Roman"/>
          <w:lang w:val="fr-CA"/>
        </w:rPr>
        <w:t xml:space="preserve"> « </w:t>
      </w:r>
      <w:r w:rsidRPr="00883823">
        <w:rPr>
          <w:rFonts w:cs="Times New Roman"/>
          <w:lang w:val="fr-CA"/>
        </w:rPr>
        <w:t xml:space="preserve">trop </w:t>
      </w:r>
      <w:r>
        <w:rPr>
          <w:rFonts w:cs="Times New Roman"/>
          <w:lang w:val="fr-CA"/>
        </w:rPr>
        <w:t>limitatifs </w:t>
      </w:r>
      <w:r w:rsidRPr="00883823">
        <w:rPr>
          <w:rFonts w:cs="Times New Roman"/>
          <w:lang w:val="fr-CA"/>
        </w:rPr>
        <w:t xml:space="preserve">» font partie des catégories </w:t>
      </w:r>
      <w:r w:rsidRPr="00883823">
        <w:rPr>
          <w:rFonts w:cs="Times New Roman"/>
          <w:i/>
          <w:lang w:val="fr-CA"/>
        </w:rPr>
        <w:t>non exhaustives</w:t>
      </w:r>
      <w:r w:rsidRPr="00883823">
        <w:rPr>
          <w:rFonts w:cs="Times New Roman"/>
          <w:lang w:val="fr-CA"/>
        </w:rPr>
        <w:t xml:space="preserve"> qui, selon elle, justifient une suspension (</w:t>
      </w:r>
      <w:r>
        <w:rPr>
          <w:rFonts w:cs="Times New Roman"/>
          <w:lang w:val="fr-CA"/>
        </w:rPr>
        <w:t>par. </w:t>
      </w:r>
      <w:r w:rsidRPr="00883823">
        <w:rPr>
          <w:rFonts w:cs="Times New Roman"/>
          <w:lang w:val="fr-CA"/>
        </w:rPr>
        <w:t>118 et 124). Sans citer de source à l’appui, el</w:t>
      </w:r>
      <w:r>
        <w:rPr>
          <w:rFonts w:cs="Times New Roman"/>
          <w:lang w:val="fr-CA"/>
        </w:rPr>
        <w:t>le déclare que les catégories « </w:t>
      </w:r>
      <w:r w:rsidRPr="00883823">
        <w:rPr>
          <w:rFonts w:cs="Times New Roman"/>
          <w:lang w:val="fr-CA"/>
        </w:rPr>
        <w:t>tiennent [. . .] compte de considérations fondées sur la Constitution », lesquelles, affirme</w:t>
      </w:r>
      <w:r>
        <w:rPr>
          <w:rFonts w:cs="Times New Roman"/>
          <w:lang w:val="fr-CA"/>
        </w:rPr>
        <w:noBreakHyphen/>
      </w:r>
      <w:r w:rsidRPr="00883823">
        <w:rPr>
          <w:rFonts w:cs="Times New Roman"/>
          <w:lang w:val="fr-CA"/>
        </w:rPr>
        <w:t>t</w:t>
      </w:r>
      <w:r>
        <w:rPr>
          <w:rFonts w:cs="Times New Roman"/>
          <w:lang w:val="fr-CA"/>
        </w:rPr>
        <w:noBreakHyphen/>
      </w:r>
      <w:r w:rsidRPr="00883823">
        <w:rPr>
          <w:rFonts w:cs="Times New Roman"/>
          <w:lang w:val="fr-CA"/>
        </w:rPr>
        <w:t>on (là encore sans citer quelque source que ce soit), comprennent «</w:t>
      </w:r>
      <w:r>
        <w:rPr>
          <w:rFonts w:cs="Times New Roman"/>
          <w:lang w:val="fr-CA"/>
        </w:rPr>
        <w:t> </w:t>
      </w:r>
      <w:r w:rsidRPr="00883823">
        <w:rPr>
          <w:rFonts w:cs="Times New Roman"/>
          <w:lang w:val="fr-CA"/>
        </w:rPr>
        <w:t xml:space="preserve">la reconnaissance </w:t>
      </w:r>
      <w:r w:rsidRPr="00883823">
        <w:rPr>
          <w:rFonts w:cs="Times New Roman"/>
          <w:noProof/>
          <w:lang w:val="fr-CA"/>
        </w:rPr>
        <w:t>qu’il est dans l’intérêt du public que des lois soient adoptées pour son bénéfice</w:t>
      </w:r>
      <w:r>
        <w:rPr>
          <w:rFonts w:cs="Times New Roman"/>
          <w:lang w:val="fr-CA"/>
        </w:rPr>
        <w:t> </w:t>
      </w:r>
      <w:r w:rsidRPr="00883823">
        <w:rPr>
          <w:rFonts w:cs="Times New Roman"/>
          <w:lang w:val="fr-CA"/>
        </w:rPr>
        <w:t>» (</w:t>
      </w:r>
      <w:r>
        <w:rPr>
          <w:rFonts w:cs="Times New Roman"/>
          <w:lang w:val="fr-CA"/>
        </w:rPr>
        <w:t>par. </w:t>
      </w:r>
      <w:r w:rsidRPr="00883823">
        <w:rPr>
          <w:rFonts w:cs="Times New Roman"/>
          <w:lang w:val="fr-CA"/>
        </w:rPr>
        <w:t xml:space="preserve">124). Il n’existe, à notre avis et respectueusement, aucune règle de droit et assurément aucun principe constitutionnel ni de « considérations fondées sur la Constitution » encore moins bien définies qui justifieraient la reconnaissance de la loi trop limitative comme catégorie emportant suspension. </w:t>
      </w:r>
    </w:p>
    <w:p w14:paraId="3E66F8BA" w14:textId="26CCD8FB" w:rsidR="00F712C6" w:rsidRPr="00883823" w:rsidRDefault="00F712C6" w:rsidP="00F712C6">
      <w:pPr>
        <w:pStyle w:val="ParaNoNdepar-AltN"/>
        <w:rPr>
          <w:rFonts w:cs="Times New Roman"/>
          <w:lang w:val="fr-CA"/>
        </w:rPr>
      </w:pPr>
      <w:r w:rsidRPr="00883823">
        <w:rPr>
          <w:rFonts w:cs="Times New Roman"/>
          <w:lang w:val="fr-CA"/>
        </w:rPr>
        <w:t xml:space="preserve">Avec égards, la création de cette catégorie dans l’arrêt </w:t>
      </w:r>
      <w:proofErr w:type="spellStart"/>
      <w:r w:rsidRPr="00883823">
        <w:rPr>
          <w:rFonts w:cs="Times New Roman"/>
          <w:i/>
          <w:lang w:val="fr-CA"/>
        </w:rPr>
        <w:t>Schachter</w:t>
      </w:r>
      <w:proofErr w:type="spellEnd"/>
      <w:r w:rsidRPr="00883823">
        <w:rPr>
          <w:rFonts w:cs="Times New Roman"/>
          <w:lang w:val="fr-CA"/>
        </w:rPr>
        <w:t xml:space="preserve"> était malavisée, dans la mesure où elle était incompatible avec les contraintes du </w:t>
      </w:r>
      <w:r w:rsidRPr="00883823">
        <w:rPr>
          <w:rFonts w:cs="Times New Roman"/>
          <w:i/>
          <w:lang w:val="fr-CA"/>
        </w:rPr>
        <w:t>Renvoi relatif au Manitoba</w:t>
      </w:r>
      <w:r w:rsidRPr="00883823">
        <w:rPr>
          <w:rFonts w:cs="Times New Roman"/>
          <w:lang w:val="fr-CA"/>
        </w:rPr>
        <w:t xml:space="preserve">. D’ailleurs, à sa face même, elle ne peut être confirmée. Selon l’arrêt </w:t>
      </w:r>
      <w:proofErr w:type="spellStart"/>
      <w:r w:rsidRPr="00883823">
        <w:rPr>
          <w:rFonts w:cs="Times New Roman"/>
          <w:i/>
          <w:lang w:val="fr-CA"/>
        </w:rPr>
        <w:t>Schachter</w:t>
      </w:r>
      <w:proofErr w:type="spellEnd"/>
      <w:r w:rsidRPr="00883823">
        <w:rPr>
          <w:rFonts w:cs="Times New Roman"/>
          <w:lang w:val="fr-CA"/>
        </w:rPr>
        <w:t>, la reconnaissance d’avantages trop limitatifs en tant que catégorie justifiant la suspension de l’effet d’une déclaration d’invalidité est motivée par la crainte que « </w:t>
      </w:r>
      <w:r>
        <w:rPr>
          <w:rFonts w:cs="Times New Roman"/>
          <w:spacing w:val="-3"/>
          <w:lang w:val="fr-CA"/>
        </w:rPr>
        <w:t>l’</w:t>
      </w:r>
      <w:r w:rsidRPr="00883823">
        <w:rPr>
          <w:rFonts w:cs="Times New Roman"/>
          <w:spacing w:val="-3"/>
          <w:lang w:val="fr-CA"/>
        </w:rPr>
        <w:t xml:space="preserve">annulation immédiate de la loi </w:t>
      </w:r>
      <w:proofErr w:type="spellStart"/>
      <w:r w:rsidRPr="00883823">
        <w:rPr>
          <w:rFonts w:cs="Times New Roman"/>
          <w:spacing w:val="-3"/>
          <w:lang w:val="fr-CA"/>
        </w:rPr>
        <w:t>priv</w:t>
      </w:r>
      <w:proofErr w:type="spellEnd"/>
      <w:r w:rsidRPr="00883823">
        <w:rPr>
          <w:rFonts w:cs="Times New Roman"/>
          <w:spacing w:val="-3"/>
          <w:lang w:val="fr-CA"/>
        </w:rPr>
        <w:t>[e] des per</w:t>
      </w:r>
      <w:r>
        <w:rPr>
          <w:rFonts w:cs="Times New Roman"/>
          <w:spacing w:val="-3"/>
          <w:lang w:val="fr-CA"/>
        </w:rPr>
        <w:t>sonnes admissibles de bénéfices </w:t>
      </w:r>
      <w:r w:rsidRPr="00883823">
        <w:rPr>
          <w:rFonts w:cs="Times New Roman"/>
          <w:spacing w:val="-3"/>
          <w:lang w:val="fr-CA"/>
        </w:rPr>
        <w:t xml:space="preserve">» </w:t>
      </w:r>
      <w:r w:rsidRPr="00883823">
        <w:rPr>
          <w:rFonts w:cs="Times New Roman"/>
          <w:lang w:val="fr-CA"/>
        </w:rPr>
        <w:t>(</w:t>
      </w:r>
      <w:r>
        <w:rPr>
          <w:rFonts w:cs="Times New Roman"/>
          <w:lang w:val="fr-CA"/>
        </w:rPr>
        <w:t>p. </w:t>
      </w:r>
      <w:r w:rsidRPr="00883823">
        <w:rPr>
          <w:rFonts w:cs="Times New Roman"/>
          <w:lang w:val="fr-CA"/>
        </w:rPr>
        <w:t xml:space="preserve">715; voir aussi </w:t>
      </w:r>
      <w:r>
        <w:rPr>
          <w:rFonts w:cs="Times New Roman"/>
          <w:lang w:val="fr-CA"/>
        </w:rPr>
        <w:t>p. </w:t>
      </w:r>
      <w:r w:rsidRPr="00883823">
        <w:rPr>
          <w:rFonts w:cs="Times New Roman"/>
          <w:lang w:val="fr-CA"/>
        </w:rPr>
        <w:t>716 et 721). Toutefois, dans la mesure où une loi est de portée trop restrictive, la solution ne consiste pas à invalider ces avantages pour tous. Cela tient au fait que, dans ces situations inusitées, la « mesure de l</w:t>
      </w:r>
      <w:r>
        <w:rPr>
          <w:rFonts w:cs="Times New Roman"/>
          <w:lang w:val="fr-CA"/>
        </w:rPr>
        <w:t>’incompatibilité </w:t>
      </w:r>
      <w:r w:rsidRPr="00883823">
        <w:rPr>
          <w:rFonts w:cs="Times New Roman"/>
          <w:lang w:val="fr-CA"/>
        </w:rPr>
        <w:t xml:space="preserve">» dont il est question au </w:t>
      </w:r>
      <w:proofErr w:type="spellStart"/>
      <w:r>
        <w:rPr>
          <w:rFonts w:cs="Times New Roman"/>
          <w:lang w:val="fr-CA"/>
        </w:rPr>
        <w:t>par</w:t>
      </w:r>
      <w:proofErr w:type="spellEnd"/>
      <w:r>
        <w:rPr>
          <w:rFonts w:cs="Times New Roman"/>
          <w:lang w:val="fr-CA"/>
        </w:rPr>
        <w:t>. </w:t>
      </w:r>
      <w:r w:rsidRPr="00883823">
        <w:rPr>
          <w:rFonts w:cs="Times New Roman"/>
          <w:lang w:val="fr-CA"/>
        </w:rPr>
        <w:t>52(1) concerne l’</w:t>
      </w:r>
      <w:r w:rsidRPr="00883823">
        <w:rPr>
          <w:rFonts w:cs="Times New Roman"/>
          <w:i/>
          <w:lang w:val="fr-CA"/>
        </w:rPr>
        <w:t>omission</w:t>
      </w:r>
      <w:r w:rsidRPr="00883823">
        <w:rPr>
          <w:rFonts w:cs="Times New Roman"/>
          <w:lang w:val="fr-CA"/>
        </w:rPr>
        <w:t xml:space="preserve"> ou le défaut du législateur d’accorder des avantages à un certain groupe. Les autres aspects de la loi n’auront pas été déclarés inconstitutionnels et, comme notre collègue le fait observer à juste titre, « [i</w:t>
      </w:r>
      <w:r w:rsidRPr="00883823">
        <w:rPr>
          <w:rFonts w:cs="Times New Roman"/>
          <w:noProof/>
          <w:lang w:val="fr-CA"/>
        </w:rPr>
        <w:t>]l est dans l’intérêt du public de conserver des lois qui ont été dûment adoptées [. . .] pourvu que ces lois ne soient pas inconstitutionnelles »</w:t>
      </w:r>
      <w:r w:rsidRPr="00883823">
        <w:rPr>
          <w:rFonts w:cs="Times New Roman"/>
          <w:lang w:val="fr-CA"/>
        </w:rPr>
        <w:t xml:space="preserve"> (</w:t>
      </w:r>
      <w:r>
        <w:rPr>
          <w:rFonts w:cs="Times New Roman"/>
          <w:lang w:val="fr-CA"/>
        </w:rPr>
        <w:t>par. </w:t>
      </w:r>
      <w:r w:rsidRPr="00883823">
        <w:rPr>
          <w:rFonts w:cs="Times New Roman"/>
          <w:lang w:val="fr-CA"/>
        </w:rPr>
        <w:t>156). Autrement dit, il ne convient d’invalider des avantages que lorsque ceux</w:t>
      </w:r>
      <w:r>
        <w:rPr>
          <w:rFonts w:cs="Times New Roman"/>
          <w:lang w:val="fr-CA"/>
        </w:rPr>
        <w:noBreakHyphen/>
      </w:r>
      <w:r w:rsidRPr="00883823">
        <w:rPr>
          <w:rFonts w:cs="Times New Roman"/>
          <w:lang w:val="fr-CA"/>
        </w:rPr>
        <w:t xml:space="preserve">ci sont </w:t>
      </w:r>
      <w:r w:rsidRPr="00883823">
        <w:rPr>
          <w:rFonts w:cs="Times New Roman"/>
          <w:i/>
          <w:iCs/>
          <w:lang w:val="fr-CA"/>
        </w:rPr>
        <w:t>interdits</w:t>
      </w:r>
      <w:r w:rsidRPr="00883823">
        <w:rPr>
          <w:rFonts w:cs="Times New Roman"/>
          <w:lang w:val="fr-CA"/>
        </w:rPr>
        <w:t xml:space="preserve">, et non lorsqu’ils sont </w:t>
      </w:r>
      <w:r w:rsidRPr="00883823">
        <w:rPr>
          <w:rFonts w:cs="Times New Roman"/>
          <w:i/>
          <w:iCs/>
          <w:lang w:val="fr-CA"/>
        </w:rPr>
        <w:t>trop limitatifs</w:t>
      </w:r>
      <w:r w:rsidRPr="00883823">
        <w:rPr>
          <w:rFonts w:cs="Times New Roman"/>
          <w:lang w:val="fr-CA"/>
        </w:rPr>
        <w:t xml:space="preserve">. La crainte exprimée dans </w:t>
      </w:r>
      <w:proofErr w:type="spellStart"/>
      <w:r w:rsidRPr="00883823">
        <w:rPr>
          <w:rFonts w:cs="Times New Roman"/>
          <w:i/>
          <w:lang w:val="fr-CA"/>
        </w:rPr>
        <w:t>Schachter</w:t>
      </w:r>
      <w:proofErr w:type="spellEnd"/>
      <w:r w:rsidRPr="00883823">
        <w:rPr>
          <w:rFonts w:cs="Times New Roman"/>
          <w:lang w:val="fr-CA"/>
        </w:rPr>
        <w:t xml:space="preserve"> de priver des personnes admissibles de bénéfices (sur laquelle se fonde la justification de la suspension) s’estompe. Il est préférable, en pareil cas, de ne pas suspendre l’effet de la déclaration d’invalidité, mais de recourir aux autres mesures de réparation qu’un tribunal peut accorder, telles que la dissociation ou l’interprétation large. Fait critique, le tribunal peut tout simplement prononcer une déclaration portant que la loi est inconstitutionnelle dans la mesure où elle refuse certains avantages à un groupe donné et ordonner que ces avantages soient accordés rétroactivement à ce groupe une fois que l’État aura décidé du meilleur moyen de les étendre (</w:t>
      </w:r>
      <w:r w:rsidR="0025412A">
        <w:rPr>
          <w:rFonts w:cs="Times New Roman"/>
          <w:lang w:val="fr-CA"/>
        </w:rPr>
        <w:t>p. </w:t>
      </w:r>
      <w:r w:rsidRPr="00883823">
        <w:rPr>
          <w:rFonts w:cs="Times New Roman"/>
          <w:lang w:val="fr-CA"/>
        </w:rPr>
        <w:t xml:space="preserve">ex. </w:t>
      </w:r>
      <w:proofErr w:type="spellStart"/>
      <w:r w:rsidRPr="00883823">
        <w:rPr>
          <w:rFonts w:cs="Times New Roman"/>
          <w:i/>
          <w:lang w:val="fr-CA"/>
        </w:rPr>
        <w:t>Tétreault</w:t>
      </w:r>
      <w:r>
        <w:rPr>
          <w:rFonts w:cs="Times New Roman"/>
          <w:i/>
          <w:lang w:val="fr-CA"/>
        </w:rPr>
        <w:noBreakHyphen/>
      </w:r>
      <w:r w:rsidRPr="00883823">
        <w:rPr>
          <w:rFonts w:cs="Times New Roman"/>
          <w:i/>
          <w:lang w:val="fr-CA"/>
        </w:rPr>
        <w:t>Gadoury</w:t>
      </w:r>
      <w:proofErr w:type="spellEnd"/>
      <w:r w:rsidRPr="00883823">
        <w:rPr>
          <w:rFonts w:cs="Times New Roman"/>
          <w:i/>
          <w:lang w:val="fr-CA"/>
        </w:rPr>
        <w:t xml:space="preserve"> c. Canada (Commission de l’emploi et de l’immigration)</w:t>
      </w:r>
      <w:r w:rsidRPr="00883823">
        <w:rPr>
          <w:rFonts w:cs="Times New Roman"/>
          <w:lang w:val="fr-CA"/>
        </w:rPr>
        <w:t xml:space="preserve">, [1991] 2 R.C.S. 22, </w:t>
      </w:r>
      <w:r>
        <w:rPr>
          <w:rFonts w:cs="Times New Roman"/>
          <w:lang w:val="fr-CA"/>
        </w:rPr>
        <w:t>p. </w:t>
      </w:r>
      <w:r w:rsidRPr="00883823">
        <w:rPr>
          <w:rFonts w:cs="Times New Roman"/>
          <w:lang w:val="fr-CA"/>
        </w:rPr>
        <w:t>46</w:t>
      </w:r>
      <w:r>
        <w:rPr>
          <w:rFonts w:cs="Times New Roman"/>
          <w:lang w:val="fr-CA"/>
        </w:rPr>
        <w:noBreakHyphen/>
      </w:r>
      <w:r w:rsidRPr="00883823">
        <w:rPr>
          <w:rFonts w:cs="Times New Roman"/>
          <w:lang w:val="fr-CA"/>
        </w:rPr>
        <w:t>47). À l’évidence, il est possible de remédier aux avantages limitatifs sans « </w:t>
      </w:r>
      <w:r w:rsidRPr="00883823">
        <w:rPr>
          <w:rFonts w:cs="Times New Roman"/>
          <w:spacing w:val="-3"/>
          <w:lang w:val="fr-CA"/>
        </w:rPr>
        <w:t>prive[r] des personnes admissibles de bénéfices</w:t>
      </w:r>
      <w:r>
        <w:rPr>
          <w:rFonts w:cs="Times New Roman"/>
          <w:spacing w:val="-3"/>
          <w:lang w:val="fr-CA"/>
        </w:rPr>
        <w:t> </w:t>
      </w:r>
      <w:r w:rsidRPr="00883823">
        <w:rPr>
          <w:rFonts w:cs="Times New Roman"/>
          <w:spacing w:val="-3"/>
          <w:lang w:val="fr-CA"/>
        </w:rPr>
        <w:t xml:space="preserve">», et il n’est donc pas nécessaire de suspendre l’effet d’une déclaration d’invalidité afin d’éviter ce dénouement. </w:t>
      </w:r>
    </w:p>
    <w:p w14:paraId="0F60C187" w14:textId="104F54A5" w:rsidR="00F712C6" w:rsidRPr="00883823" w:rsidRDefault="00F712C6" w:rsidP="00F712C6">
      <w:pPr>
        <w:pStyle w:val="ParaNoNdepar-AltN"/>
        <w:rPr>
          <w:rFonts w:cs="Times New Roman"/>
          <w:noProof/>
          <w:lang w:val="fr-CA"/>
        </w:rPr>
      </w:pPr>
      <w:r w:rsidRPr="00883823">
        <w:rPr>
          <w:rFonts w:cs="Times New Roman"/>
          <w:lang w:val="fr-CA"/>
        </w:rPr>
        <w:t xml:space="preserve">Mais notre collègue va plus loin en proposant </w:t>
      </w:r>
      <w:r w:rsidRPr="00883823">
        <w:rPr>
          <w:rFonts w:cs="Times New Roman"/>
          <w:i/>
          <w:lang w:val="fr-CA"/>
        </w:rPr>
        <w:t>encore une autre</w:t>
      </w:r>
      <w:r w:rsidRPr="00883823">
        <w:rPr>
          <w:rFonts w:cs="Times New Roman"/>
          <w:lang w:val="fr-CA"/>
        </w:rPr>
        <w:t xml:space="preserve"> catégorie, outre celles énumérées dans l’arrêt </w:t>
      </w:r>
      <w:proofErr w:type="spellStart"/>
      <w:r w:rsidRPr="00883823">
        <w:rPr>
          <w:rFonts w:cs="Times New Roman"/>
          <w:i/>
          <w:lang w:val="fr-CA"/>
        </w:rPr>
        <w:t>Schachter</w:t>
      </w:r>
      <w:proofErr w:type="spellEnd"/>
      <w:r w:rsidRPr="00883823">
        <w:rPr>
          <w:rFonts w:cs="Times New Roman"/>
          <w:lang w:val="fr-CA"/>
        </w:rPr>
        <w:t>, qui pourrait selon elle justifier la suspension de l’effet d’une déclaration d’invalidité. Une suspension devrait également être prononcée, nous dit</w:t>
      </w:r>
      <w:r>
        <w:rPr>
          <w:rFonts w:cs="Times New Roman"/>
          <w:lang w:val="fr-CA"/>
        </w:rPr>
        <w:noBreakHyphen/>
      </w:r>
      <w:r w:rsidRPr="00883823">
        <w:rPr>
          <w:rFonts w:cs="Times New Roman"/>
          <w:lang w:val="fr-CA"/>
        </w:rPr>
        <w:t>on, lorsqu’« </w:t>
      </w:r>
      <w:r w:rsidRPr="00883823">
        <w:rPr>
          <w:rFonts w:cs="Times New Roman"/>
          <w:noProof/>
          <w:lang w:val="fr-CA"/>
        </w:rPr>
        <w:t xml:space="preserve">une déclaration </w:t>
      </w:r>
      <w:r w:rsidR="007F1396">
        <w:rPr>
          <w:rFonts w:cs="Times New Roman"/>
          <w:noProof/>
          <w:lang w:val="fr-CA"/>
        </w:rPr>
        <w:t xml:space="preserve">d’invalidité </w:t>
      </w:r>
      <w:r w:rsidRPr="00883823">
        <w:rPr>
          <w:rFonts w:cs="Times New Roman"/>
          <w:noProof/>
          <w:lang w:val="fr-CA"/>
        </w:rPr>
        <w:t xml:space="preserve">avec effet immédiat </w:t>
      </w:r>
      <w:r w:rsidRPr="00883823">
        <w:rPr>
          <w:rFonts w:cs="Times New Roman"/>
          <w:noProof/>
          <w:u w:val="single"/>
          <w:lang w:val="fr-CA"/>
        </w:rPr>
        <w:t>limite</w:t>
      </w:r>
      <w:r w:rsidRPr="00883823">
        <w:rPr>
          <w:rFonts w:cs="Times New Roman"/>
          <w:noProof/>
          <w:lang w:val="fr-CA"/>
        </w:rPr>
        <w:t xml:space="preserve"> la capacité du législateur à mettre en place des politiques »</w:t>
      </w:r>
      <w:r w:rsidRPr="00883823">
        <w:rPr>
          <w:rFonts w:cs="Times New Roman"/>
          <w:lang w:val="fr-CA"/>
        </w:rPr>
        <w:t xml:space="preserve"> (motifs de la juge </w:t>
      </w:r>
      <w:proofErr w:type="spellStart"/>
      <w:r w:rsidRPr="00883823">
        <w:rPr>
          <w:rFonts w:cs="Times New Roman"/>
          <w:lang w:val="fr-CA"/>
        </w:rPr>
        <w:t>Karakatsanis</w:t>
      </w:r>
      <w:proofErr w:type="spellEnd"/>
      <w:r w:rsidRPr="00883823">
        <w:rPr>
          <w:rFonts w:cs="Times New Roman"/>
          <w:lang w:val="fr-CA"/>
        </w:rPr>
        <w:t xml:space="preserve">, </w:t>
      </w:r>
      <w:r>
        <w:rPr>
          <w:rFonts w:cs="Times New Roman"/>
          <w:lang w:val="fr-CA"/>
        </w:rPr>
        <w:t>par. </w:t>
      </w:r>
      <w:r w:rsidRPr="00883823">
        <w:rPr>
          <w:rFonts w:cs="Times New Roman"/>
          <w:lang w:val="fr-CA"/>
        </w:rPr>
        <w:t>130 (nous soulignons)). Cette catégorie requiert des précisions. Il ne suffit certainement pas qu’une déclaration « limite » la capacité du législateur à mettre en place des politiques — quel que soit le sens de cette expression —</w:t>
      </w:r>
      <w:r>
        <w:rPr>
          <w:rFonts w:cs="Times New Roman"/>
          <w:lang w:val="fr-CA"/>
        </w:rPr>
        <w:t xml:space="preserve"> </w:t>
      </w:r>
      <w:r w:rsidRPr="00883823">
        <w:rPr>
          <w:rFonts w:cs="Times New Roman"/>
          <w:lang w:val="fr-CA"/>
        </w:rPr>
        <w:t xml:space="preserve">pour justifier l’atteinte continue à des droits garantis par la </w:t>
      </w:r>
      <w:r w:rsidRPr="00883823">
        <w:rPr>
          <w:rFonts w:cs="Times New Roman"/>
          <w:i/>
          <w:lang w:val="fr-CA"/>
        </w:rPr>
        <w:t>Charte</w:t>
      </w:r>
      <w:r w:rsidRPr="00883823">
        <w:rPr>
          <w:rFonts w:cs="Times New Roman"/>
          <w:lang w:val="fr-CA"/>
        </w:rPr>
        <w:t>. À notre avis, la suspension de l’effet d’une déclaration d’invalidité n’est justifiée que lorsqu’on peut démontrer que la reconnaissance avec effet immédiat de droits — à laquelle se sont greffées de façon concomitante la confiance ou l’attente qui seraient ainsi reconnu</w:t>
      </w:r>
      <w:r>
        <w:rPr>
          <w:rFonts w:cs="Times New Roman"/>
          <w:lang w:val="fr-CA"/>
        </w:rPr>
        <w:t>e</w:t>
      </w:r>
      <w:r w:rsidRPr="00883823">
        <w:rPr>
          <w:rFonts w:cs="Times New Roman"/>
          <w:lang w:val="fr-CA"/>
        </w:rPr>
        <w:t>s par le nouveau régime juridique ou à la suite de l’élaboration de structures administratives complexes (</w:t>
      </w:r>
      <w:proofErr w:type="spellStart"/>
      <w:r w:rsidRPr="00883823">
        <w:rPr>
          <w:rFonts w:cs="Times New Roman"/>
          <w:lang w:val="fr-CA"/>
        </w:rPr>
        <w:t>Ryder</w:t>
      </w:r>
      <w:proofErr w:type="spellEnd"/>
      <w:r w:rsidRPr="00883823">
        <w:rPr>
          <w:rFonts w:cs="Times New Roman"/>
          <w:lang w:val="fr-CA"/>
        </w:rPr>
        <w:t xml:space="preserve">, </w:t>
      </w:r>
      <w:r>
        <w:rPr>
          <w:rFonts w:cs="Times New Roman"/>
          <w:lang w:val="fr-CA"/>
        </w:rPr>
        <w:t>p. </w:t>
      </w:r>
      <w:r w:rsidRPr="00883823">
        <w:rPr>
          <w:rFonts w:cs="Times New Roman"/>
          <w:lang w:val="fr-CA"/>
        </w:rPr>
        <w:t>281 et 285) — empêcherait l’État de créer et de maintenir «</w:t>
      </w:r>
      <w:r>
        <w:rPr>
          <w:rFonts w:cs="Times New Roman"/>
          <w:lang w:val="fr-CA"/>
        </w:rPr>
        <w:t> </w:t>
      </w:r>
      <w:r w:rsidRPr="00883823">
        <w:rPr>
          <w:rFonts w:cs="Times New Roman"/>
          <w:lang w:val="fr-CA"/>
        </w:rPr>
        <w:t>un ordre réel de droit positif » régissant la société</w:t>
      </w:r>
      <w:r>
        <w:rPr>
          <w:rFonts w:cs="Times New Roman"/>
          <w:lang w:val="fr-CA"/>
        </w:rPr>
        <w:t xml:space="preserve"> </w:t>
      </w:r>
      <w:r w:rsidRPr="00883823">
        <w:rPr>
          <w:rFonts w:cs="Times New Roman"/>
          <w:lang w:val="fr-CA"/>
        </w:rPr>
        <w:t>(</w:t>
      </w:r>
      <w:r w:rsidRPr="00883823">
        <w:rPr>
          <w:rFonts w:cs="Times New Roman"/>
          <w:i/>
          <w:lang w:val="fr-CA"/>
        </w:rPr>
        <w:t>Renvoi relatif au Manitoba</w:t>
      </w:r>
      <w:r w:rsidRPr="00883823">
        <w:rPr>
          <w:rFonts w:cs="Times New Roman"/>
          <w:lang w:val="fr-CA"/>
        </w:rPr>
        <w:t xml:space="preserve">, </w:t>
      </w:r>
      <w:r>
        <w:rPr>
          <w:rFonts w:cs="Times New Roman"/>
          <w:lang w:val="fr-CA"/>
        </w:rPr>
        <w:t>p. </w:t>
      </w:r>
      <w:r w:rsidRPr="00883823">
        <w:rPr>
          <w:rFonts w:cs="Times New Roman"/>
          <w:lang w:val="fr-CA"/>
        </w:rPr>
        <w:t xml:space="preserve">749, voir également </w:t>
      </w:r>
      <w:proofErr w:type="spellStart"/>
      <w:r w:rsidRPr="00883823">
        <w:rPr>
          <w:rFonts w:cs="Times New Roman"/>
          <w:i/>
          <w:lang w:val="fr-CA"/>
        </w:rPr>
        <w:t>Northern</w:t>
      </w:r>
      <w:proofErr w:type="spellEnd"/>
      <w:r w:rsidRPr="00883823">
        <w:rPr>
          <w:rFonts w:cs="Times New Roman"/>
          <w:i/>
          <w:lang w:val="fr-CA"/>
        </w:rPr>
        <w:t xml:space="preserve"> Pipeline Construction Co. c. Marathon </w:t>
      </w:r>
      <w:proofErr w:type="spellStart"/>
      <w:r w:rsidRPr="00883823">
        <w:rPr>
          <w:rFonts w:cs="Times New Roman"/>
          <w:i/>
          <w:lang w:val="fr-CA"/>
        </w:rPr>
        <w:t>Pipe Line</w:t>
      </w:r>
      <w:proofErr w:type="spellEnd"/>
      <w:r w:rsidRPr="00883823">
        <w:rPr>
          <w:rFonts w:cs="Times New Roman"/>
          <w:i/>
          <w:lang w:val="fr-CA"/>
        </w:rPr>
        <w:t xml:space="preserve"> Co.</w:t>
      </w:r>
      <w:r w:rsidRPr="00883823">
        <w:rPr>
          <w:rFonts w:cs="Times New Roman"/>
          <w:lang w:val="fr-CA"/>
        </w:rPr>
        <w:t xml:space="preserve">, 458 U.S. 50 (1982), </w:t>
      </w:r>
      <w:r>
        <w:rPr>
          <w:rFonts w:cs="Times New Roman"/>
          <w:lang w:val="fr-CA"/>
        </w:rPr>
        <w:t>p. </w:t>
      </w:r>
      <w:r w:rsidRPr="00883823">
        <w:rPr>
          <w:rFonts w:cs="Times New Roman"/>
          <w:lang w:val="fr-CA"/>
        </w:rPr>
        <w:t>88</w:t>
      </w:r>
      <w:r>
        <w:rPr>
          <w:rFonts w:cs="Times New Roman"/>
          <w:lang w:val="fr-CA"/>
        </w:rPr>
        <w:noBreakHyphen/>
      </w:r>
      <w:r w:rsidRPr="00883823">
        <w:rPr>
          <w:rFonts w:cs="Times New Roman"/>
          <w:lang w:val="fr-CA"/>
        </w:rPr>
        <w:t xml:space="preserve">89). Ces situations sont rarissimes car, comme nous l’expliquerons plus loin, le législateur dispose des outils nécessaires pour réagir promptement aux déclarations d’invalidité avec effet immédiat et pour éviter que des droits soient acquis (en invoquant, par exemple, le </w:t>
      </w:r>
      <w:r>
        <w:rPr>
          <w:rFonts w:cs="Times New Roman"/>
          <w:lang w:val="fr-CA"/>
        </w:rPr>
        <w:t>par. </w:t>
      </w:r>
      <w:r w:rsidRPr="00883823">
        <w:rPr>
          <w:rFonts w:cs="Times New Roman"/>
          <w:lang w:val="fr-CA"/>
        </w:rPr>
        <w:t xml:space="preserve">33(1), le cas échéant, ou en adoptant une nouvelle loi ou en modifiant une loi existante). </w:t>
      </w:r>
    </w:p>
    <w:p w14:paraId="0DED163D"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Sans lien avec la primauté du droit, la nouvelle catégorie de notre collègue, conjuguée à son appel au </w:t>
      </w:r>
      <w:r w:rsidRPr="00883823">
        <w:rPr>
          <w:rFonts w:cs="Times New Roman"/>
          <w:noProof/>
          <w:lang w:val="fr-CA"/>
        </w:rPr>
        <w:t>« respect du rôle du législateur » (</w:t>
      </w:r>
      <w:r>
        <w:rPr>
          <w:rFonts w:cs="Times New Roman"/>
          <w:noProof/>
          <w:lang w:val="fr-CA"/>
        </w:rPr>
        <w:t>par. </w:t>
      </w:r>
      <w:r w:rsidRPr="00883823">
        <w:rPr>
          <w:rFonts w:cs="Times New Roman"/>
          <w:noProof/>
          <w:lang w:val="fr-CA"/>
        </w:rPr>
        <w:t xml:space="preserve">157) permettra un retour en force graduel de la logique erronée de la déférence envers le bon plaisir du législateur </w:t>
      </w:r>
      <w:r>
        <w:rPr>
          <w:rFonts w:cs="Times New Roman"/>
          <w:lang w:val="fr-CA"/>
        </w:rPr>
        <w:t xml:space="preserve">— </w:t>
      </w:r>
      <w:r w:rsidRPr="00883823">
        <w:rPr>
          <w:rFonts w:cs="Times New Roman"/>
          <w:lang w:val="fr-CA"/>
        </w:rPr>
        <w:t xml:space="preserve">une des principales causes, sinon </w:t>
      </w:r>
      <w:r w:rsidRPr="00883823">
        <w:rPr>
          <w:rFonts w:cs="Times New Roman"/>
          <w:i/>
          <w:lang w:val="fr-CA"/>
        </w:rPr>
        <w:t xml:space="preserve">la </w:t>
      </w:r>
      <w:r w:rsidRPr="00883823">
        <w:rPr>
          <w:rFonts w:cs="Times New Roman"/>
          <w:lang w:val="fr-CA"/>
        </w:rPr>
        <w:t xml:space="preserve">cause, du recours arbitraire et de plus en plus généralisé à la suspension de l’effet de déclarations d’invalidité. D’ailleurs, la nouvelle catégorie qu’elle crée est pratiquement indissociable de cette logique. Si l’évolution de la suspension de l’effet de déclarations d’invalidité que nous avons relatée est un indicateur des tendances qui se dessinent, les gouvernements et les tribunaux risquent de se dérober fréquemment à l’impératif constitutionnel du </w:t>
      </w:r>
      <w:r>
        <w:rPr>
          <w:rFonts w:cs="Times New Roman"/>
          <w:lang w:val="fr-CA"/>
        </w:rPr>
        <w:t>par. </w:t>
      </w:r>
      <w:r w:rsidRPr="00883823">
        <w:rPr>
          <w:rFonts w:cs="Times New Roman"/>
          <w:lang w:val="fr-CA"/>
        </w:rPr>
        <w:t>52(1) en affirmant qu’une déclaration avec effet immédiat « limite » (</w:t>
      </w:r>
      <w:r>
        <w:rPr>
          <w:rFonts w:cs="Times New Roman"/>
          <w:lang w:val="fr-CA"/>
        </w:rPr>
        <w:t>par. </w:t>
      </w:r>
      <w:r w:rsidRPr="00883823">
        <w:rPr>
          <w:rFonts w:cs="Times New Roman"/>
          <w:lang w:val="fr-CA"/>
        </w:rPr>
        <w:t>130) ou « mine » (</w:t>
      </w:r>
      <w:r>
        <w:rPr>
          <w:rFonts w:cs="Times New Roman"/>
          <w:lang w:val="fr-CA"/>
        </w:rPr>
        <w:t>par. </w:t>
      </w:r>
      <w:r w:rsidRPr="00883823">
        <w:rPr>
          <w:rFonts w:cs="Times New Roman"/>
          <w:lang w:val="fr-CA"/>
        </w:rPr>
        <w:t>157) la capacité du législateur d’adopter le régime « qu’il préfère » (</w:t>
      </w:r>
      <w:r>
        <w:rPr>
          <w:rFonts w:cs="Times New Roman"/>
          <w:lang w:val="fr-CA"/>
        </w:rPr>
        <w:t>par. </w:t>
      </w:r>
      <w:r w:rsidRPr="00883823">
        <w:rPr>
          <w:rFonts w:cs="Times New Roman"/>
          <w:lang w:val="fr-CA"/>
        </w:rPr>
        <w:t>176) ou qu’elle « nuirait considérablement » (</w:t>
      </w:r>
      <w:r>
        <w:rPr>
          <w:rFonts w:cs="Times New Roman"/>
          <w:lang w:val="fr-CA"/>
        </w:rPr>
        <w:t>par. </w:t>
      </w:r>
      <w:r w:rsidRPr="00883823">
        <w:rPr>
          <w:rFonts w:cs="Times New Roman"/>
          <w:lang w:val="fr-CA"/>
        </w:rPr>
        <w:t>129 et 139) à cette capacité (</w:t>
      </w:r>
      <w:r>
        <w:rPr>
          <w:rFonts w:cs="Times New Roman"/>
          <w:lang w:val="fr-CA"/>
        </w:rPr>
        <w:t>p. </w:t>
      </w:r>
      <w:r w:rsidRPr="00883823">
        <w:rPr>
          <w:rFonts w:cs="Times New Roman"/>
          <w:lang w:val="fr-CA"/>
        </w:rPr>
        <w:t xml:space="preserve">ex. </w:t>
      </w:r>
      <w:r w:rsidRPr="00883823">
        <w:rPr>
          <w:rFonts w:cs="Times New Roman"/>
          <w:i/>
          <w:lang w:val="fr-CA"/>
        </w:rPr>
        <w:t>Guignard</w:t>
      </w:r>
      <w:r w:rsidRPr="00883823">
        <w:rPr>
          <w:rFonts w:cs="Times New Roman"/>
          <w:lang w:val="fr-CA"/>
        </w:rPr>
        <w:t xml:space="preserve">, </w:t>
      </w:r>
      <w:r>
        <w:rPr>
          <w:rFonts w:cs="Times New Roman"/>
          <w:lang w:val="fr-CA"/>
        </w:rPr>
        <w:t>par. </w:t>
      </w:r>
      <w:r w:rsidRPr="00883823">
        <w:rPr>
          <w:rFonts w:cs="Times New Roman"/>
          <w:lang w:val="fr-CA"/>
        </w:rPr>
        <w:t>23 et 29</w:t>
      </w:r>
      <w:r>
        <w:rPr>
          <w:rFonts w:cs="Times New Roman"/>
          <w:lang w:val="fr-CA"/>
        </w:rPr>
        <w:noBreakHyphen/>
      </w:r>
      <w:r w:rsidRPr="00883823">
        <w:rPr>
          <w:rFonts w:cs="Times New Roman"/>
          <w:lang w:val="fr-CA"/>
        </w:rPr>
        <w:t xml:space="preserve">31, et </w:t>
      </w:r>
      <w:proofErr w:type="spellStart"/>
      <w:r w:rsidRPr="00883823">
        <w:rPr>
          <w:rFonts w:cs="Times New Roman"/>
          <w:lang w:val="fr-CA"/>
        </w:rPr>
        <w:t>Ryder</w:t>
      </w:r>
      <w:proofErr w:type="spellEnd"/>
      <w:r w:rsidRPr="00883823">
        <w:rPr>
          <w:rFonts w:cs="Times New Roman"/>
          <w:lang w:val="fr-CA"/>
        </w:rPr>
        <w:t xml:space="preserve">, </w:t>
      </w:r>
      <w:r>
        <w:rPr>
          <w:rFonts w:cs="Times New Roman"/>
          <w:lang w:val="fr-CA"/>
        </w:rPr>
        <w:t>p. </w:t>
      </w:r>
      <w:r w:rsidRPr="00883823">
        <w:rPr>
          <w:rFonts w:cs="Times New Roman"/>
          <w:lang w:val="fr-CA"/>
        </w:rPr>
        <w:t>271</w:t>
      </w:r>
      <w:r>
        <w:rPr>
          <w:rFonts w:cs="Times New Roman"/>
          <w:lang w:val="fr-CA"/>
        </w:rPr>
        <w:noBreakHyphen/>
      </w:r>
      <w:r w:rsidRPr="00883823">
        <w:rPr>
          <w:rFonts w:cs="Times New Roman"/>
          <w:lang w:val="fr-CA"/>
        </w:rPr>
        <w:t>272, 286 et 288).</w:t>
      </w:r>
    </w:p>
    <w:p w14:paraId="5B7ACC7E"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Même si nous saluons les efforts déployés par notre collègue pour rendre plus cohérent et transparent le processus décisionnel relatif aux réparations à accorder, nous estimons que la façon dont elle formule les </w:t>
      </w:r>
      <w:r>
        <w:rPr>
          <w:rFonts w:cs="Times New Roman"/>
          <w:lang w:val="fr-CA"/>
        </w:rPr>
        <w:t>« </w:t>
      </w:r>
      <w:r w:rsidRPr="00883823">
        <w:rPr>
          <w:rFonts w:cs="Times New Roman"/>
          <w:lang w:val="fr-CA"/>
        </w:rPr>
        <w:t>principes</w:t>
      </w:r>
      <w:r>
        <w:rPr>
          <w:rFonts w:cs="Times New Roman"/>
          <w:lang w:val="fr-CA"/>
        </w:rPr>
        <w:t> </w:t>
      </w:r>
      <w:r w:rsidRPr="00883823">
        <w:rPr>
          <w:rFonts w:cs="Times New Roman"/>
          <w:lang w:val="fr-CA"/>
        </w:rPr>
        <w:t>» et « pierres de touches »</w:t>
      </w:r>
      <w:r>
        <w:rPr>
          <w:rFonts w:cs="Times New Roman"/>
          <w:lang w:val="fr-CA"/>
        </w:rPr>
        <w:t xml:space="preserve"> </w:t>
      </w:r>
      <w:r w:rsidRPr="00883823">
        <w:rPr>
          <w:rFonts w:cs="Times New Roman"/>
          <w:lang w:val="fr-CA"/>
        </w:rPr>
        <w:t>« fondamentaux » qu’elle propose favorise plutôt l’incertitude et l’imprévisibilité. Pire encore, leur caractère douteux ne fait qu’exacerber la confusion. On ne sait pas avec certitude si ces principes sont de nature constitutionnelle ou non constitutionnelle, ou s’ils relèvent d’une nouvelle catégorie hybride. Dans l’ensemble, il est difficile de savoir comment on pourrait concilier l’affirmation de notre collègue selon laquelle « </w:t>
      </w:r>
      <w:r w:rsidRPr="00883823">
        <w:rPr>
          <w:rFonts w:cs="Times New Roman"/>
          <w:noProof/>
          <w:lang w:val="fr-CA"/>
        </w:rPr>
        <w:t>l’effet de déclarations d’invalidité devrait être suspendu en de rares cas »</w:t>
      </w:r>
      <w:r w:rsidRPr="00883823">
        <w:rPr>
          <w:rFonts w:cs="Times New Roman"/>
          <w:lang w:val="fr-CA"/>
        </w:rPr>
        <w:t xml:space="preserve"> (</w:t>
      </w:r>
      <w:r>
        <w:rPr>
          <w:rFonts w:cs="Times New Roman"/>
          <w:lang w:val="fr-CA"/>
        </w:rPr>
        <w:t>par. </w:t>
      </w:r>
      <w:r w:rsidRPr="00883823">
        <w:rPr>
          <w:rFonts w:cs="Times New Roman"/>
          <w:lang w:val="fr-CA"/>
        </w:rPr>
        <w:t>83) avec les vagues principes et catégories élargis qu’elle énonce pour justifier le recours à cette mesure. Il n’est tout simplement pas nécessaire d’élargir la portée des « rares circonstances » dans lesquelles la suspension de l’effet d’une déclaration d’invalidité peut être prononcée (</w:t>
      </w:r>
      <w:r w:rsidRPr="00883823">
        <w:rPr>
          <w:rFonts w:cs="Times New Roman"/>
          <w:i/>
          <w:lang w:val="fr-CA"/>
        </w:rPr>
        <w:t>contra</w:t>
      </w:r>
      <w:r w:rsidRPr="00883823">
        <w:rPr>
          <w:rFonts w:cs="Times New Roman"/>
          <w:iCs/>
          <w:lang w:val="fr-CA"/>
        </w:rPr>
        <w:t>,</w:t>
      </w:r>
      <w:r w:rsidRPr="00883823">
        <w:rPr>
          <w:rFonts w:cs="Times New Roman"/>
          <w:i/>
          <w:lang w:val="fr-CA"/>
        </w:rPr>
        <w:t xml:space="preserve"> </w:t>
      </w:r>
      <w:r w:rsidRPr="00883823">
        <w:rPr>
          <w:rFonts w:cs="Times New Roman"/>
          <w:lang w:val="fr-CA"/>
        </w:rPr>
        <w:t xml:space="preserve">motifs de la juge </w:t>
      </w:r>
      <w:proofErr w:type="spellStart"/>
      <w:r w:rsidRPr="00883823">
        <w:rPr>
          <w:rFonts w:cs="Times New Roman"/>
          <w:lang w:val="fr-CA"/>
        </w:rPr>
        <w:t>Karakatsanis</w:t>
      </w:r>
      <w:proofErr w:type="spellEnd"/>
      <w:r w:rsidRPr="00883823">
        <w:rPr>
          <w:rFonts w:cs="Times New Roman"/>
          <w:lang w:val="fr-CA"/>
        </w:rPr>
        <w:t xml:space="preserve">, </w:t>
      </w:r>
      <w:r>
        <w:rPr>
          <w:rFonts w:cs="Times New Roman"/>
          <w:lang w:val="fr-CA"/>
        </w:rPr>
        <w:t>par. </w:t>
      </w:r>
      <w:r w:rsidRPr="00883823">
        <w:rPr>
          <w:rFonts w:cs="Times New Roman"/>
          <w:lang w:val="fr-CA"/>
        </w:rPr>
        <w:t xml:space="preserve">132). En réalité, comme nous l’expliquons plus loin, il y a de bonnes raisons de </w:t>
      </w:r>
      <w:r w:rsidRPr="00883823">
        <w:rPr>
          <w:rFonts w:cs="Times New Roman"/>
          <w:i/>
          <w:iCs/>
          <w:lang w:val="fr-CA"/>
        </w:rPr>
        <w:t xml:space="preserve">ne pas </w:t>
      </w:r>
      <w:r w:rsidRPr="00883823">
        <w:rPr>
          <w:rFonts w:cs="Times New Roman"/>
          <w:lang w:val="fr-CA"/>
        </w:rPr>
        <w:t>le faire, étant donné que cela risque seulement de compromettre indûment l’exercice de droits.</w:t>
      </w:r>
    </w:p>
    <w:p w14:paraId="1103EFAB" w14:textId="599C5FCB"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En résumé, à notre avis, le tribunal ne peut prononcer constitutionnellement la suspension de l’effet d’une déclaration d’invalidité que pour contrer une menace au principe constitutionnel de la primauté du droit, ce qui englobe les menaces à la sécurité publique. Le tribunal </w:t>
      </w:r>
      <w:r w:rsidRPr="00883823">
        <w:rPr>
          <w:rFonts w:cs="Times New Roman"/>
          <w:i/>
          <w:iCs/>
          <w:lang w:val="fr-CA"/>
        </w:rPr>
        <w:t>doit</w:t>
      </w:r>
      <w:r w:rsidRPr="00883823">
        <w:rPr>
          <w:rFonts w:cs="Times New Roman"/>
          <w:lang w:val="fr-CA"/>
        </w:rPr>
        <w:t xml:space="preserve"> en fait suspendre l’effet de la déclaration d’inv</w:t>
      </w:r>
      <w:r w:rsidR="0025412A">
        <w:rPr>
          <w:rFonts w:cs="Times New Roman"/>
          <w:lang w:val="fr-CA"/>
        </w:rPr>
        <w:t xml:space="preserve">alidité en pareil cas, car </w:t>
      </w:r>
      <w:r w:rsidRPr="00883823">
        <w:rPr>
          <w:rFonts w:cs="Times New Roman"/>
          <w:lang w:val="fr-CA"/>
        </w:rPr>
        <w:t>« [e]n permettant à une telle situation de survenir et en omettant d’y remédier, cette Cour renoncerait à ses fonctions de protectrice et de gardienne de la Constitution » (</w:t>
      </w:r>
      <w:r w:rsidRPr="00883823">
        <w:rPr>
          <w:rFonts w:cs="Times New Roman"/>
          <w:i/>
          <w:lang w:val="fr-CA"/>
        </w:rPr>
        <w:t>Renvoi relatif au Manitoba</w:t>
      </w:r>
      <w:r w:rsidRPr="00883823">
        <w:rPr>
          <w:rFonts w:cs="Times New Roman"/>
          <w:lang w:val="fr-CA"/>
        </w:rPr>
        <w:t xml:space="preserve">, </w:t>
      </w:r>
      <w:r>
        <w:rPr>
          <w:rFonts w:cs="Times New Roman"/>
          <w:lang w:val="fr-CA"/>
        </w:rPr>
        <w:t>p. </w:t>
      </w:r>
      <w:r w:rsidRPr="00883823">
        <w:rPr>
          <w:rFonts w:cs="Times New Roman"/>
          <w:lang w:val="fr-CA"/>
        </w:rPr>
        <w:t xml:space="preserve">753). </w:t>
      </w:r>
    </w:p>
    <w:p w14:paraId="5F0E2A31" w14:textId="77777777" w:rsidR="00F712C6" w:rsidRPr="00883823" w:rsidRDefault="00F712C6" w:rsidP="00F712C6">
      <w:pPr>
        <w:pStyle w:val="Title2LevelTitre2Niveau"/>
        <w:ind w:left="578"/>
        <w:rPr>
          <w:rFonts w:cs="Times New Roman"/>
          <w:lang w:val="fr-CA"/>
        </w:rPr>
      </w:pPr>
      <w:r w:rsidRPr="00883823">
        <w:rPr>
          <w:rFonts w:cs="Times New Roman"/>
          <w:lang w:val="fr-CA"/>
        </w:rPr>
        <w:t xml:space="preserve">Leçons apprises après l’arrêt </w:t>
      </w:r>
      <w:proofErr w:type="spellStart"/>
      <w:r w:rsidRPr="00883823">
        <w:rPr>
          <w:rFonts w:cs="Times New Roman"/>
          <w:lang w:val="fr-CA"/>
        </w:rPr>
        <w:t>Schachter</w:t>
      </w:r>
      <w:proofErr w:type="spellEnd"/>
      <w:r w:rsidRPr="00883823">
        <w:rPr>
          <w:rFonts w:cs="Times New Roman"/>
          <w:lang w:val="fr-CA"/>
        </w:rPr>
        <w:t xml:space="preserve"> </w:t>
      </w:r>
    </w:p>
    <w:p w14:paraId="3D75870C"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Avant d’appliquer ce qui précède aux faits de la présente affaire, nous tenons à ajouter quelques considérations supplémentaires qui justifient un retour aux principes premiers, c’est</w:t>
      </w:r>
      <w:r>
        <w:rPr>
          <w:rFonts w:cs="Times New Roman"/>
          <w:lang w:val="fr-CA"/>
        </w:rPr>
        <w:noBreakHyphen/>
      </w:r>
      <w:r w:rsidRPr="00883823">
        <w:rPr>
          <w:rFonts w:cs="Times New Roman"/>
          <w:lang w:val="fr-CA"/>
        </w:rPr>
        <w:t>à</w:t>
      </w:r>
      <w:r>
        <w:rPr>
          <w:rFonts w:cs="Times New Roman"/>
          <w:lang w:val="fr-CA"/>
        </w:rPr>
        <w:noBreakHyphen/>
      </w:r>
      <w:r w:rsidRPr="00883823">
        <w:rPr>
          <w:rFonts w:cs="Times New Roman"/>
          <w:lang w:val="fr-CA"/>
        </w:rPr>
        <w:t xml:space="preserve">dire aux principes qui permettent de réaffirmer que seule la protection de la primauté du droit justifie de suspendre l’effet d’une déclaration d’invalidité. Ces considérations sont en réalité des enseignements tirés des jugements qui ont été rendus dans la foulée de l’arrêt </w:t>
      </w:r>
      <w:proofErr w:type="spellStart"/>
      <w:r w:rsidRPr="00883823">
        <w:rPr>
          <w:rFonts w:cs="Times New Roman"/>
          <w:i/>
          <w:lang w:val="fr-CA"/>
        </w:rPr>
        <w:t>Schachter</w:t>
      </w:r>
      <w:proofErr w:type="spellEnd"/>
      <w:r w:rsidRPr="00883823">
        <w:rPr>
          <w:rFonts w:cs="Times New Roman"/>
          <w:lang w:val="fr-CA"/>
        </w:rPr>
        <w:t xml:space="preserve"> et qui démontrent pourquoi il est essentiel de restreindre le pouvoir discrétionnaire des tribunaux.</w:t>
      </w:r>
    </w:p>
    <w:p w14:paraId="60CAAAC1"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En premier lieu, il est impératif que les tribunaux fassent preuve de retenue, parce qu’ils risquent d’outrepasser les limites de leurs compétence et capacité institutionnelles en suspendant l’effet d’une déclaration. Il est arrivé à plusieurs reprises que le législateur choisisse de </w:t>
      </w:r>
      <w:r w:rsidRPr="00883823">
        <w:rPr>
          <w:rFonts w:cs="Times New Roman"/>
          <w:i/>
          <w:iCs/>
          <w:lang w:val="fr-CA"/>
        </w:rPr>
        <w:t>ne pas</w:t>
      </w:r>
      <w:r w:rsidRPr="00883823">
        <w:rPr>
          <w:rFonts w:cs="Times New Roman"/>
          <w:lang w:val="fr-CA"/>
        </w:rPr>
        <w:t xml:space="preserve"> adopter une nouvelle loi après la suspension, par notre Cour, de l’effet d’une déclaration d’invalidité (</w:t>
      </w:r>
      <w:proofErr w:type="spellStart"/>
      <w:r w:rsidRPr="00883823">
        <w:rPr>
          <w:rFonts w:cs="Times New Roman"/>
          <w:lang w:val="fr-CA"/>
        </w:rPr>
        <w:t>Choudhry</w:t>
      </w:r>
      <w:proofErr w:type="spellEnd"/>
      <w:r w:rsidRPr="00883823">
        <w:rPr>
          <w:rFonts w:cs="Times New Roman"/>
          <w:lang w:val="fr-CA"/>
        </w:rPr>
        <w:t xml:space="preserve"> et </w:t>
      </w:r>
      <w:proofErr w:type="spellStart"/>
      <w:r w:rsidRPr="00883823">
        <w:rPr>
          <w:rFonts w:cs="Times New Roman"/>
          <w:lang w:val="fr-CA"/>
        </w:rPr>
        <w:t>Roach</w:t>
      </w:r>
      <w:proofErr w:type="spellEnd"/>
      <w:r w:rsidRPr="00883823">
        <w:rPr>
          <w:rFonts w:cs="Times New Roman"/>
          <w:lang w:val="fr-CA"/>
        </w:rPr>
        <w:t xml:space="preserve">, tableau B, </w:t>
      </w:r>
      <w:r>
        <w:rPr>
          <w:rFonts w:cs="Times New Roman"/>
          <w:lang w:val="fr-CA"/>
        </w:rPr>
        <w:t>p. </w:t>
      </w:r>
      <w:r w:rsidRPr="00883823">
        <w:rPr>
          <w:rFonts w:cs="Times New Roman"/>
          <w:lang w:val="fr-CA"/>
        </w:rPr>
        <w:t>257</w:t>
      </w:r>
      <w:r>
        <w:rPr>
          <w:rFonts w:cs="Times New Roman"/>
          <w:lang w:val="fr-CA"/>
        </w:rPr>
        <w:noBreakHyphen/>
      </w:r>
      <w:r w:rsidRPr="00883823">
        <w:rPr>
          <w:rFonts w:cs="Times New Roman"/>
          <w:lang w:val="fr-CA"/>
        </w:rPr>
        <w:t xml:space="preserve">266). Ou, comme dans l’affaire </w:t>
      </w:r>
      <w:proofErr w:type="spellStart"/>
      <w:r w:rsidRPr="00883823">
        <w:rPr>
          <w:rFonts w:cs="Times New Roman"/>
          <w:i/>
          <w:lang w:val="fr-CA"/>
        </w:rPr>
        <w:t>Corbiere</w:t>
      </w:r>
      <w:proofErr w:type="spellEnd"/>
      <w:r w:rsidRPr="00883823">
        <w:rPr>
          <w:rFonts w:cs="Times New Roman"/>
          <w:i/>
          <w:lang w:val="fr-CA"/>
        </w:rPr>
        <w:t xml:space="preserve"> c. Canada (Procureur général)</w:t>
      </w:r>
      <w:r w:rsidRPr="00883823">
        <w:rPr>
          <w:rFonts w:cs="Times New Roman"/>
          <w:lang w:val="fr-CA"/>
        </w:rPr>
        <w:t>, 2015 CSC 15, [2015] 1 R.C.S. 331, [</w:t>
      </w:r>
      <w:r w:rsidRPr="00883823">
        <w:rPr>
          <w:rFonts w:cs="Times New Roman"/>
          <w:smallCaps/>
          <w:lang w:val="fr-CA"/>
        </w:rPr>
        <w:t>traduction</w:t>
      </w:r>
      <w:r w:rsidRPr="00883823">
        <w:rPr>
          <w:rFonts w:cs="Times New Roman"/>
          <w:lang w:val="fr-CA"/>
        </w:rPr>
        <w:t>] « le nouveau régime électoral instauré par le gouvernement était pratiquement identique à celui qui aurait résulté de l’invalidation avec effet immédiat de la loi contestée » (</w:t>
      </w:r>
      <w:proofErr w:type="spellStart"/>
      <w:r w:rsidRPr="00883823">
        <w:rPr>
          <w:rFonts w:cs="Times New Roman"/>
          <w:lang w:val="fr-CA"/>
        </w:rPr>
        <w:t>Hoole</w:t>
      </w:r>
      <w:proofErr w:type="spellEnd"/>
      <w:r w:rsidRPr="00883823">
        <w:rPr>
          <w:rFonts w:cs="Times New Roman"/>
          <w:lang w:val="fr-CA"/>
        </w:rPr>
        <w:t xml:space="preserve">, </w:t>
      </w:r>
      <w:r>
        <w:rPr>
          <w:rFonts w:cs="Times New Roman"/>
          <w:lang w:val="fr-CA"/>
        </w:rPr>
        <w:t>p. </w:t>
      </w:r>
      <w:r w:rsidRPr="00883823">
        <w:rPr>
          <w:rFonts w:cs="Times New Roman"/>
          <w:lang w:val="fr-CA"/>
        </w:rPr>
        <w:t xml:space="preserve">125; voir aussi </w:t>
      </w:r>
      <w:r>
        <w:rPr>
          <w:rFonts w:cs="Times New Roman"/>
          <w:lang w:val="fr-CA"/>
        </w:rPr>
        <w:t>p. </w:t>
      </w:r>
      <w:r w:rsidRPr="00883823">
        <w:rPr>
          <w:rFonts w:cs="Times New Roman"/>
          <w:lang w:val="fr-CA"/>
        </w:rPr>
        <w:t>124 et 126). Une situation aussi regrettable devrait nous faire réfléchir, ne serait</w:t>
      </w:r>
      <w:r>
        <w:rPr>
          <w:rFonts w:cs="Times New Roman"/>
          <w:lang w:val="fr-CA"/>
        </w:rPr>
        <w:noBreakHyphen/>
      </w:r>
      <w:r w:rsidRPr="00883823">
        <w:rPr>
          <w:rFonts w:cs="Times New Roman"/>
          <w:lang w:val="fr-CA"/>
        </w:rPr>
        <w:t>ce que brièvement, sur sa signification</w:t>
      </w:r>
      <w:r>
        <w:rPr>
          <w:rFonts w:cs="Times New Roman"/>
          <w:lang w:val="fr-CA"/>
        </w:rPr>
        <w:t> :</w:t>
      </w:r>
      <w:r w:rsidRPr="00883823">
        <w:rPr>
          <w:rFonts w:cs="Times New Roman"/>
          <w:lang w:val="fr-CA"/>
        </w:rPr>
        <w:t xml:space="preserve"> croyant à tort qu’elle avait la compétence institutionnelle pour bien examiner l’opportunité de suspendre l’effet d’une déclaration d’invalidité, notre Cour a permis trop longtemps que l’on continue ainsi à porter inutilement atteinte à des droits garantis aux Canadiens par la </w:t>
      </w:r>
      <w:r w:rsidRPr="00883823">
        <w:rPr>
          <w:rFonts w:cs="Times New Roman"/>
          <w:i/>
          <w:lang w:val="fr-CA"/>
        </w:rPr>
        <w:t>Charte</w:t>
      </w:r>
      <w:r w:rsidRPr="00883823">
        <w:rPr>
          <w:rFonts w:cs="Times New Roman"/>
          <w:lang w:val="fr-CA"/>
        </w:rPr>
        <w:t xml:space="preserve">. Il s’agit d’une parfaite illustration des dangers de l’activisme judiciaire </w:t>
      </w:r>
      <w:r>
        <w:rPr>
          <w:rFonts w:cs="Times New Roman"/>
          <w:lang w:val="fr-CA"/>
        </w:rPr>
        <w:t xml:space="preserve">— </w:t>
      </w:r>
      <w:r w:rsidRPr="00883823">
        <w:rPr>
          <w:rFonts w:cs="Times New Roman"/>
          <w:lang w:val="fr-CA"/>
        </w:rPr>
        <w:t xml:space="preserve">de législation judiciaire, en fait. </w:t>
      </w:r>
    </w:p>
    <w:p w14:paraId="5A058E52" w14:textId="7AB8D81C"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En revanche, lorsque le tribunal prononce une déclaration d’invalidité avec effet immédiat, [</w:t>
      </w:r>
      <w:r w:rsidRPr="00883823">
        <w:rPr>
          <w:rFonts w:cs="Times New Roman"/>
          <w:smallCaps/>
          <w:lang w:val="fr-CA"/>
        </w:rPr>
        <w:t>traduction</w:t>
      </w:r>
      <w:r w:rsidRPr="00883823">
        <w:rPr>
          <w:rFonts w:cs="Times New Roman"/>
          <w:lang w:val="fr-CA"/>
        </w:rPr>
        <w:t>] « on ne peut parler d’activisme judiciaire [. . .] En réalité, même si c’est le tribunal qui prononce cette déclaration, elle repose en vérité sur [le </w:t>
      </w:r>
      <w:r>
        <w:rPr>
          <w:rFonts w:cs="Times New Roman"/>
          <w:lang w:val="fr-CA"/>
        </w:rPr>
        <w:t>par. </w:t>
      </w:r>
      <w:r w:rsidRPr="00883823">
        <w:rPr>
          <w:rFonts w:cs="Times New Roman"/>
          <w:lang w:val="fr-CA"/>
        </w:rPr>
        <w:t>52(1) de] la constitution originale » (G. C. N. Webber, « </w:t>
      </w:r>
      <w:proofErr w:type="spellStart"/>
      <w:r w:rsidRPr="00883823">
        <w:rPr>
          <w:rFonts w:cs="Times New Roman"/>
          <w:lang w:val="fr-CA"/>
        </w:rPr>
        <w:t>Originalism’s</w:t>
      </w:r>
      <w:proofErr w:type="spellEnd"/>
      <w:r w:rsidRPr="00883823">
        <w:rPr>
          <w:rFonts w:cs="Times New Roman"/>
          <w:lang w:val="fr-CA"/>
        </w:rPr>
        <w:t xml:space="preserve"> Constitution »</w:t>
      </w:r>
      <w:r w:rsidR="002972B9">
        <w:rPr>
          <w:rFonts w:cs="Times New Roman"/>
          <w:lang w:val="fr-CA"/>
        </w:rPr>
        <w:t>,</w:t>
      </w:r>
      <w:r w:rsidRPr="00883823">
        <w:rPr>
          <w:rFonts w:cs="Times New Roman"/>
          <w:lang w:val="fr-CA"/>
        </w:rPr>
        <w:t xml:space="preserve"> dans G. </w:t>
      </w:r>
      <w:proofErr w:type="spellStart"/>
      <w:r>
        <w:rPr>
          <w:rFonts w:cs="Times New Roman"/>
          <w:lang w:val="fr-CA"/>
        </w:rPr>
        <w:t>Huscroft</w:t>
      </w:r>
      <w:proofErr w:type="spellEnd"/>
      <w:r>
        <w:rPr>
          <w:rFonts w:cs="Times New Roman"/>
          <w:lang w:val="fr-CA"/>
        </w:rPr>
        <w:t xml:space="preserve"> et B. W. </w:t>
      </w:r>
      <w:r w:rsidRPr="00883823">
        <w:rPr>
          <w:rFonts w:cs="Times New Roman"/>
          <w:lang w:val="fr-CA"/>
        </w:rPr>
        <w:t xml:space="preserve">Miller, </w:t>
      </w:r>
      <w:proofErr w:type="spellStart"/>
      <w:proofErr w:type="gramStart"/>
      <w:r w:rsidRPr="00883823">
        <w:rPr>
          <w:rFonts w:cs="Times New Roman"/>
          <w:lang w:val="fr-CA"/>
        </w:rPr>
        <w:t>dir</w:t>
      </w:r>
      <w:proofErr w:type="spellEnd"/>
      <w:r w:rsidRPr="00883823">
        <w:rPr>
          <w:rFonts w:cs="Times New Roman"/>
          <w:lang w:val="fr-CA"/>
        </w:rPr>
        <w:t>.,</w:t>
      </w:r>
      <w:proofErr w:type="gramEnd"/>
      <w:r w:rsidRPr="00883823">
        <w:rPr>
          <w:rFonts w:cs="Times New Roman"/>
          <w:lang w:val="fr-CA"/>
        </w:rPr>
        <w:t xml:space="preserve"> </w:t>
      </w:r>
      <w:r w:rsidRPr="00883823">
        <w:rPr>
          <w:rFonts w:cs="Times New Roman"/>
          <w:i/>
          <w:lang w:val="fr-CA"/>
        </w:rPr>
        <w:t xml:space="preserve">The Challenge of </w:t>
      </w:r>
      <w:proofErr w:type="spellStart"/>
      <w:r w:rsidRPr="00883823">
        <w:rPr>
          <w:rFonts w:cs="Times New Roman"/>
          <w:i/>
          <w:lang w:val="fr-CA"/>
        </w:rPr>
        <w:t>Originalism</w:t>
      </w:r>
      <w:proofErr w:type="spellEnd"/>
      <w:r w:rsidR="007F1396">
        <w:rPr>
          <w:rFonts w:cs="Times New Roman"/>
          <w:i/>
          <w:lang w:val="fr-CA"/>
        </w:rPr>
        <w:t> </w:t>
      </w:r>
      <w:r w:rsidRPr="00883823">
        <w:rPr>
          <w:rFonts w:cs="Times New Roman"/>
          <w:i/>
          <w:lang w:val="fr-CA"/>
        </w:rPr>
        <w:t xml:space="preserve">: </w:t>
      </w:r>
      <w:proofErr w:type="spellStart"/>
      <w:r w:rsidRPr="00883823">
        <w:rPr>
          <w:rFonts w:cs="Times New Roman"/>
          <w:i/>
          <w:lang w:val="fr-CA"/>
        </w:rPr>
        <w:t>Theories</w:t>
      </w:r>
      <w:proofErr w:type="spellEnd"/>
      <w:r w:rsidRPr="00883823">
        <w:rPr>
          <w:rFonts w:cs="Times New Roman"/>
          <w:i/>
          <w:lang w:val="fr-CA"/>
        </w:rPr>
        <w:t xml:space="preserve"> of </w:t>
      </w:r>
      <w:proofErr w:type="spellStart"/>
      <w:r w:rsidRPr="00883823">
        <w:rPr>
          <w:rFonts w:cs="Times New Roman"/>
          <w:i/>
          <w:lang w:val="fr-CA"/>
        </w:rPr>
        <w:t>Constitutional</w:t>
      </w:r>
      <w:proofErr w:type="spellEnd"/>
      <w:r w:rsidRPr="00883823">
        <w:rPr>
          <w:rFonts w:cs="Times New Roman"/>
          <w:i/>
          <w:lang w:val="fr-CA"/>
        </w:rPr>
        <w:t xml:space="preserve"> </w:t>
      </w:r>
      <w:proofErr w:type="spellStart"/>
      <w:r w:rsidRPr="00883823">
        <w:rPr>
          <w:rFonts w:cs="Times New Roman"/>
          <w:i/>
          <w:lang w:val="fr-CA"/>
        </w:rPr>
        <w:t>Interpretation</w:t>
      </w:r>
      <w:proofErr w:type="spellEnd"/>
      <w:r w:rsidRPr="00883823">
        <w:rPr>
          <w:rFonts w:cs="Times New Roman"/>
          <w:i/>
          <w:lang w:val="fr-CA"/>
        </w:rPr>
        <w:t xml:space="preserve"> </w:t>
      </w:r>
      <w:r w:rsidRPr="00883823">
        <w:rPr>
          <w:rFonts w:cs="Times New Roman"/>
          <w:lang w:val="fr-CA"/>
        </w:rPr>
        <w:t xml:space="preserve">(2011), 147, </w:t>
      </w:r>
      <w:r>
        <w:rPr>
          <w:rFonts w:cs="Times New Roman"/>
          <w:lang w:val="fr-CA"/>
        </w:rPr>
        <w:t>p. </w:t>
      </w:r>
      <w:r w:rsidRPr="00883823">
        <w:rPr>
          <w:rFonts w:cs="Times New Roman"/>
          <w:lang w:val="fr-CA"/>
        </w:rPr>
        <w:t>166</w:t>
      </w:r>
      <w:r>
        <w:rPr>
          <w:rFonts w:cs="Times New Roman"/>
          <w:lang w:val="fr-CA"/>
        </w:rPr>
        <w:noBreakHyphen/>
      </w:r>
      <w:r w:rsidRPr="00883823">
        <w:rPr>
          <w:rFonts w:cs="Times New Roman"/>
          <w:lang w:val="fr-CA"/>
        </w:rPr>
        <w:t xml:space="preserve">167; voir également </w:t>
      </w:r>
      <w:r w:rsidRPr="00883823">
        <w:rPr>
          <w:rFonts w:cs="Times New Roman"/>
          <w:i/>
          <w:lang w:val="fr-CA"/>
        </w:rPr>
        <w:t>Ferguson</w:t>
      </w:r>
      <w:r w:rsidRPr="00883823">
        <w:rPr>
          <w:rFonts w:cs="Times New Roman"/>
          <w:lang w:val="fr-CA"/>
        </w:rPr>
        <w:t xml:space="preserve">, </w:t>
      </w:r>
      <w:r>
        <w:rPr>
          <w:rFonts w:cs="Times New Roman"/>
          <w:lang w:val="fr-CA"/>
        </w:rPr>
        <w:t>par. </w:t>
      </w:r>
      <w:r w:rsidRPr="00883823">
        <w:rPr>
          <w:rFonts w:cs="Times New Roman"/>
          <w:lang w:val="fr-CA"/>
        </w:rPr>
        <w:t xml:space="preserve">35, et </w:t>
      </w:r>
      <w:r w:rsidRPr="00883823">
        <w:rPr>
          <w:rFonts w:cs="Times New Roman"/>
          <w:i/>
          <w:lang w:val="fr-CA"/>
        </w:rPr>
        <w:t>Nouvelle</w:t>
      </w:r>
      <w:r>
        <w:rPr>
          <w:rFonts w:cs="Times New Roman"/>
          <w:i/>
          <w:lang w:val="fr-CA"/>
        </w:rPr>
        <w:noBreakHyphen/>
      </w:r>
      <w:r w:rsidRPr="00883823">
        <w:rPr>
          <w:rFonts w:cs="Times New Roman"/>
          <w:i/>
          <w:lang w:val="fr-CA"/>
        </w:rPr>
        <w:t>Écosse (</w:t>
      </w:r>
      <w:proofErr w:type="spellStart"/>
      <w:r w:rsidRPr="00883823">
        <w:rPr>
          <w:rFonts w:cs="Times New Roman"/>
          <w:i/>
          <w:lang w:val="fr-CA"/>
        </w:rPr>
        <w:t>Workers</w:t>
      </w:r>
      <w:proofErr w:type="spellEnd"/>
      <w:r w:rsidRPr="00883823">
        <w:rPr>
          <w:rFonts w:cs="Times New Roman"/>
          <w:i/>
          <w:lang w:val="fr-CA"/>
        </w:rPr>
        <w:t xml:space="preserve">’ Compensation </w:t>
      </w:r>
      <w:proofErr w:type="spellStart"/>
      <w:r w:rsidRPr="00883823">
        <w:rPr>
          <w:rFonts w:cs="Times New Roman"/>
          <w:i/>
          <w:lang w:val="fr-CA"/>
        </w:rPr>
        <w:t>Board</w:t>
      </w:r>
      <w:proofErr w:type="spellEnd"/>
      <w:r w:rsidRPr="00883823">
        <w:rPr>
          <w:rFonts w:cs="Times New Roman"/>
          <w:i/>
          <w:lang w:val="fr-CA"/>
        </w:rPr>
        <w:t>) c. Martin</w:t>
      </w:r>
      <w:r w:rsidRPr="00883823">
        <w:rPr>
          <w:rFonts w:cs="Times New Roman"/>
          <w:lang w:val="fr-CA"/>
        </w:rPr>
        <w:t xml:space="preserve">, 2003 CSC 54, [2003] 2 R.C.S. 504, </w:t>
      </w:r>
      <w:r>
        <w:rPr>
          <w:rFonts w:cs="Times New Roman"/>
          <w:lang w:val="fr-CA"/>
        </w:rPr>
        <w:t>par. </w:t>
      </w:r>
      <w:r w:rsidRPr="00883823">
        <w:rPr>
          <w:rFonts w:cs="Times New Roman"/>
          <w:lang w:val="fr-CA"/>
        </w:rPr>
        <w:t>28). La responsabilité de répondre à la déclaration d’invalidité revient alors, comme le prévoit notre Constitution, au législateur — l’organe disposant de la compétence et des moyens nécessaires pour élaborer une réponse appropriée. Non seulement le législateur est</w:t>
      </w:r>
      <w:r>
        <w:rPr>
          <w:rFonts w:cs="Times New Roman"/>
          <w:lang w:val="fr-CA"/>
        </w:rPr>
        <w:noBreakHyphen/>
      </w:r>
      <w:r w:rsidRPr="00883823">
        <w:rPr>
          <w:rFonts w:cs="Times New Roman"/>
          <w:lang w:val="fr-CA"/>
        </w:rPr>
        <w:t xml:space="preserve">il en mesure de répondre dans certains cas à une déclaration d’invalidité avec effet immédiat en recourant au </w:t>
      </w:r>
      <w:proofErr w:type="spellStart"/>
      <w:r>
        <w:rPr>
          <w:rFonts w:cs="Times New Roman"/>
          <w:lang w:val="fr-CA"/>
        </w:rPr>
        <w:t>par</w:t>
      </w:r>
      <w:proofErr w:type="spellEnd"/>
      <w:r>
        <w:rPr>
          <w:rFonts w:cs="Times New Roman"/>
          <w:lang w:val="fr-CA"/>
        </w:rPr>
        <w:t>. </w:t>
      </w:r>
      <w:r w:rsidRPr="00883823">
        <w:rPr>
          <w:rFonts w:cs="Times New Roman"/>
          <w:lang w:val="fr-CA"/>
        </w:rPr>
        <w:t>33(1) (comme nous l’avons déjà vu), mais il peut aussi adopter une loi modifiée avant ou après le prononcé de la décision de la Cour (</w:t>
      </w:r>
      <w:proofErr w:type="spellStart"/>
      <w:r w:rsidRPr="00883823">
        <w:rPr>
          <w:rFonts w:cs="Times New Roman"/>
          <w:lang w:val="fr-CA"/>
        </w:rPr>
        <w:t>Hoole</w:t>
      </w:r>
      <w:proofErr w:type="spellEnd"/>
      <w:r w:rsidRPr="00883823">
        <w:rPr>
          <w:rFonts w:cs="Times New Roman"/>
          <w:lang w:val="fr-CA"/>
        </w:rPr>
        <w:t xml:space="preserve">, </w:t>
      </w:r>
      <w:r>
        <w:rPr>
          <w:rFonts w:cs="Times New Roman"/>
          <w:lang w:val="fr-CA"/>
        </w:rPr>
        <w:t>p. </w:t>
      </w:r>
      <w:r w:rsidRPr="00883823">
        <w:rPr>
          <w:rFonts w:cs="Times New Roman"/>
          <w:lang w:val="fr-CA"/>
        </w:rPr>
        <w:t>120</w:t>
      </w:r>
      <w:r>
        <w:rPr>
          <w:rFonts w:cs="Times New Roman"/>
          <w:lang w:val="fr-CA"/>
        </w:rPr>
        <w:noBreakHyphen/>
      </w:r>
      <w:r w:rsidRPr="00883823">
        <w:rPr>
          <w:rFonts w:cs="Times New Roman"/>
          <w:lang w:val="fr-CA"/>
        </w:rPr>
        <w:t xml:space="preserve">121 et 134; voir, </w:t>
      </w:r>
      <w:r w:rsidR="002972B9">
        <w:rPr>
          <w:rFonts w:cs="Times New Roman"/>
          <w:lang w:val="fr-CA"/>
        </w:rPr>
        <w:t>p. </w:t>
      </w:r>
      <w:r w:rsidRPr="00883823">
        <w:rPr>
          <w:rFonts w:cs="Times New Roman"/>
          <w:lang w:val="fr-CA"/>
        </w:rPr>
        <w:t>ex.,</w:t>
      </w:r>
      <w:r w:rsidRPr="00883823">
        <w:rPr>
          <w:rFonts w:cs="Times New Roman"/>
          <w:i/>
          <w:lang w:val="fr-CA"/>
        </w:rPr>
        <w:t xml:space="preserve"> </w:t>
      </w:r>
      <w:proofErr w:type="spellStart"/>
      <w:r w:rsidRPr="00883823">
        <w:rPr>
          <w:rFonts w:cs="Times New Roman"/>
          <w:i/>
          <w:lang w:val="fr-CA"/>
        </w:rPr>
        <w:t>Schachter</w:t>
      </w:r>
      <w:proofErr w:type="spellEnd"/>
      <w:r w:rsidRPr="00883823">
        <w:rPr>
          <w:rFonts w:cs="Times New Roman"/>
          <w:lang w:val="fr-CA"/>
        </w:rPr>
        <w:t xml:space="preserve">, </w:t>
      </w:r>
      <w:r>
        <w:rPr>
          <w:rFonts w:cs="Times New Roman"/>
          <w:lang w:val="fr-CA"/>
        </w:rPr>
        <w:t>p. </w:t>
      </w:r>
      <w:r w:rsidRPr="00883823">
        <w:rPr>
          <w:rFonts w:cs="Times New Roman"/>
          <w:lang w:val="fr-CA"/>
        </w:rPr>
        <w:t>690 et 724</w:t>
      </w:r>
      <w:r>
        <w:rPr>
          <w:rFonts w:cs="Times New Roman"/>
          <w:lang w:val="fr-CA"/>
        </w:rPr>
        <w:noBreakHyphen/>
      </w:r>
      <w:r w:rsidRPr="00883823">
        <w:rPr>
          <w:rFonts w:cs="Times New Roman"/>
          <w:lang w:val="fr-CA"/>
        </w:rPr>
        <w:t xml:space="preserve">725; </w:t>
      </w:r>
      <w:proofErr w:type="spellStart"/>
      <w:r w:rsidRPr="00883823">
        <w:rPr>
          <w:rFonts w:cs="Times New Roman"/>
          <w:i/>
          <w:lang w:val="fr-CA"/>
        </w:rPr>
        <w:t>Figueroa</w:t>
      </w:r>
      <w:proofErr w:type="spellEnd"/>
      <w:r w:rsidRPr="00883823">
        <w:rPr>
          <w:rFonts w:cs="Times New Roman"/>
          <w:i/>
          <w:lang w:val="fr-CA"/>
        </w:rPr>
        <w:t xml:space="preserve"> c. Canada (Procureur général)</w:t>
      </w:r>
      <w:r w:rsidRPr="00883823">
        <w:rPr>
          <w:rFonts w:cs="Times New Roman"/>
          <w:lang w:val="fr-CA"/>
        </w:rPr>
        <w:t xml:space="preserve">, 2003 CSC 37, [2003] 1 R.C.S. 912, </w:t>
      </w:r>
      <w:r>
        <w:rPr>
          <w:rFonts w:cs="Times New Roman"/>
          <w:lang w:val="fr-CA"/>
        </w:rPr>
        <w:t>par. </w:t>
      </w:r>
      <w:r w:rsidRPr="00883823">
        <w:rPr>
          <w:rFonts w:cs="Times New Roman"/>
          <w:lang w:val="fr-CA"/>
        </w:rPr>
        <w:t xml:space="preserve">92). Comme l’explique </w:t>
      </w:r>
      <w:proofErr w:type="spellStart"/>
      <w:r w:rsidRPr="00883823">
        <w:rPr>
          <w:rFonts w:cs="Times New Roman"/>
          <w:lang w:val="fr-CA"/>
        </w:rPr>
        <w:t>Stavsky</w:t>
      </w:r>
      <w:proofErr w:type="spellEnd"/>
      <w:r>
        <w:rPr>
          <w:rFonts w:cs="Times New Roman"/>
          <w:lang w:val="fr-CA"/>
        </w:rPr>
        <w:t> :</w:t>
      </w:r>
      <w:r w:rsidRPr="00883823">
        <w:rPr>
          <w:rFonts w:cs="Times New Roman"/>
          <w:lang w:val="fr-CA"/>
        </w:rPr>
        <w:t xml:space="preserve"> </w:t>
      </w:r>
    </w:p>
    <w:p w14:paraId="69F89828" w14:textId="795FCB09" w:rsidR="00F712C6" w:rsidRPr="00883823" w:rsidRDefault="00F712C6" w:rsidP="002972B9">
      <w:pPr>
        <w:pStyle w:val="Citation-AltC"/>
        <w:spacing w:after="240"/>
        <w:ind w:left="1168" w:hanging="1168"/>
        <w:contextualSpacing w:val="0"/>
        <w:rPr>
          <w:lang w:val="fr-CA"/>
        </w:rPr>
      </w:pPr>
      <w:r w:rsidRPr="00883823">
        <w:rPr>
          <w:lang w:val="fr-CA"/>
        </w:rPr>
        <w:tab/>
        <w:t>[</w:t>
      </w:r>
      <w:r w:rsidRPr="00883823">
        <w:rPr>
          <w:smallCaps/>
          <w:lang w:val="fr-CA"/>
        </w:rPr>
        <w:t>traduction</w:t>
      </w:r>
      <w:r w:rsidRPr="00883823">
        <w:rPr>
          <w:lang w:val="fr-CA"/>
        </w:rPr>
        <w:t>] Une législature est une entité fonctionnelle, parfaitement capable de s’adapter aux situations les plus diverses. Il est faux de prétendre que les législatures tardent à agir dans les situations d’urgence [. . .] Le système législatif ne comporte aucun obstacle inhérent qui empêche d’intervenir rapidement lorsque cela est nécessaire. [</w:t>
      </w:r>
      <w:r>
        <w:rPr>
          <w:lang w:val="fr-CA"/>
        </w:rPr>
        <w:t>p. </w:t>
      </w:r>
      <w:r w:rsidRPr="00883823">
        <w:rPr>
          <w:lang w:val="fr-CA"/>
        </w:rPr>
        <w:t xml:space="preserve">345] </w:t>
      </w:r>
    </w:p>
    <w:p w14:paraId="00F2249B" w14:textId="74EF00FE" w:rsidR="00F712C6" w:rsidRPr="00883823" w:rsidRDefault="00F712C6" w:rsidP="00F712C6">
      <w:pPr>
        <w:pStyle w:val="ContinueParaSuitedupar-AltP"/>
        <w:rPr>
          <w:rFonts w:cs="Times New Roman"/>
          <w:lang w:val="fr-CA"/>
        </w:rPr>
      </w:pPr>
      <w:r w:rsidRPr="00883823">
        <w:rPr>
          <w:rFonts w:cs="Times New Roman"/>
          <w:lang w:val="fr-CA"/>
        </w:rPr>
        <w:t xml:space="preserve">Au final, il ne faut pas oublier qu’avant l’arrêt </w:t>
      </w:r>
      <w:proofErr w:type="spellStart"/>
      <w:r w:rsidRPr="00883823">
        <w:rPr>
          <w:rFonts w:cs="Times New Roman"/>
          <w:i/>
          <w:lang w:val="fr-CA"/>
        </w:rPr>
        <w:t>Schachter</w:t>
      </w:r>
      <w:proofErr w:type="spellEnd"/>
      <w:r w:rsidRPr="00883823">
        <w:rPr>
          <w:rFonts w:cs="Times New Roman"/>
          <w:lang w:val="fr-CA"/>
        </w:rPr>
        <w:t xml:space="preserve">, les déclarations d’invalidité avec effet immédiat étaient la règle, et que certaines des décisions les plus frappantes de notre Cour ont été rendues en ce sens sans aucune conséquence fâcheuse (voir, </w:t>
      </w:r>
      <w:r>
        <w:rPr>
          <w:rFonts w:cs="Times New Roman"/>
          <w:lang w:val="fr-CA"/>
        </w:rPr>
        <w:t>p. </w:t>
      </w:r>
      <w:r w:rsidRPr="00883823">
        <w:rPr>
          <w:rFonts w:cs="Times New Roman"/>
          <w:lang w:val="fr-CA"/>
        </w:rPr>
        <w:t xml:space="preserve">ex., </w:t>
      </w:r>
      <w:proofErr w:type="spellStart"/>
      <w:r w:rsidRPr="00883823">
        <w:rPr>
          <w:rFonts w:cs="Times New Roman"/>
          <w:i/>
          <w:lang w:val="fr-CA"/>
        </w:rPr>
        <w:t>Big</w:t>
      </w:r>
      <w:proofErr w:type="spellEnd"/>
      <w:r w:rsidRPr="00883823">
        <w:rPr>
          <w:rFonts w:cs="Times New Roman"/>
          <w:i/>
          <w:lang w:val="fr-CA"/>
        </w:rPr>
        <w:t xml:space="preserve"> M Drug </w:t>
      </w:r>
      <w:proofErr w:type="spellStart"/>
      <w:r w:rsidRPr="00883823">
        <w:rPr>
          <w:rFonts w:cs="Times New Roman"/>
          <w:i/>
          <w:lang w:val="fr-CA"/>
        </w:rPr>
        <w:t>Mart</w:t>
      </w:r>
      <w:proofErr w:type="spellEnd"/>
      <w:r w:rsidRPr="00883823">
        <w:rPr>
          <w:rFonts w:cs="Times New Roman"/>
          <w:lang w:val="fr-CA"/>
        </w:rPr>
        <w:t xml:space="preserve">; </w:t>
      </w:r>
      <w:r w:rsidRPr="00883823">
        <w:rPr>
          <w:rFonts w:cs="Times New Roman"/>
          <w:i/>
          <w:lang w:val="fr-CA"/>
        </w:rPr>
        <w:t>R. c. Morgentaler</w:t>
      </w:r>
      <w:r w:rsidRPr="00883823">
        <w:rPr>
          <w:rFonts w:cs="Times New Roman"/>
          <w:lang w:val="fr-CA"/>
        </w:rPr>
        <w:t xml:space="preserve">, [1988] 1 R.C.S. 30; </w:t>
      </w:r>
      <w:r w:rsidRPr="00883823">
        <w:rPr>
          <w:rFonts w:cs="Times New Roman"/>
          <w:i/>
          <w:lang w:val="fr-CA"/>
        </w:rPr>
        <w:t xml:space="preserve">Saumur c. </w:t>
      </w:r>
      <w:r>
        <w:rPr>
          <w:rFonts w:cs="Times New Roman"/>
          <w:i/>
          <w:lang w:val="fr-CA"/>
        </w:rPr>
        <w:t>City of</w:t>
      </w:r>
      <w:r w:rsidR="007F1396">
        <w:rPr>
          <w:rFonts w:cs="Times New Roman"/>
          <w:i/>
          <w:lang w:val="fr-CA"/>
        </w:rPr>
        <w:t xml:space="preserve"> </w:t>
      </w:r>
      <w:proofErr w:type="spellStart"/>
      <w:r w:rsidR="007F1396">
        <w:rPr>
          <w:rFonts w:cs="Times New Roman"/>
          <w:i/>
          <w:lang w:val="fr-CA"/>
        </w:rPr>
        <w:t>Que</w:t>
      </w:r>
      <w:r w:rsidRPr="00883823">
        <w:rPr>
          <w:rFonts w:cs="Times New Roman"/>
          <w:i/>
          <w:lang w:val="fr-CA"/>
        </w:rPr>
        <w:t>bec</w:t>
      </w:r>
      <w:proofErr w:type="spellEnd"/>
      <w:r w:rsidRPr="00883823">
        <w:rPr>
          <w:rFonts w:cs="Times New Roman"/>
          <w:lang w:val="fr-CA"/>
        </w:rPr>
        <w:t>, [1953] 2 </w:t>
      </w:r>
      <w:proofErr w:type="spellStart"/>
      <w:r w:rsidRPr="00883823">
        <w:rPr>
          <w:rFonts w:cs="Times New Roman"/>
          <w:lang w:val="fr-CA"/>
        </w:rPr>
        <w:t>R.C.S</w:t>
      </w:r>
      <w:proofErr w:type="spellEnd"/>
      <w:r w:rsidRPr="00883823">
        <w:rPr>
          <w:rFonts w:cs="Times New Roman"/>
          <w:lang w:val="fr-CA"/>
        </w:rPr>
        <w:t xml:space="preserve">. 299; </w:t>
      </w:r>
      <w:r w:rsidRPr="00883823">
        <w:rPr>
          <w:rFonts w:cs="Times New Roman"/>
          <w:i/>
          <w:lang w:val="fr-CA"/>
        </w:rPr>
        <w:t xml:space="preserve">R. c. </w:t>
      </w:r>
      <w:proofErr w:type="spellStart"/>
      <w:r w:rsidRPr="00883823">
        <w:rPr>
          <w:rFonts w:cs="Times New Roman"/>
          <w:i/>
          <w:lang w:val="fr-CA"/>
        </w:rPr>
        <w:t>Oakes</w:t>
      </w:r>
      <w:proofErr w:type="spellEnd"/>
      <w:r w:rsidRPr="00883823">
        <w:rPr>
          <w:rFonts w:cs="Times New Roman"/>
          <w:lang w:val="fr-CA"/>
        </w:rPr>
        <w:t xml:space="preserve">, [1986] 1 </w:t>
      </w:r>
      <w:proofErr w:type="spellStart"/>
      <w:r w:rsidRPr="00883823">
        <w:rPr>
          <w:rFonts w:cs="Times New Roman"/>
          <w:lang w:val="fr-CA"/>
        </w:rPr>
        <w:t>R.C.S</w:t>
      </w:r>
      <w:proofErr w:type="spellEnd"/>
      <w:r w:rsidRPr="00883823">
        <w:rPr>
          <w:rFonts w:cs="Times New Roman"/>
          <w:lang w:val="fr-CA"/>
        </w:rPr>
        <w:t>. 103). À notre connaissance, personne n’a signalé que le Parlement ou les législatures provinciales avaient par le passé eu de la difficulté à répondre à des déclarations d’invalidité avec effet immédiat, et ce serait pure conjecture de la part de notre Cour de se demander s’ils en auraient maintenant.</w:t>
      </w:r>
    </w:p>
    <w:p w14:paraId="6472FB44"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Deuxièmement, le retour à la norme de la déclaration avec effet immédiat aurait pour effet d’empêcher notre Cour de se livrer à l’exercice particulièrement arbitraire et malavisé consistant à établir la durée d’une suspension. Dans le </w:t>
      </w:r>
      <w:r w:rsidRPr="00883823">
        <w:rPr>
          <w:rFonts w:cs="Times New Roman"/>
          <w:i/>
          <w:lang w:val="fr-CA"/>
        </w:rPr>
        <w:t>Renvoi relatif au Manitoba</w:t>
      </w:r>
      <w:r w:rsidRPr="00883823">
        <w:rPr>
          <w:rFonts w:cs="Times New Roman"/>
          <w:lang w:val="fr-CA"/>
        </w:rPr>
        <w:t>, la Cour a reconnu ses limites à cet égard</w:t>
      </w:r>
      <w:r>
        <w:rPr>
          <w:rFonts w:cs="Times New Roman"/>
          <w:lang w:val="fr-CA"/>
        </w:rPr>
        <w:t> :</w:t>
      </w:r>
      <w:r w:rsidRPr="00883823">
        <w:rPr>
          <w:rFonts w:cs="Times New Roman"/>
          <w:lang w:val="fr-CA"/>
        </w:rPr>
        <w:t xml:space="preserve"> « Compte tenu de la documentation dont elle dispose actuellement, la Cour est incapable de déterminer le délai pendant lequel » l’effet d’une déclaration d’invalidité devrait être suspendu (</w:t>
      </w:r>
      <w:r>
        <w:rPr>
          <w:rFonts w:cs="Times New Roman"/>
          <w:lang w:val="fr-CA"/>
        </w:rPr>
        <w:t>p. </w:t>
      </w:r>
      <w:r w:rsidRPr="00883823">
        <w:rPr>
          <w:rFonts w:cs="Times New Roman"/>
          <w:lang w:val="fr-CA"/>
        </w:rPr>
        <w:t xml:space="preserve">769). Rien dans ce que nous avons vu depuis que cet arrêt a été rendu il y a 35 ans ne nous convainc que cette situation a fondamentalement changé. </w:t>
      </w:r>
    </w:p>
    <w:p w14:paraId="2A1E38F2" w14:textId="2E5F5F14"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L’incapacité institutionnelle des tribunaux à estimer le délai nécessaire n’est que renforcée [</w:t>
      </w:r>
      <w:r w:rsidRPr="00883823">
        <w:rPr>
          <w:rFonts w:cs="Times New Roman"/>
          <w:smallCaps/>
          <w:lang w:val="fr-CA"/>
        </w:rPr>
        <w:t>traduction</w:t>
      </w:r>
      <w:r w:rsidRPr="00883823">
        <w:rPr>
          <w:rFonts w:cs="Times New Roman"/>
          <w:lang w:val="fr-CA"/>
        </w:rPr>
        <w:t>] « si le gouvernement n’est pas majoritaire, la discipline de parti est affaiblie ou la chambre haute non élue du Parlement fédéral exerce ses pouvoirs »</w:t>
      </w:r>
      <w:r>
        <w:rPr>
          <w:rFonts w:cs="Times New Roman"/>
          <w:lang w:val="fr-CA"/>
        </w:rPr>
        <w:t xml:space="preserve"> (K. </w:t>
      </w:r>
      <w:proofErr w:type="spellStart"/>
      <w:r w:rsidRPr="00883823">
        <w:rPr>
          <w:rFonts w:cs="Times New Roman"/>
          <w:lang w:val="fr-CA"/>
        </w:rPr>
        <w:t>Roach</w:t>
      </w:r>
      <w:proofErr w:type="spellEnd"/>
      <w:r w:rsidRPr="00883823">
        <w:rPr>
          <w:rFonts w:cs="Times New Roman"/>
          <w:lang w:val="fr-CA"/>
        </w:rPr>
        <w:t xml:space="preserve">, « The </w:t>
      </w:r>
      <w:proofErr w:type="spellStart"/>
      <w:r w:rsidRPr="00883823">
        <w:rPr>
          <w:rFonts w:cs="Times New Roman"/>
          <w:lang w:val="fr-CA"/>
        </w:rPr>
        <w:t>Separation</w:t>
      </w:r>
      <w:proofErr w:type="spellEnd"/>
      <w:r w:rsidRPr="00883823">
        <w:rPr>
          <w:rFonts w:cs="Times New Roman"/>
          <w:lang w:val="fr-CA"/>
        </w:rPr>
        <w:t xml:space="preserve"> and </w:t>
      </w:r>
      <w:proofErr w:type="spellStart"/>
      <w:r w:rsidRPr="00883823">
        <w:rPr>
          <w:rFonts w:cs="Times New Roman"/>
          <w:lang w:val="fr-CA"/>
        </w:rPr>
        <w:t>Interconnection</w:t>
      </w:r>
      <w:proofErr w:type="spellEnd"/>
      <w:r w:rsidRPr="00883823">
        <w:rPr>
          <w:rFonts w:cs="Times New Roman"/>
          <w:lang w:val="fr-CA"/>
        </w:rPr>
        <w:t xml:space="preserve"> of </w:t>
      </w:r>
      <w:proofErr w:type="spellStart"/>
      <w:r w:rsidRPr="00883823">
        <w:rPr>
          <w:rFonts w:cs="Times New Roman"/>
          <w:lang w:val="fr-CA"/>
        </w:rPr>
        <w:t>Powers</w:t>
      </w:r>
      <w:proofErr w:type="spellEnd"/>
      <w:r w:rsidRPr="00883823">
        <w:rPr>
          <w:rFonts w:cs="Times New Roman"/>
          <w:lang w:val="fr-CA"/>
        </w:rPr>
        <w:t xml:space="preserve"> in Canada</w:t>
      </w:r>
      <w:r w:rsidR="00DF13A5">
        <w:rPr>
          <w:rFonts w:cs="Times New Roman"/>
          <w:lang w:val="fr-CA"/>
        </w:rPr>
        <w:t> </w:t>
      </w:r>
      <w:r w:rsidRPr="00883823">
        <w:rPr>
          <w:rFonts w:cs="Times New Roman"/>
          <w:lang w:val="fr-CA"/>
        </w:rPr>
        <w:t xml:space="preserve">: The </w:t>
      </w:r>
      <w:proofErr w:type="spellStart"/>
      <w:r w:rsidRPr="00883823">
        <w:rPr>
          <w:rFonts w:cs="Times New Roman"/>
          <w:lang w:val="fr-CA"/>
        </w:rPr>
        <w:t>Role</w:t>
      </w:r>
      <w:proofErr w:type="spellEnd"/>
      <w:r w:rsidRPr="00883823">
        <w:rPr>
          <w:rFonts w:cs="Times New Roman"/>
          <w:lang w:val="fr-CA"/>
        </w:rPr>
        <w:t xml:space="preserve"> of Courts, the </w:t>
      </w:r>
      <w:proofErr w:type="spellStart"/>
      <w:r w:rsidRPr="00883823">
        <w:rPr>
          <w:rFonts w:cs="Times New Roman"/>
          <w:lang w:val="fr-CA"/>
        </w:rPr>
        <w:t>Executive</w:t>
      </w:r>
      <w:proofErr w:type="spellEnd"/>
      <w:r w:rsidRPr="00883823">
        <w:rPr>
          <w:rFonts w:cs="Times New Roman"/>
          <w:lang w:val="fr-CA"/>
        </w:rPr>
        <w:t xml:space="preserve"> and the </w:t>
      </w:r>
      <w:proofErr w:type="spellStart"/>
      <w:r w:rsidRPr="00883823">
        <w:rPr>
          <w:rFonts w:cs="Times New Roman"/>
          <w:lang w:val="fr-CA"/>
        </w:rPr>
        <w:t>Legislature</w:t>
      </w:r>
      <w:proofErr w:type="spellEnd"/>
      <w:r w:rsidRPr="00883823">
        <w:rPr>
          <w:rFonts w:cs="Times New Roman"/>
          <w:lang w:val="fr-CA"/>
        </w:rPr>
        <w:t xml:space="preserve"> in </w:t>
      </w:r>
      <w:proofErr w:type="spellStart"/>
      <w:r w:rsidRPr="00883823">
        <w:rPr>
          <w:rFonts w:cs="Times New Roman"/>
          <w:lang w:val="fr-CA"/>
        </w:rPr>
        <w:t>Crafting</w:t>
      </w:r>
      <w:proofErr w:type="spellEnd"/>
      <w:r w:rsidRPr="00883823">
        <w:rPr>
          <w:rFonts w:cs="Times New Roman"/>
          <w:lang w:val="fr-CA"/>
        </w:rPr>
        <w:t xml:space="preserve"> </w:t>
      </w:r>
      <w:proofErr w:type="spellStart"/>
      <w:r w:rsidRPr="00883823">
        <w:rPr>
          <w:rFonts w:cs="Times New Roman"/>
          <w:lang w:val="fr-CA"/>
        </w:rPr>
        <w:t>Constitutional</w:t>
      </w:r>
      <w:proofErr w:type="spellEnd"/>
      <w:r w:rsidRPr="00883823">
        <w:rPr>
          <w:rFonts w:cs="Times New Roman"/>
          <w:lang w:val="fr-CA"/>
        </w:rPr>
        <w:t xml:space="preserve"> </w:t>
      </w:r>
      <w:proofErr w:type="spellStart"/>
      <w:r w:rsidRPr="00883823">
        <w:rPr>
          <w:rFonts w:cs="Times New Roman"/>
          <w:lang w:val="fr-CA"/>
        </w:rPr>
        <w:t>Remedies</w:t>
      </w:r>
      <w:proofErr w:type="spellEnd"/>
      <w:r w:rsidRPr="00883823">
        <w:rPr>
          <w:rFonts w:cs="Times New Roman"/>
          <w:lang w:val="fr-CA"/>
        </w:rPr>
        <w:t xml:space="preserve"> » (2018), </w:t>
      </w:r>
      <w:r w:rsidRPr="00883823">
        <w:rPr>
          <w:rFonts w:cs="Times New Roman"/>
          <w:i/>
          <w:lang w:val="fr-CA"/>
        </w:rPr>
        <w:t xml:space="preserve">J. </w:t>
      </w:r>
      <w:proofErr w:type="spellStart"/>
      <w:r w:rsidRPr="00883823">
        <w:rPr>
          <w:rFonts w:cs="Times New Roman"/>
          <w:i/>
          <w:lang w:val="fr-CA"/>
        </w:rPr>
        <w:t>Int’l</w:t>
      </w:r>
      <w:proofErr w:type="spellEnd"/>
      <w:r w:rsidRPr="00883823">
        <w:rPr>
          <w:rFonts w:cs="Times New Roman"/>
          <w:i/>
          <w:lang w:val="fr-CA"/>
        </w:rPr>
        <w:t xml:space="preserve"> </w:t>
      </w:r>
      <w:proofErr w:type="spellStart"/>
      <w:r w:rsidRPr="00883823">
        <w:rPr>
          <w:rFonts w:cs="Times New Roman"/>
          <w:i/>
          <w:lang w:val="fr-CA"/>
        </w:rPr>
        <w:t>Com</w:t>
      </w:r>
      <w:r>
        <w:rPr>
          <w:rFonts w:cs="Times New Roman"/>
          <w:i/>
          <w:lang w:val="fr-CA"/>
        </w:rPr>
        <w:t>p</w:t>
      </w:r>
      <w:proofErr w:type="spellEnd"/>
      <w:r>
        <w:rPr>
          <w:rFonts w:cs="Times New Roman"/>
          <w:i/>
          <w:lang w:val="fr-CA"/>
        </w:rPr>
        <w:t>. </w:t>
      </w:r>
      <w:r w:rsidRPr="00883823">
        <w:rPr>
          <w:rFonts w:cs="Times New Roman"/>
          <w:i/>
          <w:lang w:val="fr-CA"/>
        </w:rPr>
        <w:t xml:space="preserve">L. </w:t>
      </w:r>
      <w:r w:rsidRPr="00883823">
        <w:rPr>
          <w:rFonts w:cs="Times New Roman"/>
          <w:lang w:val="fr-CA"/>
        </w:rPr>
        <w:t xml:space="preserve">315, </w:t>
      </w:r>
      <w:r>
        <w:rPr>
          <w:rFonts w:cs="Times New Roman"/>
          <w:lang w:val="fr-CA"/>
        </w:rPr>
        <w:t>p. </w:t>
      </w:r>
      <w:r w:rsidRPr="00883823">
        <w:rPr>
          <w:rFonts w:cs="Times New Roman"/>
          <w:lang w:val="fr-CA"/>
        </w:rPr>
        <w:t xml:space="preserve">335). Il n’est donc guère étonnant que, comme en l’espèce (voir les motifs de la juge </w:t>
      </w:r>
      <w:proofErr w:type="spellStart"/>
      <w:r w:rsidRPr="00883823">
        <w:rPr>
          <w:rFonts w:cs="Times New Roman"/>
          <w:lang w:val="fr-CA"/>
        </w:rPr>
        <w:t>Karakatsanis</w:t>
      </w:r>
      <w:proofErr w:type="spellEnd"/>
      <w:r w:rsidRPr="00883823">
        <w:rPr>
          <w:rFonts w:cs="Times New Roman"/>
          <w:lang w:val="fr-CA"/>
        </w:rPr>
        <w:t xml:space="preserve">, </w:t>
      </w:r>
      <w:r>
        <w:rPr>
          <w:rFonts w:cs="Times New Roman"/>
          <w:lang w:val="fr-CA"/>
        </w:rPr>
        <w:t>par. </w:t>
      </w:r>
      <w:r w:rsidRPr="00883823">
        <w:rPr>
          <w:rFonts w:cs="Times New Roman"/>
          <w:lang w:val="fr-CA"/>
        </w:rPr>
        <w:t>179), notre Cour semble souvent [</w:t>
      </w:r>
      <w:r w:rsidRPr="00883823">
        <w:rPr>
          <w:rFonts w:cs="Times New Roman"/>
          <w:smallCaps/>
          <w:lang w:val="fr-CA"/>
        </w:rPr>
        <w:t>traduction</w:t>
      </w:r>
      <w:r w:rsidRPr="00883823">
        <w:rPr>
          <w:rFonts w:cs="Times New Roman"/>
          <w:lang w:val="fr-CA"/>
        </w:rPr>
        <w:t>] « peu disposée à expliquer pourquoi ses longues périodes de suspension sont indiquées » (A. van </w:t>
      </w:r>
      <w:proofErr w:type="spellStart"/>
      <w:r w:rsidRPr="00883823">
        <w:rPr>
          <w:rFonts w:cs="Times New Roman"/>
          <w:lang w:val="fr-CA"/>
        </w:rPr>
        <w:t>Kralingen</w:t>
      </w:r>
      <w:proofErr w:type="spellEnd"/>
      <w:r w:rsidRPr="00883823">
        <w:rPr>
          <w:rFonts w:cs="Times New Roman"/>
          <w:lang w:val="fr-CA"/>
        </w:rPr>
        <w:t>, «</w:t>
      </w:r>
      <w:r>
        <w:rPr>
          <w:rFonts w:cs="Times New Roman"/>
          <w:lang w:val="fr-CA"/>
        </w:rPr>
        <w:t> </w:t>
      </w:r>
      <w:r w:rsidRPr="00883823">
        <w:rPr>
          <w:rFonts w:cs="Times New Roman"/>
          <w:lang w:val="fr-CA"/>
        </w:rPr>
        <w:t xml:space="preserve">The </w:t>
      </w:r>
      <w:proofErr w:type="spellStart"/>
      <w:r w:rsidRPr="00883823">
        <w:rPr>
          <w:rFonts w:cs="Times New Roman"/>
          <w:lang w:val="fr-CA"/>
        </w:rPr>
        <w:t>Dialogic</w:t>
      </w:r>
      <w:proofErr w:type="spellEnd"/>
      <w:r w:rsidRPr="00883823">
        <w:rPr>
          <w:rFonts w:cs="Times New Roman"/>
          <w:lang w:val="fr-CA"/>
        </w:rPr>
        <w:t xml:space="preserve"> Saga of </w:t>
      </w:r>
      <w:proofErr w:type="spellStart"/>
      <w:r w:rsidRPr="00883823">
        <w:rPr>
          <w:rFonts w:cs="Times New Roman"/>
          <w:lang w:val="fr-CA"/>
        </w:rPr>
        <w:t>Same</w:t>
      </w:r>
      <w:r>
        <w:rPr>
          <w:rFonts w:cs="Times New Roman"/>
          <w:lang w:val="fr-CA"/>
        </w:rPr>
        <w:noBreakHyphen/>
      </w:r>
      <w:r w:rsidRPr="00883823">
        <w:rPr>
          <w:rFonts w:cs="Times New Roman"/>
          <w:lang w:val="fr-CA"/>
        </w:rPr>
        <w:t>Sex</w:t>
      </w:r>
      <w:proofErr w:type="spellEnd"/>
      <w:r w:rsidRPr="00883823">
        <w:rPr>
          <w:rFonts w:cs="Times New Roman"/>
          <w:lang w:val="fr-CA"/>
        </w:rPr>
        <w:t xml:space="preserve"> </w:t>
      </w:r>
      <w:proofErr w:type="spellStart"/>
      <w:r w:rsidRPr="00883823">
        <w:rPr>
          <w:rFonts w:cs="Times New Roman"/>
          <w:lang w:val="fr-CA"/>
        </w:rPr>
        <w:t>Marriage</w:t>
      </w:r>
      <w:proofErr w:type="spellEnd"/>
      <w:r w:rsidR="00DF13A5">
        <w:rPr>
          <w:rFonts w:cs="Times New Roman"/>
          <w:lang w:val="fr-CA"/>
        </w:rPr>
        <w:t> </w:t>
      </w:r>
      <w:r w:rsidRPr="00883823">
        <w:rPr>
          <w:rFonts w:cs="Times New Roman"/>
          <w:lang w:val="fr-CA"/>
        </w:rPr>
        <w:t xml:space="preserve">: </w:t>
      </w:r>
      <w:proofErr w:type="spellStart"/>
      <w:r w:rsidRPr="00883823">
        <w:rPr>
          <w:rFonts w:cs="Times New Roman"/>
          <w:i/>
          <w:lang w:val="fr-CA"/>
        </w:rPr>
        <w:t>EGALE</w:t>
      </w:r>
      <w:proofErr w:type="spellEnd"/>
      <w:r w:rsidRPr="00883823">
        <w:rPr>
          <w:rFonts w:cs="Times New Roman"/>
          <w:lang w:val="fr-CA"/>
        </w:rPr>
        <w:t xml:space="preserve">, </w:t>
      </w:r>
      <w:r w:rsidRPr="00883823">
        <w:rPr>
          <w:rFonts w:cs="Times New Roman"/>
          <w:i/>
          <w:lang w:val="fr-CA"/>
        </w:rPr>
        <w:t>Halpern</w:t>
      </w:r>
      <w:r w:rsidRPr="00883823">
        <w:rPr>
          <w:rFonts w:cs="Times New Roman"/>
          <w:lang w:val="fr-CA"/>
        </w:rPr>
        <w:t xml:space="preserve">, and the Relationship </w:t>
      </w:r>
      <w:proofErr w:type="spellStart"/>
      <w:r w:rsidRPr="00883823">
        <w:rPr>
          <w:rFonts w:cs="Times New Roman"/>
          <w:lang w:val="fr-CA"/>
        </w:rPr>
        <w:t>Between</w:t>
      </w:r>
      <w:proofErr w:type="spellEnd"/>
      <w:r w:rsidRPr="00883823">
        <w:rPr>
          <w:rFonts w:cs="Times New Roman"/>
          <w:lang w:val="fr-CA"/>
        </w:rPr>
        <w:t xml:space="preserve"> </w:t>
      </w:r>
      <w:proofErr w:type="spellStart"/>
      <w:r w:rsidRPr="00883823">
        <w:rPr>
          <w:rFonts w:cs="Times New Roman"/>
          <w:lang w:val="fr-CA"/>
        </w:rPr>
        <w:t>Suspended</w:t>
      </w:r>
      <w:proofErr w:type="spellEnd"/>
      <w:r w:rsidRPr="00883823">
        <w:rPr>
          <w:rFonts w:cs="Times New Roman"/>
          <w:lang w:val="fr-CA"/>
        </w:rPr>
        <w:t xml:space="preserve"> </w:t>
      </w:r>
      <w:proofErr w:type="spellStart"/>
      <w:r w:rsidRPr="00883823">
        <w:rPr>
          <w:rFonts w:cs="Times New Roman"/>
          <w:lang w:val="fr-CA"/>
        </w:rPr>
        <w:t>Declarations</w:t>
      </w:r>
      <w:proofErr w:type="spellEnd"/>
      <w:r w:rsidRPr="00883823">
        <w:rPr>
          <w:rFonts w:cs="Times New Roman"/>
          <w:lang w:val="fr-CA"/>
        </w:rPr>
        <w:t xml:space="preserve"> and Productive </w:t>
      </w:r>
      <w:proofErr w:type="spellStart"/>
      <w:r w:rsidRPr="00883823">
        <w:rPr>
          <w:rFonts w:cs="Times New Roman"/>
          <w:lang w:val="fr-CA"/>
        </w:rPr>
        <w:t>Political</w:t>
      </w:r>
      <w:proofErr w:type="spellEnd"/>
      <w:r w:rsidRPr="00883823">
        <w:rPr>
          <w:rFonts w:cs="Times New Roman"/>
          <w:lang w:val="fr-CA"/>
        </w:rPr>
        <w:t xml:space="preserve"> </w:t>
      </w:r>
      <w:proofErr w:type="spellStart"/>
      <w:r w:rsidRPr="00883823">
        <w:rPr>
          <w:rFonts w:cs="Times New Roman"/>
          <w:lang w:val="fr-CA"/>
        </w:rPr>
        <w:t>Discourse</w:t>
      </w:r>
      <w:proofErr w:type="spellEnd"/>
      <w:r w:rsidRPr="00883823">
        <w:rPr>
          <w:rFonts w:cs="Times New Roman"/>
          <w:lang w:val="fr-CA"/>
        </w:rPr>
        <w:t xml:space="preserve"> About </w:t>
      </w:r>
      <w:proofErr w:type="spellStart"/>
      <w:r w:rsidRPr="00883823">
        <w:rPr>
          <w:rFonts w:cs="Times New Roman"/>
          <w:lang w:val="fr-CA"/>
        </w:rPr>
        <w:t>Rights</w:t>
      </w:r>
      <w:proofErr w:type="spellEnd"/>
      <w:r>
        <w:rPr>
          <w:rFonts w:cs="Times New Roman"/>
          <w:lang w:val="fr-CA"/>
        </w:rPr>
        <w:t> </w:t>
      </w:r>
      <w:r w:rsidRPr="00883823">
        <w:rPr>
          <w:rFonts w:cs="Times New Roman"/>
          <w:lang w:val="fr-CA"/>
        </w:rPr>
        <w:t xml:space="preserve">» (2004), 62 </w:t>
      </w:r>
      <w:r w:rsidRPr="00883823">
        <w:rPr>
          <w:rFonts w:cs="Times New Roman"/>
          <w:i/>
          <w:lang w:val="fr-CA"/>
        </w:rPr>
        <w:t xml:space="preserve">U.T. Fac. L. </w:t>
      </w:r>
      <w:proofErr w:type="spellStart"/>
      <w:r w:rsidRPr="00883823">
        <w:rPr>
          <w:rFonts w:cs="Times New Roman"/>
          <w:i/>
          <w:lang w:val="fr-CA"/>
        </w:rPr>
        <w:t>Rev</w:t>
      </w:r>
      <w:proofErr w:type="spellEnd"/>
      <w:r w:rsidRPr="00883823">
        <w:rPr>
          <w:rFonts w:cs="Times New Roman"/>
          <w:i/>
          <w:lang w:val="fr-CA"/>
        </w:rPr>
        <w:t>.</w:t>
      </w:r>
      <w:r w:rsidRPr="00883823">
        <w:rPr>
          <w:rFonts w:cs="Times New Roman"/>
          <w:lang w:val="fr-CA"/>
        </w:rPr>
        <w:t xml:space="preserve"> 149, </w:t>
      </w:r>
      <w:r>
        <w:rPr>
          <w:rFonts w:cs="Times New Roman"/>
          <w:lang w:val="fr-CA"/>
        </w:rPr>
        <w:t>p. </w:t>
      </w:r>
      <w:r w:rsidRPr="00883823">
        <w:rPr>
          <w:rFonts w:cs="Times New Roman"/>
          <w:lang w:val="fr-CA"/>
        </w:rPr>
        <w:t xml:space="preserve">176; voir, </w:t>
      </w:r>
      <w:r w:rsidR="002972B9">
        <w:rPr>
          <w:rFonts w:cs="Times New Roman"/>
          <w:lang w:val="fr-CA"/>
        </w:rPr>
        <w:t>p. </w:t>
      </w:r>
      <w:r w:rsidRPr="00883823">
        <w:rPr>
          <w:rFonts w:cs="Times New Roman"/>
          <w:lang w:val="fr-CA"/>
        </w:rPr>
        <w:t xml:space="preserve">ex., </w:t>
      </w:r>
      <w:proofErr w:type="spellStart"/>
      <w:r w:rsidRPr="00883823">
        <w:rPr>
          <w:rFonts w:cs="Times New Roman"/>
          <w:i/>
          <w:lang w:val="fr-CA"/>
        </w:rPr>
        <w:t>Corbiere</w:t>
      </w:r>
      <w:proofErr w:type="spellEnd"/>
      <w:r w:rsidRPr="00883823">
        <w:rPr>
          <w:rFonts w:cs="Times New Roman"/>
          <w:lang w:val="fr-CA"/>
        </w:rPr>
        <w:t xml:space="preserve">, </w:t>
      </w:r>
      <w:r>
        <w:rPr>
          <w:rFonts w:cs="Times New Roman"/>
          <w:lang w:val="fr-CA"/>
        </w:rPr>
        <w:t>par. </w:t>
      </w:r>
      <w:r w:rsidRPr="00883823">
        <w:rPr>
          <w:rFonts w:cs="Times New Roman"/>
          <w:lang w:val="fr-CA"/>
        </w:rPr>
        <w:t xml:space="preserve">27) et qu’elle se contente de recourir à des durées types de </w:t>
      </w:r>
      <w:r w:rsidR="002972B9">
        <w:rPr>
          <w:rFonts w:cs="Times New Roman"/>
          <w:lang w:val="fr-CA"/>
        </w:rPr>
        <w:t>6</w:t>
      </w:r>
      <w:r w:rsidRPr="00883823">
        <w:rPr>
          <w:rFonts w:cs="Times New Roman"/>
          <w:lang w:val="fr-CA"/>
        </w:rPr>
        <w:t xml:space="preserve"> mois, </w:t>
      </w:r>
      <w:r w:rsidR="002972B9">
        <w:rPr>
          <w:rFonts w:cs="Times New Roman"/>
          <w:lang w:val="fr-CA"/>
        </w:rPr>
        <w:t>1</w:t>
      </w:r>
      <w:r w:rsidRPr="00883823">
        <w:rPr>
          <w:rFonts w:cs="Times New Roman"/>
          <w:lang w:val="fr-CA"/>
        </w:rPr>
        <w:t> an ou 18 mois, avec peu de balises et sans grande cohérence (</w:t>
      </w:r>
      <w:proofErr w:type="spellStart"/>
      <w:r w:rsidRPr="00883823">
        <w:rPr>
          <w:rFonts w:cs="Times New Roman"/>
          <w:lang w:val="fr-CA"/>
        </w:rPr>
        <w:t>Hoole</w:t>
      </w:r>
      <w:proofErr w:type="spellEnd"/>
      <w:r w:rsidRPr="00883823">
        <w:rPr>
          <w:rFonts w:cs="Times New Roman"/>
          <w:lang w:val="fr-CA"/>
        </w:rPr>
        <w:t xml:space="preserve">, </w:t>
      </w:r>
      <w:r>
        <w:rPr>
          <w:rFonts w:cs="Times New Roman"/>
          <w:lang w:val="fr-CA"/>
        </w:rPr>
        <w:t>p. </w:t>
      </w:r>
      <w:r w:rsidRPr="00883823">
        <w:rPr>
          <w:rFonts w:cs="Times New Roman"/>
          <w:lang w:val="fr-CA"/>
        </w:rPr>
        <w:t xml:space="preserve">122). </w:t>
      </w:r>
    </w:p>
    <w:p w14:paraId="647B67AA" w14:textId="7E54E4FB" w:rsidR="00F712C6" w:rsidRPr="00883823" w:rsidRDefault="00F712C6" w:rsidP="00F712C6">
      <w:pPr>
        <w:pStyle w:val="ParaNoNdepar-AltN"/>
        <w:tabs>
          <w:tab w:val="clear" w:pos="1166"/>
          <w:tab w:val="num" w:pos="1152"/>
        </w:tabs>
        <w:rPr>
          <w:rFonts w:cs="Times New Roman"/>
          <w:vanish/>
          <w:lang w:val="fr-CA"/>
          <w:specVanish/>
        </w:rPr>
      </w:pPr>
      <w:r w:rsidRPr="00883823">
        <w:rPr>
          <w:rFonts w:cs="Times New Roman"/>
          <w:lang w:val="fr-CA"/>
        </w:rPr>
        <w:t xml:space="preserve">Les tribunaux risquent donc fort de dépasser les bornes et d’accorder au législateur plus de temps qu’il n’en a besoin. C’est ce qui s’est produit dans l’affaire </w:t>
      </w:r>
      <w:proofErr w:type="spellStart"/>
      <w:r w:rsidRPr="00883823">
        <w:rPr>
          <w:rFonts w:cs="Times New Roman"/>
          <w:i/>
          <w:lang w:val="fr-CA"/>
        </w:rPr>
        <w:t>Corbiere</w:t>
      </w:r>
      <w:proofErr w:type="spellEnd"/>
      <w:r w:rsidRPr="00883823">
        <w:rPr>
          <w:rFonts w:cs="Times New Roman"/>
          <w:i/>
          <w:lang w:val="fr-CA"/>
        </w:rPr>
        <w:t xml:space="preserve">, </w:t>
      </w:r>
      <w:r w:rsidRPr="00883823">
        <w:rPr>
          <w:rFonts w:cs="Times New Roman"/>
          <w:lang w:val="fr-CA"/>
        </w:rPr>
        <w:t>où la suspension de 18</w:t>
      </w:r>
      <w:r>
        <w:rPr>
          <w:rFonts w:cs="Times New Roman"/>
          <w:lang w:val="fr-CA"/>
        </w:rPr>
        <w:t xml:space="preserve"> </w:t>
      </w:r>
      <w:r w:rsidRPr="00883823">
        <w:rPr>
          <w:rFonts w:cs="Times New Roman"/>
          <w:lang w:val="fr-CA"/>
        </w:rPr>
        <w:t xml:space="preserve">mois accordée a agi </w:t>
      </w:r>
      <w:r w:rsidRPr="00883823">
        <w:rPr>
          <w:rFonts w:cs="Times New Roman"/>
          <w:smallCaps/>
          <w:lang w:val="fr-CA"/>
        </w:rPr>
        <w:t>[traduction</w:t>
      </w:r>
      <w:r w:rsidRPr="00883823">
        <w:rPr>
          <w:rFonts w:cs="Times New Roman"/>
          <w:lang w:val="fr-CA"/>
        </w:rPr>
        <w:t>] « comme un sédatif, et non comme un stimulant », excusant ainsi le législateur d’intervenir rapidement (C. </w:t>
      </w:r>
      <w:proofErr w:type="spellStart"/>
      <w:r w:rsidRPr="00883823">
        <w:rPr>
          <w:rFonts w:cs="Times New Roman"/>
          <w:lang w:val="fr-CA"/>
        </w:rPr>
        <w:t>Mouland</w:t>
      </w:r>
      <w:proofErr w:type="spellEnd"/>
      <w:r w:rsidRPr="00883823">
        <w:rPr>
          <w:rFonts w:cs="Times New Roman"/>
          <w:lang w:val="fr-CA"/>
        </w:rPr>
        <w:t>, « </w:t>
      </w:r>
      <w:proofErr w:type="spellStart"/>
      <w:r w:rsidRPr="00883823">
        <w:rPr>
          <w:rFonts w:cs="Times New Roman"/>
          <w:lang w:val="fr-CA"/>
        </w:rPr>
        <w:t>Remedying</w:t>
      </w:r>
      <w:proofErr w:type="spellEnd"/>
      <w:r w:rsidRPr="00883823">
        <w:rPr>
          <w:rFonts w:cs="Times New Roman"/>
          <w:lang w:val="fr-CA"/>
        </w:rPr>
        <w:t xml:space="preserve"> the </w:t>
      </w:r>
      <w:proofErr w:type="spellStart"/>
      <w:r w:rsidRPr="00883823">
        <w:rPr>
          <w:rFonts w:cs="Times New Roman"/>
          <w:lang w:val="fr-CA"/>
        </w:rPr>
        <w:t>Remedy</w:t>
      </w:r>
      <w:proofErr w:type="spellEnd"/>
      <w:r w:rsidR="00562FB9">
        <w:rPr>
          <w:rFonts w:cs="Times New Roman"/>
          <w:lang w:val="fr-CA"/>
        </w:rPr>
        <w:t> </w:t>
      </w:r>
      <w:r w:rsidRPr="00883823">
        <w:rPr>
          <w:rFonts w:cs="Times New Roman"/>
          <w:lang w:val="fr-CA"/>
        </w:rPr>
        <w:t xml:space="preserve">: </w:t>
      </w:r>
      <w:proofErr w:type="spellStart"/>
      <w:r w:rsidRPr="00883823">
        <w:rPr>
          <w:rFonts w:cs="Times New Roman"/>
          <w:i/>
          <w:lang w:val="fr-CA"/>
        </w:rPr>
        <w:t>Bedford’</w:t>
      </w:r>
      <w:r w:rsidRPr="00883823">
        <w:rPr>
          <w:rFonts w:cs="Times New Roman"/>
          <w:lang w:val="fr-CA"/>
        </w:rPr>
        <w:t>s</w:t>
      </w:r>
      <w:proofErr w:type="spellEnd"/>
      <w:r w:rsidRPr="00883823">
        <w:rPr>
          <w:rFonts w:cs="Times New Roman"/>
          <w:lang w:val="fr-CA"/>
        </w:rPr>
        <w:t xml:space="preserve"> </w:t>
      </w:r>
      <w:proofErr w:type="spellStart"/>
      <w:r w:rsidRPr="00883823">
        <w:rPr>
          <w:rFonts w:cs="Times New Roman"/>
          <w:lang w:val="fr-CA"/>
        </w:rPr>
        <w:t>Suspended</w:t>
      </w:r>
      <w:proofErr w:type="spellEnd"/>
      <w:r w:rsidRPr="00883823">
        <w:rPr>
          <w:rFonts w:cs="Times New Roman"/>
          <w:lang w:val="fr-CA"/>
        </w:rPr>
        <w:t xml:space="preserve"> </w:t>
      </w:r>
      <w:proofErr w:type="spellStart"/>
      <w:r w:rsidRPr="00883823">
        <w:rPr>
          <w:rFonts w:cs="Times New Roman"/>
          <w:lang w:val="fr-CA"/>
        </w:rPr>
        <w:t>Declaration</w:t>
      </w:r>
      <w:proofErr w:type="spellEnd"/>
      <w:r w:rsidRPr="00883823">
        <w:rPr>
          <w:rFonts w:cs="Times New Roman"/>
          <w:lang w:val="fr-CA"/>
        </w:rPr>
        <w:t xml:space="preserve"> of </w:t>
      </w:r>
      <w:proofErr w:type="spellStart"/>
      <w:r w:rsidRPr="00883823">
        <w:rPr>
          <w:rFonts w:cs="Times New Roman"/>
          <w:lang w:val="fr-CA"/>
        </w:rPr>
        <w:t>Invalidity</w:t>
      </w:r>
      <w:proofErr w:type="spellEnd"/>
      <w:r w:rsidRPr="00883823">
        <w:rPr>
          <w:rFonts w:cs="Times New Roman"/>
          <w:lang w:val="fr-CA"/>
        </w:rPr>
        <w:t xml:space="preserve"> » (2018), 41 </w:t>
      </w:r>
      <w:r w:rsidRPr="00883823">
        <w:rPr>
          <w:rFonts w:cs="Times New Roman"/>
          <w:i/>
          <w:lang w:val="fr-CA"/>
        </w:rPr>
        <w:t>Man. L.J.</w:t>
      </w:r>
      <w:r w:rsidRPr="00883823">
        <w:rPr>
          <w:rFonts w:cs="Times New Roman"/>
          <w:lang w:val="fr-CA"/>
        </w:rPr>
        <w:t xml:space="preserve"> 281, </w:t>
      </w:r>
      <w:r>
        <w:rPr>
          <w:rFonts w:cs="Times New Roman"/>
          <w:lang w:val="fr-CA"/>
        </w:rPr>
        <w:t>p. </w:t>
      </w:r>
      <w:r w:rsidRPr="00883823">
        <w:rPr>
          <w:rFonts w:cs="Times New Roman"/>
          <w:lang w:val="fr-CA"/>
        </w:rPr>
        <w:t xml:space="preserve">331; voir également Macfarlane, </w:t>
      </w:r>
      <w:r>
        <w:rPr>
          <w:rFonts w:cs="Times New Roman"/>
          <w:lang w:val="fr-CA"/>
        </w:rPr>
        <w:t>p. </w:t>
      </w:r>
      <w:r w:rsidRPr="00883823">
        <w:rPr>
          <w:rFonts w:cs="Times New Roman"/>
          <w:lang w:val="fr-CA"/>
        </w:rPr>
        <w:t xml:space="preserve">118). En fin de compte, le législateur a attendu au </w:t>
      </w:r>
      <w:r w:rsidRPr="00883823">
        <w:rPr>
          <w:rFonts w:cs="Times New Roman"/>
          <w:i/>
          <w:lang w:val="fr-CA"/>
        </w:rPr>
        <w:t>septième</w:t>
      </w:r>
      <w:r w:rsidRPr="00883823">
        <w:rPr>
          <w:rFonts w:cs="Times New Roman"/>
          <w:lang w:val="fr-CA"/>
        </w:rPr>
        <w:t xml:space="preserve"> mois avant même de </w:t>
      </w:r>
      <w:r w:rsidRPr="00883823">
        <w:rPr>
          <w:rFonts w:cs="Times New Roman"/>
          <w:i/>
          <w:lang w:val="fr-CA"/>
        </w:rPr>
        <w:t xml:space="preserve">commencer </w:t>
      </w:r>
      <w:r w:rsidRPr="00883823">
        <w:rPr>
          <w:rFonts w:cs="Times New Roman"/>
          <w:lang w:val="fr-CA"/>
        </w:rPr>
        <w:t>à répondre (</w:t>
      </w:r>
      <w:proofErr w:type="spellStart"/>
      <w:r w:rsidRPr="00883823">
        <w:rPr>
          <w:rFonts w:cs="Times New Roman"/>
          <w:lang w:val="fr-CA"/>
        </w:rPr>
        <w:t>Mouland</w:t>
      </w:r>
      <w:proofErr w:type="spellEnd"/>
      <w:r w:rsidRPr="00883823">
        <w:rPr>
          <w:rFonts w:cs="Times New Roman"/>
          <w:lang w:val="fr-CA"/>
        </w:rPr>
        <w:t xml:space="preserve">, </w:t>
      </w:r>
      <w:r>
        <w:rPr>
          <w:rFonts w:cs="Times New Roman"/>
          <w:lang w:val="fr-CA"/>
        </w:rPr>
        <w:t>p. </w:t>
      </w:r>
      <w:r w:rsidRPr="00883823">
        <w:rPr>
          <w:rFonts w:cs="Times New Roman"/>
          <w:lang w:val="fr-CA"/>
        </w:rPr>
        <w:t>331). Laisser une situation inconstitutionnelle perdurer une seule journée de plus que nécessaire fait injure à notre ordre constitutionnel, tout comme le fait de maintenir ses [</w:t>
      </w:r>
      <w:r w:rsidRPr="00883823">
        <w:rPr>
          <w:rFonts w:cs="Times New Roman"/>
          <w:smallCaps/>
          <w:lang w:val="fr-CA"/>
        </w:rPr>
        <w:t>traduction</w:t>
      </w:r>
      <w:r w:rsidRPr="00883823">
        <w:rPr>
          <w:rFonts w:cs="Times New Roman"/>
          <w:lang w:val="fr-CA"/>
        </w:rPr>
        <w:t>] « effets [. . .] néfastes</w:t>
      </w:r>
      <w:r>
        <w:rPr>
          <w:rFonts w:cs="Times New Roman"/>
          <w:lang w:val="fr-CA"/>
        </w:rPr>
        <w:t xml:space="preserve"> </w:t>
      </w:r>
      <w:r w:rsidRPr="00883823">
        <w:rPr>
          <w:rFonts w:cs="Times New Roman"/>
          <w:lang w:val="fr-CA"/>
        </w:rPr>
        <w:t>[notamment] l’aggravation des désavantages existants et de la marginalisation » (R. </w:t>
      </w:r>
      <w:proofErr w:type="spellStart"/>
      <w:r w:rsidRPr="00883823">
        <w:rPr>
          <w:rFonts w:cs="Times New Roman"/>
          <w:lang w:val="fr-CA"/>
        </w:rPr>
        <w:t>Leckey</w:t>
      </w:r>
      <w:proofErr w:type="spellEnd"/>
      <w:r w:rsidRPr="00883823">
        <w:rPr>
          <w:rFonts w:cs="Times New Roman"/>
          <w:lang w:val="fr-CA"/>
        </w:rPr>
        <w:t xml:space="preserve">, </w:t>
      </w:r>
      <w:r w:rsidRPr="00883823">
        <w:rPr>
          <w:rFonts w:cs="Times New Roman"/>
          <w:i/>
          <w:lang w:val="fr-CA"/>
        </w:rPr>
        <w:t xml:space="preserve">Bills of </w:t>
      </w:r>
      <w:proofErr w:type="spellStart"/>
      <w:r w:rsidRPr="00883823">
        <w:rPr>
          <w:rFonts w:cs="Times New Roman"/>
          <w:i/>
          <w:lang w:val="fr-CA"/>
        </w:rPr>
        <w:t>Rights</w:t>
      </w:r>
      <w:proofErr w:type="spellEnd"/>
      <w:r w:rsidRPr="00883823">
        <w:rPr>
          <w:rFonts w:cs="Times New Roman"/>
          <w:i/>
          <w:lang w:val="fr-CA"/>
        </w:rPr>
        <w:t xml:space="preserve"> in the Common Law </w:t>
      </w:r>
      <w:r>
        <w:rPr>
          <w:rFonts w:cs="Times New Roman"/>
          <w:lang w:val="fr-CA"/>
        </w:rPr>
        <w:t>(2015) (« </w:t>
      </w:r>
      <w:proofErr w:type="spellStart"/>
      <w:r w:rsidRPr="00883823">
        <w:rPr>
          <w:rFonts w:cs="Times New Roman"/>
          <w:lang w:val="fr-CA"/>
        </w:rPr>
        <w:t>Leckey</w:t>
      </w:r>
      <w:proofErr w:type="spellEnd"/>
      <w:r w:rsidRPr="00883823">
        <w:rPr>
          <w:rFonts w:cs="Times New Roman"/>
          <w:lang w:val="fr-CA"/>
        </w:rPr>
        <w:t xml:space="preserve">, </w:t>
      </w:r>
      <w:r w:rsidRPr="00883823">
        <w:rPr>
          <w:rFonts w:cs="Times New Roman"/>
          <w:i/>
          <w:lang w:val="fr-CA"/>
        </w:rPr>
        <w:t>Bills</w:t>
      </w:r>
      <w:r>
        <w:rPr>
          <w:rFonts w:cs="Times New Roman"/>
          <w:lang w:val="fr-CA"/>
        </w:rPr>
        <w:t> </w:t>
      </w:r>
      <w:r w:rsidRPr="00883823">
        <w:rPr>
          <w:rFonts w:cs="Times New Roman"/>
          <w:lang w:val="fr-CA"/>
        </w:rPr>
        <w:t xml:space="preserve">», </w:t>
      </w:r>
      <w:r>
        <w:rPr>
          <w:rFonts w:cs="Times New Roman"/>
          <w:lang w:val="fr-CA"/>
        </w:rPr>
        <w:t>p. </w:t>
      </w:r>
      <w:r w:rsidRPr="00883823">
        <w:rPr>
          <w:rFonts w:cs="Times New Roman"/>
          <w:lang w:val="fr-CA"/>
        </w:rPr>
        <w:t>173</w:t>
      </w:r>
      <w:r>
        <w:rPr>
          <w:rFonts w:cs="Times New Roman"/>
          <w:lang w:val="fr-CA"/>
        </w:rPr>
        <w:noBreakHyphen/>
      </w:r>
      <w:r w:rsidRPr="00883823">
        <w:rPr>
          <w:rFonts w:cs="Times New Roman"/>
          <w:lang w:val="fr-CA"/>
        </w:rPr>
        <w:t>174). Nous rejetons donc fermement toute idée selon laquelle accorder du « temps » au législateur est en soi une raison suffisante pour justifier au départ de permettre aux effets pervers de la loi de perdurer. Ce qui nous amène à notre troisième point.</w:t>
      </w:r>
    </w:p>
    <w:p w14:paraId="6D44D719" w14:textId="77777777" w:rsidR="00F712C6" w:rsidRPr="00883823" w:rsidRDefault="00F712C6" w:rsidP="00F712C6">
      <w:pPr>
        <w:pStyle w:val="ParaNoNdepar-AltN"/>
        <w:numPr>
          <w:ilvl w:val="0"/>
          <w:numId w:val="0"/>
        </w:numPr>
        <w:tabs>
          <w:tab w:val="left" w:pos="1166"/>
        </w:tabs>
        <w:rPr>
          <w:rFonts w:cs="Times New Roman"/>
          <w:lang w:val="fr-CA"/>
        </w:rPr>
      </w:pPr>
    </w:p>
    <w:p w14:paraId="04FCBAF8"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Il nous incombe aussi d’examiner le préjudice que le recours libéral et injustifié à la suspension de l’effet des déclarations d’invalidité cause aux personnes qui invoquent la </w:t>
      </w:r>
      <w:r w:rsidRPr="00883823">
        <w:rPr>
          <w:rFonts w:cs="Times New Roman"/>
          <w:i/>
          <w:lang w:val="fr-CA"/>
        </w:rPr>
        <w:t>Charte</w:t>
      </w:r>
      <w:r w:rsidRPr="00883823">
        <w:rPr>
          <w:rFonts w:cs="Times New Roman"/>
          <w:lang w:val="fr-CA"/>
        </w:rPr>
        <w:t xml:space="preserve"> et aux autres titulaires de droits touchés. En permettant à une loi inconstitutionnelle de rester en vigueur, le tribunal refuse non seulement au demandeur qui a obtenu gain de cause la réparation immédiate à laquelle il a expressément droit en vertu du </w:t>
      </w:r>
      <w:r>
        <w:rPr>
          <w:rFonts w:cs="Times New Roman"/>
          <w:lang w:val="fr-CA"/>
        </w:rPr>
        <w:t>par. </w:t>
      </w:r>
      <w:r w:rsidRPr="00883823">
        <w:rPr>
          <w:rFonts w:cs="Times New Roman"/>
          <w:lang w:val="fr-CA"/>
        </w:rPr>
        <w:t>52(1) de notre Constitution, mais il permet à cette loi de continuer à causer un préjudice, diluant ainsi l’importance du droit en cause. Pour cette raison, le recours abusif à la suspension de l’effet des déclarations d’invalidité constitue [</w:t>
      </w:r>
      <w:r w:rsidRPr="00883823">
        <w:rPr>
          <w:rFonts w:cs="Times New Roman"/>
          <w:smallCaps/>
          <w:lang w:val="fr-CA"/>
        </w:rPr>
        <w:t>traduction</w:t>
      </w:r>
      <w:r w:rsidRPr="00883823">
        <w:rPr>
          <w:rFonts w:cs="Times New Roman"/>
          <w:lang w:val="fr-CA"/>
        </w:rPr>
        <w:t>] « une menace au concept même de la primauté de la Constitution » (</w:t>
      </w:r>
      <w:proofErr w:type="spellStart"/>
      <w:r w:rsidRPr="00883823">
        <w:rPr>
          <w:rFonts w:cs="Times New Roman"/>
          <w:lang w:val="fr-CA"/>
        </w:rPr>
        <w:t>Choudhry</w:t>
      </w:r>
      <w:proofErr w:type="spellEnd"/>
      <w:r w:rsidRPr="00883823">
        <w:rPr>
          <w:rFonts w:cs="Times New Roman"/>
          <w:lang w:val="fr-CA"/>
        </w:rPr>
        <w:t xml:space="preserve"> et </w:t>
      </w:r>
      <w:proofErr w:type="spellStart"/>
      <w:r w:rsidRPr="00883823">
        <w:rPr>
          <w:rFonts w:cs="Times New Roman"/>
          <w:lang w:val="fr-CA"/>
        </w:rPr>
        <w:t>Roach</w:t>
      </w:r>
      <w:proofErr w:type="spellEnd"/>
      <w:r w:rsidRPr="00883823">
        <w:rPr>
          <w:rFonts w:cs="Times New Roman"/>
          <w:lang w:val="fr-CA"/>
        </w:rPr>
        <w:t xml:space="preserve">, </w:t>
      </w:r>
      <w:r>
        <w:rPr>
          <w:rFonts w:cs="Times New Roman"/>
          <w:lang w:val="fr-CA"/>
        </w:rPr>
        <w:t>p. </w:t>
      </w:r>
      <w:r w:rsidRPr="00883823">
        <w:rPr>
          <w:rFonts w:cs="Times New Roman"/>
          <w:lang w:val="fr-CA"/>
        </w:rPr>
        <w:t>230) précisément parce qu’on [</w:t>
      </w:r>
      <w:r w:rsidRPr="00883823">
        <w:rPr>
          <w:rFonts w:cs="Times New Roman"/>
          <w:smallCaps/>
          <w:lang w:val="fr-CA"/>
        </w:rPr>
        <w:t>traduction</w:t>
      </w:r>
      <w:r w:rsidRPr="00883823">
        <w:rPr>
          <w:rFonts w:cs="Times New Roman"/>
          <w:lang w:val="fr-CA"/>
        </w:rPr>
        <w:t>] « impose ainsi des frais considérables aux plaideurs » (</w:t>
      </w:r>
      <w:proofErr w:type="spellStart"/>
      <w:r w:rsidRPr="00883823">
        <w:rPr>
          <w:rFonts w:cs="Times New Roman"/>
          <w:lang w:val="fr-CA"/>
        </w:rPr>
        <w:t>Leckey</w:t>
      </w:r>
      <w:proofErr w:type="spellEnd"/>
      <w:r w:rsidRPr="00883823">
        <w:rPr>
          <w:rFonts w:cs="Times New Roman"/>
          <w:lang w:val="fr-CA"/>
        </w:rPr>
        <w:t xml:space="preserve">, </w:t>
      </w:r>
      <w:r w:rsidRPr="00883823">
        <w:rPr>
          <w:rFonts w:cs="Times New Roman"/>
          <w:i/>
          <w:lang w:val="fr-CA"/>
        </w:rPr>
        <w:t>Bills</w:t>
      </w:r>
      <w:r w:rsidRPr="00883823">
        <w:rPr>
          <w:rFonts w:cs="Times New Roman"/>
          <w:lang w:val="fr-CA"/>
        </w:rPr>
        <w:t xml:space="preserve">, </w:t>
      </w:r>
      <w:r>
        <w:rPr>
          <w:rFonts w:cs="Times New Roman"/>
          <w:lang w:val="fr-CA"/>
        </w:rPr>
        <w:t>p. </w:t>
      </w:r>
      <w:r w:rsidRPr="00883823">
        <w:rPr>
          <w:rFonts w:cs="Times New Roman"/>
          <w:lang w:val="fr-CA"/>
        </w:rPr>
        <w:t>170), qui sont les principales victimes du non</w:t>
      </w:r>
      <w:r>
        <w:rPr>
          <w:rFonts w:cs="Times New Roman"/>
          <w:lang w:val="fr-CA"/>
        </w:rPr>
        <w:noBreakHyphen/>
      </w:r>
      <w:r w:rsidRPr="00883823">
        <w:rPr>
          <w:rFonts w:cs="Times New Roman"/>
          <w:lang w:val="fr-CA"/>
        </w:rPr>
        <w:t>respect de cette norme (voir R.</w:t>
      </w:r>
      <w:r>
        <w:rPr>
          <w:rFonts w:cs="Times New Roman"/>
          <w:lang w:val="fr-CA"/>
        </w:rPr>
        <w:t> </w:t>
      </w:r>
      <w:proofErr w:type="spellStart"/>
      <w:r w:rsidRPr="00883823">
        <w:rPr>
          <w:rFonts w:cs="Times New Roman"/>
          <w:lang w:val="fr-CA"/>
        </w:rPr>
        <w:t>Leckey</w:t>
      </w:r>
      <w:proofErr w:type="spellEnd"/>
      <w:r w:rsidRPr="00883823">
        <w:rPr>
          <w:rFonts w:cs="Times New Roman"/>
          <w:lang w:val="fr-CA"/>
        </w:rPr>
        <w:t xml:space="preserve">, </w:t>
      </w:r>
      <w:proofErr w:type="spellStart"/>
      <w:r w:rsidRPr="00883823">
        <w:rPr>
          <w:rFonts w:cs="Times New Roman"/>
          <w:i/>
          <w:lang w:val="fr-CA"/>
        </w:rPr>
        <w:t>Suspended</w:t>
      </w:r>
      <w:proofErr w:type="spellEnd"/>
      <w:r w:rsidRPr="00883823">
        <w:rPr>
          <w:rFonts w:cs="Times New Roman"/>
          <w:i/>
          <w:lang w:val="fr-CA"/>
        </w:rPr>
        <w:t xml:space="preserve"> </w:t>
      </w:r>
      <w:proofErr w:type="spellStart"/>
      <w:r w:rsidRPr="00883823">
        <w:rPr>
          <w:rFonts w:cs="Times New Roman"/>
          <w:i/>
          <w:lang w:val="fr-CA"/>
        </w:rPr>
        <w:t>Declarations</w:t>
      </w:r>
      <w:proofErr w:type="spellEnd"/>
      <w:r w:rsidRPr="00883823">
        <w:rPr>
          <w:rFonts w:cs="Times New Roman"/>
          <w:i/>
          <w:lang w:val="fr-CA"/>
        </w:rPr>
        <w:t xml:space="preserve"> of </w:t>
      </w:r>
      <w:proofErr w:type="spellStart"/>
      <w:r w:rsidRPr="00883823">
        <w:rPr>
          <w:rFonts w:cs="Times New Roman"/>
          <w:i/>
          <w:lang w:val="fr-CA"/>
        </w:rPr>
        <w:t>Invalidity</w:t>
      </w:r>
      <w:proofErr w:type="spellEnd"/>
      <w:r w:rsidRPr="00883823">
        <w:rPr>
          <w:rFonts w:cs="Times New Roman"/>
          <w:i/>
          <w:lang w:val="fr-CA"/>
        </w:rPr>
        <w:t xml:space="preserve"> and the </w:t>
      </w:r>
      <w:proofErr w:type="spellStart"/>
      <w:r w:rsidRPr="00883823">
        <w:rPr>
          <w:rFonts w:cs="Times New Roman"/>
          <w:i/>
          <w:lang w:val="fr-CA"/>
        </w:rPr>
        <w:t>Rule</w:t>
      </w:r>
      <w:proofErr w:type="spellEnd"/>
      <w:r w:rsidRPr="00883823">
        <w:rPr>
          <w:rFonts w:cs="Times New Roman"/>
          <w:i/>
          <w:lang w:val="fr-CA"/>
        </w:rPr>
        <w:t xml:space="preserve"> of Law</w:t>
      </w:r>
      <w:r>
        <w:rPr>
          <w:rFonts w:cs="Times New Roman"/>
          <w:lang w:val="fr-CA"/>
        </w:rPr>
        <w:t>, 12 </w:t>
      </w:r>
      <w:r w:rsidRPr="00883823">
        <w:rPr>
          <w:rFonts w:cs="Times New Roman"/>
          <w:lang w:val="fr-CA"/>
        </w:rPr>
        <w:t xml:space="preserve">mars 2014 (en ligne); </w:t>
      </w:r>
      <w:proofErr w:type="spellStart"/>
      <w:r w:rsidRPr="00883823">
        <w:rPr>
          <w:rFonts w:cs="Times New Roman"/>
          <w:lang w:val="fr-CA"/>
        </w:rPr>
        <w:t>Burningham</w:t>
      </w:r>
      <w:proofErr w:type="spellEnd"/>
      <w:r w:rsidRPr="00883823">
        <w:rPr>
          <w:rFonts w:cs="Times New Roman"/>
          <w:lang w:val="fr-CA"/>
        </w:rPr>
        <w:t xml:space="preserve">, </w:t>
      </w:r>
      <w:r>
        <w:rPr>
          <w:rFonts w:cs="Times New Roman"/>
          <w:lang w:val="fr-CA"/>
        </w:rPr>
        <w:t>p. </w:t>
      </w:r>
      <w:r w:rsidRPr="00883823">
        <w:rPr>
          <w:rFonts w:cs="Times New Roman"/>
          <w:lang w:val="fr-CA"/>
        </w:rPr>
        <w:t xml:space="preserve">206; et Macfarlane, </w:t>
      </w:r>
      <w:r>
        <w:rPr>
          <w:rFonts w:cs="Times New Roman"/>
          <w:lang w:val="fr-CA"/>
        </w:rPr>
        <w:t>p. </w:t>
      </w:r>
      <w:r w:rsidRPr="00883823">
        <w:rPr>
          <w:rFonts w:cs="Times New Roman"/>
          <w:lang w:val="fr-CA"/>
        </w:rPr>
        <w:t xml:space="preserve">120). </w:t>
      </w:r>
    </w:p>
    <w:p w14:paraId="6E9D6A52" w14:textId="23943505"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De même, la suspension de l’effet d’une déclaration d’invalidité est susceptible d’aggraver un désavantage préexistant. Le doyen </w:t>
      </w:r>
      <w:proofErr w:type="spellStart"/>
      <w:r w:rsidRPr="00883823">
        <w:rPr>
          <w:rFonts w:cs="Times New Roman"/>
          <w:lang w:val="fr-CA"/>
        </w:rPr>
        <w:t>Leckey</w:t>
      </w:r>
      <w:proofErr w:type="spellEnd"/>
      <w:r w:rsidRPr="00883823">
        <w:rPr>
          <w:rFonts w:cs="Times New Roman"/>
          <w:lang w:val="fr-CA"/>
        </w:rPr>
        <w:t xml:space="preserve"> explique comment [</w:t>
      </w:r>
      <w:r w:rsidRPr="00883823">
        <w:rPr>
          <w:rFonts w:cs="Times New Roman"/>
          <w:smallCaps/>
          <w:lang w:val="fr-CA"/>
        </w:rPr>
        <w:t>traduction</w:t>
      </w:r>
      <w:r w:rsidRPr="00883823">
        <w:rPr>
          <w:rFonts w:cs="Times New Roman"/>
          <w:lang w:val="fr-CA"/>
        </w:rPr>
        <w:t>] « la déclaration dont l’effet est différé risque d’entraîner des effets juridiques arbitraires et injustes en raison des différences factuelles qui existent entre les membres [de la même catégorie de plaideurs] »</w:t>
      </w:r>
      <w:r>
        <w:rPr>
          <w:rFonts w:cs="Times New Roman"/>
          <w:lang w:val="fr-CA"/>
        </w:rPr>
        <w:t xml:space="preserve"> (R. </w:t>
      </w:r>
      <w:proofErr w:type="spellStart"/>
      <w:r w:rsidRPr="00883823">
        <w:rPr>
          <w:rFonts w:cs="Times New Roman"/>
          <w:lang w:val="fr-CA"/>
        </w:rPr>
        <w:t>Leckey</w:t>
      </w:r>
      <w:proofErr w:type="spellEnd"/>
      <w:r w:rsidRPr="00883823">
        <w:rPr>
          <w:rFonts w:cs="Times New Roman"/>
          <w:lang w:val="fr-CA"/>
        </w:rPr>
        <w:t xml:space="preserve"> « The </w:t>
      </w:r>
      <w:proofErr w:type="spellStart"/>
      <w:r w:rsidRPr="00883823">
        <w:rPr>
          <w:rFonts w:cs="Times New Roman"/>
          <w:lang w:val="fr-CA"/>
        </w:rPr>
        <w:t>harms</w:t>
      </w:r>
      <w:proofErr w:type="spellEnd"/>
      <w:r w:rsidRPr="00883823">
        <w:rPr>
          <w:rFonts w:cs="Times New Roman"/>
          <w:lang w:val="fr-CA"/>
        </w:rPr>
        <w:t xml:space="preserve"> of </w:t>
      </w:r>
      <w:proofErr w:type="spellStart"/>
      <w:r w:rsidRPr="00883823">
        <w:rPr>
          <w:rFonts w:cs="Times New Roman"/>
          <w:lang w:val="fr-CA"/>
        </w:rPr>
        <w:t>remedial</w:t>
      </w:r>
      <w:proofErr w:type="spellEnd"/>
      <w:r w:rsidRPr="00883823">
        <w:rPr>
          <w:rFonts w:cs="Times New Roman"/>
          <w:lang w:val="fr-CA"/>
        </w:rPr>
        <w:t xml:space="preserve"> </w:t>
      </w:r>
      <w:proofErr w:type="spellStart"/>
      <w:r w:rsidRPr="00883823">
        <w:rPr>
          <w:rFonts w:cs="Times New Roman"/>
          <w:lang w:val="fr-CA"/>
        </w:rPr>
        <w:t>discretion</w:t>
      </w:r>
      <w:proofErr w:type="spellEnd"/>
      <w:r w:rsidRPr="00883823">
        <w:rPr>
          <w:rFonts w:cs="Times New Roman"/>
          <w:lang w:val="fr-CA"/>
        </w:rPr>
        <w:t xml:space="preserve"> » (2016), 14 </w:t>
      </w:r>
      <w:r w:rsidRPr="00883823">
        <w:rPr>
          <w:rFonts w:cs="Times New Roman"/>
          <w:i/>
          <w:lang w:val="fr-CA"/>
        </w:rPr>
        <w:t xml:space="preserve">I CON </w:t>
      </w:r>
      <w:r w:rsidRPr="00883823">
        <w:rPr>
          <w:rFonts w:cs="Times New Roman"/>
          <w:lang w:val="fr-CA"/>
        </w:rPr>
        <w:t xml:space="preserve">584, </w:t>
      </w:r>
      <w:r>
        <w:rPr>
          <w:rFonts w:cs="Times New Roman"/>
          <w:lang w:val="fr-CA"/>
        </w:rPr>
        <w:t>p. </w:t>
      </w:r>
      <w:r w:rsidRPr="00883823">
        <w:rPr>
          <w:rFonts w:cs="Times New Roman"/>
          <w:lang w:val="fr-CA"/>
        </w:rPr>
        <w:t xml:space="preserve">592). </w:t>
      </w:r>
      <w:proofErr w:type="spellStart"/>
      <w:r w:rsidRPr="00883823">
        <w:rPr>
          <w:rFonts w:cs="Times New Roman"/>
          <w:lang w:val="fr-CA"/>
        </w:rPr>
        <w:t>Mouland</w:t>
      </w:r>
      <w:proofErr w:type="spellEnd"/>
      <w:r w:rsidRPr="00883823">
        <w:rPr>
          <w:rFonts w:cs="Times New Roman"/>
          <w:lang w:val="fr-CA"/>
        </w:rPr>
        <w:t xml:space="preserve"> reprend ces préoccupations à son compte lorsqu’elle qualifie </w:t>
      </w:r>
      <w:proofErr w:type="gramStart"/>
      <w:r w:rsidRPr="00883823">
        <w:rPr>
          <w:rFonts w:cs="Times New Roman"/>
          <w:lang w:val="fr-CA"/>
        </w:rPr>
        <w:t>d’[</w:t>
      </w:r>
      <w:proofErr w:type="gramEnd"/>
      <w:r w:rsidRPr="00883823">
        <w:rPr>
          <w:rFonts w:cs="Times New Roman"/>
          <w:smallCaps/>
          <w:lang w:val="fr-CA"/>
        </w:rPr>
        <w:t>traduction</w:t>
      </w:r>
      <w:r w:rsidRPr="00883823">
        <w:rPr>
          <w:rFonts w:cs="Times New Roman"/>
          <w:lang w:val="fr-CA"/>
        </w:rPr>
        <w:t>] « iniquité horizontale » (</w:t>
      </w:r>
      <w:r>
        <w:rPr>
          <w:rFonts w:cs="Times New Roman"/>
          <w:lang w:val="fr-CA"/>
        </w:rPr>
        <w:t>p. </w:t>
      </w:r>
      <w:r w:rsidRPr="00883823">
        <w:rPr>
          <w:rFonts w:cs="Times New Roman"/>
          <w:lang w:val="fr-CA"/>
        </w:rPr>
        <w:t>338) le préjudice causé par la suspension de l’effet de la déclaration d’invalidité. Si l’on prend l’exemple d’une loi pénale inconstitutionnelle, [</w:t>
      </w:r>
      <w:r w:rsidRPr="00883823">
        <w:rPr>
          <w:rFonts w:cs="Times New Roman"/>
          <w:smallCaps/>
          <w:lang w:val="fr-CA"/>
        </w:rPr>
        <w:t>traduction</w:t>
      </w:r>
      <w:r w:rsidRPr="00883823">
        <w:rPr>
          <w:rFonts w:cs="Times New Roman"/>
          <w:lang w:val="fr-CA"/>
        </w:rPr>
        <w:t>] « les individus arrêtés et accusés en vertu de dispositions inconstitutionnelles alors que le [délai de suspension de l’effet de la déclaration d’invalidité] tire à sa fin seraient beaucoup moins susceptibles de faire l’objet d’une déclaration de culpabilité avant l’expiration de ce délai que ceux qui sont arrêtés et accusés plus tôt</w:t>
      </w:r>
      <w:r>
        <w:rPr>
          <w:rFonts w:cs="Times New Roman"/>
          <w:lang w:val="fr-CA"/>
        </w:rPr>
        <w:t> </w:t>
      </w:r>
      <w:r w:rsidRPr="00883823">
        <w:rPr>
          <w:rFonts w:cs="Times New Roman"/>
          <w:lang w:val="fr-CA"/>
        </w:rPr>
        <w:t>» (</w:t>
      </w:r>
      <w:proofErr w:type="spellStart"/>
      <w:r w:rsidRPr="00883823">
        <w:rPr>
          <w:rFonts w:cs="Times New Roman"/>
          <w:lang w:val="fr-CA"/>
        </w:rPr>
        <w:t>Leckey</w:t>
      </w:r>
      <w:proofErr w:type="spellEnd"/>
      <w:r w:rsidRPr="00883823">
        <w:rPr>
          <w:rFonts w:cs="Times New Roman"/>
          <w:lang w:val="fr-CA"/>
        </w:rPr>
        <w:t xml:space="preserve">, </w:t>
      </w:r>
      <w:r>
        <w:rPr>
          <w:rFonts w:cs="Times New Roman"/>
          <w:lang w:val="fr-CA"/>
        </w:rPr>
        <w:t>p. </w:t>
      </w:r>
      <w:r w:rsidRPr="00883823">
        <w:rPr>
          <w:rFonts w:cs="Times New Roman"/>
          <w:lang w:val="fr-CA"/>
        </w:rPr>
        <w:t>592). Le caractère arbitraire de cette situation n’est toutefois pas attribuable uniquement au facteur temps. En effet, l’accès de l’individu à des ressources, de même que sa situation socioéconomique, sont aussi des facteurs déterminants</w:t>
      </w:r>
      <w:r>
        <w:rPr>
          <w:rFonts w:cs="Times New Roman"/>
          <w:lang w:val="fr-CA"/>
        </w:rPr>
        <w:t> :</w:t>
      </w:r>
      <w:r w:rsidRPr="00883823">
        <w:rPr>
          <w:rFonts w:cs="Times New Roman"/>
          <w:lang w:val="fr-CA"/>
        </w:rPr>
        <w:t xml:space="preserve"> </w:t>
      </w:r>
      <w:r w:rsidR="002972B9" w:rsidRPr="00883823">
        <w:rPr>
          <w:rFonts w:cs="Times New Roman"/>
          <w:lang w:val="fr-CA"/>
        </w:rPr>
        <w:t>[</w:t>
      </w:r>
      <w:r w:rsidR="002972B9" w:rsidRPr="00883823">
        <w:rPr>
          <w:rFonts w:cs="Times New Roman"/>
          <w:smallCaps/>
          <w:lang w:val="fr-CA"/>
        </w:rPr>
        <w:t>traduction</w:t>
      </w:r>
      <w:r w:rsidR="002972B9" w:rsidRPr="00883823">
        <w:rPr>
          <w:rFonts w:cs="Times New Roman"/>
          <w:lang w:val="fr-CA"/>
        </w:rPr>
        <w:t xml:space="preserve">] </w:t>
      </w:r>
      <w:r w:rsidRPr="00883823">
        <w:rPr>
          <w:rFonts w:cs="Times New Roman"/>
          <w:lang w:val="fr-CA"/>
        </w:rPr>
        <w:t xml:space="preserve">« Les personnes qui ont été bien conseillées sur le plan juridique [. . .] savent qu’il est préférable de ne pas s’avouer coupables d’une infraction à la loi et de laisser leur dossier actif jusqu’à ce que le délai prévu pour la suspension </w:t>
      </w:r>
      <w:r>
        <w:rPr>
          <w:rFonts w:cs="Times New Roman"/>
          <w:lang w:val="fr-CA"/>
        </w:rPr>
        <w:t>expire </w:t>
      </w:r>
      <w:r w:rsidRPr="00883823">
        <w:rPr>
          <w:rFonts w:cs="Times New Roman"/>
          <w:lang w:val="fr-CA"/>
        </w:rPr>
        <w:t>», tandis que celles qui n’ont pas reçu ce conseil — souvent des personnes marginalisées et vuln</w:t>
      </w:r>
      <w:r>
        <w:rPr>
          <w:rFonts w:cs="Times New Roman"/>
          <w:lang w:val="fr-CA"/>
        </w:rPr>
        <w:t xml:space="preserve">érables </w:t>
      </w:r>
      <w:r w:rsidRPr="00883823">
        <w:rPr>
          <w:rFonts w:cs="Times New Roman"/>
          <w:lang w:val="fr-CA"/>
        </w:rPr>
        <w:t>— risquent de l’ignorer (</w:t>
      </w:r>
      <w:r>
        <w:rPr>
          <w:rFonts w:cs="Times New Roman"/>
          <w:lang w:val="fr-CA"/>
        </w:rPr>
        <w:t>p. </w:t>
      </w:r>
      <w:r w:rsidRPr="00883823">
        <w:rPr>
          <w:rFonts w:cs="Times New Roman"/>
          <w:lang w:val="fr-CA"/>
        </w:rPr>
        <w:t>592). De plus, le ministère public est susceptible d’être influencé, lorsqu’il exerce son pouvoir discrétionnaire de poursuivre ou non, par le fait qu’il soit au courant que le gouvernement concerné a ou non l’intention de remplacer les dispositions législatives en question — et, dans l’affirmative, par quelles dispositi</w:t>
      </w:r>
      <w:r>
        <w:rPr>
          <w:rFonts w:cs="Times New Roman"/>
          <w:lang w:val="fr-CA"/>
        </w:rPr>
        <w:t xml:space="preserve">ons </w:t>
      </w:r>
      <w:r w:rsidRPr="00883823">
        <w:rPr>
          <w:rFonts w:cs="Times New Roman"/>
          <w:lang w:val="fr-CA"/>
        </w:rPr>
        <w:t>—, ce qui entraîne d’autres distinctions arbitraires entre les membres du groupe du demandeur (</w:t>
      </w:r>
      <w:r>
        <w:rPr>
          <w:rFonts w:cs="Times New Roman"/>
          <w:lang w:val="fr-CA"/>
        </w:rPr>
        <w:t>p. </w:t>
      </w:r>
      <w:r w:rsidRPr="00883823">
        <w:rPr>
          <w:rFonts w:cs="Times New Roman"/>
          <w:lang w:val="fr-CA"/>
        </w:rPr>
        <w:t xml:space="preserve">595). En fin de compte, </w:t>
      </w:r>
      <w:r w:rsidR="002972B9" w:rsidRPr="00883823">
        <w:rPr>
          <w:rFonts w:cs="Times New Roman"/>
          <w:lang w:val="fr-CA"/>
        </w:rPr>
        <w:t>[</w:t>
      </w:r>
      <w:r w:rsidR="002972B9" w:rsidRPr="00883823">
        <w:rPr>
          <w:rFonts w:cs="Times New Roman"/>
          <w:smallCaps/>
          <w:lang w:val="fr-CA"/>
        </w:rPr>
        <w:t>traduction</w:t>
      </w:r>
      <w:r w:rsidR="002972B9" w:rsidRPr="00883823">
        <w:rPr>
          <w:rFonts w:cs="Times New Roman"/>
          <w:lang w:val="fr-CA"/>
        </w:rPr>
        <w:t xml:space="preserve">] </w:t>
      </w:r>
      <w:r w:rsidRPr="00883823">
        <w:rPr>
          <w:rFonts w:cs="Times New Roman"/>
          <w:lang w:val="fr-CA"/>
        </w:rPr>
        <w:t>« l’incarcération de personnes reconnues coupables en vertu d’une interdiction dont on sait qu’elle viole des droits » engendre la marginalisation et « renforce la crainte que l’on porte atteinte à la primauté du droit et à la justice en général » (</w:t>
      </w:r>
      <w:r>
        <w:rPr>
          <w:rFonts w:cs="Times New Roman"/>
          <w:lang w:val="fr-CA"/>
        </w:rPr>
        <w:t>p. </w:t>
      </w:r>
      <w:r w:rsidRPr="00883823">
        <w:rPr>
          <w:rFonts w:cs="Times New Roman"/>
          <w:lang w:val="fr-CA"/>
        </w:rPr>
        <w:t xml:space="preserve">593; voir aussi </w:t>
      </w:r>
      <w:r>
        <w:rPr>
          <w:rFonts w:cs="Times New Roman"/>
          <w:lang w:val="fr-CA"/>
        </w:rPr>
        <w:t>p. </w:t>
      </w:r>
      <w:r w:rsidRPr="00883823">
        <w:rPr>
          <w:rFonts w:cs="Times New Roman"/>
          <w:lang w:val="fr-CA"/>
        </w:rPr>
        <w:t>595).</w:t>
      </w:r>
    </w:p>
    <w:p w14:paraId="2804CEC4" w14:textId="48B53161"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Outre le danger qu’il comporte de causer un préjudice, le recours systématique à la suspension de l’effet des déclarations d’invalidité risque de dissuader dès le départ les titulaires de droits de présenter des demandes fondées sur la </w:t>
      </w:r>
      <w:r w:rsidRPr="00883823">
        <w:rPr>
          <w:rFonts w:cs="Times New Roman"/>
          <w:i/>
          <w:lang w:val="fr-CA"/>
        </w:rPr>
        <w:t>Charte</w:t>
      </w:r>
      <w:r w:rsidRPr="00883823">
        <w:rPr>
          <w:rFonts w:cs="Times New Roman"/>
          <w:lang w:val="fr-CA"/>
        </w:rPr>
        <w:t>. Des auteurs de doctrine ont avancé l’idée que pareille suspension [</w:t>
      </w:r>
      <w:r w:rsidRPr="00883823">
        <w:rPr>
          <w:rFonts w:cs="Times New Roman"/>
          <w:smallCaps/>
          <w:lang w:val="fr-CA"/>
        </w:rPr>
        <w:t>traduction</w:t>
      </w:r>
      <w:r w:rsidRPr="00883823">
        <w:rPr>
          <w:rFonts w:cs="Times New Roman"/>
          <w:lang w:val="fr-CA"/>
        </w:rPr>
        <w:t>] « contribue à refroidir les ardeurs de ceux qui voudraient entreprendre des litiges constitutionnels au Canada</w:t>
      </w:r>
      <w:r w:rsidR="002972B9">
        <w:rPr>
          <w:rFonts w:cs="Times New Roman"/>
          <w:lang w:val="fr-CA"/>
        </w:rPr>
        <w:t>.</w:t>
      </w:r>
      <w:r w:rsidRPr="00883823">
        <w:rPr>
          <w:rFonts w:cs="Times New Roman"/>
          <w:lang w:val="fr-CA"/>
        </w:rPr>
        <w:t xml:space="preserve"> [I]l existe un risque bien réel que la suspension de l’effet des déclarations d’invalidité s’ajoute aux facteurs de dissuasion déjà importants qui découragent les justiciables d’amorcer une contestation constitutionnelle</w:t>
      </w:r>
      <w:r>
        <w:rPr>
          <w:rFonts w:cs="Times New Roman"/>
          <w:lang w:val="fr-CA"/>
        </w:rPr>
        <w:t> »</w:t>
      </w:r>
      <w:r w:rsidRPr="00883823">
        <w:rPr>
          <w:rFonts w:cs="Times New Roman"/>
          <w:lang w:val="fr-CA"/>
        </w:rPr>
        <w:t xml:space="preserve"> (</w:t>
      </w:r>
      <w:proofErr w:type="spellStart"/>
      <w:r w:rsidRPr="00883823">
        <w:rPr>
          <w:rFonts w:cs="Times New Roman"/>
          <w:lang w:val="fr-CA"/>
        </w:rPr>
        <w:t>Hoole</w:t>
      </w:r>
      <w:proofErr w:type="spellEnd"/>
      <w:r w:rsidRPr="00883823">
        <w:rPr>
          <w:rFonts w:cs="Times New Roman"/>
          <w:lang w:val="fr-CA"/>
        </w:rPr>
        <w:t xml:space="preserve">, </w:t>
      </w:r>
      <w:r>
        <w:rPr>
          <w:rFonts w:cs="Times New Roman"/>
          <w:lang w:val="fr-CA"/>
        </w:rPr>
        <w:t>p. </w:t>
      </w:r>
      <w:r w:rsidRPr="00883823">
        <w:rPr>
          <w:rFonts w:cs="Times New Roman"/>
          <w:lang w:val="fr-CA"/>
        </w:rPr>
        <w:t xml:space="preserve">131; voir également </w:t>
      </w:r>
      <w:proofErr w:type="spellStart"/>
      <w:r w:rsidRPr="00883823">
        <w:rPr>
          <w:rFonts w:cs="Times New Roman"/>
          <w:lang w:val="fr-CA"/>
        </w:rPr>
        <w:t>Ryder</w:t>
      </w:r>
      <w:proofErr w:type="spellEnd"/>
      <w:r w:rsidRPr="00883823">
        <w:rPr>
          <w:rFonts w:cs="Times New Roman"/>
          <w:lang w:val="fr-CA"/>
        </w:rPr>
        <w:t xml:space="preserve">, </w:t>
      </w:r>
      <w:r>
        <w:rPr>
          <w:rFonts w:cs="Times New Roman"/>
          <w:lang w:val="fr-CA"/>
        </w:rPr>
        <w:t>p. </w:t>
      </w:r>
      <w:r w:rsidRPr="00883823">
        <w:rPr>
          <w:rFonts w:cs="Times New Roman"/>
          <w:lang w:val="fr-CA"/>
        </w:rPr>
        <w:t xml:space="preserve">287). </w:t>
      </w:r>
      <w:r>
        <w:rPr>
          <w:rFonts w:cs="Times New Roman"/>
          <w:lang w:val="fr-CA"/>
        </w:rPr>
        <w:t>Nous trouvons, à titre de bel exemple,</w:t>
      </w:r>
      <w:r w:rsidRPr="00883823">
        <w:rPr>
          <w:rFonts w:cs="Times New Roman"/>
          <w:lang w:val="fr-CA"/>
        </w:rPr>
        <w:t xml:space="preserve"> l’approche fondée sur « </w:t>
      </w:r>
      <w:r w:rsidRPr="00883823">
        <w:rPr>
          <w:rFonts w:cs="Times New Roman"/>
          <w:noProof/>
          <w:lang w:val="fr-CA"/>
        </w:rPr>
        <w:t xml:space="preserve">l’équilibre [. . .] entre les préjudices » </w:t>
      </w:r>
      <w:r w:rsidRPr="00883823">
        <w:rPr>
          <w:rFonts w:cs="Times New Roman"/>
          <w:lang w:val="fr-CA"/>
        </w:rPr>
        <w:t>que notre collègue propose (</w:t>
      </w:r>
      <w:r>
        <w:rPr>
          <w:rFonts w:cs="Times New Roman"/>
          <w:lang w:val="fr-CA"/>
        </w:rPr>
        <w:t>par. </w:t>
      </w:r>
      <w:r w:rsidRPr="00883823">
        <w:rPr>
          <w:rFonts w:cs="Times New Roman"/>
          <w:lang w:val="fr-CA"/>
        </w:rPr>
        <w:t xml:space="preserve">131) et qui a pour objet d’ajouter une étape au cours de laquelle les demandeurs doivent revendiquer leurs droits en regard d’autres facteurs. Il ne peut être que décourageant pour l’éventuel auteur d’une demande fondée sur la </w:t>
      </w:r>
      <w:r w:rsidRPr="00883823">
        <w:rPr>
          <w:rFonts w:cs="Times New Roman"/>
          <w:i/>
          <w:lang w:val="fr-CA"/>
        </w:rPr>
        <w:t>Charte</w:t>
      </w:r>
      <w:r w:rsidRPr="00883823">
        <w:rPr>
          <w:rFonts w:cs="Times New Roman"/>
          <w:lang w:val="fr-CA"/>
        </w:rPr>
        <w:t xml:space="preserve"> de savoir que, selon le test appliqué par notre collègue, même lorsque le gouvernement n’arrive pas à justifier en vertu de l’article premier l’atteinte aux droits que lui garantit la </w:t>
      </w:r>
      <w:r w:rsidRPr="00883823">
        <w:rPr>
          <w:rFonts w:cs="Times New Roman"/>
          <w:i/>
          <w:lang w:val="fr-CA"/>
        </w:rPr>
        <w:t>Charte</w:t>
      </w:r>
      <w:r w:rsidRPr="00883823">
        <w:rPr>
          <w:rFonts w:cs="Times New Roman"/>
          <w:lang w:val="fr-CA"/>
        </w:rPr>
        <w:t>, il doit être prêt à riposter à tout « intérêt public identifiable » (</w:t>
      </w:r>
      <w:r>
        <w:rPr>
          <w:rFonts w:cs="Times New Roman"/>
          <w:lang w:val="fr-CA"/>
        </w:rPr>
        <w:t>par. </w:t>
      </w:r>
      <w:r w:rsidRPr="00883823">
        <w:rPr>
          <w:rFonts w:cs="Times New Roman"/>
          <w:lang w:val="fr-CA"/>
        </w:rPr>
        <w:t xml:space="preserve">83; voir aussi </w:t>
      </w:r>
      <w:r>
        <w:rPr>
          <w:rFonts w:cs="Times New Roman"/>
          <w:lang w:val="fr-CA"/>
        </w:rPr>
        <w:t>par. </w:t>
      </w:r>
      <w:r w:rsidRPr="00883823">
        <w:rPr>
          <w:rFonts w:cs="Times New Roman"/>
          <w:lang w:val="fr-CA"/>
        </w:rPr>
        <w:t xml:space="preserve">117, 139 et 171) que le gouvernement peut lui opposer pour justifier la poursuite de cette atteinte. </w:t>
      </w:r>
    </w:p>
    <w:p w14:paraId="5B7CFC29"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Lorsqu’on envisage un test en matière de suspension de l’effet de déclarations d’invalidité, on doit donc reconnaître que la mise en équilibre effectuée à l’étape de l’article premier a déjà été résolue en</w:t>
      </w:r>
      <w:r w:rsidRPr="00883823">
        <w:rPr>
          <w:rFonts w:cs="Times New Roman"/>
          <w:i/>
          <w:lang w:val="fr-CA"/>
        </w:rPr>
        <w:t xml:space="preserve"> faveur</w:t>
      </w:r>
      <w:r w:rsidRPr="00883823">
        <w:rPr>
          <w:rFonts w:cs="Times New Roman"/>
          <w:lang w:val="fr-CA"/>
        </w:rPr>
        <w:t xml:space="preserve"> </w:t>
      </w:r>
      <w:r w:rsidRPr="00883823">
        <w:rPr>
          <w:rFonts w:cs="Times New Roman"/>
          <w:iCs/>
          <w:lang w:val="fr-CA"/>
        </w:rPr>
        <w:t>de</w:t>
      </w:r>
      <w:r w:rsidRPr="00883823">
        <w:rPr>
          <w:rFonts w:cs="Times New Roman"/>
          <w:i/>
          <w:iCs/>
          <w:lang w:val="fr-CA"/>
        </w:rPr>
        <w:t xml:space="preserve"> </w:t>
      </w:r>
      <w:r w:rsidRPr="00883823">
        <w:rPr>
          <w:rFonts w:cs="Times New Roman"/>
          <w:lang w:val="fr-CA"/>
        </w:rPr>
        <w:t xml:space="preserve">la protection du droit garanti par la </w:t>
      </w:r>
      <w:r w:rsidRPr="00883823">
        <w:rPr>
          <w:rFonts w:cs="Times New Roman"/>
          <w:i/>
          <w:lang w:val="fr-CA"/>
        </w:rPr>
        <w:t>Charte</w:t>
      </w:r>
      <w:r w:rsidRPr="00883823">
        <w:rPr>
          <w:rFonts w:cs="Times New Roman"/>
          <w:lang w:val="fr-CA"/>
        </w:rPr>
        <w:t>. Le fait qu’un tribunal vienne ensuite rompre cet équilibre au</w:t>
      </w:r>
      <w:r>
        <w:rPr>
          <w:rFonts w:cs="Times New Roman"/>
          <w:i/>
          <w:lang w:val="fr-CA"/>
        </w:rPr>
        <w:t xml:space="preserve"> </w:t>
      </w:r>
      <w:r w:rsidRPr="00883823">
        <w:rPr>
          <w:rFonts w:cs="Times New Roman"/>
          <w:i/>
          <w:lang w:val="fr-CA"/>
        </w:rPr>
        <w:t>détriment</w:t>
      </w:r>
      <w:r>
        <w:rPr>
          <w:rFonts w:cs="Times New Roman"/>
          <w:i/>
          <w:lang w:val="fr-CA"/>
        </w:rPr>
        <w:t xml:space="preserve"> </w:t>
      </w:r>
      <w:r w:rsidRPr="00883823">
        <w:rPr>
          <w:rFonts w:cs="Times New Roman"/>
          <w:lang w:val="fr-CA"/>
        </w:rPr>
        <w:t>de</w:t>
      </w:r>
      <w:r w:rsidRPr="00883823">
        <w:rPr>
          <w:rFonts w:cs="Times New Roman"/>
          <w:i/>
          <w:lang w:val="fr-CA"/>
        </w:rPr>
        <w:t xml:space="preserve"> </w:t>
      </w:r>
      <w:r w:rsidRPr="00883823">
        <w:rPr>
          <w:rFonts w:cs="Times New Roman"/>
          <w:lang w:val="fr-CA"/>
        </w:rPr>
        <w:t xml:space="preserve">la protection de ce droit constitue un pas majeur regrettable, surtout lorsque le tribunal a déjà conclu qu’il n’existe pas de lien rationnel entre l’atteinte portée par une loi à la </w:t>
      </w:r>
      <w:r w:rsidRPr="00883823">
        <w:rPr>
          <w:rFonts w:cs="Times New Roman"/>
          <w:i/>
          <w:lang w:val="fr-CA"/>
        </w:rPr>
        <w:t xml:space="preserve">Charte </w:t>
      </w:r>
      <w:r w:rsidRPr="00883823">
        <w:rPr>
          <w:rFonts w:cs="Times New Roman"/>
          <w:lang w:val="fr-CA"/>
        </w:rPr>
        <w:t>et l’objectif que cette loi poursuit (</w:t>
      </w:r>
      <w:r w:rsidRPr="00883823">
        <w:rPr>
          <w:rFonts w:cs="Times New Roman"/>
          <w:i/>
          <w:lang w:val="fr-CA"/>
        </w:rPr>
        <w:t>contra</w:t>
      </w:r>
      <w:r w:rsidRPr="00C54659">
        <w:rPr>
          <w:rFonts w:cs="Times New Roman"/>
          <w:lang w:val="fr-CA"/>
        </w:rPr>
        <w:t>,</w:t>
      </w:r>
      <w:r w:rsidRPr="00883823">
        <w:rPr>
          <w:rFonts w:cs="Times New Roman"/>
          <w:i/>
          <w:lang w:val="fr-CA"/>
        </w:rPr>
        <w:t xml:space="preserve"> </w:t>
      </w:r>
      <w:proofErr w:type="spellStart"/>
      <w:r w:rsidRPr="00883823">
        <w:rPr>
          <w:rFonts w:cs="Times New Roman"/>
          <w:i/>
          <w:lang w:val="fr-CA"/>
        </w:rPr>
        <w:t>Figueroa</w:t>
      </w:r>
      <w:proofErr w:type="spellEnd"/>
      <w:r w:rsidRPr="00883823">
        <w:rPr>
          <w:rFonts w:cs="Times New Roman"/>
          <w:lang w:val="fr-CA"/>
        </w:rPr>
        <w:t xml:space="preserve">, </w:t>
      </w:r>
      <w:r>
        <w:rPr>
          <w:rFonts w:cs="Times New Roman"/>
          <w:lang w:val="fr-CA"/>
        </w:rPr>
        <w:t>par. </w:t>
      </w:r>
      <w:r w:rsidRPr="00883823">
        <w:rPr>
          <w:rFonts w:cs="Times New Roman"/>
          <w:lang w:val="fr-CA"/>
        </w:rPr>
        <w:t>86 et 92</w:t>
      </w:r>
      <w:r>
        <w:rPr>
          <w:rFonts w:cs="Times New Roman"/>
          <w:lang w:val="fr-CA"/>
        </w:rPr>
        <w:noBreakHyphen/>
      </w:r>
      <w:r w:rsidRPr="00883823">
        <w:rPr>
          <w:rFonts w:cs="Times New Roman"/>
          <w:lang w:val="fr-CA"/>
        </w:rPr>
        <w:t xml:space="preserve">93). Si elle ne sert pas rationnellement les intérêts qu’elle est censée protéger en premier lieu, nous ne voyons pas pourquoi la loi contestée devrait demeurer temporairement en vigueur. Là encore, nous reviendrions aux principes premiers. Les tribunaux ne devraient légitimer toute rupture de l’équilibre initial atteint que lorsque la menace à la primauté du droit est plus importante que l’intérêt de taille à protéger au départ le droit en question. </w:t>
      </w:r>
    </w:p>
    <w:p w14:paraId="64E28B42" w14:textId="242EA482"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 xml:space="preserve">Une dernière question. Lorsqu’utilisée de manière inappropriée (comme nous constatons que notre Cour l’a fait), la suspension de l’effet d’une déclaration d’invalidité risque en fait de miner d’au moins deux façons la primauté du droit qu’elle était censée protéger. En premier lieu, la suspension de l’effet de la déclaration d’invalidité peut créer de l’incertitude dans le droit. Par exemple, la suspension de l’effet de la déclaration d’invalidité prononcée par notre Cour dans l’arrêt </w:t>
      </w:r>
      <w:r w:rsidRPr="00883823">
        <w:rPr>
          <w:rFonts w:cs="Times New Roman"/>
          <w:i/>
          <w:lang w:val="fr-CA"/>
        </w:rPr>
        <w:t>Bedford</w:t>
      </w:r>
      <w:r w:rsidRPr="00883823">
        <w:rPr>
          <w:rFonts w:cs="Times New Roman"/>
          <w:lang w:val="fr-CA"/>
        </w:rPr>
        <w:t xml:space="preserve"> a engendré une telle incertitude que [</w:t>
      </w:r>
      <w:r w:rsidRPr="00883823">
        <w:rPr>
          <w:rFonts w:cs="Times New Roman"/>
          <w:smallCaps/>
          <w:lang w:val="fr-CA"/>
        </w:rPr>
        <w:t>traduction</w:t>
      </w:r>
      <w:r w:rsidRPr="00883823">
        <w:rPr>
          <w:rFonts w:cs="Times New Roman"/>
          <w:lang w:val="fr-CA"/>
        </w:rPr>
        <w:t xml:space="preserve">] </w:t>
      </w:r>
      <w:r>
        <w:rPr>
          <w:rFonts w:cs="Times New Roman"/>
          <w:lang w:val="fr-CA"/>
        </w:rPr>
        <w:t>« </w:t>
      </w:r>
      <w:r w:rsidRPr="00883823">
        <w:rPr>
          <w:rFonts w:cs="Times New Roman"/>
          <w:lang w:val="fr-CA"/>
        </w:rPr>
        <w:t>les policiers et les services des poursuites de partout au pays ont adopté des approches différentes pour déposer des accusations en vertu des dispositions qui ont été maintenues temporairement en vigueur, ce qui a donné lieu à [un grand nombre]</w:t>
      </w:r>
      <w:r>
        <w:rPr>
          <w:rFonts w:cs="Times New Roman"/>
          <w:lang w:val="fr-CA"/>
        </w:rPr>
        <w:t xml:space="preserve"> de litiges </w:t>
      </w:r>
      <w:r w:rsidRPr="00883823">
        <w:rPr>
          <w:rFonts w:cs="Times New Roman"/>
          <w:lang w:val="fr-CA"/>
        </w:rPr>
        <w:t>» et a suscité des craintes d’emprisonnement injuste (</w:t>
      </w:r>
      <w:proofErr w:type="spellStart"/>
      <w:r w:rsidRPr="00883823">
        <w:rPr>
          <w:rFonts w:cs="Times New Roman"/>
          <w:lang w:val="fr-CA"/>
        </w:rPr>
        <w:t>Leckey</w:t>
      </w:r>
      <w:proofErr w:type="spellEnd"/>
      <w:r w:rsidRPr="00883823">
        <w:rPr>
          <w:rFonts w:cs="Times New Roman"/>
          <w:lang w:val="fr-CA"/>
        </w:rPr>
        <w:t xml:space="preserve">, </w:t>
      </w:r>
      <w:r w:rsidRPr="00883823">
        <w:rPr>
          <w:rFonts w:cs="Times New Roman"/>
          <w:i/>
          <w:lang w:val="fr-CA"/>
        </w:rPr>
        <w:t>Bills</w:t>
      </w:r>
      <w:r w:rsidRPr="00883823">
        <w:rPr>
          <w:rFonts w:cs="Times New Roman"/>
          <w:lang w:val="fr-CA"/>
        </w:rPr>
        <w:t xml:space="preserve">, </w:t>
      </w:r>
      <w:r>
        <w:rPr>
          <w:rFonts w:cs="Times New Roman"/>
          <w:lang w:val="fr-CA"/>
        </w:rPr>
        <w:t>p. </w:t>
      </w:r>
      <w:r w:rsidRPr="00883823">
        <w:rPr>
          <w:rFonts w:cs="Times New Roman"/>
          <w:lang w:val="fr-CA"/>
        </w:rPr>
        <w:t xml:space="preserve">176; voir également </w:t>
      </w:r>
      <w:proofErr w:type="spellStart"/>
      <w:r w:rsidRPr="00883823">
        <w:rPr>
          <w:rFonts w:cs="Times New Roman"/>
          <w:lang w:val="fr-CA"/>
        </w:rPr>
        <w:t>Hoole</w:t>
      </w:r>
      <w:proofErr w:type="spellEnd"/>
      <w:r w:rsidRPr="00883823">
        <w:rPr>
          <w:rFonts w:cs="Times New Roman"/>
          <w:lang w:val="fr-CA"/>
        </w:rPr>
        <w:t xml:space="preserve">, </w:t>
      </w:r>
      <w:r>
        <w:rPr>
          <w:rFonts w:cs="Times New Roman"/>
          <w:lang w:val="fr-CA"/>
        </w:rPr>
        <w:t>p. </w:t>
      </w:r>
      <w:r w:rsidRPr="00883823">
        <w:rPr>
          <w:rFonts w:cs="Times New Roman"/>
          <w:lang w:val="fr-CA"/>
        </w:rPr>
        <w:t>125</w:t>
      </w:r>
      <w:r>
        <w:rPr>
          <w:rFonts w:cs="Times New Roman"/>
          <w:lang w:val="fr-CA"/>
        </w:rPr>
        <w:noBreakHyphen/>
      </w:r>
      <w:r w:rsidRPr="00883823">
        <w:rPr>
          <w:rFonts w:cs="Times New Roman"/>
          <w:lang w:val="fr-CA"/>
        </w:rPr>
        <w:t>126). En second lieu, la suspension de l’effet d’une déclaration d’invalidité est susceptible [</w:t>
      </w:r>
      <w:r w:rsidRPr="00883823">
        <w:rPr>
          <w:rFonts w:cs="Times New Roman"/>
          <w:smallCaps/>
          <w:lang w:val="fr-CA"/>
        </w:rPr>
        <w:t>traduction</w:t>
      </w:r>
      <w:r w:rsidRPr="00883823">
        <w:rPr>
          <w:rFonts w:cs="Times New Roman"/>
          <w:lang w:val="fr-CA"/>
        </w:rPr>
        <w:t>] « d’atténuer les conséquences auxquelles s’expose le législateur qui a édicté une loi qui viole la [</w:t>
      </w:r>
      <w:r w:rsidRPr="00883823">
        <w:rPr>
          <w:rFonts w:cs="Times New Roman"/>
          <w:i/>
          <w:lang w:val="fr-CA"/>
        </w:rPr>
        <w:t>Charte</w:t>
      </w:r>
      <w:r w:rsidRPr="00883823">
        <w:rPr>
          <w:rFonts w:cs="Times New Roman"/>
          <w:lang w:val="fr-CA"/>
        </w:rPr>
        <w:t>, ce qui,] à son tour, réduit les incitatifs à respecter les droits lorsqu’il légifère » (</w:t>
      </w:r>
      <w:proofErr w:type="spellStart"/>
      <w:r w:rsidRPr="00883823">
        <w:rPr>
          <w:rFonts w:cs="Times New Roman"/>
          <w:lang w:val="fr-CA"/>
        </w:rPr>
        <w:t>Leckey</w:t>
      </w:r>
      <w:proofErr w:type="spellEnd"/>
      <w:r w:rsidRPr="00883823">
        <w:rPr>
          <w:rFonts w:cs="Times New Roman"/>
          <w:lang w:val="fr-CA"/>
        </w:rPr>
        <w:t xml:space="preserve">, </w:t>
      </w:r>
      <w:r w:rsidRPr="00883823">
        <w:rPr>
          <w:rFonts w:cs="Times New Roman"/>
          <w:i/>
          <w:lang w:val="fr-CA"/>
        </w:rPr>
        <w:t>Bills</w:t>
      </w:r>
      <w:r w:rsidRPr="00883823">
        <w:rPr>
          <w:rFonts w:cs="Times New Roman"/>
          <w:lang w:val="fr-CA"/>
        </w:rPr>
        <w:t xml:space="preserve">, </w:t>
      </w:r>
      <w:r>
        <w:rPr>
          <w:rFonts w:cs="Times New Roman"/>
          <w:lang w:val="fr-CA"/>
        </w:rPr>
        <w:t>p. </w:t>
      </w:r>
      <w:r w:rsidRPr="00883823">
        <w:rPr>
          <w:rFonts w:cs="Times New Roman"/>
          <w:lang w:val="fr-CA"/>
        </w:rPr>
        <w:t xml:space="preserve">177; voir également </w:t>
      </w:r>
      <w:proofErr w:type="spellStart"/>
      <w:r w:rsidRPr="00883823">
        <w:rPr>
          <w:rFonts w:cs="Times New Roman"/>
          <w:i/>
          <w:lang w:val="fr-CA"/>
        </w:rPr>
        <w:t>Schachter</w:t>
      </w:r>
      <w:proofErr w:type="spellEnd"/>
      <w:r w:rsidRPr="00883823">
        <w:rPr>
          <w:rFonts w:cs="Times New Roman"/>
          <w:lang w:val="fr-CA"/>
        </w:rPr>
        <w:t xml:space="preserve">, </w:t>
      </w:r>
      <w:r>
        <w:rPr>
          <w:rFonts w:cs="Times New Roman"/>
          <w:lang w:val="fr-CA"/>
        </w:rPr>
        <w:t>p. </w:t>
      </w:r>
      <w:r w:rsidRPr="00883823">
        <w:rPr>
          <w:rFonts w:cs="Times New Roman"/>
          <w:lang w:val="fr-CA"/>
        </w:rPr>
        <w:t>728, le juge La Forest</w:t>
      </w:r>
      <w:r>
        <w:rPr>
          <w:rFonts w:cs="Times New Roman"/>
          <w:lang w:val="fr-CA"/>
        </w:rPr>
        <w:t> :</w:t>
      </w:r>
      <w:r w:rsidRPr="00883823">
        <w:rPr>
          <w:rFonts w:cs="Times New Roman"/>
          <w:lang w:val="fr-CA"/>
        </w:rPr>
        <w:t xml:space="preserve"> « L</w:t>
      </w:r>
      <w:r w:rsidRPr="00883823">
        <w:rPr>
          <w:rFonts w:cs="Times New Roman"/>
          <w:spacing w:val="-3"/>
          <w:shd w:val="clear" w:color="auto" w:fill="FFFFFF"/>
          <w:lang w:val="fr-CA"/>
        </w:rPr>
        <w:t>es tribunaux ont le devoir de veiller à ce que les lois répondent aux normes constitutionnelles et de les déclarer inopérantes dans le cas contraire. Ils exercent ainsi une pression sur les corps législatifs qui doivent, dès le départ, s’en tenir aux limites de leurs pouvoirs constitutionnels. »</w:t>
      </w:r>
      <w:r>
        <w:rPr>
          <w:rFonts w:cs="Times New Roman"/>
          <w:spacing w:val="-3"/>
          <w:shd w:val="clear" w:color="auto" w:fill="FFFFFF"/>
          <w:lang w:val="fr-CA"/>
        </w:rPr>
        <w:t>)</w:t>
      </w:r>
      <w:r w:rsidR="00E00049">
        <w:rPr>
          <w:rFonts w:cs="Times New Roman"/>
          <w:spacing w:val="-3"/>
          <w:shd w:val="clear" w:color="auto" w:fill="FFFFFF"/>
          <w:lang w:val="fr-CA"/>
        </w:rPr>
        <w:t>.</w:t>
      </w:r>
      <w:r w:rsidRPr="00883823">
        <w:rPr>
          <w:rFonts w:cs="Times New Roman"/>
          <w:spacing w:val="-3"/>
          <w:shd w:val="clear" w:color="auto" w:fill="FFFFFF"/>
          <w:lang w:val="fr-CA"/>
        </w:rPr>
        <w:t xml:space="preserve"> Le professeur </w:t>
      </w:r>
      <w:proofErr w:type="spellStart"/>
      <w:r w:rsidRPr="00883823">
        <w:rPr>
          <w:rFonts w:cs="Times New Roman"/>
          <w:lang w:val="fr-CA"/>
        </w:rPr>
        <w:t>Ryder</w:t>
      </w:r>
      <w:proofErr w:type="spellEnd"/>
      <w:r w:rsidRPr="00883823">
        <w:rPr>
          <w:rFonts w:cs="Times New Roman"/>
          <w:lang w:val="fr-CA"/>
        </w:rPr>
        <w:t xml:space="preserve"> explique</w:t>
      </w:r>
      <w:r>
        <w:rPr>
          <w:rFonts w:cs="Times New Roman"/>
          <w:lang w:val="fr-CA"/>
        </w:rPr>
        <w:t> :</w:t>
      </w:r>
    </w:p>
    <w:p w14:paraId="7E512BB7" w14:textId="3A3FF74C" w:rsidR="00F712C6" w:rsidRPr="00883823" w:rsidRDefault="00F712C6" w:rsidP="002972B9">
      <w:pPr>
        <w:pStyle w:val="Citation-AltC"/>
        <w:spacing w:after="240"/>
        <w:ind w:left="1168" w:hanging="1168"/>
        <w:contextualSpacing w:val="0"/>
        <w:rPr>
          <w:lang w:val="fr-CA"/>
        </w:rPr>
      </w:pPr>
      <w:r>
        <w:rPr>
          <w:lang w:val="fr-CA"/>
        </w:rPr>
        <w:tab/>
      </w:r>
      <w:r w:rsidR="002972B9">
        <w:rPr>
          <w:lang w:val="fr-CA"/>
        </w:rPr>
        <w:tab/>
      </w:r>
      <w:r w:rsidRPr="00883823">
        <w:rPr>
          <w:lang w:val="fr-CA"/>
        </w:rPr>
        <w:t>[</w:t>
      </w:r>
      <w:r w:rsidRPr="00883823">
        <w:rPr>
          <w:smallCaps/>
          <w:lang w:val="fr-CA"/>
        </w:rPr>
        <w:t>traduction</w:t>
      </w:r>
      <w:r w:rsidR="002972B9">
        <w:rPr>
          <w:lang w:val="fr-CA"/>
        </w:rPr>
        <w:t xml:space="preserve">] </w:t>
      </w:r>
      <w:r w:rsidRPr="00883823">
        <w:rPr>
          <w:lang w:val="fr-CA"/>
        </w:rPr>
        <w:t xml:space="preserve">L’une des conséquences de la suspension systématique de l’effet des déclarations d’invalidité lorsqu’une loi porte atteinte de manière injustifiée à des droits et libertés garantis par la </w:t>
      </w:r>
      <w:r w:rsidRPr="00883823">
        <w:rPr>
          <w:i/>
          <w:lang w:val="fr-CA"/>
        </w:rPr>
        <w:t xml:space="preserve">Charte </w:t>
      </w:r>
      <w:r w:rsidRPr="00883823">
        <w:rPr>
          <w:lang w:val="fr-CA"/>
        </w:rPr>
        <w:t xml:space="preserve">est que le prix que doit payer le législateur lorsqu’il risque de violer la </w:t>
      </w:r>
      <w:r w:rsidRPr="00883823">
        <w:rPr>
          <w:i/>
          <w:lang w:val="fr-CA"/>
        </w:rPr>
        <w:t>Charte</w:t>
      </w:r>
      <w:r w:rsidRPr="00883823">
        <w:rPr>
          <w:lang w:val="fr-CA"/>
        </w:rPr>
        <w:t xml:space="preserve"> n’est peut</w:t>
      </w:r>
      <w:r>
        <w:rPr>
          <w:lang w:val="fr-CA"/>
        </w:rPr>
        <w:noBreakHyphen/>
      </w:r>
      <w:r w:rsidRPr="00883823">
        <w:rPr>
          <w:lang w:val="fr-CA"/>
        </w:rPr>
        <w:t>être plus évident</w:t>
      </w:r>
      <w:r w:rsidR="002972B9">
        <w:rPr>
          <w:lang w:val="fr-CA"/>
        </w:rPr>
        <w:t>.</w:t>
      </w:r>
      <w:r w:rsidRPr="00883823">
        <w:rPr>
          <w:lang w:val="fr-CA"/>
        </w:rPr>
        <w:t xml:space="preserve"> [. . .] On laisse ainsi entendre au législateur qu’il ne court pas un grand risque s’il adopte des lois sans tenir vraiment compte des droits et libertés consacrés par la </w:t>
      </w:r>
      <w:r w:rsidRPr="00883823">
        <w:rPr>
          <w:i/>
          <w:lang w:val="fr-CA"/>
        </w:rPr>
        <w:t>Charte</w:t>
      </w:r>
      <w:r w:rsidR="002972B9">
        <w:rPr>
          <w:lang w:val="fr-CA"/>
        </w:rPr>
        <w:t>.</w:t>
      </w:r>
      <w:r w:rsidRPr="00883823">
        <w:rPr>
          <w:lang w:val="fr-CA"/>
        </w:rPr>
        <w:t xml:space="preserve"> [. . .] Du point de vue du gouvernement, la pire conséquence de la rédaction de lois susceptibles de violer la </w:t>
      </w:r>
      <w:r w:rsidRPr="00883823">
        <w:rPr>
          <w:i/>
          <w:lang w:val="fr-CA"/>
        </w:rPr>
        <w:t>Charte</w:t>
      </w:r>
      <w:r w:rsidRPr="00883823">
        <w:rPr>
          <w:lang w:val="fr-CA"/>
        </w:rPr>
        <w:t xml:space="preserve"> est la perspective d’un litige et la possibilité d’avoir une deuxième chance de rédiger quelques années plus tard une loi conforme à la </w:t>
      </w:r>
      <w:r w:rsidRPr="00883823">
        <w:rPr>
          <w:i/>
          <w:lang w:val="fr-CA"/>
        </w:rPr>
        <w:t>Charte</w:t>
      </w:r>
      <w:r w:rsidRPr="00883823">
        <w:rPr>
          <w:lang w:val="fr-CA"/>
        </w:rPr>
        <w:t>. [</w:t>
      </w:r>
      <w:r>
        <w:rPr>
          <w:lang w:val="fr-CA"/>
        </w:rPr>
        <w:t>p. </w:t>
      </w:r>
      <w:r w:rsidRPr="00883823">
        <w:rPr>
          <w:lang w:val="fr-CA"/>
        </w:rPr>
        <w:t>288]</w:t>
      </w:r>
    </w:p>
    <w:p w14:paraId="0B0702B2" w14:textId="77777777" w:rsidR="00F712C6" w:rsidRPr="00AF2744" w:rsidRDefault="00F712C6" w:rsidP="00F712C6">
      <w:pPr>
        <w:pStyle w:val="ContinueParaSuitedupar-AltP"/>
        <w:rPr>
          <w:lang w:val="fr-CA"/>
        </w:rPr>
      </w:pPr>
      <w:r w:rsidRPr="00613822">
        <w:rPr>
          <w:lang w:val="fr-CA"/>
        </w:rPr>
        <w:t xml:space="preserve">En d’autres termes, la suspension de l’effet des déclarations d’invalidité a en réalité pour effet d’inviter en quelque sorte les gouvernements à être plus audacieux lorsqu’ils légifèrent, puisque les conséquences potentiellement négatives auxquelles ils s’exposent sont étroitement circonscrites et qu’elles ne se produiront pas nécessairement. Un recours qui était conçu à l’origine pour </w:t>
      </w:r>
      <w:r w:rsidRPr="00613822">
        <w:rPr>
          <w:i/>
          <w:lang w:val="fr-CA"/>
        </w:rPr>
        <w:t>servir</w:t>
      </w:r>
      <w:r w:rsidRPr="00613822">
        <w:rPr>
          <w:lang w:val="fr-CA"/>
        </w:rPr>
        <w:t xml:space="preserve"> la primauté du droit risque maintenant, s’il n’est pas fondé sur la Constitution, de </w:t>
      </w:r>
      <w:r w:rsidRPr="00613822">
        <w:rPr>
          <w:i/>
          <w:lang w:val="fr-CA"/>
        </w:rPr>
        <w:t>provoquer</w:t>
      </w:r>
      <w:r w:rsidRPr="00613822">
        <w:rPr>
          <w:lang w:val="fr-CA"/>
        </w:rPr>
        <w:t xml:space="preserve">, voire de </w:t>
      </w:r>
      <w:r w:rsidRPr="00613822">
        <w:rPr>
          <w:i/>
          <w:lang w:val="fr-CA"/>
        </w:rPr>
        <w:t>favoriser</w:t>
      </w:r>
      <w:r w:rsidRPr="00613822">
        <w:rPr>
          <w:lang w:val="fr-CA"/>
        </w:rPr>
        <w:t>, sa violation (</w:t>
      </w:r>
      <w:proofErr w:type="spellStart"/>
      <w:r w:rsidRPr="00613822">
        <w:rPr>
          <w:lang w:val="fr-CA"/>
        </w:rPr>
        <w:t>Ryder</w:t>
      </w:r>
      <w:proofErr w:type="spellEnd"/>
      <w:r w:rsidRPr="00613822">
        <w:rPr>
          <w:lang w:val="fr-CA"/>
        </w:rPr>
        <w:t xml:space="preserve">, p. 288). Nous préconisons donc un retour à la démarche bien connue axée sur la primauté du droit qui a été </w:t>
      </w:r>
      <w:proofErr w:type="gramStart"/>
      <w:r w:rsidRPr="00613822">
        <w:rPr>
          <w:lang w:val="fr-CA"/>
        </w:rPr>
        <w:t>énoncée</w:t>
      </w:r>
      <w:proofErr w:type="gramEnd"/>
      <w:r w:rsidRPr="00613822">
        <w:rPr>
          <w:lang w:val="fr-CA"/>
        </w:rPr>
        <w:t xml:space="preserve"> dans le </w:t>
      </w:r>
      <w:r w:rsidRPr="00613822">
        <w:rPr>
          <w:i/>
          <w:lang w:val="fr-CA"/>
        </w:rPr>
        <w:t>Renvoi relatif au Manitoba</w:t>
      </w:r>
      <w:r w:rsidRPr="00613822">
        <w:rPr>
          <w:lang w:val="fr-CA"/>
        </w:rPr>
        <w:t xml:space="preserve"> et qui relève entièrement de la compétence des tribunaux. </w:t>
      </w:r>
      <w:r w:rsidRPr="00AF2744">
        <w:rPr>
          <w:lang w:val="fr-CA"/>
        </w:rPr>
        <w:t>Et nous laisserions aux organes de l’État — le pouvoir législatif et le pouvoir exécutif — le soin de se pencher sur les contraintes dont est assortie l’élaboration de politiques publiques, lesquelles sont des questions qu’ils connaissent.</w:t>
      </w:r>
    </w:p>
    <w:p w14:paraId="26FF19D8" w14:textId="77777777" w:rsidR="00F712C6" w:rsidRPr="00883823" w:rsidRDefault="00F712C6" w:rsidP="00F712C6">
      <w:pPr>
        <w:pStyle w:val="Title2LevelTitre2Niveau"/>
        <w:ind w:left="578"/>
        <w:rPr>
          <w:rFonts w:cs="Times New Roman"/>
          <w:lang w:val="fr-CA"/>
        </w:rPr>
      </w:pPr>
      <w:r w:rsidRPr="00883823">
        <w:rPr>
          <w:rFonts w:cs="Times New Roman"/>
          <w:lang w:val="fr-CA"/>
        </w:rPr>
        <w:t>Conclusion</w:t>
      </w:r>
    </w:p>
    <w:p w14:paraId="238F2945" w14:textId="18FA52C5"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L’utilisation, par notre Cour, de la suspension de l’effet des déclarations d’invalidité comme moyen de déléguer son pouvoir de réparation au législateur est non seulement [</w:t>
      </w:r>
      <w:r w:rsidRPr="00883823">
        <w:rPr>
          <w:rFonts w:cs="Times New Roman"/>
          <w:smallCaps/>
          <w:lang w:val="fr-CA"/>
        </w:rPr>
        <w:t>traduction</w:t>
      </w:r>
      <w:r w:rsidRPr="00883823">
        <w:rPr>
          <w:rFonts w:cs="Times New Roman"/>
          <w:lang w:val="fr-CA"/>
        </w:rPr>
        <w:t>] « incompatible avec les préceptes du modèle c</w:t>
      </w:r>
      <w:r w:rsidR="002972B9">
        <w:rPr>
          <w:rFonts w:cs="Times New Roman"/>
          <w:lang w:val="fr-CA"/>
        </w:rPr>
        <w:t xml:space="preserve">onstitutionnel canadien </w:t>
      </w:r>
      <w:r w:rsidRPr="00883823">
        <w:rPr>
          <w:rFonts w:cs="Times New Roman"/>
          <w:lang w:val="fr-CA"/>
        </w:rPr>
        <w:t xml:space="preserve">[mais] elle a [aussi] créé un problème d’incohérence analytique, en plus d’amplifier des hypothèses institutionnelles erronées qui font subir des coûts excessifs aux auteurs de demandes fondées sur la </w:t>
      </w:r>
      <w:r w:rsidRPr="00883823">
        <w:rPr>
          <w:rFonts w:cs="Times New Roman"/>
          <w:i/>
          <w:lang w:val="fr-CA"/>
        </w:rPr>
        <w:t>Charte</w:t>
      </w:r>
      <w:r w:rsidRPr="00883823">
        <w:rPr>
          <w:rFonts w:cs="Times New Roman"/>
          <w:lang w:val="fr-CA"/>
        </w:rPr>
        <w:t xml:space="preserve"> et qui ont porté inutilement atteinte à des droits garantis par la </w:t>
      </w:r>
      <w:r w:rsidRPr="00883823">
        <w:rPr>
          <w:rFonts w:cs="Times New Roman"/>
          <w:i/>
          <w:lang w:val="fr-CA"/>
        </w:rPr>
        <w:t>Charte </w:t>
      </w:r>
      <w:r w:rsidRPr="00883823">
        <w:rPr>
          <w:rFonts w:cs="Times New Roman"/>
          <w:iCs/>
          <w:lang w:val="fr-CA"/>
        </w:rPr>
        <w:t>»</w:t>
      </w:r>
      <w:r w:rsidRPr="00883823">
        <w:rPr>
          <w:rFonts w:cs="Times New Roman"/>
          <w:lang w:val="fr-CA"/>
        </w:rPr>
        <w:t xml:space="preserve"> (</w:t>
      </w:r>
      <w:proofErr w:type="spellStart"/>
      <w:r w:rsidRPr="00883823">
        <w:rPr>
          <w:rFonts w:cs="Times New Roman"/>
          <w:lang w:val="fr-CA"/>
        </w:rPr>
        <w:t>Hoole</w:t>
      </w:r>
      <w:proofErr w:type="spellEnd"/>
      <w:r w:rsidRPr="00883823">
        <w:rPr>
          <w:rFonts w:cs="Times New Roman"/>
          <w:lang w:val="fr-CA"/>
        </w:rPr>
        <w:t xml:space="preserve">, </w:t>
      </w:r>
      <w:r>
        <w:rPr>
          <w:rFonts w:cs="Times New Roman"/>
          <w:lang w:val="fr-CA"/>
        </w:rPr>
        <w:t>p. </w:t>
      </w:r>
      <w:r w:rsidRPr="00883823">
        <w:rPr>
          <w:rFonts w:cs="Times New Roman"/>
          <w:lang w:val="fr-CA"/>
        </w:rPr>
        <w:t xml:space="preserve">147). Mis à part le respect du principe constitutionnel de la primauté du droit, nous ne voyons aucune raison défendable — à tout le moins aucune justification reconnue par les tribunaux — pour laquelle un tribunal suspendrait l’application de droits constitutionnels. Si la Cour hésite à prononcer des déclarations avec effet immédiat à cause de la retenue dont elle doit faire preuve, nous estimons que la </w:t>
      </w:r>
      <w:r w:rsidRPr="00883823">
        <w:rPr>
          <w:rFonts w:cs="Times New Roman"/>
          <w:i/>
          <w:iCs/>
          <w:lang w:val="fr-CA"/>
        </w:rPr>
        <w:t>véritable</w:t>
      </w:r>
      <w:r w:rsidRPr="00883823">
        <w:rPr>
          <w:rFonts w:cs="Times New Roman"/>
          <w:lang w:val="fr-CA"/>
        </w:rPr>
        <w:t xml:space="preserve"> retenue consiste à respecter la Constitution et non à [</w:t>
      </w:r>
      <w:r w:rsidRPr="00883823">
        <w:rPr>
          <w:rFonts w:cs="Times New Roman"/>
          <w:smallCaps/>
          <w:lang w:val="fr-CA"/>
        </w:rPr>
        <w:t>traduction</w:t>
      </w:r>
      <w:r>
        <w:rPr>
          <w:rFonts w:cs="Times New Roman"/>
          <w:lang w:val="fr-CA"/>
        </w:rPr>
        <w:t>] « </w:t>
      </w:r>
      <w:r w:rsidRPr="00883823">
        <w:rPr>
          <w:rFonts w:cs="Times New Roman"/>
          <w:lang w:val="fr-CA"/>
        </w:rPr>
        <w:t>exercer dans tous les cas son pouvoir discrétionnaire » (</w:t>
      </w:r>
      <w:proofErr w:type="spellStart"/>
      <w:r w:rsidRPr="00883823">
        <w:rPr>
          <w:rFonts w:cs="Times New Roman"/>
          <w:lang w:val="fr-CA"/>
        </w:rPr>
        <w:t>Leckey</w:t>
      </w:r>
      <w:proofErr w:type="spellEnd"/>
      <w:r w:rsidRPr="00883823">
        <w:rPr>
          <w:rFonts w:cs="Times New Roman"/>
          <w:lang w:val="fr-CA"/>
        </w:rPr>
        <w:t xml:space="preserve">, </w:t>
      </w:r>
      <w:r w:rsidRPr="00883823">
        <w:rPr>
          <w:rFonts w:cs="Times New Roman"/>
          <w:i/>
          <w:lang w:val="fr-CA"/>
        </w:rPr>
        <w:t>Bills</w:t>
      </w:r>
      <w:r w:rsidRPr="00883823">
        <w:rPr>
          <w:rFonts w:cs="Times New Roman"/>
          <w:lang w:val="fr-CA"/>
        </w:rPr>
        <w:t xml:space="preserve">, </w:t>
      </w:r>
      <w:r>
        <w:rPr>
          <w:rFonts w:cs="Times New Roman"/>
          <w:lang w:val="fr-CA"/>
        </w:rPr>
        <w:t>p. </w:t>
      </w:r>
      <w:r w:rsidRPr="00883823">
        <w:rPr>
          <w:rFonts w:cs="Times New Roman"/>
          <w:lang w:val="fr-CA"/>
        </w:rPr>
        <w:t xml:space="preserve">178; voir aussi </w:t>
      </w:r>
      <w:r>
        <w:rPr>
          <w:rFonts w:cs="Times New Roman"/>
          <w:lang w:val="fr-CA"/>
        </w:rPr>
        <w:t>p. </w:t>
      </w:r>
      <w:r w:rsidRPr="00883823">
        <w:rPr>
          <w:rFonts w:cs="Times New Roman"/>
          <w:lang w:val="fr-CA"/>
        </w:rPr>
        <w:t xml:space="preserve">177). </w:t>
      </w:r>
    </w:p>
    <w:p w14:paraId="462EFF94" w14:textId="7C3A8A4F"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Il est tentant — et c’est d’ailleurs une méthode judiciaire fort respectable — de scruter la jurisprudence pour en dégager des principes qui nous permettent de concilier les décisions déjà rendues et de trouver la démarche à suivre pour trancher une affaire en cours. Mais il ne faut pas oublier ce qui est en jeu. Fondamentalement, « [i]l incombe aux tribunaux de faire observer la Constitution, non d’entériner sa suspension » (</w:t>
      </w:r>
      <w:r w:rsidR="004A6852" w:rsidRPr="00E96209">
        <w:rPr>
          <w:i/>
          <w:lang w:val="fr-CA"/>
        </w:rPr>
        <w:t>Renvoi relatif à la Loi anti</w:t>
      </w:r>
      <w:r w:rsidR="004A6852">
        <w:rPr>
          <w:i/>
          <w:lang w:val="fr-CA"/>
        </w:rPr>
        <w:noBreakHyphen/>
      </w:r>
      <w:r w:rsidR="004A6852" w:rsidRPr="00E96209">
        <w:rPr>
          <w:i/>
          <w:lang w:val="fr-CA"/>
        </w:rPr>
        <w:t>inflation</w:t>
      </w:r>
      <w:r w:rsidRPr="00883823">
        <w:rPr>
          <w:rFonts w:cs="Times New Roman"/>
          <w:lang w:val="fr-CA"/>
        </w:rPr>
        <w:t xml:space="preserve">, [1976] 2 R.C.S. 373, </w:t>
      </w:r>
      <w:r>
        <w:rPr>
          <w:rFonts w:cs="Times New Roman"/>
          <w:lang w:val="fr-CA"/>
        </w:rPr>
        <w:t>p. </w:t>
      </w:r>
      <w:r w:rsidRPr="00883823">
        <w:rPr>
          <w:rFonts w:cs="Times New Roman"/>
          <w:lang w:val="fr-CA"/>
        </w:rPr>
        <w:t>463</w:t>
      </w:r>
      <w:r>
        <w:rPr>
          <w:rFonts w:cs="Times New Roman"/>
          <w:lang w:val="fr-CA"/>
        </w:rPr>
        <w:noBreakHyphen/>
      </w:r>
      <w:r w:rsidRPr="00883823">
        <w:rPr>
          <w:rFonts w:cs="Times New Roman"/>
          <w:lang w:val="fr-CA"/>
        </w:rPr>
        <w:t xml:space="preserve">464). Ainsi, à moins qu’une déclaration d’invalidité avec effet immédiat ne transgresse la primauté du droit — laquelle est la </w:t>
      </w:r>
      <w:r>
        <w:rPr>
          <w:rFonts w:cs="Times New Roman"/>
          <w:lang w:val="fr-CA"/>
        </w:rPr>
        <w:t>« </w:t>
      </w:r>
      <w:r w:rsidRPr="00883823">
        <w:rPr>
          <w:rFonts w:cs="Times New Roman"/>
          <w:lang w:val="fr-CA"/>
        </w:rPr>
        <w:t>base [même] de [notre] [C]</w:t>
      </w:r>
      <w:proofErr w:type="spellStart"/>
      <w:r w:rsidRPr="00883823">
        <w:rPr>
          <w:rFonts w:cs="Times New Roman"/>
          <w:lang w:val="fr-CA"/>
        </w:rPr>
        <w:t>onstitution</w:t>
      </w:r>
      <w:proofErr w:type="spellEnd"/>
      <w:r w:rsidRPr="00883823">
        <w:rPr>
          <w:rFonts w:cs="Times New Roman"/>
          <w:lang w:val="fr-CA"/>
        </w:rPr>
        <w:t> » (</w:t>
      </w:r>
      <w:r w:rsidRPr="00883823">
        <w:rPr>
          <w:rFonts w:cs="Times New Roman"/>
          <w:i/>
          <w:lang w:val="fr-CA"/>
        </w:rPr>
        <w:t>Renvoi relatif au Manitoba</w:t>
      </w:r>
      <w:r w:rsidRPr="00883823">
        <w:rPr>
          <w:rFonts w:cs="Times New Roman"/>
          <w:lang w:val="fr-CA"/>
        </w:rPr>
        <w:t xml:space="preserve">, </w:t>
      </w:r>
      <w:r>
        <w:rPr>
          <w:rFonts w:cs="Times New Roman"/>
          <w:lang w:val="fr-CA"/>
        </w:rPr>
        <w:t>p. </w:t>
      </w:r>
      <w:r w:rsidRPr="00883823">
        <w:rPr>
          <w:rFonts w:cs="Times New Roman"/>
          <w:lang w:val="fr-CA"/>
        </w:rPr>
        <w:t xml:space="preserve">766) — il ne faut pas abroger la </w:t>
      </w:r>
      <w:r w:rsidRPr="00883823">
        <w:rPr>
          <w:rFonts w:cs="Times New Roman"/>
          <w:i/>
          <w:lang w:val="fr-CA"/>
        </w:rPr>
        <w:t>Charte</w:t>
      </w:r>
      <w:r w:rsidRPr="00883823">
        <w:rPr>
          <w:rFonts w:cs="Times New Roman"/>
          <w:lang w:val="fr-CA"/>
        </w:rPr>
        <w:t xml:space="preserve">. Nous citons de nouveau le professeur </w:t>
      </w:r>
      <w:proofErr w:type="spellStart"/>
      <w:r w:rsidRPr="00883823">
        <w:rPr>
          <w:rFonts w:cs="Times New Roman"/>
          <w:lang w:val="fr-CA"/>
        </w:rPr>
        <w:t>Ryder</w:t>
      </w:r>
      <w:proofErr w:type="spellEnd"/>
      <w:r w:rsidRPr="00883823">
        <w:rPr>
          <w:rFonts w:cs="Times New Roman"/>
          <w:lang w:val="fr-CA"/>
        </w:rPr>
        <w:t>, qui fait valoir ce point de manière convaincante</w:t>
      </w:r>
      <w:r>
        <w:rPr>
          <w:rFonts w:cs="Times New Roman"/>
          <w:lang w:val="fr-CA"/>
        </w:rPr>
        <w:t> :</w:t>
      </w:r>
    </w:p>
    <w:p w14:paraId="3619C49D" w14:textId="17E1A3FB" w:rsidR="00F712C6" w:rsidRPr="00883823" w:rsidRDefault="00F712C6" w:rsidP="002972B9">
      <w:pPr>
        <w:pStyle w:val="Citation-AltC"/>
        <w:spacing w:after="240"/>
        <w:ind w:left="1168" w:hanging="1168"/>
        <w:contextualSpacing w:val="0"/>
        <w:rPr>
          <w:lang w:val="fr-CA"/>
        </w:rPr>
      </w:pPr>
      <w:r>
        <w:rPr>
          <w:lang w:val="fr-CA"/>
        </w:rPr>
        <w:tab/>
      </w:r>
      <w:r w:rsidRPr="00883823">
        <w:rPr>
          <w:lang w:val="fr-CA"/>
        </w:rPr>
        <w:t>[</w:t>
      </w:r>
      <w:r w:rsidRPr="00883823">
        <w:rPr>
          <w:smallCaps/>
          <w:lang w:val="fr-CA"/>
        </w:rPr>
        <w:t>traduction</w:t>
      </w:r>
      <w:proofErr w:type="gramStart"/>
      <w:r w:rsidRPr="00883823">
        <w:rPr>
          <w:lang w:val="fr-CA"/>
        </w:rPr>
        <w:t>]</w:t>
      </w:r>
      <w:r w:rsidR="002972B9">
        <w:rPr>
          <w:lang w:val="fr-CA"/>
        </w:rPr>
        <w:t xml:space="preserve"> </w:t>
      </w:r>
      <w:r w:rsidRPr="00883823">
        <w:rPr>
          <w:lang w:val="fr-CA"/>
        </w:rPr>
        <w:t>.</w:t>
      </w:r>
      <w:proofErr w:type="gramEnd"/>
      <w:r w:rsidRPr="00883823">
        <w:rPr>
          <w:lang w:val="fr-CA"/>
        </w:rPr>
        <w:t> . .</w:t>
      </w:r>
      <w:r>
        <w:rPr>
          <w:lang w:val="fr-CA"/>
        </w:rPr>
        <w:t xml:space="preserve"> </w:t>
      </w:r>
      <w:r w:rsidRPr="00883823">
        <w:rPr>
          <w:lang w:val="fr-CA"/>
        </w:rPr>
        <w:t xml:space="preserve">les suspensions de l’effet de déclarations d’invalidité semblent incompatibles avec [le </w:t>
      </w:r>
      <w:r>
        <w:rPr>
          <w:lang w:val="fr-CA"/>
        </w:rPr>
        <w:t>par. </w:t>
      </w:r>
      <w:r w:rsidRPr="00883823">
        <w:rPr>
          <w:lang w:val="fr-CA"/>
        </w:rPr>
        <w:t xml:space="preserve">52(1)] et l’article premier de la </w:t>
      </w:r>
      <w:r w:rsidRPr="00883823">
        <w:rPr>
          <w:i/>
          <w:lang w:val="fr-CA"/>
        </w:rPr>
        <w:t>Charte</w:t>
      </w:r>
      <w:r w:rsidRPr="00883823">
        <w:rPr>
          <w:lang w:val="fr-CA"/>
        </w:rPr>
        <w:t xml:space="preserve">. Ces dispositions obligent les gouvernements à démontrer que les limites apportées aux droits et libertés sont justifiées, et elles imposent aux tribunaux la responsabilité de déclarer invalides les lois dont la justification n’a pas été démontrée [. . .] Les juges abdiquent en partie leurs obligations constitutionnelles s’ils font porter au législateur la responsabilité de rendre dès le début une loi invalide conforme aux normes constitutionnelles lorsqu’il existe plusieurs solutions pour rendre cette loi conforme à la </w:t>
      </w:r>
      <w:r w:rsidRPr="00883823">
        <w:rPr>
          <w:i/>
          <w:lang w:val="fr-CA"/>
        </w:rPr>
        <w:t>Charte</w:t>
      </w:r>
      <w:r w:rsidRPr="00883823">
        <w:rPr>
          <w:lang w:val="fr-CA"/>
        </w:rPr>
        <w:t xml:space="preserve">. Un dialogue sur les réparations qui peuvent être accordées devrait se tenir </w:t>
      </w:r>
      <w:r w:rsidRPr="00883823">
        <w:rPr>
          <w:i/>
          <w:iCs/>
          <w:lang w:val="fr-CA"/>
        </w:rPr>
        <w:t>une fois que</w:t>
      </w:r>
      <w:r w:rsidRPr="00883823">
        <w:rPr>
          <w:lang w:val="fr-CA"/>
        </w:rPr>
        <w:t xml:space="preserve"> le pouvoir judiciaire s’est acquitté des responsabilités que lui impose l’article 52</w:t>
      </w:r>
      <w:r>
        <w:rPr>
          <w:lang w:val="fr-CA"/>
        </w:rPr>
        <w:t> :</w:t>
      </w:r>
      <w:r w:rsidRPr="00883823">
        <w:rPr>
          <w:lang w:val="fr-CA"/>
        </w:rPr>
        <w:t xml:space="preserve"> ce dialogue ne devrait pas servir de raison de se soustraire au départ temporairement à ces responsabilités. [</w:t>
      </w:r>
      <w:r w:rsidR="002972B9">
        <w:rPr>
          <w:lang w:val="fr-CA"/>
        </w:rPr>
        <w:t>En italique</w:t>
      </w:r>
      <w:r w:rsidRPr="00883823">
        <w:rPr>
          <w:lang w:val="fr-CA"/>
        </w:rPr>
        <w:t xml:space="preserve"> dans l’original; </w:t>
      </w:r>
      <w:r>
        <w:rPr>
          <w:lang w:val="fr-CA"/>
        </w:rPr>
        <w:t>p. </w:t>
      </w:r>
      <w:r w:rsidRPr="00883823">
        <w:rPr>
          <w:lang w:val="fr-CA"/>
        </w:rPr>
        <w:t>282.</w:t>
      </w:r>
      <w:r w:rsidRPr="00883823">
        <w:t>]</w:t>
      </w:r>
    </w:p>
    <w:p w14:paraId="15988CB6" w14:textId="77777777"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Avec égards pour notre collègue, qui s’efforce de dégager des principes utiles d’une jurisprudence désordonnée, nous estimons que le temps est venu de rétablir la discipline et la retenue dans la démarche à suivre par notre Cour en matière de suspension de l’effet de déclarations d’invalidité, et d’imposer de nouveau des conditions strictes pour donner concrètement effet aux affirmations de notre Cour suivant lesquelles la suspension de la prise d’effet d’une déclaration d’invalidité est une «</w:t>
      </w:r>
      <w:r>
        <w:rPr>
          <w:rFonts w:cs="Times New Roman"/>
          <w:lang w:val="fr-CA"/>
        </w:rPr>
        <w:t> norme rigoureuse </w:t>
      </w:r>
      <w:r w:rsidRPr="00883823">
        <w:rPr>
          <w:rFonts w:cs="Times New Roman"/>
          <w:lang w:val="fr-CA"/>
        </w:rPr>
        <w:t>» et une « </w:t>
      </w:r>
      <w:r>
        <w:rPr>
          <w:rFonts w:cs="Times New Roman"/>
          <w:lang w:val="fr-CA"/>
        </w:rPr>
        <w:t>mesure extraordinaire </w:t>
      </w:r>
      <w:r w:rsidRPr="00883823">
        <w:rPr>
          <w:rFonts w:cs="Times New Roman"/>
          <w:lang w:val="fr-CA"/>
        </w:rPr>
        <w:t>» (</w:t>
      </w:r>
      <w:r w:rsidRPr="00883823">
        <w:rPr>
          <w:rFonts w:cs="Times New Roman"/>
          <w:i/>
          <w:lang w:val="fr-CA"/>
        </w:rPr>
        <w:t xml:space="preserve">R. c. </w:t>
      </w:r>
      <w:proofErr w:type="spellStart"/>
      <w:r w:rsidRPr="00883823">
        <w:rPr>
          <w:rFonts w:cs="Times New Roman"/>
          <w:i/>
          <w:lang w:val="fr-CA"/>
        </w:rPr>
        <w:t>Boudreault</w:t>
      </w:r>
      <w:proofErr w:type="spellEnd"/>
      <w:r w:rsidRPr="00883823">
        <w:rPr>
          <w:rFonts w:cs="Times New Roman"/>
          <w:lang w:val="fr-CA"/>
        </w:rPr>
        <w:t>, 2018 CSC 58, [2018] 3 R.C.S. 599,</w:t>
      </w:r>
      <w:r w:rsidRPr="00883823">
        <w:rPr>
          <w:rFonts w:cs="Times New Roman"/>
          <w:i/>
          <w:lang w:val="fr-CA"/>
        </w:rPr>
        <w:t xml:space="preserve"> </w:t>
      </w:r>
      <w:r>
        <w:rPr>
          <w:rFonts w:cs="Times New Roman"/>
          <w:lang w:val="fr-CA"/>
        </w:rPr>
        <w:t>par. </w:t>
      </w:r>
      <w:r w:rsidRPr="00883823">
        <w:rPr>
          <w:rFonts w:cs="Times New Roman"/>
          <w:lang w:val="fr-CA"/>
        </w:rPr>
        <w:t xml:space="preserve">98; </w:t>
      </w:r>
      <w:r w:rsidRPr="00883823">
        <w:rPr>
          <w:rFonts w:cs="Times New Roman"/>
          <w:i/>
          <w:lang w:val="fr-CA"/>
        </w:rPr>
        <w:t>Carter c. Canada (Procureur général)</w:t>
      </w:r>
      <w:r w:rsidRPr="00883823">
        <w:rPr>
          <w:rFonts w:cs="Times New Roman"/>
          <w:lang w:val="fr-CA"/>
        </w:rPr>
        <w:t xml:space="preserve">, 2016 CSC 4, [2016] 1 R.C.S. 13, </w:t>
      </w:r>
      <w:r>
        <w:rPr>
          <w:rFonts w:cs="Times New Roman"/>
          <w:lang w:val="fr-CA"/>
        </w:rPr>
        <w:t>par. </w:t>
      </w:r>
      <w:r w:rsidRPr="00883823">
        <w:rPr>
          <w:rFonts w:cs="Times New Roman"/>
          <w:lang w:val="fr-CA"/>
        </w:rPr>
        <w:t xml:space="preserve">2). À notre avis, on ne peut y parvenir qu’en revenant aux principes énoncés dans le </w:t>
      </w:r>
      <w:r w:rsidRPr="00883823">
        <w:rPr>
          <w:rFonts w:cs="Times New Roman"/>
          <w:i/>
          <w:lang w:val="fr-CA"/>
        </w:rPr>
        <w:t xml:space="preserve">Renvoi relatif au Manitoba </w:t>
      </w:r>
      <w:r w:rsidRPr="00883823">
        <w:rPr>
          <w:rFonts w:cs="Times New Roman"/>
          <w:iCs/>
          <w:lang w:val="fr-CA"/>
        </w:rPr>
        <w:t>et en reprenant</w:t>
      </w:r>
      <w:r w:rsidRPr="00883823">
        <w:rPr>
          <w:rFonts w:cs="Times New Roman"/>
          <w:i/>
          <w:lang w:val="fr-CA"/>
        </w:rPr>
        <w:t xml:space="preserve"> </w:t>
      </w:r>
      <w:r w:rsidRPr="00883823">
        <w:rPr>
          <w:rFonts w:cs="Times New Roman"/>
          <w:lang w:val="fr-CA"/>
        </w:rPr>
        <w:t xml:space="preserve">son sage conseil suivant lequel la suspension de l’effet d’une déclaration d’invalidité devrait être une mesure exceptionnelle qui doit être réservée exclusivement aux situations dans laquelle la primauté du droit est en péril. La solution </w:t>
      </w:r>
      <w:r w:rsidRPr="00883823">
        <w:rPr>
          <w:rFonts w:cs="Times New Roman"/>
          <w:i/>
          <w:iCs/>
          <w:lang w:val="fr-CA"/>
        </w:rPr>
        <w:t>ne</w:t>
      </w:r>
      <w:r w:rsidRPr="00883823">
        <w:rPr>
          <w:rFonts w:cs="Times New Roman"/>
          <w:lang w:val="fr-CA"/>
        </w:rPr>
        <w:t xml:space="preserve"> consiste </w:t>
      </w:r>
      <w:r w:rsidRPr="00883823">
        <w:rPr>
          <w:rFonts w:cs="Times New Roman"/>
          <w:i/>
          <w:iCs/>
          <w:lang w:val="fr-CA"/>
        </w:rPr>
        <w:t>pas</w:t>
      </w:r>
      <w:r w:rsidRPr="00883823">
        <w:rPr>
          <w:rFonts w:cs="Times New Roman"/>
          <w:lang w:val="fr-CA"/>
        </w:rPr>
        <w:t xml:space="preserve"> à se fonder sur des « principes » qui ne sont tout simplement pas discernables dans la jurisprudence. Comme le disait lord Shaw of Dunfermline il y a plus d’un siècle, [</w:t>
      </w:r>
      <w:r w:rsidRPr="00883823">
        <w:rPr>
          <w:rFonts w:cs="Times New Roman"/>
          <w:smallCaps/>
          <w:lang w:val="fr-CA"/>
        </w:rPr>
        <w:t>traduction</w:t>
      </w:r>
      <w:r w:rsidRPr="00883823">
        <w:rPr>
          <w:rFonts w:cs="Times New Roman"/>
          <w:lang w:val="fr-CA"/>
        </w:rPr>
        <w:t>] « [c]</w:t>
      </w:r>
      <w:proofErr w:type="spellStart"/>
      <w:r w:rsidRPr="00883823">
        <w:rPr>
          <w:rFonts w:cs="Times New Roman"/>
          <w:lang w:val="fr-CA"/>
        </w:rPr>
        <w:t>onfier</w:t>
      </w:r>
      <w:proofErr w:type="spellEnd"/>
      <w:r w:rsidRPr="00883823">
        <w:rPr>
          <w:rFonts w:cs="Times New Roman"/>
          <w:lang w:val="fr-CA"/>
        </w:rPr>
        <w:t xml:space="preserve"> la tâche de protéger des droits constitutionnels aux tribunaux dans le cadre de leur pouvoir discrétionnaire revient à faire reposer les fondements de la liberté sur du sable plutôt que sur le roc » (</w:t>
      </w:r>
      <w:r w:rsidRPr="00883823">
        <w:rPr>
          <w:rFonts w:cs="Times New Roman"/>
          <w:i/>
          <w:lang w:val="fr-CA"/>
        </w:rPr>
        <w:t>Scott c. Scott</w:t>
      </w:r>
      <w:r w:rsidRPr="00883823">
        <w:rPr>
          <w:rFonts w:cs="Times New Roman"/>
          <w:lang w:val="fr-CA"/>
        </w:rPr>
        <w:t xml:space="preserve">, [1913] A.C. 417 (H.L.), </w:t>
      </w:r>
      <w:r>
        <w:rPr>
          <w:rFonts w:cs="Times New Roman"/>
          <w:lang w:val="fr-CA"/>
        </w:rPr>
        <w:t>p. </w:t>
      </w:r>
      <w:r w:rsidRPr="00883823">
        <w:rPr>
          <w:rFonts w:cs="Times New Roman"/>
          <w:lang w:val="fr-CA"/>
        </w:rPr>
        <w:t xml:space="preserve">477). Lorsqu’il s’agit de protéger des droits garantis par la </w:t>
      </w:r>
      <w:r w:rsidRPr="00883823">
        <w:rPr>
          <w:rFonts w:cs="Times New Roman"/>
          <w:i/>
          <w:lang w:val="fr-CA"/>
        </w:rPr>
        <w:t>Charte</w:t>
      </w:r>
      <w:r w:rsidRPr="00883823">
        <w:rPr>
          <w:rFonts w:cs="Times New Roman"/>
          <w:lang w:val="fr-CA"/>
        </w:rPr>
        <w:t xml:space="preserve"> contre une suspension injustifiée, c’est la loi, en l’occurrence notre Constitution —</w:t>
      </w:r>
      <w:r>
        <w:rPr>
          <w:rFonts w:cs="Times New Roman"/>
          <w:lang w:val="fr-CA"/>
        </w:rPr>
        <w:t xml:space="preserve"> </w:t>
      </w:r>
      <w:r w:rsidRPr="00883823">
        <w:rPr>
          <w:rFonts w:cs="Times New Roman"/>
          <w:lang w:val="fr-CA"/>
        </w:rPr>
        <w:t xml:space="preserve">et non un pouvoir discrétionnaire absolu (que notre collègue ne rejette que pour la forme) — qui doit prévaloir. En conséquence, notre Cour ne devrait pas hésiter à l’avenir à prononcer des déclarations d’invalidité avec effet immédiat. Dans la plupart des cas, il est nécessaire de prononcer une déclaration avec effet immédiat pour faire respecter des droits protégés, maintenir le constitutionnalisme et défendre la primauté du droit. Nous allons maintenant appliquer cette démarche au cas qui nous occupe. </w:t>
      </w:r>
    </w:p>
    <w:p w14:paraId="185AD525" w14:textId="77777777" w:rsidR="00F712C6" w:rsidRPr="00883823" w:rsidRDefault="00F712C6" w:rsidP="00F712C6">
      <w:pPr>
        <w:pStyle w:val="Title2LevelTitre2Niveau"/>
        <w:ind w:left="578"/>
        <w:rPr>
          <w:rFonts w:cs="Times New Roman"/>
          <w:lang w:val="fr-CA"/>
        </w:rPr>
      </w:pPr>
      <w:r w:rsidRPr="00883823">
        <w:rPr>
          <w:rFonts w:cs="Times New Roman"/>
          <w:lang w:val="fr-CA"/>
        </w:rPr>
        <w:t>Application</w:t>
      </w:r>
    </w:p>
    <w:p w14:paraId="6FAFBAAA" w14:textId="741F6840" w:rsidR="00F712C6" w:rsidRPr="00883823" w:rsidRDefault="00F712C6" w:rsidP="00F712C6">
      <w:pPr>
        <w:pStyle w:val="ParaNoNdepar-AltN"/>
        <w:rPr>
          <w:rFonts w:cs="Times New Roman"/>
          <w:lang w:val="fr-CA"/>
        </w:rPr>
      </w:pPr>
      <w:r w:rsidRPr="00883823">
        <w:rPr>
          <w:rFonts w:cs="Times New Roman"/>
          <w:lang w:val="fr-CA"/>
        </w:rPr>
        <w:t xml:space="preserve">Selon nous, prononcer une déclaration d’invalidité avec effet immédiat en l’espèce constituerait une menace à la sécurité publique et, par conséquent, à la primauté du droit. Nous estimons que les inquiétudes soulevées dans la présente affaire sont de la même nature et de la même ampleur que celles qui avaient justifié une suspension de l’effet de la déclaration d’invalidité dans l’affaire </w:t>
      </w:r>
      <w:r w:rsidRPr="00883823">
        <w:rPr>
          <w:rFonts w:cs="Times New Roman"/>
          <w:i/>
          <w:lang w:val="fr-CA"/>
        </w:rPr>
        <w:t xml:space="preserve">R. c. </w:t>
      </w:r>
      <w:proofErr w:type="spellStart"/>
      <w:r w:rsidRPr="00883823">
        <w:rPr>
          <w:rFonts w:cs="Times New Roman"/>
          <w:i/>
          <w:lang w:val="fr-CA"/>
        </w:rPr>
        <w:t>Swain</w:t>
      </w:r>
      <w:proofErr w:type="spellEnd"/>
      <w:r w:rsidRPr="00883823">
        <w:rPr>
          <w:rFonts w:cs="Times New Roman"/>
          <w:lang w:val="fr-CA"/>
        </w:rPr>
        <w:t xml:space="preserve">, [1991] 1 </w:t>
      </w:r>
      <w:proofErr w:type="spellStart"/>
      <w:r w:rsidRPr="00883823">
        <w:rPr>
          <w:rFonts w:cs="Times New Roman"/>
          <w:lang w:val="fr-CA"/>
        </w:rPr>
        <w:t>R.C.S</w:t>
      </w:r>
      <w:proofErr w:type="spellEnd"/>
      <w:r w:rsidRPr="00883823">
        <w:rPr>
          <w:rFonts w:cs="Times New Roman"/>
          <w:lang w:val="fr-CA"/>
        </w:rPr>
        <w:t xml:space="preserve">. 933, </w:t>
      </w:r>
      <w:r>
        <w:rPr>
          <w:rFonts w:cs="Times New Roman"/>
          <w:lang w:val="fr-CA"/>
        </w:rPr>
        <w:t>p. </w:t>
      </w:r>
      <w:r w:rsidRPr="00883823">
        <w:rPr>
          <w:rFonts w:cs="Times New Roman"/>
          <w:lang w:val="fr-CA"/>
        </w:rPr>
        <w:t xml:space="preserve">1021 (où la Cour avait jugé que la détention de </w:t>
      </w:r>
      <w:r w:rsidRPr="00883823">
        <w:rPr>
          <w:rFonts w:cs="Times New Roman"/>
          <w:i/>
          <w:lang w:val="fr-CA"/>
        </w:rPr>
        <w:t>toutes</w:t>
      </w:r>
      <w:r w:rsidRPr="00883823">
        <w:rPr>
          <w:rFonts w:cs="Times New Roman"/>
          <w:lang w:val="fr-CA"/>
        </w:rPr>
        <w:t xml:space="preserve"> les personnes déclarées non coupables pour cause d’aliénation mentale était arbitraire parce que certaines d’entre elles ne sont pas dangereuses au moment de la détermination de la peine) et dans l’affaire </w:t>
      </w:r>
      <w:r w:rsidRPr="00883823">
        <w:rPr>
          <w:rFonts w:cs="Times New Roman"/>
          <w:i/>
          <w:lang w:val="fr-CA"/>
        </w:rPr>
        <w:t>R. c. Demers</w:t>
      </w:r>
      <w:r w:rsidRPr="00883823">
        <w:rPr>
          <w:rFonts w:cs="Times New Roman"/>
          <w:lang w:val="fr-CA"/>
        </w:rPr>
        <w:t xml:space="preserve">, 2004 CSC 46, [2004] 2 R.C.S. 489, </w:t>
      </w:r>
      <w:r>
        <w:rPr>
          <w:rFonts w:cs="Times New Roman"/>
          <w:lang w:val="fr-CA"/>
        </w:rPr>
        <w:t>par. </w:t>
      </w:r>
      <w:r w:rsidRPr="00883823">
        <w:rPr>
          <w:rFonts w:cs="Times New Roman"/>
          <w:lang w:val="fr-CA"/>
        </w:rPr>
        <w:t>56</w:t>
      </w:r>
      <w:r>
        <w:rPr>
          <w:rFonts w:cs="Times New Roman"/>
          <w:lang w:val="fr-CA"/>
        </w:rPr>
        <w:noBreakHyphen/>
      </w:r>
      <w:r w:rsidRPr="00883823">
        <w:rPr>
          <w:rFonts w:cs="Times New Roman"/>
          <w:lang w:val="fr-CA"/>
        </w:rPr>
        <w:t>57 (où la Cour avait jugé que les accusés inaptes de façon permanente qui ne représentent pas un risq</w:t>
      </w:r>
      <w:r w:rsidR="00E00049">
        <w:rPr>
          <w:rFonts w:cs="Times New Roman"/>
          <w:lang w:val="fr-CA"/>
        </w:rPr>
        <w:t>ue important pour la sécurité du</w:t>
      </w:r>
      <w:r w:rsidRPr="00883823">
        <w:rPr>
          <w:rFonts w:cs="Times New Roman"/>
          <w:lang w:val="fr-CA"/>
        </w:rPr>
        <w:t xml:space="preserve"> public devaient </w:t>
      </w:r>
      <w:r w:rsidRPr="00883823">
        <w:rPr>
          <w:rFonts w:cs="Times New Roman"/>
          <w:i/>
          <w:iCs/>
          <w:lang w:val="fr-CA"/>
        </w:rPr>
        <w:t>pouvoir bénéficier</w:t>
      </w:r>
      <w:r w:rsidRPr="00883823">
        <w:rPr>
          <w:rFonts w:cs="Times New Roman"/>
          <w:lang w:val="fr-CA"/>
        </w:rPr>
        <w:t xml:space="preserve"> d’une libération inconditionnelle). Dans l’arrêt </w:t>
      </w:r>
      <w:proofErr w:type="spellStart"/>
      <w:r w:rsidRPr="00883823">
        <w:rPr>
          <w:rFonts w:cs="Times New Roman"/>
          <w:i/>
          <w:lang w:val="fr-CA"/>
        </w:rPr>
        <w:t>Swain</w:t>
      </w:r>
      <w:proofErr w:type="spellEnd"/>
      <w:r w:rsidRPr="00883823">
        <w:rPr>
          <w:rFonts w:cs="Times New Roman"/>
          <w:i/>
          <w:lang w:val="fr-CA"/>
        </w:rPr>
        <w:t xml:space="preserve">, </w:t>
      </w:r>
      <w:r w:rsidRPr="00883823">
        <w:rPr>
          <w:rFonts w:cs="Times New Roman"/>
          <w:lang w:val="fr-CA"/>
        </w:rPr>
        <w:t>la Cour a estimé que, si une déclaration avec effet immédiat était prononcée, « les juges seront obligés de libérer dans la société toutes les personnes acquittées pour cause d’aliénation mentale, y compris celles qui pourraient fort bien présenter un danger pour le public » (</w:t>
      </w:r>
      <w:r>
        <w:rPr>
          <w:rFonts w:cs="Times New Roman"/>
          <w:lang w:val="fr-CA"/>
        </w:rPr>
        <w:t>p. </w:t>
      </w:r>
      <w:r w:rsidRPr="00883823">
        <w:rPr>
          <w:rFonts w:cs="Times New Roman"/>
          <w:lang w:val="fr-CA"/>
        </w:rPr>
        <w:t>1021). En raison des éventuelles « conséquences graves » (</w:t>
      </w:r>
      <w:r>
        <w:rPr>
          <w:rFonts w:cs="Times New Roman"/>
          <w:lang w:val="fr-CA"/>
        </w:rPr>
        <w:t>p. </w:t>
      </w:r>
      <w:r w:rsidRPr="00883823">
        <w:rPr>
          <w:rFonts w:cs="Times New Roman"/>
          <w:lang w:val="fr-CA"/>
        </w:rPr>
        <w:t>1021) pour la sécurité publique, la Cour a suspendu l’effet de la déclaration d’invalidité pour une période de six mois (</w:t>
      </w:r>
      <w:r>
        <w:rPr>
          <w:rFonts w:cs="Times New Roman"/>
          <w:lang w:val="fr-CA"/>
        </w:rPr>
        <w:t>p. </w:t>
      </w:r>
      <w:r w:rsidRPr="00883823">
        <w:rPr>
          <w:rFonts w:cs="Times New Roman"/>
          <w:lang w:val="fr-CA"/>
        </w:rPr>
        <w:t xml:space="preserve">1022). De même, dans l’affaire </w:t>
      </w:r>
      <w:r w:rsidRPr="00883823">
        <w:rPr>
          <w:rFonts w:cs="Times New Roman"/>
          <w:i/>
          <w:lang w:val="fr-CA"/>
        </w:rPr>
        <w:t>Demers</w:t>
      </w:r>
      <w:r w:rsidRPr="00883823">
        <w:rPr>
          <w:rFonts w:cs="Times New Roman"/>
          <w:lang w:val="fr-CA"/>
        </w:rPr>
        <w:t>, la Cour a conclu que « l’annulation de la loi pourrait engendrer un risque pour la sécurité du public » (</w:t>
      </w:r>
      <w:r>
        <w:rPr>
          <w:rFonts w:cs="Times New Roman"/>
          <w:lang w:val="fr-CA"/>
        </w:rPr>
        <w:t>par. </w:t>
      </w:r>
      <w:r w:rsidRPr="00883823">
        <w:rPr>
          <w:rFonts w:cs="Times New Roman"/>
          <w:lang w:val="fr-CA"/>
        </w:rPr>
        <w:t xml:space="preserve">57) étant donné que sa décision aurait nécessairement pour conséquence d’accorder la libération inconditionnelle à certains accusés inaptes qui constituent </w:t>
      </w:r>
      <w:r w:rsidRPr="00883823">
        <w:rPr>
          <w:rFonts w:cs="Times New Roman"/>
          <w:i/>
          <w:iCs/>
          <w:lang w:val="fr-CA"/>
        </w:rPr>
        <w:t>effectivement</w:t>
      </w:r>
      <w:r w:rsidRPr="00883823">
        <w:rPr>
          <w:rFonts w:cs="Times New Roman"/>
          <w:lang w:val="fr-CA"/>
        </w:rPr>
        <w:t xml:space="preserve"> une menace pour la société.</w:t>
      </w:r>
    </w:p>
    <w:p w14:paraId="4398FDE0" w14:textId="77777777" w:rsidR="00F712C6" w:rsidRPr="00883823" w:rsidRDefault="00F712C6" w:rsidP="00F712C6">
      <w:pPr>
        <w:pStyle w:val="ParaNoNdepar-AltN"/>
        <w:rPr>
          <w:rFonts w:cs="Times New Roman"/>
          <w:lang w:val="fr-CA"/>
        </w:rPr>
      </w:pPr>
      <w:r w:rsidRPr="00883823">
        <w:rPr>
          <w:rFonts w:cs="Times New Roman"/>
          <w:lang w:val="fr-CA"/>
        </w:rPr>
        <w:t xml:space="preserve">De même, en l’espèce, une déclaration avec effet immédiat signifierait que le registre des délinquants sexuels prévu par la </w:t>
      </w:r>
      <w:r w:rsidRPr="00883823">
        <w:rPr>
          <w:rFonts w:cs="Times New Roman"/>
          <w:i/>
          <w:lang w:val="fr-CA"/>
        </w:rPr>
        <w:t xml:space="preserve">Loi Christopher </w:t>
      </w:r>
      <w:r w:rsidRPr="00883823">
        <w:rPr>
          <w:rFonts w:cs="Times New Roman"/>
          <w:lang w:val="fr-CA"/>
        </w:rPr>
        <w:t xml:space="preserve">ne s’appliquerait pas à l’ensemble des personnes déclarées non responsables criminellement pour cause de troubles mentaux qui se sont vu accorder une libération inconditionnelle par la Commission ontarienne d’examen. Quoique nous soyons certains que la </w:t>
      </w:r>
      <w:r w:rsidRPr="00883823">
        <w:rPr>
          <w:rFonts w:cs="Times New Roman"/>
          <w:i/>
          <w:lang w:val="fr-CA"/>
        </w:rPr>
        <w:t>Loi Christopher</w:t>
      </w:r>
      <w:r w:rsidRPr="00883823">
        <w:rPr>
          <w:rFonts w:cs="Times New Roman"/>
          <w:lang w:val="fr-CA"/>
        </w:rPr>
        <w:t xml:space="preserve"> s’applique aux personnes qui ne présentent pas un risque élevé de récidive, nous sommes tout aussi certains qu’elle vise aussi de nombreuses personnes qui présentent un tel risque. Le juge de première instance a accepté le témoignage du docteur Hanson</w:t>
      </w:r>
      <w:r>
        <w:rPr>
          <w:rFonts w:cs="Times New Roman"/>
          <w:lang w:val="fr-CA"/>
        </w:rPr>
        <w:t xml:space="preserve"> </w:t>
      </w:r>
      <w:r w:rsidRPr="00883823">
        <w:rPr>
          <w:rFonts w:cs="Times New Roman"/>
          <w:lang w:val="fr-CA"/>
        </w:rPr>
        <w:t xml:space="preserve">suivant lequel, en règle générale, les personnes déclarées non responsables criminellement pour cause de troubles mentaux présentaient un risque élevé par rapport à la population générale de commettre une autre infraction sexuelle et que celles qui bénéficient d’une libération inconditionnelle risquaient davantage de récidiver (2017 ONSC 6713, 401 C.R.R. (2d) 297, </w:t>
      </w:r>
      <w:r>
        <w:rPr>
          <w:rFonts w:cs="Times New Roman"/>
          <w:lang w:val="fr-CA"/>
        </w:rPr>
        <w:t>par. </w:t>
      </w:r>
      <w:r w:rsidRPr="00883823">
        <w:rPr>
          <w:rFonts w:cs="Times New Roman"/>
          <w:lang w:val="fr-CA"/>
        </w:rPr>
        <w:t>102, 103, 112 et 165). On ne peut assimiler une libération inconditionnelle à une absence de risque de récidive (</w:t>
      </w:r>
      <w:r w:rsidRPr="00883823">
        <w:rPr>
          <w:rFonts w:cs="Times New Roman"/>
          <w:i/>
          <w:lang w:val="fr-CA"/>
        </w:rPr>
        <w:t xml:space="preserve">Ferguson c. </w:t>
      </w:r>
      <w:proofErr w:type="spellStart"/>
      <w:r w:rsidRPr="00883823">
        <w:rPr>
          <w:rFonts w:cs="Times New Roman"/>
          <w:i/>
          <w:lang w:val="fr-CA"/>
        </w:rPr>
        <w:t>Regional</w:t>
      </w:r>
      <w:proofErr w:type="spellEnd"/>
      <w:r w:rsidRPr="00883823">
        <w:rPr>
          <w:rFonts w:cs="Times New Roman"/>
          <w:i/>
          <w:lang w:val="fr-CA"/>
        </w:rPr>
        <w:t xml:space="preserve"> Mental </w:t>
      </w:r>
      <w:proofErr w:type="spellStart"/>
      <w:r w:rsidRPr="00883823">
        <w:rPr>
          <w:rFonts w:cs="Times New Roman"/>
          <w:i/>
          <w:lang w:val="fr-CA"/>
        </w:rPr>
        <w:t>Health</w:t>
      </w:r>
      <w:proofErr w:type="spellEnd"/>
      <w:r w:rsidRPr="00883823">
        <w:rPr>
          <w:rFonts w:cs="Times New Roman"/>
          <w:i/>
          <w:lang w:val="fr-CA"/>
        </w:rPr>
        <w:t xml:space="preserve"> Care St. Thomas</w:t>
      </w:r>
      <w:r w:rsidRPr="00883823">
        <w:rPr>
          <w:rFonts w:cs="Times New Roman"/>
          <w:lang w:val="fr-CA"/>
        </w:rPr>
        <w:t xml:space="preserve">, 2010 ONCA 810, 271 O.A.C. 104, </w:t>
      </w:r>
      <w:r>
        <w:rPr>
          <w:rFonts w:cs="Times New Roman"/>
          <w:lang w:val="fr-CA"/>
        </w:rPr>
        <w:t>par. </w:t>
      </w:r>
      <w:r w:rsidRPr="00883823">
        <w:rPr>
          <w:rFonts w:cs="Times New Roman"/>
          <w:lang w:val="fr-CA"/>
        </w:rPr>
        <w:t>1, 3 et 41</w:t>
      </w:r>
      <w:r>
        <w:rPr>
          <w:rFonts w:cs="Times New Roman"/>
          <w:lang w:val="fr-CA"/>
        </w:rPr>
        <w:noBreakHyphen/>
      </w:r>
      <w:r w:rsidRPr="00883823">
        <w:rPr>
          <w:rFonts w:cs="Times New Roman"/>
          <w:lang w:val="fr-CA"/>
        </w:rPr>
        <w:t xml:space="preserve">45; </w:t>
      </w:r>
      <w:proofErr w:type="spellStart"/>
      <w:r w:rsidRPr="00883823">
        <w:rPr>
          <w:rFonts w:cs="Times New Roman"/>
          <w:i/>
          <w:lang w:val="fr-CA"/>
        </w:rPr>
        <w:t>Kassa</w:t>
      </w:r>
      <w:proofErr w:type="spellEnd"/>
      <w:r w:rsidRPr="00883823">
        <w:rPr>
          <w:rFonts w:cs="Times New Roman"/>
          <w:i/>
          <w:lang w:val="fr-CA"/>
        </w:rPr>
        <w:t xml:space="preserve"> (</w:t>
      </w:r>
      <w:proofErr w:type="spellStart"/>
      <w:r w:rsidRPr="00883823">
        <w:rPr>
          <w:rFonts w:cs="Times New Roman"/>
          <w:i/>
          <w:lang w:val="fr-CA"/>
        </w:rPr>
        <w:t>Re</w:t>
      </w:r>
      <w:proofErr w:type="spellEnd"/>
      <w:r w:rsidRPr="00883823">
        <w:rPr>
          <w:rFonts w:cs="Times New Roman"/>
          <w:i/>
          <w:lang w:val="fr-CA"/>
        </w:rPr>
        <w:t>)</w:t>
      </w:r>
      <w:r w:rsidRPr="00883823">
        <w:rPr>
          <w:rFonts w:cs="Times New Roman"/>
          <w:lang w:val="fr-CA"/>
        </w:rPr>
        <w:t xml:space="preserve">, 2019 </w:t>
      </w:r>
      <w:proofErr w:type="spellStart"/>
      <w:r w:rsidRPr="00883823">
        <w:rPr>
          <w:rFonts w:cs="Times New Roman"/>
          <w:lang w:val="fr-CA"/>
        </w:rPr>
        <w:t>ONCA</w:t>
      </w:r>
      <w:proofErr w:type="spellEnd"/>
      <w:r w:rsidRPr="00883823">
        <w:rPr>
          <w:rFonts w:cs="Times New Roman"/>
          <w:lang w:val="fr-CA"/>
        </w:rPr>
        <w:t xml:space="preserve"> 313, </w:t>
      </w:r>
      <w:r>
        <w:rPr>
          <w:rFonts w:cs="Times New Roman"/>
          <w:lang w:val="fr-CA"/>
        </w:rPr>
        <w:t>par. </w:t>
      </w:r>
      <w:r w:rsidRPr="00883823">
        <w:rPr>
          <w:rFonts w:cs="Times New Roman"/>
          <w:lang w:val="fr-CA"/>
        </w:rPr>
        <w:t>33</w:t>
      </w:r>
      <w:r>
        <w:rPr>
          <w:rFonts w:cs="Times New Roman"/>
          <w:lang w:val="fr-CA"/>
        </w:rPr>
        <w:noBreakHyphen/>
      </w:r>
      <w:r w:rsidRPr="00883823">
        <w:rPr>
          <w:rFonts w:cs="Times New Roman"/>
          <w:lang w:val="fr-CA"/>
        </w:rPr>
        <w:t>35 (</w:t>
      </w:r>
      <w:proofErr w:type="spellStart"/>
      <w:r w:rsidRPr="00883823">
        <w:rPr>
          <w:rFonts w:cs="Times New Roman"/>
          <w:lang w:val="fr-CA"/>
        </w:rPr>
        <w:t>CanLII</w:t>
      </w:r>
      <w:proofErr w:type="spellEnd"/>
      <w:r w:rsidRPr="00883823">
        <w:rPr>
          <w:rFonts w:cs="Times New Roman"/>
          <w:lang w:val="fr-CA"/>
        </w:rPr>
        <w:t>)). D’ailleurs, dans certains cas, la commission d’examen n’aurait peut</w:t>
      </w:r>
      <w:r>
        <w:rPr>
          <w:rFonts w:cs="Times New Roman"/>
          <w:lang w:val="fr-CA"/>
        </w:rPr>
        <w:noBreakHyphen/>
      </w:r>
      <w:r w:rsidRPr="00883823">
        <w:rPr>
          <w:rFonts w:cs="Times New Roman"/>
          <w:lang w:val="fr-CA"/>
        </w:rPr>
        <w:t xml:space="preserve">être pas accordé une libération inconditionnelle si elle avait su que la personne déclarée non responsable criminellement pour cause de troubles mentaux ne serait pas assujettie à la </w:t>
      </w:r>
      <w:r w:rsidRPr="00883823">
        <w:rPr>
          <w:rFonts w:cs="Times New Roman"/>
          <w:i/>
          <w:lang w:val="fr-CA"/>
        </w:rPr>
        <w:t>Loi Christopher</w:t>
      </w:r>
      <w:r w:rsidRPr="00883823">
        <w:rPr>
          <w:rFonts w:cs="Times New Roman"/>
          <w:lang w:val="fr-CA"/>
        </w:rPr>
        <w:t>.</w:t>
      </w:r>
    </w:p>
    <w:p w14:paraId="5F50466D" w14:textId="648F8B6A" w:rsidR="00F712C6" w:rsidRPr="00883823" w:rsidRDefault="00F712C6" w:rsidP="00F712C6">
      <w:pPr>
        <w:pStyle w:val="ParaNoNdepar-AltN"/>
        <w:rPr>
          <w:rFonts w:cs="Times New Roman"/>
          <w:lang w:val="fr-CA"/>
        </w:rPr>
      </w:pPr>
      <w:r w:rsidRPr="00883823">
        <w:rPr>
          <w:rFonts w:cs="Times New Roman"/>
          <w:lang w:val="fr-CA"/>
        </w:rPr>
        <w:t>Plus important, il faut se rappeler que le « risque de récidive » dont nous parlons en l’espèce est celui de commettre des infractions d’ordre sexuel, « des crimes violents qui [. . .] causent un tort immense » aux membres les plus vulnérables de notre société (</w:t>
      </w:r>
      <w:r w:rsidRPr="00883823">
        <w:rPr>
          <w:rFonts w:cs="Times New Roman"/>
          <w:i/>
          <w:lang w:val="fr-CA"/>
        </w:rPr>
        <w:t>R. c. Friesen</w:t>
      </w:r>
      <w:r w:rsidRPr="00883823">
        <w:rPr>
          <w:rFonts w:cs="Times New Roman"/>
          <w:lang w:val="fr-CA"/>
        </w:rPr>
        <w:t>, 2020 CSC 9,</w:t>
      </w:r>
      <w:r w:rsidR="002972B9">
        <w:rPr>
          <w:rFonts w:cs="Times New Roman"/>
          <w:lang w:val="fr-CA"/>
        </w:rPr>
        <w:t xml:space="preserve"> [2020] 1</w:t>
      </w:r>
      <w:r w:rsidR="004D4DC5">
        <w:rPr>
          <w:rFonts w:cs="Times New Roman"/>
          <w:lang w:val="fr-CA"/>
        </w:rPr>
        <w:t xml:space="preserve"> R.C.S. </w:t>
      </w:r>
      <w:r w:rsidR="002972B9">
        <w:rPr>
          <w:rFonts w:cs="Times New Roman"/>
          <w:lang w:val="fr-CA"/>
        </w:rPr>
        <w:t>424</w:t>
      </w:r>
      <w:r w:rsidR="004D4DC5">
        <w:rPr>
          <w:rFonts w:cs="Times New Roman"/>
          <w:lang w:val="fr-CA"/>
        </w:rPr>
        <w:t>,</w:t>
      </w:r>
      <w:r w:rsidRPr="00883823">
        <w:rPr>
          <w:rFonts w:cs="Times New Roman"/>
          <w:lang w:val="fr-CA"/>
        </w:rPr>
        <w:t xml:space="preserve"> </w:t>
      </w:r>
      <w:r>
        <w:rPr>
          <w:rFonts w:cs="Times New Roman"/>
          <w:lang w:val="fr-CA"/>
        </w:rPr>
        <w:t>par. </w:t>
      </w:r>
      <w:r w:rsidRPr="00883823">
        <w:rPr>
          <w:rFonts w:cs="Times New Roman"/>
          <w:lang w:val="fr-CA"/>
        </w:rPr>
        <w:t xml:space="preserve">5). Retirer du registre de la </w:t>
      </w:r>
      <w:r>
        <w:rPr>
          <w:rFonts w:cs="Times New Roman"/>
          <w:i/>
          <w:lang w:val="fr-CA"/>
        </w:rPr>
        <w:t>Loi Christopher</w:t>
      </w:r>
      <w:r w:rsidRPr="00883823">
        <w:rPr>
          <w:rFonts w:cs="Times New Roman"/>
          <w:i/>
          <w:lang w:val="fr-CA"/>
        </w:rPr>
        <w:t xml:space="preserve"> </w:t>
      </w:r>
      <w:r w:rsidRPr="00883823">
        <w:rPr>
          <w:rFonts w:cs="Times New Roman"/>
          <w:lang w:val="fr-CA"/>
        </w:rPr>
        <w:t>toutes les personnes déclarées non responsables criminellement pour cause de troubles mentaux qui ont bénéficié d’une libération inconditionnelle entraverait considérablement la prévention de ces infractions, de même que les enquêtes menées sur celles</w:t>
      </w:r>
      <w:r>
        <w:rPr>
          <w:rFonts w:cs="Times New Roman"/>
          <w:lang w:val="fr-CA"/>
        </w:rPr>
        <w:noBreakHyphen/>
      </w:r>
      <w:r w:rsidRPr="00883823">
        <w:rPr>
          <w:rFonts w:cs="Times New Roman"/>
          <w:lang w:val="fr-CA"/>
        </w:rPr>
        <w:t xml:space="preserve">ci. Étant donné qu’elle retirerait du registre les personnes déclarées non responsables criminellement pour cause de troubles mentaux qui </w:t>
      </w:r>
      <w:r w:rsidRPr="00883823">
        <w:rPr>
          <w:rFonts w:cs="Times New Roman"/>
          <w:i/>
          <w:lang w:val="fr-CA"/>
        </w:rPr>
        <w:t>sont</w:t>
      </w:r>
      <w:r w:rsidRPr="00883823">
        <w:rPr>
          <w:rFonts w:cs="Times New Roman"/>
          <w:lang w:val="fr-CA"/>
        </w:rPr>
        <w:t xml:space="preserve"> potentiellement dangereuses, une déclaration d’invalidité avec effet immédiat créerait, comme dans les affaires </w:t>
      </w:r>
      <w:proofErr w:type="spellStart"/>
      <w:r w:rsidRPr="00883823">
        <w:rPr>
          <w:rFonts w:cs="Times New Roman"/>
          <w:i/>
          <w:lang w:val="fr-CA"/>
        </w:rPr>
        <w:t>Swain</w:t>
      </w:r>
      <w:proofErr w:type="spellEnd"/>
      <w:r w:rsidRPr="00883823">
        <w:rPr>
          <w:rFonts w:cs="Times New Roman"/>
          <w:i/>
          <w:lang w:val="fr-CA"/>
        </w:rPr>
        <w:t xml:space="preserve"> </w:t>
      </w:r>
      <w:r w:rsidRPr="00883823">
        <w:rPr>
          <w:rFonts w:cs="Times New Roman"/>
          <w:lang w:val="fr-CA"/>
        </w:rPr>
        <w:t xml:space="preserve">et </w:t>
      </w:r>
      <w:r w:rsidRPr="00883823">
        <w:rPr>
          <w:rFonts w:cs="Times New Roman"/>
          <w:i/>
          <w:lang w:val="fr-CA"/>
        </w:rPr>
        <w:t>Demers</w:t>
      </w:r>
      <w:r w:rsidRPr="00883823">
        <w:rPr>
          <w:rFonts w:cs="Times New Roman"/>
          <w:lang w:val="fr-CA"/>
        </w:rPr>
        <w:t xml:space="preserve">, une faille dans le régime qui présenterait incontestablement un danger pour le public et, partant, une menace à la primauté du droit. </w:t>
      </w:r>
    </w:p>
    <w:p w14:paraId="25AAAB73" w14:textId="77777777" w:rsidR="00F712C6" w:rsidRPr="00883823" w:rsidRDefault="00F712C6" w:rsidP="00F712C6">
      <w:pPr>
        <w:pStyle w:val="ParaNoNdepar-AltN"/>
        <w:rPr>
          <w:rFonts w:cs="Times New Roman"/>
          <w:lang w:val="fr-CA"/>
        </w:rPr>
      </w:pPr>
      <w:r w:rsidRPr="00883823">
        <w:rPr>
          <w:rFonts w:cs="Times New Roman"/>
          <w:lang w:val="fr-CA"/>
        </w:rPr>
        <w:t>Outre la menace à la sécurité publique, notre collègue ajoute ce qu’elle estime être une raison de plus de suspendre l’effet de la déclaration d’invalidité</w:t>
      </w:r>
      <w:r>
        <w:rPr>
          <w:rFonts w:cs="Times New Roman"/>
          <w:lang w:val="fr-CA"/>
        </w:rPr>
        <w:t> :</w:t>
      </w:r>
      <w:r w:rsidRPr="00883823">
        <w:rPr>
          <w:rFonts w:cs="Times New Roman"/>
          <w:lang w:val="fr-CA"/>
        </w:rPr>
        <w:t xml:space="preserve"> elle en suspendrait l’effet pour protéger </w:t>
      </w:r>
      <w:r w:rsidRPr="00883823">
        <w:rPr>
          <w:rFonts w:cs="Times New Roman"/>
          <w:noProof/>
          <w:lang w:val="fr-CA" w:eastAsia="en-CA"/>
        </w:rPr>
        <w:t>« la capacité du législateur de répondre au constat d’inconstitutionnalité »</w:t>
      </w:r>
      <w:r w:rsidRPr="00883823">
        <w:rPr>
          <w:rFonts w:cs="Times New Roman"/>
          <w:lang w:val="fr-CA"/>
        </w:rPr>
        <w:t xml:space="preserve"> (</w:t>
      </w:r>
      <w:r>
        <w:rPr>
          <w:rFonts w:cs="Times New Roman"/>
          <w:lang w:val="fr-CA"/>
        </w:rPr>
        <w:t>par. </w:t>
      </w:r>
      <w:r w:rsidRPr="00883823">
        <w:rPr>
          <w:rFonts w:cs="Times New Roman"/>
          <w:lang w:val="fr-CA"/>
        </w:rPr>
        <w:t xml:space="preserve">178). Avec égards, nous estimons qu’il n’y a aucune raison de supposer que la difficulté de réinscrire au registre les personnes déclarées non responsables criminellement pour cause de troubles mentaux (voir </w:t>
      </w:r>
      <w:r>
        <w:rPr>
          <w:rFonts w:cs="Times New Roman"/>
          <w:lang w:val="fr-CA"/>
        </w:rPr>
        <w:t>par. </w:t>
      </w:r>
      <w:r w:rsidRPr="00883823">
        <w:rPr>
          <w:rFonts w:cs="Times New Roman"/>
          <w:lang w:val="fr-CA"/>
        </w:rPr>
        <w:t>176) limiterait l’éventail de choix qui s’offrent au législateur pour accorder à ces personnes la possibilité de bénéficier d’une exemption ou qu’elle compromettrait par ailleurs l’efficacité de ce choix stratégique (</w:t>
      </w:r>
      <w:r>
        <w:rPr>
          <w:rFonts w:cs="Times New Roman"/>
          <w:lang w:val="fr-CA"/>
        </w:rPr>
        <w:t>par. </w:t>
      </w:r>
      <w:r w:rsidRPr="00883823">
        <w:rPr>
          <w:rFonts w:cs="Times New Roman"/>
          <w:lang w:val="fr-CA"/>
        </w:rPr>
        <w:t xml:space="preserve">130). Le législateur pourrait tout simplement modifier la loi et, comme le prévoit la version actuelle de la </w:t>
      </w:r>
      <w:r w:rsidRPr="00883823">
        <w:rPr>
          <w:rFonts w:cs="Times New Roman"/>
          <w:i/>
          <w:lang w:val="fr-CA"/>
        </w:rPr>
        <w:t>Loi Christopher</w:t>
      </w:r>
      <w:r w:rsidRPr="00883823">
        <w:rPr>
          <w:rFonts w:cs="Times New Roman"/>
          <w:lang w:val="fr-CA"/>
        </w:rPr>
        <w:t>, obliger toute personne relevant de sa compétence à se présenter sans délai aux autorités, sous peine de sanctions (</w:t>
      </w:r>
      <w:r>
        <w:rPr>
          <w:rFonts w:cs="Times New Roman"/>
          <w:lang w:val="fr-CA"/>
        </w:rPr>
        <w:t>par. </w:t>
      </w:r>
      <w:r w:rsidRPr="00883823">
        <w:rPr>
          <w:rFonts w:cs="Times New Roman"/>
          <w:lang w:val="fr-CA"/>
        </w:rPr>
        <w:t xml:space="preserve">3(1) et 11(1)). </w:t>
      </w:r>
    </w:p>
    <w:p w14:paraId="1F802B2D" w14:textId="77777777" w:rsidR="00F712C6" w:rsidRPr="00883823" w:rsidRDefault="00F712C6" w:rsidP="00F712C6">
      <w:pPr>
        <w:pStyle w:val="ParaNoNdepar-AltN"/>
        <w:rPr>
          <w:rFonts w:cs="Times New Roman"/>
          <w:lang w:val="fr-CA"/>
        </w:rPr>
      </w:pPr>
      <w:r w:rsidRPr="00883823">
        <w:rPr>
          <w:rFonts w:cs="Times New Roman"/>
          <w:lang w:val="fr-CA"/>
        </w:rPr>
        <w:t xml:space="preserve">En tout état de cause, et pour les motifs que nous avons déjà exposés, les difficultés concrètes auxquelles un gouvernement peut être confronté lors de la mise en œuvre d’une loi qui est conforme à la Constitution ne peuvent justifier la suspension de droits garantis par la </w:t>
      </w:r>
      <w:r w:rsidRPr="00883823">
        <w:rPr>
          <w:rFonts w:cs="Times New Roman"/>
          <w:i/>
          <w:lang w:val="fr-CA"/>
        </w:rPr>
        <w:t>Charte</w:t>
      </w:r>
      <w:r w:rsidRPr="00883823">
        <w:rPr>
          <w:rFonts w:cs="Times New Roman"/>
          <w:lang w:val="fr-CA"/>
        </w:rPr>
        <w:t>. En effet, cela nous indique à quel point la nouvelle catégorie proposée par notre collègue se rapproche dangereusement du raisonnement inadmissible fondé sur la déférence à l’égard du législateur dont notre Cour devrait se dissocier. Au lieu de nous en remettre à de vagues concepts d’« </w:t>
      </w:r>
      <w:r w:rsidRPr="00883823">
        <w:rPr>
          <w:rFonts w:cs="Times New Roman"/>
          <w:noProof/>
          <w:lang w:val="fr-CA" w:eastAsia="en-CA"/>
        </w:rPr>
        <w:t xml:space="preserve">intérêt qu’a le public à ce que des lois soient adoptées pour son bénéfice » et de </w:t>
      </w:r>
      <w:r w:rsidRPr="00883823">
        <w:rPr>
          <w:rFonts w:cs="Times New Roman"/>
          <w:lang w:val="fr-CA"/>
        </w:rPr>
        <w:t>« rôle du législateur » (</w:t>
      </w:r>
      <w:r>
        <w:rPr>
          <w:rFonts w:cs="Times New Roman"/>
          <w:lang w:val="fr-CA"/>
        </w:rPr>
        <w:t>par. </w:t>
      </w:r>
      <w:r w:rsidRPr="00883823">
        <w:rPr>
          <w:rFonts w:cs="Times New Roman"/>
          <w:lang w:val="fr-CA"/>
        </w:rPr>
        <w:t xml:space="preserve">166), nous estimons plutôt que la suspension de l’effet d’une déclaration d’invalidité en l’espèce n’est justifiée que s’il existe une menace à la primauté du droit qui se manifesterait autrement sous la forme d’un danger pour la sécurité publique. </w:t>
      </w:r>
    </w:p>
    <w:p w14:paraId="1305335E" w14:textId="77777777" w:rsidR="00F712C6" w:rsidRPr="00883823" w:rsidRDefault="00F712C6" w:rsidP="00F712C6">
      <w:pPr>
        <w:pStyle w:val="ParaNoNdepar-AltN"/>
        <w:rPr>
          <w:rFonts w:cs="Times New Roman"/>
          <w:lang w:val="fr-CA"/>
        </w:rPr>
      </w:pPr>
      <w:r w:rsidRPr="00883823">
        <w:rPr>
          <w:rFonts w:cs="Times New Roman"/>
          <w:lang w:val="fr-CA"/>
        </w:rPr>
        <w:t>Nous ne voyons pas non plus l’utilité pour notre collègue d’invoquer « </w:t>
      </w:r>
      <w:r w:rsidRPr="00883823">
        <w:rPr>
          <w:rFonts w:cs="Times New Roman"/>
          <w:noProof/>
          <w:lang w:val="fr-CA" w:eastAsia="en-CA"/>
        </w:rPr>
        <w:t>l’importance de la violation des droits qui persisterait temporairement si l’effet de la déclaration d’invalidité était suspendu</w:t>
      </w:r>
      <w:r>
        <w:rPr>
          <w:rFonts w:cs="Times New Roman"/>
          <w:noProof/>
          <w:lang w:val="fr-CA" w:eastAsia="en-CA"/>
        </w:rPr>
        <w:t> </w:t>
      </w:r>
      <w:r w:rsidRPr="00883823">
        <w:rPr>
          <w:rFonts w:cs="Times New Roman"/>
          <w:lang w:val="fr-CA" w:bidi="en-US"/>
        </w:rPr>
        <w:t xml:space="preserve">» en l’espèce </w:t>
      </w:r>
      <w:r w:rsidRPr="00883823">
        <w:rPr>
          <w:rFonts w:cs="Times New Roman"/>
          <w:lang w:val="fr-CA"/>
        </w:rPr>
        <w:t>(</w:t>
      </w:r>
      <w:r>
        <w:rPr>
          <w:rFonts w:cs="Times New Roman"/>
          <w:lang w:val="fr-CA"/>
        </w:rPr>
        <w:t>par. </w:t>
      </w:r>
      <w:r w:rsidRPr="00883823">
        <w:rPr>
          <w:rFonts w:cs="Times New Roman"/>
          <w:lang w:val="fr-CA"/>
        </w:rPr>
        <w:t>177). Si la nouvelle approche proposée par notre collègue en matière de suspension de l’effet de déclarations d’invalidité était fondée sur le principe constitutionnel de la primauté du droit, ce commentaire serait superflu. En effet, il semble ne s’imposer qu’à cause de l’approche peu judicieuse axée sur l’atteinte d’un équilibre que préconise notre collègue, puisque, pour montrer que cette approche fonctionne concrètement, notre collègue est contrainte de trouver une préoccupation en faveur de l’intimé pour faire pencher la balance contre la suspension de l’effet de la déclaration (</w:t>
      </w:r>
      <w:r>
        <w:rPr>
          <w:rFonts w:cs="Times New Roman"/>
          <w:lang w:val="fr-CA"/>
        </w:rPr>
        <w:t>par. </w:t>
      </w:r>
      <w:r w:rsidRPr="00883823">
        <w:rPr>
          <w:rFonts w:cs="Times New Roman"/>
          <w:lang w:val="fr-CA"/>
        </w:rPr>
        <w:t>177).</w:t>
      </w:r>
    </w:p>
    <w:p w14:paraId="499064B4" w14:textId="77777777" w:rsidR="00F712C6" w:rsidRPr="00883823" w:rsidRDefault="00F712C6" w:rsidP="00F712C6">
      <w:pPr>
        <w:pStyle w:val="Title1LevelTitre1Niveau-AltL"/>
        <w:rPr>
          <w:rFonts w:cs="Times New Roman"/>
          <w:lang w:val="fr-CA"/>
        </w:rPr>
      </w:pPr>
      <w:r w:rsidRPr="00883823">
        <w:rPr>
          <w:rFonts w:cs="Times New Roman"/>
          <w:lang w:val="fr-CA"/>
        </w:rPr>
        <w:t>Exemptions individuelles</w:t>
      </w:r>
    </w:p>
    <w:p w14:paraId="43743923" w14:textId="77777777" w:rsidR="00F712C6" w:rsidRPr="00883823" w:rsidRDefault="00F712C6" w:rsidP="00F712C6">
      <w:pPr>
        <w:pStyle w:val="ParaNoNdepar-AltN"/>
        <w:rPr>
          <w:rFonts w:cs="Times New Roman"/>
          <w:szCs w:val="24"/>
          <w:lang w:val="fr-CA"/>
        </w:rPr>
      </w:pPr>
      <w:r w:rsidRPr="00883823">
        <w:rPr>
          <w:rFonts w:cs="Times New Roman"/>
          <w:szCs w:val="24"/>
          <w:lang w:val="fr-CA"/>
        </w:rPr>
        <w:t>Si une suspension de l’effet d’une déclaration d’invalidité doit rarement être accordée, une exemption individuelle de cette suspension ne doit l’être que dans des cas rarissimes. En effet, suivant la jurisprudence de notre Cour, pour respecter le rôle du législateur et les limites de la capacité institutionnelle du tribunal et pour éviter le risque d’iniquité horizontale, il ne convient d’accorder une exemption individuelle que dans « </w:t>
      </w:r>
      <w:r w:rsidRPr="00883823">
        <w:rPr>
          <w:rFonts w:cs="Times New Roman"/>
          <w:iCs/>
          <w:lang w:val="fr-CA"/>
        </w:rPr>
        <w:t>les cas</w:t>
      </w:r>
      <w:r w:rsidRPr="00883823">
        <w:rPr>
          <w:rFonts w:cs="Times New Roman"/>
          <w:i/>
          <w:iCs/>
          <w:lang w:val="fr-CA"/>
        </w:rPr>
        <w:t xml:space="preserve"> </w:t>
      </w:r>
      <w:r w:rsidRPr="00883823">
        <w:rPr>
          <w:rFonts w:cs="Times New Roman"/>
          <w:iCs/>
          <w:lang w:val="fr-CA"/>
        </w:rPr>
        <w:t>[</w:t>
      </w:r>
      <w:r w:rsidRPr="00883823">
        <w:rPr>
          <w:rFonts w:cs="Times New Roman"/>
          <w:i/>
          <w:iCs/>
          <w:lang w:val="fr-CA"/>
        </w:rPr>
        <w:t>hautement</w:t>
      </w:r>
      <w:r w:rsidRPr="00883823">
        <w:rPr>
          <w:rFonts w:cs="Times New Roman"/>
          <w:iCs/>
          <w:lang w:val="fr-CA"/>
        </w:rPr>
        <w:t>]</w:t>
      </w:r>
      <w:r w:rsidRPr="00883823">
        <w:rPr>
          <w:rFonts w:cs="Times New Roman"/>
          <w:i/>
          <w:iCs/>
          <w:lang w:val="fr-CA"/>
        </w:rPr>
        <w:t xml:space="preserve"> </w:t>
      </w:r>
      <w:r w:rsidRPr="00883823">
        <w:rPr>
          <w:rFonts w:cs="Times New Roman"/>
          <w:iCs/>
          <w:u w:val="single"/>
          <w:lang w:val="fr-CA"/>
        </w:rPr>
        <w:t>exceptionnels</w:t>
      </w:r>
      <w:r w:rsidRPr="00883823">
        <w:rPr>
          <w:rFonts w:cs="Times New Roman"/>
          <w:lang w:val="fr-CA"/>
        </w:rPr>
        <w:t xml:space="preserve"> où la réparation additionnelle fondée sur le </w:t>
      </w:r>
      <w:r>
        <w:rPr>
          <w:rFonts w:cs="Times New Roman"/>
          <w:lang w:val="fr-CA"/>
        </w:rPr>
        <w:t>par. </w:t>
      </w:r>
      <w:r w:rsidRPr="00883823">
        <w:rPr>
          <w:rFonts w:cs="Times New Roman"/>
          <w:lang w:val="fr-CA"/>
        </w:rPr>
        <w:t xml:space="preserve">24(1) est nécessaire pour accorder une réparation </w:t>
      </w:r>
      <w:r w:rsidRPr="00883823">
        <w:rPr>
          <w:rFonts w:cs="Times New Roman"/>
          <w:iCs/>
          <w:u w:val="single"/>
          <w:lang w:val="fr-CA"/>
        </w:rPr>
        <w:t>efficace</w:t>
      </w:r>
      <w:r w:rsidRPr="00883823">
        <w:rPr>
          <w:rFonts w:cs="Times New Roman"/>
          <w:lang w:val="fr-CA"/>
        </w:rPr>
        <w:t xml:space="preserve"> au demandeur »</w:t>
      </w:r>
      <w:r w:rsidRPr="00883823">
        <w:rPr>
          <w:rFonts w:cs="Times New Roman"/>
          <w:szCs w:val="24"/>
          <w:lang w:val="fr-CA"/>
        </w:rPr>
        <w:t xml:space="preserve"> (</w:t>
      </w:r>
      <w:r w:rsidRPr="00883823">
        <w:rPr>
          <w:rFonts w:cs="Times New Roman"/>
          <w:i/>
          <w:szCs w:val="24"/>
          <w:lang w:val="fr-CA"/>
        </w:rPr>
        <w:t>Ferguson</w:t>
      </w:r>
      <w:r w:rsidRPr="00883823">
        <w:rPr>
          <w:rFonts w:cs="Times New Roman"/>
          <w:szCs w:val="24"/>
          <w:lang w:val="fr-CA"/>
        </w:rPr>
        <w:t xml:space="preserve">, </w:t>
      </w:r>
      <w:r>
        <w:rPr>
          <w:rFonts w:cs="Times New Roman"/>
          <w:szCs w:val="24"/>
          <w:lang w:val="fr-CA"/>
        </w:rPr>
        <w:t>par. </w:t>
      </w:r>
      <w:r w:rsidRPr="00883823">
        <w:rPr>
          <w:rFonts w:cs="Times New Roman"/>
          <w:szCs w:val="24"/>
          <w:lang w:val="fr-CA"/>
        </w:rPr>
        <w:t xml:space="preserve">63 (nous soulignons); voir également </w:t>
      </w:r>
      <w:proofErr w:type="spellStart"/>
      <w:r w:rsidRPr="00883823">
        <w:rPr>
          <w:rFonts w:cs="Times New Roman"/>
          <w:i/>
          <w:szCs w:val="24"/>
          <w:lang w:val="fr-CA"/>
        </w:rPr>
        <w:t>Schachter</w:t>
      </w:r>
      <w:proofErr w:type="spellEnd"/>
      <w:r w:rsidRPr="00883823">
        <w:rPr>
          <w:rFonts w:cs="Times New Roman"/>
          <w:szCs w:val="24"/>
          <w:lang w:val="fr-CA"/>
        </w:rPr>
        <w:t xml:space="preserve">, </w:t>
      </w:r>
      <w:r>
        <w:rPr>
          <w:rFonts w:cs="Times New Roman"/>
          <w:szCs w:val="24"/>
          <w:lang w:val="fr-CA"/>
        </w:rPr>
        <w:t>p. </w:t>
      </w:r>
      <w:r w:rsidRPr="00883823">
        <w:rPr>
          <w:rFonts w:cs="Times New Roman"/>
          <w:szCs w:val="24"/>
          <w:lang w:val="fr-CA"/>
        </w:rPr>
        <w:t xml:space="preserve">720; </w:t>
      </w:r>
      <w:r w:rsidRPr="00883823">
        <w:rPr>
          <w:rFonts w:cs="Times New Roman"/>
          <w:i/>
          <w:szCs w:val="24"/>
          <w:lang w:val="fr-CA"/>
        </w:rPr>
        <w:t>Demers</w:t>
      </w:r>
      <w:r w:rsidRPr="00883823">
        <w:rPr>
          <w:rFonts w:cs="Times New Roman"/>
          <w:szCs w:val="24"/>
          <w:lang w:val="fr-CA"/>
        </w:rPr>
        <w:t xml:space="preserve">, </w:t>
      </w:r>
      <w:r>
        <w:rPr>
          <w:rFonts w:cs="Times New Roman"/>
          <w:szCs w:val="24"/>
          <w:lang w:val="fr-CA"/>
        </w:rPr>
        <w:t>par. </w:t>
      </w:r>
      <w:r w:rsidRPr="00883823">
        <w:rPr>
          <w:rFonts w:cs="Times New Roman"/>
          <w:szCs w:val="24"/>
          <w:lang w:val="fr-CA"/>
        </w:rPr>
        <w:t>62</w:t>
      </w:r>
      <w:r>
        <w:rPr>
          <w:rFonts w:cs="Times New Roman"/>
          <w:szCs w:val="24"/>
          <w:lang w:val="fr-CA"/>
        </w:rPr>
        <w:noBreakHyphen/>
      </w:r>
      <w:r w:rsidRPr="00883823">
        <w:rPr>
          <w:rFonts w:cs="Times New Roman"/>
          <w:szCs w:val="24"/>
          <w:lang w:val="fr-CA"/>
        </w:rPr>
        <w:t>63). Nous ne voyons aucune raison de nous écarter de cette position.</w:t>
      </w:r>
    </w:p>
    <w:p w14:paraId="5CC0D532" w14:textId="77777777" w:rsidR="00F712C6" w:rsidRPr="00883823" w:rsidRDefault="00F712C6" w:rsidP="00F712C6">
      <w:pPr>
        <w:pStyle w:val="ParaNoNdepar-AltN"/>
        <w:rPr>
          <w:rFonts w:cs="Times New Roman"/>
          <w:szCs w:val="24"/>
          <w:lang w:val="fr-CA"/>
        </w:rPr>
      </w:pPr>
      <w:r w:rsidRPr="00883823">
        <w:rPr>
          <w:rFonts w:cs="Times New Roman"/>
          <w:szCs w:val="24"/>
          <w:lang w:val="fr-CA"/>
        </w:rPr>
        <w:t xml:space="preserve">Pour déterminer s’il est nécessaire d’accorder une exemption individuelle en vue d’octroyer une réparation « efficace », il est utile de se poser la question que les intervenants le David </w:t>
      </w:r>
      <w:proofErr w:type="spellStart"/>
      <w:r w:rsidRPr="00883823">
        <w:rPr>
          <w:rFonts w:cs="Times New Roman"/>
          <w:szCs w:val="24"/>
          <w:lang w:val="fr-CA"/>
        </w:rPr>
        <w:t>Asper</w:t>
      </w:r>
      <w:proofErr w:type="spellEnd"/>
      <w:r w:rsidRPr="00883823">
        <w:rPr>
          <w:rFonts w:cs="Times New Roman"/>
          <w:szCs w:val="24"/>
          <w:lang w:val="fr-CA"/>
        </w:rPr>
        <w:t xml:space="preserve"> Centre for </w:t>
      </w:r>
      <w:proofErr w:type="spellStart"/>
      <w:r w:rsidRPr="00883823">
        <w:rPr>
          <w:rFonts w:cs="Times New Roman"/>
          <w:szCs w:val="24"/>
          <w:lang w:val="fr-CA"/>
        </w:rPr>
        <w:t>Constitutional</w:t>
      </w:r>
      <w:proofErr w:type="spellEnd"/>
      <w:r w:rsidRPr="00883823">
        <w:rPr>
          <w:rFonts w:cs="Times New Roman"/>
          <w:szCs w:val="24"/>
          <w:lang w:val="fr-CA"/>
        </w:rPr>
        <w:t xml:space="preserve"> </w:t>
      </w:r>
      <w:proofErr w:type="spellStart"/>
      <w:r w:rsidRPr="00883823">
        <w:rPr>
          <w:rFonts w:cs="Times New Roman"/>
          <w:szCs w:val="24"/>
          <w:lang w:val="fr-CA"/>
        </w:rPr>
        <w:t>Rights</w:t>
      </w:r>
      <w:proofErr w:type="spellEnd"/>
      <w:r w:rsidRPr="00883823">
        <w:rPr>
          <w:rFonts w:cs="Times New Roman"/>
          <w:szCs w:val="24"/>
          <w:lang w:val="fr-CA"/>
        </w:rPr>
        <w:t xml:space="preserve"> et le procureur général du Canada soulèvent en l’espèce</w:t>
      </w:r>
      <w:r>
        <w:rPr>
          <w:rFonts w:cs="Times New Roman"/>
          <w:szCs w:val="24"/>
          <w:lang w:val="fr-CA"/>
        </w:rPr>
        <w:t> :</w:t>
      </w:r>
      <w:r w:rsidRPr="00883823">
        <w:rPr>
          <w:rFonts w:cs="Times New Roman"/>
          <w:szCs w:val="24"/>
          <w:lang w:val="fr-CA"/>
        </w:rPr>
        <w:t xml:space="preserve"> est</w:t>
      </w:r>
      <w:r>
        <w:rPr>
          <w:rFonts w:cs="Times New Roman"/>
          <w:szCs w:val="24"/>
          <w:lang w:val="fr-CA"/>
        </w:rPr>
        <w:noBreakHyphen/>
      </w:r>
      <w:r w:rsidRPr="00883823">
        <w:rPr>
          <w:rFonts w:cs="Times New Roman"/>
          <w:szCs w:val="24"/>
          <w:lang w:val="fr-CA"/>
        </w:rPr>
        <w:t xml:space="preserve">il nécessaire d’accorder une exemption pour empêcher qu’un « préjudice irréparable » soit causé aux droits que la </w:t>
      </w:r>
      <w:r w:rsidRPr="00883823">
        <w:rPr>
          <w:rFonts w:cs="Times New Roman"/>
          <w:i/>
          <w:szCs w:val="24"/>
          <w:lang w:val="fr-CA"/>
        </w:rPr>
        <w:t xml:space="preserve">Charte </w:t>
      </w:r>
      <w:r w:rsidRPr="00883823">
        <w:rPr>
          <w:rFonts w:cs="Times New Roman"/>
          <w:szCs w:val="24"/>
          <w:lang w:val="fr-CA"/>
        </w:rPr>
        <w:t xml:space="preserve">est censée protéger au cours de la suspension (mémoire du </w:t>
      </w:r>
      <w:proofErr w:type="spellStart"/>
      <w:r w:rsidRPr="00883823">
        <w:rPr>
          <w:rFonts w:cs="Times New Roman"/>
          <w:szCs w:val="24"/>
          <w:lang w:val="fr-CA"/>
        </w:rPr>
        <w:t>Asper</w:t>
      </w:r>
      <w:proofErr w:type="spellEnd"/>
      <w:r w:rsidRPr="00883823">
        <w:rPr>
          <w:rFonts w:cs="Times New Roman"/>
          <w:szCs w:val="24"/>
          <w:lang w:val="fr-CA"/>
        </w:rPr>
        <w:t xml:space="preserve"> Centre, </w:t>
      </w:r>
      <w:r>
        <w:rPr>
          <w:rFonts w:cs="Times New Roman"/>
          <w:szCs w:val="24"/>
          <w:lang w:val="fr-CA"/>
        </w:rPr>
        <w:t>par. </w:t>
      </w:r>
      <w:r w:rsidRPr="00883823">
        <w:rPr>
          <w:rFonts w:cs="Times New Roman"/>
          <w:szCs w:val="24"/>
          <w:lang w:val="fr-CA"/>
        </w:rPr>
        <w:t xml:space="preserve">2; mémoire du P.G.C., </w:t>
      </w:r>
      <w:r>
        <w:rPr>
          <w:rFonts w:cs="Times New Roman"/>
          <w:szCs w:val="24"/>
          <w:lang w:val="fr-CA"/>
        </w:rPr>
        <w:t>par. </w:t>
      </w:r>
      <w:r w:rsidRPr="00883823">
        <w:rPr>
          <w:rFonts w:cs="Times New Roman"/>
          <w:szCs w:val="24"/>
          <w:lang w:val="fr-CA"/>
        </w:rPr>
        <w:t xml:space="preserve">55; </w:t>
      </w:r>
      <w:proofErr w:type="spellStart"/>
      <w:r w:rsidRPr="00883823">
        <w:rPr>
          <w:rFonts w:cs="Times New Roman"/>
          <w:szCs w:val="24"/>
          <w:lang w:val="fr-CA"/>
        </w:rPr>
        <w:t>Roach</w:t>
      </w:r>
      <w:proofErr w:type="spellEnd"/>
      <w:r w:rsidRPr="00883823">
        <w:rPr>
          <w:rFonts w:cs="Times New Roman"/>
          <w:szCs w:val="24"/>
          <w:lang w:val="fr-CA"/>
        </w:rPr>
        <w:t xml:space="preserve">, </w:t>
      </w:r>
      <w:proofErr w:type="spellStart"/>
      <w:r w:rsidRPr="00883823">
        <w:rPr>
          <w:rFonts w:cs="Times New Roman"/>
          <w:i/>
          <w:szCs w:val="24"/>
          <w:lang w:val="fr-CA"/>
        </w:rPr>
        <w:t>Constitutional</w:t>
      </w:r>
      <w:proofErr w:type="spellEnd"/>
      <w:r w:rsidRPr="00883823">
        <w:rPr>
          <w:rFonts w:cs="Times New Roman"/>
          <w:i/>
          <w:szCs w:val="24"/>
          <w:lang w:val="fr-CA"/>
        </w:rPr>
        <w:t xml:space="preserve"> </w:t>
      </w:r>
      <w:proofErr w:type="spellStart"/>
      <w:r w:rsidRPr="00883823">
        <w:rPr>
          <w:rFonts w:cs="Times New Roman"/>
          <w:i/>
          <w:szCs w:val="24"/>
          <w:lang w:val="fr-CA"/>
        </w:rPr>
        <w:t>Remedies</w:t>
      </w:r>
      <w:proofErr w:type="spellEnd"/>
      <w:r w:rsidRPr="00883823">
        <w:rPr>
          <w:rFonts w:cs="Times New Roman"/>
          <w:szCs w:val="24"/>
          <w:lang w:val="fr-CA"/>
        </w:rPr>
        <w:t xml:space="preserve">, §§ 14.60, 14.910, 14.930 et 14.1790). Les arguments fondés sur l’existence d’un préjudice irréparable doivent être convaincants au point de surmonter l’importante nécessité de laisser au législateur le soin de décider comment il convient de redresser une violation de la Constitution. Par exemple, une exemption peut être justifiée lorsque le plaideur a besoin d’un traitement médical urgent ou pour assurer sa mise en liberté. À notre avis, le critère de l’arrêt </w:t>
      </w:r>
      <w:r w:rsidRPr="00883823">
        <w:rPr>
          <w:rFonts w:cs="Times New Roman"/>
          <w:i/>
          <w:szCs w:val="24"/>
          <w:lang w:val="fr-CA"/>
        </w:rPr>
        <w:t xml:space="preserve">Ferguson </w:t>
      </w:r>
      <w:r w:rsidRPr="00883823">
        <w:rPr>
          <w:rFonts w:cs="Times New Roman"/>
          <w:szCs w:val="24"/>
          <w:lang w:val="fr-CA"/>
        </w:rPr>
        <w:t xml:space="preserve">débouche sur une interprétation souple des mots « convenable et juste » qui figurent au </w:t>
      </w:r>
      <w:proofErr w:type="spellStart"/>
      <w:r>
        <w:rPr>
          <w:rFonts w:cs="Times New Roman"/>
          <w:szCs w:val="24"/>
          <w:lang w:val="fr-CA"/>
        </w:rPr>
        <w:t>par</w:t>
      </w:r>
      <w:proofErr w:type="spellEnd"/>
      <w:r>
        <w:rPr>
          <w:rFonts w:cs="Times New Roman"/>
          <w:szCs w:val="24"/>
          <w:lang w:val="fr-CA"/>
        </w:rPr>
        <w:t>. </w:t>
      </w:r>
      <w:r w:rsidRPr="00883823">
        <w:rPr>
          <w:rFonts w:cs="Times New Roman"/>
          <w:szCs w:val="24"/>
          <w:lang w:val="fr-CA"/>
        </w:rPr>
        <w:t xml:space="preserve">24(1) et permet aux tribunaux de s’acquitter de leur rôle de défenseur des droits fondamentaux en minimisant toute injustice causée par la suspension tout en permettant aussi au législateur </w:t>
      </w:r>
      <w:r>
        <w:rPr>
          <w:rFonts w:cs="Times New Roman"/>
          <w:szCs w:val="24"/>
          <w:lang w:val="fr-CA"/>
        </w:rPr>
        <w:t xml:space="preserve">— </w:t>
      </w:r>
      <w:r w:rsidRPr="00883823">
        <w:rPr>
          <w:rFonts w:cs="Times New Roman"/>
          <w:szCs w:val="24"/>
          <w:lang w:val="fr-CA"/>
        </w:rPr>
        <w:t>en limitant les exemptions à des cas exceptionnels — de remplir le rôle unique qui lui incombe de formuler des lois complexes et multidimensionnelles.</w:t>
      </w:r>
    </w:p>
    <w:p w14:paraId="6CBFC510" w14:textId="77777777" w:rsidR="00F712C6" w:rsidRPr="00883823" w:rsidRDefault="00F712C6" w:rsidP="00F712C6">
      <w:pPr>
        <w:pStyle w:val="ParaNoNdepar-AltN"/>
        <w:tabs>
          <w:tab w:val="clear" w:pos="1166"/>
          <w:tab w:val="num" w:pos="1152"/>
        </w:tabs>
        <w:rPr>
          <w:rFonts w:cs="Times New Roman"/>
          <w:szCs w:val="24"/>
          <w:lang w:val="fr-CA"/>
        </w:rPr>
      </w:pPr>
      <w:r w:rsidRPr="00883823">
        <w:rPr>
          <w:rFonts w:cs="Times New Roman"/>
          <w:szCs w:val="24"/>
          <w:lang w:val="fr-CA"/>
        </w:rPr>
        <w:t>En l’espèce, il ne s’agit pas d’un de ces rares cas où une exemption individuelle est justifiée. La présente affaire n’a, à vrai dire, rien d’exceptionnel</w:t>
      </w:r>
      <w:r>
        <w:rPr>
          <w:rFonts w:cs="Times New Roman"/>
          <w:szCs w:val="24"/>
          <w:lang w:val="fr-CA"/>
        </w:rPr>
        <w:t> :</w:t>
      </w:r>
      <w:r w:rsidRPr="00883823">
        <w:rPr>
          <w:rFonts w:cs="Times New Roman"/>
          <w:szCs w:val="24"/>
          <w:lang w:val="fr-CA"/>
        </w:rPr>
        <w:t xml:space="preserve"> M. G</w:t>
      </w:r>
      <w:r>
        <w:rPr>
          <w:rFonts w:cs="Times New Roman"/>
          <w:szCs w:val="24"/>
          <w:lang w:val="fr-CA"/>
        </w:rPr>
        <w:t xml:space="preserve"> </w:t>
      </w:r>
      <w:r w:rsidRPr="00883823">
        <w:rPr>
          <w:rFonts w:cs="Times New Roman"/>
          <w:szCs w:val="24"/>
          <w:lang w:val="fr-CA"/>
        </w:rPr>
        <w:t xml:space="preserve">ne se verra pas refuser une réparation efficace parce qu’il doit attendre pour l’obtenir et il ne sera pas empêché de saisir la prochaine occasion que lui offrira le gouvernement pour se prévaloir d’une exemption, peu importe la forme qu’elle prendra. En outre, une </w:t>
      </w:r>
      <w:r w:rsidRPr="00883823">
        <w:rPr>
          <w:rFonts w:cs="Times New Roman"/>
          <w:lang w:val="fr-CA"/>
        </w:rPr>
        <w:t>suspension de l’effet de la déclaration d’invalidité d’une durée de 12 mois signifie que M. G devra tout au plus se présenter au poste de police une fois de plus (pendant environ 30 à 60</w:t>
      </w:r>
      <w:r>
        <w:rPr>
          <w:rFonts w:cs="Times New Roman"/>
          <w:lang w:val="fr-CA"/>
        </w:rPr>
        <w:t xml:space="preserve"> </w:t>
      </w:r>
      <w:r w:rsidRPr="00883823">
        <w:rPr>
          <w:rFonts w:cs="Times New Roman"/>
          <w:lang w:val="fr-CA"/>
        </w:rPr>
        <w:t xml:space="preserve">minutes (motifs de la C.S., </w:t>
      </w:r>
      <w:r>
        <w:rPr>
          <w:rFonts w:cs="Times New Roman"/>
          <w:lang w:val="fr-CA"/>
        </w:rPr>
        <w:t>par. </w:t>
      </w:r>
      <w:r w:rsidRPr="00883823">
        <w:rPr>
          <w:rFonts w:cs="Times New Roman"/>
          <w:lang w:val="fr-CA"/>
        </w:rPr>
        <w:t xml:space="preserve">58)) pour satisfaire à son obligation de se présenter chaque année aux autorités (voir la </w:t>
      </w:r>
      <w:r w:rsidRPr="00883823">
        <w:rPr>
          <w:rFonts w:cs="Times New Roman"/>
          <w:i/>
          <w:lang w:val="fr-CA"/>
        </w:rPr>
        <w:t>Loi Christopher</w:t>
      </w:r>
      <w:r w:rsidRPr="00883823">
        <w:rPr>
          <w:rFonts w:cs="Times New Roman"/>
          <w:lang w:val="fr-CA"/>
        </w:rPr>
        <w:t xml:space="preserve">, </w:t>
      </w:r>
      <w:r>
        <w:rPr>
          <w:rFonts w:cs="Times New Roman"/>
          <w:lang w:val="fr-CA"/>
        </w:rPr>
        <w:t>al. </w:t>
      </w:r>
      <w:r w:rsidRPr="00883823">
        <w:rPr>
          <w:rFonts w:cs="Times New Roman"/>
          <w:lang w:val="fr-CA"/>
        </w:rPr>
        <w:t xml:space="preserve">3(1)f) et g)). On est loin d’un « préjudice irréparable ». Nous sommes donc respectueusement en désaccord avec la décision de notre collègue d’accorder une exemption individuelle à M. G. </w:t>
      </w:r>
    </w:p>
    <w:p w14:paraId="13F7F837" w14:textId="77777777" w:rsidR="00F712C6" w:rsidRPr="00883823" w:rsidRDefault="00F712C6" w:rsidP="00F712C6">
      <w:pPr>
        <w:pStyle w:val="ParaNoNdepar-AltN"/>
        <w:tabs>
          <w:tab w:val="clear" w:pos="1166"/>
          <w:tab w:val="num" w:pos="1152"/>
        </w:tabs>
        <w:rPr>
          <w:rFonts w:cs="Times New Roman"/>
          <w:szCs w:val="24"/>
          <w:lang w:val="fr-CA"/>
        </w:rPr>
      </w:pPr>
      <w:r w:rsidRPr="00883823">
        <w:rPr>
          <w:rFonts w:cs="Times New Roman"/>
          <w:lang w:val="fr-CA"/>
        </w:rPr>
        <w:t xml:space="preserve">Ce qui est particulièrement troublant, toutefois, c’est le fait que, dans ses motifs, notre collègue semble créer une </w:t>
      </w:r>
      <w:r w:rsidRPr="00883823">
        <w:rPr>
          <w:rFonts w:cs="Times New Roman"/>
          <w:i/>
          <w:lang w:val="fr-CA"/>
        </w:rPr>
        <w:t>présomption en faveur</w:t>
      </w:r>
      <w:r w:rsidRPr="00883823">
        <w:rPr>
          <w:rFonts w:cs="Times New Roman"/>
          <w:lang w:val="fr-CA"/>
        </w:rPr>
        <w:t xml:space="preserve"> d’exemptions individuelles dans tous les cas (« si</w:t>
      </w:r>
      <w:r w:rsidRPr="00883823">
        <w:rPr>
          <w:rFonts w:cs="Times New Roman"/>
          <w:noProof/>
          <w:lang w:val="fr-CA"/>
        </w:rPr>
        <w:t>, à tous autres égards, une exemption constitue une réparation convenable et juste, les demandeurs devraient être exemptés des suspensions s’il n’existe aucun motif impérieux de ne pas leur accorder une telle réparation » (</w:t>
      </w:r>
      <w:r>
        <w:rPr>
          <w:rFonts w:cs="Times New Roman"/>
          <w:noProof/>
          <w:lang w:val="fr-CA"/>
        </w:rPr>
        <w:t>par. </w:t>
      </w:r>
      <w:r w:rsidRPr="00883823">
        <w:rPr>
          <w:rFonts w:cs="Times New Roman"/>
          <w:noProof/>
          <w:lang w:val="fr-CA"/>
        </w:rPr>
        <w:t>152))</w:t>
      </w:r>
      <w:r w:rsidRPr="00883823">
        <w:rPr>
          <w:rFonts w:cs="Times New Roman"/>
          <w:lang w:val="fr-CA"/>
        </w:rPr>
        <w:t xml:space="preserve">. Nous tenons par conséquent à mentionner deux raisons importantes pour lesquelles nous estimons qu’il ne convient pas d’accorder une exemption individuelle en l’espèce et, partant, pourquoi il est imprudent d’établir une telle présomption et de faire fi des sages enseignements des arrêts </w:t>
      </w:r>
      <w:proofErr w:type="spellStart"/>
      <w:r w:rsidRPr="00883823">
        <w:rPr>
          <w:rFonts w:cs="Times New Roman"/>
          <w:i/>
          <w:lang w:val="fr-CA"/>
        </w:rPr>
        <w:t>Schachter</w:t>
      </w:r>
      <w:proofErr w:type="spellEnd"/>
      <w:r w:rsidRPr="00883823">
        <w:rPr>
          <w:rFonts w:cs="Times New Roman"/>
          <w:lang w:val="fr-CA"/>
        </w:rPr>
        <w:t xml:space="preserve">, </w:t>
      </w:r>
      <w:r w:rsidRPr="00883823">
        <w:rPr>
          <w:rFonts w:cs="Times New Roman"/>
          <w:i/>
          <w:lang w:val="fr-CA"/>
        </w:rPr>
        <w:t xml:space="preserve">Demers </w:t>
      </w:r>
      <w:r w:rsidRPr="00883823">
        <w:rPr>
          <w:rFonts w:cs="Times New Roman"/>
          <w:iCs/>
          <w:lang w:val="fr-CA"/>
        </w:rPr>
        <w:t xml:space="preserve">et </w:t>
      </w:r>
      <w:r w:rsidRPr="00883823">
        <w:rPr>
          <w:rFonts w:cs="Times New Roman"/>
          <w:i/>
          <w:lang w:val="fr-CA"/>
        </w:rPr>
        <w:t>Ferguson</w:t>
      </w:r>
      <w:r w:rsidRPr="00883823">
        <w:rPr>
          <w:rFonts w:cs="Times New Roman"/>
          <w:lang w:val="fr-CA"/>
        </w:rPr>
        <w:t xml:space="preserve">. </w:t>
      </w:r>
    </w:p>
    <w:p w14:paraId="2AFA2422" w14:textId="0C9AAC59" w:rsidR="00F712C6" w:rsidRPr="00883823" w:rsidRDefault="00F712C6" w:rsidP="00F712C6">
      <w:pPr>
        <w:pStyle w:val="ParaNoNdepar-AltN"/>
        <w:tabs>
          <w:tab w:val="clear" w:pos="1166"/>
          <w:tab w:val="num" w:pos="1152"/>
        </w:tabs>
        <w:rPr>
          <w:rFonts w:cs="Times New Roman"/>
          <w:lang w:val="fr-CA"/>
        </w:rPr>
      </w:pPr>
      <w:r w:rsidRPr="00883823">
        <w:rPr>
          <w:rFonts w:cs="Times New Roman"/>
          <w:lang w:val="fr-CA"/>
        </w:rPr>
        <w:t>Premièrement, dans la présente affaire, comme dans la plupart des autres, l’élaboration d’une exemption individuelle déborde le cadre de la compétence du tribunal et empiète sur ce qui est au fond une question que doit résoudre le législateur. Notre Cour a depuis longtemps bien précisé que c’est au législateur et non aux tribunaux qu’il appartient de combler les lacunes des lois inconstitutionnelles</w:t>
      </w:r>
      <w:r w:rsidR="002972B9">
        <w:rPr>
          <w:rFonts w:cs="Times New Roman"/>
          <w:lang w:val="fr-CA"/>
        </w:rPr>
        <w:t> (</w:t>
      </w:r>
      <w:r w:rsidRPr="00883823">
        <w:rPr>
          <w:rFonts w:cs="Times New Roman"/>
          <w:i/>
          <w:lang w:val="fr-CA"/>
        </w:rPr>
        <w:t xml:space="preserve">Hunter c. </w:t>
      </w:r>
      <w:proofErr w:type="spellStart"/>
      <w:r w:rsidRPr="00883823">
        <w:rPr>
          <w:rFonts w:cs="Times New Roman"/>
          <w:i/>
          <w:lang w:val="fr-CA"/>
        </w:rPr>
        <w:t>Southam</w:t>
      </w:r>
      <w:proofErr w:type="spellEnd"/>
      <w:r w:rsidRPr="00883823">
        <w:rPr>
          <w:rFonts w:cs="Times New Roman"/>
          <w:lang w:val="fr-CA"/>
        </w:rPr>
        <w:t xml:space="preserve">, </w:t>
      </w:r>
      <w:r>
        <w:rPr>
          <w:rFonts w:cs="Times New Roman"/>
          <w:lang w:val="fr-CA"/>
        </w:rPr>
        <w:t>p. </w:t>
      </w:r>
      <w:r w:rsidRPr="00883823">
        <w:rPr>
          <w:rFonts w:cs="Times New Roman"/>
          <w:lang w:val="fr-CA"/>
        </w:rPr>
        <w:t xml:space="preserve">169; voir également </w:t>
      </w:r>
      <w:proofErr w:type="spellStart"/>
      <w:r w:rsidRPr="00883823">
        <w:rPr>
          <w:rFonts w:cs="Times New Roman"/>
          <w:i/>
          <w:lang w:val="fr-CA"/>
        </w:rPr>
        <w:t>Schachter</w:t>
      </w:r>
      <w:proofErr w:type="spellEnd"/>
      <w:r w:rsidRPr="00883823">
        <w:rPr>
          <w:rFonts w:cs="Times New Roman"/>
          <w:lang w:val="fr-CA"/>
        </w:rPr>
        <w:t xml:space="preserve">, </w:t>
      </w:r>
      <w:r>
        <w:rPr>
          <w:rFonts w:cs="Times New Roman"/>
          <w:lang w:val="fr-CA"/>
        </w:rPr>
        <w:t>p. </w:t>
      </w:r>
      <w:r w:rsidRPr="00883823">
        <w:rPr>
          <w:rFonts w:cs="Times New Roman"/>
          <w:lang w:val="fr-CA"/>
        </w:rPr>
        <w:t>705 et 707</w:t>
      </w:r>
      <w:r w:rsidR="002972B9">
        <w:rPr>
          <w:rFonts w:cs="Times New Roman"/>
          <w:lang w:val="fr-CA"/>
        </w:rPr>
        <w:t>)</w:t>
      </w:r>
      <w:r w:rsidRPr="00883823">
        <w:rPr>
          <w:rFonts w:cs="Times New Roman"/>
          <w:lang w:val="fr-CA"/>
        </w:rPr>
        <w:t>.</w:t>
      </w:r>
    </w:p>
    <w:p w14:paraId="5948F122" w14:textId="77777777" w:rsidR="00F712C6" w:rsidRPr="00883823" w:rsidRDefault="00F712C6" w:rsidP="00F712C6">
      <w:pPr>
        <w:pStyle w:val="ParaNoNdepar-AltN"/>
        <w:tabs>
          <w:tab w:val="clear" w:pos="1166"/>
          <w:tab w:val="num" w:pos="1152"/>
        </w:tabs>
        <w:rPr>
          <w:rFonts w:cs="Times New Roman"/>
          <w:szCs w:val="24"/>
          <w:lang w:val="fr-CA"/>
        </w:rPr>
      </w:pPr>
      <w:r w:rsidRPr="00883823">
        <w:rPr>
          <w:rFonts w:cs="Times New Roman"/>
          <w:lang w:val="fr-CA"/>
        </w:rPr>
        <w:t xml:space="preserve">Dans le cas qui nous occupe, le législateur est bien mieux placé que notre Cour — et c’est d’ailleurs son rôle </w:t>
      </w:r>
      <w:r>
        <w:rPr>
          <w:rFonts w:cs="Times New Roman"/>
          <w:lang w:val="fr-CA"/>
        </w:rPr>
        <w:t xml:space="preserve">— </w:t>
      </w:r>
      <w:r w:rsidRPr="00883823">
        <w:rPr>
          <w:rFonts w:cs="Times New Roman"/>
          <w:lang w:val="fr-CA"/>
        </w:rPr>
        <w:t>pour décider, après avoir effectué des recherches et étudié la question, quel est le mécanisme qui convient le mieux pour offrir aux personnes déclarées non responsables criminellement pour cause de troubles mentaux la possibilité de bénéficier d’une exemption. C’est lui qui possède l’expertise nécessaire pour accorder cette exemption et pour déterminer quels facteurs devraient guider cette analyse. En effet, le législateur dispose d’une vaste gamme d’options. Même notre collègue le reconnaît</w:t>
      </w:r>
      <w:r>
        <w:rPr>
          <w:rFonts w:cs="Times New Roman"/>
          <w:lang w:val="fr-CA"/>
        </w:rPr>
        <w:t> :</w:t>
      </w:r>
    </w:p>
    <w:p w14:paraId="5E579BD0" w14:textId="24D277E0" w:rsidR="00F712C6" w:rsidRPr="00883823" w:rsidRDefault="00F712C6" w:rsidP="009A0CEF">
      <w:pPr>
        <w:pStyle w:val="Citation-AltC"/>
        <w:spacing w:after="480"/>
        <w:ind w:hanging="1166"/>
        <w:contextualSpacing w:val="0"/>
        <w:rPr>
          <w:noProof/>
          <w:lang w:val="fr-CA"/>
        </w:rPr>
      </w:pPr>
      <w:r>
        <w:rPr>
          <w:lang w:val="fr-CA"/>
        </w:rPr>
        <w:tab/>
      </w:r>
      <w:r w:rsidRPr="00883823">
        <w:rPr>
          <w:lang w:val="fr-CA"/>
        </w:rPr>
        <w:t>. . .</w:t>
      </w:r>
      <w:r w:rsidR="002972B9">
        <w:rPr>
          <w:lang w:val="fr-CA"/>
        </w:rPr>
        <w:t xml:space="preserve"> </w:t>
      </w:r>
      <w:r w:rsidRPr="00883823">
        <w:rPr>
          <w:lang w:val="fr-CA"/>
        </w:rPr>
        <w:t>u</w:t>
      </w:r>
      <w:r w:rsidRPr="00883823">
        <w:rPr>
          <w:noProof/>
          <w:lang w:val="fr-CA"/>
        </w:rPr>
        <w:t xml:space="preserve">ne interprétation large de la </w:t>
      </w:r>
      <w:r>
        <w:rPr>
          <w:i/>
          <w:noProof/>
          <w:lang w:val="fr-CA"/>
        </w:rPr>
        <w:t>Loi Christopher</w:t>
      </w:r>
      <w:r w:rsidRPr="00883823">
        <w:rPr>
          <w:i/>
          <w:noProof/>
          <w:lang w:val="fr-CA"/>
        </w:rPr>
        <w:t xml:space="preserve"> </w:t>
      </w:r>
      <w:r w:rsidRPr="00883823">
        <w:rPr>
          <w:noProof/>
          <w:lang w:val="fr-CA"/>
        </w:rPr>
        <w:t xml:space="preserve">selon laquelle cette loi exige qu’une </w:t>
      </w:r>
      <w:r w:rsidRPr="00883823">
        <w:rPr>
          <w:lang w:val="fr-CA"/>
        </w:rPr>
        <w:t>évaluation</w:t>
      </w:r>
      <w:r w:rsidRPr="00883823">
        <w:rPr>
          <w:noProof/>
          <w:lang w:val="fr-CA"/>
        </w:rPr>
        <w:t xml:space="preserve"> individuelle soit réalisée empiéterait sur le domaine législatif. En effet, </w:t>
      </w:r>
      <w:r w:rsidRPr="00883823">
        <w:rPr>
          <w:noProof/>
          <w:u w:val="single"/>
          <w:lang w:val="fr-CA"/>
        </w:rPr>
        <w:t>il y a maintes façons de procéder à une telle évaluation</w:t>
      </w:r>
      <w:r w:rsidRPr="00883823">
        <w:rPr>
          <w:noProof/>
          <w:lang w:val="fr-CA"/>
        </w:rPr>
        <w:t xml:space="preserve"> et « [i]l appartient [. . .] aux législateurs et non aux tribunaux de combler les lacunes » (</w:t>
      </w:r>
      <w:r w:rsidRPr="00883823">
        <w:rPr>
          <w:i/>
          <w:noProof/>
          <w:lang w:val="fr-CA"/>
        </w:rPr>
        <w:t>Schachter</w:t>
      </w:r>
      <w:r w:rsidRPr="00883823">
        <w:rPr>
          <w:noProof/>
          <w:lang w:val="fr-CA"/>
        </w:rPr>
        <w:t xml:space="preserve">, </w:t>
      </w:r>
      <w:r>
        <w:rPr>
          <w:noProof/>
          <w:lang w:val="fr-CA"/>
        </w:rPr>
        <w:t>p. </w:t>
      </w:r>
      <w:r w:rsidRPr="00883823">
        <w:rPr>
          <w:noProof/>
          <w:lang w:val="fr-CA"/>
        </w:rPr>
        <w:t xml:space="preserve">705). [Nous soulignons; </w:t>
      </w:r>
      <w:r>
        <w:rPr>
          <w:noProof/>
          <w:lang w:val="fr-CA"/>
        </w:rPr>
        <w:t>par. </w:t>
      </w:r>
      <w:r w:rsidRPr="00883823">
        <w:rPr>
          <w:noProof/>
          <w:lang w:val="fr-CA"/>
        </w:rPr>
        <w:t>165.]</w:t>
      </w:r>
      <w:r>
        <w:rPr>
          <w:noProof/>
          <w:lang w:val="fr-CA"/>
        </w:rPr>
        <w:t xml:space="preserve"> </w:t>
      </w:r>
    </w:p>
    <w:p w14:paraId="62015B12" w14:textId="5B34E78B" w:rsidR="00F712C6" w:rsidRPr="00883823" w:rsidRDefault="00F712C6" w:rsidP="00F712C6">
      <w:pPr>
        <w:pStyle w:val="Citation-AltC"/>
        <w:ind w:hanging="1166"/>
        <w:rPr>
          <w:noProof/>
          <w:lang w:val="fr-CA"/>
        </w:rPr>
      </w:pPr>
      <w:r w:rsidRPr="00883823">
        <w:rPr>
          <w:noProof/>
          <w:lang w:val="fr-CA"/>
        </w:rPr>
        <w:t xml:space="preserve">(Voir </w:t>
      </w:r>
      <w:r w:rsidRPr="00883823">
        <w:rPr>
          <w:lang w:val="fr-CA"/>
        </w:rPr>
        <w:t>aussi</w:t>
      </w:r>
      <w:r w:rsidRPr="00883823">
        <w:rPr>
          <w:noProof/>
          <w:lang w:val="fr-CA"/>
        </w:rPr>
        <w:t xml:space="preserve"> </w:t>
      </w:r>
      <w:r>
        <w:rPr>
          <w:noProof/>
          <w:lang w:val="fr-CA"/>
        </w:rPr>
        <w:t>par. </w:t>
      </w:r>
      <w:r w:rsidRPr="00883823">
        <w:rPr>
          <w:noProof/>
          <w:lang w:val="fr-CA"/>
        </w:rPr>
        <w:t>183.)</w:t>
      </w:r>
    </w:p>
    <w:p w14:paraId="690F9994" w14:textId="77777777" w:rsidR="00F712C6" w:rsidRPr="00883823" w:rsidRDefault="00F712C6" w:rsidP="00F712C6">
      <w:pPr>
        <w:pStyle w:val="ParaNoNdepar-AltN"/>
        <w:rPr>
          <w:rFonts w:cs="Times New Roman"/>
          <w:lang w:val="fr-CA"/>
        </w:rPr>
      </w:pPr>
      <w:r w:rsidRPr="00883823">
        <w:rPr>
          <w:rFonts w:cs="Times New Roman"/>
          <w:lang w:val="fr-CA"/>
        </w:rPr>
        <w:t xml:space="preserve">La Cour d’appel fait elle aussi remarquer que, comme la </w:t>
      </w:r>
      <w:r w:rsidRPr="00883823">
        <w:rPr>
          <w:rFonts w:cs="Times New Roman"/>
          <w:i/>
          <w:lang w:val="fr-CA"/>
        </w:rPr>
        <w:t>Loi sur l’enregistrement de renseignements sur les délinquants sexuels</w:t>
      </w:r>
      <w:r w:rsidRPr="00883823">
        <w:rPr>
          <w:rFonts w:cs="Times New Roman"/>
          <w:lang w:val="fr-CA"/>
        </w:rPr>
        <w:t>, L.C. 2004, c.</w:t>
      </w:r>
      <w:r>
        <w:rPr>
          <w:rFonts w:cs="Times New Roman"/>
          <w:lang w:val="fr-CA"/>
        </w:rPr>
        <w:t> </w:t>
      </w:r>
      <w:r w:rsidRPr="00883823">
        <w:rPr>
          <w:rFonts w:cs="Times New Roman"/>
          <w:lang w:val="fr-CA"/>
        </w:rPr>
        <w:t>10 (« </w:t>
      </w:r>
      <w:r w:rsidRPr="00883823">
        <w:rPr>
          <w:rFonts w:cs="Times New Roman"/>
          <w:i/>
          <w:lang w:val="fr-CA"/>
        </w:rPr>
        <w:t>LERDS</w:t>
      </w:r>
      <w:r>
        <w:rPr>
          <w:rFonts w:cs="Times New Roman"/>
          <w:lang w:val="fr-CA"/>
        </w:rPr>
        <w:t> </w:t>
      </w:r>
      <w:r w:rsidRPr="00883823">
        <w:rPr>
          <w:rFonts w:cs="Times New Roman"/>
          <w:lang w:val="fr-CA"/>
        </w:rPr>
        <w:t>»),</w:t>
      </w:r>
      <w:r w:rsidRPr="00883823">
        <w:rPr>
          <w:rFonts w:cs="Times New Roman"/>
          <w:i/>
          <w:lang w:val="fr-CA"/>
        </w:rPr>
        <w:t xml:space="preserve"> </w:t>
      </w:r>
      <w:r w:rsidRPr="00883823">
        <w:rPr>
          <w:rFonts w:cs="Times New Roman"/>
          <w:iCs/>
          <w:lang w:val="fr-CA"/>
        </w:rPr>
        <w:t>a été invalidée en Ontario,</w:t>
      </w:r>
      <w:r w:rsidRPr="00883823">
        <w:rPr>
          <w:rFonts w:cs="Times New Roman"/>
          <w:i/>
          <w:lang w:val="fr-CA"/>
        </w:rPr>
        <w:t xml:space="preserve"> </w:t>
      </w:r>
      <w:r w:rsidRPr="00883823">
        <w:rPr>
          <w:rFonts w:cs="Times New Roman"/>
          <w:lang w:val="fr-CA"/>
        </w:rPr>
        <w:t>la législature ontarienne et le Parlement devront se consulter pour trouver la meilleure façon d’accorder des exemptions aux personnes touchées par les dispositions législatives inconstitutionnelles</w:t>
      </w:r>
      <w:r>
        <w:rPr>
          <w:rFonts w:cs="Times New Roman"/>
          <w:lang w:val="fr-CA"/>
        </w:rPr>
        <w:t> :</w:t>
      </w:r>
    </w:p>
    <w:p w14:paraId="62AA87A0" w14:textId="391E8083" w:rsidR="00F712C6" w:rsidRPr="00883823" w:rsidRDefault="00F712C6" w:rsidP="002972B9">
      <w:pPr>
        <w:pStyle w:val="Citation-AltC"/>
        <w:spacing w:after="240"/>
        <w:ind w:left="1168" w:hanging="1168"/>
        <w:contextualSpacing w:val="0"/>
        <w:rPr>
          <w:lang w:val="fr-CA"/>
        </w:rPr>
      </w:pPr>
      <w:r>
        <w:rPr>
          <w:lang w:val="fr-CA"/>
        </w:rPr>
        <w:tab/>
      </w:r>
      <w:r w:rsidR="002972B9">
        <w:rPr>
          <w:lang w:val="fr-CA"/>
        </w:rPr>
        <w:tab/>
      </w:r>
      <w:r w:rsidRPr="00883823">
        <w:rPr>
          <w:lang w:val="fr-CA"/>
        </w:rPr>
        <w:t>[</w:t>
      </w:r>
      <w:r w:rsidRPr="00883823">
        <w:rPr>
          <w:smallCaps/>
          <w:lang w:val="fr-CA"/>
        </w:rPr>
        <w:t>traduction</w:t>
      </w:r>
      <w:r w:rsidR="002972B9">
        <w:rPr>
          <w:lang w:val="fr-CA"/>
        </w:rPr>
        <w:t xml:space="preserve">] </w:t>
      </w:r>
      <w:r w:rsidRPr="00883823">
        <w:rPr>
          <w:lang w:val="fr-CA"/>
        </w:rPr>
        <w:t xml:space="preserve">Le Parlement et la législature ontarienne disposent de plusieurs moyens pour rendre la loi sur le registre des délinquants sexuels conforme au </w:t>
      </w:r>
      <w:proofErr w:type="spellStart"/>
      <w:r>
        <w:rPr>
          <w:lang w:val="fr-CA"/>
        </w:rPr>
        <w:t>par</w:t>
      </w:r>
      <w:proofErr w:type="spellEnd"/>
      <w:r>
        <w:rPr>
          <w:lang w:val="fr-CA"/>
        </w:rPr>
        <w:t>. </w:t>
      </w:r>
      <w:r w:rsidRPr="00883823">
        <w:rPr>
          <w:lang w:val="fr-CA"/>
        </w:rPr>
        <w:t xml:space="preserve">15(1) de la </w:t>
      </w:r>
      <w:r w:rsidRPr="00883823">
        <w:rPr>
          <w:i/>
          <w:iCs/>
          <w:lang w:val="fr-CA"/>
        </w:rPr>
        <w:t>Charte</w:t>
      </w:r>
      <w:r w:rsidRPr="00883823">
        <w:rPr>
          <w:lang w:val="fr-CA"/>
        </w:rPr>
        <w:t xml:space="preserve">. Ces options font intervenir diverses considérations de principe. Il est également nécessaire que les deux corps législatifs coordonnent leur réponse. Il est préférable de laisser au Parlement et à la législature le soin d’évaluer ces considérations de principe et d’arrêter les modalités de la mise en œuvre d’une stratégie coordonnée. </w:t>
      </w:r>
      <w:r w:rsidR="0006341A">
        <w:rPr>
          <w:lang w:val="fr-CA"/>
        </w:rPr>
        <w:t>[</w:t>
      </w:r>
      <w:r w:rsidRPr="00883823">
        <w:rPr>
          <w:lang w:val="fr-CA"/>
        </w:rPr>
        <w:t xml:space="preserve">2019 ONCA 264, 145 O.R. (3d) 161, </w:t>
      </w:r>
      <w:r>
        <w:rPr>
          <w:lang w:val="fr-CA"/>
        </w:rPr>
        <w:t>par. </w:t>
      </w:r>
      <w:r w:rsidR="0006341A">
        <w:rPr>
          <w:lang w:val="fr-CA"/>
        </w:rPr>
        <w:t>150]</w:t>
      </w:r>
    </w:p>
    <w:p w14:paraId="4321FF09" w14:textId="77777777" w:rsidR="00F712C6" w:rsidRPr="00883823" w:rsidRDefault="00F712C6" w:rsidP="00F712C6">
      <w:pPr>
        <w:pStyle w:val="ParaNoNdepar-AltN"/>
        <w:rPr>
          <w:rFonts w:cs="Times New Roman"/>
          <w:szCs w:val="24"/>
          <w:lang w:val="fr-CA"/>
        </w:rPr>
      </w:pPr>
      <w:r w:rsidRPr="00883823">
        <w:rPr>
          <w:rFonts w:cs="Times New Roman"/>
          <w:lang w:val="fr-CA"/>
        </w:rPr>
        <w:t>Cependant, même si elle reconnaît qu’« une interprétation large [exigeant] [. . .] une évaluation individuelle [</w:t>
      </w:r>
      <w:r>
        <w:rPr>
          <w:rFonts w:cs="Times New Roman"/>
          <w:lang w:val="fr-CA"/>
        </w:rPr>
        <w:t>. . .</w:t>
      </w:r>
      <w:r w:rsidRPr="00883823">
        <w:rPr>
          <w:rFonts w:cs="Times New Roman"/>
          <w:lang w:val="fr-CA"/>
        </w:rPr>
        <w:t>] empiéterait sur le domaine législatif » (</w:t>
      </w:r>
      <w:r>
        <w:rPr>
          <w:rFonts w:cs="Times New Roman"/>
          <w:lang w:val="fr-CA"/>
        </w:rPr>
        <w:t>par. </w:t>
      </w:r>
      <w:r w:rsidRPr="00883823">
        <w:rPr>
          <w:rFonts w:cs="Times New Roman"/>
          <w:lang w:val="fr-CA"/>
        </w:rPr>
        <w:t>165), c’est précisément ce que fait notre collègue en accordant une exemption individuelle à M. G. Notre jurisprudence sur l’interprétation large nous enseigne que «</w:t>
      </w:r>
      <w:r>
        <w:rPr>
          <w:rFonts w:cs="Times New Roman"/>
          <w:lang w:val="fr-CA"/>
        </w:rPr>
        <w:t> </w:t>
      </w:r>
      <w:r w:rsidRPr="00883823">
        <w:rPr>
          <w:rFonts w:cs="Times New Roman"/>
          <w:lang w:val="fr-CA"/>
        </w:rPr>
        <w:t xml:space="preserve">[s]’il n’est pas clair que le législateur aurait édicté la disposition avec les modifications envisagées par le tribunal » (en l’espèce, en permettant aux </w:t>
      </w:r>
      <w:r w:rsidRPr="00883823">
        <w:rPr>
          <w:rFonts w:cs="Times New Roman"/>
          <w:i/>
          <w:iCs/>
          <w:lang w:val="fr-CA"/>
        </w:rPr>
        <w:t>tribunaux</w:t>
      </w:r>
      <w:r w:rsidRPr="00883823">
        <w:rPr>
          <w:rFonts w:cs="Times New Roman"/>
          <w:lang w:val="fr-CA"/>
        </w:rPr>
        <w:t xml:space="preserve"> de décider qui devrait ou non figurer au registre de la </w:t>
      </w:r>
      <w:r w:rsidRPr="00883823">
        <w:rPr>
          <w:rFonts w:cs="Times New Roman"/>
          <w:i/>
          <w:lang w:val="fr-CA"/>
        </w:rPr>
        <w:t>Loi Christopher</w:t>
      </w:r>
      <w:r w:rsidRPr="00883823">
        <w:rPr>
          <w:rFonts w:cs="Times New Roman"/>
          <w:lang w:val="fr-CA"/>
        </w:rPr>
        <w:t xml:space="preserve">), « le tribunal empiéterait de façon injustifiée sur le domaine législatif en les </w:t>
      </w:r>
      <w:r>
        <w:rPr>
          <w:rFonts w:cs="Times New Roman"/>
          <w:lang w:val="fr-CA"/>
        </w:rPr>
        <w:t>introduisant </w:t>
      </w:r>
      <w:r w:rsidRPr="00883823">
        <w:rPr>
          <w:rFonts w:cs="Times New Roman"/>
          <w:lang w:val="fr-CA"/>
        </w:rPr>
        <w:t>» (</w:t>
      </w:r>
      <w:r w:rsidRPr="00883823">
        <w:rPr>
          <w:rFonts w:cs="Times New Roman"/>
          <w:i/>
          <w:lang w:val="fr-CA"/>
        </w:rPr>
        <w:t>Ferguson</w:t>
      </w:r>
      <w:r w:rsidRPr="00883823">
        <w:rPr>
          <w:rFonts w:cs="Times New Roman"/>
          <w:lang w:val="fr-CA"/>
        </w:rPr>
        <w:t xml:space="preserve">, </w:t>
      </w:r>
      <w:r>
        <w:rPr>
          <w:rFonts w:cs="Times New Roman"/>
          <w:lang w:val="fr-CA"/>
        </w:rPr>
        <w:t>par. </w:t>
      </w:r>
      <w:r w:rsidRPr="00883823">
        <w:rPr>
          <w:rFonts w:cs="Times New Roman"/>
          <w:lang w:val="fr-CA"/>
        </w:rPr>
        <w:t xml:space="preserve">51 (voir également </w:t>
      </w:r>
      <w:r>
        <w:rPr>
          <w:rFonts w:cs="Times New Roman"/>
          <w:lang w:val="fr-CA"/>
        </w:rPr>
        <w:t>par. </w:t>
      </w:r>
      <w:r w:rsidRPr="00883823">
        <w:rPr>
          <w:rFonts w:cs="Times New Roman"/>
          <w:lang w:val="fr-CA"/>
        </w:rPr>
        <w:t xml:space="preserve">50); voir également </w:t>
      </w:r>
      <w:r w:rsidRPr="00883823">
        <w:rPr>
          <w:rFonts w:cs="Times New Roman"/>
          <w:i/>
          <w:lang w:val="fr-CA"/>
        </w:rPr>
        <w:t>R. c. 974649 Ontario Inc.</w:t>
      </w:r>
      <w:r w:rsidRPr="00883823">
        <w:rPr>
          <w:rFonts w:cs="Times New Roman"/>
          <w:lang w:val="fr-CA"/>
        </w:rPr>
        <w:t xml:space="preserve">, 2001 CSC 81, [2001] 3 R.C.S. 575, </w:t>
      </w:r>
      <w:r>
        <w:rPr>
          <w:rFonts w:cs="Times New Roman"/>
          <w:lang w:val="fr-CA"/>
        </w:rPr>
        <w:t>par. </w:t>
      </w:r>
      <w:r w:rsidRPr="00883823">
        <w:rPr>
          <w:rFonts w:cs="Times New Roman"/>
          <w:lang w:val="fr-CA"/>
        </w:rPr>
        <w:t>74</w:t>
      </w:r>
      <w:r>
        <w:rPr>
          <w:rFonts w:cs="Times New Roman"/>
          <w:lang w:val="fr-CA"/>
        </w:rPr>
        <w:noBreakHyphen/>
      </w:r>
      <w:r w:rsidRPr="00883823">
        <w:rPr>
          <w:rFonts w:cs="Times New Roman"/>
          <w:lang w:val="fr-CA"/>
        </w:rPr>
        <w:t>75). Autrement dit, lorsqu’il cherche à accorder une réparation efficace, le tribunal ne doit pas «</w:t>
      </w:r>
      <w:r>
        <w:rPr>
          <w:rFonts w:cs="Times New Roman"/>
          <w:lang w:val="fr-CA"/>
        </w:rPr>
        <w:t> </w:t>
      </w:r>
      <w:r w:rsidRPr="00883823">
        <w:rPr>
          <w:rFonts w:cs="Times New Roman"/>
          <w:lang w:val="fr-CA"/>
        </w:rPr>
        <w:t>se lance[r] dans des types de décisions ou de fonctions pour lesquelles il n’est manifestement pas conçu ou n’a pas l’expertise requise</w:t>
      </w:r>
      <w:r>
        <w:rPr>
          <w:rFonts w:cs="Times New Roman"/>
          <w:lang w:val="fr-CA"/>
        </w:rPr>
        <w:t> </w:t>
      </w:r>
      <w:r w:rsidRPr="00883823">
        <w:rPr>
          <w:rFonts w:cs="Times New Roman"/>
          <w:lang w:val="fr-CA"/>
        </w:rPr>
        <w:t>» (</w:t>
      </w:r>
      <w:r w:rsidRPr="00883823">
        <w:rPr>
          <w:rFonts w:cs="Times New Roman"/>
          <w:i/>
          <w:lang w:val="fr-CA"/>
        </w:rPr>
        <w:t>Doucet</w:t>
      </w:r>
      <w:r>
        <w:rPr>
          <w:rFonts w:cs="Times New Roman"/>
          <w:i/>
          <w:lang w:val="fr-CA"/>
        </w:rPr>
        <w:noBreakHyphen/>
      </w:r>
      <w:r w:rsidRPr="00883823">
        <w:rPr>
          <w:rFonts w:cs="Times New Roman"/>
          <w:i/>
          <w:lang w:val="fr-CA"/>
        </w:rPr>
        <w:t>Boudreau c. Nouvelle</w:t>
      </w:r>
      <w:r>
        <w:rPr>
          <w:rFonts w:cs="Times New Roman"/>
          <w:i/>
          <w:lang w:val="fr-CA"/>
        </w:rPr>
        <w:noBreakHyphen/>
      </w:r>
      <w:r w:rsidRPr="00883823">
        <w:rPr>
          <w:rFonts w:cs="Times New Roman"/>
          <w:i/>
          <w:lang w:val="fr-CA"/>
        </w:rPr>
        <w:t>Écosse (Ministre de l’Éducation)</w:t>
      </w:r>
      <w:r w:rsidRPr="00883823">
        <w:rPr>
          <w:rFonts w:cs="Times New Roman"/>
          <w:lang w:val="fr-CA"/>
        </w:rPr>
        <w:t xml:space="preserve">, 2003 CSC 62, [2003] 3 R.C.S. 3, </w:t>
      </w:r>
      <w:r>
        <w:rPr>
          <w:rFonts w:cs="Times New Roman"/>
          <w:lang w:val="fr-CA"/>
        </w:rPr>
        <w:t>par. </w:t>
      </w:r>
      <w:r w:rsidRPr="00883823">
        <w:rPr>
          <w:rFonts w:cs="Times New Roman"/>
          <w:lang w:val="fr-CA"/>
        </w:rPr>
        <w:t>57). Cette préoccupation — et la nécessité connexe d’éviter de dicter la teneur de la nouvelle loi — devrait guider nos décisions sur l’opportunité d’accorder une exemption individuelle (</w:t>
      </w:r>
      <w:proofErr w:type="spellStart"/>
      <w:r w:rsidRPr="00883823">
        <w:rPr>
          <w:rFonts w:cs="Times New Roman"/>
          <w:lang w:val="fr-CA"/>
        </w:rPr>
        <w:t>Roach</w:t>
      </w:r>
      <w:proofErr w:type="spellEnd"/>
      <w:r w:rsidRPr="00883823">
        <w:rPr>
          <w:rFonts w:cs="Times New Roman"/>
          <w:lang w:val="fr-CA"/>
        </w:rPr>
        <w:t xml:space="preserve">, </w:t>
      </w:r>
      <w:proofErr w:type="spellStart"/>
      <w:r w:rsidRPr="00883823">
        <w:rPr>
          <w:rFonts w:cs="Times New Roman"/>
          <w:i/>
          <w:lang w:val="fr-CA"/>
        </w:rPr>
        <w:t>Constitutional</w:t>
      </w:r>
      <w:proofErr w:type="spellEnd"/>
      <w:r w:rsidRPr="00883823">
        <w:rPr>
          <w:rFonts w:cs="Times New Roman"/>
          <w:i/>
          <w:lang w:val="fr-CA"/>
        </w:rPr>
        <w:t xml:space="preserve"> </w:t>
      </w:r>
      <w:proofErr w:type="spellStart"/>
      <w:r w:rsidRPr="00883823">
        <w:rPr>
          <w:rFonts w:cs="Times New Roman"/>
          <w:i/>
          <w:lang w:val="fr-CA"/>
        </w:rPr>
        <w:t>Remedies</w:t>
      </w:r>
      <w:proofErr w:type="spellEnd"/>
      <w:r w:rsidRPr="00883823">
        <w:rPr>
          <w:rFonts w:cs="Times New Roman"/>
          <w:lang w:val="fr-CA"/>
        </w:rPr>
        <w:t>, § 14.901).</w:t>
      </w:r>
    </w:p>
    <w:p w14:paraId="0A41C40E" w14:textId="77777777" w:rsidR="00F712C6" w:rsidRPr="00883823" w:rsidRDefault="00F712C6" w:rsidP="00F712C6">
      <w:pPr>
        <w:pStyle w:val="ParaNoNdepar-AltN"/>
        <w:rPr>
          <w:rFonts w:cs="Times New Roman"/>
          <w:szCs w:val="24"/>
          <w:lang w:val="fr-CA"/>
        </w:rPr>
      </w:pPr>
      <w:r w:rsidRPr="00883823">
        <w:rPr>
          <w:rFonts w:cs="Times New Roman"/>
          <w:lang w:val="fr-CA"/>
        </w:rPr>
        <w:t xml:space="preserve">Le législateur peut, par exemple, conclure que seule la Commission ontarienne d’examen possède l’expertise nécessaire pour décider si une personne qui a bénéficié d’une libération inconditionnelle devrait être assujettie à la </w:t>
      </w:r>
      <w:r>
        <w:rPr>
          <w:rFonts w:cs="Times New Roman"/>
          <w:i/>
          <w:lang w:val="fr-CA"/>
        </w:rPr>
        <w:t>Loi Christopher</w:t>
      </w:r>
      <w:r w:rsidRPr="00883823">
        <w:rPr>
          <w:rFonts w:cs="Times New Roman"/>
          <w:lang w:val="fr-CA"/>
        </w:rPr>
        <w:t>, et il peut estimer que les tribunaux sont institutionnellement mal outillés pour évaluer comme il se doit les personnes déclarées non responsables criminellement pour cause de troubles mentaux. En effet, comme le font observer J. </w:t>
      </w:r>
      <w:proofErr w:type="spellStart"/>
      <w:r w:rsidRPr="00883823">
        <w:rPr>
          <w:rFonts w:cs="Times New Roman"/>
          <w:lang w:val="fr-CA"/>
        </w:rPr>
        <w:t>Barrett</w:t>
      </w:r>
      <w:proofErr w:type="spellEnd"/>
      <w:r w:rsidRPr="00883823">
        <w:rPr>
          <w:rFonts w:cs="Times New Roman"/>
          <w:lang w:val="fr-CA"/>
        </w:rPr>
        <w:t xml:space="preserve"> et R.</w:t>
      </w:r>
      <w:r>
        <w:rPr>
          <w:rFonts w:cs="Times New Roman"/>
          <w:lang w:val="fr-CA"/>
        </w:rPr>
        <w:t> </w:t>
      </w:r>
      <w:proofErr w:type="spellStart"/>
      <w:r w:rsidRPr="00883823">
        <w:rPr>
          <w:rFonts w:cs="Times New Roman"/>
          <w:lang w:val="fr-CA"/>
        </w:rPr>
        <w:t>Shandler</w:t>
      </w:r>
      <w:proofErr w:type="spellEnd"/>
      <w:r w:rsidRPr="00883823">
        <w:rPr>
          <w:rFonts w:cs="Times New Roman"/>
          <w:lang w:val="fr-CA"/>
        </w:rPr>
        <w:t>, [</w:t>
      </w:r>
      <w:r w:rsidRPr="00883823">
        <w:rPr>
          <w:rFonts w:cs="Times New Roman"/>
          <w:smallCaps/>
          <w:lang w:val="fr-CA"/>
        </w:rPr>
        <w:t>traduction</w:t>
      </w:r>
      <w:r>
        <w:rPr>
          <w:rFonts w:cs="Times New Roman"/>
          <w:lang w:val="fr-CA"/>
        </w:rPr>
        <w:t>] « </w:t>
      </w:r>
      <w:r w:rsidRPr="00883823">
        <w:rPr>
          <w:rFonts w:cs="Times New Roman"/>
          <w:lang w:val="fr-CA"/>
        </w:rPr>
        <w:t>les tribunaux n’ont tout simplement pas les connaissances médicales et institutionnelles nécessaires</w:t>
      </w:r>
      <w:r>
        <w:rPr>
          <w:rFonts w:cs="Times New Roman"/>
          <w:lang w:val="fr-CA"/>
        </w:rPr>
        <w:t> </w:t>
      </w:r>
      <w:r w:rsidRPr="00883823">
        <w:rPr>
          <w:rFonts w:cs="Times New Roman"/>
          <w:lang w:val="fr-CA"/>
        </w:rPr>
        <w:t>» pour évaluer la dangerosité d’une personne déclarée non responsable criminellement pour cause de troubles mentaux (</w:t>
      </w:r>
      <w:r w:rsidRPr="00883823">
        <w:rPr>
          <w:rFonts w:cs="Times New Roman"/>
          <w:i/>
          <w:lang w:val="fr-CA"/>
        </w:rPr>
        <w:t xml:space="preserve">Mental </w:t>
      </w:r>
      <w:proofErr w:type="spellStart"/>
      <w:r w:rsidRPr="00883823">
        <w:rPr>
          <w:rFonts w:cs="Times New Roman"/>
          <w:i/>
          <w:lang w:val="fr-CA"/>
        </w:rPr>
        <w:t>Disorder</w:t>
      </w:r>
      <w:proofErr w:type="spellEnd"/>
      <w:r w:rsidRPr="00883823">
        <w:rPr>
          <w:rFonts w:cs="Times New Roman"/>
          <w:i/>
          <w:lang w:val="fr-CA"/>
        </w:rPr>
        <w:t xml:space="preserve"> in Canadian </w:t>
      </w:r>
      <w:proofErr w:type="spellStart"/>
      <w:r w:rsidRPr="00883823">
        <w:rPr>
          <w:rFonts w:cs="Times New Roman"/>
          <w:i/>
          <w:lang w:val="fr-CA"/>
        </w:rPr>
        <w:t>Criminal</w:t>
      </w:r>
      <w:proofErr w:type="spellEnd"/>
      <w:r w:rsidRPr="00883823">
        <w:rPr>
          <w:rFonts w:cs="Times New Roman"/>
          <w:i/>
          <w:lang w:val="fr-CA"/>
        </w:rPr>
        <w:t xml:space="preserve"> Law </w:t>
      </w:r>
      <w:r w:rsidRPr="00883823">
        <w:rPr>
          <w:rFonts w:cs="Times New Roman"/>
          <w:lang w:val="fr-CA"/>
        </w:rPr>
        <w:t>(feuilles mobiles), §11.1(a</w:t>
      </w:r>
      <w:r>
        <w:rPr>
          <w:rFonts w:cs="Times New Roman"/>
          <w:lang w:val="fr-CA"/>
        </w:rPr>
        <w:t>)</w:t>
      </w:r>
      <w:r w:rsidRPr="00883823">
        <w:rPr>
          <w:rFonts w:cs="Times New Roman"/>
          <w:lang w:val="fr-CA"/>
        </w:rPr>
        <w:t>(i)(B),</w:t>
      </w:r>
      <w:r w:rsidRPr="00883823">
        <w:rPr>
          <w:rFonts w:cs="Times New Roman"/>
          <w:i/>
          <w:lang w:val="fr-CA"/>
        </w:rPr>
        <w:t xml:space="preserve"> </w:t>
      </w:r>
      <w:r w:rsidRPr="00883823">
        <w:rPr>
          <w:rFonts w:cs="Times New Roman"/>
          <w:lang w:val="fr-CA"/>
        </w:rPr>
        <w:t xml:space="preserve">citant </w:t>
      </w:r>
      <w:r w:rsidRPr="00883823">
        <w:rPr>
          <w:rFonts w:cs="Times New Roman"/>
          <w:i/>
          <w:lang w:val="fr-CA"/>
        </w:rPr>
        <w:t xml:space="preserve">R. c. </w:t>
      </w:r>
      <w:proofErr w:type="spellStart"/>
      <w:r w:rsidRPr="00883823">
        <w:rPr>
          <w:rFonts w:cs="Times New Roman"/>
          <w:i/>
          <w:lang w:val="fr-CA"/>
        </w:rPr>
        <w:t>Peckham</w:t>
      </w:r>
      <w:proofErr w:type="spellEnd"/>
      <w:r w:rsidRPr="00883823">
        <w:rPr>
          <w:rFonts w:cs="Times New Roman"/>
          <w:lang w:val="fr-CA"/>
        </w:rPr>
        <w:t xml:space="preserve"> (1994), 93 </w:t>
      </w:r>
      <w:proofErr w:type="spellStart"/>
      <w:r w:rsidRPr="00883823">
        <w:rPr>
          <w:rFonts w:cs="Times New Roman"/>
          <w:lang w:val="fr-CA"/>
        </w:rPr>
        <w:t>C.C.C</w:t>
      </w:r>
      <w:proofErr w:type="spellEnd"/>
      <w:r w:rsidRPr="00883823">
        <w:rPr>
          <w:rFonts w:cs="Times New Roman"/>
          <w:lang w:val="fr-CA"/>
        </w:rPr>
        <w:t xml:space="preserve">. (3d) 443 (C.A. Ont.), </w:t>
      </w:r>
      <w:r>
        <w:rPr>
          <w:rFonts w:cs="Times New Roman"/>
          <w:lang w:val="fr-CA"/>
        </w:rPr>
        <w:t>par. </w:t>
      </w:r>
      <w:r w:rsidRPr="00883823">
        <w:rPr>
          <w:rFonts w:cs="Times New Roman"/>
          <w:lang w:val="fr-CA"/>
        </w:rPr>
        <w:t xml:space="preserve">39; voir également </w:t>
      </w:r>
      <w:r w:rsidRPr="00883823">
        <w:rPr>
          <w:rFonts w:cs="Times New Roman"/>
          <w:i/>
          <w:lang w:val="fr-CA"/>
        </w:rPr>
        <w:t xml:space="preserve">Ferguson </w:t>
      </w:r>
      <w:r w:rsidRPr="00883823">
        <w:rPr>
          <w:rFonts w:cs="Times New Roman"/>
          <w:lang w:val="fr-CA"/>
        </w:rPr>
        <w:t xml:space="preserve">(C.A. Ont.), </w:t>
      </w:r>
      <w:r>
        <w:rPr>
          <w:rFonts w:cs="Times New Roman"/>
          <w:lang w:val="fr-CA"/>
        </w:rPr>
        <w:t>par. </w:t>
      </w:r>
      <w:r w:rsidRPr="00883823">
        <w:rPr>
          <w:rFonts w:cs="Times New Roman"/>
          <w:lang w:val="fr-CA"/>
        </w:rPr>
        <w:t>11). Cela est particulièrement vrai dans le cas des infractions d’ordre sexuel, compte tenu du fait que, selon le témoignage de l’expert de l’appelant, le D</w:t>
      </w:r>
      <w:r w:rsidRPr="00883823">
        <w:rPr>
          <w:rFonts w:cs="Times New Roman"/>
          <w:vertAlign w:val="superscript"/>
          <w:lang w:val="fr-CA"/>
        </w:rPr>
        <w:t>r</w:t>
      </w:r>
      <w:r w:rsidRPr="00883823">
        <w:rPr>
          <w:rFonts w:cs="Times New Roman"/>
          <w:lang w:val="fr-CA"/>
        </w:rPr>
        <w:t> Hanson, il faut souvent beaucoup de temps avant qu’un délinquant sexuel ne récidive. Le D</w:t>
      </w:r>
      <w:r w:rsidRPr="00883823">
        <w:rPr>
          <w:rFonts w:cs="Times New Roman"/>
          <w:vertAlign w:val="superscript"/>
          <w:lang w:val="fr-CA"/>
        </w:rPr>
        <w:t>r</w:t>
      </w:r>
      <w:r>
        <w:rPr>
          <w:rFonts w:cs="Times New Roman"/>
          <w:vertAlign w:val="superscript"/>
          <w:lang w:val="fr-CA"/>
        </w:rPr>
        <w:t> </w:t>
      </w:r>
      <w:r w:rsidRPr="00883823">
        <w:rPr>
          <w:rFonts w:cs="Times New Roman"/>
          <w:lang w:val="fr-CA"/>
        </w:rPr>
        <w:t>Hanson, dont le témoignage a été accepté par le juge de première instance, a expliqué que, bien que la plupart des récidivistes non sexuels se manifestent à nouveau dans les cinq ans, il faut attendre encore plus longtemps avant de découvrir qu’un délinquant sexuel a récidivé, ajoutant que des études démontrent que le taux de récidive augmente sensiblement après dix ans sans infraction. Ces conclusions concordent avec nos connaissances collectives suivant lesquelles, pour diverses raisons, les infractions d’ordre sexuel « </w:t>
      </w:r>
      <w:proofErr w:type="gramStart"/>
      <w:r w:rsidRPr="00883823">
        <w:rPr>
          <w:rFonts w:cs="Times New Roman"/>
          <w:lang w:val="fr-CA"/>
        </w:rPr>
        <w:t>peu[</w:t>
      </w:r>
      <w:proofErr w:type="gramEnd"/>
      <w:r w:rsidRPr="00883823">
        <w:rPr>
          <w:rFonts w:cs="Times New Roman"/>
          <w:lang w:val="fr-CA"/>
        </w:rPr>
        <w:t>vent] être trop souvent invisible[s] à la société » et demeurer inconnues pendant des années (</w:t>
      </w:r>
      <w:r w:rsidRPr="00883823">
        <w:rPr>
          <w:rFonts w:cs="Times New Roman"/>
          <w:i/>
          <w:lang w:val="fr-CA"/>
        </w:rPr>
        <w:t>Friesen</w:t>
      </w:r>
      <w:r w:rsidRPr="00883823">
        <w:rPr>
          <w:rFonts w:cs="Times New Roman"/>
          <w:lang w:val="fr-CA"/>
        </w:rPr>
        <w:t xml:space="preserve">, </w:t>
      </w:r>
      <w:r>
        <w:rPr>
          <w:rFonts w:cs="Times New Roman"/>
          <w:lang w:val="fr-CA"/>
        </w:rPr>
        <w:t>par. </w:t>
      </w:r>
      <w:r w:rsidRPr="00883823">
        <w:rPr>
          <w:rFonts w:cs="Times New Roman"/>
          <w:lang w:val="fr-CA"/>
        </w:rPr>
        <w:t>67).</w:t>
      </w:r>
      <w:r w:rsidRPr="00883823">
        <w:rPr>
          <w:rFonts w:cs="Times New Roman"/>
          <w:i/>
          <w:lang w:val="fr-CA"/>
        </w:rPr>
        <w:t xml:space="preserve"> </w:t>
      </w:r>
    </w:p>
    <w:p w14:paraId="180B0104" w14:textId="77777777" w:rsidR="00F712C6" w:rsidRPr="00883823" w:rsidRDefault="00F712C6" w:rsidP="00F712C6">
      <w:pPr>
        <w:pStyle w:val="ParaNoNdepar-AltN"/>
        <w:rPr>
          <w:rFonts w:cs="Times New Roman"/>
          <w:szCs w:val="24"/>
          <w:lang w:val="fr-CA"/>
        </w:rPr>
      </w:pPr>
      <w:r w:rsidRPr="00883823">
        <w:rPr>
          <w:rFonts w:cs="Times New Roman"/>
          <w:lang w:val="fr-CA"/>
        </w:rPr>
        <w:t>À la lumière de ces considérations, il nous semble profondément malavisé que notre Cour court</w:t>
      </w:r>
      <w:r>
        <w:rPr>
          <w:rFonts w:cs="Times New Roman"/>
          <w:lang w:val="fr-CA"/>
        </w:rPr>
        <w:noBreakHyphen/>
      </w:r>
      <w:r w:rsidRPr="00883823">
        <w:rPr>
          <w:rFonts w:cs="Times New Roman"/>
          <w:lang w:val="fr-CA"/>
        </w:rPr>
        <w:t>circuite le processus législatif et s’arroge le pouvoir d’accorder des exemptions à l’obligation d’être inscrit au registre, même dans le cas de M. G, et</w:t>
      </w:r>
      <w:r>
        <w:rPr>
          <w:rFonts w:cs="Times New Roman"/>
          <w:lang w:val="fr-CA"/>
        </w:rPr>
        <w:t xml:space="preserve"> </w:t>
      </w:r>
      <w:r w:rsidRPr="00883823">
        <w:rPr>
          <w:rFonts w:cs="Times New Roman"/>
          <w:lang w:val="fr-CA"/>
        </w:rPr>
        <w:t xml:space="preserve">ce, même temporairement. </w:t>
      </w:r>
    </w:p>
    <w:p w14:paraId="7932A535" w14:textId="77777777" w:rsidR="00F712C6" w:rsidRPr="00883823" w:rsidRDefault="00F712C6" w:rsidP="00F712C6">
      <w:pPr>
        <w:pStyle w:val="ParaNoNdepar-AltN"/>
        <w:rPr>
          <w:rFonts w:cs="Times New Roman"/>
          <w:szCs w:val="24"/>
          <w:lang w:val="fr-CA"/>
        </w:rPr>
      </w:pPr>
      <w:r w:rsidRPr="00883823">
        <w:rPr>
          <w:rFonts w:cs="Times New Roman"/>
          <w:lang w:val="fr-CA"/>
        </w:rPr>
        <w:t xml:space="preserve">Pour être clairs, loin de nous l’idée de dire que </w:t>
      </w:r>
      <w:r>
        <w:rPr>
          <w:rFonts w:cs="Times New Roman"/>
          <w:lang w:val="fr-CA"/>
        </w:rPr>
        <w:t>M. </w:t>
      </w:r>
      <w:r w:rsidRPr="00883823">
        <w:rPr>
          <w:rFonts w:cs="Times New Roman"/>
          <w:lang w:val="fr-CA"/>
        </w:rPr>
        <w:t xml:space="preserve">G est susceptible de récidiver. Nous faisons simplement remarquer que le cas de M. G démontre que les personnes déclarées non responsables criminellement pour cause de troubles mentaux qui ont obtenu une libération inconditionnelle ont le droit de se voir offrir </w:t>
      </w:r>
      <w:r w:rsidRPr="00883823">
        <w:rPr>
          <w:rFonts w:cs="Times New Roman"/>
          <w:noProof/>
          <w:lang w:val="fr-CA" w:eastAsia="en-CA"/>
        </w:rPr>
        <w:t>« la possibilité d’être dispensées de l’obligation de s’inscrire au registre et d’être retirées de celui</w:t>
      </w:r>
      <w:r>
        <w:rPr>
          <w:rFonts w:cs="Times New Roman"/>
          <w:noProof/>
          <w:lang w:val="fr-CA" w:eastAsia="en-CA"/>
        </w:rPr>
        <w:noBreakHyphen/>
      </w:r>
      <w:r w:rsidRPr="00883823">
        <w:rPr>
          <w:rFonts w:cs="Times New Roman"/>
          <w:noProof/>
          <w:lang w:val="fr-CA" w:eastAsia="en-CA"/>
        </w:rPr>
        <w:t>ci »</w:t>
      </w:r>
      <w:r w:rsidRPr="00883823">
        <w:rPr>
          <w:rFonts w:cs="Times New Roman"/>
          <w:lang w:val="fr-CA"/>
        </w:rPr>
        <w:t xml:space="preserve"> (motifs de la juge </w:t>
      </w:r>
      <w:proofErr w:type="spellStart"/>
      <w:r w:rsidRPr="00883823">
        <w:rPr>
          <w:rFonts w:cs="Times New Roman"/>
          <w:lang w:val="fr-CA"/>
        </w:rPr>
        <w:t>Karakatsanis</w:t>
      </w:r>
      <w:proofErr w:type="spellEnd"/>
      <w:r w:rsidRPr="00883823">
        <w:rPr>
          <w:rFonts w:cs="Times New Roman"/>
          <w:lang w:val="fr-CA"/>
        </w:rPr>
        <w:t xml:space="preserve">, </w:t>
      </w:r>
      <w:r>
        <w:rPr>
          <w:rFonts w:cs="Times New Roman"/>
          <w:lang w:val="fr-CA"/>
        </w:rPr>
        <w:t>par. </w:t>
      </w:r>
      <w:r w:rsidRPr="00883823">
        <w:rPr>
          <w:rFonts w:cs="Times New Roman"/>
          <w:lang w:val="fr-CA"/>
        </w:rPr>
        <w:t xml:space="preserve">161), et que notre Cour ne peut s’approprier la charge de décider de la façon dont cette possibilité devrait leur être offerte. En d’autres termes, </w:t>
      </w:r>
      <w:r w:rsidRPr="00883823">
        <w:rPr>
          <w:rFonts w:cs="Times New Roman"/>
          <w:noProof/>
          <w:lang w:val="fr-CA" w:eastAsia="en-CA"/>
        </w:rPr>
        <w:t>« l’avantage [pour</w:t>
      </w:r>
      <w:r>
        <w:rPr>
          <w:rFonts w:cs="Times New Roman"/>
          <w:noProof/>
          <w:lang w:val="fr-CA" w:eastAsia="en-CA"/>
        </w:rPr>
        <w:t xml:space="preserve"> M. G] d’avoir eu gain de cause </w:t>
      </w:r>
      <w:r w:rsidRPr="00883823">
        <w:rPr>
          <w:rFonts w:cs="Times New Roman"/>
          <w:noProof/>
          <w:lang w:val="fr-CA" w:eastAsia="en-CA"/>
        </w:rPr>
        <w:t xml:space="preserve">» </w:t>
      </w:r>
      <w:r w:rsidRPr="00883823">
        <w:rPr>
          <w:rFonts w:cs="Times New Roman"/>
          <w:lang w:val="fr-CA"/>
        </w:rPr>
        <w:t>(</w:t>
      </w:r>
      <w:r w:rsidRPr="00883823">
        <w:rPr>
          <w:rFonts w:cs="Times New Roman"/>
          <w:i/>
          <w:lang w:val="fr-CA"/>
        </w:rPr>
        <w:t>ibid</w:t>
      </w:r>
      <w:r w:rsidRPr="00883823">
        <w:rPr>
          <w:rFonts w:cs="Times New Roman"/>
          <w:lang w:val="fr-CA"/>
        </w:rPr>
        <w:t xml:space="preserve">., </w:t>
      </w:r>
      <w:r>
        <w:rPr>
          <w:rFonts w:cs="Times New Roman"/>
          <w:lang w:val="fr-CA"/>
        </w:rPr>
        <w:t>par. </w:t>
      </w:r>
      <w:r w:rsidRPr="00883823">
        <w:rPr>
          <w:rFonts w:cs="Times New Roman"/>
          <w:lang w:val="fr-CA"/>
        </w:rPr>
        <w:t xml:space="preserve">182) réside dans le fait qu’à l’instar des personnes reconnues coupables d’une infraction d’ordre sexuel, il a droit </w:t>
      </w:r>
      <w:r w:rsidRPr="00883823">
        <w:rPr>
          <w:rFonts w:cs="Times New Roman"/>
          <w:szCs w:val="24"/>
          <w:lang w:val="fr-CA"/>
        </w:rPr>
        <w:t xml:space="preserve">à la </w:t>
      </w:r>
      <w:r w:rsidRPr="00883823">
        <w:rPr>
          <w:rFonts w:cs="Times New Roman"/>
          <w:i/>
          <w:iCs/>
          <w:szCs w:val="24"/>
          <w:lang w:val="fr-CA"/>
        </w:rPr>
        <w:t xml:space="preserve">possibilité </w:t>
      </w:r>
      <w:r w:rsidRPr="00883823">
        <w:rPr>
          <w:rFonts w:cs="Times New Roman"/>
          <w:szCs w:val="24"/>
          <w:lang w:val="fr-CA"/>
        </w:rPr>
        <w:t xml:space="preserve">de bénéficier d’une exemption et d’être retiré du registre, et non qu’il doit </w:t>
      </w:r>
      <w:r w:rsidRPr="00883823">
        <w:rPr>
          <w:rFonts w:cs="Times New Roman"/>
          <w:i/>
          <w:iCs/>
          <w:szCs w:val="24"/>
          <w:lang w:val="fr-CA"/>
        </w:rPr>
        <w:t xml:space="preserve">nécessairement </w:t>
      </w:r>
      <w:r w:rsidRPr="00883823">
        <w:rPr>
          <w:rFonts w:cs="Times New Roman"/>
          <w:iCs/>
          <w:szCs w:val="24"/>
          <w:lang w:val="fr-CA"/>
        </w:rPr>
        <w:t xml:space="preserve">en </w:t>
      </w:r>
      <w:r w:rsidRPr="00883823">
        <w:rPr>
          <w:rFonts w:cs="Times New Roman"/>
          <w:szCs w:val="24"/>
          <w:lang w:val="fr-CA"/>
        </w:rPr>
        <w:t>être retiré</w:t>
      </w:r>
      <w:r w:rsidRPr="00883823">
        <w:rPr>
          <w:rFonts w:cs="Times New Roman"/>
          <w:lang w:val="fr-CA"/>
        </w:rPr>
        <w:t>.</w:t>
      </w:r>
    </w:p>
    <w:p w14:paraId="26F8C948" w14:textId="77777777" w:rsidR="00F712C6" w:rsidRPr="00883823" w:rsidRDefault="00F712C6" w:rsidP="00F712C6">
      <w:pPr>
        <w:pStyle w:val="ParaNoNdepar-AltN"/>
        <w:rPr>
          <w:rFonts w:cs="Times New Roman"/>
          <w:szCs w:val="24"/>
          <w:lang w:val="fr-CA"/>
        </w:rPr>
      </w:pPr>
      <w:r w:rsidRPr="00883823">
        <w:rPr>
          <w:rFonts w:cs="Times New Roman"/>
          <w:lang w:val="fr-CA"/>
        </w:rPr>
        <w:t>En outre, nous sommes respectueusement en désaccord avec le raisonnement de notre collègue selon lequel les juges « </w:t>
      </w:r>
      <w:r w:rsidRPr="00883823">
        <w:rPr>
          <w:rFonts w:cs="Times New Roman"/>
          <w:noProof/>
          <w:lang w:val="fr-CA" w:eastAsia="en-CA"/>
        </w:rPr>
        <w:t>sont bien placés pour rendre des décisions et sont souvent appelés</w:t>
      </w:r>
      <w:r>
        <w:rPr>
          <w:rFonts w:cs="Times New Roman"/>
          <w:noProof/>
          <w:lang w:val="fr-CA" w:eastAsia="en-CA"/>
        </w:rPr>
        <w:t xml:space="preserve"> </w:t>
      </w:r>
      <w:r w:rsidRPr="00883823">
        <w:rPr>
          <w:rFonts w:cs="Times New Roman"/>
          <w:noProof/>
          <w:lang w:val="fr-CA" w:eastAsia="en-CA"/>
        </w:rPr>
        <w:t>à tirer des conclusions</w:t>
      </w:r>
      <w:r>
        <w:rPr>
          <w:rFonts w:cs="Times New Roman"/>
          <w:noProof/>
          <w:lang w:val="fr-CA" w:eastAsia="en-CA"/>
        </w:rPr>
        <w:t> </w:t>
      </w:r>
      <w:r w:rsidRPr="00883823">
        <w:rPr>
          <w:rFonts w:cs="Times New Roman"/>
          <w:noProof/>
          <w:lang w:val="fr-CA" w:eastAsia="en-CA"/>
        </w:rPr>
        <w:t xml:space="preserve">» comme celle à laquelle est parvenue notre collègue au sujet de </w:t>
      </w:r>
      <w:r>
        <w:rPr>
          <w:rFonts w:cs="Times New Roman"/>
          <w:lang w:val="fr-CA"/>
        </w:rPr>
        <w:t>M. </w:t>
      </w:r>
      <w:r w:rsidRPr="00883823">
        <w:rPr>
          <w:rFonts w:cs="Times New Roman"/>
          <w:lang w:val="fr-CA"/>
        </w:rPr>
        <w:t>G (</w:t>
      </w:r>
      <w:r>
        <w:rPr>
          <w:rFonts w:cs="Times New Roman"/>
          <w:lang w:val="fr-CA"/>
        </w:rPr>
        <w:t>par. </w:t>
      </w:r>
      <w:r w:rsidRPr="00883823">
        <w:rPr>
          <w:rFonts w:cs="Times New Roman"/>
          <w:lang w:val="fr-CA"/>
        </w:rPr>
        <w:t xml:space="preserve">181). Elle cite expressément le cas des ordonnances de révocation ou de dispense prononcées à l’endroit des personnes assujetties à la </w:t>
      </w:r>
      <w:r w:rsidRPr="00883823">
        <w:rPr>
          <w:rFonts w:cs="Times New Roman"/>
          <w:i/>
          <w:lang w:val="fr-CA"/>
        </w:rPr>
        <w:t>LERDS</w:t>
      </w:r>
      <w:r w:rsidRPr="00883823">
        <w:rPr>
          <w:rFonts w:cs="Times New Roman"/>
          <w:lang w:val="fr-CA"/>
        </w:rPr>
        <w:t xml:space="preserve"> en application des </w:t>
      </w:r>
      <w:proofErr w:type="spellStart"/>
      <w:r>
        <w:rPr>
          <w:rFonts w:cs="Times New Roman"/>
          <w:lang w:val="fr-CA"/>
        </w:rPr>
        <w:t>par</w:t>
      </w:r>
      <w:proofErr w:type="spellEnd"/>
      <w:r>
        <w:rPr>
          <w:rFonts w:cs="Times New Roman"/>
          <w:lang w:val="fr-CA"/>
        </w:rPr>
        <w:t>. </w:t>
      </w:r>
      <w:r w:rsidRPr="00883823">
        <w:rPr>
          <w:rFonts w:cs="Times New Roman"/>
          <w:lang w:val="fr-CA"/>
        </w:rPr>
        <w:t xml:space="preserve">490.016(1) et 490.023(2) du </w:t>
      </w:r>
      <w:r w:rsidRPr="00883823">
        <w:rPr>
          <w:rFonts w:cs="Times New Roman"/>
          <w:i/>
          <w:lang w:val="fr-CA"/>
        </w:rPr>
        <w:t>Code</w:t>
      </w:r>
      <w:r w:rsidRPr="00883823">
        <w:rPr>
          <w:rFonts w:cs="Times New Roman"/>
          <w:lang w:val="fr-CA"/>
        </w:rPr>
        <w:t xml:space="preserve"> (</w:t>
      </w:r>
      <w:r>
        <w:rPr>
          <w:rFonts w:cs="Times New Roman"/>
          <w:lang w:val="fr-CA"/>
        </w:rPr>
        <w:t>par. </w:t>
      </w:r>
      <w:r w:rsidRPr="00883823">
        <w:rPr>
          <w:rFonts w:cs="Times New Roman"/>
          <w:lang w:val="fr-CA"/>
        </w:rPr>
        <w:t>181). Sans trancher la question, nous tenons à signaler que des juridictions d’appel ont conclu que la norme [</w:t>
      </w:r>
      <w:r w:rsidRPr="00883823">
        <w:rPr>
          <w:rFonts w:cs="Times New Roman"/>
          <w:smallCaps/>
          <w:lang w:val="fr-CA"/>
        </w:rPr>
        <w:t>traduction</w:t>
      </w:r>
      <w:r w:rsidRPr="00883823">
        <w:rPr>
          <w:rFonts w:cs="Times New Roman"/>
          <w:lang w:val="fr-CA"/>
        </w:rPr>
        <w:t>] «</w:t>
      </w:r>
      <w:r>
        <w:rPr>
          <w:rFonts w:cs="Times New Roman"/>
          <w:lang w:val="fr-CA"/>
        </w:rPr>
        <w:t> </w:t>
      </w:r>
      <w:r w:rsidRPr="00883823">
        <w:rPr>
          <w:rFonts w:cs="Times New Roman"/>
          <w:lang w:val="fr-CA"/>
        </w:rPr>
        <w:t>très exigeante</w:t>
      </w:r>
      <w:r>
        <w:rPr>
          <w:rFonts w:cs="Times New Roman"/>
          <w:lang w:val="fr-CA"/>
        </w:rPr>
        <w:t> </w:t>
      </w:r>
      <w:r w:rsidRPr="00883823">
        <w:rPr>
          <w:rFonts w:cs="Times New Roman"/>
          <w:lang w:val="fr-CA"/>
        </w:rPr>
        <w:t>» (</w:t>
      </w:r>
      <w:r w:rsidRPr="00883823">
        <w:rPr>
          <w:rFonts w:cs="Times New Roman"/>
          <w:i/>
          <w:lang w:val="fr-CA"/>
        </w:rPr>
        <w:t>R. c. Redhead</w:t>
      </w:r>
      <w:r w:rsidRPr="00883823">
        <w:rPr>
          <w:rFonts w:cs="Times New Roman"/>
          <w:lang w:val="fr-CA"/>
        </w:rPr>
        <w:t xml:space="preserve">, 2006 ABCA 84, 384 A.R. 206, </w:t>
      </w:r>
      <w:r>
        <w:rPr>
          <w:rFonts w:cs="Times New Roman"/>
          <w:lang w:val="fr-CA"/>
        </w:rPr>
        <w:t>par. </w:t>
      </w:r>
      <w:r w:rsidRPr="00883823">
        <w:rPr>
          <w:rFonts w:cs="Times New Roman"/>
          <w:lang w:val="fr-CA"/>
        </w:rPr>
        <w:t xml:space="preserve">43) que doit respecter le demandeur sollicitant une ordonnance de révocation ou de dispense en vertu de ces articles </w:t>
      </w:r>
      <w:r w:rsidRPr="00883823">
        <w:rPr>
          <w:rFonts w:cs="Times New Roman"/>
          <w:i/>
          <w:iCs/>
          <w:lang w:val="fr-CA"/>
        </w:rPr>
        <w:t>n</w:t>
      </w:r>
      <w:r w:rsidRPr="00883823">
        <w:rPr>
          <w:rFonts w:cs="Times New Roman"/>
          <w:lang w:val="fr-CA"/>
        </w:rPr>
        <w:t xml:space="preserve">’est </w:t>
      </w:r>
      <w:r w:rsidRPr="00883823">
        <w:rPr>
          <w:rFonts w:cs="Times New Roman"/>
          <w:i/>
          <w:iCs/>
          <w:lang w:val="fr-CA"/>
        </w:rPr>
        <w:t>pas</w:t>
      </w:r>
      <w:r w:rsidRPr="00883823">
        <w:rPr>
          <w:rFonts w:cs="Times New Roman"/>
          <w:lang w:val="fr-CA"/>
        </w:rPr>
        <w:t xml:space="preserve"> axée sur le risque. Elle s’attache plutôt aux rares cas dans lesquels la situation unique du requérant fait en sorte que son inscription au registre a des conséquences particulièrement graves sur son droit à la liberté et au respect de sa vie privée et déborde [</w:t>
      </w:r>
      <w:r w:rsidRPr="00883823">
        <w:rPr>
          <w:rFonts w:cs="Times New Roman"/>
          <w:smallCaps/>
          <w:lang w:val="fr-CA"/>
        </w:rPr>
        <w:t>traduction</w:t>
      </w:r>
      <w:r w:rsidRPr="00883823">
        <w:rPr>
          <w:rFonts w:cs="Times New Roman"/>
          <w:lang w:val="fr-CA"/>
        </w:rPr>
        <w:t>] «</w:t>
      </w:r>
      <w:r>
        <w:rPr>
          <w:rFonts w:cs="Times New Roman"/>
          <w:lang w:val="fr-CA"/>
        </w:rPr>
        <w:t> </w:t>
      </w:r>
      <w:r w:rsidRPr="00883823">
        <w:rPr>
          <w:rFonts w:cs="Times New Roman"/>
          <w:lang w:val="fr-CA"/>
        </w:rPr>
        <w:t>les inconvénients normaux que les exigences de l’inscription au registre causent à [une personne]</w:t>
      </w:r>
      <w:r>
        <w:rPr>
          <w:rFonts w:cs="Times New Roman"/>
          <w:lang w:val="fr-CA"/>
        </w:rPr>
        <w:t> </w:t>
      </w:r>
      <w:r w:rsidRPr="00883823">
        <w:rPr>
          <w:rFonts w:cs="Times New Roman"/>
          <w:lang w:val="fr-CA"/>
        </w:rPr>
        <w:t>» (</w:t>
      </w:r>
      <w:r w:rsidRPr="00883823">
        <w:rPr>
          <w:rFonts w:cs="Times New Roman"/>
          <w:i/>
          <w:lang w:val="fr-CA"/>
        </w:rPr>
        <w:t>R. c. R.L.</w:t>
      </w:r>
      <w:r w:rsidRPr="00883823">
        <w:rPr>
          <w:rFonts w:cs="Times New Roman"/>
          <w:lang w:val="fr-CA"/>
        </w:rPr>
        <w:t xml:space="preserve">, 2007 ONCA 347, </w:t>
      </w:r>
      <w:r>
        <w:rPr>
          <w:rFonts w:cs="Times New Roman"/>
          <w:lang w:val="fr-CA"/>
        </w:rPr>
        <w:t>par. </w:t>
      </w:r>
      <w:r w:rsidRPr="00883823">
        <w:rPr>
          <w:rFonts w:cs="Times New Roman"/>
          <w:lang w:val="fr-CA"/>
        </w:rPr>
        <w:t>7 (</w:t>
      </w:r>
      <w:proofErr w:type="spellStart"/>
      <w:r w:rsidRPr="00883823">
        <w:rPr>
          <w:rFonts w:cs="Times New Roman"/>
          <w:lang w:val="fr-CA"/>
        </w:rPr>
        <w:t>CanLII</w:t>
      </w:r>
      <w:proofErr w:type="spellEnd"/>
      <w:r w:rsidRPr="00883823">
        <w:rPr>
          <w:rFonts w:cs="Times New Roman"/>
          <w:lang w:val="fr-CA"/>
        </w:rPr>
        <w:t xml:space="preserve">); voir aussi </w:t>
      </w:r>
      <w:r>
        <w:rPr>
          <w:rFonts w:cs="Times New Roman"/>
          <w:lang w:val="fr-CA"/>
        </w:rPr>
        <w:t>par. </w:t>
      </w:r>
      <w:r w:rsidRPr="00883823">
        <w:rPr>
          <w:rFonts w:cs="Times New Roman"/>
          <w:lang w:val="fr-CA"/>
        </w:rPr>
        <w:t>2</w:t>
      </w:r>
      <w:r>
        <w:rPr>
          <w:rFonts w:cs="Times New Roman"/>
          <w:lang w:val="fr-CA"/>
        </w:rPr>
        <w:noBreakHyphen/>
      </w:r>
      <w:r w:rsidRPr="00883823">
        <w:rPr>
          <w:rFonts w:cs="Times New Roman"/>
          <w:lang w:val="fr-CA"/>
        </w:rPr>
        <w:t xml:space="preserve">6 et 8; voir aussi </w:t>
      </w:r>
      <w:r w:rsidRPr="00883823">
        <w:rPr>
          <w:rFonts w:cs="Times New Roman"/>
          <w:i/>
          <w:lang w:val="fr-CA"/>
        </w:rPr>
        <w:t>R.</w:t>
      </w:r>
      <w:r w:rsidRPr="00883823">
        <w:rPr>
          <w:rFonts w:cs="Times New Roman"/>
          <w:lang w:val="fr-CA"/>
        </w:rPr>
        <w:t xml:space="preserve"> </w:t>
      </w:r>
      <w:r w:rsidRPr="00883823">
        <w:rPr>
          <w:rFonts w:cs="Times New Roman"/>
          <w:i/>
          <w:lang w:val="fr-CA"/>
        </w:rPr>
        <w:t>c.</w:t>
      </w:r>
      <w:r w:rsidRPr="00883823">
        <w:rPr>
          <w:rFonts w:cs="Times New Roman"/>
          <w:lang w:val="fr-CA"/>
        </w:rPr>
        <w:t xml:space="preserve"> </w:t>
      </w:r>
      <w:proofErr w:type="spellStart"/>
      <w:r w:rsidRPr="00883823">
        <w:rPr>
          <w:rFonts w:cs="Times New Roman"/>
          <w:i/>
          <w:lang w:val="fr-CA"/>
        </w:rPr>
        <w:t>Debidin</w:t>
      </w:r>
      <w:proofErr w:type="spellEnd"/>
      <w:r w:rsidRPr="00883823">
        <w:rPr>
          <w:rFonts w:cs="Times New Roman"/>
          <w:i/>
          <w:lang w:val="fr-CA"/>
        </w:rPr>
        <w:t xml:space="preserve"> </w:t>
      </w:r>
      <w:r w:rsidRPr="00883823">
        <w:rPr>
          <w:rFonts w:cs="Times New Roman"/>
          <w:lang w:val="fr-CA"/>
        </w:rPr>
        <w:t xml:space="preserve">(2008), 94 </w:t>
      </w:r>
      <w:proofErr w:type="spellStart"/>
      <w:r w:rsidRPr="00883823">
        <w:rPr>
          <w:rFonts w:cs="Times New Roman"/>
          <w:lang w:val="fr-CA"/>
        </w:rPr>
        <w:t>O.R</w:t>
      </w:r>
      <w:proofErr w:type="spellEnd"/>
      <w:r w:rsidRPr="00883823">
        <w:rPr>
          <w:rFonts w:cs="Times New Roman"/>
          <w:lang w:val="fr-CA"/>
        </w:rPr>
        <w:t xml:space="preserve">. (3d) 421, </w:t>
      </w:r>
      <w:r>
        <w:rPr>
          <w:rFonts w:cs="Times New Roman"/>
          <w:lang w:val="fr-CA"/>
        </w:rPr>
        <w:t>par. </w:t>
      </w:r>
      <w:r w:rsidRPr="00883823">
        <w:rPr>
          <w:rFonts w:cs="Times New Roman"/>
          <w:lang w:val="fr-CA"/>
        </w:rPr>
        <w:t xml:space="preserve">32, 68, 70 et 80; </w:t>
      </w:r>
      <w:r w:rsidRPr="00883823">
        <w:rPr>
          <w:rFonts w:cs="Times New Roman"/>
          <w:i/>
          <w:lang w:val="fr-CA"/>
        </w:rPr>
        <w:t>Redhead</w:t>
      </w:r>
      <w:r w:rsidRPr="00883823">
        <w:rPr>
          <w:rFonts w:cs="Times New Roman"/>
          <w:lang w:val="fr-CA"/>
        </w:rPr>
        <w:t xml:space="preserve">, </w:t>
      </w:r>
      <w:r>
        <w:rPr>
          <w:rFonts w:cs="Times New Roman"/>
          <w:lang w:val="fr-CA"/>
        </w:rPr>
        <w:t>par. </w:t>
      </w:r>
      <w:r w:rsidRPr="00883823">
        <w:rPr>
          <w:rFonts w:cs="Times New Roman"/>
          <w:lang w:val="fr-CA"/>
        </w:rPr>
        <w:t>3, 21, 31 et 37</w:t>
      </w:r>
      <w:r>
        <w:rPr>
          <w:rFonts w:cs="Times New Roman"/>
          <w:lang w:val="fr-CA"/>
        </w:rPr>
        <w:noBreakHyphen/>
      </w:r>
      <w:r w:rsidRPr="00883823">
        <w:rPr>
          <w:rFonts w:cs="Times New Roman"/>
          <w:lang w:val="fr-CA"/>
        </w:rPr>
        <w:t xml:space="preserve">43). Par exemple, la Cour d’appel de l’Ontario a conclu que </w:t>
      </w:r>
      <w:r w:rsidRPr="00883823">
        <w:rPr>
          <w:rFonts w:cs="Times New Roman"/>
          <w:smallCaps/>
          <w:lang w:val="fr-CA"/>
        </w:rPr>
        <w:t>[traduction</w:t>
      </w:r>
      <w:r w:rsidRPr="00883823">
        <w:rPr>
          <w:rFonts w:cs="Times New Roman"/>
          <w:lang w:val="fr-CA"/>
        </w:rPr>
        <w:t xml:space="preserve">] « [c]’est une erreur d’alourdir les répercussions que subit un délinquant ou de diluer l’intérêt du public à ce que le délinquant soit inscrit au registre compte tenu du risque moins élevé de récidive. On peut d’ailleurs se demander si </w:t>
      </w:r>
      <w:r w:rsidRPr="00883823">
        <w:rPr>
          <w:rFonts w:cs="Times New Roman"/>
          <w:smallCaps/>
          <w:lang w:val="fr-CA"/>
        </w:rPr>
        <w:t>[</w:t>
      </w:r>
      <w:r w:rsidRPr="00883823">
        <w:rPr>
          <w:rFonts w:cs="Times New Roman"/>
          <w:lang w:val="fr-CA"/>
        </w:rPr>
        <w:t xml:space="preserve">les tribunaux] sont en mesure de faire des prédictions justes en matière de probabilité </w:t>
      </w:r>
      <w:r>
        <w:rPr>
          <w:rFonts w:cs="Times New Roman"/>
          <w:lang w:val="fr-CA"/>
        </w:rPr>
        <w:t>de récidive </w:t>
      </w:r>
      <w:r w:rsidRPr="00883823">
        <w:rPr>
          <w:rFonts w:cs="Times New Roman"/>
          <w:lang w:val="fr-CA"/>
        </w:rPr>
        <w:t>» (</w:t>
      </w:r>
      <w:proofErr w:type="spellStart"/>
      <w:r w:rsidRPr="00883823">
        <w:rPr>
          <w:rFonts w:cs="Times New Roman"/>
          <w:i/>
          <w:lang w:val="fr-CA"/>
        </w:rPr>
        <w:t>Debidin</w:t>
      </w:r>
      <w:proofErr w:type="spellEnd"/>
      <w:r w:rsidRPr="00883823">
        <w:rPr>
          <w:rFonts w:cs="Times New Roman"/>
          <w:lang w:val="fr-CA"/>
        </w:rPr>
        <w:t>,</w:t>
      </w:r>
      <w:r w:rsidRPr="00883823">
        <w:rPr>
          <w:rFonts w:cs="Times New Roman"/>
          <w:i/>
          <w:lang w:val="fr-CA"/>
        </w:rPr>
        <w:t xml:space="preserve"> </w:t>
      </w:r>
      <w:r>
        <w:rPr>
          <w:rFonts w:cs="Times New Roman"/>
          <w:lang w:val="fr-CA"/>
        </w:rPr>
        <w:t>par. </w:t>
      </w:r>
      <w:r w:rsidRPr="00883823">
        <w:rPr>
          <w:rFonts w:cs="Times New Roman"/>
          <w:lang w:val="fr-CA"/>
        </w:rPr>
        <w:t xml:space="preserve">70). En outre, nous trouvons particulièrement curieux le fait que notre collègue mentionne le pouvoir discrétionnaire conféré aux tribunaux par la </w:t>
      </w:r>
      <w:r w:rsidRPr="00883823">
        <w:rPr>
          <w:rFonts w:cs="Times New Roman"/>
          <w:i/>
          <w:lang w:val="fr-CA"/>
        </w:rPr>
        <w:t>LERDS</w:t>
      </w:r>
      <w:r w:rsidRPr="00883823">
        <w:rPr>
          <w:rFonts w:cs="Times New Roman"/>
          <w:lang w:val="fr-CA"/>
        </w:rPr>
        <w:t xml:space="preserve">, vu que le Parlement a modifié le </w:t>
      </w:r>
      <w:r>
        <w:rPr>
          <w:rFonts w:cs="Times New Roman"/>
          <w:lang w:val="fr-CA"/>
        </w:rPr>
        <w:t>par. </w:t>
      </w:r>
      <w:r w:rsidRPr="00883823">
        <w:rPr>
          <w:rFonts w:cs="Times New Roman"/>
          <w:lang w:val="fr-CA"/>
        </w:rPr>
        <w:t xml:space="preserve">490.012(4) du </w:t>
      </w:r>
      <w:r w:rsidRPr="00883823">
        <w:rPr>
          <w:rFonts w:cs="Times New Roman"/>
          <w:i/>
          <w:lang w:val="fr-CA"/>
        </w:rPr>
        <w:t>Code</w:t>
      </w:r>
      <w:r w:rsidRPr="00883823">
        <w:rPr>
          <w:rFonts w:cs="Times New Roman"/>
          <w:lang w:val="fr-CA"/>
        </w:rPr>
        <w:t xml:space="preserve">, éliminant par le fait même la possibilité pour le juge chargé de la détermination de la peine de refuser de rendre une ordonnance de se conformer au registre (voir la </w:t>
      </w:r>
      <w:r w:rsidRPr="00883823">
        <w:rPr>
          <w:rFonts w:cs="Times New Roman"/>
          <w:i/>
          <w:iCs/>
          <w:lang w:val="fr-CA"/>
        </w:rPr>
        <w:t>Loi protégeant les victimes des délinquants sexuels</w:t>
      </w:r>
      <w:r w:rsidRPr="00883823">
        <w:rPr>
          <w:rFonts w:cs="Times New Roman"/>
          <w:lang w:val="fr-CA"/>
        </w:rPr>
        <w:t xml:space="preserve">, L.C. 2010, c. 17, </w:t>
      </w:r>
      <w:r>
        <w:rPr>
          <w:rFonts w:cs="Times New Roman"/>
          <w:lang w:val="fr-CA"/>
        </w:rPr>
        <w:t>art. </w:t>
      </w:r>
      <w:r w:rsidRPr="00883823">
        <w:rPr>
          <w:rFonts w:cs="Times New Roman"/>
          <w:lang w:val="fr-CA"/>
        </w:rPr>
        <w:t>5).</w:t>
      </w:r>
    </w:p>
    <w:p w14:paraId="314E9FB5" w14:textId="77777777" w:rsidR="00F712C6" w:rsidRPr="00883823" w:rsidRDefault="00F712C6" w:rsidP="00F712C6">
      <w:pPr>
        <w:pStyle w:val="ParaNoNdepar-AltN"/>
        <w:rPr>
          <w:rFonts w:cs="Times New Roman"/>
          <w:szCs w:val="24"/>
          <w:lang w:val="fr-CA"/>
        </w:rPr>
      </w:pPr>
      <w:r w:rsidRPr="00883823">
        <w:rPr>
          <w:rFonts w:cs="Times New Roman"/>
          <w:lang w:val="fr-CA"/>
        </w:rPr>
        <w:t>Les deux autres exemples que notre collègue propose, en l’occurrence l’absolution prévue à l’</w:t>
      </w:r>
      <w:r>
        <w:rPr>
          <w:rFonts w:cs="Times New Roman"/>
          <w:lang w:val="fr-CA"/>
        </w:rPr>
        <w:t>art. </w:t>
      </w:r>
      <w:r w:rsidRPr="00883823">
        <w:rPr>
          <w:rFonts w:cs="Times New Roman"/>
          <w:lang w:val="fr-CA"/>
        </w:rPr>
        <w:t xml:space="preserve">730 et la suspension du casier judiciaire </w:t>
      </w:r>
      <w:r w:rsidRPr="00C54659">
        <w:rPr>
          <w:rFonts w:cs="Times New Roman"/>
          <w:i/>
          <w:lang w:val="fr-CA"/>
        </w:rPr>
        <w:t>accordée par la Commission nationale des libérations conditionnelles</w:t>
      </w:r>
      <w:r w:rsidRPr="00883823">
        <w:rPr>
          <w:rFonts w:cs="Times New Roman"/>
          <w:lang w:val="fr-CA"/>
        </w:rPr>
        <w:t xml:space="preserve"> (et non par les tribunaux) en vertu du </w:t>
      </w:r>
      <w:r>
        <w:rPr>
          <w:rFonts w:cs="Times New Roman"/>
          <w:lang w:val="fr-CA"/>
        </w:rPr>
        <w:t>par. </w:t>
      </w:r>
      <w:r w:rsidRPr="00883823">
        <w:rPr>
          <w:rFonts w:cs="Times New Roman"/>
          <w:lang w:val="fr-CA"/>
        </w:rPr>
        <w:t>4</w:t>
      </w:r>
      <w:r>
        <w:rPr>
          <w:rFonts w:cs="Times New Roman"/>
          <w:lang w:val="fr-CA"/>
        </w:rPr>
        <w:t>.</w:t>
      </w:r>
      <w:r w:rsidRPr="00883823">
        <w:rPr>
          <w:rFonts w:cs="Times New Roman"/>
          <w:lang w:val="fr-CA"/>
        </w:rPr>
        <w:t xml:space="preserve">1(1) de la </w:t>
      </w:r>
      <w:r w:rsidRPr="00883823">
        <w:rPr>
          <w:rFonts w:cs="Times New Roman"/>
          <w:i/>
          <w:iCs/>
          <w:lang w:val="fr-CA"/>
        </w:rPr>
        <w:t>Loi sur le casier judiciaire</w:t>
      </w:r>
      <w:r w:rsidRPr="00883823">
        <w:rPr>
          <w:rFonts w:cs="Times New Roman"/>
          <w:lang w:val="fr-CA"/>
        </w:rPr>
        <w:t>, L.R.C. 1985, c. C</w:t>
      </w:r>
      <w:r>
        <w:rPr>
          <w:rFonts w:cs="Times New Roman"/>
          <w:lang w:val="fr-CA"/>
        </w:rPr>
        <w:noBreakHyphen/>
      </w:r>
      <w:r w:rsidRPr="00883823">
        <w:rPr>
          <w:rFonts w:cs="Times New Roman"/>
          <w:lang w:val="fr-CA"/>
        </w:rPr>
        <w:t xml:space="preserve">47, ne s’appliquent pas ou ne répondent pas — comme elle le reconnaît amplement dans ses motifs — à la situation unique des personnes déclarées non responsables criminellement pour cause de troubles mentaux. En tout état de cause, ce sont toutes là des méthodes d’évaluation qui ont été jugées adéquates par le Parlement et non par les tribunaux. </w:t>
      </w:r>
    </w:p>
    <w:p w14:paraId="3051A059" w14:textId="77777777" w:rsidR="00F712C6" w:rsidRPr="00883823" w:rsidRDefault="00F712C6" w:rsidP="00F712C6">
      <w:pPr>
        <w:pStyle w:val="ParaNoNdepar-AltN"/>
        <w:rPr>
          <w:rFonts w:cs="Times New Roman"/>
          <w:lang w:val="fr-CA"/>
        </w:rPr>
      </w:pPr>
      <w:r w:rsidRPr="00883823">
        <w:rPr>
          <w:rFonts w:cs="Times New Roman"/>
          <w:lang w:val="fr-CA"/>
        </w:rPr>
        <w:t>En conclusion, et avec égards, le raisonnement de notre collègue est entaché de contradictions non résolues. Elle reconnaît que notre Cour n’a pas la compétence institutionnelle voulue pour élaborer un nouveau régime qui déterminerait qui devrait être inscrit au registre et qui ne devrait pas l’être, comme en témoigne sa décision de prononcer une déclaration d’invalidité au lieu de toute autre réparat</w:t>
      </w:r>
      <w:r>
        <w:rPr>
          <w:rFonts w:cs="Times New Roman"/>
          <w:lang w:val="fr-CA"/>
        </w:rPr>
        <w:t>ion. Pourtant, cette décision « contredirait </w:t>
      </w:r>
      <w:r w:rsidRPr="00883823">
        <w:rPr>
          <w:rFonts w:cs="Times New Roman"/>
          <w:lang w:val="fr-CA"/>
        </w:rPr>
        <w:t>» (</w:t>
      </w:r>
      <w:proofErr w:type="spellStart"/>
      <w:r w:rsidRPr="00883823">
        <w:rPr>
          <w:rFonts w:cs="Times New Roman"/>
          <w:i/>
          <w:lang w:val="fr-CA"/>
        </w:rPr>
        <w:t>Hislop</w:t>
      </w:r>
      <w:proofErr w:type="spellEnd"/>
      <w:r w:rsidRPr="00883823">
        <w:rPr>
          <w:rFonts w:cs="Times New Roman"/>
          <w:lang w:val="fr-CA"/>
        </w:rPr>
        <w:t xml:space="preserve">, </w:t>
      </w:r>
      <w:r>
        <w:rPr>
          <w:rFonts w:cs="Times New Roman"/>
          <w:lang w:val="fr-CA"/>
        </w:rPr>
        <w:t>par. </w:t>
      </w:r>
      <w:r w:rsidRPr="00883823">
        <w:rPr>
          <w:rFonts w:cs="Times New Roman"/>
          <w:lang w:val="fr-CA"/>
        </w:rPr>
        <w:t>92) en fin de compte sa conclusion suivant laquelle notre Cour, et par conséquent d’autres tribunaux, a la compétence institutionnelle voulue pour évaluer le risque que présentent les personnes déclarées non responsables criminellement pour cause de troubles mentaux et pour accorder les exemptions qui en découlent.</w:t>
      </w:r>
    </w:p>
    <w:p w14:paraId="468135A5" w14:textId="77777777" w:rsidR="00F712C6" w:rsidRPr="00883823" w:rsidRDefault="00F712C6" w:rsidP="00F712C6">
      <w:pPr>
        <w:pStyle w:val="ParaNoNdepar-AltN"/>
        <w:rPr>
          <w:rFonts w:cs="Times New Roman"/>
          <w:lang w:val="fr-CA"/>
        </w:rPr>
      </w:pPr>
      <w:r w:rsidRPr="00883823">
        <w:rPr>
          <w:rFonts w:cs="Times New Roman"/>
          <w:lang w:val="fr-CA"/>
        </w:rPr>
        <w:t>Il y a selon nous une deuxième raison de ne pas accorder d’exemption individuelle en l’espèce, et qui milite, de façon générale, contre l’établissement d’une présomption en faveur d’une telle exemption. Accorder une exemption individuelle dans le cas qui nous occupe suscite, comme dans la plupart des cas, la crainte d’une iniquité horizontale, c’est</w:t>
      </w:r>
      <w:r>
        <w:rPr>
          <w:rFonts w:cs="Times New Roman"/>
          <w:lang w:val="fr-CA"/>
        </w:rPr>
        <w:noBreakHyphen/>
      </w:r>
      <w:r w:rsidRPr="00883823">
        <w:rPr>
          <w:rFonts w:cs="Times New Roman"/>
          <w:lang w:val="fr-CA"/>
        </w:rPr>
        <w:t>à</w:t>
      </w:r>
      <w:r>
        <w:rPr>
          <w:rFonts w:cs="Times New Roman"/>
          <w:lang w:val="fr-CA"/>
        </w:rPr>
        <w:noBreakHyphen/>
      </w:r>
      <w:r w:rsidRPr="00883823">
        <w:rPr>
          <w:rFonts w:cs="Times New Roman"/>
          <w:lang w:val="fr-CA"/>
        </w:rPr>
        <w:t>dire la crainte que le plaideur bénéficie d’un traitement plus favorable que celui réservé aux autres personnes qui se trouvent dans une situation semblable. À notre avis, il ne convient pas de récompenser (même temporairement) uniquement le plaideur qui a été en mesure de financer un litige constitutionnel de grande envergure. Il y a sans aucun doute d’autres personnes qui ont été déclarées non responsables criminellement pour cause de troubles mentaux — et qui sont peut</w:t>
      </w:r>
      <w:r>
        <w:rPr>
          <w:rFonts w:cs="Times New Roman"/>
          <w:lang w:val="fr-CA"/>
        </w:rPr>
        <w:noBreakHyphen/>
      </w:r>
      <w:r w:rsidRPr="00883823">
        <w:rPr>
          <w:rFonts w:cs="Times New Roman"/>
          <w:lang w:val="fr-CA"/>
        </w:rPr>
        <w:t>être plus vulnérables que M. G ou qui ont commis des infractions moins graves que lui —</w:t>
      </w:r>
      <w:r>
        <w:rPr>
          <w:rFonts w:cs="Times New Roman"/>
          <w:lang w:val="fr-CA"/>
        </w:rPr>
        <w:t xml:space="preserve"> </w:t>
      </w:r>
      <w:r w:rsidRPr="00883823">
        <w:rPr>
          <w:rFonts w:cs="Times New Roman"/>
          <w:lang w:val="fr-CA"/>
        </w:rPr>
        <w:t xml:space="preserve">qui ont tout autant, sinon plus, besoin que lui d’une mesure de réparation. </w:t>
      </w:r>
    </w:p>
    <w:p w14:paraId="65F3E770" w14:textId="426B07C1" w:rsidR="00F712C6" w:rsidRPr="00883823" w:rsidRDefault="00F712C6" w:rsidP="00F712C6">
      <w:pPr>
        <w:pStyle w:val="ParaNoNdepar-AltN"/>
        <w:rPr>
          <w:rFonts w:cs="Times New Roman"/>
          <w:lang w:val="fr-CA"/>
        </w:rPr>
      </w:pPr>
      <w:r w:rsidRPr="00883823">
        <w:rPr>
          <w:rFonts w:cs="Times New Roman"/>
          <w:lang w:val="fr-CA"/>
        </w:rPr>
        <w:t>Notre collègue rétorque que « </w:t>
      </w:r>
      <w:r w:rsidRPr="00883823">
        <w:rPr>
          <w:rFonts w:cs="Times New Roman"/>
          <w:noProof/>
          <w:lang w:val="fr-CA"/>
        </w:rPr>
        <w:t>le demandeur ne se trouve pas dans la même situation que les autres personnes assujetties à la loi contestée sous un rapport clé</w:t>
      </w:r>
      <w:r>
        <w:rPr>
          <w:rFonts w:cs="Times New Roman"/>
          <w:noProof/>
          <w:lang w:val="fr-CA"/>
        </w:rPr>
        <w:t> :</w:t>
      </w:r>
      <w:r w:rsidR="002972B9">
        <w:rPr>
          <w:rFonts w:cs="Times New Roman"/>
          <w:noProof/>
          <w:lang w:val="fr-CA"/>
        </w:rPr>
        <w:t xml:space="preserve"> [il] </w:t>
      </w:r>
      <w:r w:rsidRPr="00883823">
        <w:rPr>
          <w:rFonts w:cs="Times New Roman"/>
          <w:noProof/>
          <w:lang w:val="fr-CA"/>
        </w:rPr>
        <w:t>a servi l’intérêt du public en faisant en sorte qu’une loi inc</w:t>
      </w:r>
      <w:r>
        <w:rPr>
          <w:rFonts w:cs="Times New Roman"/>
          <w:noProof/>
          <w:lang w:val="fr-CA"/>
        </w:rPr>
        <w:t>onstitutionnelle soit invalidée </w:t>
      </w:r>
      <w:r w:rsidRPr="00883823">
        <w:rPr>
          <w:rFonts w:cs="Times New Roman"/>
          <w:lang w:val="fr-CA"/>
        </w:rPr>
        <w:t>» (</w:t>
      </w:r>
      <w:r>
        <w:rPr>
          <w:rFonts w:cs="Times New Roman"/>
          <w:lang w:val="fr-CA"/>
        </w:rPr>
        <w:t>par. </w:t>
      </w:r>
      <w:r w:rsidRPr="00883823">
        <w:rPr>
          <w:rFonts w:cs="Times New Roman"/>
          <w:lang w:val="fr-CA"/>
        </w:rPr>
        <w:t>148). Avec égards, nous ne sommes pas convaincus qu’il existe une raison de principe pour laquelle une réparation constitutionnelle individuelle devrait devenir un moyen de récompenser le plaideur qui a obtenu gain de cause pour avoir « </w:t>
      </w:r>
      <w:r w:rsidRPr="00883823">
        <w:rPr>
          <w:rFonts w:cs="Times New Roman"/>
          <w:noProof/>
          <w:lang w:val="fr-CA" w:eastAsia="en-CA"/>
        </w:rPr>
        <w:t>bravé la tempête d’un litige constitutionnel »</w:t>
      </w:r>
      <w:r w:rsidRPr="00883823">
        <w:rPr>
          <w:rFonts w:cs="Times New Roman"/>
          <w:lang w:val="fr-CA"/>
        </w:rPr>
        <w:t xml:space="preserve"> (</w:t>
      </w:r>
      <w:r>
        <w:rPr>
          <w:rFonts w:cs="Times New Roman"/>
          <w:lang w:val="fr-CA"/>
        </w:rPr>
        <w:t>par. </w:t>
      </w:r>
      <w:r w:rsidRPr="00883823">
        <w:rPr>
          <w:rFonts w:cs="Times New Roman"/>
          <w:lang w:val="fr-CA"/>
        </w:rPr>
        <w:t>142). Le fait que le plaideur a triomphé lui donne droit à un jugement en sa faveur, et peut</w:t>
      </w:r>
      <w:r>
        <w:rPr>
          <w:rFonts w:cs="Times New Roman"/>
          <w:lang w:val="fr-CA"/>
        </w:rPr>
        <w:noBreakHyphen/>
      </w:r>
      <w:r w:rsidRPr="00883823">
        <w:rPr>
          <w:rFonts w:cs="Times New Roman"/>
          <w:lang w:val="fr-CA"/>
        </w:rPr>
        <w:t xml:space="preserve">être aussi à une adjudication de dépens l’indemnisant des dépenses qu’il a engagées (voir </w:t>
      </w:r>
      <w:r w:rsidRPr="00883823">
        <w:rPr>
          <w:rFonts w:cs="Times New Roman"/>
          <w:i/>
          <w:iCs/>
          <w:lang w:val="fr-CA"/>
        </w:rPr>
        <w:t>Colombie</w:t>
      </w:r>
      <w:r>
        <w:rPr>
          <w:rFonts w:cs="Times New Roman"/>
          <w:i/>
          <w:iCs/>
          <w:lang w:val="fr-CA"/>
        </w:rPr>
        <w:noBreakHyphen/>
      </w:r>
      <w:r w:rsidRPr="00883823">
        <w:rPr>
          <w:rFonts w:cs="Times New Roman"/>
          <w:i/>
          <w:iCs/>
          <w:lang w:val="fr-CA"/>
        </w:rPr>
        <w:t xml:space="preserve">Britannique (Ministre des Forêts) c. Bande indienne </w:t>
      </w:r>
      <w:proofErr w:type="spellStart"/>
      <w:r w:rsidRPr="00883823">
        <w:rPr>
          <w:rFonts w:cs="Times New Roman"/>
          <w:i/>
          <w:iCs/>
          <w:lang w:val="fr-CA"/>
        </w:rPr>
        <w:t>Okanagan</w:t>
      </w:r>
      <w:proofErr w:type="spellEnd"/>
      <w:r w:rsidRPr="00883823">
        <w:rPr>
          <w:rFonts w:cs="Times New Roman"/>
          <w:i/>
          <w:iCs/>
          <w:lang w:val="fr-CA"/>
        </w:rPr>
        <w:t>,</w:t>
      </w:r>
      <w:r w:rsidRPr="00883823">
        <w:rPr>
          <w:rFonts w:cs="Times New Roman"/>
          <w:lang w:val="fr-CA"/>
        </w:rPr>
        <w:t xml:space="preserve"> 2003 CSC 71, [2003] 3 </w:t>
      </w:r>
      <w:proofErr w:type="spellStart"/>
      <w:r w:rsidRPr="00883823">
        <w:rPr>
          <w:rFonts w:cs="Times New Roman"/>
          <w:lang w:val="fr-CA"/>
        </w:rPr>
        <w:t>R.C.S</w:t>
      </w:r>
      <w:proofErr w:type="spellEnd"/>
      <w:r w:rsidRPr="00883823">
        <w:rPr>
          <w:rFonts w:cs="Times New Roman"/>
          <w:lang w:val="fr-CA"/>
        </w:rPr>
        <w:t xml:space="preserve">. 371, </w:t>
      </w:r>
      <w:r>
        <w:rPr>
          <w:rFonts w:cs="Times New Roman"/>
          <w:lang w:val="fr-CA"/>
        </w:rPr>
        <w:t>par. </w:t>
      </w:r>
      <w:r w:rsidRPr="00883823">
        <w:rPr>
          <w:rFonts w:cs="Times New Roman"/>
          <w:lang w:val="fr-CA"/>
        </w:rPr>
        <w:t xml:space="preserve">21). Mais dans une affaire constitutionnelle portant sur la validité d’une loi d’application </w:t>
      </w:r>
      <w:r w:rsidRPr="00883823">
        <w:rPr>
          <w:rFonts w:cs="Times New Roman"/>
          <w:i/>
          <w:lang w:val="fr-CA"/>
        </w:rPr>
        <w:t>générale</w:t>
      </w:r>
      <w:r w:rsidRPr="00883823">
        <w:rPr>
          <w:rFonts w:cs="Times New Roman"/>
          <w:lang w:val="fr-CA"/>
        </w:rPr>
        <w:t xml:space="preserve">, un plaideur ne devrait pas avoir droit à une réparation constitutionnelle meilleure ou plus immédiate que toute autre personne se trouvant dans une situation semblable du seul fait qu’il a intenté l’action. Comme l’a reconnu notre Cour dans l’arrêt </w:t>
      </w:r>
      <w:r w:rsidRPr="00883823">
        <w:rPr>
          <w:rFonts w:cs="Times New Roman"/>
          <w:i/>
          <w:lang w:val="fr-CA"/>
        </w:rPr>
        <w:t xml:space="preserve">Canada (Procureur général) c. </w:t>
      </w:r>
      <w:proofErr w:type="spellStart"/>
      <w:r w:rsidRPr="00883823">
        <w:rPr>
          <w:rFonts w:cs="Times New Roman"/>
          <w:i/>
          <w:lang w:val="fr-CA"/>
        </w:rPr>
        <w:t>Downtown</w:t>
      </w:r>
      <w:proofErr w:type="spellEnd"/>
      <w:r w:rsidRPr="00883823">
        <w:rPr>
          <w:rFonts w:cs="Times New Roman"/>
          <w:i/>
          <w:lang w:val="fr-CA"/>
        </w:rPr>
        <w:t xml:space="preserve"> </w:t>
      </w:r>
      <w:proofErr w:type="spellStart"/>
      <w:r w:rsidRPr="00883823">
        <w:rPr>
          <w:rFonts w:cs="Times New Roman"/>
          <w:i/>
          <w:lang w:val="fr-CA"/>
        </w:rPr>
        <w:t>Eastside</w:t>
      </w:r>
      <w:proofErr w:type="spellEnd"/>
      <w:r w:rsidRPr="00883823">
        <w:rPr>
          <w:rFonts w:cs="Times New Roman"/>
          <w:i/>
          <w:lang w:val="fr-CA"/>
        </w:rPr>
        <w:t xml:space="preserve"> </w:t>
      </w:r>
      <w:proofErr w:type="spellStart"/>
      <w:r w:rsidRPr="00883823">
        <w:rPr>
          <w:rFonts w:cs="Times New Roman"/>
          <w:i/>
          <w:lang w:val="fr-CA"/>
        </w:rPr>
        <w:t>Sex</w:t>
      </w:r>
      <w:proofErr w:type="spellEnd"/>
      <w:r w:rsidRPr="00883823">
        <w:rPr>
          <w:rFonts w:cs="Times New Roman"/>
          <w:i/>
          <w:lang w:val="fr-CA"/>
        </w:rPr>
        <w:t xml:space="preserve"> </w:t>
      </w:r>
      <w:proofErr w:type="spellStart"/>
      <w:r w:rsidRPr="00883823">
        <w:rPr>
          <w:rFonts w:cs="Times New Roman"/>
          <w:i/>
          <w:lang w:val="fr-CA"/>
        </w:rPr>
        <w:t>Workers</w:t>
      </w:r>
      <w:proofErr w:type="spellEnd"/>
      <w:r w:rsidRPr="00883823">
        <w:rPr>
          <w:rFonts w:cs="Times New Roman"/>
          <w:i/>
          <w:lang w:val="fr-CA"/>
        </w:rPr>
        <w:t xml:space="preserve"> United Against Violence Society</w:t>
      </w:r>
      <w:r w:rsidRPr="00883823">
        <w:rPr>
          <w:rFonts w:cs="Times New Roman"/>
          <w:lang w:val="fr-CA"/>
        </w:rPr>
        <w:t xml:space="preserve">, 2012 CSC 45, [2012] 2 R.C.S. 524, un grand nombre de citoyens, en particulier ceux qui sont marginalisés, sont tout simplement </w:t>
      </w:r>
      <w:r w:rsidRPr="00883823">
        <w:rPr>
          <w:rFonts w:cs="Times New Roman"/>
          <w:shd w:val="clear" w:color="auto" w:fill="FFFFFF"/>
          <w:lang w:val="fr-CA"/>
        </w:rPr>
        <w:t xml:space="preserve">« incapable[s] de participer à une contestation judiciaire » pour diverses raisons autres qu’une question de coûts, notamment </w:t>
      </w:r>
      <w:r w:rsidRPr="00883823">
        <w:rPr>
          <w:rFonts w:cs="Times New Roman"/>
          <w:lang w:val="fr-CA"/>
        </w:rPr>
        <w:t>e</w:t>
      </w:r>
      <w:r w:rsidRPr="00883823">
        <w:rPr>
          <w:rFonts w:cs="Times New Roman"/>
          <w:shd w:val="clear" w:color="auto" w:fill="FFFFFF"/>
          <w:lang w:val="fr-CA"/>
        </w:rPr>
        <w:t xml:space="preserve">n raison </w:t>
      </w:r>
      <w:r>
        <w:rPr>
          <w:rFonts w:cs="Times New Roman"/>
          <w:shd w:val="clear" w:color="auto" w:fill="FFFFFF"/>
          <w:lang w:val="fr-CA"/>
        </w:rPr>
        <w:t>« </w:t>
      </w:r>
      <w:r w:rsidRPr="00883823">
        <w:rPr>
          <w:rFonts w:cs="Times New Roman"/>
          <w:shd w:val="clear" w:color="auto" w:fill="FFFFFF"/>
          <w:lang w:val="fr-CA"/>
        </w:rPr>
        <w:t xml:space="preserve">des risques liés à une exposition publique [et à une atteinte à leur vie privée], de la crainte pour [leur] sécurité personnelle et de la perte éventuelle de services sociaux, d’aide au revenu, de clientèle et de possibilités [futures] d’emploi [ou d’études] » </w:t>
      </w:r>
      <w:r w:rsidRPr="00883823">
        <w:rPr>
          <w:rFonts w:cs="Times New Roman"/>
          <w:lang w:val="fr-CA"/>
        </w:rPr>
        <w:t>(</w:t>
      </w:r>
      <w:r>
        <w:rPr>
          <w:rFonts w:cs="Times New Roman"/>
          <w:lang w:val="fr-CA"/>
        </w:rPr>
        <w:t>par. </w:t>
      </w:r>
      <w:r w:rsidRPr="00883823">
        <w:rPr>
          <w:rFonts w:cs="Times New Roman"/>
          <w:lang w:val="fr-CA"/>
        </w:rPr>
        <w:t>6 et 71). Plusieurs de ces facteurs, en plus des « </w:t>
      </w:r>
      <w:r w:rsidRPr="00883823">
        <w:rPr>
          <w:rFonts w:cs="Times New Roman"/>
          <w:noProof/>
          <w:lang w:val="fr-CA"/>
        </w:rPr>
        <w:t xml:space="preserve">stigmates et préjugés qui [. . .] ont eu pour effet d’imposer un désavantage considérable [aux personnes souffrant de troubles mentaux] » </w:t>
      </w:r>
      <w:r w:rsidRPr="00883823">
        <w:rPr>
          <w:rFonts w:cs="Times New Roman"/>
          <w:lang w:val="fr-CA"/>
        </w:rPr>
        <w:t xml:space="preserve">(motifs de la juge </w:t>
      </w:r>
      <w:proofErr w:type="spellStart"/>
      <w:r w:rsidRPr="00883823">
        <w:rPr>
          <w:rFonts w:cs="Times New Roman"/>
          <w:lang w:val="fr-CA"/>
        </w:rPr>
        <w:t>Karakatsanis</w:t>
      </w:r>
      <w:proofErr w:type="spellEnd"/>
      <w:r w:rsidRPr="00883823">
        <w:rPr>
          <w:rFonts w:cs="Times New Roman"/>
          <w:lang w:val="fr-CA"/>
        </w:rPr>
        <w:t xml:space="preserve">, </w:t>
      </w:r>
      <w:r>
        <w:rPr>
          <w:rFonts w:cs="Times New Roman"/>
          <w:lang w:val="fr-CA"/>
        </w:rPr>
        <w:t>par. </w:t>
      </w:r>
      <w:r w:rsidRPr="00883823">
        <w:rPr>
          <w:rFonts w:cs="Times New Roman"/>
          <w:lang w:val="fr-CA"/>
        </w:rPr>
        <w:t xml:space="preserve">62), ont indéniablement empêché les personnes déclarées non responsables criminellement pour cause de troubles mentaux de contester la </w:t>
      </w:r>
      <w:r>
        <w:rPr>
          <w:rFonts w:cs="Times New Roman"/>
          <w:i/>
          <w:lang w:val="fr-CA"/>
        </w:rPr>
        <w:t>Loi Christopher</w:t>
      </w:r>
      <w:r w:rsidRPr="00883823">
        <w:rPr>
          <w:rFonts w:cs="Times New Roman"/>
          <w:lang w:val="fr-CA"/>
        </w:rPr>
        <w:t>. Envisagée sous cet angle, la justification invoquée par notre collègue pour accorder des exemptions individuelles ne tient plus.</w:t>
      </w:r>
    </w:p>
    <w:p w14:paraId="59028E20" w14:textId="77777777" w:rsidR="00F712C6" w:rsidRPr="00883823" w:rsidRDefault="00F712C6" w:rsidP="00F712C6">
      <w:pPr>
        <w:pStyle w:val="ParaNoNdepar-AltN"/>
        <w:rPr>
          <w:rFonts w:cs="Times New Roman"/>
          <w:lang w:val="fr-CA"/>
        </w:rPr>
      </w:pPr>
      <w:r w:rsidRPr="00883823">
        <w:rPr>
          <w:rFonts w:cs="Times New Roman"/>
          <w:lang w:val="fr-CA"/>
        </w:rPr>
        <w:t>En outre, il convient de réfléchir sur ce qui arriverait si le législateur décidait au final de désavouer les exemptions ordonnées par un tribunal dans le régime qu’il instaurerait. Il existerait en pareil cas un risque élevé de provoquer une iniquité horizontale, laquelle est associée à la primauté du droit, et, ce faisant, de « créer de nouvelle</w:t>
      </w:r>
      <w:r>
        <w:rPr>
          <w:rFonts w:cs="Times New Roman"/>
          <w:lang w:val="fr-CA"/>
        </w:rPr>
        <w:t>s</w:t>
      </w:r>
      <w:r w:rsidRPr="00883823">
        <w:rPr>
          <w:rFonts w:cs="Times New Roman"/>
          <w:lang w:val="fr-CA"/>
        </w:rPr>
        <w:t xml:space="preserve"> inégalités » (</w:t>
      </w:r>
      <w:r w:rsidRPr="00883823">
        <w:rPr>
          <w:rFonts w:cs="Times New Roman"/>
          <w:i/>
          <w:lang w:val="fr-CA"/>
        </w:rPr>
        <w:t>Miron</w:t>
      </w:r>
      <w:r w:rsidRPr="00883823">
        <w:rPr>
          <w:rFonts w:cs="Times New Roman"/>
          <w:lang w:val="fr-CA"/>
        </w:rPr>
        <w:t xml:space="preserve"> </w:t>
      </w:r>
      <w:r w:rsidRPr="00883823">
        <w:rPr>
          <w:rFonts w:cs="Times New Roman"/>
          <w:i/>
          <w:lang w:val="fr-CA"/>
        </w:rPr>
        <w:t>c. Trudel</w:t>
      </w:r>
      <w:r w:rsidRPr="00883823">
        <w:rPr>
          <w:rFonts w:cs="Times New Roman"/>
          <w:lang w:val="fr-CA"/>
        </w:rPr>
        <w:t>,</w:t>
      </w:r>
      <w:r w:rsidRPr="00883823">
        <w:rPr>
          <w:rFonts w:cs="Times New Roman"/>
          <w:i/>
          <w:lang w:val="fr-CA"/>
        </w:rPr>
        <w:t xml:space="preserve"> </w:t>
      </w:r>
      <w:r w:rsidRPr="00883823">
        <w:rPr>
          <w:rFonts w:cs="Times New Roman"/>
          <w:lang w:val="fr-CA"/>
        </w:rPr>
        <w:t xml:space="preserve">[1995] 2 R.C.S. 418, </w:t>
      </w:r>
      <w:r>
        <w:rPr>
          <w:rFonts w:cs="Times New Roman"/>
          <w:lang w:val="fr-CA"/>
        </w:rPr>
        <w:t>par. </w:t>
      </w:r>
      <w:r w:rsidRPr="00883823">
        <w:rPr>
          <w:rFonts w:cs="Times New Roman"/>
          <w:lang w:val="fr-CA"/>
        </w:rPr>
        <w:t>179), car toutes les autres personnes déclarées non responsables criminellement pour cause de troubles mentaux se retrouveraient dans une position inférieure par rapport à celle de M. G, qui aurait bénéficié d’une exemption judiciaire spéciale qui leur est refusée (voir K. </w:t>
      </w:r>
      <w:proofErr w:type="spellStart"/>
      <w:r w:rsidRPr="00883823">
        <w:rPr>
          <w:rFonts w:cs="Times New Roman"/>
          <w:lang w:val="fr-CA"/>
        </w:rPr>
        <w:t>Roach</w:t>
      </w:r>
      <w:proofErr w:type="spellEnd"/>
      <w:r w:rsidRPr="00883823">
        <w:rPr>
          <w:rFonts w:cs="Times New Roman"/>
          <w:lang w:val="fr-CA"/>
        </w:rPr>
        <w:t>, « </w:t>
      </w:r>
      <w:proofErr w:type="spellStart"/>
      <w:r w:rsidRPr="00883823">
        <w:rPr>
          <w:rFonts w:cs="Times New Roman"/>
          <w:lang w:val="fr-CA"/>
        </w:rPr>
        <w:t>Dialogic</w:t>
      </w:r>
      <w:proofErr w:type="spellEnd"/>
      <w:r w:rsidRPr="00883823">
        <w:rPr>
          <w:rFonts w:cs="Times New Roman"/>
          <w:lang w:val="fr-CA"/>
        </w:rPr>
        <w:t xml:space="preserve"> </w:t>
      </w:r>
      <w:proofErr w:type="spellStart"/>
      <w:r w:rsidRPr="00883823">
        <w:rPr>
          <w:rFonts w:cs="Times New Roman"/>
          <w:lang w:val="fr-CA"/>
        </w:rPr>
        <w:t>Judicial</w:t>
      </w:r>
      <w:proofErr w:type="spellEnd"/>
      <w:r w:rsidRPr="00883823">
        <w:rPr>
          <w:rFonts w:cs="Times New Roman"/>
          <w:lang w:val="fr-CA"/>
        </w:rPr>
        <w:t xml:space="preserve"> </w:t>
      </w:r>
      <w:proofErr w:type="spellStart"/>
      <w:r w:rsidRPr="00883823">
        <w:rPr>
          <w:rFonts w:cs="Times New Roman"/>
          <w:lang w:val="fr-CA"/>
        </w:rPr>
        <w:t>Review</w:t>
      </w:r>
      <w:proofErr w:type="spellEnd"/>
      <w:r w:rsidRPr="00883823">
        <w:rPr>
          <w:rFonts w:cs="Times New Roman"/>
          <w:lang w:val="fr-CA"/>
        </w:rPr>
        <w:t xml:space="preserve"> and </w:t>
      </w:r>
      <w:proofErr w:type="spellStart"/>
      <w:r w:rsidRPr="00883823">
        <w:rPr>
          <w:rFonts w:cs="Times New Roman"/>
          <w:lang w:val="fr-CA"/>
        </w:rPr>
        <w:t>its</w:t>
      </w:r>
      <w:proofErr w:type="spellEnd"/>
      <w:r w:rsidRPr="00883823">
        <w:rPr>
          <w:rFonts w:cs="Times New Roman"/>
          <w:lang w:val="fr-CA"/>
        </w:rPr>
        <w:t xml:space="preserve"> </w:t>
      </w:r>
      <w:proofErr w:type="spellStart"/>
      <w:r w:rsidRPr="00883823">
        <w:rPr>
          <w:rFonts w:cs="Times New Roman"/>
          <w:lang w:val="fr-CA"/>
        </w:rPr>
        <w:t>Critics</w:t>
      </w:r>
      <w:proofErr w:type="spellEnd"/>
      <w:r w:rsidRPr="00883823">
        <w:rPr>
          <w:rFonts w:cs="Times New Roman"/>
          <w:lang w:val="fr-CA"/>
        </w:rPr>
        <w:t xml:space="preserve"> » (2004), 23 </w:t>
      </w:r>
      <w:r w:rsidRPr="00883823">
        <w:rPr>
          <w:rFonts w:cs="Times New Roman"/>
          <w:i/>
          <w:lang w:val="fr-CA"/>
        </w:rPr>
        <w:t>S.C.L.R.</w:t>
      </w:r>
      <w:r w:rsidRPr="00883823">
        <w:rPr>
          <w:rFonts w:cs="Times New Roman"/>
          <w:lang w:val="fr-CA"/>
        </w:rPr>
        <w:t xml:space="preserve"> (2d) 49, </w:t>
      </w:r>
      <w:r>
        <w:rPr>
          <w:rFonts w:cs="Times New Roman"/>
          <w:lang w:val="fr-CA"/>
        </w:rPr>
        <w:t>p. </w:t>
      </w:r>
      <w:r w:rsidRPr="00883823">
        <w:rPr>
          <w:rFonts w:cs="Times New Roman"/>
          <w:lang w:val="fr-CA"/>
        </w:rPr>
        <w:t xml:space="preserve">84). </w:t>
      </w:r>
    </w:p>
    <w:p w14:paraId="521344AE" w14:textId="77777777" w:rsidR="00F712C6" w:rsidRPr="00883823" w:rsidRDefault="00F712C6" w:rsidP="00F712C6">
      <w:pPr>
        <w:pStyle w:val="ParaNoNdepar-AltN"/>
        <w:rPr>
          <w:rFonts w:cs="Times New Roman"/>
          <w:lang w:val="fr-CA"/>
        </w:rPr>
      </w:pPr>
      <w:r w:rsidRPr="00883823">
        <w:rPr>
          <w:rFonts w:cs="Times New Roman"/>
          <w:lang w:val="fr-CA"/>
        </w:rPr>
        <w:t>De l’avis de notre collègue, on devrait refuser au demandeur une exemption ind</w:t>
      </w:r>
      <w:r>
        <w:rPr>
          <w:rFonts w:cs="Times New Roman"/>
          <w:lang w:val="fr-CA"/>
        </w:rPr>
        <w:t>ividuelle uniquement pour une « raison impérieuse </w:t>
      </w:r>
      <w:r w:rsidRPr="00883823">
        <w:rPr>
          <w:rFonts w:cs="Times New Roman"/>
          <w:lang w:val="fr-CA"/>
        </w:rPr>
        <w:t>» (</w:t>
      </w:r>
      <w:r>
        <w:rPr>
          <w:rFonts w:cs="Times New Roman"/>
          <w:lang w:val="fr-CA"/>
        </w:rPr>
        <w:t>par. </w:t>
      </w:r>
      <w:r w:rsidRPr="00883823">
        <w:rPr>
          <w:rFonts w:cs="Times New Roman"/>
          <w:lang w:val="fr-CA"/>
        </w:rPr>
        <w:t xml:space="preserve">149). Elle donne deux exemples. Dans le premier, une exemption individuelle ne devrait être refusée que si elle minerait l’intérêt qui motive d’emblée la </w:t>
      </w:r>
      <w:r w:rsidRPr="00883823">
        <w:rPr>
          <w:rFonts w:cs="Times New Roman"/>
          <w:lang w:val="fr-CA" w:bidi="en-US"/>
        </w:rPr>
        <w:t>suspension (</w:t>
      </w:r>
      <w:r>
        <w:rPr>
          <w:rFonts w:cs="Times New Roman"/>
          <w:lang w:val="fr-CA" w:bidi="en-US"/>
        </w:rPr>
        <w:t>par. </w:t>
      </w:r>
      <w:r w:rsidRPr="00883823">
        <w:rPr>
          <w:rFonts w:cs="Times New Roman"/>
          <w:lang w:val="fr-CA" w:bidi="en-US"/>
        </w:rPr>
        <w:t xml:space="preserve">150). Selon elle, lorsque l’effet d’une déclaration est suspendu afin de protéger la sécurité du public, une exemption individuelle serait inopportune si elle met en danger la sécurité du public. Mais là encore, les juges sont mal placés pour effectuer une évaluation individualisée en vue de décider si une exemption compromettrait la sécurité du public dans des cas comme celui qui nous occupe, qu’ils disposent ou non d’une preuve au sujet de la situation du demandeur concerné. </w:t>
      </w:r>
    </w:p>
    <w:p w14:paraId="483EA5FF" w14:textId="77777777" w:rsidR="00F712C6" w:rsidRPr="00883823" w:rsidRDefault="00F712C6" w:rsidP="00F712C6">
      <w:pPr>
        <w:pStyle w:val="ParaNoNdepar-AltN"/>
        <w:rPr>
          <w:rFonts w:cs="Times New Roman"/>
          <w:lang w:val="fr-CA"/>
        </w:rPr>
      </w:pPr>
      <w:r w:rsidRPr="00883823">
        <w:rPr>
          <w:rFonts w:cs="Times New Roman"/>
          <w:lang w:val="fr-CA" w:bidi="en-US"/>
        </w:rPr>
        <w:t>Dans le deuxième exemple, notre collègue affirme qu’il y a lieu de refuser une exemption individuelle s’il est inopportun d’en accorder une en raison de con</w:t>
      </w:r>
      <w:r>
        <w:rPr>
          <w:rFonts w:cs="Times New Roman"/>
          <w:lang w:val="fr-CA" w:bidi="en-US"/>
        </w:rPr>
        <w:t>sidérations pratiques telle l’« </w:t>
      </w:r>
      <w:r w:rsidRPr="00883823">
        <w:rPr>
          <w:rFonts w:cs="Times New Roman"/>
          <w:lang w:val="fr-CA" w:bidi="en-US"/>
        </w:rPr>
        <w:t>écon</w:t>
      </w:r>
      <w:r>
        <w:rPr>
          <w:rFonts w:cs="Times New Roman"/>
          <w:lang w:val="fr-CA" w:bidi="en-US"/>
        </w:rPr>
        <w:t>omie des ressources judiciaires </w:t>
      </w:r>
      <w:r w:rsidRPr="00883823">
        <w:rPr>
          <w:rFonts w:cs="Times New Roman"/>
          <w:lang w:val="fr-CA" w:bidi="en-US"/>
        </w:rPr>
        <w:t>» (</w:t>
      </w:r>
      <w:r>
        <w:rPr>
          <w:rFonts w:cs="Times New Roman"/>
          <w:lang w:val="fr-CA" w:bidi="en-US"/>
        </w:rPr>
        <w:t>par. </w:t>
      </w:r>
      <w:r w:rsidRPr="00883823">
        <w:rPr>
          <w:rFonts w:cs="Times New Roman"/>
          <w:lang w:val="fr-CA" w:bidi="en-US"/>
        </w:rPr>
        <w:t xml:space="preserve">151). Elle donne l’exemple d’un groupe important de demandeurs où il ne serait pas pratique — ni même possible — </w:t>
      </w:r>
      <w:r w:rsidRPr="00883823">
        <w:rPr>
          <w:rFonts w:cs="Times New Roman"/>
          <w:lang w:val="fr-CA"/>
        </w:rPr>
        <w:t>de procéder aux évaluations individuelles nécessaires pour accorder des exemptions à chacun d’eux</w:t>
      </w:r>
      <w:r w:rsidRPr="00883823">
        <w:rPr>
          <w:rFonts w:cs="Times New Roman"/>
          <w:lang w:val="fr-CA" w:bidi="en-US"/>
        </w:rPr>
        <w:t>. Nous convenons que, dans les cas mettant en cause un nombre important de demandeurs, le tribunal sera peut</w:t>
      </w:r>
      <w:r>
        <w:rPr>
          <w:rFonts w:cs="Times New Roman"/>
          <w:lang w:val="fr-CA" w:bidi="en-US"/>
        </w:rPr>
        <w:noBreakHyphen/>
      </w:r>
      <w:r w:rsidRPr="00883823">
        <w:rPr>
          <w:rFonts w:cs="Times New Roman"/>
          <w:lang w:val="fr-CA" w:bidi="en-US"/>
        </w:rPr>
        <w:t xml:space="preserve">être peu enclin à effectuer de multiples évaluations individuelles. D’ailleurs, pareille réticence pourrait fort bien être de mise dans les cas où il y a un </w:t>
      </w:r>
      <w:r w:rsidRPr="00883823">
        <w:rPr>
          <w:rFonts w:cs="Times New Roman"/>
          <w:i/>
          <w:lang w:val="fr-CA" w:bidi="en-US"/>
        </w:rPr>
        <w:t xml:space="preserve">seul </w:t>
      </w:r>
      <w:r>
        <w:rPr>
          <w:rFonts w:cs="Times New Roman"/>
          <w:lang w:val="fr-CA" w:bidi="en-US"/>
        </w:rPr>
        <w:t xml:space="preserve">demandeur lorsque — </w:t>
      </w:r>
      <w:r w:rsidRPr="00883823">
        <w:rPr>
          <w:rFonts w:cs="Times New Roman"/>
          <w:lang w:val="fr-CA" w:bidi="en-US"/>
        </w:rPr>
        <w:t>comme en l’espèce —</w:t>
      </w:r>
      <w:r>
        <w:rPr>
          <w:rFonts w:cs="Times New Roman"/>
          <w:lang w:val="fr-CA" w:bidi="en-US"/>
        </w:rPr>
        <w:t xml:space="preserve"> </w:t>
      </w:r>
      <w:r w:rsidRPr="00883823">
        <w:rPr>
          <w:rFonts w:cs="Times New Roman"/>
          <w:lang w:val="fr-CA" w:bidi="en-US"/>
        </w:rPr>
        <w:t>la Cour n’a pas compétence pour effectuer ne serait</w:t>
      </w:r>
      <w:r>
        <w:rPr>
          <w:rFonts w:cs="Times New Roman"/>
          <w:lang w:val="fr-CA" w:bidi="en-US"/>
        </w:rPr>
        <w:noBreakHyphen/>
      </w:r>
      <w:r w:rsidRPr="00883823">
        <w:rPr>
          <w:rFonts w:cs="Times New Roman"/>
          <w:lang w:val="fr-CA" w:bidi="en-US"/>
        </w:rPr>
        <w:t>ce qu’une seule évaluation. Cela dénote le péril inverse</w:t>
      </w:r>
      <w:r>
        <w:rPr>
          <w:rFonts w:cs="Times New Roman"/>
          <w:lang w:val="fr-CA" w:bidi="en-US"/>
        </w:rPr>
        <w:t> :</w:t>
      </w:r>
      <w:r w:rsidRPr="00883823">
        <w:rPr>
          <w:rFonts w:cs="Times New Roman"/>
          <w:lang w:val="fr-CA" w:bidi="en-US"/>
        </w:rPr>
        <w:t xml:space="preserve"> le tribunal en présence de nombreux demandeurs pourrait — comme le fait notre collègue dans la présente affaire — esquiver simplement les évaluations et accorder des exemptions à l’ensemble des demandeurs. Cela dit, nous constatons que notre collègue ne fournit aucune orientation sur la manière dont ces considérations pratiques pourraient être pondérées dans un cas épineux avec les supposés impératifs constitutionnels dont elle parle. </w:t>
      </w:r>
    </w:p>
    <w:p w14:paraId="2672F8DC" w14:textId="77777777" w:rsidR="00F712C6" w:rsidRPr="00883823" w:rsidRDefault="00F712C6" w:rsidP="00F712C6">
      <w:pPr>
        <w:pStyle w:val="ParaNoNdepar-AltN"/>
        <w:rPr>
          <w:rFonts w:cs="Times New Roman"/>
          <w:lang w:val="fr-CA"/>
        </w:rPr>
      </w:pPr>
      <w:r w:rsidRPr="00883823">
        <w:rPr>
          <w:rFonts w:cs="Times New Roman"/>
          <w:lang w:val="fr-CA"/>
        </w:rPr>
        <w:t xml:space="preserve">Avec égards, nous estimons que, dans l’ensemble, les motifs de notre collègue sur la question de l’exemption individuelle souffrent d’incohérences internes. </w:t>
      </w:r>
      <w:r>
        <w:rPr>
          <w:rFonts w:cs="Times New Roman"/>
          <w:lang w:val="fr-CA"/>
        </w:rPr>
        <w:t>Ils reconnaissent</w:t>
      </w:r>
      <w:r w:rsidRPr="00883823">
        <w:rPr>
          <w:rFonts w:cs="Times New Roman"/>
          <w:lang w:val="fr-CA"/>
        </w:rPr>
        <w:t xml:space="preserve"> tout d’abord que « </w:t>
      </w:r>
      <w:r w:rsidRPr="00883823">
        <w:rPr>
          <w:rFonts w:cs="Times New Roman"/>
          <w:noProof/>
          <w:lang w:val="fr-CA"/>
        </w:rPr>
        <w:t>des réparations adaptées ne devraient être accordées que lorsqu’un tribunal peut équitablement conclure que le législateur aurait adopté les modifications que le tribunal apporterait à la loi »</w:t>
      </w:r>
      <w:r w:rsidRPr="00883823">
        <w:rPr>
          <w:rFonts w:cs="Times New Roman"/>
          <w:lang w:val="fr-CA"/>
        </w:rPr>
        <w:t xml:space="preserve"> (</w:t>
      </w:r>
      <w:r>
        <w:rPr>
          <w:rFonts w:cs="Times New Roman"/>
          <w:lang w:val="fr-CA"/>
        </w:rPr>
        <w:t>par. </w:t>
      </w:r>
      <w:r w:rsidRPr="00883823">
        <w:rPr>
          <w:rFonts w:cs="Times New Roman"/>
          <w:lang w:val="fr-CA"/>
        </w:rPr>
        <w:t>103), et que « </w:t>
      </w:r>
      <w:r w:rsidRPr="00883823">
        <w:rPr>
          <w:rFonts w:cs="Times New Roman"/>
          <w:noProof/>
          <w:lang w:val="fr-CA"/>
        </w:rPr>
        <w:t>même si les tribunaux sont en mesure de déterminer les exigences de la Constitution, ils ne sont pas aptes à faire “des choix particuliers entre diverses options</w:t>
      </w:r>
      <w:r w:rsidRPr="00883823">
        <w:rPr>
          <w:rFonts w:cs="Times New Roman"/>
          <w:lang w:val="fr-CA"/>
        </w:rPr>
        <w:t>” » (</w:t>
      </w:r>
      <w:r>
        <w:rPr>
          <w:rFonts w:cs="Times New Roman"/>
          <w:lang w:val="fr-CA"/>
        </w:rPr>
        <w:t>par. </w:t>
      </w:r>
      <w:r w:rsidRPr="00883823">
        <w:rPr>
          <w:rFonts w:cs="Times New Roman"/>
          <w:lang w:val="fr-CA"/>
        </w:rPr>
        <w:t xml:space="preserve">115 (référence omise)). Puis, sans </w:t>
      </w:r>
      <w:r w:rsidRPr="00883823">
        <w:rPr>
          <w:rFonts w:cs="Times New Roman"/>
          <w:i/>
          <w:lang w:val="fr-CA"/>
        </w:rPr>
        <w:t xml:space="preserve">la moindre </w:t>
      </w:r>
      <w:r w:rsidRPr="00883823">
        <w:rPr>
          <w:rFonts w:cs="Times New Roman"/>
          <w:lang w:val="fr-CA"/>
        </w:rPr>
        <w:t xml:space="preserve">preuve quant à l’intention du législateur et sans </w:t>
      </w:r>
      <w:r w:rsidRPr="00883823">
        <w:rPr>
          <w:rFonts w:cs="Times New Roman"/>
          <w:i/>
          <w:lang w:val="fr-CA"/>
        </w:rPr>
        <w:t xml:space="preserve">aucune </w:t>
      </w:r>
      <w:r w:rsidRPr="00883823">
        <w:rPr>
          <w:rFonts w:cs="Times New Roman"/>
          <w:lang w:val="fr-CA"/>
        </w:rPr>
        <w:t xml:space="preserve">évaluation de </w:t>
      </w:r>
      <w:r>
        <w:rPr>
          <w:rFonts w:cs="Times New Roman"/>
          <w:lang w:val="fr-CA"/>
        </w:rPr>
        <w:t>M. </w:t>
      </w:r>
      <w:r w:rsidRPr="00883823">
        <w:rPr>
          <w:rFonts w:cs="Times New Roman"/>
          <w:lang w:val="fr-CA"/>
        </w:rPr>
        <w:t>G par un expert</w:t>
      </w:r>
      <w:r w:rsidRPr="009A0CEF">
        <w:rPr>
          <w:rStyle w:val="Hyperlink"/>
          <w:color w:val="auto"/>
          <w:u w:val="none"/>
          <w:vertAlign w:val="superscript"/>
        </w:rPr>
        <w:footnoteReference w:id="14"/>
      </w:r>
      <w:r w:rsidRPr="00883823">
        <w:rPr>
          <w:rFonts w:cs="Times New Roman"/>
          <w:lang w:val="fr-CA"/>
        </w:rPr>
        <w:t xml:space="preserve">, </w:t>
      </w:r>
      <w:r>
        <w:rPr>
          <w:rFonts w:cs="Times New Roman"/>
          <w:lang w:val="fr-CA"/>
        </w:rPr>
        <w:t>ils</w:t>
      </w:r>
      <w:r w:rsidRPr="00883823">
        <w:rPr>
          <w:rFonts w:cs="Times New Roman"/>
          <w:lang w:val="fr-CA"/>
        </w:rPr>
        <w:t xml:space="preserve"> accorde</w:t>
      </w:r>
      <w:r>
        <w:rPr>
          <w:rFonts w:cs="Times New Roman"/>
          <w:lang w:val="fr-CA"/>
        </w:rPr>
        <w:t>nt</w:t>
      </w:r>
      <w:r w:rsidRPr="00883823">
        <w:rPr>
          <w:rFonts w:cs="Times New Roman"/>
          <w:lang w:val="fr-CA"/>
        </w:rPr>
        <w:t xml:space="preserve"> à ce dernier une exemption individuelle. L’affirmation de notre collègue suivant laquelle « </w:t>
      </w:r>
      <w:r w:rsidRPr="00883823">
        <w:rPr>
          <w:rFonts w:cs="Times New Roman"/>
          <w:noProof/>
          <w:lang w:val="fr-CA"/>
        </w:rPr>
        <w:t>le législateur peut choisir parmi une gamme d’options stratégiques »</w:t>
      </w:r>
      <w:r w:rsidRPr="00883823">
        <w:rPr>
          <w:rFonts w:cs="Times New Roman"/>
          <w:lang w:val="fr-CA"/>
        </w:rPr>
        <w:t xml:space="preserve"> (</w:t>
      </w:r>
      <w:r>
        <w:rPr>
          <w:rFonts w:cs="Times New Roman"/>
          <w:lang w:val="fr-CA"/>
        </w:rPr>
        <w:t>par. </w:t>
      </w:r>
      <w:r w:rsidRPr="00883823">
        <w:rPr>
          <w:rFonts w:cs="Times New Roman"/>
          <w:lang w:val="fr-CA"/>
        </w:rPr>
        <w:t>70) ou opter pour une « </w:t>
      </w:r>
      <w:r w:rsidRPr="00883823">
        <w:rPr>
          <w:rFonts w:cs="Times New Roman"/>
          <w:noProof/>
          <w:lang w:val="fr-CA" w:eastAsia="en-CA"/>
        </w:rPr>
        <w:t>évaluation individuelle »</w:t>
      </w:r>
      <w:r w:rsidRPr="00883823">
        <w:rPr>
          <w:rFonts w:cs="Times New Roman"/>
          <w:lang w:val="fr-CA"/>
        </w:rPr>
        <w:t xml:space="preserve"> (</w:t>
      </w:r>
      <w:r>
        <w:rPr>
          <w:rFonts w:cs="Times New Roman"/>
          <w:lang w:val="fr-CA"/>
        </w:rPr>
        <w:t>par. </w:t>
      </w:r>
      <w:r w:rsidRPr="00883823">
        <w:rPr>
          <w:rFonts w:cs="Times New Roman"/>
          <w:lang w:val="fr-CA"/>
        </w:rPr>
        <w:t>162) est ébranlée par son hypothèse ultérieure selon laquelle il est « très peu probable » que M. G soit assujetti à la nouvelle loi (</w:t>
      </w:r>
      <w:r>
        <w:rPr>
          <w:rFonts w:cs="Times New Roman"/>
          <w:lang w:val="fr-CA"/>
        </w:rPr>
        <w:t>par. </w:t>
      </w:r>
      <w:r w:rsidRPr="00883823">
        <w:rPr>
          <w:rFonts w:cs="Times New Roman"/>
          <w:lang w:val="fr-CA"/>
        </w:rPr>
        <w:t xml:space="preserve">183). Notre collègue usurpe ainsi le rôle du législateur et légifère non pas seulement par effet, mais dans les faits. En réalité, peu importe que la loi modifiée vise ou non M. G, il n’appartient pas aux tribunaux de conjecturer sur la suite que le législateur y donnera, le cas échéant. </w:t>
      </w:r>
    </w:p>
    <w:p w14:paraId="23C1E5DE" w14:textId="77777777" w:rsidR="00F712C6" w:rsidRPr="00883823" w:rsidRDefault="00F712C6" w:rsidP="00F712C6">
      <w:pPr>
        <w:pStyle w:val="ParaNoNdepar-AltN"/>
        <w:rPr>
          <w:rFonts w:cs="Times New Roman"/>
          <w:lang w:val="fr-CA"/>
        </w:rPr>
      </w:pPr>
      <w:r w:rsidRPr="00883823">
        <w:rPr>
          <w:rFonts w:cs="Times New Roman"/>
          <w:lang w:val="fr-CA"/>
        </w:rPr>
        <w:t xml:space="preserve">En fin de compte, la prolifération d’exemptions individuelles n’est que le résultat malheureux d’un mauvais encadrement du recours à la suspension de l’effet de déclarations d’invalidité (voir les motifs de la juge </w:t>
      </w:r>
      <w:proofErr w:type="spellStart"/>
      <w:r w:rsidRPr="00883823">
        <w:rPr>
          <w:rFonts w:cs="Times New Roman"/>
          <w:lang w:val="fr-CA"/>
        </w:rPr>
        <w:t>Karakatsanis</w:t>
      </w:r>
      <w:proofErr w:type="spellEnd"/>
      <w:r w:rsidRPr="00883823">
        <w:rPr>
          <w:rFonts w:cs="Times New Roman"/>
          <w:lang w:val="fr-CA"/>
        </w:rPr>
        <w:t xml:space="preserve">, </w:t>
      </w:r>
      <w:r>
        <w:rPr>
          <w:rFonts w:cs="Times New Roman"/>
          <w:lang w:val="fr-CA"/>
        </w:rPr>
        <w:t>par. </w:t>
      </w:r>
      <w:r w:rsidRPr="00883823">
        <w:rPr>
          <w:rFonts w:cs="Times New Roman"/>
          <w:lang w:val="fr-CA"/>
        </w:rPr>
        <w:t>146</w:t>
      </w:r>
      <w:r>
        <w:rPr>
          <w:rFonts w:cs="Times New Roman"/>
          <w:lang w:val="fr-CA"/>
        </w:rPr>
        <w:t> :</w:t>
      </w:r>
      <w:r w:rsidRPr="00883823">
        <w:rPr>
          <w:rFonts w:cs="Times New Roman"/>
          <w:lang w:val="fr-CA"/>
        </w:rPr>
        <w:t xml:space="preserve"> « </w:t>
      </w:r>
      <w:r w:rsidRPr="00883823">
        <w:rPr>
          <w:rFonts w:cs="Times New Roman"/>
          <w:noProof/>
          <w:lang w:val="fr-CA"/>
        </w:rPr>
        <w:t>la nécessité de la réparation individuelle découle de la décision du tribunal de suspendre l’effet de la déclaration en cause »)</w:t>
      </w:r>
      <w:r w:rsidRPr="00883823">
        <w:rPr>
          <w:rFonts w:cs="Times New Roman"/>
          <w:lang w:val="fr-CA"/>
        </w:rPr>
        <w:t xml:space="preserve">. Nous sommes d’avis de rejeter la solution proposée après coup par notre collègue selon laquelle « [l]es </w:t>
      </w:r>
      <w:r w:rsidRPr="00883823">
        <w:rPr>
          <w:rFonts w:cs="Times New Roman"/>
          <w:noProof/>
          <w:lang w:val="fr-CA"/>
        </w:rPr>
        <w:t>exemptions individuelles peuvent également atténuer tous les autres facteurs de dissuasion attribuables à la suspension de l’effet de déclarations »</w:t>
      </w:r>
      <w:r w:rsidRPr="00883823">
        <w:rPr>
          <w:rFonts w:cs="Times New Roman"/>
          <w:lang w:val="fr-CA"/>
        </w:rPr>
        <w:t xml:space="preserve"> (</w:t>
      </w:r>
      <w:r>
        <w:rPr>
          <w:rFonts w:cs="Times New Roman"/>
          <w:lang w:val="fr-CA"/>
        </w:rPr>
        <w:t>par. </w:t>
      </w:r>
      <w:r w:rsidRPr="00883823">
        <w:rPr>
          <w:rFonts w:cs="Times New Roman"/>
          <w:lang w:val="fr-CA"/>
        </w:rPr>
        <w:t xml:space="preserve">148). La solution la plus indiquée consiste plutôt à circonscrire étroitement le recours à la suspension de l’effet de déclarations d’invalidité, comme l’exige la Constitution. Une fois qu’on a restreint à juste titre la suspension de l’effet de déclarations d’invalidité aux situations exceptionnelles dans lesquelles la primauté du droit est en péril, le souci d’accorder une réparation immédiate au demandeur s’estompe. </w:t>
      </w:r>
    </w:p>
    <w:p w14:paraId="609C363C" w14:textId="77777777" w:rsidR="00F712C6" w:rsidRPr="00883823" w:rsidRDefault="00F712C6" w:rsidP="00F712C6">
      <w:pPr>
        <w:pStyle w:val="Title1LevelTitre1Niveau-AltL"/>
        <w:rPr>
          <w:rFonts w:cs="Times New Roman"/>
          <w:lang w:val="fr-CA"/>
        </w:rPr>
      </w:pPr>
      <w:r w:rsidRPr="00883823">
        <w:rPr>
          <w:rFonts w:cs="Times New Roman"/>
          <w:lang w:val="fr-CA"/>
        </w:rPr>
        <w:t>Conclusion</w:t>
      </w:r>
    </w:p>
    <w:p w14:paraId="00255AE4" w14:textId="0D31B073" w:rsidR="00F712C6" w:rsidRPr="006C3E0B" w:rsidRDefault="00F712C6" w:rsidP="00F712C6">
      <w:pPr>
        <w:pStyle w:val="ParaNoNdepar-AltN"/>
        <w:rPr>
          <w:rFonts w:cs="Times New Roman"/>
          <w:lang w:val="fr-CA"/>
        </w:rPr>
      </w:pPr>
      <w:r w:rsidRPr="00883823">
        <w:rPr>
          <w:rFonts w:cs="Times New Roman"/>
          <w:lang w:val="fr-CA"/>
        </w:rPr>
        <w:t xml:space="preserve">Pour tous ces motifs, il nous est impossible de souscrire aux motifs de notre collègue, qui représentent selon nous un élargissement débridé du pouvoir discrétionnaire des juges, tant en matière de suspension de l’effet de déclarations d’invalidité que d’octroi d’exemptions individuelles. Nous sommes d’avis, tout comme notre collègue, que la </w:t>
      </w:r>
      <w:r w:rsidRPr="00883823">
        <w:rPr>
          <w:rFonts w:cs="Times New Roman"/>
          <w:i/>
          <w:lang w:val="fr-CA"/>
        </w:rPr>
        <w:t xml:space="preserve">Loi Christopher </w:t>
      </w:r>
      <w:r w:rsidRPr="00883823">
        <w:rPr>
          <w:rFonts w:cs="Times New Roman"/>
          <w:lang w:val="fr-CA"/>
        </w:rPr>
        <w:t xml:space="preserve">porte atteinte au droit à l’égalité de traitement devant la loi </w:t>
      </w:r>
      <w:r>
        <w:rPr>
          <w:rFonts w:cs="Times New Roman"/>
          <w:lang w:val="fr-CA"/>
        </w:rPr>
        <w:t>conféré à M. </w:t>
      </w:r>
      <w:r w:rsidRPr="00883823">
        <w:rPr>
          <w:rFonts w:cs="Times New Roman"/>
          <w:lang w:val="fr-CA"/>
        </w:rPr>
        <w:t xml:space="preserve">G par la </w:t>
      </w:r>
      <w:r w:rsidRPr="00883823">
        <w:rPr>
          <w:rFonts w:cs="Times New Roman"/>
          <w:i/>
          <w:lang w:val="fr-CA"/>
        </w:rPr>
        <w:t>Charte</w:t>
      </w:r>
      <w:r w:rsidRPr="00883823">
        <w:rPr>
          <w:rFonts w:cs="Times New Roman"/>
          <w:lang w:val="fr-CA"/>
        </w:rPr>
        <w:t xml:space="preserve">, et que l’effet de la déclaration d’invalidité a été suspendu à bon droit. Toutefois, la suspension devrait reposer constitutionnellement sur le principe de la primauté du droit et la menace à la sécurité publique qui se manifesterait faute de suspension. Conformément au </w:t>
      </w:r>
      <w:r w:rsidRPr="00883823">
        <w:rPr>
          <w:rFonts w:cs="Times New Roman"/>
          <w:i/>
          <w:lang w:val="fr-CA"/>
        </w:rPr>
        <w:t>Renvoi relatif au Manitoba</w:t>
      </w:r>
      <w:r w:rsidR="002972B9">
        <w:rPr>
          <w:rFonts w:cs="Times New Roman"/>
          <w:lang w:val="fr-CA"/>
        </w:rPr>
        <w:t xml:space="preserve">, </w:t>
      </w:r>
      <w:r>
        <w:rPr>
          <w:rFonts w:cs="Times New Roman"/>
          <w:lang w:val="fr-CA"/>
        </w:rPr>
        <w:t>p. </w:t>
      </w:r>
      <w:r w:rsidRPr="00883823">
        <w:rPr>
          <w:rFonts w:cs="Times New Roman"/>
          <w:lang w:val="fr-CA"/>
        </w:rPr>
        <w:t>769,</w:t>
      </w:r>
      <w:r w:rsidRPr="00883823">
        <w:rPr>
          <w:rFonts w:cs="Times New Roman"/>
          <w:i/>
          <w:lang w:val="fr-CA"/>
        </w:rPr>
        <w:t xml:space="preserve"> </w:t>
      </w:r>
      <w:r w:rsidRPr="00883823">
        <w:rPr>
          <w:rFonts w:cs="Times New Roman"/>
          <w:lang w:val="fr-CA"/>
        </w:rPr>
        <w:t xml:space="preserve">nous </w:t>
      </w:r>
      <w:r>
        <w:rPr>
          <w:rFonts w:cs="Times New Roman"/>
          <w:lang w:val="fr-CA"/>
        </w:rPr>
        <w:t xml:space="preserve">aurions </w:t>
      </w:r>
      <w:r w:rsidRPr="00883823">
        <w:rPr>
          <w:rFonts w:cs="Times New Roman"/>
          <w:lang w:val="fr-CA"/>
        </w:rPr>
        <w:t>invit</w:t>
      </w:r>
      <w:r>
        <w:rPr>
          <w:rFonts w:cs="Times New Roman"/>
          <w:lang w:val="fr-CA"/>
        </w:rPr>
        <w:t>é</w:t>
      </w:r>
      <w:r w:rsidRPr="00883823">
        <w:rPr>
          <w:rFonts w:cs="Times New Roman"/>
          <w:lang w:val="fr-CA"/>
        </w:rPr>
        <w:t xml:space="preserve"> le procureur général de l’Ontario à nous faire part de ses observations quant à la période minimale nécessaire pour rendre la </w:t>
      </w:r>
      <w:r w:rsidRPr="00883823">
        <w:rPr>
          <w:rFonts w:cs="Times New Roman"/>
          <w:i/>
          <w:lang w:val="fr-CA"/>
        </w:rPr>
        <w:t xml:space="preserve">Loi Christopher </w:t>
      </w:r>
      <w:r w:rsidRPr="00883823">
        <w:rPr>
          <w:rFonts w:cs="Times New Roman"/>
          <w:lang w:val="fr-CA"/>
        </w:rPr>
        <w:t>conforme à la Constitution. À défaut de preuve en ce sens, nous sommes d’avis de simplement confirmer la suspension, pour 12 mois, de l’effet de la déclaration d’invalidité. Compte tenu du rôle limité du pouvoir judiciaire vis</w:t>
      </w:r>
      <w:r>
        <w:rPr>
          <w:rFonts w:cs="Times New Roman"/>
          <w:lang w:val="fr-CA"/>
        </w:rPr>
        <w:noBreakHyphen/>
      </w:r>
      <w:r w:rsidRPr="00883823">
        <w:rPr>
          <w:rFonts w:cs="Times New Roman"/>
          <w:lang w:val="fr-CA"/>
        </w:rPr>
        <w:t>à</w:t>
      </w:r>
      <w:r>
        <w:rPr>
          <w:rFonts w:cs="Times New Roman"/>
          <w:lang w:val="fr-CA"/>
        </w:rPr>
        <w:noBreakHyphen/>
      </w:r>
      <w:r w:rsidRPr="00883823">
        <w:rPr>
          <w:rFonts w:cs="Times New Roman"/>
          <w:lang w:val="fr-CA"/>
        </w:rPr>
        <w:t>vis le pouvoir législatif, nous sommes d’avis de ne pas accorder à l’intimé d’exemption individuelle de cette suspension.</w:t>
      </w:r>
      <w:bookmarkEnd w:id="2"/>
      <w:r w:rsidRPr="00883823">
        <w:rPr>
          <w:rFonts w:cs="Times New Roman"/>
          <w:lang w:val="fr-CA"/>
        </w:rPr>
        <w:t xml:space="preserve"> Nous accueillerons donc le pourvoi en partie.</w:t>
      </w:r>
    </w:p>
    <w:p w14:paraId="1729AAD0" w14:textId="02C3DF81" w:rsidR="004D7D95" w:rsidRPr="00E96209" w:rsidRDefault="004D7D95" w:rsidP="008A7C16">
      <w:pPr>
        <w:pStyle w:val="SCCNormalDoubleSpacing"/>
        <w:spacing w:after="480"/>
        <w:rPr>
          <w:lang w:val="fr-CA"/>
        </w:rPr>
      </w:pPr>
      <w:r w:rsidRPr="00E96209">
        <w:rPr>
          <w:lang w:val="fr-CA"/>
        </w:rPr>
        <w:tab/>
      </w:r>
      <w:r w:rsidR="000025ED" w:rsidRPr="00E96209">
        <w:rPr>
          <w:i/>
          <w:lang w:val="fr-CA"/>
        </w:rPr>
        <w:t xml:space="preserve">Appel rejeté avec dépens, les juges </w:t>
      </w:r>
      <w:r w:rsidR="000025ED" w:rsidRPr="00D1661B">
        <w:rPr>
          <w:smallCaps/>
          <w:lang w:val="fr-CA"/>
        </w:rPr>
        <w:t>Côté</w:t>
      </w:r>
      <w:r w:rsidR="000025ED" w:rsidRPr="00E96209">
        <w:rPr>
          <w:i/>
          <w:lang w:val="fr-CA"/>
        </w:rPr>
        <w:t xml:space="preserve"> et </w:t>
      </w:r>
      <w:r w:rsidR="000025ED" w:rsidRPr="00D1661B">
        <w:rPr>
          <w:smallCaps/>
          <w:lang w:val="fr-CA"/>
        </w:rPr>
        <w:t>Brown</w:t>
      </w:r>
      <w:r w:rsidR="000025ED" w:rsidRPr="00E96209">
        <w:rPr>
          <w:i/>
          <w:lang w:val="fr-CA"/>
        </w:rPr>
        <w:t xml:space="preserve"> sont dissidents en partie.</w:t>
      </w:r>
    </w:p>
    <w:p w14:paraId="348ABBB7" w14:textId="6F4425A9" w:rsidR="00137AE7" w:rsidRPr="00E96209" w:rsidRDefault="00E8528C" w:rsidP="008A7C16">
      <w:pPr>
        <w:pStyle w:val="SCCLawFirm"/>
        <w:spacing w:after="480"/>
        <w:rPr>
          <w:lang w:val="fr-CA"/>
        </w:rPr>
      </w:pPr>
      <w:r w:rsidRPr="00E96209">
        <w:rPr>
          <w:lang w:val="fr-CA"/>
        </w:rPr>
        <w:tab/>
      </w:r>
      <w:r w:rsidR="009D0771" w:rsidRPr="00E96209">
        <w:rPr>
          <w:lang w:val="fr-CA"/>
        </w:rPr>
        <w:t>Procureur</w:t>
      </w:r>
      <w:r w:rsidRPr="00E96209">
        <w:rPr>
          <w:lang w:val="fr-CA"/>
        </w:rPr>
        <w:t xml:space="preserve"> de l</w:t>
      </w:r>
      <w:r w:rsidR="0068033A" w:rsidRPr="00E96209">
        <w:rPr>
          <w:lang w:val="fr-CA"/>
        </w:rPr>
        <w:t>’</w:t>
      </w:r>
      <w:r w:rsidR="009D0771" w:rsidRPr="00E96209">
        <w:rPr>
          <w:lang w:val="fr-CA"/>
        </w:rPr>
        <w:t>appelant</w:t>
      </w:r>
      <w:r w:rsidR="00E96209">
        <w:rPr>
          <w:lang w:val="fr-CA"/>
        </w:rPr>
        <w:t> :</w:t>
      </w:r>
      <w:r w:rsidR="00CD08F2" w:rsidRPr="00E96209">
        <w:rPr>
          <w:lang w:val="fr-CA"/>
        </w:rPr>
        <w:t> </w:t>
      </w:r>
      <w:r w:rsidR="009D0771" w:rsidRPr="00E96209">
        <w:rPr>
          <w:lang w:val="fr-CA"/>
        </w:rPr>
        <w:t>Procureur général de l’</w:t>
      </w:r>
      <w:r w:rsidRPr="00E96209">
        <w:rPr>
          <w:lang w:val="fr-CA"/>
        </w:rPr>
        <w:t>Ontario, Toronto.</w:t>
      </w:r>
    </w:p>
    <w:p w14:paraId="49502044" w14:textId="6C54146F" w:rsidR="00137AE7" w:rsidRPr="00E96209" w:rsidRDefault="00E8528C" w:rsidP="008A7C16">
      <w:pPr>
        <w:pStyle w:val="SCCLawFirm"/>
        <w:spacing w:after="480"/>
        <w:rPr>
          <w:lang w:val="fr-CA"/>
        </w:rPr>
      </w:pPr>
      <w:r w:rsidRPr="00E96209">
        <w:rPr>
          <w:lang w:val="fr-CA"/>
        </w:rPr>
        <w:tab/>
      </w:r>
      <w:r w:rsidR="009D0771" w:rsidRPr="00E96209">
        <w:rPr>
          <w:lang w:val="fr-CA"/>
        </w:rPr>
        <w:t>Procureurs</w:t>
      </w:r>
      <w:r w:rsidRPr="00E96209">
        <w:rPr>
          <w:lang w:val="fr-CA"/>
        </w:rPr>
        <w:t xml:space="preserve"> de l</w:t>
      </w:r>
      <w:r w:rsidR="0068033A" w:rsidRPr="00E96209">
        <w:rPr>
          <w:lang w:val="fr-CA"/>
        </w:rPr>
        <w:t>’</w:t>
      </w:r>
      <w:r w:rsidR="009D0771" w:rsidRPr="00E96209">
        <w:rPr>
          <w:lang w:val="fr-CA"/>
        </w:rPr>
        <w:t>intimé</w:t>
      </w:r>
      <w:r w:rsidR="00E96209">
        <w:rPr>
          <w:lang w:val="fr-CA"/>
        </w:rPr>
        <w:t> :</w:t>
      </w:r>
      <w:r w:rsidR="00CD08F2" w:rsidRPr="00E96209">
        <w:rPr>
          <w:lang w:val="fr-CA"/>
        </w:rPr>
        <w:t> </w:t>
      </w:r>
      <w:proofErr w:type="spellStart"/>
      <w:r w:rsidRPr="00E96209">
        <w:rPr>
          <w:lang w:val="fr-CA"/>
        </w:rPr>
        <w:t>Swadron</w:t>
      </w:r>
      <w:proofErr w:type="spellEnd"/>
      <w:r w:rsidRPr="00E96209">
        <w:rPr>
          <w:lang w:val="fr-CA"/>
        </w:rPr>
        <w:t xml:space="preserve"> Associates</w:t>
      </w:r>
      <w:r w:rsidR="009D0771" w:rsidRPr="00E96209">
        <w:rPr>
          <w:lang w:val="fr-CA"/>
        </w:rPr>
        <w:t xml:space="preserve"> </w:t>
      </w:r>
      <w:proofErr w:type="spellStart"/>
      <w:r w:rsidR="009D0771" w:rsidRPr="00E96209">
        <w:rPr>
          <w:lang w:val="fr-CA"/>
        </w:rPr>
        <w:t>Barristers</w:t>
      </w:r>
      <w:proofErr w:type="spellEnd"/>
      <w:r w:rsidR="009D0771" w:rsidRPr="00E96209">
        <w:rPr>
          <w:lang w:val="fr-CA"/>
        </w:rPr>
        <w:t xml:space="preserve"> &amp; Solicitors</w:t>
      </w:r>
      <w:r w:rsidRPr="00E96209">
        <w:rPr>
          <w:lang w:val="fr-CA"/>
        </w:rPr>
        <w:t>, Toronto.</w:t>
      </w:r>
    </w:p>
    <w:p w14:paraId="21F2A0CE" w14:textId="65D2D0B8" w:rsidR="00137AE7" w:rsidRPr="00E96209" w:rsidRDefault="009D0771" w:rsidP="008A7C16">
      <w:pPr>
        <w:pStyle w:val="SCCLawFirm"/>
        <w:spacing w:after="480"/>
        <w:rPr>
          <w:lang w:val="fr-CA"/>
        </w:rPr>
      </w:pPr>
      <w:r w:rsidRPr="00E96209">
        <w:rPr>
          <w:lang w:val="fr-CA"/>
        </w:rPr>
        <w:tab/>
        <w:t>Procureur</w:t>
      </w:r>
      <w:r w:rsidR="00E8528C" w:rsidRPr="00E96209">
        <w:rPr>
          <w:lang w:val="fr-CA"/>
        </w:rPr>
        <w:t xml:space="preserve"> de l</w:t>
      </w:r>
      <w:r w:rsidR="0068033A" w:rsidRPr="00E96209">
        <w:rPr>
          <w:lang w:val="fr-CA"/>
        </w:rPr>
        <w:t>’</w:t>
      </w:r>
      <w:r w:rsidRPr="00E96209">
        <w:rPr>
          <w:lang w:val="fr-CA"/>
        </w:rPr>
        <w:t>intervenant le</w:t>
      </w:r>
      <w:r w:rsidR="00E8528C" w:rsidRPr="00E96209">
        <w:rPr>
          <w:lang w:val="fr-CA"/>
        </w:rPr>
        <w:t xml:space="preserve"> Procureur général du Canada</w:t>
      </w:r>
      <w:r w:rsidR="00E96209">
        <w:rPr>
          <w:lang w:val="fr-CA"/>
        </w:rPr>
        <w:t> :</w:t>
      </w:r>
      <w:r w:rsidR="00CD08F2" w:rsidRPr="00E96209">
        <w:rPr>
          <w:lang w:val="fr-CA"/>
        </w:rPr>
        <w:t> </w:t>
      </w:r>
      <w:r w:rsidRPr="00E96209">
        <w:rPr>
          <w:lang w:val="fr-CA"/>
        </w:rPr>
        <w:t>Procureur général du Canada</w:t>
      </w:r>
      <w:r w:rsidR="00E8528C" w:rsidRPr="00E96209">
        <w:rPr>
          <w:lang w:val="fr-CA"/>
        </w:rPr>
        <w:t>, Montréal.</w:t>
      </w:r>
    </w:p>
    <w:p w14:paraId="740FB8FA" w14:textId="41DEF59F" w:rsidR="00137AE7" w:rsidRPr="00E96209" w:rsidRDefault="009D0771" w:rsidP="008A7C16">
      <w:pPr>
        <w:pStyle w:val="SCCLawFirm"/>
        <w:spacing w:after="480"/>
        <w:rPr>
          <w:lang w:val="fr-CA"/>
        </w:rPr>
      </w:pPr>
      <w:r w:rsidRPr="00E96209">
        <w:rPr>
          <w:lang w:val="fr-CA"/>
        </w:rPr>
        <w:tab/>
        <w:t>Procureurs</w:t>
      </w:r>
      <w:r w:rsidR="00E8528C" w:rsidRPr="00E96209">
        <w:rPr>
          <w:lang w:val="fr-CA"/>
        </w:rPr>
        <w:t xml:space="preserve"> de l</w:t>
      </w:r>
      <w:r w:rsidR="0068033A" w:rsidRPr="00E96209">
        <w:rPr>
          <w:lang w:val="fr-CA"/>
        </w:rPr>
        <w:t>’</w:t>
      </w:r>
      <w:r w:rsidRPr="00E96209">
        <w:rPr>
          <w:lang w:val="fr-CA"/>
        </w:rPr>
        <w:t>intervenante l’</w:t>
      </w:r>
      <w:r w:rsidR="00E8528C" w:rsidRPr="00E96209">
        <w:rPr>
          <w:lang w:val="fr-CA"/>
        </w:rPr>
        <w:t>Association canadienne des libertés civiles</w:t>
      </w:r>
      <w:r w:rsidR="00E96209">
        <w:rPr>
          <w:lang w:val="fr-CA"/>
        </w:rPr>
        <w:t> :</w:t>
      </w:r>
      <w:r w:rsidR="00CD08F2" w:rsidRPr="00E96209">
        <w:rPr>
          <w:lang w:val="fr-CA"/>
        </w:rPr>
        <w:t> </w:t>
      </w:r>
      <w:r w:rsidRPr="00E96209">
        <w:rPr>
          <w:lang w:val="fr-CA"/>
        </w:rPr>
        <w:t xml:space="preserve">Presser </w:t>
      </w:r>
      <w:proofErr w:type="spellStart"/>
      <w:r w:rsidRPr="00E96209">
        <w:rPr>
          <w:lang w:val="fr-CA"/>
        </w:rPr>
        <w:t>Barristers</w:t>
      </w:r>
      <w:proofErr w:type="spellEnd"/>
      <w:r w:rsidR="00E8528C" w:rsidRPr="00E96209">
        <w:rPr>
          <w:lang w:val="fr-CA"/>
        </w:rPr>
        <w:t>, Toronto.</w:t>
      </w:r>
    </w:p>
    <w:p w14:paraId="1A384D3A" w14:textId="076A57BE" w:rsidR="00137AE7" w:rsidRPr="00E96209" w:rsidRDefault="00CD3CF2" w:rsidP="008A7C16">
      <w:pPr>
        <w:pStyle w:val="SCCLawFirm"/>
        <w:spacing w:after="480"/>
        <w:rPr>
          <w:lang w:val="fr-CA"/>
        </w:rPr>
      </w:pPr>
      <w:r w:rsidRPr="00E96209">
        <w:rPr>
          <w:lang w:val="fr-CA"/>
        </w:rPr>
        <w:tab/>
        <w:t>Procureurs</w:t>
      </w:r>
      <w:r w:rsidR="00E8528C" w:rsidRPr="00E96209">
        <w:rPr>
          <w:lang w:val="fr-CA"/>
        </w:rPr>
        <w:t xml:space="preserve"> de l</w:t>
      </w:r>
      <w:r w:rsidR="0068033A" w:rsidRPr="00E96209">
        <w:rPr>
          <w:lang w:val="fr-CA"/>
        </w:rPr>
        <w:t>’</w:t>
      </w:r>
      <w:r w:rsidRPr="00E96209">
        <w:rPr>
          <w:lang w:val="fr-CA"/>
        </w:rPr>
        <w:t>intervenant</w:t>
      </w:r>
      <w:r w:rsidR="00E8528C" w:rsidRPr="00E96209">
        <w:rPr>
          <w:lang w:val="fr-CA"/>
        </w:rPr>
        <w:t xml:space="preserve"> </w:t>
      </w:r>
      <w:proofErr w:type="spellStart"/>
      <w:r w:rsidR="00E8528C" w:rsidRPr="00E96209">
        <w:rPr>
          <w:lang w:val="fr-CA"/>
        </w:rPr>
        <w:t>Empowerment</w:t>
      </w:r>
      <w:proofErr w:type="spellEnd"/>
      <w:r w:rsidR="00E8528C" w:rsidRPr="00E96209">
        <w:rPr>
          <w:lang w:val="fr-CA"/>
        </w:rPr>
        <w:t xml:space="preserve"> Council</w:t>
      </w:r>
      <w:r w:rsidR="00E96209">
        <w:rPr>
          <w:lang w:val="fr-CA"/>
        </w:rPr>
        <w:t> :</w:t>
      </w:r>
      <w:r w:rsidR="00CD08F2" w:rsidRPr="00E96209">
        <w:rPr>
          <w:lang w:val="fr-CA"/>
        </w:rPr>
        <w:t> </w:t>
      </w:r>
      <w:r w:rsidR="00E8528C" w:rsidRPr="00E96209">
        <w:rPr>
          <w:lang w:val="fr-CA"/>
        </w:rPr>
        <w:t xml:space="preserve">Anita </w:t>
      </w:r>
      <w:proofErr w:type="spellStart"/>
      <w:r w:rsidR="00E8528C" w:rsidRPr="00E96209">
        <w:rPr>
          <w:lang w:val="fr-CA"/>
        </w:rPr>
        <w:t>Szigeti</w:t>
      </w:r>
      <w:proofErr w:type="spellEnd"/>
      <w:r w:rsidR="00E8528C" w:rsidRPr="00E96209">
        <w:rPr>
          <w:lang w:val="fr-CA"/>
        </w:rPr>
        <w:t xml:space="preserve"> </w:t>
      </w:r>
      <w:proofErr w:type="spellStart"/>
      <w:r w:rsidR="00E8528C" w:rsidRPr="00E96209">
        <w:rPr>
          <w:lang w:val="fr-CA"/>
        </w:rPr>
        <w:t>Advocates</w:t>
      </w:r>
      <w:proofErr w:type="spellEnd"/>
      <w:r w:rsidR="00E8528C" w:rsidRPr="00E96209">
        <w:rPr>
          <w:lang w:val="fr-CA"/>
        </w:rPr>
        <w:t>, Toronto</w:t>
      </w:r>
      <w:r w:rsidRPr="00E96209">
        <w:rPr>
          <w:lang w:val="fr-CA"/>
        </w:rPr>
        <w:t xml:space="preserve">; </w:t>
      </w:r>
      <w:proofErr w:type="spellStart"/>
      <w:r w:rsidRPr="00E96209">
        <w:rPr>
          <w:lang w:val="fr-CA"/>
        </w:rPr>
        <w:t>Morphew</w:t>
      </w:r>
      <w:proofErr w:type="spellEnd"/>
      <w:r w:rsidRPr="00E96209">
        <w:rPr>
          <w:lang w:val="fr-CA"/>
        </w:rPr>
        <w:t xml:space="preserve"> </w:t>
      </w:r>
      <w:proofErr w:type="spellStart"/>
      <w:r w:rsidRPr="00E96209">
        <w:rPr>
          <w:lang w:val="fr-CA"/>
        </w:rPr>
        <w:t>Symes</w:t>
      </w:r>
      <w:proofErr w:type="spellEnd"/>
      <w:r w:rsidRPr="00E96209">
        <w:rPr>
          <w:lang w:val="fr-CA"/>
        </w:rPr>
        <w:t xml:space="preserve"> </w:t>
      </w:r>
      <w:proofErr w:type="spellStart"/>
      <w:r w:rsidRPr="00E96209">
        <w:rPr>
          <w:lang w:val="fr-CA"/>
        </w:rPr>
        <w:t>Menchynski</w:t>
      </w:r>
      <w:proofErr w:type="spellEnd"/>
      <w:r w:rsidRPr="00E96209">
        <w:rPr>
          <w:lang w:val="fr-CA"/>
        </w:rPr>
        <w:t xml:space="preserve"> </w:t>
      </w:r>
      <w:proofErr w:type="spellStart"/>
      <w:r w:rsidRPr="00E96209">
        <w:rPr>
          <w:lang w:val="fr-CA"/>
        </w:rPr>
        <w:t>Barristers</w:t>
      </w:r>
      <w:proofErr w:type="spellEnd"/>
      <w:r w:rsidRPr="00E96209">
        <w:rPr>
          <w:lang w:val="fr-CA"/>
        </w:rPr>
        <w:t>, Toronto</w:t>
      </w:r>
      <w:r w:rsidR="00E8528C" w:rsidRPr="00E96209">
        <w:rPr>
          <w:lang w:val="fr-CA"/>
        </w:rPr>
        <w:t>.</w:t>
      </w:r>
    </w:p>
    <w:p w14:paraId="7CF76E07" w14:textId="51FD5AB1" w:rsidR="00137AE7" w:rsidRPr="00E96209" w:rsidRDefault="00CD3CF2" w:rsidP="008A7C16">
      <w:pPr>
        <w:pStyle w:val="SCCLawFirm"/>
        <w:spacing w:after="480"/>
        <w:rPr>
          <w:lang w:val="fr-CA"/>
        </w:rPr>
      </w:pPr>
      <w:r w:rsidRPr="00E96209">
        <w:rPr>
          <w:lang w:val="fr-CA"/>
        </w:rPr>
        <w:tab/>
        <w:t>Procureurs</w:t>
      </w:r>
      <w:r w:rsidR="00E8528C" w:rsidRPr="00E96209">
        <w:rPr>
          <w:lang w:val="fr-CA"/>
        </w:rPr>
        <w:t xml:space="preserve"> de l</w:t>
      </w:r>
      <w:r w:rsidR="0068033A" w:rsidRPr="00E96209">
        <w:rPr>
          <w:lang w:val="fr-CA"/>
        </w:rPr>
        <w:t>’</w:t>
      </w:r>
      <w:r w:rsidRPr="00E96209">
        <w:rPr>
          <w:lang w:val="fr-CA"/>
        </w:rPr>
        <w:t>intervenant</w:t>
      </w:r>
      <w:r w:rsidR="00E8528C" w:rsidRPr="00E96209">
        <w:rPr>
          <w:lang w:val="fr-CA"/>
        </w:rPr>
        <w:t xml:space="preserve"> </w:t>
      </w:r>
      <w:proofErr w:type="spellStart"/>
      <w:r w:rsidR="00E8528C" w:rsidRPr="00E96209">
        <w:rPr>
          <w:lang w:val="fr-CA"/>
        </w:rPr>
        <w:t>Criminal</w:t>
      </w:r>
      <w:proofErr w:type="spellEnd"/>
      <w:r w:rsidR="00E8528C" w:rsidRPr="00E96209">
        <w:rPr>
          <w:lang w:val="fr-CA"/>
        </w:rPr>
        <w:t xml:space="preserve"> </w:t>
      </w:r>
      <w:proofErr w:type="spellStart"/>
      <w:r w:rsidR="00E8528C" w:rsidRPr="00E96209">
        <w:rPr>
          <w:lang w:val="fr-CA"/>
        </w:rPr>
        <w:t>Lawyers</w:t>
      </w:r>
      <w:proofErr w:type="spellEnd"/>
      <w:r w:rsidR="00E8528C" w:rsidRPr="00E96209">
        <w:rPr>
          <w:lang w:val="fr-CA"/>
        </w:rPr>
        <w:t xml:space="preserve"> Association </w:t>
      </w:r>
      <w:r w:rsidRPr="00E96209">
        <w:rPr>
          <w:lang w:val="fr-CA"/>
        </w:rPr>
        <w:t>(Ontario)</w:t>
      </w:r>
      <w:r w:rsidR="00E96209">
        <w:rPr>
          <w:lang w:val="fr-CA"/>
        </w:rPr>
        <w:t> :</w:t>
      </w:r>
      <w:r w:rsidR="00CD08F2" w:rsidRPr="00E96209">
        <w:rPr>
          <w:lang w:val="fr-CA"/>
        </w:rPr>
        <w:t> </w:t>
      </w:r>
      <w:proofErr w:type="spellStart"/>
      <w:r w:rsidRPr="00E96209">
        <w:rPr>
          <w:lang w:val="fr-CA"/>
        </w:rPr>
        <w:t>Embry</w:t>
      </w:r>
      <w:proofErr w:type="spellEnd"/>
      <w:r w:rsidRPr="00E96209">
        <w:rPr>
          <w:lang w:val="fr-CA"/>
        </w:rPr>
        <w:t xml:space="preserve"> </w:t>
      </w:r>
      <w:proofErr w:type="spellStart"/>
      <w:r w:rsidRPr="00E96209">
        <w:rPr>
          <w:lang w:val="fr-CA"/>
        </w:rPr>
        <w:t>Dann</w:t>
      </w:r>
      <w:proofErr w:type="spellEnd"/>
      <w:r w:rsidR="00E8528C" w:rsidRPr="00E96209">
        <w:rPr>
          <w:lang w:val="fr-CA"/>
        </w:rPr>
        <w:t>, Toronto</w:t>
      </w:r>
      <w:r w:rsidRPr="00E96209">
        <w:rPr>
          <w:lang w:val="fr-CA"/>
        </w:rPr>
        <w:t xml:space="preserve">; </w:t>
      </w:r>
      <w:proofErr w:type="spellStart"/>
      <w:r w:rsidRPr="00E96209">
        <w:rPr>
          <w:lang w:val="fr-CA"/>
        </w:rPr>
        <w:t>Weisberg</w:t>
      </w:r>
      <w:proofErr w:type="spellEnd"/>
      <w:r w:rsidRPr="00E96209">
        <w:rPr>
          <w:lang w:val="fr-CA"/>
        </w:rPr>
        <w:t xml:space="preserve"> Law, Toronto</w:t>
      </w:r>
      <w:r w:rsidR="00E8528C" w:rsidRPr="00E96209">
        <w:rPr>
          <w:lang w:val="fr-CA"/>
        </w:rPr>
        <w:t>.</w:t>
      </w:r>
    </w:p>
    <w:p w14:paraId="3B44F915" w14:textId="614B88C4" w:rsidR="00137AE7" w:rsidRPr="00E96209" w:rsidRDefault="00E8528C" w:rsidP="008A7C16">
      <w:pPr>
        <w:pStyle w:val="SCCLawFirm"/>
        <w:spacing w:after="480"/>
        <w:rPr>
          <w:lang w:val="fr-CA"/>
        </w:rPr>
      </w:pPr>
      <w:r w:rsidRPr="00E96209">
        <w:rPr>
          <w:lang w:val="fr-CA"/>
        </w:rPr>
        <w:tab/>
      </w:r>
      <w:r w:rsidR="00CD3CF2" w:rsidRPr="00E96209">
        <w:rPr>
          <w:lang w:val="fr-CA"/>
        </w:rPr>
        <w:t>Procureur</w:t>
      </w:r>
      <w:r w:rsidRPr="00E96209">
        <w:rPr>
          <w:lang w:val="fr-CA"/>
        </w:rPr>
        <w:t xml:space="preserve"> de l</w:t>
      </w:r>
      <w:r w:rsidR="0068033A" w:rsidRPr="00E96209">
        <w:rPr>
          <w:lang w:val="fr-CA"/>
        </w:rPr>
        <w:t>’</w:t>
      </w:r>
      <w:r w:rsidR="00CD3CF2" w:rsidRPr="00E96209">
        <w:rPr>
          <w:lang w:val="fr-CA"/>
        </w:rPr>
        <w:t>intervenant</w:t>
      </w:r>
      <w:r w:rsidRPr="00E96209">
        <w:rPr>
          <w:lang w:val="fr-CA"/>
        </w:rPr>
        <w:t xml:space="preserve"> David </w:t>
      </w:r>
      <w:proofErr w:type="spellStart"/>
      <w:r w:rsidRPr="00E96209">
        <w:rPr>
          <w:lang w:val="fr-CA"/>
        </w:rPr>
        <w:t>Asper</w:t>
      </w:r>
      <w:proofErr w:type="spellEnd"/>
      <w:r w:rsidRPr="00E96209">
        <w:rPr>
          <w:lang w:val="fr-CA"/>
        </w:rPr>
        <w:t xml:space="preserve"> Centre for </w:t>
      </w:r>
      <w:proofErr w:type="spellStart"/>
      <w:r w:rsidRPr="00E96209">
        <w:rPr>
          <w:lang w:val="fr-CA"/>
        </w:rPr>
        <w:t>Constitutional</w:t>
      </w:r>
      <w:proofErr w:type="spellEnd"/>
      <w:r w:rsidRPr="00E96209">
        <w:rPr>
          <w:lang w:val="fr-CA"/>
        </w:rPr>
        <w:t xml:space="preserve"> </w:t>
      </w:r>
      <w:proofErr w:type="spellStart"/>
      <w:r w:rsidRPr="00E96209">
        <w:rPr>
          <w:lang w:val="fr-CA"/>
        </w:rPr>
        <w:t>Rights</w:t>
      </w:r>
      <w:proofErr w:type="spellEnd"/>
      <w:r w:rsidR="00E96209">
        <w:rPr>
          <w:lang w:val="fr-CA"/>
        </w:rPr>
        <w:t> :</w:t>
      </w:r>
      <w:r w:rsidR="00CD08F2" w:rsidRPr="00E96209">
        <w:rPr>
          <w:lang w:val="fr-CA"/>
        </w:rPr>
        <w:t> </w:t>
      </w:r>
      <w:proofErr w:type="spellStart"/>
      <w:r w:rsidRPr="00E96209">
        <w:rPr>
          <w:lang w:val="fr-CA"/>
        </w:rPr>
        <w:t>University</w:t>
      </w:r>
      <w:proofErr w:type="spellEnd"/>
      <w:r w:rsidRPr="00E96209">
        <w:rPr>
          <w:lang w:val="fr-CA"/>
        </w:rPr>
        <w:t xml:space="preserve"> of Toronto, Toronto.</w:t>
      </w:r>
    </w:p>
    <w:p w14:paraId="60145BE4" w14:textId="614B49BB" w:rsidR="00137AE7" w:rsidRPr="00E96209" w:rsidRDefault="00E8528C">
      <w:pPr>
        <w:pStyle w:val="SCCLawFirm"/>
        <w:rPr>
          <w:lang w:val="fr-CA"/>
        </w:rPr>
      </w:pPr>
      <w:r w:rsidRPr="00E96209">
        <w:rPr>
          <w:lang w:val="fr-CA"/>
        </w:rPr>
        <w:tab/>
      </w:r>
      <w:r w:rsidR="00CD3CF2" w:rsidRPr="00E96209">
        <w:rPr>
          <w:lang w:val="fr-CA"/>
        </w:rPr>
        <w:t>Procureurs</w:t>
      </w:r>
      <w:r w:rsidRPr="00E96209">
        <w:rPr>
          <w:lang w:val="fr-CA"/>
        </w:rPr>
        <w:t xml:space="preserve"> de l</w:t>
      </w:r>
      <w:r w:rsidR="0068033A" w:rsidRPr="00E96209">
        <w:rPr>
          <w:lang w:val="fr-CA"/>
        </w:rPr>
        <w:t>’</w:t>
      </w:r>
      <w:r w:rsidR="00CD3CF2" w:rsidRPr="00E96209">
        <w:rPr>
          <w:lang w:val="fr-CA"/>
        </w:rPr>
        <w:t>intervenante l’</w:t>
      </w:r>
      <w:r w:rsidRPr="00E96209">
        <w:rPr>
          <w:lang w:val="fr-CA"/>
        </w:rPr>
        <w:t>Association canadienne pour la santé mentale, Ontario</w:t>
      </w:r>
      <w:r w:rsidR="00E96209">
        <w:rPr>
          <w:lang w:val="fr-CA"/>
        </w:rPr>
        <w:t> :</w:t>
      </w:r>
      <w:r w:rsidR="00CD08F2" w:rsidRPr="00E96209">
        <w:rPr>
          <w:lang w:val="fr-CA"/>
        </w:rPr>
        <w:t> </w:t>
      </w:r>
      <w:r w:rsidRPr="00E96209">
        <w:rPr>
          <w:lang w:val="fr-CA"/>
        </w:rPr>
        <w:t xml:space="preserve">McCarthy </w:t>
      </w:r>
      <w:proofErr w:type="spellStart"/>
      <w:r w:rsidRPr="00E96209">
        <w:rPr>
          <w:lang w:val="fr-CA"/>
        </w:rPr>
        <w:t>Tétra</w:t>
      </w:r>
      <w:r w:rsidR="00CD3CF2" w:rsidRPr="00E96209">
        <w:rPr>
          <w:lang w:val="fr-CA"/>
        </w:rPr>
        <w:t>ult</w:t>
      </w:r>
      <w:proofErr w:type="spellEnd"/>
      <w:r w:rsidRPr="00E96209">
        <w:rPr>
          <w:lang w:val="fr-CA"/>
        </w:rPr>
        <w:t>, Toronto.</w:t>
      </w:r>
    </w:p>
    <w:sectPr w:rsidR="00137AE7" w:rsidRPr="00E9620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53CCB" w14:textId="77777777" w:rsidR="004A6852" w:rsidRDefault="004A6852">
      <w:r>
        <w:separator/>
      </w:r>
    </w:p>
  </w:endnote>
  <w:endnote w:type="continuationSeparator" w:id="0">
    <w:p w14:paraId="224D1E02" w14:textId="77777777" w:rsidR="004A6852" w:rsidRDefault="004A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2A47" w14:textId="77777777" w:rsidR="004A6852" w:rsidRDefault="004A6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F09B" w14:textId="77777777" w:rsidR="004A6852" w:rsidRDefault="004A68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ABC3B" w14:textId="77777777" w:rsidR="004A6852" w:rsidRDefault="004A6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ED634" w14:textId="77777777" w:rsidR="004A6852" w:rsidRDefault="004A6852">
      <w:r>
        <w:separator/>
      </w:r>
    </w:p>
  </w:footnote>
  <w:footnote w:type="continuationSeparator" w:id="0">
    <w:p w14:paraId="650AEE30" w14:textId="77777777" w:rsidR="004A6852" w:rsidRDefault="004A6852">
      <w:r>
        <w:continuationSeparator/>
      </w:r>
    </w:p>
  </w:footnote>
  <w:footnote w:id="1">
    <w:p w14:paraId="26DEA729" w14:textId="4352B77F" w:rsidR="004A6852" w:rsidRPr="00E25CF6" w:rsidRDefault="004A6852">
      <w:pPr>
        <w:pStyle w:val="FootnoteText"/>
        <w:rPr>
          <w:lang w:val="fr-CA"/>
        </w:rPr>
      </w:pPr>
      <w:r>
        <w:rPr>
          <w:rStyle w:val="FootnoteReference"/>
        </w:rPr>
        <w:footnoteRef/>
      </w:r>
      <w:r w:rsidRPr="00E25CF6">
        <w:rPr>
          <w:lang w:val="fr-CA"/>
        </w:rPr>
        <w:t xml:space="preserve"> </w:t>
      </w:r>
      <w:r>
        <w:rPr>
          <w:lang w:val="fr-CA"/>
        </w:rPr>
        <w:t xml:space="preserve"> Bien que la partie XX.1 confère également aux tribunaux le </w:t>
      </w:r>
      <w:r w:rsidRPr="00C93A6C">
        <w:rPr>
          <w:lang w:val="fr-CA"/>
        </w:rPr>
        <w:t xml:space="preserve">pouvoir d’accorder de telles libérations dans certaines circonstances, les commissions d’examen </w:t>
      </w:r>
      <w:r>
        <w:rPr>
          <w:lang w:val="fr-CA"/>
        </w:rPr>
        <w:t>statuent sur cette question</w:t>
      </w:r>
      <w:r w:rsidRPr="00C93A6C">
        <w:rPr>
          <w:lang w:val="fr-CA"/>
        </w:rPr>
        <w:t xml:space="preserve"> dans</w:t>
      </w:r>
      <w:r>
        <w:rPr>
          <w:lang w:val="fr-CA"/>
        </w:rPr>
        <w:t xml:space="preserve"> la grande majorité des cas (ministère de la Justice, Division de la recherche et de la statistique, </w:t>
      </w:r>
      <w:r>
        <w:rPr>
          <w:i/>
          <w:lang w:val="fr-CA"/>
        </w:rPr>
        <w:t xml:space="preserve">Les systèmes de commissions d’examen du Canada : survol des résultats de l’étude de la collecte de données sur les accusés atteints de troubles mentaux </w:t>
      </w:r>
      <w:r>
        <w:rPr>
          <w:lang w:val="fr-CA"/>
        </w:rPr>
        <w:t>(2006), p. 2). C’est pourquoi je parle de commissions d’examen dans les présents motifs.</w:t>
      </w:r>
    </w:p>
  </w:footnote>
  <w:footnote w:id="2">
    <w:p w14:paraId="617C56B9" w14:textId="3845E791" w:rsidR="004A6852" w:rsidRPr="00662FB7" w:rsidRDefault="004A6852">
      <w:pPr>
        <w:pStyle w:val="FootnoteText"/>
        <w:rPr>
          <w:lang w:val="fr-CA"/>
        </w:rPr>
      </w:pPr>
      <w:r>
        <w:rPr>
          <w:rStyle w:val="FootnoteReference"/>
        </w:rPr>
        <w:footnoteRef/>
      </w:r>
      <w:r>
        <w:rPr>
          <w:lang w:val="fr-CA"/>
        </w:rPr>
        <w:t>  Contrairement, p. ex., à l’al. 172(1</w:t>
      </w:r>
      <w:proofErr w:type="gramStart"/>
      <w:r>
        <w:rPr>
          <w:lang w:val="fr-CA"/>
        </w:rPr>
        <w:t>)</w:t>
      </w:r>
      <w:r w:rsidR="0025412A">
        <w:rPr>
          <w:lang w:val="fr-CA"/>
        </w:rPr>
        <w:t>(</w:t>
      </w:r>
      <w:proofErr w:type="gramEnd"/>
      <w:r w:rsidRPr="0025412A">
        <w:rPr>
          <w:lang w:val="fr-CA"/>
        </w:rPr>
        <w:t>a</w:t>
      </w:r>
      <w:r>
        <w:rPr>
          <w:lang w:val="fr-CA"/>
        </w:rPr>
        <w:t xml:space="preserve">) de la Constitution de l’Afrique du Sud, qui prévoit expressément que la Cour doit </w:t>
      </w:r>
      <w:r>
        <w:rPr>
          <w:smallCaps/>
          <w:lang w:val="fr-CA"/>
        </w:rPr>
        <w:t xml:space="preserve">[traduction] </w:t>
      </w:r>
      <w:r>
        <w:rPr>
          <w:lang w:val="fr-CA"/>
        </w:rPr>
        <w:t>« déclarer invalide toute règle de droit ou conduite incompatible avec la Constitution ».</w:t>
      </w:r>
    </w:p>
  </w:footnote>
  <w:footnote w:id="3">
    <w:p w14:paraId="47E80286" w14:textId="79160A87" w:rsidR="004A6852" w:rsidRPr="003C360F" w:rsidRDefault="004A6852">
      <w:pPr>
        <w:pStyle w:val="FootnoteText"/>
        <w:rPr>
          <w:lang w:val="fr-CA"/>
        </w:rPr>
      </w:pPr>
      <w:r>
        <w:rPr>
          <w:rStyle w:val="FootnoteReference"/>
        </w:rPr>
        <w:footnoteRef/>
      </w:r>
      <w:r w:rsidRPr="003C360F">
        <w:rPr>
          <w:lang w:val="fr-CA"/>
        </w:rPr>
        <w:t xml:space="preserve"> </w:t>
      </w:r>
      <w:r>
        <w:rPr>
          <w:lang w:val="fr-CA"/>
        </w:rPr>
        <w:t xml:space="preserve"> Voir </w:t>
      </w:r>
      <w:r w:rsidRPr="000E0CE9">
        <w:rPr>
          <w:i/>
          <w:lang w:val="fr-CA"/>
        </w:rPr>
        <w:t xml:space="preserve">Saskatchewan </w:t>
      </w:r>
      <w:proofErr w:type="spellStart"/>
      <w:r w:rsidRPr="000E0CE9">
        <w:rPr>
          <w:i/>
          <w:lang w:val="fr-CA"/>
        </w:rPr>
        <w:t>Federation</w:t>
      </w:r>
      <w:proofErr w:type="spellEnd"/>
      <w:r w:rsidRPr="000E0CE9">
        <w:rPr>
          <w:i/>
          <w:lang w:val="fr-CA"/>
        </w:rPr>
        <w:t xml:space="preserve"> of Labour </w:t>
      </w:r>
      <w:r>
        <w:rPr>
          <w:i/>
          <w:lang w:val="fr-CA"/>
        </w:rPr>
        <w:t>c</w:t>
      </w:r>
      <w:r w:rsidRPr="000E0CE9">
        <w:rPr>
          <w:i/>
          <w:lang w:val="fr-CA"/>
        </w:rPr>
        <w:t>. Saskatchewan</w:t>
      </w:r>
      <w:r w:rsidRPr="000E0CE9">
        <w:rPr>
          <w:lang w:val="fr-CA"/>
        </w:rPr>
        <w:t>, 2015</w:t>
      </w:r>
      <w:r>
        <w:rPr>
          <w:lang w:val="fr-CA"/>
        </w:rPr>
        <w:t> CSC </w:t>
      </w:r>
      <w:r w:rsidRPr="000E0CE9">
        <w:rPr>
          <w:lang w:val="fr-CA"/>
        </w:rPr>
        <w:t xml:space="preserve">4, </w:t>
      </w:r>
      <w:r>
        <w:rPr>
          <w:lang w:val="fr-CA"/>
        </w:rPr>
        <w:t>[2015] 1 R.C.S. 246, par. </w:t>
      </w:r>
      <w:r w:rsidRPr="000E0CE9">
        <w:rPr>
          <w:lang w:val="fr-CA"/>
        </w:rPr>
        <w:t xml:space="preserve">97; </w:t>
      </w:r>
      <w:r w:rsidRPr="000E0CE9">
        <w:rPr>
          <w:i/>
          <w:lang w:val="fr-CA"/>
        </w:rPr>
        <w:t xml:space="preserve">Alberta (Information and </w:t>
      </w:r>
      <w:proofErr w:type="spellStart"/>
      <w:r w:rsidRPr="000E0CE9">
        <w:rPr>
          <w:i/>
          <w:lang w:val="fr-CA"/>
        </w:rPr>
        <w:t>Privacy</w:t>
      </w:r>
      <w:proofErr w:type="spellEnd"/>
      <w:r w:rsidRPr="000E0CE9">
        <w:rPr>
          <w:i/>
          <w:lang w:val="fr-CA"/>
        </w:rPr>
        <w:t xml:space="preserve"> </w:t>
      </w:r>
      <w:proofErr w:type="spellStart"/>
      <w:r w:rsidRPr="000E0CE9">
        <w:rPr>
          <w:i/>
          <w:lang w:val="fr-CA"/>
        </w:rPr>
        <w:t>Commissioner</w:t>
      </w:r>
      <w:proofErr w:type="spellEnd"/>
      <w:r w:rsidRPr="000E0CE9">
        <w:rPr>
          <w:i/>
          <w:lang w:val="fr-CA"/>
        </w:rPr>
        <w:t xml:space="preserve">) </w:t>
      </w:r>
      <w:r>
        <w:rPr>
          <w:i/>
          <w:lang w:val="fr-CA"/>
        </w:rPr>
        <w:t>c</w:t>
      </w:r>
      <w:r w:rsidRPr="000E0CE9">
        <w:rPr>
          <w:i/>
          <w:lang w:val="fr-CA"/>
        </w:rPr>
        <w:t xml:space="preserve">. </w:t>
      </w:r>
      <w:r>
        <w:rPr>
          <w:i/>
          <w:lang w:val="fr-CA"/>
        </w:rPr>
        <w:t>Travailleurs et travailleuses unis de l’alimentation et du commerce, section locale </w:t>
      </w:r>
      <w:r w:rsidRPr="000E0CE9">
        <w:rPr>
          <w:i/>
          <w:lang w:val="fr-CA"/>
        </w:rPr>
        <w:t>401</w:t>
      </w:r>
      <w:r w:rsidRPr="000E0CE9">
        <w:rPr>
          <w:lang w:val="fr-CA"/>
        </w:rPr>
        <w:t>, 2013</w:t>
      </w:r>
      <w:r>
        <w:rPr>
          <w:lang w:val="fr-CA"/>
        </w:rPr>
        <w:t> CSC </w:t>
      </w:r>
      <w:r w:rsidRPr="000E0CE9">
        <w:rPr>
          <w:lang w:val="fr-CA"/>
        </w:rPr>
        <w:t>62,</w:t>
      </w:r>
      <w:r>
        <w:rPr>
          <w:lang w:val="fr-CA"/>
        </w:rPr>
        <w:t xml:space="preserve"> [2013] 3 R.C.S. 733,</w:t>
      </w:r>
      <w:r w:rsidRPr="000E0CE9">
        <w:rPr>
          <w:lang w:val="fr-CA"/>
        </w:rPr>
        <w:t xml:space="preserve"> </w:t>
      </w:r>
      <w:r>
        <w:rPr>
          <w:lang w:val="fr-CA"/>
        </w:rPr>
        <w:t>par. </w:t>
      </w:r>
      <w:r w:rsidRPr="000E0CE9">
        <w:rPr>
          <w:lang w:val="fr-CA"/>
        </w:rPr>
        <w:t xml:space="preserve">40; </w:t>
      </w:r>
      <w:r>
        <w:rPr>
          <w:i/>
          <w:lang w:val="fr-CA"/>
        </w:rPr>
        <w:t>Nouvelle</w:t>
      </w:r>
      <w:r>
        <w:rPr>
          <w:i/>
          <w:lang w:val="fr-CA"/>
        </w:rPr>
        <w:noBreakHyphen/>
        <w:t>Écosse (</w:t>
      </w:r>
      <w:proofErr w:type="spellStart"/>
      <w:r>
        <w:rPr>
          <w:i/>
          <w:lang w:val="fr-CA"/>
        </w:rPr>
        <w:t>Workers</w:t>
      </w:r>
      <w:proofErr w:type="spellEnd"/>
      <w:r>
        <w:rPr>
          <w:i/>
          <w:lang w:val="fr-CA"/>
        </w:rPr>
        <w:t xml:space="preserve">’ Compensation </w:t>
      </w:r>
      <w:proofErr w:type="spellStart"/>
      <w:r>
        <w:rPr>
          <w:i/>
          <w:lang w:val="fr-CA"/>
        </w:rPr>
        <w:t>Board</w:t>
      </w:r>
      <w:proofErr w:type="spellEnd"/>
      <w:r>
        <w:rPr>
          <w:i/>
          <w:lang w:val="fr-CA"/>
        </w:rPr>
        <w:t xml:space="preserve">) c. </w:t>
      </w:r>
      <w:r w:rsidRPr="000E0CE9">
        <w:rPr>
          <w:i/>
          <w:lang w:val="fr-CA"/>
        </w:rPr>
        <w:t>Martin</w:t>
      </w:r>
      <w:r w:rsidRPr="000E0CE9">
        <w:rPr>
          <w:lang w:val="fr-CA"/>
        </w:rPr>
        <w:t>,</w:t>
      </w:r>
      <w:r>
        <w:rPr>
          <w:lang w:val="fr-CA"/>
        </w:rPr>
        <w:t xml:space="preserve"> 2003 CSC 54, </w:t>
      </w:r>
      <w:r w:rsidRPr="00A0318E">
        <w:rPr>
          <w:lang w:val="fr-CA"/>
        </w:rPr>
        <w:t>[2003] 2 R.</w:t>
      </w:r>
      <w:r>
        <w:rPr>
          <w:lang w:val="fr-CA"/>
        </w:rPr>
        <w:t>C.S. 504,</w:t>
      </w:r>
      <w:r w:rsidRPr="000E0CE9">
        <w:rPr>
          <w:lang w:val="fr-CA"/>
        </w:rPr>
        <w:t xml:space="preserve"> </w:t>
      </w:r>
      <w:r>
        <w:rPr>
          <w:lang w:val="fr-CA"/>
        </w:rPr>
        <w:t>par. </w:t>
      </w:r>
      <w:r w:rsidRPr="000E0CE9">
        <w:rPr>
          <w:lang w:val="fr-CA"/>
        </w:rPr>
        <w:t xml:space="preserve">118; </w:t>
      </w:r>
      <w:proofErr w:type="spellStart"/>
      <w:r w:rsidRPr="000E0CE9">
        <w:rPr>
          <w:i/>
          <w:lang w:val="fr-CA"/>
        </w:rPr>
        <w:t>Mackin</w:t>
      </w:r>
      <w:proofErr w:type="spellEnd"/>
      <w:r>
        <w:rPr>
          <w:i/>
          <w:lang w:val="fr-CA"/>
        </w:rPr>
        <w:t xml:space="preserve"> c. Nouveau</w:t>
      </w:r>
      <w:r>
        <w:rPr>
          <w:i/>
          <w:lang w:val="fr-CA"/>
        </w:rPr>
        <w:noBreakHyphen/>
        <w:t>Brunswick (Ministre des Finances)</w:t>
      </w:r>
      <w:r w:rsidRPr="000E0CE9">
        <w:rPr>
          <w:lang w:val="fr-CA"/>
        </w:rPr>
        <w:t>,</w:t>
      </w:r>
      <w:r>
        <w:rPr>
          <w:lang w:val="fr-CA"/>
        </w:rPr>
        <w:t xml:space="preserve"> 2002 CSC 13, [2002] 1 R.C.S. 405,</w:t>
      </w:r>
      <w:r w:rsidRPr="000E0CE9">
        <w:rPr>
          <w:lang w:val="fr-CA"/>
        </w:rPr>
        <w:t xml:space="preserve"> </w:t>
      </w:r>
      <w:r>
        <w:rPr>
          <w:lang w:val="fr-CA"/>
        </w:rPr>
        <w:t>par. </w:t>
      </w:r>
      <w:r w:rsidRPr="000E0CE9">
        <w:rPr>
          <w:lang w:val="fr-CA"/>
        </w:rPr>
        <w:t xml:space="preserve">88; </w:t>
      </w:r>
      <w:proofErr w:type="spellStart"/>
      <w:r w:rsidRPr="000E0CE9">
        <w:rPr>
          <w:i/>
          <w:lang w:val="fr-CA"/>
        </w:rPr>
        <w:t>RJR</w:t>
      </w:r>
      <w:r>
        <w:rPr>
          <w:i/>
          <w:lang w:val="fr-CA"/>
        </w:rPr>
        <w:noBreakHyphen/>
      </w:r>
      <w:r w:rsidRPr="000E0CE9">
        <w:rPr>
          <w:i/>
          <w:lang w:val="fr-CA"/>
        </w:rPr>
        <w:t>MacDonald</w:t>
      </w:r>
      <w:proofErr w:type="spellEnd"/>
      <w:r>
        <w:rPr>
          <w:i/>
          <w:lang w:val="fr-CA"/>
        </w:rPr>
        <w:t xml:space="preserve"> Inc. c. Canada (Procureur général)</w:t>
      </w:r>
      <w:r w:rsidRPr="000E0CE9">
        <w:rPr>
          <w:lang w:val="fr-CA"/>
        </w:rPr>
        <w:t>,</w:t>
      </w:r>
      <w:r>
        <w:rPr>
          <w:lang w:val="fr-CA"/>
        </w:rPr>
        <w:t xml:space="preserve"> [1995</w:t>
      </w:r>
      <w:r w:rsidRPr="00ED1308">
        <w:rPr>
          <w:lang w:val="fr-CA"/>
        </w:rPr>
        <w:t>] 3 R.</w:t>
      </w:r>
      <w:r>
        <w:rPr>
          <w:lang w:val="fr-CA"/>
        </w:rPr>
        <w:t>C.S. 199, par. </w:t>
      </w:r>
      <w:r w:rsidRPr="000E0CE9">
        <w:rPr>
          <w:lang w:val="fr-CA"/>
        </w:rPr>
        <w:t>176</w:t>
      </w:r>
      <w:r>
        <w:rPr>
          <w:lang w:val="fr-CA"/>
        </w:rPr>
        <w:noBreakHyphen/>
        <w:t>1</w:t>
      </w:r>
      <w:r w:rsidRPr="000E0CE9">
        <w:rPr>
          <w:lang w:val="fr-CA"/>
        </w:rPr>
        <w:t xml:space="preserve">77; </w:t>
      </w:r>
      <w:r w:rsidRPr="000E0CE9">
        <w:rPr>
          <w:i/>
          <w:lang w:val="fr-CA"/>
        </w:rPr>
        <w:t xml:space="preserve">Ramsden </w:t>
      </w:r>
      <w:r>
        <w:rPr>
          <w:i/>
          <w:lang w:val="fr-CA"/>
        </w:rPr>
        <w:t>c</w:t>
      </w:r>
      <w:r w:rsidRPr="000E0CE9">
        <w:rPr>
          <w:i/>
          <w:lang w:val="fr-CA"/>
        </w:rPr>
        <w:t>. Peterborough (</w:t>
      </w:r>
      <w:r>
        <w:rPr>
          <w:i/>
          <w:lang w:val="fr-CA"/>
        </w:rPr>
        <w:t>Ville</w:t>
      </w:r>
      <w:r w:rsidRPr="000E0CE9">
        <w:rPr>
          <w:i/>
          <w:lang w:val="fr-CA"/>
        </w:rPr>
        <w:t>)</w:t>
      </w:r>
      <w:r w:rsidRPr="000E0CE9">
        <w:rPr>
          <w:lang w:val="fr-CA"/>
        </w:rPr>
        <w:t>, [1993] 2</w:t>
      </w:r>
      <w:r>
        <w:rPr>
          <w:lang w:val="fr-CA"/>
        </w:rPr>
        <w:t> R.C.S. </w:t>
      </w:r>
      <w:r w:rsidRPr="000E0CE9">
        <w:rPr>
          <w:lang w:val="fr-CA"/>
        </w:rPr>
        <w:t xml:space="preserve">1084, </w:t>
      </w:r>
      <w:r>
        <w:rPr>
          <w:lang w:val="fr-CA"/>
        </w:rPr>
        <w:t>p. </w:t>
      </w:r>
      <w:r w:rsidRPr="000E0CE9">
        <w:rPr>
          <w:lang w:val="fr-CA"/>
        </w:rPr>
        <w:t xml:space="preserve">1108; </w:t>
      </w:r>
      <w:r w:rsidRPr="000E0CE9">
        <w:rPr>
          <w:i/>
          <w:lang w:val="fr-CA"/>
        </w:rPr>
        <w:t xml:space="preserve">R. </w:t>
      </w:r>
      <w:r>
        <w:rPr>
          <w:i/>
          <w:lang w:val="fr-CA"/>
        </w:rPr>
        <w:t>c</w:t>
      </w:r>
      <w:r w:rsidRPr="000E0CE9">
        <w:rPr>
          <w:i/>
          <w:lang w:val="fr-CA"/>
        </w:rPr>
        <w:t>. Généreux</w:t>
      </w:r>
      <w:r w:rsidRPr="000E0CE9">
        <w:rPr>
          <w:lang w:val="fr-CA"/>
        </w:rPr>
        <w:t>, [1992] 1</w:t>
      </w:r>
      <w:r>
        <w:rPr>
          <w:lang w:val="fr-CA"/>
        </w:rPr>
        <w:t> R.C.S. </w:t>
      </w:r>
      <w:r w:rsidRPr="000E0CE9">
        <w:rPr>
          <w:lang w:val="fr-CA"/>
        </w:rPr>
        <w:t xml:space="preserve">259, </w:t>
      </w:r>
      <w:r>
        <w:rPr>
          <w:lang w:val="fr-CA"/>
        </w:rPr>
        <w:t>p. </w:t>
      </w:r>
      <w:r w:rsidRPr="000E0CE9">
        <w:rPr>
          <w:lang w:val="fr-CA"/>
        </w:rPr>
        <w:t>309</w:t>
      </w:r>
      <w:r>
        <w:rPr>
          <w:lang w:val="fr-CA"/>
        </w:rPr>
        <w:noBreakHyphen/>
        <w:t>3</w:t>
      </w:r>
      <w:r w:rsidRPr="000E0CE9">
        <w:rPr>
          <w:lang w:val="fr-CA"/>
        </w:rPr>
        <w:t xml:space="preserve">10; </w:t>
      </w:r>
      <w:r>
        <w:rPr>
          <w:i/>
          <w:lang w:val="fr-CA"/>
        </w:rPr>
        <w:t xml:space="preserve">R. c. </w:t>
      </w:r>
      <w:proofErr w:type="spellStart"/>
      <w:r w:rsidRPr="000E0CE9">
        <w:rPr>
          <w:i/>
          <w:lang w:val="fr-CA"/>
        </w:rPr>
        <w:t>Big</w:t>
      </w:r>
      <w:proofErr w:type="spellEnd"/>
      <w:r w:rsidRPr="000E0CE9">
        <w:rPr>
          <w:i/>
          <w:lang w:val="fr-CA"/>
        </w:rPr>
        <w:t xml:space="preserve"> M Drug </w:t>
      </w:r>
      <w:proofErr w:type="spellStart"/>
      <w:r w:rsidRPr="000E0CE9">
        <w:rPr>
          <w:i/>
          <w:lang w:val="fr-CA"/>
        </w:rPr>
        <w:t>Mart</w:t>
      </w:r>
      <w:proofErr w:type="spellEnd"/>
      <w:r>
        <w:rPr>
          <w:i/>
          <w:lang w:val="fr-CA"/>
        </w:rPr>
        <w:t xml:space="preserve"> Ltd.</w:t>
      </w:r>
      <w:r w:rsidRPr="000E0CE9">
        <w:rPr>
          <w:lang w:val="fr-CA"/>
        </w:rPr>
        <w:t xml:space="preserve">, </w:t>
      </w:r>
      <w:r>
        <w:rPr>
          <w:lang w:val="fr-CA"/>
        </w:rPr>
        <w:t>[1985] 1 R.C.S. 295, p. </w:t>
      </w:r>
      <w:r w:rsidRPr="000E0CE9">
        <w:rPr>
          <w:lang w:val="fr-CA"/>
        </w:rPr>
        <w:t>355</w:t>
      </w:r>
      <w:r>
        <w:rPr>
          <w:lang w:val="fr-CA"/>
        </w:rPr>
        <w:noBreakHyphen/>
        <w:t>3</w:t>
      </w:r>
      <w:r w:rsidRPr="000E0CE9">
        <w:rPr>
          <w:lang w:val="fr-CA"/>
        </w:rPr>
        <w:t>56.</w:t>
      </w:r>
    </w:p>
  </w:footnote>
  <w:footnote w:id="4">
    <w:p w14:paraId="6DA6ACCE" w14:textId="3FAACC9A" w:rsidR="004A6852" w:rsidRPr="00BD64F3" w:rsidRDefault="004A6852">
      <w:pPr>
        <w:pStyle w:val="FootnoteText"/>
        <w:rPr>
          <w:lang w:val="fr-CA"/>
        </w:rPr>
      </w:pPr>
      <w:r>
        <w:rPr>
          <w:rStyle w:val="FootnoteReference"/>
        </w:rPr>
        <w:footnoteRef/>
      </w:r>
      <w:r>
        <w:rPr>
          <w:lang w:val="fr-CA"/>
        </w:rPr>
        <w:t xml:space="preserve">  Voir </w:t>
      </w:r>
      <w:r w:rsidRPr="002A3AC6">
        <w:rPr>
          <w:i/>
          <w:lang w:val="fr-CA"/>
        </w:rPr>
        <w:t>Frank</w:t>
      </w:r>
      <w:r>
        <w:rPr>
          <w:i/>
          <w:lang w:val="fr-CA"/>
        </w:rPr>
        <w:t> c</w:t>
      </w:r>
      <w:r w:rsidRPr="002A3AC6">
        <w:rPr>
          <w:i/>
          <w:lang w:val="fr-CA"/>
        </w:rPr>
        <w:t>.</w:t>
      </w:r>
      <w:r>
        <w:rPr>
          <w:i/>
          <w:lang w:val="fr-CA"/>
        </w:rPr>
        <w:t> </w:t>
      </w:r>
      <w:r w:rsidRPr="002A3AC6">
        <w:rPr>
          <w:i/>
          <w:lang w:val="fr-CA"/>
        </w:rPr>
        <w:t>Canada</w:t>
      </w:r>
      <w:r>
        <w:rPr>
          <w:i/>
          <w:lang w:val="fr-CA"/>
        </w:rPr>
        <w:t xml:space="preserve"> (Procureur général)</w:t>
      </w:r>
      <w:r w:rsidRPr="002A3AC6">
        <w:rPr>
          <w:lang w:val="fr-CA"/>
        </w:rPr>
        <w:t>, 2019</w:t>
      </w:r>
      <w:r>
        <w:rPr>
          <w:lang w:val="fr-CA"/>
        </w:rPr>
        <w:t> CSC </w:t>
      </w:r>
      <w:r w:rsidRPr="002A3AC6">
        <w:rPr>
          <w:lang w:val="fr-CA"/>
        </w:rPr>
        <w:t xml:space="preserve">1, </w:t>
      </w:r>
      <w:r>
        <w:rPr>
          <w:lang w:val="fr-CA"/>
        </w:rPr>
        <w:t>[2019] 1 R.C.S. 3, par. </w:t>
      </w:r>
      <w:r w:rsidRPr="002A3AC6">
        <w:rPr>
          <w:lang w:val="fr-CA"/>
        </w:rPr>
        <w:t xml:space="preserve">83; </w:t>
      </w:r>
      <w:r w:rsidRPr="002A3AC6">
        <w:rPr>
          <w:i/>
          <w:lang w:val="fr-CA"/>
        </w:rPr>
        <w:t>R.</w:t>
      </w:r>
      <w:r>
        <w:rPr>
          <w:i/>
          <w:lang w:val="fr-CA"/>
        </w:rPr>
        <w:t> c</w:t>
      </w:r>
      <w:r w:rsidRPr="002A3AC6">
        <w:rPr>
          <w:i/>
          <w:lang w:val="fr-CA"/>
        </w:rPr>
        <w:t>.</w:t>
      </w:r>
      <w:r>
        <w:rPr>
          <w:i/>
          <w:lang w:val="fr-CA"/>
        </w:rPr>
        <w:t> </w:t>
      </w:r>
      <w:r w:rsidRPr="002A3AC6">
        <w:rPr>
          <w:i/>
          <w:lang w:val="fr-CA"/>
        </w:rPr>
        <w:t>K.R.J.</w:t>
      </w:r>
      <w:r w:rsidRPr="002A3AC6">
        <w:rPr>
          <w:lang w:val="fr-CA"/>
        </w:rPr>
        <w:t>, 2016</w:t>
      </w:r>
      <w:r>
        <w:rPr>
          <w:lang w:val="fr-CA"/>
        </w:rPr>
        <w:t> CSC </w:t>
      </w:r>
      <w:r w:rsidRPr="002A3AC6">
        <w:rPr>
          <w:lang w:val="fr-CA"/>
        </w:rPr>
        <w:t>31,</w:t>
      </w:r>
      <w:r>
        <w:rPr>
          <w:lang w:val="fr-CA"/>
        </w:rPr>
        <w:t xml:space="preserve"> [2016] 1 R.C.S. 906, par. </w:t>
      </w:r>
      <w:r w:rsidRPr="002A3AC6">
        <w:rPr>
          <w:lang w:val="fr-CA"/>
        </w:rPr>
        <w:t xml:space="preserve">96; </w:t>
      </w:r>
      <w:r w:rsidRPr="002A3AC6">
        <w:rPr>
          <w:i/>
          <w:lang w:val="fr-CA"/>
        </w:rPr>
        <w:t>R.</w:t>
      </w:r>
      <w:r>
        <w:rPr>
          <w:i/>
          <w:lang w:val="fr-CA"/>
        </w:rPr>
        <w:t> c</w:t>
      </w:r>
      <w:r w:rsidRPr="002A3AC6">
        <w:rPr>
          <w:i/>
          <w:lang w:val="fr-CA"/>
        </w:rPr>
        <w:t>.</w:t>
      </w:r>
      <w:r>
        <w:rPr>
          <w:i/>
          <w:lang w:val="fr-CA"/>
        </w:rPr>
        <w:t> </w:t>
      </w:r>
      <w:proofErr w:type="spellStart"/>
      <w:r w:rsidRPr="002A3AC6">
        <w:rPr>
          <w:i/>
          <w:lang w:val="fr-CA"/>
        </w:rPr>
        <w:t>Appulonappa</w:t>
      </w:r>
      <w:proofErr w:type="spellEnd"/>
      <w:r w:rsidRPr="002A3AC6">
        <w:rPr>
          <w:lang w:val="fr-CA"/>
        </w:rPr>
        <w:t>, 2015</w:t>
      </w:r>
      <w:r>
        <w:rPr>
          <w:lang w:val="fr-CA"/>
        </w:rPr>
        <w:t> CSC </w:t>
      </w:r>
      <w:r w:rsidRPr="002A3AC6">
        <w:rPr>
          <w:lang w:val="fr-CA"/>
        </w:rPr>
        <w:t>59,</w:t>
      </w:r>
      <w:r>
        <w:rPr>
          <w:lang w:val="fr-CA"/>
        </w:rPr>
        <w:t xml:space="preserve"> [2015] 3 R.C.S. 754, par. </w:t>
      </w:r>
      <w:r w:rsidRPr="002A3AC6">
        <w:rPr>
          <w:lang w:val="fr-CA"/>
        </w:rPr>
        <w:t>83</w:t>
      </w:r>
      <w:r>
        <w:rPr>
          <w:lang w:val="fr-CA"/>
        </w:rPr>
        <w:noBreakHyphen/>
      </w:r>
      <w:r w:rsidRPr="002A3AC6">
        <w:rPr>
          <w:lang w:val="fr-CA"/>
        </w:rPr>
        <w:t xml:space="preserve">85; </w:t>
      </w:r>
      <w:r w:rsidRPr="002A3AC6">
        <w:rPr>
          <w:i/>
          <w:lang w:val="fr-CA"/>
        </w:rPr>
        <w:t>R.</w:t>
      </w:r>
      <w:r>
        <w:rPr>
          <w:i/>
          <w:lang w:val="fr-CA"/>
        </w:rPr>
        <w:t> c</w:t>
      </w:r>
      <w:r w:rsidRPr="002A3AC6">
        <w:rPr>
          <w:i/>
          <w:lang w:val="fr-CA"/>
        </w:rPr>
        <w:t>.</w:t>
      </w:r>
      <w:r>
        <w:rPr>
          <w:i/>
          <w:lang w:val="fr-CA"/>
        </w:rPr>
        <w:t> </w:t>
      </w:r>
      <w:r w:rsidRPr="002A3AC6">
        <w:rPr>
          <w:i/>
          <w:lang w:val="fr-CA"/>
        </w:rPr>
        <w:t>Smith</w:t>
      </w:r>
      <w:r w:rsidRPr="002A3AC6">
        <w:rPr>
          <w:lang w:val="fr-CA"/>
        </w:rPr>
        <w:t>, 2015</w:t>
      </w:r>
      <w:r>
        <w:rPr>
          <w:lang w:val="fr-CA"/>
        </w:rPr>
        <w:t> CSC </w:t>
      </w:r>
      <w:r w:rsidRPr="002A3AC6">
        <w:rPr>
          <w:lang w:val="fr-CA"/>
        </w:rPr>
        <w:t xml:space="preserve">34, </w:t>
      </w:r>
      <w:r>
        <w:rPr>
          <w:lang w:val="fr-CA"/>
        </w:rPr>
        <w:t>[2015] 2 R.C.S. 602, par. </w:t>
      </w:r>
      <w:r w:rsidRPr="002A3AC6">
        <w:rPr>
          <w:lang w:val="fr-CA"/>
        </w:rPr>
        <w:t>30</w:t>
      </w:r>
      <w:r>
        <w:rPr>
          <w:lang w:val="fr-CA"/>
        </w:rPr>
        <w:noBreakHyphen/>
      </w:r>
      <w:r w:rsidRPr="002A3AC6">
        <w:rPr>
          <w:lang w:val="fr-CA"/>
        </w:rPr>
        <w:t xml:space="preserve">31; </w:t>
      </w:r>
      <w:r w:rsidRPr="002A3AC6">
        <w:rPr>
          <w:i/>
          <w:lang w:val="fr-CA"/>
        </w:rPr>
        <w:t>Canada (</w:t>
      </w:r>
      <w:r>
        <w:rPr>
          <w:i/>
          <w:lang w:val="fr-CA"/>
        </w:rPr>
        <w:t>Procureur général</w:t>
      </w:r>
      <w:r w:rsidRPr="002A3AC6">
        <w:rPr>
          <w:i/>
          <w:lang w:val="fr-CA"/>
        </w:rPr>
        <w:t xml:space="preserve">) </w:t>
      </w:r>
      <w:r>
        <w:rPr>
          <w:i/>
          <w:lang w:val="fr-CA"/>
        </w:rPr>
        <w:t>c</w:t>
      </w:r>
      <w:r w:rsidRPr="002A3AC6">
        <w:rPr>
          <w:i/>
          <w:lang w:val="fr-CA"/>
        </w:rPr>
        <w:t xml:space="preserve">. </w:t>
      </w:r>
      <w:r>
        <w:rPr>
          <w:i/>
          <w:lang w:val="fr-CA"/>
        </w:rPr>
        <w:t>Fédération des ordres professionnels de juristes du Canada</w:t>
      </w:r>
      <w:r w:rsidRPr="002A3AC6">
        <w:rPr>
          <w:lang w:val="fr-CA"/>
        </w:rPr>
        <w:t>, 2015</w:t>
      </w:r>
      <w:r>
        <w:rPr>
          <w:lang w:val="fr-CA"/>
        </w:rPr>
        <w:t> CSC </w:t>
      </w:r>
      <w:r w:rsidRPr="002A3AC6">
        <w:rPr>
          <w:lang w:val="fr-CA"/>
        </w:rPr>
        <w:t xml:space="preserve">7, </w:t>
      </w:r>
      <w:r>
        <w:rPr>
          <w:lang w:val="fr-CA"/>
        </w:rPr>
        <w:t>[2015] 1 R.C.S. 401, par. </w:t>
      </w:r>
      <w:r w:rsidRPr="002A3AC6">
        <w:rPr>
          <w:lang w:val="fr-CA"/>
        </w:rPr>
        <w:t>67</w:t>
      </w:r>
      <w:r>
        <w:rPr>
          <w:lang w:val="fr-CA"/>
        </w:rPr>
        <w:noBreakHyphen/>
      </w:r>
      <w:r w:rsidRPr="002A3AC6">
        <w:rPr>
          <w:lang w:val="fr-CA"/>
        </w:rPr>
        <w:t xml:space="preserve">115; </w:t>
      </w:r>
      <w:r w:rsidRPr="002A3AC6">
        <w:rPr>
          <w:i/>
          <w:lang w:val="fr-CA"/>
        </w:rPr>
        <w:t>Carter</w:t>
      </w:r>
      <w:r>
        <w:rPr>
          <w:i/>
          <w:lang w:val="fr-CA"/>
        </w:rPr>
        <w:t xml:space="preserve"> c. Canada (Procureur général)</w:t>
      </w:r>
      <w:r w:rsidRPr="002A3AC6">
        <w:rPr>
          <w:lang w:val="fr-CA"/>
        </w:rPr>
        <w:t>,</w:t>
      </w:r>
      <w:r>
        <w:rPr>
          <w:lang w:val="fr-CA"/>
        </w:rPr>
        <w:t xml:space="preserve"> 2015 CSC 5, </w:t>
      </w:r>
      <w:r w:rsidRPr="00643A68">
        <w:rPr>
          <w:lang w:val="fr-CA"/>
        </w:rPr>
        <w:t>[2015] 1 R.C.S.</w:t>
      </w:r>
      <w:r>
        <w:rPr>
          <w:lang w:val="fr-CA"/>
        </w:rPr>
        <w:t xml:space="preserve"> 331,</w:t>
      </w:r>
      <w:r w:rsidRPr="002A3AC6">
        <w:rPr>
          <w:lang w:val="fr-CA"/>
        </w:rPr>
        <w:t xml:space="preserve"> </w:t>
      </w:r>
      <w:r>
        <w:rPr>
          <w:lang w:val="fr-CA"/>
        </w:rPr>
        <w:t>par. </w:t>
      </w:r>
      <w:r w:rsidRPr="002A3AC6">
        <w:rPr>
          <w:lang w:val="fr-CA"/>
        </w:rPr>
        <w:t>126</w:t>
      </w:r>
      <w:r>
        <w:rPr>
          <w:lang w:val="fr-CA"/>
        </w:rPr>
        <w:noBreakHyphen/>
        <w:t>1</w:t>
      </w:r>
      <w:r w:rsidRPr="002A3AC6">
        <w:rPr>
          <w:lang w:val="fr-CA"/>
        </w:rPr>
        <w:t>27, 132</w:t>
      </w:r>
      <w:r>
        <w:rPr>
          <w:lang w:val="fr-CA"/>
        </w:rPr>
        <w:t xml:space="preserve"> et </w:t>
      </w:r>
      <w:r w:rsidRPr="002A3AC6">
        <w:rPr>
          <w:lang w:val="fr-CA"/>
        </w:rPr>
        <w:t>147;</w:t>
      </w:r>
      <w:r w:rsidRPr="002A3AC6">
        <w:rPr>
          <w:i/>
          <w:lang w:val="fr-CA"/>
        </w:rPr>
        <w:t xml:space="preserve"> Canada (</w:t>
      </w:r>
      <w:r>
        <w:rPr>
          <w:i/>
          <w:lang w:val="fr-CA"/>
        </w:rPr>
        <w:t>Procureur général</w:t>
      </w:r>
      <w:r w:rsidRPr="002A3AC6">
        <w:rPr>
          <w:i/>
          <w:lang w:val="fr-CA"/>
        </w:rPr>
        <w:t xml:space="preserve">) </w:t>
      </w:r>
      <w:r>
        <w:rPr>
          <w:i/>
          <w:lang w:val="fr-CA"/>
        </w:rPr>
        <w:t>c</w:t>
      </w:r>
      <w:r w:rsidRPr="002A3AC6">
        <w:rPr>
          <w:i/>
          <w:lang w:val="fr-CA"/>
        </w:rPr>
        <w:t>. Bedford</w:t>
      </w:r>
      <w:r w:rsidRPr="002A3AC6">
        <w:rPr>
          <w:lang w:val="fr-CA"/>
        </w:rPr>
        <w:t>, 2013</w:t>
      </w:r>
      <w:r>
        <w:rPr>
          <w:lang w:val="fr-CA"/>
        </w:rPr>
        <w:t> CSC </w:t>
      </w:r>
      <w:r w:rsidRPr="002A3AC6">
        <w:rPr>
          <w:lang w:val="fr-CA"/>
        </w:rPr>
        <w:t xml:space="preserve">72, </w:t>
      </w:r>
      <w:r>
        <w:rPr>
          <w:lang w:val="fr-CA"/>
        </w:rPr>
        <w:t>[2013] 3 R.C.S. 1102, par. </w:t>
      </w:r>
      <w:r w:rsidRPr="002A3AC6">
        <w:rPr>
          <w:lang w:val="fr-CA"/>
        </w:rPr>
        <w:t xml:space="preserve">164; </w:t>
      </w:r>
      <w:r w:rsidRPr="002A3AC6">
        <w:rPr>
          <w:i/>
          <w:lang w:val="fr-CA"/>
        </w:rPr>
        <w:t>Saskatchewan (</w:t>
      </w:r>
      <w:proofErr w:type="spellStart"/>
      <w:r w:rsidRPr="002A3AC6">
        <w:rPr>
          <w:i/>
          <w:lang w:val="fr-CA"/>
        </w:rPr>
        <w:t>Human</w:t>
      </w:r>
      <w:proofErr w:type="spellEnd"/>
      <w:r w:rsidRPr="002A3AC6">
        <w:rPr>
          <w:i/>
          <w:lang w:val="fr-CA"/>
        </w:rPr>
        <w:t xml:space="preserve"> </w:t>
      </w:r>
      <w:proofErr w:type="spellStart"/>
      <w:r w:rsidRPr="002A3AC6">
        <w:rPr>
          <w:i/>
          <w:lang w:val="fr-CA"/>
        </w:rPr>
        <w:t>Rights</w:t>
      </w:r>
      <w:proofErr w:type="spellEnd"/>
      <w:r w:rsidRPr="002A3AC6">
        <w:rPr>
          <w:i/>
          <w:lang w:val="fr-CA"/>
        </w:rPr>
        <w:t xml:space="preserve"> Commission) </w:t>
      </w:r>
      <w:r>
        <w:rPr>
          <w:i/>
          <w:lang w:val="fr-CA"/>
        </w:rPr>
        <w:t>c</w:t>
      </w:r>
      <w:r w:rsidRPr="002A3AC6">
        <w:rPr>
          <w:i/>
          <w:lang w:val="fr-CA"/>
        </w:rPr>
        <w:t xml:space="preserve">. </w:t>
      </w:r>
      <w:proofErr w:type="spellStart"/>
      <w:r w:rsidRPr="002A3AC6">
        <w:rPr>
          <w:i/>
          <w:lang w:val="fr-CA"/>
        </w:rPr>
        <w:t>Whatcott</w:t>
      </w:r>
      <w:proofErr w:type="spellEnd"/>
      <w:r w:rsidRPr="002A3AC6">
        <w:rPr>
          <w:lang w:val="fr-CA"/>
        </w:rPr>
        <w:t>, 2013</w:t>
      </w:r>
      <w:r>
        <w:rPr>
          <w:lang w:val="fr-CA"/>
        </w:rPr>
        <w:t> CSC </w:t>
      </w:r>
      <w:r w:rsidRPr="002A3AC6">
        <w:rPr>
          <w:lang w:val="fr-CA"/>
        </w:rPr>
        <w:t xml:space="preserve">11, </w:t>
      </w:r>
      <w:r>
        <w:rPr>
          <w:lang w:val="fr-CA"/>
        </w:rPr>
        <w:t>[2013] 1 R.C.S. 467, par. </w:t>
      </w:r>
      <w:r w:rsidRPr="002A3AC6">
        <w:rPr>
          <w:lang w:val="fr-CA"/>
        </w:rPr>
        <w:t xml:space="preserve">164; </w:t>
      </w:r>
      <w:proofErr w:type="spellStart"/>
      <w:r w:rsidRPr="002A3AC6">
        <w:rPr>
          <w:i/>
          <w:lang w:val="fr-CA"/>
        </w:rPr>
        <w:t>Charkaoui</w:t>
      </w:r>
      <w:proofErr w:type="spellEnd"/>
      <w:r w:rsidRPr="002A3AC6">
        <w:rPr>
          <w:i/>
          <w:lang w:val="fr-CA"/>
        </w:rPr>
        <w:t xml:space="preserve"> </w:t>
      </w:r>
      <w:r>
        <w:rPr>
          <w:i/>
          <w:lang w:val="fr-CA"/>
        </w:rPr>
        <w:t>c</w:t>
      </w:r>
      <w:r w:rsidRPr="002A3AC6">
        <w:rPr>
          <w:i/>
          <w:lang w:val="fr-CA"/>
        </w:rPr>
        <w:t>. Canada (</w:t>
      </w:r>
      <w:r>
        <w:rPr>
          <w:i/>
          <w:lang w:val="fr-CA"/>
        </w:rPr>
        <w:t xml:space="preserve">Citoyenneté et </w:t>
      </w:r>
      <w:r w:rsidRPr="002A3AC6">
        <w:rPr>
          <w:i/>
          <w:lang w:val="fr-CA"/>
        </w:rPr>
        <w:t>Immigration)</w:t>
      </w:r>
      <w:r w:rsidRPr="002A3AC6">
        <w:rPr>
          <w:lang w:val="fr-CA"/>
        </w:rPr>
        <w:t>, 2007</w:t>
      </w:r>
      <w:r>
        <w:rPr>
          <w:lang w:val="fr-CA"/>
        </w:rPr>
        <w:t> CSC </w:t>
      </w:r>
      <w:r w:rsidRPr="002A3AC6">
        <w:rPr>
          <w:lang w:val="fr-CA"/>
        </w:rPr>
        <w:t>9,</w:t>
      </w:r>
      <w:r>
        <w:rPr>
          <w:lang w:val="fr-CA"/>
        </w:rPr>
        <w:t xml:space="preserve"> [2007] 1 R.C.S. 350, par. </w:t>
      </w:r>
      <w:r w:rsidRPr="002A3AC6">
        <w:rPr>
          <w:lang w:val="fr-CA"/>
        </w:rPr>
        <w:t xml:space="preserve">142; </w:t>
      </w:r>
      <w:r w:rsidRPr="002A3AC6">
        <w:rPr>
          <w:i/>
          <w:lang w:val="fr-CA"/>
        </w:rPr>
        <w:t>R.</w:t>
      </w:r>
      <w:r>
        <w:rPr>
          <w:i/>
          <w:lang w:val="fr-CA"/>
        </w:rPr>
        <w:t> c</w:t>
      </w:r>
      <w:r w:rsidRPr="002A3AC6">
        <w:rPr>
          <w:i/>
          <w:lang w:val="fr-CA"/>
        </w:rPr>
        <w:t>.</w:t>
      </w:r>
      <w:r>
        <w:rPr>
          <w:i/>
          <w:lang w:val="fr-CA"/>
        </w:rPr>
        <w:t> </w:t>
      </w:r>
      <w:r w:rsidRPr="002A3AC6">
        <w:rPr>
          <w:i/>
          <w:lang w:val="fr-CA"/>
        </w:rPr>
        <w:t>Hall</w:t>
      </w:r>
      <w:r w:rsidRPr="002A3AC6">
        <w:rPr>
          <w:lang w:val="fr-CA"/>
        </w:rPr>
        <w:t>, 2002</w:t>
      </w:r>
      <w:r>
        <w:rPr>
          <w:lang w:val="fr-CA"/>
        </w:rPr>
        <w:t> CSC </w:t>
      </w:r>
      <w:r w:rsidRPr="002A3AC6">
        <w:rPr>
          <w:lang w:val="fr-CA"/>
        </w:rPr>
        <w:t>64,</w:t>
      </w:r>
      <w:r>
        <w:rPr>
          <w:lang w:val="fr-CA"/>
        </w:rPr>
        <w:t xml:space="preserve"> [2002] 3 R.C.S. 309, par. </w:t>
      </w:r>
      <w:r w:rsidRPr="002A3AC6">
        <w:rPr>
          <w:lang w:val="fr-CA"/>
        </w:rPr>
        <w:t xml:space="preserve">22, 44, </w:t>
      </w:r>
      <w:r>
        <w:rPr>
          <w:lang w:val="fr-CA"/>
        </w:rPr>
        <w:t>et </w:t>
      </w:r>
      <w:r w:rsidRPr="002A3AC6">
        <w:rPr>
          <w:lang w:val="fr-CA"/>
        </w:rPr>
        <w:t xml:space="preserve">45; </w:t>
      </w:r>
      <w:proofErr w:type="spellStart"/>
      <w:r w:rsidRPr="002A3AC6">
        <w:rPr>
          <w:i/>
          <w:lang w:val="fr-CA"/>
        </w:rPr>
        <w:t>Dunmore</w:t>
      </w:r>
      <w:proofErr w:type="spellEnd"/>
      <w:r w:rsidRPr="002A3AC6">
        <w:rPr>
          <w:i/>
          <w:lang w:val="fr-CA"/>
        </w:rPr>
        <w:t xml:space="preserve"> </w:t>
      </w:r>
      <w:r>
        <w:rPr>
          <w:i/>
          <w:lang w:val="fr-CA"/>
        </w:rPr>
        <w:t>c</w:t>
      </w:r>
      <w:r w:rsidRPr="002A3AC6">
        <w:rPr>
          <w:i/>
          <w:lang w:val="fr-CA"/>
        </w:rPr>
        <w:t>. Ontario (</w:t>
      </w:r>
      <w:r>
        <w:rPr>
          <w:i/>
          <w:lang w:val="fr-CA"/>
        </w:rPr>
        <w:t>Procureur général</w:t>
      </w:r>
      <w:r w:rsidRPr="002A3AC6">
        <w:rPr>
          <w:i/>
          <w:lang w:val="fr-CA"/>
        </w:rPr>
        <w:t>)</w:t>
      </w:r>
      <w:r w:rsidRPr="002A3AC6">
        <w:rPr>
          <w:lang w:val="fr-CA"/>
        </w:rPr>
        <w:t>, 2001</w:t>
      </w:r>
      <w:r>
        <w:rPr>
          <w:lang w:val="fr-CA"/>
        </w:rPr>
        <w:t> CSC </w:t>
      </w:r>
      <w:r w:rsidRPr="002A3AC6">
        <w:rPr>
          <w:lang w:val="fr-CA"/>
        </w:rPr>
        <w:t>94,</w:t>
      </w:r>
      <w:r>
        <w:rPr>
          <w:lang w:val="fr-CA"/>
        </w:rPr>
        <w:t xml:space="preserve"> [2001] 3 R.C.S. 1016</w:t>
      </w:r>
      <w:r w:rsidR="0025412A">
        <w:rPr>
          <w:lang w:val="fr-CA"/>
        </w:rPr>
        <w:t>,</w:t>
      </w:r>
      <w:r w:rsidRPr="002A3AC6">
        <w:rPr>
          <w:lang w:val="fr-CA"/>
        </w:rPr>
        <w:t xml:space="preserve"> </w:t>
      </w:r>
      <w:r>
        <w:rPr>
          <w:lang w:val="fr-CA"/>
        </w:rPr>
        <w:t>par. 70</w:t>
      </w:r>
      <w:r w:rsidRPr="002A3AC6">
        <w:rPr>
          <w:lang w:val="fr-CA"/>
        </w:rPr>
        <w:t xml:space="preserve">; </w:t>
      </w:r>
      <w:r w:rsidRPr="002A3AC6">
        <w:rPr>
          <w:i/>
          <w:lang w:val="fr-CA"/>
        </w:rPr>
        <w:t>R.</w:t>
      </w:r>
      <w:r>
        <w:rPr>
          <w:i/>
          <w:lang w:val="fr-CA"/>
        </w:rPr>
        <w:t> c</w:t>
      </w:r>
      <w:r w:rsidRPr="002A3AC6">
        <w:rPr>
          <w:i/>
          <w:lang w:val="fr-CA"/>
        </w:rPr>
        <w:t>.</w:t>
      </w:r>
      <w:r>
        <w:rPr>
          <w:i/>
          <w:lang w:val="fr-CA"/>
        </w:rPr>
        <w:t> </w:t>
      </w:r>
      <w:proofErr w:type="spellStart"/>
      <w:r w:rsidRPr="002A3AC6">
        <w:rPr>
          <w:i/>
          <w:lang w:val="fr-CA"/>
        </w:rPr>
        <w:t>Ruzic</w:t>
      </w:r>
      <w:proofErr w:type="spellEnd"/>
      <w:r w:rsidRPr="002A3AC6">
        <w:rPr>
          <w:lang w:val="fr-CA"/>
        </w:rPr>
        <w:t>, 2001</w:t>
      </w:r>
      <w:r>
        <w:rPr>
          <w:lang w:val="fr-CA"/>
        </w:rPr>
        <w:t> CSC </w:t>
      </w:r>
      <w:r w:rsidRPr="002A3AC6">
        <w:rPr>
          <w:lang w:val="fr-CA"/>
        </w:rPr>
        <w:t xml:space="preserve">24, </w:t>
      </w:r>
      <w:r>
        <w:rPr>
          <w:lang w:val="fr-CA"/>
        </w:rPr>
        <w:t>[2001] 1 R.C.S. 687, par. </w:t>
      </w:r>
      <w:r w:rsidRPr="002A3AC6">
        <w:rPr>
          <w:lang w:val="fr-CA"/>
        </w:rPr>
        <w:t>1, 55</w:t>
      </w:r>
      <w:r>
        <w:rPr>
          <w:lang w:val="fr-CA"/>
        </w:rPr>
        <w:t xml:space="preserve"> et </w:t>
      </w:r>
      <w:r w:rsidRPr="002A3AC6">
        <w:rPr>
          <w:lang w:val="fr-CA"/>
        </w:rPr>
        <w:t xml:space="preserve">101; </w:t>
      </w:r>
      <w:r w:rsidRPr="002A3AC6">
        <w:rPr>
          <w:i/>
          <w:lang w:val="fr-CA"/>
        </w:rPr>
        <w:t>R.</w:t>
      </w:r>
      <w:r>
        <w:rPr>
          <w:i/>
          <w:lang w:val="fr-CA"/>
        </w:rPr>
        <w:t> c</w:t>
      </w:r>
      <w:r w:rsidRPr="002A3AC6">
        <w:rPr>
          <w:i/>
          <w:lang w:val="fr-CA"/>
        </w:rPr>
        <w:t>.</w:t>
      </w:r>
      <w:r>
        <w:rPr>
          <w:i/>
          <w:lang w:val="fr-CA"/>
        </w:rPr>
        <w:t> </w:t>
      </w:r>
      <w:r w:rsidRPr="002A3AC6">
        <w:rPr>
          <w:i/>
          <w:lang w:val="fr-CA"/>
        </w:rPr>
        <w:t>Sharpe</w:t>
      </w:r>
      <w:r w:rsidRPr="002A3AC6">
        <w:rPr>
          <w:lang w:val="fr-CA"/>
        </w:rPr>
        <w:t>, 2001</w:t>
      </w:r>
      <w:r>
        <w:rPr>
          <w:lang w:val="fr-CA"/>
        </w:rPr>
        <w:t> CSC </w:t>
      </w:r>
      <w:r w:rsidRPr="002A3AC6">
        <w:rPr>
          <w:lang w:val="fr-CA"/>
        </w:rPr>
        <w:t xml:space="preserve">2, </w:t>
      </w:r>
      <w:r>
        <w:rPr>
          <w:lang w:val="fr-CA"/>
        </w:rPr>
        <w:t>[2001] 1 R.C.S. 45, par. </w:t>
      </w:r>
      <w:r w:rsidRPr="002A3AC6">
        <w:rPr>
          <w:lang w:val="fr-CA"/>
        </w:rPr>
        <w:t>128</w:t>
      </w:r>
      <w:r>
        <w:rPr>
          <w:lang w:val="fr-CA"/>
        </w:rPr>
        <w:noBreakHyphen/>
        <w:t>1</w:t>
      </w:r>
      <w:r w:rsidRPr="002A3AC6">
        <w:rPr>
          <w:lang w:val="fr-CA"/>
        </w:rPr>
        <w:t xml:space="preserve">29; </w:t>
      </w:r>
      <w:proofErr w:type="spellStart"/>
      <w:r w:rsidRPr="002A3AC6">
        <w:rPr>
          <w:i/>
          <w:lang w:val="fr-CA"/>
        </w:rPr>
        <w:t>Little</w:t>
      </w:r>
      <w:proofErr w:type="spellEnd"/>
      <w:r w:rsidRPr="002A3AC6">
        <w:rPr>
          <w:i/>
          <w:lang w:val="fr-CA"/>
        </w:rPr>
        <w:t xml:space="preserve"> Sisters Book and Art Emporium </w:t>
      </w:r>
      <w:r>
        <w:rPr>
          <w:i/>
          <w:lang w:val="fr-CA"/>
        </w:rPr>
        <w:t>c</w:t>
      </w:r>
      <w:r w:rsidRPr="002A3AC6">
        <w:rPr>
          <w:i/>
          <w:lang w:val="fr-CA"/>
        </w:rPr>
        <w:t>. Canada (</w:t>
      </w:r>
      <w:r>
        <w:rPr>
          <w:i/>
          <w:lang w:val="fr-CA"/>
        </w:rPr>
        <w:t xml:space="preserve">Ministre de la </w:t>
      </w:r>
      <w:r w:rsidRPr="002A3AC6">
        <w:rPr>
          <w:i/>
          <w:lang w:val="fr-CA"/>
        </w:rPr>
        <w:t>Justice)</w:t>
      </w:r>
      <w:r w:rsidRPr="002A3AC6">
        <w:rPr>
          <w:lang w:val="fr-CA"/>
        </w:rPr>
        <w:t>, 2000</w:t>
      </w:r>
      <w:r>
        <w:rPr>
          <w:lang w:val="fr-CA"/>
        </w:rPr>
        <w:t> CSC </w:t>
      </w:r>
      <w:r w:rsidRPr="002A3AC6">
        <w:rPr>
          <w:lang w:val="fr-CA"/>
        </w:rPr>
        <w:t xml:space="preserve">69, </w:t>
      </w:r>
      <w:r>
        <w:rPr>
          <w:lang w:val="fr-CA"/>
        </w:rPr>
        <w:t>[2000] 2 R.C.S. 1120, par. </w:t>
      </w:r>
      <w:r w:rsidRPr="002A3AC6">
        <w:rPr>
          <w:lang w:val="fr-CA"/>
        </w:rPr>
        <w:t>105</w:t>
      </w:r>
      <w:r>
        <w:rPr>
          <w:lang w:val="fr-CA"/>
        </w:rPr>
        <w:t xml:space="preserve"> et </w:t>
      </w:r>
      <w:r w:rsidRPr="002A3AC6">
        <w:rPr>
          <w:lang w:val="fr-CA"/>
        </w:rPr>
        <w:t xml:space="preserve">159; </w:t>
      </w:r>
      <w:proofErr w:type="spellStart"/>
      <w:r w:rsidRPr="002A3AC6">
        <w:rPr>
          <w:i/>
          <w:lang w:val="fr-CA"/>
        </w:rPr>
        <w:t>Corbiere</w:t>
      </w:r>
      <w:proofErr w:type="spellEnd"/>
      <w:r w:rsidRPr="002A3AC6">
        <w:rPr>
          <w:i/>
          <w:lang w:val="fr-CA"/>
        </w:rPr>
        <w:t xml:space="preserve"> </w:t>
      </w:r>
      <w:r>
        <w:rPr>
          <w:i/>
          <w:lang w:val="fr-CA"/>
        </w:rPr>
        <w:t>c</w:t>
      </w:r>
      <w:r w:rsidRPr="002A3AC6">
        <w:rPr>
          <w:i/>
          <w:lang w:val="fr-CA"/>
        </w:rPr>
        <w:t>. Canada (</w:t>
      </w:r>
      <w:r>
        <w:rPr>
          <w:i/>
          <w:lang w:val="fr-CA"/>
        </w:rPr>
        <w:t>Ministre des Affaires indiennes et du Nord canadien</w:t>
      </w:r>
      <w:r w:rsidRPr="002A3AC6">
        <w:rPr>
          <w:i/>
          <w:lang w:val="fr-CA"/>
        </w:rPr>
        <w:t>)</w:t>
      </w:r>
      <w:r w:rsidRPr="002A3AC6">
        <w:rPr>
          <w:lang w:val="fr-CA"/>
        </w:rPr>
        <w:t>, [1999] 2</w:t>
      </w:r>
      <w:r>
        <w:rPr>
          <w:lang w:val="fr-CA"/>
        </w:rPr>
        <w:t> R.C.S. </w:t>
      </w:r>
      <w:r w:rsidRPr="002A3AC6">
        <w:rPr>
          <w:lang w:val="fr-CA"/>
        </w:rPr>
        <w:t xml:space="preserve">203, </w:t>
      </w:r>
      <w:r>
        <w:rPr>
          <w:lang w:val="fr-CA"/>
        </w:rPr>
        <w:t>par. </w:t>
      </w:r>
      <w:r w:rsidRPr="002A3AC6">
        <w:rPr>
          <w:lang w:val="fr-CA"/>
        </w:rPr>
        <w:t>23</w:t>
      </w:r>
      <w:r>
        <w:rPr>
          <w:lang w:val="fr-CA"/>
        </w:rPr>
        <w:noBreakHyphen/>
      </w:r>
      <w:r w:rsidRPr="002A3AC6">
        <w:rPr>
          <w:lang w:val="fr-CA"/>
        </w:rPr>
        <w:t xml:space="preserve">24 </w:t>
      </w:r>
      <w:r>
        <w:rPr>
          <w:lang w:val="fr-CA"/>
        </w:rPr>
        <w:t>et </w:t>
      </w:r>
      <w:r w:rsidRPr="002A3AC6">
        <w:rPr>
          <w:lang w:val="fr-CA"/>
        </w:rPr>
        <w:t>114</w:t>
      </w:r>
      <w:r>
        <w:rPr>
          <w:lang w:val="fr-CA"/>
        </w:rPr>
        <w:noBreakHyphen/>
        <w:t>1</w:t>
      </w:r>
      <w:r w:rsidRPr="002A3AC6">
        <w:rPr>
          <w:lang w:val="fr-CA"/>
        </w:rPr>
        <w:t xml:space="preserve">18; </w:t>
      </w:r>
      <w:proofErr w:type="spellStart"/>
      <w:r w:rsidRPr="002A3AC6">
        <w:rPr>
          <w:i/>
          <w:lang w:val="fr-CA"/>
        </w:rPr>
        <w:t>Vriend</w:t>
      </w:r>
      <w:proofErr w:type="spellEnd"/>
      <w:r>
        <w:rPr>
          <w:i/>
          <w:lang w:val="fr-CA"/>
        </w:rPr>
        <w:t xml:space="preserve"> c. Alberta</w:t>
      </w:r>
      <w:r w:rsidRPr="002A3AC6">
        <w:rPr>
          <w:lang w:val="fr-CA"/>
        </w:rPr>
        <w:t>,</w:t>
      </w:r>
      <w:r>
        <w:rPr>
          <w:lang w:val="fr-CA"/>
        </w:rPr>
        <w:t xml:space="preserve"> [1998] 1 R.C.S. 493,</w:t>
      </w:r>
      <w:r w:rsidRPr="002A3AC6">
        <w:rPr>
          <w:lang w:val="fr-CA"/>
        </w:rPr>
        <w:t xml:space="preserve"> </w:t>
      </w:r>
      <w:r>
        <w:rPr>
          <w:lang w:val="fr-CA"/>
        </w:rPr>
        <w:t>par. </w:t>
      </w:r>
      <w:r w:rsidRPr="002A3AC6">
        <w:rPr>
          <w:lang w:val="fr-CA"/>
        </w:rPr>
        <w:t>148</w:t>
      </w:r>
      <w:r>
        <w:rPr>
          <w:lang w:val="fr-CA"/>
        </w:rPr>
        <w:noBreakHyphen/>
        <w:t>1</w:t>
      </w:r>
      <w:r w:rsidRPr="002A3AC6">
        <w:rPr>
          <w:lang w:val="fr-CA"/>
        </w:rPr>
        <w:t xml:space="preserve">79; </w:t>
      </w:r>
      <w:r>
        <w:rPr>
          <w:i/>
          <w:lang w:val="fr-CA"/>
        </w:rPr>
        <w:t>Renvoi relatif à la rémunération des juges de la Cour provinciale de l’Île</w:t>
      </w:r>
      <w:r>
        <w:rPr>
          <w:i/>
          <w:lang w:val="fr-CA"/>
        </w:rPr>
        <w:noBreakHyphen/>
        <w:t>du</w:t>
      </w:r>
      <w:r>
        <w:rPr>
          <w:i/>
          <w:lang w:val="fr-CA"/>
        </w:rPr>
        <w:noBreakHyphen/>
        <w:t>Prince</w:t>
      </w:r>
      <w:r>
        <w:rPr>
          <w:i/>
          <w:lang w:val="fr-CA"/>
        </w:rPr>
        <w:noBreakHyphen/>
        <w:t>Édouard</w:t>
      </w:r>
      <w:r>
        <w:rPr>
          <w:lang w:val="fr-CA"/>
        </w:rPr>
        <w:t xml:space="preserve">, </w:t>
      </w:r>
      <w:r w:rsidRPr="00CC00A1">
        <w:rPr>
          <w:lang w:val="fr-CA"/>
        </w:rPr>
        <w:t>[1997</w:t>
      </w:r>
      <w:r>
        <w:rPr>
          <w:lang w:val="fr-CA"/>
        </w:rPr>
        <w:t xml:space="preserve">] 3 R.C.S. 3, par. 276 et 294; </w:t>
      </w:r>
      <w:r w:rsidRPr="002A3AC6">
        <w:rPr>
          <w:i/>
          <w:lang w:val="fr-CA"/>
        </w:rPr>
        <w:t xml:space="preserve">Benner </w:t>
      </w:r>
      <w:r>
        <w:rPr>
          <w:i/>
          <w:lang w:val="fr-CA"/>
        </w:rPr>
        <w:t>c</w:t>
      </w:r>
      <w:r w:rsidRPr="002A3AC6">
        <w:rPr>
          <w:i/>
          <w:lang w:val="fr-CA"/>
        </w:rPr>
        <w:t>. Canada (</w:t>
      </w:r>
      <w:r>
        <w:rPr>
          <w:i/>
          <w:lang w:val="fr-CA"/>
        </w:rPr>
        <w:t>Secrétaire d’État</w:t>
      </w:r>
      <w:r w:rsidRPr="002A3AC6">
        <w:rPr>
          <w:i/>
          <w:lang w:val="fr-CA"/>
        </w:rPr>
        <w:t>)</w:t>
      </w:r>
      <w:r w:rsidRPr="002A3AC6">
        <w:rPr>
          <w:lang w:val="fr-CA"/>
        </w:rPr>
        <w:t>, [1997] 1</w:t>
      </w:r>
      <w:r>
        <w:rPr>
          <w:lang w:val="fr-CA"/>
        </w:rPr>
        <w:t> R.C.S. </w:t>
      </w:r>
      <w:r w:rsidRPr="002A3AC6">
        <w:rPr>
          <w:lang w:val="fr-CA"/>
        </w:rPr>
        <w:t xml:space="preserve">358, </w:t>
      </w:r>
      <w:r>
        <w:rPr>
          <w:lang w:val="fr-CA"/>
        </w:rPr>
        <w:t>par. </w:t>
      </w:r>
      <w:r w:rsidRPr="002A3AC6">
        <w:rPr>
          <w:lang w:val="fr-CA"/>
        </w:rPr>
        <w:t>103</w:t>
      </w:r>
      <w:r>
        <w:rPr>
          <w:lang w:val="fr-CA"/>
        </w:rPr>
        <w:noBreakHyphen/>
        <w:t>1</w:t>
      </w:r>
      <w:r w:rsidRPr="002A3AC6">
        <w:rPr>
          <w:lang w:val="fr-CA"/>
        </w:rPr>
        <w:t xml:space="preserve">05; </w:t>
      </w:r>
      <w:r w:rsidRPr="002A3AC6">
        <w:rPr>
          <w:i/>
          <w:lang w:val="fr-CA"/>
        </w:rPr>
        <w:t xml:space="preserve">Miron </w:t>
      </w:r>
      <w:r>
        <w:rPr>
          <w:i/>
          <w:lang w:val="fr-CA"/>
        </w:rPr>
        <w:t>c</w:t>
      </w:r>
      <w:r w:rsidRPr="002A3AC6">
        <w:rPr>
          <w:i/>
          <w:lang w:val="fr-CA"/>
        </w:rPr>
        <w:t>. Trudel</w:t>
      </w:r>
      <w:r w:rsidRPr="002A3AC6">
        <w:rPr>
          <w:lang w:val="fr-CA"/>
        </w:rPr>
        <w:t>, [1995] 2</w:t>
      </w:r>
      <w:r>
        <w:rPr>
          <w:lang w:val="fr-CA"/>
        </w:rPr>
        <w:t> R.C.S. </w:t>
      </w:r>
      <w:r w:rsidRPr="002A3AC6">
        <w:rPr>
          <w:lang w:val="fr-CA"/>
        </w:rPr>
        <w:t xml:space="preserve">418, </w:t>
      </w:r>
      <w:r>
        <w:rPr>
          <w:lang w:val="fr-CA"/>
        </w:rPr>
        <w:t>par. </w:t>
      </w:r>
      <w:r w:rsidRPr="002A3AC6">
        <w:rPr>
          <w:lang w:val="fr-CA"/>
        </w:rPr>
        <w:t>176</w:t>
      </w:r>
      <w:r>
        <w:rPr>
          <w:lang w:val="fr-CA"/>
        </w:rPr>
        <w:noBreakHyphen/>
        <w:t>1</w:t>
      </w:r>
      <w:r w:rsidRPr="002A3AC6">
        <w:rPr>
          <w:lang w:val="fr-CA"/>
        </w:rPr>
        <w:t xml:space="preserve">81; </w:t>
      </w:r>
      <w:r w:rsidRPr="002A3AC6">
        <w:rPr>
          <w:i/>
          <w:lang w:val="fr-CA"/>
        </w:rPr>
        <w:t>R.</w:t>
      </w:r>
      <w:r>
        <w:rPr>
          <w:i/>
          <w:lang w:val="fr-CA"/>
        </w:rPr>
        <w:t> c</w:t>
      </w:r>
      <w:r w:rsidRPr="002A3AC6">
        <w:rPr>
          <w:i/>
          <w:lang w:val="fr-CA"/>
        </w:rPr>
        <w:t>.</w:t>
      </w:r>
      <w:r>
        <w:rPr>
          <w:i/>
          <w:lang w:val="fr-CA"/>
        </w:rPr>
        <w:t> </w:t>
      </w:r>
      <w:proofErr w:type="spellStart"/>
      <w:r w:rsidRPr="002A3AC6">
        <w:rPr>
          <w:i/>
          <w:lang w:val="fr-CA"/>
        </w:rPr>
        <w:t>Laba</w:t>
      </w:r>
      <w:proofErr w:type="spellEnd"/>
      <w:r>
        <w:rPr>
          <w:lang w:val="fr-CA"/>
        </w:rPr>
        <w:t>, [1994] 3 </w:t>
      </w:r>
      <w:proofErr w:type="spellStart"/>
      <w:r>
        <w:rPr>
          <w:lang w:val="fr-CA"/>
        </w:rPr>
        <w:t>R.C.</w:t>
      </w:r>
      <w:r w:rsidRPr="002A3AC6">
        <w:rPr>
          <w:lang w:val="fr-CA"/>
        </w:rPr>
        <w:t>S</w:t>
      </w:r>
      <w:proofErr w:type="spellEnd"/>
      <w:r w:rsidRPr="002A3AC6">
        <w:rPr>
          <w:lang w:val="fr-CA"/>
        </w:rPr>
        <w:t>.</w:t>
      </w:r>
      <w:r>
        <w:rPr>
          <w:lang w:val="fr-CA"/>
        </w:rPr>
        <w:t> </w:t>
      </w:r>
      <w:r w:rsidRPr="002A3AC6">
        <w:rPr>
          <w:lang w:val="fr-CA"/>
        </w:rPr>
        <w:t xml:space="preserve">965, </w:t>
      </w:r>
      <w:r>
        <w:rPr>
          <w:lang w:val="fr-CA"/>
        </w:rPr>
        <w:t>p. </w:t>
      </w:r>
      <w:r w:rsidRPr="002A3AC6">
        <w:rPr>
          <w:lang w:val="fr-CA"/>
        </w:rPr>
        <w:t>1011</w:t>
      </w:r>
      <w:r>
        <w:rPr>
          <w:lang w:val="fr-CA"/>
        </w:rPr>
        <w:noBreakHyphen/>
        <w:t>10</w:t>
      </w:r>
      <w:r w:rsidRPr="002A3AC6">
        <w:rPr>
          <w:lang w:val="fr-CA"/>
        </w:rPr>
        <w:t>1</w:t>
      </w:r>
      <w:r>
        <w:rPr>
          <w:lang w:val="fr-CA"/>
        </w:rPr>
        <w:t>6</w:t>
      </w:r>
      <w:r w:rsidRPr="002A3AC6">
        <w:rPr>
          <w:lang w:val="fr-CA"/>
        </w:rPr>
        <w:t xml:space="preserve">; </w:t>
      </w:r>
      <w:r w:rsidRPr="002A3AC6">
        <w:rPr>
          <w:i/>
          <w:lang w:val="fr-CA"/>
        </w:rPr>
        <w:t>R.</w:t>
      </w:r>
      <w:r>
        <w:rPr>
          <w:i/>
          <w:lang w:val="fr-CA"/>
        </w:rPr>
        <w:t> c</w:t>
      </w:r>
      <w:r w:rsidRPr="002A3AC6">
        <w:rPr>
          <w:i/>
          <w:lang w:val="fr-CA"/>
        </w:rPr>
        <w:t>.</w:t>
      </w:r>
      <w:r>
        <w:rPr>
          <w:i/>
          <w:lang w:val="fr-CA"/>
        </w:rPr>
        <w:t> </w:t>
      </w:r>
      <w:r w:rsidRPr="002A3AC6">
        <w:rPr>
          <w:i/>
          <w:lang w:val="fr-CA"/>
        </w:rPr>
        <w:t>Grant</w:t>
      </w:r>
      <w:r w:rsidRPr="002A3AC6">
        <w:rPr>
          <w:lang w:val="fr-CA"/>
        </w:rPr>
        <w:t>, [1993] 3</w:t>
      </w:r>
      <w:r>
        <w:rPr>
          <w:lang w:val="fr-CA"/>
        </w:rPr>
        <w:t> R.C.S. </w:t>
      </w:r>
      <w:r w:rsidRPr="002A3AC6">
        <w:rPr>
          <w:lang w:val="fr-CA"/>
        </w:rPr>
        <w:t xml:space="preserve">223, </w:t>
      </w:r>
      <w:r>
        <w:rPr>
          <w:lang w:val="fr-CA"/>
        </w:rPr>
        <w:t>p. </w:t>
      </w:r>
      <w:r w:rsidRPr="002A3AC6">
        <w:rPr>
          <w:lang w:val="fr-CA"/>
        </w:rPr>
        <w:t>243</w:t>
      </w:r>
      <w:r>
        <w:rPr>
          <w:lang w:val="fr-CA"/>
        </w:rPr>
        <w:noBreakHyphen/>
        <w:t>2</w:t>
      </w:r>
      <w:r w:rsidRPr="002A3AC6">
        <w:rPr>
          <w:lang w:val="fr-CA"/>
        </w:rPr>
        <w:t xml:space="preserve">45; </w:t>
      </w:r>
      <w:r w:rsidRPr="002A3AC6">
        <w:rPr>
          <w:i/>
          <w:lang w:val="fr-CA"/>
        </w:rPr>
        <w:t>R.</w:t>
      </w:r>
      <w:r>
        <w:rPr>
          <w:i/>
          <w:lang w:val="fr-CA"/>
        </w:rPr>
        <w:t> c. </w:t>
      </w:r>
      <w:r w:rsidRPr="002A3AC6">
        <w:rPr>
          <w:i/>
          <w:lang w:val="fr-CA"/>
        </w:rPr>
        <w:t>Morales</w:t>
      </w:r>
      <w:r w:rsidRPr="002A3AC6">
        <w:rPr>
          <w:lang w:val="fr-CA"/>
        </w:rPr>
        <w:t>, [1992]</w:t>
      </w:r>
      <w:r>
        <w:rPr>
          <w:lang w:val="fr-CA"/>
        </w:rPr>
        <w:t xml:space="preserve"> 3 R.C.S. </w:t>
      </w:r>
      <w:r w:rsidRPr="002A3AC6">
        <w:rPr>
          <w:lang w:val="fr-CA"/>
        </w:rPr>
        <w:t xml:space="preserve">711, </w:t>
      </w:r>
      <w:r>
        <w:rPr>
          <w:lang w:val="fr-CA"/>
        </w:rPr>
        <w:t>p. </w:t>
      </w:r>
      <w:r w:rsidRPr="002A3AC6">
        <w:rPr>
          <w:lang w:val="fr-CA"/>
        </w:rPr>
        <w:t>741</w:t>
      </w:r>
      <w:r>
        <w:rPr>
          <w:lang w:val="fr-CA"/>
        </w:rPr>
        <w:noBreakHyphen/>
        <w:t>7</w:t>
      </w:r>
      <w:r w:rsidRPr="002A3AC6">
        <w:rPr>
          <w:lang w:val="fr-CA"/>
        </w:rPr>
        <w:t xml:space="preserve">43; </w:t>
      </w:r>
      <w:r w:rsidRPr="002A3AC6">
        <w:rPr>
          <w:i/>
          <w:lang w:val="fr-CA"/>
        </w:rPr>
        <w:t xml:space="preserve">Osborne </w:t>
      </w:r>
      <w:r>
        <w:rPr>
          <w:i/>
          <w:lang w:val="fr-CA"/>
        </w:rPr>
        <w:t>c</w:t>
      </w:r>
      <w:r w:rsidRPr="002A3AC6">
        <w:rPr>
          <w:i/>
          <w:lang w:val="fr-CA"/>
        </w:rPr>
        <w:t>. Canada (</w:t>
      </w:r>
      <w:r>
        <w:rPr>
          <w:i/>
          <w:lang w:val="fr-CA"/>
        </w:rPr>
        <w:t>Conseil du Trésor</w:t>
      </w:r>
      <w:r w:rsidRPr="002A3AC6">
        <w:rPr>
          <w:i/>
          <w:lang w:val="fr-CA"/>
        </w:rPr>
        <w:t>)</w:t>
      </w:r>
      <w:r w:rsidRPr="002A3AC6">
        <w:rPr>
          <w:lang w:val="fr-CA"/>
        </w:rPr>
        <w:t>, [1991] 2</w:t>
      </w:r>
      <w:r>
        <w:rPr>
          <w:lang w:val="fr-CA"/>
        </w:rPr>
        <w:t> R.C.S. </w:t>
      </w:r>
      <w:r w:rsidRPr="002A3AC6">
        <w:rPr>
          <w:lang w:val="fr-CA"/>
        </w:rPr>
        <w:t xml:space="preserve">69, </w:t>
      </w:r>
      <w:r>
        <w:rPr>
          <w:lang w:val="fr-CA"/>
        </w:rPr>
        <w:t>p. </w:t>
      </w:r>
      <w:r w:rsidRPr="002A3AC6">
        <w:rPr>
          <w:lang w:val="fr-CA"/>
        </w:rPr>
        <w:t>101</w:t>
      </w:r>
      <w:r>
        <w:rPr>
          <w:lang w:val="fr-CA"/>
        </w:rPr>
        <w:noBreakHyphen/>
        <w:t>10</w:t>
      </w:r>
      <w:r w:rsidRPr="002A3AC6">
        <w:rPr>
          <w:lang w:val="fr-CA"/>
        </w:rPr>
        <w:t xml:space="preserve">6; </w:t>
      </w:r>
      <w:r w:rsidRPr="002A3AC6">
        <w:rPr>
          <w:i/>
          <w:lang w:val="fr-CA"/>
        </w:rPr>
        <w:t>R.</w:t>
      </w:r>
      <w:r>
        <w:rPr>
          <w:i/>
          <w:lang w:val="fr-CA"/>
        </w:rPr>
        <w:t> c</w:t>
      </w:r>
      <w:r w:rsidRPr="002A3AC6">
        <w:rPr>
          <w:i/>
          <w:lang w:val="fr-CA"/>
        </w:rPr>
        <w:t>.</w:t>
      </w:r>
      <w:r>
        <w:rPr>
          <w:i/>
          <w:lang w:val="fr-CA"/>
        </w:rPr>
        <w:t> </w:t>
      </w:r>
      <w:r w:rsidRPr="002A3AC6">
        <w:rPr>
          <w:i/>
          <w:lang w:val="fr-CA"/>
        </w:rPr>
        <w:t>Hess</w:t>
      </w:r>
      <w:r w:rsidRPr="002A3AC6">
        <w:rPr>
          <w:lang w:val="fr-CA"/>
        </w:rPr>
        <w:t>, [1990] 2</w:t>
      </w:r>
      <w:r>
        <w:rPr>
          <w:lang w:val="fr-CA"/>
        </w:rPr>
        <w:t> R.C.S. </w:t>
      </w:r>
      <w:r w:rsidRPr="002A3AC6">
        <w:rPr>
          <w:lang w:val="fr-CA"/>
        </w:rPr>
        <w:t xml:space="preserve">906, </w:t>
      </w:r>
      <w:r>
        <w:rPr>
          <w:lang w:val="fr-CA"/>
        </w:rPr>
        <w:t>p. </w:t>
      </w:r>
      <w:r w:rsidRPr="002A3AC6">
        <w:rPr>
          <w:lang w:val="fr-CA"/>
        </w:rPr>
        <w:t>933</w:t>
      </w:r>
      <w:r>
        <w:rPr>
          <w:lang w:val="fr-CA"/>
        </w:rPr>
        <w:noBreakHyphen/>
        <w:t>9</w:t>
      </w:r>
      <w:r w:rsidRPr="002A3AC6">
        <w:rPr>
          <w:lang w:val="fr-CA"/>
        </w:rPr>
        <w:t xml:space="preserve">34; </w:t>
      </w:r>
      <w:r>
        <w:rPr>
          <w:i/>
          <w:lang w:val="fr-CA"/>
        </w:rPr>
        <w:t xml:space="preserve">Procureur général du Québec c. </w:t>
      </w:r>
      <w:proofErr w:type="spellStart"/>
      <w:r w:rsidRPr="002A3AC6">
        <w:rPr>
          <w:i/>
          <w:lang w:val="fr-CA"/>
        </w:rPr>
        <w:t>Quebec</w:t>
      </w:r>
      <w:proofErr w:type="spellEnd"/>
      <w:r w:rsidRPr="002A3AC6">
        <w:rPr>
          <w:i/>
          <w:lang w:val="fr-CA"/>
        </w:rPr>
        <w:t xml:space="preserve"> </w:t>
      </w:r>
      <w:r>
        <w:rPr>
          <w:i/>
          <w:lang w:val="fr-CA"/>
        </w:rPr>
        <w:t xml:space="preserve">Association of </w:t>
      </w:r>
      <w:r w:rsidRPr="002A3AC6">
        <w:rPr>
          <w:i/>
          <w:lang w:val="fr-CA"/>
        </w:rPr>
        <w:t xml:space="preserve">Protestant </w:t>
      </w:r>
      <w:proofErr w:type="spellStart"/>
      <w:r w:rsidRPr="002A3AC6">
        <w:rPr>
          <w:i/>
          <w:lang w:val="fr-CA"/>
        </w:rPr>
        <w:t>School</w:t>
      </w:r>
      <w:proofErr w:type="spellEnd"/>
      <w:r w:rsidRPr="002A3AC6">
        <w:rPr>
          <w:i/>
          <w:lang w:val="fr-CA"/>
        </w:rPr>
        <w:t xml:space="preserve"> </w:t>
      </w:r>
      <w:proofErr w:type="spellStart"/>
      <w:r w:rsidRPr="002A3AC6">
        <w:rPr>
          <w:i/>
          <w:lang w:val="fr-CA"/>
        </w:rPr>
        <w:t>Boards</w:t>
      </w:r>
      <w:proofErr w:type="spellEnd"/>
      <w:r w:rsidRPr="002A3AC6">
        <w:rPr>
          <w:lang w:val="fr-CA"/>
        </w:rPr>
        <w:t>, [1984] 2</w:t>
      </w:r>
      <w:r>
        <w:rPr>
          <w:lang w:val="fr-CA"/>
        </w:rPr>
        <w:t> </w:t>
      </w:r>
      <w:proofErr w:type="spellStart"/>
      <w:r>
        <w:rPr>
          <w:lang w:val="fr-CA"/>
        </w:rPr>
        <w:t>R.C.S</w:t>
      </w:r>
      <w:proofErr w:type="spellEnd"/>
      <w:r>
        <w:rPr>
          <w:lang w:val="fr-CA"/>
        </w:rPr>
        <w:t>. </w:t>
      </w:r>
      <w:r w:rsidRPr="002A3AC6">
        <w:rPr>
          <w:lang w:val="fr-CA"/>
        </w:rPr>
        <w:t xml:space="preserve">66, </w:t>
      </w:r>
      <w:r>
        <w:rPr>
          <w:lang w:val="fr-CA"/>
        </w:rPr>
        <w:t>p. </w:t>
      </w:r>
      <w:r w:rsidRPr="002A3AC6">
        <w:rPr>
          <w:lang w:val="fr-CA"/>
        </w:rPr>
        <w:t>88.</w:t>
      </w:r>
    </w:p>
  </w:footnote>
  <w:footnote w:id="5">
    <w:p w14:paraId="014F964B" w14:textId="47FA656A" w:rsidR="004A6852" w:rsidRPr="00BD64F3" w:rsidRDefault="004A6852">
      <w:pPr>
        <w:pStyle w:val="FootnoteText"/>
        <w:rPr>
          <w:lang w:val="fr-CA"/>
        </w:rPr>
      </w:pPr>
      <w:r>
        <w:rPr>
          <w:rStyle w:val="FootnoteReference"/>
        </w:rPr>
        <w:footnoteRef/>
      </w:r>
      <w:r>
        <w:rPr>
          <w:lang w:val="fr-CA"/>
        </w:rPr>
        <w:t>  Veuillez noter que certains des arrêts énumérés ci</w:t>
      </w:r>
      <w:r>
        <w:rPr>
          <w:lang w:val="fr-CA"/>
        </w:rPr>
        <w:noBreakHyphen/>
        <w:t xml:space="preserve">dessous figurent aussi à la note en bas de page 4, </w:t>
      </w:r>
      <w:r w:rsidRPr="00CC00A1">
        <w:rPr>
          <w:i/>
          <w:lang w:val="fr-CA"/>
        </w:rPr>
        <w:t>supra</w:t>
      </w:r>
      <w:r>
        <w:rPr>
          <w:lang w:val="fr-CA"/>
        </w:rPr>
        <w:t xml:space="preserve">, car la Cour y a invalidé intégralement certaines dispositions législatives et en a invalidé d’autres en partie seulement. Voir </w:t>
      </w:r>
      <w:r w:rsidRPr="000E0CE9">
        <w:rPr>
          <w:i/>
          <w:lang w:val="fr-CA"/>
        </w:rPr>
        <w:t>R.</w:t>
      </w:r>
      <w:r>
        <w:rPr>
          <w:i/>
          <w:lang w:val="fr-CA"/>
        </w:rPr>
        <w:t> c</w:t>
      </w:r>
      <w:r w:rsidRPr="000E0CE9">
        <w:rPr>
          <w:i/>
          <w:lang w:val="fr-CA"/>
        </w:rPr>
        <w:t>.</w:t>
      </w:r>
      <w:r>
        <w:rPr>
          <w:i/>
          <w:lang w:val="fr-CA"/>
        </w:rPr>
        <w:t> </w:t>
      </w:r>
      <w:r w:rsidRPr="000E0CE9">
        <w:rPr>
          <w:i/>
          <w:lang w:val="fr-CA"/>
        </w:rPr>
        <w:t>Morrison</w:t>
      </w:r>
      <w:r w:rsidRPr="000E0CE9">
        <w:rPr>
          <w:lang w:val="fr-CA"/>
        </w:rPr>
        <w:t>, 2019</w:t>
      </w:r>
      <w:r>
        <w:rPr>
          <w:lang w:val="fr-CA"/>
        </w:rPr>
        <w:t> CSC </w:t>
      </w:r>
      <w:r w:rsidRPr="000E0CE9">
        <w:rPr>
          <w:lang w:val="fr-CA"/>
        </w:rPr>
        <w:t xml:space="preserve">15, </w:t>
      </w:r>
      <w:r w:rsidRPr="00CC00A1">
        <w:rPr>
          <w:lang w:val="fr-CA"/>
        </w:rPr>
        <w:t xml:space="preserve">[2019] 2 R.C.S. 3, </w:t>
      </w:r>
      <w:r>
        <w:rPr>
          <w:lang w:val="fr-CA"/>
        </w:rPr>
        <w:t>par. </w:t>
      </w:r>
      <w:r w:rsidRPr="000E0CE9">
        <w:rPr>
          <w:lang w:val="fr-CA"/>
        </w:rPr>
        <w:t xml:space="preserve">73; </w:t>
      </w:r>
      <w:r w:rsidRPr="000E0CE9">
        <w:rPr>
          <w:i/>
          <w:lang w:val="fr-CA"/>
        </w:rPr>
        <w:t>Frank</w:t>
      </w:r>
      <w:r>
        <w:rPr>
          <w:i/>
          <w:lang w:val="fr-CA"/>
        </w:rPr>
        <w:t xml:space="preserve"> c. Canada (Procureur général)</w:t>
      </w:r>
      <w:r w:rsidRPr="000E0CE9">
        <w:rPr>
          <w:lang w:val="fr-CA"/>
        </w:rPr>
        <w:t xml:space="preserve">, </w:t>
      </w:r>
      <w:r>
        <w:rPr>
          <w:lang w:val="fr-CA"/>
        </w:rPr>
        <w:t xml:space="preserve">2019 CSC 1, </w:t>
      </w:r>
      <w:r w:rsidRPr="00410399">
        <w:rPr>
          <w:lang w:val="fr-CA"/>
        </w:rPr>
        <w:t>[2019] 1 R.C.S. 3,</w:t>
      </w:r>
      <w:r>
        <w:rPr>
          <w:lang w:val="fr-CA"/>
        </w:rPr>
        <w:t xml:space="preserve"> par. </w:t>
      </w:r>
      <w:r w:rsidRPr="000E0CE9">
        <w:rPr>
          <w:lang w:val="fr-CA"/>
        </w:rPr>
        <w:t xml:space="preserve">83; </w:t>
      </w:r>
      <w:r w:rsidRPr="000E0CE9">
        <w:rPr>
          <w:i/>
          <w:lang w:val="fr-CA"/>
        </w:rPr>
        <w:t>R.</w:t>
      </w:r>
      <w:r>
        <w:rPr>
          <w:i/>
          <w:lang w:val="fr-CA"/>
        </w:rPr>
        <w:t> c</w:t>
      </w:r>
      <w:r w:rsidRPr="000E0CE9">
        <w:rPr>
          <w:i/>
          <w:lang w:val="fr-CA"/>
        </w:rPr>
        <w:t>.</w:t>
      </w:r>
      <w:r>
        <w:rPr>
          <w:i/>
          <w:lang w:val="fr-CA"/>
        </w:rPr>
        <w:t> </w:t>
      </w:r>
      <w:proofErr w:type="spellStart"/>
      <w:r w:rsidRPr="000E0CE9">
        <w:rPr>
          <w:i/>
          <w:lang w:val="fr-CA"/>
        </w:rPr>
        <w:t>Boudreault</w:t>
      </w:r>
      <w:proofErr w:type="spellEnd"/>
      <w:r w:rsidRPr="000E0CE9">
        <w:rPr>
          <w:lang w:val="fr-CA"/>
        </w:rPr>
        <w:t>, 2018</w:t>
      </w:r>
      <w:r>
        <w:rPr>
          <w:lang w:val="fr-CA"/>
        </w:rPr>
        <w:t> CSC </w:t>
      </w:r>
      <w:r w:rsidRPr="000E0CE9">
        <w:rPr>
          <w:lang w:val="fr-CA"/>
        </w:rPr>
        <w:t xml:space="preserve">58, </w:t>
      </w:r>
      <w:r>
        <w:rPr>
          <w:lang w:val="fr-CA"/>
        </w:rPr>
        <w:t>[2018] 3 R.C.S. 599, par. </w:t>
      </w:r>
      <w:r w:rsidRPr="000E0CE9">
        <w:rPr>
          <w:lang w:val="fr-CA"/>
        </w:rPr>
        <w:t xml:space="preserve">98; </w:t>
      </w:r>
      <w:r w:rsidRPr="000E0CE9">
        <w:rPr>
          <w:i/>
          <w:lang w:val="fr-CA"/>
        </w:rPr>
        <w:t>Qu</w:t>
      </w:r>
      <w:r>
        <w:rPr>
          <w:i/>
          <w:lang w:val="fr-CA"/>
        </w:rPr>
        <w:t>é</w:t>
      </w:r>
      <w:r w:rsidRPr="000E0CE9">
        <w:rPr>
          <w:i/>
          <w:lang w:val="fr-CA"/>
        </w:rPr>
        <w:t>bec (</w:t>
      </w:r>
      <w:r>
        <w:rPr>
          <w:i/>
          <w:lang w:val="fr-CA"/>
        </w:rPr>
        <w:t>Procureure générale</w:t>
      </w:r>
      <w:r w:rsidRPr="000E0CE9">
        <w:rPr>
          <w:i/>
          <w:lang w:val="fr-CA"/>
        </w:rPr>
        <w:t xml:space="preserve">) </w:t>
      </w:r>
      <w:r>
        <w:rPr>
          <w:i/>
          <w:lang w:val="fr-CA"/>
        </w:rPr>
        <w:t>c</w:t>
      </w:r>
      <w:r w:rsidRPr="000E0CE9">
        <w:rPr>
          <w:i/>
          <w:lang w:val="fr-CA"/>
        </w:rPr>
        <w:t>. Alliance du personnel professionnel et technique de la santé et des services sociaux</w:t>
      </w:r>
      <w:r w:rsidRPr="000E0CE9">
        <w:rPr>
          <w:lang w:val="fr-CA"/>
        </w:rPr>
        <w:t>, 2018</w:t>
      </w:r>
      <w:r>
        <w:rPr>
          <w:lang w:val="fr-CA"/>
        </w:rPr>
        <w:t> CSC </w:t>
      </w:r>
      <w:r w:rsidRPr="000E0CE9">
        <w:rPr>
          <w:lang w:val="fr-CA"/>
        </w:rPr>
        <w:t xml:space="preserve">17, </w:t>
      </w:r>
      <w:r>
        <w:rPr>
          <w:lang w:val="fr-CA"/>
        </w:rPr>
        <w:t>[2018] 1 R.C.S. 464, par. </w:t>
      </w:r>
      <w:r w:rsidRPr="000E0CE9">
        <w:rPr>
          <w:lang w:val="fr-CA"/>
        </w:rPr>
        <w:t>5, 23</w:t>
      </w:r>
      <w:r>
        <w:rPr>
          <w:lang w:val="fr-CA"/>
        </w:rPr>
        <w:t xml:space="preserve"> et </w:t>
      </w:r>
      <w:r w:rsidRPr="000E0CE9">
        <w:rPr>
          <w:lang w:val="fr-CA"/>
        </w:rPr>
        <w:t xml:space="preserve">58; </w:t>
      </w:r>
      <w:r w:rsidRPr="000E0CE9">
        <w:rPr>
          <w:i/>
          <w:lang w:val="fr-CA"/>
        </w:rPr>
        <w:t xml:space="preserve">Conférence des juges de paix magistrats du Québec </w:t>
      </w:r>
      <w:r>
        <w:rPr>
          <w:i/>
          <w:lang w:val="fr-CA"/>
        </w:rPr>
        <w:t>c</w:t>
      </w:r>
      <w:r w:rsidRPr="000E0CE9">
        <w:rPr>
          <w:i/>
          <w:lang w:val="fr-CA"/>
        </w:rPr>
        <w:t>. Qu</w:t>
      </w:r>
      <w:r>
        <w:rPr>
          <w:i/>
          <w:lang w:val="fr-CA"/>
        </w:rPr>
        <w:t>é</w:t>
      </w:r>
      <w:r w:rsidRPr="000E0CE9">
        <w:rPr>
          <w:i/>
          <w:lang w:val="fr-CA"/>
        </w:rPr>
        <w:t>bec (</w:t>
      </w:r>
      <w:r>
        <w:rPr>
          <w:i/>
          <w:lang w:val="fr-CA"/>
        </w:rPr>
        <w:t>Procureure générale</w:t>
      </w:r>
      <w:r w:rsidRPr="000E0CE9">
        <w:rPr>
          <w:i/>
          <w:lang w:val="fr-CA"/>
        </w:rPr>
        <w:t>)</w:t>
      </w:r>
      <w:r w:rsidRPr="000E0CE9">
        <w:rPr>
          <w:lang w:val="fr-CA"/>
        </w:rPr>
        <w:t>, 2016</w:t>
      </w:r>
      <w:r>
        <w:rPr>
          <w:lang w:val="fr-CA"/>
        </w:rPr>
        <w:t> CSC </w:t>
      </w:r>
      <w:r w:rsidRPr="000E0CE9">
        <w:rPr>
          <w:lang w:val="fr-CA"/>
        </w:rPr>
        <w:t xml:space="preserve">39, </w:t>
      </w:r>
      <w:r>
        <w:rPr>
          <w:lang w:val="fr-CA"/>
        </w:rPr>
        <w:t>[2016] 2 R.C.S. 116, par. </w:t>
      </w:r>
      <w:r w:rsidRPr="000E0CE9">
        <w:rPr>
          <w:lang w:val="fr-CA"/>
        </w:rPr>
        <w:t xml:space="preserve">103; </w:t>
      </w:r>
      <w:r w:rsidRPr="000E0CE9">
        <w:rPr>
          <w:i/>
          <w:lang w:val="fr-CA"/>
        </w:rPr>
        <w:t>Canada (</w:t>
      </w:r>
      <w:r>
        <w:rPr>
          <w:i/>
          <w:lang w:val="fr-CA"/>
        </w:rPr>
        <w:t>Procureur général</w:t>
      </w:r>
      <w:r w:rsidRPr="000E0CE9">
        <w:rPr>
          <w:i/>
          <w:lang w:val="fr-CA"/>
        </w:rPr>
        <w:t xml:space="preserve">) </w:t>
      </w:r>
      <w:r>
        <w:rPr>
          <w:i/>
          <w:lang w:val="fr-CA"/>
        </w:rPr>
        <w:t>c</w:t>
      </w:r>
      <w:r w:rsidRPr="000E0CE9">
        <w:rPr>
          <w:i/>
          <w:lang w:val="fr-CA"/>
        </w:rPr>
        <w:t>. Chambre des notaires du Québec</w:t>
      </w:r>
      <w:r w:rsidRPr="000E0CE9">
        <w:rPr>
          <w:lang w:val="fr-CA"/>
        </w:rPr>
        <w:t>, 2016</w:t>
      </w:r>
      <w:r>
        <w:rPr>
          <w:lang w:val="fr-CA"/>
        </w:rPr>
        <w:t> CSC </w:t>
      </w:r>
      <w:r w:rsidRPr="000E0CE9">
        <w:rPr>
          <w:lang w:val="fr-CA"/>
        </w:rPr>
        <w:t>20,</w:t>
      </w:r>
      <w:r>
        <w:rPr>
          <w:lang w:val="fr-CA"/>
        </w:rPr>
        <w:t xml:space="preserve"> [2016] 1 R.C.S. 336,</w:t>
      </w:r>
      <w:r w:rsidRPr="000E0CE9">
        <w:rPr>
          <w:lang w:val="fr-CA"/>
        </w:rPr>
        <w:t xml:space="preserve"> </w:t>
      </w:r>
      <w:r>
        <w:rPr>
          <w:lang w:val="fr-CA"/>
        </w:rPr>
        <w:t>par. </w:t>
      </w:r>
      <w:r w:rsidRPr="000E0CE9">
        <w:rPr>
          <w:lang w:val="fr-CA"/>
        </w:rPr>
        <w:t>4; </w:t>
      </w:r>
      <w:r w:rsidRPr="000E0CE9">
        <w:rPr>
          <w:i/>
          <w:lang w:val="fr-CA"/>
        </w:rPr>
        <w:t>R.</w:t>
      </w:r>
      <w:r>
        <w:rPr>
          <w:i/>
          <w:lang w:val="fr-CA"/>
        </w:rPr>
        <w:t> c</w:t>
      </w:r>
      <w:r w:rsidRPr="000E0CE9">
        <w:rPr>
          <w:i/>
          <w:lang w:val="fr-CA"/>
        </w:rPr>
        <w:t>.</w:t>
      </w:r>
      <w:r>
        <w:rPr>
          <w:i/>
          <w:lang w:val="fr-CA"/>
        </w:rPr>
        <w:t> </w:t>
      </w:r>
      <w:proofErr w:type="spellStart"/>
      <w:r w:rsidRPr="000E0CE9">
        <w:rPr>
          <w:i/>
          <w:lang w:val="fr-CA"/>
        </w:rPr>
        <w:t>Safarzadeh</w:t>
      </w:r>
      <w:r>
        <w:rPr>
          <w:i/>
          <w:lang w:val="fr-CA"/>
        </w:rPr>
        <w:noBreakHyphen/>
      </w:r>
      <w:r w:rsidRPr="000E0CE9">
        <w:rPr>
          <w:i/>
          <w:lang w:val="fr-CA"/>
        </w:rPr>
        <w:t>Markhali</w:t>
      </w:r>
      <w:proofErr w:type="spellEnd"/>
      <w:r w:rsidRPr="000E0CE9">
        <w:rPr>
          <w:lang w:val="fr-CA"/>
        </w:rPr>
        <w:t>, 2016</w:t>
      </w:r>
      <w:r>
        <w:rPr>
          <w:lang w:val="fr-CA"/>
        </w:rPr>
        <w:t> CSC </w:t>
      </w:r>
      <w:r w:rsidRPr="000E0CE9">
        <w:rPr>
          <w:lang w:val="fr-CA"/>
        </w:rPr>
        <w:t xml:space="preserve">14, </w:t>
      </w:r>
      <w:r>
        <w:rPr>
          <w:lang w:val="fr-CA"/>
        </w:rPr>
        <w:t>[2016] 1 R.C.S. 180, par. </w:t>
      </w:r>
      <w:r w:rsidRPr="000E0CE9">
        <w:rPr>
          <w:lang w:val="fr-CA"/>
        </w:rPr>
        <w:t xml:space="preserve">74; </w:t>
      </w:r>
      <w:r w:rsidRPr="000E0CE9">
        <w:rPr>
          <w:i/>
          <w:lang w:val="fr-CA"/>
        </w:rPr>
        <w:t>R.</w:t>
      </w:r>
      <w:r>
        <w:rPr>
          <w:i/>
          <w:lang w:val="fr-CA"/>
        </w:rPr>
        <w:t> c</w:t>
      </w:r>
      <w:r w:rsidRPr="000E0CE9">
        <w:rPr>
          <w:i/>
          <w:lang w:val="fr-CA"/>
        </w:rPr>
        <w:t>.</w:t>
      </w:r>
      <w:r>
        <w:rPr>
          <w:i/>
          <w:lang w:val="fr-CA"/>
        </w:rPr>
        <w:t> </w:t>
      </w:r>
      <w:r w:rsidRPr="000E0CE9">
        <w:rPr>
          <w:i/>
          <w:lang w:val="fr-CA"/>
        </w:rPr>
        <w:t>Lloyd</w:t>
      </w:r>
      <w:r w:rsidRPr="000E0CE9">
        <w:rPr>
          <w:lang w:val="fr-CA"/>
        </w:rPr>
        <w:t>, 2016</w:t>
      </w:r>
      <w:r>
        <w:rPr>
          <w:lang w:val="fr-CA"/>
        </w:rPr>
        <w:t> CSC </w:t>
      </w:r>
      <w:r w:rsidRPr="000E0CE9">
        <w:rPr>
          <w:lang w:val="fr-CA"/>
        </w:rPr>
        <w:t xml:space="preserve">13, </w:t>
      </w:r>
      <w:r>
        <w:rPr>
          <w:lang w:val="fr-CA"/>
        </w:rPr>
        <w:t>[2016] 1 R.C.S. 130, par. </w:t>
      </w:r>
      <w:r w:rsidRPr="000E0CE9">
        <w:rPr>
          <w:lang w:val="fr-CA"/>
        </w:rPr>
        <w:t xml:space="preserve">56; </w:t>
      </w:r>
      <w:r w:rsidRPr="000E0CE9">
        <w:rPr>
          <w:i/>
          <w:lang w:val="fr-CA"/>
        </w:rPr>
        <w:t>R.</w:t>
      </w:r>
      <w:r>
        <w:rPr>
          <w:i/>
          <w:lang w:val="fr-CA"/>
        </w:rPr>
        <w:t> c. </w:t>
      </w:r>
      <w:proofErr w:type="spellStart"/>
      <w:r w:rsidRPr="000E0CE9">
        <w:rPr>
          <w:i/>
          <w:lang w:val="fr-CA"/>
        </w:rPr>
        <w:t>Nur</w:t>
      </w:r>
      <w:proofErr w:type="spellEnd"/>
      <w:r w:rsidRPr="000E0CE9">
        <w:rPr>
          <w:lang w:val="fr-CA"/>
        </w:rPr>
        <w:t>, 2015</w:t>
      </w:r>
      <w:r>
        <w:rPr>
          <w:lang w:val="fr-CA"/>
        </w:rPr>
        <w:t> CSC </w:t>
      </w:r>
      <w:r w:rsidRPr="000E0CE9">
        <w:rPr>
          <w:lang w:val="fr-CA"/>
        </w:rPr>
        <w:t xml:space="preserve">15, </w:t>
      </w:r>
      <w:r>
        <w:rPr>
          <w:lang w:val="fr-CA"/>
        </w:rPr>
        <w:t>[2015] 1 R.C.S. 773, par. </w:t>
      </w:r>
      <w:r w:rsidRPr="000E0CE9">
        <w:rPr>
          <w:lang w:val="fr-CA"/>
        </w:rPr>
        <w:t xml:space="preserve">119; </w:t>
      </w:r>
      <w:r>
        <w:rPr>
          <w:i/>
          <w:lang w:val="fr-CA"/>
        </w:rPr>
        <w:t xml:space="preserve">Canada (Procureur général) c. </w:t>
      </w:r>
      <w:r w:rsidRPr="000E0CE9">
        <w:rPr>
          <w:i/>
          <w:lang w:val="fr-CA"/>
        </w:rPr>
        <w:t>F</w:t>
      </w:r>
      <w:r>
        <w:rPr>
          <w:i/>
          <w:lang w:val="fr-CA"/>
        </w:rPr>
        <w:t>édération des ordres professionnels de juristes du Canada</w:t>
      </w:r>
      <w:r w:rsidRPr="000E0CE9">
        <w:rPr>
          <w:lang w:val="fr-CA"/>
        </w:rPr>
        <w:t xml:space="preserve">, </w:t>
      </w:r>
      <w:r>
        <w:rPr>
          <w:lang w:val="fr-CA"/>
        </w:rPr>
        <w:t xml:space="preserve">2015 CSC 7, </w:t>
      </w:r>
      <w:r w:rsidRPr="00410399">
        <w:rPr>
          <w:lang w:val="fr-CA"/>
        </w:rPr>
        <w:t>[2015]</w:t>
      </w:r>
      <w:r>
        <w:rPr>
          <w:lang w:val="fr-CA"/>
        </w:rPr>
        <w:t xml:space="preserve"> 1 R.C.S. 401, par. </w:t>
      </w:r>
      <w:r w:rsidRPr="000E0CE9">
        <w:rPr>
          <w:lang w:val="fr-CA"/>
        </w:rPr>
        <w:t xml:space="preserve">67 </w:t>
      </w:r>
      <w:r>
        <w:rPr>
          <w:lang w:val="fr-CA"/>
        </w:rPr>
        <w:t>et </w:t>
      </w:r>
      <w:r w:rsidRPr="000E0CE9">
        <w:rPr>
          <w:lang w:val="fr-CA"/>
        </w:rPr>
        <w:t xml:space="preserve">115; </w:t>
      </w:r>
      <w:r w:rsidRPr="000E0CE9">
        <w:rPr>
          <w:i/>
          <w:lang w:val="fr-CA"/>
        </w:rPr>
        <w:t xml:space="preserve">Association </w:t>
      </w:r>
      <w:r>
        <w:rPr>
          <w:i/>
          <w:lang w:val="fr-CA"/>
        </w:rPr>
        <w:t>de la police montée de l’</w:t>
      </w:r>
      <w:r w:rsidRPr="000E0CE9">
        <w:rPr>
          <w:i/>
          <w:lang w:val="fr-CA"/>
        </w:rPr>
        <w:t xml:space="preserve">Ontario </w:t>
      </w:r>
      <w:r>
        <w:rPr>
          <w:i/>
          <w:lang w:val="fr-CA"/>
        </w:rPr>
        <w:t>c</w:t>
      </w:r>
      <w:r w:rsidRPr="000E0CE9">
        <w:rPr>
          <w:i/>
          <w:lang w:val="fr-CA"/>
        </w:rPr>
        <w:t>. Canada (</w:t>
      </w:r>
      <w:r>
        <w:rPr>
          <w:i/>
          <w:lang w:val="fr-CA"/>
        </w:rPr>
        <w:t>Procureur général</w:t>
      </w:r>
      <w:r w:rsidRPr="000E0CE9">
        <w:rPr>
          <w:i/>
          <w:lang w:val="fr-CA"/>
        </w:rPr>
        <w:t>)</w:t>
      </w:r>
      <w:r w:rsidRPr="000E0CE9">
        <w:rPr>
          <w:lang w:val="fr-CA"/>
        </w:rPr>
        <w:t>, 2015</w:t>
      </w:r>
      <w:r>
        <w:rPr>
          <w:lang w:val="fr-CA"/>
        </w:rPr>
        <w:t> CSC </w:t>
      </w:r>
      <w:r w:rsidRPr="000E0CE9">
        <w:rPr>
          <w:lang w:val="fr-CA"/>
        </w:rPr>
        <w:t xml:space="preserve">1, </w:t>
      </w:r>
      <w:r>
        <w:rPr>
          <w:lang w:val="fr-CA"/>
        </w:rPr>
        <w:t>[2015] 1 R.C.S. 3, par. </w:t>
      </w:r>
      <w:r w:rsidRPr="000E0CE9">
        <w:rPr>
          <w:lang w:val="fr-CA"/>
        </w:rPr>
        <w:t xml:space="preserve">154 </w:t>
      </w:r>
      <w:r>
        <w:rPr>
          <w:lang w:val="fr-CA"/>
        </w:rPr>
        <w:t>et </w:t>
      </w:r>
      <w:r w:rsidRPr="000E0CE9">
        <w:rPr>
          <w:lang w:val="fr-CA"/>
        </w:rPr>
        <w:t xml:space="preserve">158; </w:t>
      </w:r>
      <w:r w:rsidRPr="000E0CE9">
        <w:rPr>
          <w:i/>
          <w:lang w:val="fr-CA"/>
        </w:rPr>
        <w:t>Canada (</w:t>
      </w:r>
      <w:r>
        <w:rPr>
          <w:i/>
          <w:lang w:val="fr-CA"/>
        </w:rPr>
        <w:t>Procureur général</w:t>
      </w:r>
      <w:r w:rsidRPr="000E0CE9">
        <w:rPr>
          <w:i/>
          <w:lang w:val="fr-CA"/>
        </w:rPr>
        <w:t xml:space="preserve">) </w:t>
      </w:r>
      <w:r>
        <w:rPr>
          <w:i/>
          <w:lang w:val="fr-CA"/>
        </w:rPr>
        <w:t>c</w:t>
      </w:r>
      <w:r w:rsidRPr="000E0CE9">
        <w:rPr>
          <w:i/>
          <w:lang w:val="fr-CA"/>
        </w:rPr>
        <w:t xml:space="preserve">. </w:t>
      </w:r>
      <w:proofErr w:type="spellStart"/>
      <w:r w:rsidRPr="000E0CE9">
        <w:rPr>
          <w:i/>
          <w:lang w:val="fr-CA"/>
        </w:rPr>
        <w:t>Whaling</w:t>
      </w:r>
      <w:proofErr w:type="spellEnd"/>
      <w:r w:rsidRPr="000E0CE9">
        <w:rPr>
          <w:lang w:val="fr-CA"/>
        </w:rPr>
        <w:t>, 2014</w:t>
      </w:r>
      <w:r>
        <w:rPr>
          <w:lang w:val="fr-CA"/>
        </w:rPr>
        <w:t> CSC </w:t>
      </w:r>
      <w:r w:rsidRPr="000E0CE9">
        <w:rPr>
          <w:lang w:val="fr-CA"/>
        </w:rPr>
        <w:t xml:space="preserve">20, </w:t>
      </w:r>
      <w:r>
        <w:rPr>
          <w:lang w:val="fr-CA"/>
        </w:rPr>
        <w:t>[2014] 1 R.C.S. 392, par. </w:t>
      </w:r>
      <w:r w:rsidRPr="000E0CE9">
        <w:rPr>
          <w:lang w:val="fr-CA"/>
        </w:rPr>
        <w:t>81</w:t>
      </w:r>
      <w:r>
        <w:rPr>
          <w:lang w:val="fr-CA"/>
        </w:rPr>
        <w:noBreakHyphen/>
      </w:r>
      <w:r w:rsidRPr="000E0CE9">
        <w:rPr>
          <w:lang w:val="fr-CA"/>
        </w:rPr>
        <w:t xml:space="preserve">89; </w:t>
      </w:r>
      <w:r>
        <w:rPr>
          <w:i/>
          <w:lang w:val="fr-CA"/>
        </w:rPr>
        <w:t xml:space="preserve">Canada (Procureur général) c. </w:t>
      </w:r>
      <w:r w:rsidRPr="000E0CE9">
        <w:rPr>
          <w:i/>
          <w:lang w:val="fr-CA"/>
        </w:rPr>
        <w:t>Bedford</w:t>
      </w:r>
      <w:r w:rsidRPr="000E0CE9">
        <w:rPr>
          <w:lang w:val="fr-CA"/>
        </w:rPr>
        <w:t>, 2013</w:t>
      </w:r>
      <w:r>
        <w:rPr>
          <w:lang w:val="fr-CA"/>
        </w:rPr>
        <w:t> CSC </w:t>
      </w:r>
      <w:r w:rsidRPr="000E0CE9">
        <w:rPr>
          <w:lang w:val="fr-CA"/>
        </w:rPr>
        <w:t xml:space="preserve">72, </w:t>
      </w:r>
      <w:r w:rsidRPr="00410399">
        <w:rPr>
          <w:lang w:val="fr-CA"/>
        </w:rPr>
        <w:t xml:space="preserve">[2013] 3 R.C.S. 1102, </w:t>
      </w:r>
      <w:r>
        <w:rPr>
          <w:lang w:val="fr-CA"/>
        </w:rPr>
        <w:t>par. </w:t>
      </w:r>
      <w:r w:rsidRPr="000E0CE9">
        <w:rPr>
          <w:lang w:val="fr-CA"/>
        </w:rPr>
        <w:t xml:space="preserve">164; </w:t>
      </w:r>
      <w:r w:rsidRPr="000E0CE9">
        <w:rPr>
          <w:i/>
          <w:lang w:val="fr-CA"/>
        </w:rPr>
        <w:t>R.</w:t>
      </w:r>
      <w:r>
        <w:rPr>
          <w:i/>
          <w:lang w:val="fr-CA"/>
        </w:rPr>
        <w:t> c</w:t>
      </w:r>
      <w:r w:rsidRPr="000E0CE9">
        <w:rPr>
          <w:i/>
          <w:lang w:val="fr-CA"/>
        </w:rPr>
        <w:t>.</w:t>
      </w:r>
      <w:r>
        <w:rPr>
          <w:i/>
          <w:lang w:val="fr-CA"/>
        </w:rPr>
        <w:t> </w:t>
      </w:r>
      <w:r w:rsidRPr="000E0CE9">
        <w:rPr>
          <w:i/>
          <w:lang w:val="fr-CA"/>
        </w:rPr>
        <w:t>Tse</w:t>
      </w:r>
      <w:r w:rsidRPr="000E0CE9">
        <w:rPr>
          <w:lang w:val="fr-CA"/>
        </w:rPr>
        <w:t>, 2012</w:t>
      </w:r>
      <w:r>
        <w:rPr>
          <w:lang w:val="fr-CA"/>
        </w:rPr>
        <w:t> CSC </w:t>
      </w:r>
      <w:r w:rsidRPr="000E0CE9">
        <w:rPr>
          <w:lang w:val="fr-CA"/>
        </w:rPr>
        <w:t>16,</w:t>
      </w:r>
      <w:r>
        <w:rPr>
          <w:lang w:val="fr-CA"/>
        </w:rPr>
        <w:t xml:space="preserve"> [2012] 1 R.C.S. 531,</w:t>
      </w:r>
      <w:r w:rsidRPr="000E0CE9">
        <w:rPr>
          <w:lang w:val="fr-CA"/>
        </w:rPr>
        <w:t xml:space="preserve"> </w:t>
      </w:r>
      <w:r>
        <w:rPr>
          <w:lang w:val="fr-CA"/>
        </w:rPr>
        <w:t>par. </w:t>
      </w:r>
      <w:r w:rsidRPr="000E0CE9">
        <w:rPr>
          <w:lang w:val="fr-CA"/>
        </w:rPr>
        <w:t>100</w:t>
      </w:r>
      <w:r>
        <w:rPr>
          <w:lang w:val="fr-CA"/>
        </w:rPr>
        <w:noBreakHyphen/>
        <w:t>10</w:t>
      </w:r>
      <w:r w:rsidRPr="000E0CE9">
        <w:rPr>
          <w:lang w:val="fr-CA"/>
        </w:rPr>
        <w:t xml:space="preserve">3; </w:t>
      </w:r>
      <w:r w:rsidRPr="000E0CE9">
        <w:rPr>
          <w:i/>
          <w:lang w:val="fr-CA"/>
        </w:rPr>
        <w:t>Qu</w:t>
      </w:r>
      <w:r>
        <w:rPr>
          <w:i/>
          <w:lang w:val="fr-CA"/>
        </w:rPr>
        <w:t>é</w:t>
      </w:r>
      <w:r w:rsidRPr="000E0CE9">
        <w:rPr>
          <w:i/>
          <w:lang w:val="fr-CA"/>
        </w:rPr>
        <w:t>bec (</w:t>
      </w:r>
      <w:r>
        <w:rPr>
          <w:i/>
          <w:lang w:val="fr-CA"/>
        </w:rPr>
        <w:t>Éducation, Loisir et Sport</w:t>
      </w:r>
      <w:r w:rsidRPr="000E0CE9">
        <w:rPr>
          <w:i/>
          <w:lang w:val="fr-CA"/>
        </w:rPr>
        <w:t>)</w:t>
      </w:r>
      <w:r>
        <w:rPr>
          <w:i/>
          <w:lang w:val="fr-CA"/>
        </w:rPr>
        <w:t xml:space="preserve"> c. </w:t>
      </w:r>
      <w:r w:rsidRPr="000E0CE9">
        <w:rPr>
          <w:i/>
          <w:lang w:val="fr-CA"/>
        </w:rPr>
        <w:t>Nguyen</w:t>
      </w:r>
      <w:r w:rsidRPr="000E0CE9">
        <w:rPr>
          <w:lang w:val="fr-CA"/>
        </w:rPr>
        <w:t>, 2009</w:t>
      </w:r>
      <w:r>
        <w:rPr>
          <w:lang w:val="fr-CA"/>
        </w:rPr>
        <w:t> CSC </w:t>
      </w:r>
      <w:r w:rsidRPr="000E0CE9">
        <w:rPr>
          <w:lang w:val="fr-CA"/>
        </w:rPr>
        <w:t xml:space="preserve">47, </w:t>
      </w:r>
      <w:r>
        <w:rPr>
          <w:lang w:val="fr-CA"/>
        </w:rPr>
        <w:t>[2009] 3 R.C.S. 208, par. </w:t>
      </w:r>
      <w:r w:rsidRPr="000E0CE9">
        <w:rPr>
          <w:lang w:val="fr-CA"/>
        </w:rPr>
        <w:t xml:space="preserve">46; </w:t>
      </w:r>
      <w:proofErr w:type="spellStart"/>
      <w:r w:rsidRPr="000E0CE9">
        <w:rPr>
          <w:i/>
          <w:lang w:val="fr-CA"/>
        </w:rPr>
        <w:t>Greater</w:t>
      </w:r>
      <w:proofErr w:type="spellEnd"/>
      <w:r w:rsidRPr="000E0CE9">
        <w:rPr>
          <w:i/>
          <w:lang w:val="fr-CA"/>
        </w:rPr>
        <w:t xml:space="preserve"> Vancouver Transportation </w:t>
      </w:r>
      <w:proofErr w:type="spellStart"/>
      <w:r w:rsidRPr="000E0CE9">
        <w:rPr>
          <w:i/>
          <w:lang w:val="fr-CA"/>
        </w:rPr>
        <w:t>Authority</w:t>
      </w:r>
      <w:proofErr w:type="spellEnd"/>
      <w:r w:rsidRPr="000E0CE9">
        <w:rPr>
          <w:i/>
          <w:lang w:val="fr-CA"/>
        </w:rPr>
        <w:t xml:space="preserve"> </w:t>
      </w:r>
      <w:r>
        <w:rPr>
          <w:i/>
          <w:lang w:val="fr-CA"/>
        </w:rPr>
        <w:t>c</w:t>
      </w:r>
      <w:r w:rsidRPr="000E0CE9">
        <w:rPr>
          <w:i/>
          <w:lang w:val="fr-CA"/>
        </w:rPr>
        <w:t xml:space="preserve">. </w:t>
      </w:r>
      <w:r>
        <w:rPr>
          <w:i/>
          <w:lang w:val="fr-CA"/>
        </w:rPr>
        <w:t>Fédération canadienne des étudiantes et étudiants </w:t>
      </w:r>
      <w:r w:rsidRPr="002A3AC6">
        <w:rPr>
          <w:i/>
          <w:lang w:val="fr-CA"/>
        </w:rPr>
        <w:t xml:space="preserve">— </w:t>
      </w:r>
      <w:r>
        <w:rPr>
          <w:i/>
          <w:lang w:val="fr-CA"/>
        </w:rPr>
        <w:t>Section Colombie</w:t>
      </w:r>
      <w:r>
        <w:rPr>
          <w:i/>
          <w:lang w:val="fr-CA"/>
        </w:rPr>
        <w:noBreakHyphen/>
        <w:t>Britannique</w:t>
      </w:r>
      <w:r w:rsidRPr="002A3AC6">
        <w:rPr>
          <w:lang w:val="fr-CA"/>
        </w:rPr>
        <w:t>, 2009</w:t>
      </w:r>
      <w:r>
        <w:rPr>
          <w:lang w:val="fr-CA"/>
        </w:rPr>
        <w:t> CSC </w:t>
      </w:r>
      <w:r w:rsidRPr="002A3AC6">
        <w:rPr>
          <w:lang w:val="fr-CA"/>
        </w:rPr>
        <w:t xml:space="preserve">31, </w:t>
      </w:r>
      <w:r>
        <w:rPr>
          <w:lang w:val="fr-CA"/>
        </w:rPr>
        <w:t>[2009] 2 R.C.S. 295, par. </w:t>
      </w:r>
      <w:r w:rsidRPr="002A3AC6">
        <w:rPr>
          <w:lang w:val="fr-CA"/>
        </w:rPr>
        <w:t>89</w:t>
      </w:r>
      <w:r>
        <w:rPr>
          <w:lang w:val="fr-CA"/>
        </w:rPr>
        <w:noBreakHyphen/>
      </w:r>
      <w:r w:rsidRPr="002A3AC6">
        <w:rPr>
          <w:lang w:val="fr-CA"/>
        </w:rPr>
        <w:t>91</w:t>
      </w:r>
      <w:r w:rsidRPr="000E0CE9">
        <w:rPr>
          <w:lang w:val="fr-CA"/>
        </w:rPr>
        <w:t xml:space="preserve">; </w:t>
      </w:r>
      <w:proofErr w:type="spellStart"/>
      <w:r w:rsidRPr="000E0CE9">
        <w:rPr>
          <w:i/>
          <w:lang w:val="fr-CA"/>
        </w:rPr>
        <w:t>Health</w:t>
      </w:r>
      <w:proofErr w:type="spellEnd"/>
      <w:r w:rsidRPr="000E0CE9">
        <w:rPr>
          <w:i/>
          <w:lang w:val="fr-CA"/>
        </w:rPr>
        <w:t xml:space="preserve"> Services and Support — </w:t>
      </w:r>
      <w:proofErr w:type="spellStart"/>
      <w:r w:rsidRPr="000E0CE9">
        <w:rPr>
          <w:i/>
          <w:lang w:val="fr-CA"/>
        </w:rPr>
        <w:t>Facilities</w:t>
      </w:r>
      <w:proofErr w:type="spellEnd"/>
      <w:r w:rsidRPr="000E0CE9">
        <w:rPr>
          <w:i/>
          <w:lang w:val="fr-CA"/>
        </w:rPr>
        <w:t xml:space="preserve"> </w:t>
      </w:r>
      <w:proofErr w:type="spellStart"/>
      <w:r w:rsidRPr="000E0CE9">
        <w:rPr>
          <w:i/>
          <w:lang w:val="fr-CA"/>
        </w:rPr>
        <w:t>Subsector</w:t>
      </w:r>
      <w:proofErr w:type="spellEnd"/>
      <w:r w:rsidRPr="000E0CE9">
        <w:rPr>
          <w:i/>
          <w:lang w:val="fr-CA"/>
        </w:rPr>
        <w:t xml:space="preserve"> </w:t>
      </w:r>
      <w:proofErr w:type="spellStart"/>
      <w:r w:rsidRPr="000E0CE9">
        <w:rPr>
          <w:i/>
          <w:lang w:val="fr-CA"/>
        </w:rPr>
        <w:t>Bargaining</w:t>
      </w:r>
      <w:proofErr w:type="spellEnd"/>
      <w:r w:rsidRPr="000E0CE9">
        <w:rPr>
          <w:i/>
          <w:lang w:val="fr-CA"/>
        </w:rPr>
        <w:t xml:space="preserve"> </w:t>
      </w:r>
      <w:proofErr w:type="spellStart"/>
      <w:r w:rsidRPr="000E0CE9">
        <w:rPr>
          <w:i/>
          <w:lang w:val="fr-CA"/>
        </w:rPr>
        <w:t>Assn</w:t>
      </w:r>
      <w:proofErr w:type="spellEnd"/>
      <w:r w:rsidRPr="000E0CE9">
        <w:rPr>
          <w:i/>
          <w:lang w:val="fr-CA"/>
        </w:rPr>
        <w:t xml:space="preserve">. </w:t>
      </w:r>
      <w:r>
        <w:rPr>
          <w:i/>
          <w:lang w:val="fr-CA"/>
        </w:rPr>
        <w:t>c</w:t>
      </w:r>
      <w:r w:rsidRPr="000E0CE9">
        <w:rPr>
          <w:i/>
          <w:lang w:val="fr-CA"/>
        </w:rPr>
        <w:t xml:space="preserve">. </w:t>
      </w:r>
      <w:r>
        <w:rPr>
          <w:i/>
          <w:lang w:val="fr-CA"/>
        </w:rPr>
        <w:t>Colombie</w:t>
      </w:r>
      <w:r>
        <w:rPr>
          <w:i/>
          <w:lang w:val="fr-CA"/>
        </w:rPr>
        <w:noBreakHyphen/>
        <w:t>Britannique</w:t>
      </w:r>
      <w:r w:rsidRPr="000E0CE9">
        <w:rPr>
          <w:lang w:val="fr-CA"/>
        </w:rPr>
        <w:t>, 2007</w:t>
      </w:r>
      <w:r>
        <w:rPr>
          <w:lang w:val="fr-CA"/>
        </w:rPr>
        <w:t> CSC </w:t>
      </w:r>
      <w:r w:rsidRPr="000E0CE9">
        <w:rPr>
          <w:lang w:val="fr-CA"/>
        </w:rPr>
        <w:t xml:space="preserve">27, </w:t>
      </w:r>
      <w:r>
        <w:rPr>
          <w:lang w:val="fr-CA"/>
        </w:rPr>
        <w:t>[2007] 2 R.C.S. 391, par. </w:t>
      </w:r>
      <w:r w:rsidRPr="000E0CE9">
        <w:rPr>
          <w:lang w:val="fr-CA"/>
        </w:rPr>
        <w:t xml:space="preserve">168; </w:t>
      </w:r>
      <w:proofErr w:type="spellStart"/>
      <w:r w:rsidRPr="000E0CE9">
        <w:rPr>
          <w:i/>
          <w:lang w:val="fr-CA"/>
        </w:rPr>
        <w:t>Charkaoui</w:t>
      </w:r>
      <w:proofErr w:type="spellEnd"/>
      <w:r>
        <w:rPr>
          <w:i/>
          <w:lang w:val="fr-CA"/>
        </w:rPr>
        <w:t xml:space="preserve"> c. Canada (Citoyenneté et Immigration)</w:t>
      </w:r>
      <w:r w:rsidRPr="000E0CE9">
        <w:rPr>
          <w:lang w:val="fr-CA"/>
        </w:rPr>
        <w:t xml:space="preserve">, </w:t>
      </w:r>
      <w:r>
        <w:rPr>
          <w:lang w:val="fr-CA"/>
        </w:rPr>
        <w:t xml:space="preserve">2007 CSC 9, </w:t>
      </w:r>
      <w:r w:rsidRPr="0039268E">
        <w:rPr>
          <w:lang w:val="fr-CA"/>
        </w:rPr>
        <w:t>[2007] 1 R.C.S</w:t>
      </w:r>
      <w:r>
        <w:rPr>
          <w:lang w:val="fr-CA"/>
        </w:rPr>
        <w:t>. 350, par. </w:t>
      </w:r>
      <w:r w:rsidRPr="000E0CE9">
        <w:rPr>
          <w:lang w:val="fr-CA"/>
        </w:rPr>
        <w:t xml:space="preserve">142; </w:t>
      </w:r>
      <w:r w:rsidRPr="000E0CE9">
        <w:rPr>
          <w:i/>
          <w:lang w:val="fr-CA"/>
        </w:rPr>
        <w:t>R.</w:t>
      </w:r>
      <w:r>
        <w:rPr>
          <w:i/>
          <w:lang w:val="fr-CA"/>
        </w:rPr>
        <w:t> c</w:t>
      </w:r>
      <w:r w:rsidRPr="000E0CE9">
        <w:rPr>
          <w:i/>
          <w:lang w:val="fr-CA"/>
        </w:rPr>
        <w:t>.</w:t>
      </w:r>
      <w:r>
        <w:rPr>
          <w:i/>
          <w:lang w:val="fr-CA"/>
        </w:rPr>
        <w:t> </w:t>
      </w:r>
      <w:r w:rsidRPr="000E0CE9">
        <w:rPr>
          <w:i/>
          <w:lang w:val="fr-CA"/>
        </w:rPr>
        <w:t>Demers</w:t>
      </w:r>
      <w:r w:rsidRPr="000E0CE9">
        <w:rPr>
          <w:lang w:val="fr-CA"/>
        </w:rPr>
        <w:t>, 2004</w:t>
      </w:r>
      <w:r>
        <w:rPr>
          <w:lang w:val="fr-CA"/>
        </w:rPr>
        <w:t> CSC </w:t>
      </w:r>
      <w:r w:rsidRPr="000E0CE9">
        <w:rPr>
          <w:lang w:val="fr-CA"/>
        </w:rPr>
        <w:t xml:space="preserve">46, </w:t>
      </w:r>
      <w:r>
        <w:rPr>
          <w:lang w:val="fr-CA"/>
        </w:rPr>
        <w:t>[2004] 2 R.C.S. 489, par. </w:t>
      </w:r>
      <w:r w:rsidRPr="000E0CE9">
        <w:rPr>
          <w:lang w:val="fr-CA"/>
        </w:rPr>
        <w:t xml:space="preserve">56 </w:t>
      </w:r>
      <w:r>
        <w:rPr>
          <w:lang w:val="fr-CA"/>
        </w:rPr>
        <w:t>et </w:t>
      </w:r>
      <w:r w:rsidRPr="000E0CE9">
        <w:rPr>
          <w:lang w:val="fr-CA"/>
        </w:rPr>
        <w:t xml:space="preserve">58; </w:t>
      </w:r>
      <w:r w:rsidRPr="007D371B">
        <w:rPr>
          <w:i/>
          <w:lang w:val="fr-CA"/>
        </w:rPr>
        <w:t>Nouvelle</w:t>
      </w:r>
      <w:r>
        <w:rPr>
          <w:i/>
          <w:lang w:val="fr-CA"/>
        </w:rPr>
        <w:noBreakHyphen/>
      </w:r>
      <w:r w:rsidRPr="007D371B">
        <w:rPr>
          <w:i/>
          <w:lang w:val="fr-CA"/>
        </w:rPr>
        <w:t>Écosse (</w:t>
      </w:r>
      <w:proofErr w:type="spellStart"/>
      <w:r w:rsidRPr="007D371B">
        <w:rPr>
          <w:i/>
          <w:lang w:val="fr-CA"/>
        </w:rPr>
        <w:t>Workers</w:t>
      </w:r>
      <w:proofErr w:type="spellEnd"/>
      <w:r w:rsidRPr="007D371B">
        <w:rPr>
          <w:i/>
          <w:lang w:val="fr-CA"/>
        </w:rPr>
        <w:t xml:space="preserve">’ Compensation </w:t>
      </w:r>
      <w:proofErr w:type="spellStart"/>
      <w:r w:rsidRPr="007D371B">
        <w:rPr>
          <w:i/>
          <w:lang w:val="fr-CA"/>
        </w:rPr>
        <w:t>Board</w:t>
      </w:r>
      <w:proofErr w:type="spellEnd"/>
      <w:r w:rsidRPr="007D371B">
        <w:rPr>
          <w:i/>
          <w:lang w:val="fr-CA"/>
        </w:rPr>
        <w:t xml:space="preserve">) </w:t>
      </w:r>
      <w:r>
        <w:rPr>
          <w:i/>
          <w:lang w:val="fr-CA"/>
        </w:rPr>
        <w:t>c</w:t>
      </w:r>
      <w:r w:rsidRPr="000E0CE9">
        <w:rPr>
          <w:i/>
          <w:lang w:val="fr-CA"/>
        </w:rPr>
        <w:t>. Martin</w:t>
      </w:r>
      <w:r w:rsidRPr="000E0CE9">
        <w:rPr>
          <w:lang w:val="fr-CA"/>
        </w:rPr>
        <w:t>, 2003</w:t>
      </w:r>
      <w:r>
        <w:rPr>
          <w:lang w:val="fr-CA"/>
        </w:rPr>
        <w:t> CSC </w:t>
      </w:r>
      <w:r w:rsidRPr="000E0CE9">
        <w:rPr>
          <w:lang w:val="fr-CA"/>
        </w:rPr>
        <w:t xml:space="preserve">54, </w:t>
      </w:r>
      <w:r>
        <w:rPr>
          <w:lang w:val="fr-CA"/>
        </w:rPr>
        <w:t>[2003] 2 R.C.S. 504, par. </w:t>
      </w:r>
      <w:r w:rsidRPr="000E0CE9">
        <w:rPr>
          <w:lang w:val="fr-CA"/>
        </w:rPr>
        <w:t xml:space="preserve">118; </w:t>
      </w:r>
      <w:proofErr w:type="spellStart"/>
      <w:r w:rsidRPr="000E0CE9">
        <w:rPr>
          <w:i/>
          <w:lang w:val="fr-CA"/>
        </w:rPr>
        <w:t>Figueroa</w:t>
      </w:r>
      <w:proofErr w:type="spellEnd"/>
      <w:r w:rsidRPr="000E0CE9">
        <w:rPr>
          <w:i/>
          <w:lang w:val="fr-CA"/>
        </w:rPr>
        <w:t xml:space="preserve"> </w:t>
      </w:r>
      <w:r>
        <w:rPr>
          <w:i/>
          <w:lang w:val="fr-CA"/>
        </w:rPr>
        <w:t>c</w:t>
      </w:r>
      <w:r w:rsidRPr="000E0CE9">
        <w:rPr>
          <w:i/>
          <w:lang w:val="fr-CA"/>
        </w:rPr>
        <w:t>. Canada (</w:t>
      </w:r>
      <w:r>
        <w:rPr>
          <w:i/>
          <w:lang w:val="fr-CA"/>
        </w:rPr>
        <w:t>Procureur général</w:t>
      </w:r>
      <w:r w:rsidRPr="000E0CE9">
        <w:rPr>
          <w:i/>
          <w:lang w:val="fr-CA"/>
        </w:rPr>
        <w:t>)</w:t>
      </w:r>
      <w:r w:rsidRPr="000E0CE9">
        <w:rPr>
          <w:lang w:val="fr-CA"/>
        </w:rPr>
        <w:t>, 2003</w:t>
      </w:r>
      <w:r>
        <w:rPr>
          <w:lang w:val="fr-CA"/>
        </w:rPr>
        <w:t> CSC </w:t>
      </w:r>
      <w:r w:rsidRPr="000E0CE9">
        <w:rPr>
          <w:lang w:val="fr-CA"/>
        </w:rPr>
        <w:t xml:space="preserve">37, </w:t>
      </w:r>
      <w:r>
        <w:rPr>
          <w:lang w:val="fr-CA"/>
        </w:rPr>
        <w:t>[2003] 1 R.C.S. 912, par. </w:t>
      </w:r>
      <w:r w:rsidRPr="000E0CE9">
        <w:rPr>
          <w:lang w:val="fr-CA"/>
        </w:rPr>
        <w:t xml:space="preserve">93; </w:t>
      </w:r>
      <w:proofErr w:type="spellStart"/>
      <w:r w:rsidRPr="000E0CE9">
        <w:rPr>
          <w:i/>
          <w:lang w:val="fr-CA"/>
        </w:rPr>
        <w:t>Trociuk</w:t>
      </w:r>
      <w:proofErr w:type="spellEnd"/>
      <w:r w:rsidRPr="000E0CE9">
        <w:rPr>
          <w:i/>
          <w:lang w:val="fr-CA"/>
        </w:rPr>
        <w:t xml:space="preserve"> </w:t>
      </w:r>
      <w:r>
        <w:rPr>
          <w:i/>
          <w:lang w:val="fr-CA"/>
        </w:rPr>
        <w:t>c</w:t>
      </w:r>
      <w:r w:rsidRPr="000E0CE9">
        <w:rPr>
          <w:i/>
          <w:lang w:val="fr-CA"/>
        </w:rPr>
        <w:t xml:space="preserve">. </w:t>
      </w:r>
      <w:r>
        <w:rPr>
          <w:i/>
          <w:lang w:val="fr-CA"/>
        </w:rPr>
        <w:t>Colombie</w:t>
      </w:r>
      <w:r>
        <w:rPr>
          <w:i/>
          <w:lang w:val="fr-CA"/>
        </w:rPr>
        <w:noBreakHyphen/>
        <w:t>Britannique</w:t>
      </w:r>
      <w:r w:rsidRPr="000E0CE9">
        <w:rPr>
          <w:i/>
          <w:lang w:val="fr-CA"/>
        </w:rPr>
        <w:t xml:space="preserve"> (</w:t>
      </w:r>
      <w:r>
        <w:rPr>
          <w:i/>
          <w:lang w:val="fr-CA"/>
        </w:rPr>
        <w:t>Procureur général</w:t>
      </w:r>
      <w:r w:rsidRPr="000E0CE9">
        <w:rPr>
          <w:i/>
          <w:lang w:val="fr-CA"/>
        </w:rPr>
        <w:t>)</w:t>
      </w:r>
      <w:r w:rsidRPr="000E0CE9">
        <w:rPr>
          <w:lang w:val="fr-CA"/>
        </w:rPr>
        <w:t>, 2003</w:t>
      </w:r>
      <w:r>
        <w:rPr>
          <w:lang w:val="fr-CA"/>
        </w:rPr>
        <w:t> CSC </w:t>
      </w:r>
      <w:r w:rsidRPr="000E0CE9">
        <w:rPr>
          <w:lang w:val="fr-CA"/>
        </w:rPr>
        <w:t xml:space="preserve">34, </w:t>
      </w:r>
      <w:r>
        <w:rPr>
          <w:lang w:val="fr-CA"/>
        </w:rPr>
        <w:t>[</w:t>
      </w:r>
      <w:r w:rsidR="0025412A">
        <w:rPr>
          <w:lang w:val="fr-CA"/>
        </w:rPr>
        <w:t>2003</w:t>
      </w:r>
      <w:r>
        <w:rPr>
          <w:lang w:val="fr-CA"/>
        </w:rPr>
        <w:t>] 1 R.C.S. 835, par. </w:t>
      </w:r>
      <w:r w:rsidRPr="000E0CE9">
        <w:rPr>
          <w:lang w:val="fr-CA"/>
        </w:rPr>
        <w:t xml:space="preserve">43 </w:t>
      </w:r>
      <w:r>
        <w:rPr>
          <w:lang w:val="fr-CA"/>
        </w:rPr>
        <w:t>et </w:t>
      </w:r>
      <w:r w:rsidRPr="000E0CE9">
        <w:rPr>
          <w:lang w:val="fr-CA"/>
        </w:rPr>
        <w:t xml:space="preserve">46; </w:t>
      </w:r>
      <w:r w:rsidRPr="000E0CE9">
        <w:rPr>
          <w:i/>
          <w:lang w:val="fr-CA"/>
        </w:rPr>
        <w:t xml:space="preserve">Sauvé </w:t>
      </w:r>
      <w:r>
        <w:rPr>
          <w:i/>
          <w:lang w:val="fr-CA"/>
        </w:rPr>
        <w:t>c</w:t>
      </w:r>
      <w:r w:rsidRPr="000E0CE9">
        <w:rPr>
          <w:i/>
          <w:lang w:val="fr-CA"/>
        </w:rPr>
        <w:t>. Canada (</w:t>
      </w:r>
      <w:r>
        <w:rPr>
          <w:i/>
          <w:lang w:val="fr-CA"/>
        </w:rPr>
        <w:t>Directeur général des élections</w:t>
      </w:r>
      <w:r w:rsidRPr="000E0CE9">
        <w:rPr>
          <w:lang w:val="fr-CA"/>
        </w:rPr>
        <w:t>), 2002</w:t>
      </w:r>
      <w:r>
        <w:rPr>
          <w:lang w:val="fr-CA"/>
        </w:rPr>
        <w:t> CSC </w:t>
      </w:r>
      <w:r w:rsidRPr="000E0CE9">
        <w:rPr>
          <w:lang w:val="fr-CA"/>
        </w:rPr>
        <w:t xml:space="preserve">68, </w:t>
      </w:r>
      <w:r>
        <w:rPr>
          <w:lang w:val="fr-CA"/>
        </w:rPr>
        <w:t>[2002] 3 R.C.S. 519, par. </w:t>
      </w:r>
      <w:r w:rsidRPr="000E0CE9">
        <w:rPr>
          <w:lang w:val="fr-CA"/>
        </w:rPr>
        <w:t xml:space="preserve">64; </w:t>
      </w:r>
      <w:proofErr w:type="spellStart"/>
      <w:r w:rsidRPr="000E0CE9">
        <w:rPr>
          <w:i/>
          <w:lang w:val="fr-CA"/>
        </w:rPr>
        <w:t>Lavallee</w:t>
      </w:r>
      <w:proofErr w:type="spellEnd"/>
      <w:r w:rsidRPr="000E0CE9">
        <w:rPr>
          <w:i/>
          <w:lang w:val="fr-CA"/>
        </w:rPr>
        <w:t xml:space="preserve">, </w:t>
      </w:r>
      <w:proofErr w:type="spellStart"/>
      <w:r w:rsidRPr="000E0CE9">
        <w:rPr>
          <w:i/>
          <w:lang w:val="fr-CA"/>
        </w:rPr>
        <w:t>Rackel</w:t>
      </w:r>
      <w:proofErr w:type="spellEnd"/>
      <w:r w:rsidRPr="000E0CE9">
        <w:rPr>
          <w:i/>
          <w:lang w:val="fr-CA"/>
        </w:rPr>
        <w:t xml:space="preserve"> &amp; </w:t>
      </w:r>
      <w:proofErr w:type="spellStart"/>
      <w:r w:rsidRPr="000E0CE9">
        <w:rPr>
          <w:i/>
          <w:lang w:val="fr-CA"/>
        </w:rPr>
        <w:t>Heintz</w:t>
      </w:r>
      <w:proofErr w:type="spellEnd"/>
      <w:r w:rsidRPr="000E0CE9">
        <w:rPr>
          <w:i/>
          <w:lang w:val="fr-CA"/>
        </w:rPr>
        <w:t xml:space="preserve"> </w:t>
      </w:r>
      <w:r>
        <w:rPr>
          <w:i/>
          <w:lang w:val="fr-CA"/>
        </w:rPr>
        <w:t>c</w:t>
      </w:r>
      <w:r w:rsidRPr="000E0CE9">
        <w:rPr>
          <w:i/>
          <w:lang w:val="fr-CA"/>
        </w:rPr>
        <w:t>. Canada (</w:t>
      </w:r>
      <w:r>
        <w:rPr>
          <w:i/>
          <w:lang w:val="fr-CA"/>
        </w:rPr>
        <w:t>Procureur général</w:t>
      </w:r>
      <w:r w:rsidRPr="000E0CE9">
        <w:rPr>
          <w:i/>
          <w:lang w:val="fr-CA"/>
        </w:rPr>
        <w:t>)</w:t>
      </w:r>
      <w:r>
        <w:rPr>
          <w:lang w:val="fr-CA"/>
        </w:rPr>
        <w:t>, 2002 CSC 61, [2002] 3 R.C.S. 209, par. 47</w:t>
      </w:r>
      <w:r>
        <w:rPr>
          <w:lang w:val="fr-CA"/>
        </w:rPr>
        <w:noBreakHyphen/>
        <w:t xml:space="preserve">48; </w:t>
      </w:r>
      <w:r>
        <w:rPr>
          <w:i/>
          <w:lang w:val="fr-CA"/>
        </w:rPr>
        <w:t>R. c. Guignard</w:t>
      </w:r>
      <w:r>
        <w:rPr>
          <w:lang w:val="fr-CA"/>
        </w:rPr>
        <w:t xml:space="preserve">, 2002 CSC 14, [2002] 1 R.C.S. 472, par. 32 et 34; </w:t>
      </w:r>
      <w:proofErr w:type="spellStart"/>
      <w:r>
        <w:rPr>
          <w:i/>
          <w:lang w:val="fr-CA"/>
        </w:rPr>
        <w:t>Dunmore</w:t>
      </w:r>
      <w:proofErr w:type="spellEnd"/>
      <w:r>
        <w:rPr>
          <w:i/>
          <w:lang w:val="fr-CA"/>
        </w:rPr>
        <w:t xml:space="preserve"> c. Ontario (Procureur général)</w:t>
      </w:r>
      <w:r>
        <w:rPr>
          <w:lang w:val="fr-CA"/>
        </w:rPr>
        <w:t xml:space="preserve">, 2001 CSC 94, </w:t>
      </w:r>
      <w:r w:rsidRPr="003B5160">
        <w:rPr>
          <w:lang w:val="fr-CA"/>
        </w:rPr>
        <w:t xml:space="preserve">[2001] </w:t>
      </w:r>
      <w:r>
        <w:rPr>
          <w:lang w:val="fr-CA"/>
        </w:rPr>
        <w:t xml:space="preserve">3 R.C.S. 1016, par. 70; </w:t>
      </w:r>
      <w:r>
        <w:rPr>
          <w:i/>
          <w:lang w:val="fr-CA"/>
        </w:rPr>
        <w:t>T.</w:t>
      </w:r>
      <w:r w:rsidRPr="000E0CE9">
        <w:rPr>
          <w:i/>
          <w:lang w:val="fr-CA"/>
        </w:rPr>
        <w:t>U.</w:t>
      </w:r>
      <w:r>
        <w:rPr>
          <w:i/>
          <w:lang w:val="fr-CA"/>
        </w:rPr>
        <w:t>A</w:t>
      </w:r>
      <w:r w:rsidRPr="000E0CE9">
        <w:rPr>
          <w:i/>
          <w:lang w:val="fr-CA"/>
        </w:rPr>
        <w:t xml:space="preserve">.C., </w:t>
      </w:r>
      <w:r>
        <w:rPr>
          <w:i/>
          <w:lang w:val="fr-CA"/>
        </w:rPr>
        <w:t>section locale </w:t>
      </w:r>
      <w:r w:rsidRPr="000E0CE9">
        <w:rPr>
          <w:i/>
          <w:lang w:val="fr-CA"/>
        </w:rPr>
        <w:t xml:space="preserve">1518 </w:t>
      </w:r>
      <w:r>
        <w:rPr>
          <w:i/>
          <w:lang w:val="fr-CA"/>
        </w:rPr>
        <w:t>c</w:t>
      </w:r>
      <w:r w:rsidRPr="000E0CE9">
        <w:rPr>
          <w:i/>
          <w:lang w:val="fr-CA"/>
        </w:rPr>
        <w:t xml:space="preserve">. </w:t>
      </w:r>
      <w:proofErr w:type="spellStart"/>
      <w:r w:rsidRPr="000E0CE9">
        <w:rPr>
          <w:i/>
          <w:lang w:val="fr-CA"/>
        </w:rPr>
        <w:t>KMart</w:t>
      </w:r>
      <w:proofErr w:type="spellEnd"/>
      <w:r w:rsidRPr="000E0CE9">
        <w:rPr>
          <w:i/>
          <w:lang w:val="fr-CA"/>
        </w:rPr>
        <w:t xml:space="preserve"> Canada Ltd.</w:t>
      </w:r>
      <w:r w:rsidRPr="000E0CE9">
        <w:rPr>
          <w:lang w:val="fr-CA"/>
        </w:rPr>
        <w:t>, [1999] 2</w:t>
      </w:r>
      <w:r>
        <w:rPr>
          <w:lang w:val="fr-CA"/>
        </w:rPr>
        <w:t> R.C.S. </w:t>
      </w:r>
      <w:r w:rsidRPr="000E0CE9">
        <w:rPr>
          <w:lang w:val="fr-CA"/>
        </w:rPr>
        <w:t xml:space="preserve">1083, </w:t>
      </w:r>
      <w:r>
        <w:rPr>
          <w:lang w:val="fr-CA"/>
        </w:rPr>
        <w:t>par. </w:t>
      </w:r>
      <w:r w:rsidRPr="000E0CE9">
        <w:rPr>
          <w:lang w:val="fr-CA"/>
        </w:rPr>
        <w:t>79</w:t>
      </w:r>
      <w:r>
        <w:rPr>
          <w:lang w:val="fr-CA"/>
        </w:rPr>
        <w:noBreakHyphen/>
      </w:r>
      <w:r w:rsidRPr="000E0CE9">
        <w:rPr>
          <w:lang w:val="fr-CA"/>
        </w:rPr>
        <w:t xml:space="preserve">80; </w:t>
      </w:r>
      <w:r w:rsidRPr="000E0CE9">
        <w:rPr>
          <w:i/>
          <w:lang w:val="fr-CA"/>
        </w:rPr>
        <w:t>M.</w:t>
      </w:r>
      <w:r>
        <w:rPr>
          <w:i/>
          <w:lang w:val="fr-CA"/>
        </w:rPr>
        <w:t> c</w:t>
      </w:r>
      <w:r w:rsidRPr="000E0CE9">
        <w:rPr>
          <w:i/>
          <w:lang w:val="fr-CA"/>
        </w:rPr>
        <w:t>.</w:t>
      </w:r>
      <w:r>
        <w:rPr>
          <w:i/>
          <w:lang w:val="fr-CA"/>
        </w:rPr>
        <w:t> </w:t>
      </w:r>
      <w:r w:rsidRPr="000E0CE9">
        <w:rPr>
          <w:i/>
          <w:lang w:val="fr-CA"/>
        </w:rPr>
        <w:t>H.</w:t>
      </w:r>
      <w:r w:rsidRPr="000E0CE9">
        <w:rPr>
          <w:lang w:val="fr-CA"/>
        </w:rPr>
        <w:t>, [1999] 2</w:t>
      </w:r>
      <w:r>
        <w:rPr>
          <w:lang w:val="fr-CA"/>
        </w:rPr>
        <w:t> R.C.S. </w:t>
      </w:r>
      <w:r w:rsidRPr="000E0CE9">
        <w:rPr>
          <w:lang w:val="fr-CA"/>
        </w:rPr>
        <w:t xml:space="preserve">3, </w:t>
      </w:r>
      <w:r>
        <w:rPr>
          <w:lang w:val="fr-CA"/>
        </w:rPr>
        <w:t>par. </w:t>
      </w:r>
      <w:r w:rsidRPr="000E0CE9">
        <w:rPr>
          <w:lang w:val="fr-CA"/>
        </w:rPr>
        <w:t>136</w:t>
      </w:r>
      <w:r>
        <w:rPr>
          <w:lang w:val="fr-CA"/>
        </w:rPr>
        <w:noBreakHyphen/>
        <w:t>1</w:t>
      </w:r>
      <w:r w:rsidRPr="000E0CE9">
        <w:rPr>
          <w:lang w:val="fr-CA"/>
        </w:rPr>
        <w:t xml:space="preserve">45; </w:t>
      </w:r>
      <w:r w:rsidRPr="000E0CE9">
        <w:rPr>
          <w:i/>
          <w:lang w:val="fr-CA"/>
        </w:rPr>
        <w:t xml:space="preserve">Thomson </w:t>
      </w:r>
      <w:proofErr w:type="spellStart"/>
      <w:r w:rsidRPr="000E0CE9">
        <w:rPr>
          <w:i/>
          <w:lang w:val="fr-CA"/>
        </w:rPr>
        <w:t>Newspapers</w:t>
      </w:r>
      <w:proofErr w:type="spellEnd"/>
      <w:r w:rsidRPr="000E0CE9">
        <w:rPr>
          <w:i/>
          <w:lang w:val="fr-CA"/>
        </w:rPr>
        <w:t xml:space="preserve"> Co. </w:t>
      </w:r>
      <w:r>
        <w:rPr>
          <w:i/>
          <w:lang w:val="fr-CA"/>
        </w:rPr>
        <w:t>c</w:t>
      </w:r>
      <w:r w:rsidRPr="000E0CE9">
        <w:rPr>
          <w:i/>
          <w:lang w:val="fr-CA"/>
        </w:rPr>
        <w:t>. Canada (</w:t>
      </w:r>
      <w:r>
        <w:rPr>
          <w:i/>
          <w:lang w:val="fr-CA"/>
        </w:rPr>
        <w:t>Procureur général</w:t>
      </w:r>
      <w:r w:rsidRPr="000E0CE9">
        <w:rPr>
          <w:i/>
          <w:lang w:val="fr-CA"/>
        </w:rPr>
        <w:t>)</w:t>
      </w:r>
      <w:r w:rsidRPr="000E0CE9">
        <w:rPr>
          <w:lang w:val="fr-CA"/>
        </w:rPr>
        <w:t>, [1998] 1</w:t>
      </w:r>
      <w:r>
        <w:rPr>
          <w:lang w:val="fr-CA"/>
        </w:rPr>
        <w:t> R.C.S. </w:t>
      </w:r>
      <w:r w:rsidRPr="000E0CE9">
        <w:rPr>
          <w:lang w:val="fr-CA"/>
        </w:rPr>
        <w:t xml:space="preserve">877, </w:t>
      </w:r>
      <w:r>
        <w:rPr>
          <w:lang w:val="fr-CA"/>
        </w:rPr>
        <w:t>par. </w:t>
      </w:r>
      <w:r w:rsidRPr="000E0CE9">
        <w:rPr>
          <w:lang w:val="fr-CA"/>
        </w:rPr>
        <w:t xml:space="preserve">131; </w:t>
      </w:r>
      <w:proofErr w:type="spellStart"/>
      <w:r>
        <w:rPr>
          <w:i/>
          <w:lang w:val="fr-CA"/>
        </w:rPr>
        <w:t>Libman</w:t>
      </w:r>
      <w:proofErr w:type="spellEnd"/>
      <w:r>
        <w:rPr>
          <w:i/>
          <w:lang w:val="fr-CA"/>
        </w:rPr>
        <w:t> c</w:t>
      </w:r>
      <w:r w:rsidRPr="000E0CE9">
        <w:rPr>
          <w:i/>
          <w:lang w:val="fr-CA"/>
        </w:rPr>
        <w:t>.</w:t>
      </w:r>
      <w:r>
        <w:rPr>
          <w:i/>
          <w:lang w:val="fr-CA"/>
        </w:rPr>
        <w:t> </w:t>
      </w:r>
      <w:r w:rsidRPr="000E0CE9">
        <w:rPr>
          <w:i/>
          <w:lang w:val="fr-CA"/>
        </w:rPr>
        <w:t>Qu</w:t>
      </w:r>
      <w:r>
        <w:rPr>
          <w:i/>
          <w:lang w:val="fr-CA"/>
        </w:rPr>
        <w:t>é</w:t>
      </w:r>
      <w:r w:rsidRPr="000E0CE9">
        <w:rPr>
          <w:i/>
          <w:lang w:val="fr-CA"/>
        </w:rPr>
        <w:t>bec (</w:t>
      </w:r>
      <w:r>
        <w:rPr>
          <w:i/>
          <w:lang w:val="fr-CA"/>
        </w:rPr>
        <w:t>Procureur général</w:t>
      </w:r>
      <w:r w:rsidRPr="000E0CE9">
        <w:rPr>
          <w:i/>
          <w:lang w:val="fr-CA"/>
        </w:rPr>
        <w:t>)</w:t>
      </w:r>
      <w:r w:rsidRPr="000E0CE9">
        <w:rPr>
          <w:lang w:val="fr-CA"/>
        </w:rPr>
        <w:t>, [1997] 3</w:t>
      </w:r>
      <w:r>
        <w:rPr>
          <w:lang w:val="fr-CA"/>
        </w:rPr>
        <w:t> R.C.S. </w:t>
      </w:r>
      <w:r w:rsidRPr="000E0CE9">
        <w:rPr>
          <w:lang w:val="fr-CA"/>
        </w:rPr>
        <w:t xml:space="preserve">569, </w:t>
      </w:r>
      <w:r>
        <w:rPr>
          <w:lang w:val="fr-CA"/>
        </w:rPr>
        <w:t>par. </w:t>
      </w:r>
      <w:r w:rsidRPr="000E0CE9">
        <w:rPr>
          <w:lang w:val="fr-CA"/>
        </w:rPr>
        <w:t xml:space="preserve">86; </w:t>
      </w:r>
      <w:r>
        <w:rPr>
          <w:i/>
          <w:lang w:val="fr-CA"/>
        </w:rPr>
        <w:t>Renvoi relatif à la rémunération des juges de la Cour provinciale de l’Île</w:t>
      </w:r>
      <w:r>
        <w:rPr>
          <w:i/>
          <w:lang w:val="fr-CA"/>
        </w:rPr>
        <w:noBreakHyphen/>
        <w:t>du</w:t>
      </w:r>
      <w:r>
        <w:rPr>
          <w:i/>
          <w:lang w:val="fr-CA"/>
        </w:rPr>
        <w:noBreakHyphen/>
        <w:t>Prince</w:t>
      </w:r>
      <w:r>
        <w:rPr>
          <w:i/>
          <w:lang w:val="fr-CA"/>
        </w:rPr>
        <w:noBreakHyphen/>
        <w:t>Édouard</w:t>
      </w:r>
      <w:r>
        <w:rPr>
          <w:lang w:val="fr-CA"/>
        </w:rPr>
        <w:t xml:space="preserve">, </w:t>
      </w:r>
      <w:r w:rsidRPr="003B5160">
        <w:rPr>
          <w:lang w:val="fr-CA"/>
        </w:rPr>
        <w:t>[1</w:t>
      </w:r>
      <w:r>
        <w:rPr>
          <w:lang w:val="fr-CA"/>
        </w:rPr>
        <w:t>997] 3 R.C.S. 3</w:t>
      </w:r>
      <w:r w:rsidRPr="000E0CE9">
        <w:rPr>
          <w:lang w:val="fr-CA"/>
        </w:rPr>
        <w:t xml:space="preserve">, </w:t>
      </w:r>
      <w:r>
        <w:rPr>
          <w:lang w:val="fr-CA"/>
        </w:rPr>
        <w:t>par. </w:t>
      </w:r>
      <w:r w:rsidRPr="000E0CE9">
        <w:rPr>
          <w:lang w:val="fr-CA"/>
        </w:rPr>
        <w:t xml:space="preserve">292; </w:t>
      </w:r>
      <w:r w:rsidRPr="000E0CE9">
        <w:rPr>
          <w:i/>
          <w:lang w:val="fr-CA"/>
        </w:rPr>
        <w:t>R.</w:t>
      </w:r>
      <w:r>
        <w:rPr>
          <w:i/>
          <w:lang w:val="fr-CA"/>
        </w:rPr>
        <w:t> c</w:t>
      </w:r>
      <w:r w:rsidRPr="000E0CE9">
        <w:rPr>
          <w:i/>
          <w:lang w:val="fr-CA"/>
        </w:rPr>
        <w:t>.</w:t>
      </w:r>
      <w:r>
        <w:rPr>
          <w:i/>
          <w:lang w:val="fr-CA"/>
        </w:rPr>
        <w:t> </w:t>
      </w:r>
      <w:r w:rsidRPr="000E0CE9">
        <w:rPr>
          <w:i/>
          <w:lang w:val="fr-CA"/>
        </w:rPr>
        <w:t>Heywood</w:t>
      </w:r>
      <w:r w:rsidRPr="000E0CE9">
        <w:rPr>
          <w:lang w:val="fr-CA"/>
        </w:rPr>
        <w:t>, [1994] 3</w:t>
      </w:r>
      <w:r>
        <w:rPr>
          <w:lang w:val="fr-CA"/>
        </w:rPr>
        <w:t> R.C.S. </w:t>
      </w:r>
      <w:r w:rsidRPr="000E0CE9">
        <w:rPr>
          <w:lang w:val="fr-CA"/>
        </w:rPr>
        <w:t xml:space="preserve">761, </w:t>
      </w:r>
      <w:r>
        <w:rPr>
          <w:lang w:val="fr-CA"/>
        </w:rPr>
        <w:t>p. </w:t>
      </w:r>
      <w:r w:rsidRPr="000E0CE9">
        <w:rPr>
          <w:lang w:val="fr-CA"/>
        </w:rPr>
        <w:t>803</w:t>
      </w:r>
      <w:r>
        <w:rPr>
          <w:lang w:val="fr-CA"/>
        </w:rPr>
        <w:noBreakHyphen/>
        <w:t>80</w:t>
      </w:r>
      <w:r w:rsidRPr="000E0CE9">
        <w:rPr>
          <w:lang w:val="fr-CA"/>
        </w:rPr>
        <w:t>4;</w:t>
      </w:r>
      <w:r w:rsidRPr="000E0CE9">
        <w:rPr>
          <w:i/>
          <w:lang w:val="fr-CA"/>
        </w:rPr>
        <w:t xml:space="preserve"> Sauvé </w:t>
      </w:r>
      <w:r>
        <w:rPr>
          <w:i/>
          <w:lang w:val="fr-CA"/>
        </w:rPr>
        <w:t>c</w:t>
      </w:r>
      <w:r w:rsidRPr="000E0CE9">
        <w:rPr>
          <w:i/>
          <w:lang w:val="fr-CA"/>
        </w:rPr>
        <w:t>. Canada (</w:t>
      </w:r>
      <w:r>
        <w:rPr>
          <w:i/>
          <w:lang w:val="fr-CA"/>
        </w:rPr>
        <w:t>Procureur général</w:t>
      </w:r>
      <w:r w:rsidRPr="000E0CE9">
        <w:rPr>
          <w:i/>
          <w:lang w:val="fr-CA"/>
        </w:rPr>
        <w:t>)</w:t>
      </w:r>
      <w:r w:rsidRPr="000E0CE9">
        <w:rPr>
          <w:lang w:val="fr-CA"/>
        </w:rPr>
        <w:t>, [1993] 2</w:t>
      </w:r>
      <w:r>
        <w:rPr>
          <w:lang w:val="fr-CA"/>
        </w:rPr>
        <w:t> R.C.S. </w:t>
      </w:r>
      <w:r w:rsidRPr="000E0CE9">
        <w:rPr>
          <w:lang w:val="fr-CA"/>
        </w:rPr>
        <w:t xml:space="preserve">438, </w:t>
      </w:r>
      <w:r>
        <w:rPr>
          <w:lang w:val="fr-CA"/>
        </w:rPr>
        <w:t>p. </w:t>
      </w:r>
      <w:r w:rsidRPr="000E0CE9">
        <w:rPr>
          <w:lang w:val="fr-CA"/>
        </w:rPr>
        <w:t>439</w:t>
      </w:r>
      <w:r>
        <w:rPr>
          <w:lang w:val="fr-CA"/>
        </w:rPr>
        <w:noBreakHyphen/>
        <w:t>4</w:t>
      </w:r>
      <w:r w:rsidRPr="000E0CE9">
        <w:rPr>
          <w:lang w:val="fr-CA"/>
        </w:rPr>
        <w:t xml:space="preserve">40; </w:t>
      </w:r>
      <w:proofErr w:type="spellStart"/>
      <w:r>
        <w:rPr>
          <w:i/>
          <w:lang w:val="fr-CA"/>
        </w:rPr>
        <w:t>Kourtessis</w:t>
      </w:r>
      <w:proofErr w:type="spellEnd"/>
      <w:r>
        <w:rPr>
          <w:i/>
          <w:lang w:val="fr-CA"/>
        </w:rPr>
        <w:t> c</w:t>
      </w:r>
      <w:r w:rsidRPr="000E0CE9">
        <w:rPr>
          <w:i/>
          <w:lang w:val="fr-CA"/>
        </w:rPr>
        <w:t>.</w:t>
      </w:r>
      <w:r>
        <w:rPr>
          <w:i/>
          <w:lang w:val="fr-CA"/>
        </w:rPr>
        <w:t> </w:t>
      </w:r>
      <w:proofErr w:type="spellStart"/>
      <w:r w:rsidRPr="000E0CE9">
        <w:rPr>
          <w:i/>
          <w:lang w:val="fr-CA"/>
        </w:rPr>
        <w:t>M.</w:t>
      </w:r>
      <w:r>
        <w:rPr>
          <w:i/>
          <w:lang w:val="fr-CA"/>
        </w:rPr>
        <w:t>R.</w:t>
      </w:r>
      <w:r w:rsidRPr="000E0CE9">
        <w:rPr>
          <w:i/>
          <w:lang w:val="fr-CA"/>
        </w:rPr>
        <w:t>N</w:t>
      </w:r>
      <w:proofErr w:type="spellEnd"/>
      <w:r w:rsidRPr="000E0CE9">
        <w:rPr>
          <w:i/>
          <w:lang w:val="fr-CA"/>
        </w:rPr>
        <w:t>.</w:t>
      </w:r>
      <w:r w:rsidRPr="000E0CE9">
        <w:rPr>
          <w:lang w:val="fr-CA"/>
        </w:rPr>
        <w:t>, [1993] 2</w:t>
      </w:r>
      <w:r>
        <w:rPr>
          <w:lang w:val="fr-CA"/>
        </w:rPr>
        <w:t> R.C.S. </w:t>
      </w:r>
      <w:r w:rsidRPr="000E0CE9">
        <w:rPr>
          <w:lang w:val="fr-CA"/>
        </w:rPr>
        <w:t xml:space="preserve">53, </w:t>
      </w:r>
      <w:r>
        <w:rPr>
          <w:lang w:val="fr-CA"/>
        </w:rPr>
        <w:t>p. </w:t>
      </w:r>
      <w:r w:rsidRPr="000E0CE9">
        <w:rPr>
          <w:lang w:val="fr-CA"/>
        </w:rPr>
        <w:t>89</w:t>
      </w:r>
      <w:r>
        <w:rPr>
          <w:lang w:val="fr-CA"/>
        </w:rPr>
        <w:noBreakHyphen/>
      </w:r>
      <w:r w:rsidRPr="000E0CE9">
        <w:rPr>
          <w:lang w:val="fr-CA"/>
        </w:rPr>
        <w:t xml:space="preserve">90 </w:t>
      </w:r>
      <w:r>
        <w:rPr>
          <w:lang w:val="fr-CA"/>
        </w:rPr>
        <w:t>et 1</w:t>
      </w:r>
      <w:r w:rsidRPr="000E0CE9">
        <w:rPr>
          <w:lang w:val="fr-CA"/>
        </w:rPr>
        <w:t xml:space="preserve">17; </w:t>
      </w:r>
      <w:r w:rsidRPr="000E0CE9">
        <w:rPr>
          <w:i/>
          <w:lang w:val="fr-CA"/>
        </w:rPr>
        <w:t>R.</w:t>
      </w:r>
      <w:r>
        <w:rPr>
          <w:i/>
          <w:lang w:val="fr-CA"/>
        </w:rPr>
        <w:t> c</w:t>
      </w:r>
      <w:r w:rsidRPr="000E0CE9">
        <w:rPr>
          <w:i/>
          <w:lang w:val="fr-CA"/>
        </w:rPr>
        <w:t>.</w:t>
      </w:r>
      <w:r>
        <w:rPr>
          <w:i/>
          <w:lang w:val="fr-CA"/>
        </w:rPr>
        <w:t> </w:t>
      </w:r>
      <w:r w:rsidRPr="000E0CE9">
        <w:rPr>
          <w:i/>
          <w:lang w:val="fr-CA"/>
        </w:rPr>
        <w:t>Zundel</w:t>
      </w:r>
      <w:r w:rsidRPr="000E0CE9">
        <w:rPr>
          <w:lang w:val="fr-CA"/>
        </w:rPr>
        <w:t>, [1992] 2</w:t>
      </w:r>
      <w:r>
        <w:rPr>
          <w:lang w:val="fr-CA"/>
        </w:rPr>
        <w:t> R.C.S. </w:t>
      </w:r>
      <w:r w:rsidRPr="000E0CE9">
        <w:rPr>
          <w:lang w:val="fr-CA"/>
        </w:rPr>
        <w:t xml:space="preserve">731, </w:t>
      </w:r>
      <w:r>
        <w:rPr>
          <w:lang w:val="fr-CA"/>
        </w:rPr>
        <w:t>p. </w:t>
      </w:r>
      <w:r w:rsidRPr="000E0CE9">
        <w:rPr>
          <w:lang w:val="fr-CA"/>
        </w:rPr>
        <w:t xml:space="preserve">778; </w:t>
      </w:r>
      <w:proofErr w:type="spellStart"/>
      <w:r w:rsidRPr="000E0CE9">
        <w:rPr>
          <w:i/>
          <w:lang w:val="fr-CA"/>
        </w:rPr>
        <w:t>Schachter</w:t>
      </w:r>
      <w:proofErr w:type="spellEnd"/>
      <w:r>
        <w:rPr>
          <w:i/>
          <w:lang w:val="fr-CA"/>
        </w:rPr>
        <w:t xml:space="preserve"> c. Canada</w:t>
      </w:r>
      <w:r w:rsidRPr="000E0CE9">
        <w:rPr>
          <w:lang w:val="fr-CA"/>
        </w:rPr>
        <w:t xml:space="preserve">, </w:t>
      </w:r>
      <w:r w:rsidRPr="003B5160">
        <w:rPr>
          <w:lang w:val="fr-CA"/>
        </w:rPr>
        <w:t xml:space="preserve">[1992] 2 R.C.S. 679, </w:t>
      </w:r>
      <w:r>
        <w:rPr>
          <w:lang w:val="fr-CA"/>
        </w:rPr>
        <w:t>p. </w:t>
      </w:r>
      <w:r w:rsidRPr="000E0CE9">
        <w:rPr>
          <w:lang w:val="fr-CA"/>
        </w:rPr>
        <w:t xml:space="preserve">725; </w:t>
      </w:r>
      <w:r w:rsidRPr="000E0CE9">
        <w:rPr>
          <w:i/>
          <w:lang w:val="fr-CA"/>
        </w:rPr>
        <w:t>R.</w:t>
      </w:r>
      <w:r>
        <w:rPr>
          <w:i/>
          <w:lang w:val="fr-CA"/>
        </w:rPr>
        <w:t> c</w:t>
      </w:r>
      <w:r w:rsidRPr="000E0CE9">
        <w:rPr>
          <w:i/>
          <w:lang w:val="fr-CA"/>
        </w:rPr>
        <w:t>.</w:t>
      </w:r>
      <w:r>
        <w:rPr>
          <w:i/>
          <w:lang w:val="fr-CA"/>
        </w:rPr>
        <w:t> </w:t>
      </w:r>
      <w:r w:rsidRPr="000E0CE9">
        <w:rPr>
          <w:i/>
          <w:lang w:val="fr-CA"/>
        </w:rPr>
        <w:t>Bain</w:t>
      </w:r>
      <w:r w:rsidRPr="000E0CE9">
        <w:rPr>
          <w:lang w:val="fr-CA"/>
        </w:rPr>
        <w:t>, [1992] 1</w:t>
      </w:r>
      <w:r>
        <w:rPr>
          <w:lang w:val="fr-CA"/>
        </w:rPr>
        <w:t> R.C.S. </w:t>
      </w:r>
      <w:r w:rsidRPr="000E0CE9">
        <w:rPr>
          <w:lang w:val="fr-CA"/>
        </w:rPr>
        <w:t xml:space="preserve">91, </w:t>
      </w:r>
      <w:r>
        <w:rPr>
          <w:lang w:val="fr-CA"/>
        </w:rPr>
        <w:t>p. </w:t>
      </w:r>
      <w:r w:rsidRPr="000E0CE9">
        <w:rPr>
          <w:lang w:val="fr-CA"/>
        </w:rPr>
        <w:t xml:space="preserve">104 </w:t>
      </w:r>
      <w:r>
        <w:rPr>
          <w:lang w:val="fr-CA"/>
        </w:rPr>
        <w:t>et </w:t>
      </w:r>
      <w:r w:rsidRPr="000E0CE9">
        <w:rPr>
          <w:lang w:val="fr-CA"/>
        </w:rPr>
        <w:t>164</w:t>
      </w:r>
      <w:r>
        <w:rPr>
          <w:lang w:val="fr-CA"/>
        </w:rPr>
        <w:noBreakHyphen/>
        <w:t>1</w:t>
      </w:r>
      <w:r w:rsidRPr="000E0CE9">
        <w:rPr>
          <w:lang w:val="fr-CA"/>
        </w:rPr>
        <w:t xml:space="preserve">65; </w:t>
      </w:r>
      <w:r w:rsidRPr="000E0CE9">
        <w:rPr>
          <w:i/>
          <w:lang w:val="fr-CA"/>
        </w:rPr>
        <w:t xml:space="preserve">R. </w:t>
      </w:r>
      <w:r>
        <w:rPr>
          <w:i/>
          <w:lang w:val="fr-CA"/>
        </w:rPr>
        <w:t>c</w:t>
      </w:r>
      <w:r w:rsidRPr="000E0CE9">
        <w:rPr>
          <w:i/>
          <w:lang w:val="fr-CA"/>
        </w:rPr>
        <w:t xml:space="preserve">. </w:t>
      </w:r>
      <w:proofErr w:type="spellStart"/>
      <w:r w:rsidRPr="000E0CE9">
        <w:rPr>
          <w:i/>
          <w:lang w:val="fr-CA"/>
        </w:rPr>
        <w:t>Wholesale</w:t>
      </w:r>
      <w:proofErr w:type="spellEnd"/>
      <w:r w:rsidRPr="000E0CE9">
        <w:rPr>
          <w:i/>
          <w:lang w:val="fr-CA"/>
        </w:rPr>
        <w:t xml:space="preserve"> </w:t>
      </w:r>
      <w:proofErr w:type="spellStart"/>
      <w:r w:rsidRPr="000E0CE9">
        <w:rPr>
          <w:i/>
          <w:lang w:val="fr-CA"/>
        </w:rPr>
        <w:t>Travel</w:t>
      </w:r>
      <w:proofErr w:type="spellEnd"/>
      <w:r w:rsidRPr="000E0CE9">
        <w:rPr>
          <w:i/>
          <w:lang w:val="fr-CA"/>
        </w:rPr>
        <w:t xml:space="preserve"> Group Inc.</w:t>
      </w:r>
      <w:r w:rsidRPr="000E0CE9">
        <w:rPr>
          <w:lang w:val="fr-CA"/>
        </w:rPr>
        <w:t>, [1991] 3</w:t>
      </w:r>
      <w:r>
        <w:rPr>
          <w:lang w:val="fr-CA"/>
        </w:rPr>
        <w:t> R.C.S. </w:t>
      </w:r>
      <w:r w:rsidRPr="000E0CE9">
        <w:rPr>
          <w:lang w:val="fr-CA"/>
        </w:rPr>
        <w:t xml:space="preserve">154, </w:t>
      </w:r>
      <w:r>
        <w:rPr>
          <w:lang w:val="fr-CA"/>
        </w:rPr>
        <w:t>p. </w:t>
      </w:r>
      <w:r w:rsidRPr="000E0CE9">
        <w:rPr>
          <w:lang w:val="fr-CA"/>
        </w:rPr>
        <w:t>207</w:t>
      </w:r>
      <w:r>
        <w:rPr>
          <w:lang w:val="fr-CA"/>
        </w:rPr>
        <w:noBreakHyphen/>
        <w:t>2</w:t>
      </w:r>
      <w:r w:rsidRPr="000E0CE9">
        <w:rPr>
          <w:lang w:val="fr-CA"/>
        </w:rPr>
        <w:t xml:space="preserve">08 </w:t>
      </w:r>
      <w:r>
        <w:rPr>
          <w:lang w:val="fr-CA"/>
        </w:rPr>
        <w:t>et </w:t>
      </w:r>
      <w:r w:rsidRPr="000E0CE9">
        <w:rPr>
          <w:lang w:val="fr-CA"/>
        </w:rPr>
        <w:t xml:space="preserve">255; </w:t>
      </w:r>
      <w:r w:rsidRPr="000E0CE9">
        <w:rPr>
          <w:i/>
          <w:lang w:val="fr-CA"/>
        </w:rPr>
        <w:t>R.</w:t>
      </w:r>
      <w:r>
        <w:rPr>
          <w:i/>
          <w:lang w:val="fr-CA"/>
        </w:rPr>
        <w:t> c</w:t>
      </w:r>
      <w:r w:rsidRPr="000E0CE9">
        <w:rPr>
          <w:i/>
          <w:lang w:val="fr-CA"/>
        </w:rPr>
        <w:t>.</w:t>
      </w:r>
      <w:r>
        <w:rPr>
          <w:i/>
          <w:lang w:val="fr-CA"/>
        </w:rPr>
        <w:t> </w:t>
      </w:r>
      <w:proofErr w:type="spellStart"/>
      <w:r w:rsidRPr="000E0CE9">
        <w:rPr>
          <w:i/>
          <w:lang w:val="fr-CA"/>
        </w:rPr>
        <w:t>Sit</w:t>
      </w:r>
      <w:proofErr w:type="spellEnd"/>
      <w:r w:rsidRPr="000E0CE9">
        <w:rPr>
          <w:lang w:val="fr-CA"/>
        </w:rPr>
        <w:t>, [1991] 3</w:t>
      </w:r>
      <w:r>
        <w:rPr>
          <w:lang w:val="fr-CA"/>
        </w:rPr>
        <w:t> </w:t>
      </w:r>
      <w:proofErr w:type="spellStart"/>
      <w:r>
        <w:rPr>
          <w:lang w:val="fr-CA"/>
        </w:rPr>
        <w:t>R.C.S</w:t>
      </w:r>
      <w:proofErr w:type="spellEnd"/>
      <w:r>
        <w:rPr>
          <w:lang w:val="fr-CA"/>
        </w:rPr>
        <w:t>. 1</w:t>
      </w:r>
      <w:r w:rsidRPr="000E0CE9">
        <w:rPr>
          <w:lang w:val="fr-CA"/>
        </w:rPr>
        <w:t xml:space="preserve">24, </w:t>
      </w:r>
      <w:r>
        <w:rPr>
          <w:lang w:val="fr-CA"/>
        </w:rPr>
        <w:t>p. 1</w:t>
      </w:r>
      <w:r w:rsidRPr="000E0CE9">
        <w:rPr>
          <w:lang w:val="fr-CA"/>
        </w:rPr>
        <w:t xml:space="preserve">30; </w:t>
      </w:r>
      <w:r w:rsidRPr="000E0CE9">
        <w:rPr>
          <w:i/>
          <w:lang w:val="fr-CA"/>
        </w:rPr>
        <w:t>R.</w:t>
      </w:r>
      <w:r>
        <w:rPr>
          <w:i/>
          <w:lang w:val="fr-CA"/>
        </w:rPr>
        <w:t> c. </w:t>
      </w:r>
      <w:proofErr w:type="spellStart"/>
      <w:r w:rsidRPr="000E0CE9">
        <w:rPr>
          <w:i/>
          <w:lang w:val="fr-CA"/>
        </w:rPr>
        <w:t>Seaboyer</w:t>
      </w:r>
      <w:proofErr w:type="spellEnd"/>
      <w:r w:rsidRPr="000E0CE9">
        <w:rPr>
          <w:lang w:val="fr-CA"/>
        </w:rPr>
        <w:t>, [1991] 2</w:t>
      </w:r>
      <w:r>
        <w:rPr>
          <w:lang w:val="fr-CA"/>
        </w:rPr>
        <w:t> </w:t>
      </w:r>
      <w:proofErr w:type="spellStart"/>
      <w:r>
        <w:rPr>
          <w:lang w:val="fr-CA"/>
        </w:rPr>
        <w:t>R.C.S</w:t>
      </w:r>
      <w:proofErr w:type="spellEnd"/>
      <w:r>
        <w:rPr>
          <w:lang w:val="fr-CA"/>
        </w:rPr>
        <w:t>. </w:t>
      </w:r>
      <w:r w:rsidRPr="000E0CE9">
        <w:rPr>
          <w:lang w:val="fr-CA"/>
        </w:rPr>
        <w:t xml:space="preserve">577, </w:t>
      </w:r>
      <w:r>
        <w:rPr>
          <w:lang w:val="fr-CA"/>
        </w:rPr>
        <w:t>p. </w:t>
      </w:r>
      <w:r w:rsidRPr="000E0CE9">
        <w:rPr>
          <w:lang w:val="fr-CA"/>
        </w:rPr>
        <w:t xml:space="preserve">630; </w:t>
      </w:r>
      <w:proofErr w:type="spellStart"/>
      <w:r w:rsidRPr="000E0CE9">
        <w:rPr>
          <w:i/>
          <w:lang w:val="fr-CA"/>
        </w:rPr>
        <w:t>Tétreault</w:t>
      </w:r>
      <w:r>
        <w:rPr>
          <w:i/>
          <w:lang w:val="fr-CA"/>
        </w:rPr>
        <w:noBreakHyphen/>
      </w:r>
      <w:r w:rsidRPr="000E0CE9">
        <w:rPr>
          <w:i/>
          <w:lang w:val="fr-CA"/>
        </w:rPr>
        <w:t>Gadoury</w:t>
      </w:r>
      <w:proofErr w:type="spellEnd"/>
      <w:r w:rsidRPr="000E0CE9">
        <w:rPr>
          <w:i/>
          <w:lang w:val="fr-CA"/>
        </w:rPr>
        <w:t xml:space="preserve"> </w:t>
      </w:r>
      <w:r>
        <w:rPr>
          <w:i/>
          <w:lang w:val="fr-CA"/>
        </w:rPr>
        <w:t>c</w:t>
      </w:r>
      <w:r w:rsidRPr="000E0CE9">
        <w:rPr>
          <w:i/>
          <w:lang w:val="fr-CA"/>
        </w:rPr>
        <w:t>. Canada</w:t>
      </w:r>
      <w:r>
        <w:rPr>
          <w:i/>
          <w:lang w:val="fr-CA"/>
        </w:rPr>
        <w:t xml:space="preserve"> (Commission de l’Emploi et de l’Immigration)</w:t>
      </w:r>
      <w:r w:rsidRPr="000E0CE9">
        <w:rPr>
          <w:lang w:val="fr-CA"/>
        </w:rPr>
        <w:t>, [1991] 2</w:t>
      </w:r>
      <w:r>
        <w:rPr>
          <w:lang w:val="fr-CA"/>
        </w:rPr>
        <w:t> R.C.S. </w:t>
      </w:r>
      <w:r w:rsidRPr="000E0CE9">
        <w:rPr>
          <w:lang w:val="fr-CA"/>
        </w:rPr>
        <w:t xml:space="preserve">22, </w:t>
      </w:r>
      <w:r>
        <w:rPr>
          <w:lang w:val="fr-CA"/>
        </w:rPr>
        <w:t>p. </w:t>
      </w:r>
      <w:r w:rsidRPr="000E0CE9">
        <w:rPr>
          <w:lang w:val="fr-CA"/>
        </w:rPr>
        <w:t>38</w:t>
      </w:r>
      <w:r>
        <w:rPr>
          <w:lang w:val="fr-CA"/>
        </w:rPr>
        <w:noBreakHyphen/>
      </w:r>
      <w:r w:rsidRPr="000E0CE9">
        <w:rPr>
          <w:lang w:val="fr-CA"/>
        </w:rPr>
        <w:t xml:space="preserve">47; </w:t>
      </w:r>
      <w:r w:rsidRPr="000E0CE9">
        <w:rPr>
          <w:i/>
          <w:lang w:val="fr-CA"/>
        </w:rPr>
        <w:t>R.</w:t>
      </w:r>
      <w:r>
        <w:rPr>
          <w:i/>
          <w:lang w:val="fr-CA"/>
        </w:rPr>
        <w:t> c</w:t>
      </w:r>
      <w:r w:rsidRPr="000E0CE9">
        <w:rPr>
          <w:i/>
          <w:lang w:val="fr-CA"/>
        </w:rPr>
        <w:t>.</w:t>
      </w:r>
      <w:r>
        <w:rPr>
          <w:i/>
          <w:lang w:val="fr-CA"/>
        </w:rPr>
        <w:t> </w:t>
      </w:r>
      <w:proofErr w:type="spellStart"/>
      <w:r w:rsidRPr="000E0CE9">
        <w:rPr>
          <w:i/>
          <w:lang w:val="fr-CA"/>
        </w:rPr>
        <w:t>Swain</w:t>
      </w:r>
      <w:proofErr w:type="spellEnd"/>
      <w:r w:rsidRPr="000E0CE9">
        <w:rPr>
          <w:lang w:val="fr-CA"/>
        </w:rPr>
        <w:t>, [1991] 1</w:t>
      </w:r>
      <w:r>
        <w:rPr>
          <w:lang w:val="fr-CA"/>
        </w:rPr>
        <w:t> </w:t>
      </w:r>
      <w:proofErr w:type="spellStart"/>
      <w:r>
        <w:rPr>
          <w:lang w:val="fr-CA"/>
        </w:rPr>
        <w:t>R.C.S</w:t>
      </w:r>
      <w:proofErr w:type="spellEnd"/>
      <w:r>
        <w:rPr>
          <w:lang w:val="fr-CA"/>
        </w:rPr>
        <w:t>. </w:t>
      </w:r>
      <w:r w:rsidRPr="000E0CE9">
        <w:rPr>
          <w:lang w:val="fr-CA"/>
        </w:rPr>
        <w:t xml:space="preserve">933, </w:t>
      </w:r>
      <w:r>
        <w:rPr>
          <w:lang w:val="fr-CA"/>
        </w:rPr>
        <w:t>p. </w:t>
      </w:r>
      <w:r w:rsidRPr="000E0CE9">
        <w:rPr>
          <w:lang w:val="fr-CA"/>
        </w:rPr>
        <w:t xml:space="preserve">1021; </w:t>
      </w:r>
      <w:r w:rsidRPr="002A3AC6">
        <w:rPr>
          <w:i/>
          <w:lang w:val="fr-CA"/>
        </w:rPr>
        <w:t>Com</w:t>
      </w:r>
      <w:r>
        <w:rPr>
          <w:i/>
          <w:lang w:val="fr-CA"/>
        </w:rPr>
        <w:t xml:space="preserve">ité pour la République du </w:t>
      </w:r>
      <w:r w:rsidRPr="002A3AC6">
        <w:rPr>
          <w:i/>
          <w:lang w:val="fr-CA"/>
        </w:rPr>
        <w:t xml:space="preserve">Canada </w:t>
      </w:r>
      <w:r>
        <w:rPr>
          <w:i/>
          <w:lang w:val="fr-CA"/>
        </w:rPr>
        <w:t>c</w:t>
      </w:r>
      <w:r w:rsidRPr="002A3AC6">
        <w:rPr>
          <w:i/>
          <w:lang w:val="fr-CA"/>
        </w:rPr>
        <w:t>. Canada</w:t>
      </w:r>
      <w:r w:rsidRPr="002A3AC6">
        <w:rPr>
          <w:lang w:val="fr-CA"/>
        </w:rPr>
        <w:t xml:space="preserve"> [1991] 1</w:t>
      </w:r>
      <w:r>
        <w:rPr>
          <w:lang w:val="fr-CA"/>
        </w:rPr>
        <w:t> R.C.S. </w:t>
      </w:r>
      <w:r w:rsidRPr="002A3AC6">
        <w:rPr>
          <w:lang w:val="fr-CA"/>
        </w:rPr>
        <w:t xml:space="preserve">139, </w:t>
      </w:r>
      <w:r>
        <w:rPr>
          <w:lang w:val="fr-CA"/>
        </w:rPr>
        <w:t>p. </w:t>
      </w:r>
      <w:r w:rsidRPr="002A3AC6">
        <w:rPr>
          <w:lang w:val="fr-CA"/>
        </w:rPr>
        <w:t>164</w:t>
      </w:r>
      <w:r>
        <w:rPr>
          <w:lang w:val="fr-CA"/>
        </w:rPr>
        <w:noBreakHyphen/>
        <w:t>1</w:t>
      </w:r>
      <w:r w:rsidRPr="002A3AC6">
        <w:rPr>
          <w:lang w:val="fr-CA"/>
        </w:rPr>
        <w:t>66, 226</w:t>
      </w:r>
      <w:r>
        <w:rPr>
          <w:lang w:val="fr-CA"/>
        </w:rPr>
        <w:noBreakHyphen/>
        <w:t>227 et </w:t>
      </w:r>
      <w:r w:rsidRPr="002A3AC6">
        <w:rPr>
          <w:lang w:val="fr-CA"/>
        </w:rPr>
        <w:t>251</w:t>
      </w:r>
      <w:r w:rsidRPr="000E0CE9">
        <w:rPr>
          <w:lang w:val="fr-CA"/>
        </w:rPr>
        <w:t xml:space="preserve">; </w:t>
      </w:r>
      <w:r w:rsidRPr="002A3AC6">
        <w:rPr>
          <w:i/>
          <w:lang w:val="fr-CA"/>
        </w:rPr>
        <w:t>R.</w:t>
      </w:r>
      <w:r>
        <w:rPr>
          <w:i/>
          <w:lang w:val="fr-CA"/>
        </w:rPr>
        <w:t> c</w:t>
      </w:r>
      <w:r w:rsidRPr="002A3AC6">
        <w:rPr>
          <w:i/>
          <w:lang w:val="fr-CA"/>
        </w:rPr>
        <w:t>.</w:t>
      </w:r>
      <w:r>
        <w:rPr>
          <w:i/>
          <w:lang w:val="fr-CA"/>
        </w:rPr>
        <w:t> </w:t>
      </w:r>
      <w:proofErr w:type="spellStart"/>
      <w:r w:rsidRPr="002A3AC6">
        <w:rPr>
          <w:i/>
          <w:lang w:val="fr-CA"/>
        </w:rPr>
        <w:t>Arkell</w:t>
      </w:r>
      <w:proofErr w:type="spellEnd"/>
      <w:r>
        <w:rPr>
          <w:lang w:val="fr-CA"/>
        </w:rPr>
        <w:t>, [1990] 2 </w:t>
      </w:r>
      <w:proofErr w:type="spellStart"/>
      <w:r>
        <w:rPr>
          <w:lang w:val="fr-CA"/>
        </w:rPr>
        <w:t>R.C.S</w:t>
      </w:r>
      <w:proofErr w:type="spellEnd"/>
      <w:r>
        <w:rPr>
          <w:lang w:val="fr-CA"/>
        </w:rPr>
        <w:t>. </w:t>
      </w:r>
      <w:r w:rsidRPr="002A3AC6">
        <w:rPr>
          <w:lang w:val="fr-CA"/>
        </w:rPr>
        <w:t xml:space="preserve">695, </w:t>
      </w:r>
      <w:r>
        <w:rPr>
          <w:lang w:val="fr-CA"/>
        </w:rPr>
        <w:t>p. </w:t>
      </w:r>
      <w:r w:rsidRPr="002A3AC6">
        <w:rPr>
          <w:lang w:val="fr-CA"/>
        </w:rPr>
        <w:t>702</w:t>
      </w:r>
      <w:r w:rsidRPr="000E0CE9">
        <w:rPr>
          <w:lang w:val="fr-CA"/>
        </w:rPr>
        <w:t xml:space="preserve">; </w:t>
      </w:r>
      <w:r w:rsidRPr="002A3AC6">
        <w:rPr>
          <w:i/>
          <w:lang w:val="fr-CA"/>
        </w:rPr>
        <w:t>R.</w:t>
      </w:r>
      <w:r>
        <w:rPr>
          <w:i/>
          <w:lang w:val="fr-CA"/>
        </w:rPr>
        <w:t> c</w:t>
      </w:r>
      <w:r w:rsidRPr="002A3AC6">
        <w:rPr>
          <w:i/>
          <w:lang w:val="fr-CA"/>
        </w:rPr>
        <w:t>.</w:t>
      </w:r>
      <w:r>
        <w:rPr>
          <w:i/>
          <w:lang w:val="fr-CA"/>
        </w:rPr>
        <w:t> </w:t>
      </w:r>
      <w:r w:rsidRPr="002A3AC6">
        <w:rPr>
          <w:i/>
          <w:lang w:val="fr-CA"/>
        </w:rPr>
        <w:t>Martineau</w:t>
      </w:r>
      <w:r>
        <w:rPr>
          <w:lang w:val="fr-CA"/>
        </w:rPr>
        <w:t>, </w:t>
      </w:r>
      <w:r w:rsidRPr="002A3AC6">
        <w:rPr>
          <w:lang w:val="fr-CA"/>
        </w:rPr>
        <w:t>[1990]</w:t>
      </w:r>
      <w:r>
        <w:rPr>
          <w:lang w:val="fr-CA"/>
        </w:rPr>
        <w:t> </w:t>
      </w:r>
      <w:r w:rsidRPr="002A3AC6">
        <w:rPr>
          <w:lang w:val="fr-CA"/>
        </w:rPr>
        <w:t>2</w:t>
      </w:r>
      <w:r>
        <w:rPr>
          <w:lang w:val="fr-CA"/>
        </w:rPr>
        <w:t> R.C.S. </w:t>
      </w:r>
      <w:r w:rsidRPr="002A3AC6">
        <w:rPr>
          <w:lang w:val="fr-CA"/>
        </w:rPr>
        <w:t>633</w:t>
      </w:r>
      <w:r w:rsidRPr="000E0CE9">
        <w:rPr>
          <w:lang w:val="fr-CA"/>
        </w:rPr>
        <w:t xml:space="preserve">; </w:t>
      </w:r>
      <w:r>
        <w:rPr>
          <w:i/>
          <w:lang w:val="fr-CA"/>
        </w:rPr>
        <w:t>Rocket c</w:t>
      </w:r>
      <w:r w:rsidRPr="002A3AC6">
        <w:rPr>
          <w:i/>
          <w:lang w:val="fr-CA"/>
        </w:rPr>
        <w:t xml:space="preserve">. </w:t>
      </w:r>
      <w:r>
        <w:rPr>
          <w:i/>
          <w:lang w:val="fr-CA"/>
        </w:rPr>
        <w:t xml:space="preserve">Collège royal des </w:t>
      </w:r>
      <w:proofErr w:type="spellStart"/>
      <w:r>
        <w:rPr>
          <w:i/>
          <w:lang w:val="fr-CA"/>
        </w:rPr>
        <w:t>chirurgiens dentistes</w:t>
      </w:r>
      <w:proofErr w:type="spellEnd"/>
      <w:r>
        <w:rPr>
          <w:i/>
          <w:lang w:val="fr-CA"/>
        </w:rPr>
        <w:t xml:space="preserve"> de l’Ontario</w:t>
      </w:r>
      <w:r w:rsidRPr="002A3AC6">
        <w:rPr>
          <w:lang w:val="fr-CA"/>
        </w:rPr>
        <w:t>, [1990] 2</w:t>
      </w:r>
      <w:r>
        <w:rPr>
          <w:lang w:val="fr-CA"/>
        </w:rPr>
        <w:t> R.C.S. </w:t>
      </w:r>
      <w:r w:rsidRPr="002A3AC6">
        <w:rPr>
          <w:lang w:val="fr-CA"/>
        </w:rPr>
        <w:t xml:space="preserve">232, </w:t>
      </w:r>
      <w:r>
        <w:rPr>
          <w:lang w:val="fr-CA"/>
        </w:rPr>
        <w:t>p. </w:t>
      </w:r>
      <w:r w:rsidRPr="002A3AC6">
        <w:rPr>
          <w:lang w:val="fr-CA"/>
        </w:rPr>
        <w:t>251</w:t>
      </w:r>
      <w:r>
        <w:rPr>
          <w:lang w:val="fr-CA"/>
        </w:rPr>
        <w:noBreakHyphen/>
        <w:t>2</w:t>
      </w:r>
      <w:r w:rsidRPr="002A3AC6">
        <w:rPr>
          <w:lang w:val="fr-CA"/>
        </w:rPr>
        <w:t>53</w:t>
      </w:r>
      <w:r w:rsidRPr="000E0CE9">
        <w:rPr>
          <w:lang w:val="fr-CA"/>
        </w:rPr>
        <w:t xml:space="preserve">; </w:t>
      </w:r>
      <w:r w:rsidRPr="002A3AC6">
        <w:rPr>
          <w:i/>
          <w:lang w:val="fr-CA"/>
        </w:rPr>
        <w:t xml:space="preserve">Mahe </w:t>
      </w:r>
      <w:r>
        <w:rPr>
          <w:i/>
          <w:lang w:val="fr-CA"/>
        </w:rPr>
        <w:t>c</w:t>
      </w:r>
      <w:r w:rsidRPr="002A3AC6">
        <w:rPr>
          <w:i/>
          <w:lang w:val="fr-CA"/>
        </w:rPr>
        <w:t>. Alberta</w:t>
      </w:r>
      <w:r w:rsidRPr="002A3AC6">
        <w:rPr>
          <w:lang w:val="fr-CA"/>
        </w:rPr>
        <w:t>, [1990] 1</w:t>
      </w:r>
      <w:r>
        <w:rPr>
          <w:lang w:val="fr-CA"/>
        </w:rPr>
        <w:t> R.C.S. </w:t>
      </w:r>
      <w:r w:rsidRPr="002A3AC6">
        <w:rPr>
          <w:lang w:val="fr-CA"/>
        </w:rPr>
        <w:t xml:space="preserve">342, </w:t>
      </w:r>
      <w:r>
        <w:rPr>
          <w:lang w:val="fr-CA"/>
        </w:rPr>
        <w:t>p. </w:t>
      </w:r>
      <w:r w:rsidRPr="002A3AC6">
        <w:rPr>
          <w:lang w:val="fr-CA"/>
        </w:rPr>
        <w:t>394</w:t>
      </w:r>
      <w:r>
        <w:rPr>
          <w:lang w:val="fr-CA"/>
        </w:rPr>
        <w:noBreakHyphen/>
        <w:t>3</w:t>
      </w:r>
      <w:r w:rsidRPr="002A3AC6">
        <w:rPr>
          <w:lang w:val="fr-CA"/>
        </w:rPr>
        <w:t>96</w:t>
      </w:r>
      <w:r w:rsidRPr="000E0CE9">
        <w:rPr>
          <w:lang w:val="fr-CA"/>
        </w:rPr>
        <w:t xml:space="preserve">; </w:t>
      </w:r>
      <w:r w:rsidRPr="002A3AC6">
        <w:rPr>
          <w:i/>
          <w:lang w:val="fr-CA"/>
        </w:rPr>
        <w:t xml:space="preserve">Edmonton Journal </w:t>
      </w:r>
      <w:r>
        <w:rPr>
          <w:i/>
          <w:lang w:val="fr-CA"/>
        </w:rPr>
        <w:t>c</w:t>
      </w:r>
      <w:r w:rsidRPr="002A3AC6">
        <w:rPr>
          <w:i/>
          <w:lang w:val="fr-CA"/>
        </w:rPr>
        <w:t>. Alberta (</w:t>
      </w:r>
      <w:r>
        <w:rPr>
          <w:i/>
          <w:lang w:val="fr-CA"/>
        </w:rPr>
        <w:t>Procureur général</w:t>
      </w:r>
      <w:r w:rsidRPr="002A3AC6">
        <w:rPr>
          <w:i/>
          <w:lang w:val="fr-CA"/>
        </w:rPr>
        <w:t>)</w:t>
      </w:r>
      <w:r w:rsidRPr="002A3AC6">
        <w:rPr>
          <w:lang w:val="fr-CA"/>
        </w:rPr>
        <w:t>, [1989] 2</w:t>
      </w:r>
      <w:r>
        <w:rPr>
          <w:lang w:val="fr-CA"/>
        </w:rPr>
        <w:t> R.C.S. </w:t>
      </w:r>
      <w:r w:rsidRPr="002A3AC6">
        <w:rPr>
          <w:lang w:val="fr-CA"/>
        </w:rPr>
        <w:t xml:space="preserve">1326, </w:t>
      </w:r>
      <w:r>
        <w:rPr>
          <w:lang w:val="fr-CA"/>
        </w:rPr>
        <w:t>p. </w:t>
      </w:r>
      <w:r w:rsidRPr="002A3AC6">
        <w:rPr>
          <w:lang w:val="fr-CA"/>
        </w:rPr>
        <w:t xml:space="preserve">1351 </w:t>
      </w:r>
      <w:r>
        <w:rPr>
          <w:lang w:val="fr-CA"/>
        </w:rPr>
        <w:t>et </w:t>
      </w:r>
      <w:r w:rsidRPr="002A3AC6">
        <w:rPr>
          <w:lang w:val="fr-CA"/>
        </w:rPr>
        <w:t>1368</w:t>
      </w:r>
      <w:r w:rsidRPr="000E0CE9">
        <w:rPr>
          <w:lang w:val="fr-CA"/>
        </w:rPr>
        <w:t xml:space="preserve">; </w:t>
      </w:r>
      <w:r w:rsidRPr="002A3AC6">
        <w:rPr>
          <w:i/>
          <w:lang w:val="fr-CA"/>
        </w:rPr>
        <w:t xml:space="preserve">Black </w:t>
      </w:r>
      <w:r>
        <w:rPr>
          <w:i/>
          <w:lang w:val="fr-CA"/>
        </w:rPr>
        <w:t>c</w:t>
      </w:r>
      <w:r w:rsidRPr="002A3AC6">
        <w:rPr>
          <w:i/>
          <w:lang w:val="fr-CA"/>
        </w:rPr>
        <w:t>. Law Society of Alberta</w:t>
      </w:r>
      <w:r w:rsidRPr="002A3AC6">
        <w:rPr>
          <w:lang w:val="fr-CA"/>
        </w:rPr>
        <w:t>, [1989] 1</w:t>
      </w:r>
      <w:r>
        <w:rPr>
          <w:lang w:val="fr-CA"/>
        </w:rPr>
        <w:t> R.C.S. </w:t>
      </w:r>
      <w:r w:rsidRPr="002A3AC6">
        <w:rPr>
          <w:lang w:val="fr-CA"/>
        </w:rPr>
        <w:t xml:space="preserve">591, </w:t>
      </w:r>
      <w:r>
        <w:rPr>
          <w:lang w:val="fr-CA"/>
        </w:rPr>
        <w:t>p. </w:t>
      </w:r>
      <w:r w:rsidRPr="002A3AC6">
        <w:rPr>
          <w:lang w:val="fr-CA"/>
        </w:rPr>
        <w:t>633</w:t>
      </w:r>
      <w:r>
        <w:rPr>
          <w:lang w:val="fr-CA"/>
        </w:rPr>
        <w:noBreakHyphen/>
        <w:t>6</w:t>
      </w:r>
      <w:r w:rsidRPr="002A3AC6">
        <w:rPr>
          <w:lang w:val="fr-CA"/>
        </w:rPr>
        <w:t>34</w:t>
      </w:r>
      <w:r w:rsidRPr="000E0CE9">
        <w:rPr>
          <w:lang w:val="fr-CA"/>
        </w:rPr>
        <w:t xml:space="preserve">; </w:t>
      </w:r>
      <w:r w:rsidRPr="002A3AC6">
        <w:rPr>
          <w:i/>
          <w:lang w:val="fr-CA"/>
        </w:rPr>
        <w:t>Andrews</w:t>
      </w:r>
      <w:r>
        <w:rPr>
          <w:i/>
          <w:lang w:val="fr-CA"/>
        </w:rPr>
        <w:t xml:space="preserve"> c. Law Society of British Columbia</w:t>
      </w:r>
      <w:r>
        <w:rPr>
          <w:lang w:val="fr-CA"/>
        </w:rPr>
        <w:t xml:space="preserve">, </w:t>
      </w:r>
      <w:r w:rsidRPr="00A44092">
        <w:rPr>
          <w:lang w:val="fr-CA"/>
        </w:rPr>
        <w:t>[1989]</w:t>
      </w:r>
      <w:r>
        <w:rPr>
          <w:lang w:val="fr-CA"/>
        </w:rPr>
        <w:t xml:space="preserve"> 1 R.C.S. 143</w:t>
      </w:r>
      <w:r w:rsidRPr="003022C4">
        <w:rPr>
          <w:lang w:val="fr-CA"/>
        </w:rPr>
        <w:t>;</w:t>
      </w:r>
      <w:r>
        <w:rPr>
          <w:lang w:val="fr-CA"/>
        </w:rPr>
        <w:t xml:space="preserve"> </w:t>
      </w:r>
      <w:r w:rsidRPr="002A3AC6">
        <w:rPr>
          <w:i/>
          <w:lang w:val="fr-CA"/>
        </w:rPr>
        <w:t xml:space="preserve">Ford </w:t>
      </w:r>
      <w:r>
        <w:rPr>
          <w:i/>
          <w:lang w:val="fr-CA"/>
        </w:rPr>
        <w:t>c</w:t>
      </w:r>
      <w:r w:rsidRPr="002A3AC6">
        <w:rPr>
          <w:i/>
          <w:lang w:val="fr-CA"/>
        </w:rPr>
        <w:t>. Qu</w:t>
      </w:r>
      <w:r>
        <w:rPr>
          <w:i/>
          <w:lang w:val="fr-CA"/>
        </w:rPr>
        <w:t>é</w:t>
      </w:r>
      <w:r w:rsidRPr="002A3AC6">
        <w:rPr>
          <w:i/>
          <w:lang w:val="fr-CA"/>
        </w:rPr>
        <w:t>bec (</w:t>
      </w:r>
      <w:r>
        <w:rPr>
          <w:i/>
          <w:lang w:val="fr-CA"/>
        </w:rPr>
        <w:t>Procureur général</w:t>
      </w:r>
      <w:r w:rsidRPr="002A3AC6">
        <w:rPr>
          <w:i/>
          <w:lang w:val="fr-CA"/>
        </w:rPr>
        <w:t>)</w:t>
      </w:r>
      <w:r w:rsidRPr="002A3AC6">
        <w:rPr>
          <w:lang w:val="fr-CA"/>
        </w:rPr>
        <w:t>, [1988] 2</w:t>
      </w:r>
      <w:r>
        <w:rPr>
          <w:lang w:val="fr-CA"/>
        </w:rPr>
        <w:t> R.C.S. </w:t>
      </w:r>
      <w:r w:rsidRPr="002A3AC6">
        <w:rPr>
          <w:lang w:val="fr-CA"/>
        </w:rPr>
        <w:t xml:space="preserve">712, </w:t>
      </w:r>
      <w:r>
        <w:rPr>
          <w:lang w:val="fr-CA"/>
        </w:rPr>
        <w:t>p. </w:t>
      </w:r>
      <w:r w:rsidRPr="002A3AC6">
        <w:rPr>
          <w:lang w:val="fr-CA"/>
        </w:rPr>
        <w:t>745</w:t>
      </w:r>
      <w:r w:rsidRPr="000E0CE9">
        <w:rPr>
          <w:lang w:val="fr-CA"/>
        </w:rPr>
        <w:t xml:space="preserve">; </w:t>
      </w:r>
      <w:r w:rsidRPr="002A3AC6">
        <w:rPr>
          <w:i/>
          <w:lang w:val="fr-CA"/>
        </w:rPr>
        <w:t xml:space="preserve">Devine </w:t>
      </w:r>
      <w:r>
        <w:rPr>
          <w:i/>
          <w:lang w:val="fr-CA"/>
        </w:rPr>
        <w:t>c</w:t>
      </w:r>
      <w:r w:rsidRPr="002A3AC6">
        <w:rPr>
          <w:i/>
          <w:lang w:val="fr-CA"/>
        </w:rPr>
        <w:t>. Qu</w:t>
      </w:r>
      <w:r>
        <w:rPr>
          <w:i/>
          <w:lang w:val="fr-CA"/>
        </w:rPr>
        <w:t>é</w:t>
      </w:r>
      <w:r w:rsidRPr="002A3AC6">
        <w:rPr>
          <w:i/>
          <w:lang w:val="fr-CA"/>
        </w:rPr>
        <w:t>bec (</w:t>
      </w:r>
      <w:r>
        <w:rPr>
          <w:i/>
          <w:lang w:val="fr-CA"/>
        </w:rPr>
        <w:t>Procureur général</w:t>
      </w:r>
      <w:r w:rsidRPr="002A3AC6">
        <w:rPr>
          <w:i/>
          <w:lang w:val="fr-CA"/>
        </w:rPr>
        <w:t>)</w:t>
      </w:r>
      <w:r w:rsidRPr="002A3AC6">
        <w:rPr>
          <w:lang w:val="fr-CA"/>
        </w:rPr>
        <w:t>, [1988] 2</w:t>
      </w:r>
      <w:r>
        <w:rPr>
          <w:lang w:val="fr-CA"/>
        </w:rPr>
        <w:t> R.C.S. </w:t>
      </w:r>
      <w:r w:rsidRPr="002A3AC6">
        <w:rPr>
          <w:lang w:val="fr-CA"/>
        </w:rPr>
        <w:t xml:space="preserve">790, </w:t>
      </w:r>
      <w:r>
        <w:rPr>
          <w:lang w:val="fr-CA"/>
        </w:rPr>
        <w:t>p. </w:t>
      </w:r>
      <w:r w:rsidRPr="002A3AC6">
        <w:rPr>
          <w:lang w:val="fr-CA"/>
        </w:rPr>
        <w:t>812</w:t>
      </w:r>
      <w:r w:rsidRPr="000E0CE9">
        <w:rPr>
          <w:lang w:val="fr-CA"/>
        </w:rPr>
        <w:t xml:space="preserve">; </w:t>
      </w:r>
      <w:r w:rsidRPr="002A3AC6">
        <w:rPr>
          <w:i/>
          <w:lang w:val="fr-CA"/>
        </w:rPr>
        <w:t>Corp</w:t>
      </w:r>
      <w:r>
        <w:rPr>
          <w:i/>
          <w:lang w:val="fr-CA"/>
        </w:rPr>
        <w:t>oration</w:t>
      </w:r>
      <w:r w:rsidRPr="002A3AC6">
        <w:rPr>
          <w:i/>
          <w:lang w:val="fr-CA"/>
        </w:rPr>
        <w:t xml:space="preserve"> </w:t>
      </w:r>
      <w:r>
        <w:rPr>
          <w:i/>
          <w:lang w:val="fr-CA"/>
        </w:rPr>
        <w:t>p</w:t>
      </w:r>
      <w:r w:rsidRPr="002A3AC6">
        <w:rPr>
          <w:i/>
          <w:lang w:val="fr-CA"/>
        </w:rPr>
        <w:t xml:space="preserve">rofessionnelle des </w:t>
      </w:r>
      <w:r w:rsidRPr="00263584">
        <w:rPr>
          <w:i/>
          <w:lang w:val="fr-CA"/>
        </w:rPr>
        <w:t>médecins du Québec c</w:t>
      </w:r>
      <w:r w:rsidRPr="002A3AC6">
        <w:rPr>
          <w:i/>
          <w:lang w:val="fr-CA"/>
        </w:rPr>
        <w:t>. Thibault</w:t>
      </w:r>
      <w:r w:rsidRPr="002A3AC6">
        <w:rPr>
          <w:lang w:val="fr-CA"/>
        </w:rPr>
        <w:t>, [1988] 1</w:t>
      </w:r>
      <w:r>
        <w:rPr>
          <w:lang w:val="fr-CA"/>
        </w:rPr>
        <w:t> R.C.S. </w:t>
      </w:r>
      <w:r w:rsidRPr="002A3AC6">
        <w:rPr>
          <w:lang w:val="fr-CA"/>
        </w:rPr>
        <w:t xml:space="preserve">1033, </w:t>
      </w:r>
      <w:r>
        <w:rPr>
          <w:lang w:val="fr-CA"/>
        </w:rPr>
        <w:t>p. </w:t>
      </w:r>
      <w:r w:rsidRPr="002A3AC6">
        <w:rPr>
          <w:lang w:val="fr-CA"/>
        </w:rPr>
        <w:t>1045</w:t>
      </w:r>
      <w:r>
        <w:rPr>
          <w:lang w:val="fr-CA"/>
        </w:rPr>
        <w:noBreakHyphen/>
        <w:t>10</w:t>
      </w:r>
      <w:r w:rsidRPr="002A3AC6">
        <w:rPr>
          <w:lang w:val="fr-CA"/>
        </w:rPr>
        <w:t>46</w:t>
      </w:r>
      <w:r w:rsidRPr="000E0CE9">
        <w:rPr>
          <w:lang w:val="fr-CA"/>
        </w:rPr>
        <w:t>;</w:t>
      </w:r>
      <w:r w:rsidRPr="000E0CE9">
        <w:rPr>
          <w:i/>
          <w:lang w:val="fr-CA"/>
        </w:rPr>
        <w:t xml:space="preserve"> </w:t>
      </w:r>
      <w:r w:rsidRPr="002A3AC6">
        <w:rPr>
          <w:i/>
          <w:lang w:val="fr-CA"/>
        </w:rPr>
        <w:t>R.</w:t>
      </w:r>
      <w:r>
        <w:rPr>
          <w:i/>
          <w:lang w:val="fr-CA"/>
        </w:rPr>
        <w:t> c. </w:t>
      </w:r>
      <w:r w:rsidRPr="002A3AC6">
        <w:rPr>
          <w:i/>
          <w:lang w:val="fr-CA"/>
        </w:rPr>
        <w:t>Morgentaler</w:t>
      </w:r>
      <w:r w:rsidRPr="002A3AC6">
        <w:rPr>
          <w:lang w:val="fr-CA"/>
        </w:rPr>
        <w:t>, [1988] 1</w:t>
      </w:r>
      <w:r>
        <w:rPr>
          <w:lang w:val="fr-CA"/>
        </w:rPr>
        <w:t> R.C.S. </w:t>
      </w:r>
      <w:r w:rsidRPr="002A3AC6">
        <w:rPr>
          <w:lang w:val="fr-CA"/>
        </w:rPr>
        <w:t xml:space="preserve">30, </w:t>
      </w:r>
      <w:r>
        <w:rPr>
          <w:lang w:val="fr-CA"/>
        </w:rPr>
        <w:t>p. </w:t>
      </w:r>
      <w:r w:rsidRPr="002A3AC6">
        <w:rPr>
          <w:lang w:val="fr-CA"/>
        </w:rPr>
        <w:t xml:space="preserve">80 </w:t>
      </w:r>
      <w:r>
        <w:rPr>
          <w:lang w:val="fr-CA"/>
        </w:rPr>
        <w:t>et </w:t>
      </w:r>
      <w:r w:rsidRPr="002A3AC6">
        <w:rPr>
          <w:lang w:val="fr-CA"/>
        </w:rPr>
        <w:t>184</w:t>
      </w:r>
      <w:r w:rsidRPr="000E0CE9">
        <w:rPr>
          <w:lang w:val="fr-CA"/>
        </w:rPr>
        <w:t xml:space="preserve">; </w:t>
      </w:r>
      <w:r w:rsidRPr="002A3AC6">
        <w:rPr>
          <w:i/>
          <w:lang w:val="fr-CA"/>
        </w:rPr>
        <w:t>R.</w:t>
      </w:r>
      <w:r>
        <w:rPr>
          <w:i/>
          <w:lang w:val="fr-CA"/>
        </w:rPr>
        <w:t> c</w:t>
      </w:r>
      <w:r w:rsidRPr="002A3AC6">
        <w:rPr>
          <w:i/>
          <w:lang w:val="fr-CA"/>
        </w:rPr>
        <w:t>.</w:t>
      </w:r>
      <w:r>
        <w:rPr>
          <w:i/>
          <w:lang w:val="fr-CA"/>
        </w:rPr>
        <w:t> </w:t>
      </w:r>
      <w:r w:rsidRPr="002A3AC6">
        <w:rPr>
          <w:i/>
          <w:lang w:val="fr-CA"/>
        </w:rPr>
        <w:t>Smith</w:t>
      </w:r>
      <w:r w:rsidRPr="002A3AC6">
        <w:rPr>
          <w:lang w:val="fr-CA"/>
        </w:rPr>
        <w:t>, [1987] 1</w:t>
      </w:r>
      <w:r>
        <w:rPr>
          <w:lang w:val="fr-CA"/>
        </w:rPr>
        <w:t> R.C.S. </w:t>
      </w:r>
      <w:r w:rsidRPr="002A3AC6">
        <w:rPr>
          <w:lang w:val="fr-CA"/>
        </w:rPr>
        <w:t xml:space="preserve">1045, </w:t>
      </w:r>
      <w:r>
        <w:rPr>
          <w:lang w:val="fr-CA"/>
        </w:rPr>
        <w:t>p. </w:t>
      </w:r>
      <w:r w:rsidRPr="002A3AC6">
        <w:rPr>
          <w:lang w:val="fr-CA"/>
        </w:rPr>
        <w:t>1081</w:t>
      </w:r>
      <w:r w:rsidRPr="000E0CE9">
        <w:rPr>
          <w:lang w:val="fr-CA"/>
        </w:rPr>
        <w:t xml:space="preserve">; </w:t>
      </w:r>
      <w:r w:rsidRPr="002A3AC6">
        <w:rPr>
          <w:i/>
          <w:lang w:val="fr-CA"/>
        </w:rPr>
        <w:t>R.</w:t>
      </w:r>
      <w:r>
        <w:rPr>
          <w:i/>
          <w:lang w:val="fr-CA"/>
        </w:rPr>
        <w:t> c</w:t>
      </w:r>
      <w:r w:rsidRPr="002A3AC6">
        <w:rPr>
          <w:i/>
          <w:lang w:val="fr-CA"/>
        </w:rPr>
        <w:t>.</w:t>
      </w:r>
      <w:r>
        <w:rPr>
          <w:i/>
          <w:lang w:val="fr-CA"/>
        </w:rPr>
        <w:t> </w:t>
      </w:r>
      <w:proofErr w:type="spellStart"/>
      <w:r w:rsidRPr="002A3AC6">
        <w:rPr>
          <w:i/>
          <w:lang w:val="fr-CA"/>
        </w:rPr>
        <w:t>Oakes</w:t>
      </w:r>
      <w:proofErr w:type="spellEnd"/>
      <w:r w:rsidRPr="002A3AC6">
        <w:rPr>
          <w:lang w:val="fr-CA"/>
        </w:rPr>
        <w:t>, [1986] 1</w:t>
      </w:r>
      <w:r>
        <w:rPr>
          <w:lang w:val="fr-CA"/>
        </w:rPr>
        <w:t> </w:t>
      </w:r>
      <w:proofErr w:type="spellStart"/>
      <w:r>
        <w:rPr>
          <w:lang w:val="fr-CA"/>
        </w:rPr>
        <w:t>R.C.S</w:t>
      </w:r>
      <w:proofErr w:type="spellEnd"/>
      <w:r>
        <w:rPr>
          <w:lang w:val="fr-CA"/>
        </w:rPr>
        <w:t>. </w:t>
      </w:r>
      <w:r w:rsidRPr="002A3AC6">
        <w:rPr>
          <w:lang w:val="fr-CA"/>
        </w:rPr>
        <w:t xml:space="preserve">103, </w:t>
      </w:r>
      <w:r>
        <w:rPr>
          <w:lang w:val="fr-CA"/>
        </w:rPr>
        <w:t>p. </w:t>
      </w:r>
      <w:r w:rsidRPr="002A3AC6">
        <w:rPr>
          <w:lang w:val="fr-CA"/>
        </w:rPr>
        <w:t>142</w:t>
      </w:r>
      <w:r w:rsidRPr="000E0CE9">
        <w:rPr>
          <w:lang w:val="fr-CA"/>
        </w:rPr>
        <w:t xml:space="preserve">; </w:t>
      </w:r>
      <w:r w:rsidRPr="002A3AC6">
        <w:rPr>
          <w:i/>
          <w:lang w:val="fr-CA"/>
        </w:rPr>
        <w:t>Re</w:t>
      </w:r>
      <w:r>
        <w:rPr>
          <w:i/>
          <w:lang w:val="fr-CA"/>
        </w:rPr>
        <w:t xml:space="preserve">nvoi sur la </w:t>
      </w:r>
      <w:proofErr w:type="spellStart"/>
      <w:r>
        <w:rPr>
          <w:i/>
          <w:lang w:val="fr-CA"/>
        </w:rPr>
        <w:t>Motor</w:t>
      </w:r>
      <w:proofErr w:type="spellEnd"/>
      <w:r>
        <w:rPr>
          <w:i/>
          <w:lang w:val="fr-CA"/>
        </w:rPr>
        <w:t xml:space="preserve"> </w:t>
      </w:r>
      <w:proofErr w:type="spellStart"/>
      <w:r>
        <w:rPr>
          <w:i/>
          <w:lang w:val="fr-CA"/>
        </w:rPr>
        <w:t>Vehicle</w:t>
      </w:r>
      <w:proofErr w:type="spellEnd"/>
      <w:r>
        <w:rPr>
          <w:i/>
          <w:lang w:val="fr-CA"/>
        </w:rPr>
        <w:t xml:space="preserve"> </w:t>
      </w:r>
      <w:proofErr w:type="spellStart"/>
      <w:r>
        <w:rPr>
          <w:i/>
          <w:lang w:val="fr-CA"/>
        </w:rPr>
        <w:t>Act</w:t>
      </w:r>
      <w:proofErr w:type="spellEnd"/>
      <w:r>
        <w:rPr>
          <w:i/>
          <w:lang w:val="fr-CA"/>
        </w:rPr>
        <w:t xml:space="preserve"> (</w:t>
      </w:r>
      <w:proofErr w:type="spellStart"/>
      <w:r>
        <w:rPr>
          <w:i/>
          <w:lang w:val="fr-CA"/>
        </w:rPr>
        <w:t>C.</w:t>
      </w:r>
      <w:r>
        <w:rPr>
          <w:i/>
          <w:lang w:val="fr-CA"/>
        </w:rPr>
        <w:noBreakHyphen/>
        <w:t>B</w:t>
      </w:r>
      <w:proofErr w:type="spellEnd"/>
      <w:r>
        <w:rPr>
          <w:i/>
          <w:lang w:val="fr-CA"/>
        </w:rPr>
        <w:t>.)</w:t>
      </w:r>
      <w:r w:rsidRPr="002A3AC6">
        <w:rPr>
          <w:lang w:val="fr-CA"/>
        </w:rPr>
        <w:t>, [1985] 2</w:t>
      </w:r>
      <w:r>
        <w:rPr>
          <w:lang w:val="fr-CA"/>
        </w:rPr>
        <w:t> R.C.S. </w:t>
      </w:r>
      <w:r w:rsidRPr="002A3AC6">
        <w:rPr>
          <w:lang w:val="fr-CA"/>
        </w:rPr>
        <w:t xml:space="preserve">486, </w:t>
      </w:r>
      <w:r>
        <w:rPr>
          <w:lang w:val="fr-CA"/>
        </w:rPr>
        <w:t>p. </w:t>
      </w:r>
      <w:r w:rsidRPr="002A3AC6">
        <w:rPr>
          <w:lang w:val="fr-CA"/>
        </w:rPr>
        <w:t>521</w:t>
      </w:r>
      <w:r w:rsidRPr="000E0CE9">
        <w:rPr>
          <w:lang w:val="fr-CA"/>
        </w:rPr>
        <w:t xml:space="preserve">; </w:t>
      </w:r>
      <w:r w:rsidRPr="002A3AC6">
        <w:rPr>
          <w:i/>
          <w:lang w:val="fr-CA"/>
        </w:rPr>
        <w:t xml:space="preserve">Hunter </w:t>
      </w:r>
      <w:r>
        <w:rPr>
          <w:i/>
          <w:lang w:val="fr-CA"/>
        </w:rPr>
        <w:t>c</w:t>
      </w:r>
      <w:r w:rsidRPr="002A3AC6">
        <w:rPr>
          <w:i/>
          <w:lang w:val="fr-CA"/>
        </w:rPr>
        <w:t xml:space="preserve">. </w:t>
      </w:r>
      <w:proofErr w:type="spellStart"/>
      <w:r w:rsidRPr="002A3AC6">
        <w:rPr>
          <w:i/>
          <w:lang w:val="fr-CA"/>
        </w:rPr>
        <w:t>Southam</w:t>
      </w:r>
      <w:proofErr w:type="spellEnd"/>
      <w:r>
        <w:rPr>
          <w:i/>
          <w:lang w:val="fr-CA"/>
        </w:rPr>
        <w:t xml:space="preserve"> Inc.</w:t>
      </w:r>
      <w:r w:rsidRPr="002A3AC6">
        <w:rPr>
          <w:lang w:val="fr-CA"/>
        </w:rPr>
        <w:t>, [1984] 2</w:t>
      </w:r>
      <w:r>
        <w:rPr>
          <w:lang w:val="fr-CA"/>
        </w:rPr>
        <w:t> R.C.S. </w:t>
      </w:r>
      <w:r w:rsidRPr="002A3AC6">
        <w:rPr>
          <w:lang w:val="fr-CA"/>
        </w:rPr>
        <w:t xml:space="preserve">145, </w:t>
      </w:r>
      <w:r>
        <w:rPr>
          <w:lang w:val="fr-CA"/>
        </w:rPr>
        <w:t>p. </w:t>
      </w:r>
      <w:r w:rsidRPr="002A3AC6">
        <w:rPr>
          <w:lang w:val="fr-CA"/>
        </w:rPr>
        <w:t>169</w:t>
      </w:r>
      <w:r w:rsidRPr="000E0CE9">
        <w:rPr>
          <w:lang w:val="fr-CA"/>
        </w:rPr>
        <w:t>.</w:t>
      </w:r>
    </w:p>
  </w:footnote>
  <w:footnote w:id="6">
    <w:p w14:paraId="3B59CC49" w14:textId="52881261" w:rsidR="004A6852" w:rsidRPr="008E0D78" w:rsidRDefault="004A6852">
      <w:pPr>
        <w:pStyle w:val="FootnoteText"/>
        <w:rPr>
          <w:lang w:val="fr-CA"/>
        </w:rPr>
      </w:pPr>
      <w:r w:rsidRPr="00C15213">
        <w:rPr>
          <w:rStyle w:val="FootnoteReference"/>
        </w:rPr>
        <w:footnoteRef/>
      </w:r>
      <w:r w:rsidRPr="00C15213">
        <w:rPr>
          <w:lang w:val="fr-CA"/>
        </w:rPr>
        <w:t xml:space="preserve"> </w:t>
      </w:r>
      <w:r>
        <w:rPr>
          <w:lang w:val="fr-CA"/>
        </w:rPr>
        <w:t xml:space="preserve"> </w:t>
      </w:r>
      <w:r w:rsidRPr="002A3AC6">
        <w:rPr>
          <w:i/>
          <w:lang w:val="fr-CA"/>
        </w:rPr>
        <w:t>Carter</w:t>
      </w:r>
      <w:r>
        <w:rPr>
          <w:i/>
          <w:lang w:val="fr-CA"/>
        </w:rPr>
        <w:t xml:space="preserve"> c. Canada (Procureur général)</w:t>
      </w:r>
      <w:r>
        <w:rPr>
          <w:lang w:val="fr-CA"/>
        </w:rPr>
        <w:t>, 2015 CSC 5, [2015] 1 R.C.S. 331</w:t>
      </w:r>
      <w:r w:rsidRPr="002A3AC6">
        <w:rPr>
          <w:lang w:val="fr-CA"/>
        </w:rPr>
        <w:t xml:space="preserve">; </w:t>
      </w:r>
      <w:r w:rsidRPr="002A3AC6">
        <w:rPr>
          <w:i/>
          <w:lang w:val="fr-CA"/>
        </w:rPr>
        <w:t xml:space="preserve">Saskatchewan </w:t>
      </w:r>
      <w:proofErr w:type="spellStart"/>
      <w:r w:rsidRPr="002A3AC6">
        <w:rPr>
          <w:i/>
          <w:lang w:val="fr-CA"/>
        </w:rPr>
        <w:t>Federation</w:t>
      </w:r>
      <w:proofErr w:type="spellEnd"/>
      <w:r w:rsidRPr="002A3AC6">
        <w:rPr>
          <w:i/>
          <w:lang w:val="fr-CA"/>
        </w:rPr>
        <w:t xml:space="preserve"> of Labour</w:t>
      </w:r>
      <w:r>
        <w:rPr>
          <w:i/>
          <w:lang w:val="fr-CA"/>
        </w:rPr>
        <w:t xml:space="preserve"> c. Saskatchewan</w:t>
      </w:r>
      <w:r>
        <w:rPr>
          <w:lang w:val="fr-CA"/>
        </w:rPr>
        <w:t>, 2015 CSC 4, [2015] 1 R.C.S. 245</w:t>
      </w:r>
      <w:r w:rsidRPr="002A3AC6">
        <w:rPr>
          <w:lang w:val="fr-CA"/>
        </w:rPr>
        <w:t xml:space="preserve">; </w:t>
      </w:r>
      <w:r w:rsidRPr="002A3AC6">
        <w:rPr>
          <w:i/>
          <w:lang w:val="fr-CA"/>
        </w:rPr>
        <w:t>Association</w:t>
      </w:r>
      <w:r>
        <w:rPr>
          <w:i/>
          <w:lang w:val="fr-CA"/>
        </w:rPr>
        <w:t xml:space="preserve"> de la police montée de l’Ontario c. Canada (Procureur général)</w:t>
      </w:r>
      <w:r>
        <w:rPr>
          <w:lang w:val="fr-CA"/>
        </w:rPr>
        <w:t>, 2015 CSC 1, [2015] 1 R.C.S. 3</w:t>
      </w:r>
      <w:r w:rsidRPr="002A3AC6">
        <w:rPr>
          <w:lang w:val="fr-CA"/>
        </w:rPr>
        <w:t>;</w:t>
      </w:r>
      <w:r>
        <w:rPr>
          <w:lang w:val="fr-CA"/>
        </w:rPr>
        <w:t xml:space="preserve"> </w:t>
      </w:r>
      <w:r>
        <w:rPr>
          <w:i/>
          <w:lang w:val="fr-CA"/>
        </w:rPr>
        <w:t>Canada (Procureur général) c.</w:t>
      </w:r>
      <w:r w:rsidRPr="002A3AC6">
        <w:rPr>
          <w:lang w:val="fr-CA"/>
        </w:rPr>
        <w:t xml:space="preserve"> </w:t>
      </w:r>
      <w:r w:rsidRPr="002A3AC6">
        <w:rPr>
          <w:i/>
          <w:lang w:val="fr-CA"/>
        </w:rPr>
        <w:t>Bedford</w:t>
      </w:r>
      <w:r>
        <w:rPr>
          <w:lang w:val="fr-CA"/>
        </w:rPr>
        <w:t xml:space="preserve">, 2013 CSC 72, </w:t>
      </w:r>
      <w:r w:rsidRPr="005C0D94">
        <w:rPr>
          <w:lang w:val="fr-CA"/>
        </w:rPr>
        <w:t>[201</w:t>
      </w:r>
      <w:r>
        <w:rPr>
          <w:lang w:val="fr-CA"/>
        </w:rPr>
        <w:t>3] 3 R.C.S. 1101;</w:t>
      </w:r>
      <w:r w:rsidRPr="002A3AC6">
        <w:rPr>
          <w:lang w:val="fr-CA"/>
        </w:rPr>
        <w:t xml:space="preserve"> </w:t>
      </w:r>
      <w:r w:rsidRPr="002A3AC6">
        <w:rPr>
          <w:i/>
          <w:lang w:val="fr-CA"/>
        </w:rPr>
        <w:t xml:space="preserve">Alberta (Information and </w:t>
      </w:r>
      <w:proofErr w:type="spellStart"/>
      <w:r w:rsidRPr="002A3AC6">
        <w:rPr>
          <w:i/>
          <w:lang w:val="fr-CA"/>
        </w:rPr>
        <w:t>Privacy</w:t>
      </w:r>
      <w:proofErr w:type="spellEnd"/>
      <w:r w:rsidRPr="002A3AC6">
        <w:rPr>
          <w:i/>
          <w:lang w:val="fr-CA"/>
        </w:rPr>
        <w:t xml:space="preserve"> </w:t>
      </w:r>
      <w:proofErr w:type="spellStart"/>
      <w:r w:rsidRPr="002A3AC6">
        <w:rPr>
          <w:i/>
          <w:lang w:val="fr-CA"/>
        </w:rPr>
        <w:t>Commissioner</w:t>
      </w:r>
      <w:proofErr w:type="spellEnd"/>
      <w:r w:rsidRPr="002A3AC6">
        <w:rPr>
          <w:i/>
          <w:lang w:val="fr-CA"/>
        </w:rPr>
        <w:t>)</w:t>
      </w:r>
      <w:r>
        <w:rPr>
          <w:i/>
          <w:lang w:val="fr-CA"/>
        </w:rPr>
        <w:t xml:space="preserve"> c. Travailleurs et travailleuses unis de l’alimentation et du commerce, section locale 401</w:t>
      </w:r>
      <w:r>
        <w:rPr>
          <w:lang w:val="fr-CA"/>
        </w:rPr>
        <w:t xml:space="preserve">, 2013 CSC 62, </w:t>
      </w:r>
      <w:r w:rsidRPr="005C0D94">
        <w:rPr>
          <w:lang w:val="fr-CA"/>
        </w:rPr>
        <w:t>[</w:t>
      </w:r>
      <w:r>
        <w:rPr>
          <w:lang w:val="fr-CA"/>
        </w:rPr>
        <w:t>2013] 3 R.C.S. 733</w:t>
      </w:r>
      <w:r w:rsidRPr="002A3AC6">
        <w:rPr>
          <w:lang w:val="fr-CA"/>
        </w:rPr>
        <w:t xml:space="preserve">; </w:t>
      </w:r>
      <w:r>
        <w:rPr>
          <w:i/>
          <w:lang w:val="fr-CA"/>
        </w:rPr>
        <w:t xml:space="preserve">R. c. </w:t>
      </w:r>
      <w:r w:rsidRPr="002A3AC6">
        <w:rPr>
          <w:i/>
          <w:lang w:val="fr-CA"/>
        </w:rPr>
        <w:t>Tse</w:t>
      </w:r>
      <w:r>
        <w:rPr>
          <w:lang w:val="fr-CA"/>
        </w:rPr>
        <w:t>, 2012 CSC 16, [2012</w:t>
      </w:r>
      <w:r w:rsidRPr="00B37F21">
        <w:rPr>
          <w:lang w:val="fr-CA"/>
        </w:rPr>
        <w:t>]</w:t>
      </w:r>
      <w:r>
        <w:rPr>
          <w:lang w:val="fr-CA"/>
        </w:rPr>
        <w:t xml:space="preserve"> 1 R.C.S. 531</w:t>
      </w:r>
      <w:r w:rsidRPr="002A3AC6">
        <w:rPr>
          <w:lang w:val="fr-CA"/>
        </w:rPr>
        <w:t>;</w:t>
      </w:r>
      <w:r>
        <w:rPr>
          <w:lang w:val="fr-CA"/>
        </w:rPr>
        <w:t xml:space="preserve"> </w:t>
      </w:r>
      <w:r>
        <w:rPr>
          <w:i/>
          <w:lang w:val="fr-CA"/>
        </w:rPr>
        <w:t>Québec (Éducation, Loisir et Sport) c.</w:t>
      </w:r>
      <w:r w:rsidRPr="002A3AC6">
        <w:rPr>
          <w:lang w:val="fr-CA"/>
        </w:rPr>
        <w:t xml:space="preserve"> </w:t>
      </w:r>
      <w:r w:rsidRPr="002A3AC6">
        <w:rPr>
          <w:i/>
          <w:lang w:val="fr-CA"/>
        </w:rPr>
        <w:t>Nguyen</w:t>
      </w:r>
      <w:r>
        <w:rPr>
          <w:lang w:val="fr-CA"/>
        </w:rPr>
        <w:t xml:space="preserve">, 2009 CSC 47, </w:t>
      </w:r>
      <w:r w:rsidRPr="00B37F21">
        <w:rPr>
          <w:lang w:val="fr-CA"/>
        </w:rPr>
        <w:t>[2009]</w:t>
      </w:r>
      <w:r>
        <w:rPr>
          <w:lang w:val="fr-CA"/>
        </w:rPr>
        <w:t xml:space="preserve"> 3 R.C.S. 208</w:t>
      </w:r>
      <w:r w:rsidRPr="002A3AC6">
        <w:rPr>
          <w:lang w:val="fr-CA"/>
        </w:rPr>
        <w:t xml:space="preserve">; </w:t>
      </w:r>
      <w:proofErr w:type="spellStart"/>
      <w:r w:rsidRPr="002A3AC6">
        <w:rPr>
          <w:i/>
          <w:lang w:val="fr-CA"/>
        </w:rPr>
        <w:t>Health</w:t>
      </w:r>
      <w:proofErr w:type="spellEnd"/>
      <w:r w:rsidRPr="002A3AC6">
        <w:rPr>
          <w:i/>
          <w:lang w:val="fr-CA"/>
        </w:rPr>
        <w:t xml:space="preserve"> Services and Support</w:t>
      </w:r>
      <w:r>
        <w:rPr>
          <w:i/>
          <w:lang w:val="fr-CA"/>
        </w:rPr>
        <w:t xml:space="preserve"> </w:t>
      </w:r>
      <w:r w:rsidRPr="00B37F21">
        <w:rPr>
          <w:i/>
          <w:lang w:val="fr-CA"/>
        </w:rPr>
        <w:t xml:space="preserve">— </w:t>
      </w:r>
      <w:proofErr w:type="spellStart"/>
      <w:r w:rsidRPr="00B37F21">
        <w:rPr>
          <w:i/>
          <w:lang w:val="fr-CA"/>
        </w:rPr>
        <w:t>Facilities</w:t>
      </w:r>
      <w:proofErr w:type="spellEnd"/>
      <w:r w:rsidRPr="00B37F21">
        <w:rPr>
          <w:i/>
          <w:lang w:val="fr-CA"/>
        </w:rPr>
        <w:t xml:space="preserve"> </w:t>
      </w:r>
      <w:proofErr w:type="spellStart"/>
      <w:r w:rsidRPr="00B37F21">
        <w:rPr>
          <w:i/>
          <w:lang w:val="fr-CA"/>
        </w:rPr>
        <w:t>Subsector</w:t>
      </w:r>
      <w:proofErr w:type="spellEnd"/>
      <w:r w:rsidRPr="00B37F21">
        <w:rPr>
          <w:i/>
          <w:lang w:val="fr-CA"/>
        </w:rPr>
        <w:t xml:space="preserve"> </w:t>
      </w:r>
      <w:proofErr w:type="spellStart"/>
      <w:r w:rsidRPr="00B37F21">
        <w:rPr>
          <w:i/>
          <w:lang w:val="fr-CA"/>
        </w:rPr>
        <w:t>Bargaining</w:t>
      </w:r>
      <w:proofErr w:type="spellEnd"/>
      <w:r w:rsidRPr="00B37F21">
        <w:rPr>
          <w:i/>
          <w:lang w:val="fr-CA"/>
        </w:rPr>
        <w:t xml:space="preserve"> </w:t>
      </w:r>
      <w:proofErr w:type="spellStart"/>
      <w:r w:rsidRPr="00B37F21">
        <w:rPr>
          <w:i/>
          <w:lang w:val="fr-CA"/>
        </w:rPr>
        <w:t>Assn</w:t>
      </w:r>
      <w:proofErr w:type="spellEnd"/>
      <w:r w:rsidRPr="00B37F21">
        <w:rPr>
          <w:i/>
          <w:lang w:val="fr-CA"/>
        </w:rPr>
        <w:t>.</w:t>
      </w:r>
      <w:r>
        <w:rPr>
          <w:i/>
          <w:lang w:val="fr-CA"/>
        </w:rPr>
        <w:t xml:space="preserve"> c. Colombie</w:t>
      </w:r>
      <w:r>
        <w:rPr>
          <w:i/>
          <w:lang w:val="fr-CA"/>
        </w:rPr>
        <w:noBreakHyphen/>
        <w:t>Britannique</w:t>
      </w:r>
      <w:r>
        <w:rPr>
          <w:lang w:val="fr-CA"/>
        </w:rPr>
        <w:t>, 2007 CSC 27, [2007] 2 R.C.S. 391</w:t>
      </w:r>
      <w:r w:rsidRPr="002A3AC6">
        <w:rPr>
          <w:lang w:val="fr-CA"/>
        </w:rPr>
        <w:t xml:space="preserve">; </w:t>
      </w:r>
      <w:proofErr w:type="spellStart"/>
      <w:r w:rsidRPr="002A3AC6">
        <w:rPr>
          <w:i/>
          <w:lang w:val="fr-CA"/>
        </w:rPr>
        <w:t>Charkaoui</w:t>
      </w:r>
      <w:proofErr w:type="spellEnd"/>
      <w:r>
        <w:rPr>
          <w:i/>
          <w:lang w:val="fr-CA"/>
        </w:rPr>
        <w:t xml:space="preserve"> c. Canada (</w:t>
      </w:r>
      <w:proofErr w:type="spellStart"/>
      <w:r>
        <w:rPr>
          <w:i/>
          <w:lang w:val="fr-CA"/>
        </w:rPr>
        <w:t>Citoyenneé</w:t>
      </w:r>
      <w:proofErr w:type="spellEnd"/>
      <w:r>
        <w:rPr>
          <w:i/>
          <w:lang w:val="fr-CA"/>
        </w:rPr>
        <w:t xml:space="preserve"> et Immigration)</w:t>
      </w:r>
      <w:r>
        <w:rPr>
          <w:lang w:val="fr-CA"/>
        </w:rPr>
        <w:t xml:space="preserve">, 2007 CSC 9, </w:t>
      </w:r>
      <w:r w:rsidRPr="00B37F21">
        <w:rPr>
          <w:lang w:val="fr-CA"/>
        </w:rPr>
        <w:t>[2007]</w:t>
      </w:r>
      <w:r>
        <w:rPr>
          <w:lang w:val="fr-CA"/>
        </w:rPr>
        <w:t xml:space="preserve"> 1 R.C.S. 350; </w:t>
      </w:r>
      <w:r>
        <w:rPr>
          <w:i/>
          <w:lang w:val="fr-CA"/>
        </w:rPr>
        <w:t xml:space="preserve">R. c. </w:t>
      </w:r>
      <w:r w:rsidRPr="002A3AC6">
        <w:rPr>
          <w:i/>
          <w:lang w:val="fr-CA"/>
        </w:rPr>
        <w:t>Demers</w:t>
      </w:r>
      <w:r>
        <w:rPr>
          <w:lang w:val="fr-CA"/>
        </w:rPr>
        <w:t>, 2004 CSC 46, [2004] 2 R.C.S. 489</w:t>
      </w:r>
      <w:r w:rsidRPr="002A3AC6">
        <w:rPr>
          <w:lang w:val="fr-CA"/>
        </w:rPr>
        <w:t xml:space="preserve">; </w:t>
      </w:r>
      <w:r w:rsidRPr="006D3E15">
        <w:rPr>
          <w:i/>
          <w:lang w:val="fr-CA"/>
        </w:rPr>
        <w:t>Nouvelle</w:t>
      </w:r>
      <w:r>
        <w:rPr>
          <w:i/>
          <w:lang w:val="fr-CA"/>
        </w:rPr>
        <w:noBreakHyphen/>
      </w:r>
      <w:r w:rsidRPr="006D3E15">
        <w:rPr>
          <w:i/>
          <w:lang w:val="fr-CA"/>
        </w:rPr>
        <w:t>Écosse (</w:t>
      </w:r>
      <w:proofErr w:type="spellStart"/>
      <w:r w:rsidRPr="006D3E15">
        <w:rPr>
          <w:i/>
          <w:lang w:val="fr-CA"/>
        </w:rPr>
        <w:t>Worker’s</w:t>
      </w:r>
      <w:proofErr w:type="spellEnd"/>
      <w:r w:rsidRPr="006D3E15">
        <w:rPr>
          <w:i/>
          <w:lang w:val="fr-CA"/>
        </w:rPr>
        <w:t xml:space="preserve"> Compensation </w:t>
      </w:r>
      <w:proofErr w:type="spellStart"/>
      <w:r w:rsidRPr="006D3E15">
        <w:rPr>
          <w:i/>
          <w:lang w:val="fr-CA"/>
        </w:rPr>
        <w:t>Board</w:t>
      </w:r>
      <w:proofErr w:type="spellEnd"/>
      <w:r w:rsidRPr="006D3E15">
        <w:rPr>
          <w:i/>
          <w:lang w:val="fr-CA"/>
        </w:rPr>
        <w:t>) c. Martin</w:t>
      </w:r>
      <w:r w:rsidRPr="006D3E15">
        <w:rPr>
          <w:lang w:val="fr-CA"/>
        </w:rPr>
        <w:t xml:space="preserve">, 2003 CSC 54, [2003] 2 R.C.S. 504; </w:t>
      </w:r>
      <w:proofErr w:type="spellStart"/>
      <w:r w:rsidRPr="006D3E15">
        <w:rPr>
          <w:i/>
          <w:lang w:val="fr-CA"/>
        </w:rPr>
        <w:t>Figueroa</w:t>
      </w:r>
      <w:proofErr w:type="spellEnd"/>
      <w:r w:rsidRPr="006D3E15">
        <w:rPr>
          <w:i/>
          <w:lang w:val="fr-CA"/>
        </w:rPr>
        <w:t xml:space="preserve"> c. Canada (Procureur général)</w:t>
      </w:r>
      <w:r w:rsidRPr="006D3E15">
        <w:rPr>
          <w:lang w:val="fr-CA"/>
        </w:rPr>
        <w:t xml:space="preserve">, 2003 CSC 37, </w:t>
      </w:r>
      <w:r w:rsidRPr="000A531F">
        <w:rPr>
          <w:lang w:val="fr-CA"/>
        </w:rPr>
        <w:t>[2003]</w:t>
      </w:r>
      <w:r>
        <w:rPr>
          <w:lang w:val="fr-CA"/>
        </w:rPr>
        <w:t xml:space="preserve"> 1 R.C.S. 912</w:t>
      </w:r>
      <w:r w:rsidRPr="002A3AC6">
        <w:rPr>
          <w:lang w:val="fr-CA"/>
        </w:rPr>
        <w:t xml:space="preserve">; </w:t>
      </w:r>
      <w:proofErr w:type="spellStart"/>
      <w:r w:rsidRPr="002A3AC6">
        <w:rPr>
          <w:i/>
          <w:lang w:val="fr-CA"/>
        </w:rPr>
        <w:t>Trociuk</w:t>
      </w:r>
      <w:proofErr w:type="spellEnd"/>
      <w:r>
        <w:rPr>
          <w:i/>
          <w:lang w:val="fr-CA"/>
        </w:rPr>
        <w:t xml:space="preserve"> c. Colombie</w:t>
      </w:r>
      <w:r>
        <w:rPr>
          <w:i/>
          <w:lang w:val="fr-CA"/>
        </w:rPr>
        <w:noBreakHyphen/>
        <w:t>Britannique (Procureur</w:t>
      </w:r>
      <w:r w:rsidRPr="000A531F">
        <w:rPr>
          <w:i/>
          <w:lang w:val="fr-CA"/>
        </w:rPr>
        <w:t xml:space="preserve"> </w:t>
      </w:r>
      <w:r>
        <w:rPr>
          <w:i/>
          <w:lang w:val="fr-CA"/>
        </w:rPr>
        <w:t>général)</w:t>
      </w:r>
      <w:r>
        <w:rPr>
          <w:lang w:val="fr-CA"/>
        </w:rPr>
        <w:t xml:space="preserve">, 2003 CSC 34, [2003] 1 R.C.S. 835; </w:t>
      </w:r>
      <w:r>
        <w:rPr>
          <w:i/>
          <w:lang w:val="fr-CA"/>
        </w:rPr>
        <w:t xml:space="preserve">R. c. </w:t>
      </w:r>
      <w:r w:rsidRPr="002A3AC6">
        <w:rPr>
          <w:i/>
          <w:lang w:val="fr-CA"/>
        </w:rPr>
        <w:t>Guignard</w:t>
      </w:r>
      <w:r>
        <w:rPr>
          <w:lang w:val="fr-CA"/>
        </w:rPr>
        <w:t>, 2002 CSC 14, [2002] 1 R.C.S. 472</w:t>
      </w:r>
      <w:r w:rsidRPr="002A3AC6">
        <w:rPr>
          <w:lang w:val="fr-CA"/>
        </w:rPr>
        <w:t xml:space="preserve">; </w:t>
      </w:r>
      <w:proofErr w:type="spellStart"/>
      <w:r w:rsidRPr="002A3AC6">
        <w:rPr>
          <w:i/>
          <w:lang w:val="fr-CA"/>
        </w:rPr>
        <w:t>Mackin</w:t>
      </w:r>
      <w:proofErr w:type="spellEnd"/>
      <w:r>
        <w:rPr>
          <w:i/>
          <w:lang w:val="fr-CA"/>
        </w:rPr>
        <w:t xml:space="preserve"> c. Nouveau</w:t>
      </w:r>
      <w:r>
        <w:rPr>
          <w:i/>
          <w:lang w:val="fr-CA"/>
        </w:rPr>
        <w:noBreakHyphen/>
        <w:t>Brunswick (Ministre des Finances)</w:t>
      </w:r>
      <w:r>
        <w:rPr>
          <w:lang w:val="fr-CA"/>
        </w:rPr>
        <w:t>, 2002 CSC 13, [2002] 1 R.C.S. 405;</w:t>
      </w:r>
      <w:r w:rsidRPr="002A3AC6">
        <w:rPr>
          <w:lang w:val="fr-CA"/>
        </w:rPr>
        <w:t xml:space="preserve"> </w:t>
      </w:r>
      <w:proofErr w:type="spellStart"/>
      <w:r w:rsidRPr="002A3AC6">
        <w:rPr>
          <w:i/>
          <w:lang w:val="fr-CA"/>
        </w:rPr>
        <w:t>Dunmore</w:t>
      </w:r>
      <w:proofErr w:type="spellEnd"/>
      <w:r>
        <w:rPr>
          <w:i/>
          <w:lang w:val="fr-CA"/>
        </w:rPr>
        <w:t xml:space="preserve"> c. Ontario (Procureur</w:t>
      </w:r>
      <w:r w:rsidRPr="000A531F">
        <w:rPr>
          <w:i/>
          <w:lang w:val="fr-CA"/>
        </w:rPr>
        <w:t xml:space="preserve"> </w:t>
      </w:r>
      <w:r>
        <w:rPr>
          <w:i/>
          <w:lang w:val="fr-CA"/>
        </w:rPr>
        <w:t>général)</w:t>
      </w:r>
      <w:r>
        <w:rPr>
          <w:lang w:val="fr-CA"/>
        </w:rPr>
        <w:t xml:space="preserve">, 2001 CSC 94, [2001] 3 R.C.S. 1016; </w:t>
      </w:r>
      <w:r>
        <w:rPr>
          <w:i/>
          <w:lang w:val="fr-CA"/>
        </w:rPr>
        <w:t>T.U.A.C., section locale </w:t>
      </w:r>
      <w:r w:rsidRPr="002A3AC6">
        <w:rPr>
          <w:i/>
          <w:lang w:val="fr-CA"/>
        </w:rPr>
        <w:t>1518</w:t>
      </w:r>
      <w:r>
        <w:rPr>
          <w:i/>
          <w:lang w:val="fr-CA"/>
        </w:rPr>
        <w:t xml:space="preserve"> c. </w:t>
      </w:r>
      <w:proofErr w:type="spellStart"/>
      <w:r>
        <w:rPr>
          <w:i/>
          <w:lang w:val="fr-CA"/>
        </w:rPr>
        <w:t>Kmart</w:t>
      </w:r>
      <w:proofErr w:type="spellEnd"/>
      <w:r>
        <w:rPr>
          <w:i/>
          <w:lang w:val="fr-CA"/>
        </w:rPr>
        <w:t xml:space="preserve"> Canada Ltd.</w:t>
      </w:r>
      <w:r>
        <w:rPr>
          <w:lang w:val="fr-CA"/>
        </w:rPr>
        <w:t xml:space="preserve">, [1999] 2 R.C.S. 1083; </w:t>
      </w:r>
      <w:proofErr w:type="spellStart"/>
      <w:r w:rsidRPr="002A3AC6">
        <w:rPr>
          <w:i/>
          <w:lang w:val="fr-CA"/>
        </w:rPr>
        <w:t>Corbiere</w:t>
      </w:r>
      <w:proofErr w:type="spellEnd"/>
      <w:r>
        <w:rPr>
          <w:i/>
          <w:lang w:val="fr-CA"/>
        </w:rPr>
        <w:t xml:space="preserve"> c. Canada (Ministre des Affaires indiennes et du Nord canadien)</w:t>
      </w:r>
      <w:r>
        <w:rPr>
          <w:lang w:val="fr-CA"/>
        </w:rPr>
        <w:t>, [1999] 2 R.C.S. 203;</w:t>
      </w:r>
      <w:r w:rsidRPr="002A3AC6">
        <w:rPr>
          <w:lang w:val="fr-CA"/>
        </w:rPr>
        <w:t xml:space="preserve"> </w:t>
      </w:r>
      <w:r w:rsidRPr="002A3AC6">
        <w:rPr>
          <w:i/>
          <w:lang w:val="fr-CA"/>
        </w:rPr>
        <w:t>M.</w:t>
      </w:r>
      <w:r>
        <w:rPr>
          <w:i/>
          <w:lang w:val="fr-CA"/>
        </w:rPr>
        <w:t> c</w:t>
      </w:r>
      <w:r w:rsidRPr="002A3AC6">
        <w:rPr>
          <w:i/>
          <w:lang w:val="fr-CA"/>
        </w:rPr>
        <w:t>.</w:t>
      </w:r>
      <w:r>
        <w:rPr>
          <w:i/>
          <w:lang w:val="fr-CA"/>
        </w:rPr>
        <w:t> </w:t>
      </w:r>
      <w:r w:rsidRPr="002A3AC6">
        <w:rPr>
          <w:i/>
          <w:lang w:val="fr-CA"/>
        </w:rPr>
        <w:t>H.</w:t>
      </w:r>
      <w:r>
        <w:rPr>
          <w:lang w:val="fr-CA"/>
        </w:rPr>
        <w:t>, [1999] 2 R.C.S. 3</w:t>
      </w:r>
      <w:r w:rsidRPr="002A3AC6">
        <w:rPr>
          <w:lang w:val="fr-CA"/>
        </w:rPr>
        <w:t xml:space="preserve">; </w:t>
      </w:r>
      <w:r>
        <w:rPr>
          <w:i/>
          <w:lang w:val="fr-CA"/>
        </w:rPr>
        <w:t>Renvoi relatif à la rémunération des juges de la Cour provinciale de l’Île</w:t>
      </w:r>
      <w:r>
        <w:rPr>
          <w:i/>
          <w:lang w:val="fr-CA"/>
        </w:rPr>
        <w:noBreakHyphen/>
        <w:t>du</w:t>
      </w:r>
      <w:r>
        <w:rPr>
          <w:i/>
          <w:lang w:val="fr-CA"/>
        </w:rPr>
        <w:noBreakHyphen/>
        <w:t>Prince</w:t>
      </w:r>
      <w:r>
        <w:rPr>
          <w:i/>
          <w:lang w:val="fr-CA"/>
        </w:rPr>
        <w:noBreakHyphen/>
        <w:t>Édouard)</w:t>
      </w:r>
      <w:r>
        <w:rPr>
          <w:lang w:val="fr-CA"/>
        </w:rPr>
        <w:t xml:space="preserve">, </w:t>
      </w:r>
      <w:r w:rsidRPr="00855092">
        <w:rPr>
          <w:lang w:val="fr-CA"/>
        </w:rPr>
        <w:t>[199</w:t>
      </w:r>
      <w:r>
        <w:rPr>
          <w:lang w:val="fr-CA"/>
        </w:rPr>
        <w:t xml:space="preserve">7] 3 R.C.S. 3; </w:t>
      </w:r>
      <w:proofErr w:type="spellStart"/>
      <w:r w:rsidRPr="002A3AC6">
        <w:rPr>
          <w:i/>
          <w:lang w:val="fr-CA"/>
        </w:rPr>
        <w:t>Schachter</w:t>
      </w:r>
      <w:proofErr w:type="spellEnd"/>
      <w:r>
        <w:rPr>
          <w:i/>
          <w:lang w:val="fr-CA"/>
        </w:rPr>
        <w:t xml:space="preserve"> c. Canada</w:t>
      </w:r>
      <w:r>
        <w:rPr>
          <w:lang w:val="fr-CA"/>
        </w:rPr>
        <w:t xml:space="preserve">, [1992] 2 R.C.S. 679; </w:t>
      </w:r>
      <w:r>
        <w:rPr>
          <w:i/>
          <w:lang w:val="fr-CA"/>
        </w:rPr>
        <w:t xml:space="preserve">R. c. </w:t>
      </w:r>
      <w:r w:rsidRPr="002A3AC6">
        <w:rPr>
          <w:i/>
          <w:lang w:val="fr-CA"/>
        </w:rPr>
        <w:t>Bain</w:t>
      </w:r>
      <w:r>
        <w:rPr>
          <w:lang w:val="fr-CA"/>
        </w:rPr>
        <w:t>, [1992] 1 R.C.S. 91</w:t>
      </w:r>
      <w:r w:rsidRPr="002A3AC6">
        <w:rPr>
          <w:lang w:val="fr-CA"/>
        </w:rPr>
        <w:t xml:space="preserve">; </w:t>
      </w:r>
      <w:r>
        <w:rPr>
          <w:lang w:val="fr-CA"/>
        </w:rPr>
        <w:t xml:space="preserve">et </w:t>
      </w:r>
      <w:r>
        <w:rPr>
          <w:i/>
          <w:lang w:val="fr-CA"/>
        </w:rPr>
        <w:t xml:space="preserve">R. c. </w:t>
      </w:r>
      <w:proofErr w:type="spellStart"/>
      <w:r w:rsidRPr="002A3AC6">
        <w:rPr>
          <w:i/>
          <w:lang w:val="fr-CA"/>
        </w:rPr>
        <w:t>Swain</w:t>
      </w:r>
      <w:proofErr w:type="spellEnd"/>
      <w:r>
        <w:rPr>
          <w:lang w:val="fr-CA"/>
        </w:rPr>
        <w:t xml:space="preserve">, [1991] 1 </w:t>
      </w:r>
      <w:proofErr w:type="spellStart"/>
      <w:r>
        <w:rPr>
          <w:lang w:val="fr-CA"/>
        </w:rPr>
        <w:t>R.C.S</w:t>
      </w:r>
      <w:proofErr w:type="spellEnd"/>
      <w:r w:rsidRPr="002A3AC6">
        <w:rPr>
          <w:lang w:val="fr-CA"/>
        </w:rPr>
        <w:t>.</w:t>
      </w:r>
      <w:r>
        <w:rPr>
          <w:lang w:val="fr-CA"/>
        </w:rPr>
        <w:t xml:space="preserve"> 933.</w:t>
      </w:r>
    </w:p>
  </w:footnote>
  <w:footnote w:id="7">
    <w:p w14:paraId="3A30DCAE" w14:textId="6C116B8C" w:rsidR="004A6852" w:rsidRPr="00C15213" w:rsidRDefault="004A6852">
      <w:pPr>
        <w:pStyle w:val="FootnoteText"/>
        <w:rPr>
          <w:lang w:val="fr-CA"/>
        </w:rPr>
      </w:pPr>
      <w:r>
        <w:rPr>
          <w:rStyle w:val="FootnoteReference"/>
        </w:rPr>
        <w:footnoteRef/>
      </w:r>
      <w:r>
        <w:rPr>
          <w:lang w:val="fr-CA"/>
        </w:rPr>
        <w:t>  Contrairement, p. ex., à l’al. 172(1</w:t>
      </w:r>
      <w:proofErr w:type="gramStart"/>
      <w:r>
        <w:rPr>
          <w:lang w:val="fr-CA"/>
        </w:rPr>
        <w:t>)</w:t>
      </w:r>
      <w:r w:rsidR="0025412A">
        <w:rPr>
          <w:lang w:val="fr-CA"/>
        </w:rPr>
        <w:t>(</w:t>
      </w:r>
      <w:proofErr w:type="gramEnd"/>
      <w:r w:rsidRPr="0025412A">
        <w:rPr>
          <w:lang w:val="fr-CA"/>
        </w:rPr>
        <w:t>b</w:t>
      </w:r>
      <w:r>
        <w:rPr>
          <w:lang w:val="fr-CA"/>
        </w:rPr>
        <w:t>) de la</w:t>
      </w:r>
      <w:r w:rsidRPr="002A3AC6">
        <w:rPr>
          <w:lang w:val="fr-CA"/>
        </w:rPr>
        <w:t xml:space="preserve"> </w:t>
      </w:r>
      <w:r w:rsidRPr="00850AF0">
        <w:rPr>
          <w:lang w:val="fr-CA"/>
        </w:rPr>
        <w:t xml:space="preserve">Constitution </w:t>
      </w:r>
      <w:r>
        <w:rPr>
          <w:lang w:val="fr-CA"/>
        </w:rPr>
        <w:t>de l’Afrique du Sud</w:t>
      </w:r>
      <w:r w:rsidRPr="002A3AC6">
        <w:rPr>
          <w:lang w:val="fr-CA"/>
        </w:rPr>
        <w:t xml:space="preserve"> </w:t>
      </w:r>
      <w:r>
        <w:rPr>
          <w:lang w:val="fr-CA"/>
        </w:rPr>
        <w:t xml:space="preserve">qui accorde à la cour le pouvoir de </w:t>
      </w:r>
      <w:r>
        <w:rPr>
          <w:smallCaps/>
          <w:lang w:val="fr-CA"/>
        </w:rPr>
        <w:t xml:space="preserve">[traduction] </w:t>
      </w:r>
      <w:r>
        <w:rPr>
          <w:lang w:val="fr-CA"/>
        </w:rPr>
        <w:t>« rendre toute ordonnance qu’elle estime juste et équitable, dont [. . .] (ii) une ordonnance suspendant l’effet de la déclaration d’invalidité pour une période déterminée et, sous réserve des conditions que celle</w:t>
      </w:r>
      <w:r>
        <w:rPr>
          <w:lang w:val="fr-CA"/>
        </w:rPr>
        <w:noBreakHyphen/>
        <w:t>ci fixe, autorisant les autorités compétentes à suspendre le vice ».</w:t>
      </w:r>
    </w:p>
  </w:footnote>
  <w:footnote w:id="8">
    <w:p w14:paraId="224A1C2C" w14:textId="5D5DFF83" w:rsidR="004A6852" w:rsidRPr="00773E54" w:rsidRDefault="004A6852">
      <w:pPr>
        <w:pStyle w:val="FootnoteText"/>
        <w:rPr>
          <w:lang w:val="fr-CA"/>
        </w:rPr>
      </w:pPr>
      <w:r>
        <w:rPr>
          <w:rStyle w:val="FootnoteReference"/>
        </w:rPr>
        <w:footnoteRef/>
      </w:r>
      <w:r>
        <w:rPr>
          <w:lang w:val="fr-CA"/>
        </w:rPr>
        <w:t>  </w:t>
      </w:r>
      <w:proofErr w:type="spellStart"/>
      <w:r w:rsidRPr="002A3AC6">
        <w:rPr>
          <w:i/>
          <w:lang w:val="fr-CA"/>
        </w:rPr>
        <w:t>Corbiere</w:t>
      </w:r>
      <w:proofErr w:type="spellEnd"/>
      <w:r>
        <w:rPr>
          <w:i/>
          <w:lang w:val="fr-CA"/>
        </w:rPr>
        <w:t xml:space="preserve"> c. Canada (Ministre des Affaires indiennes et du Nord canadien)</w:t>
      </w:r>
      <w:r w:rsidRPr="002A3AC6">
        <w:rPr>
          <w:lang w:val="fr-CA"/>
        </w:rPr>
        <w:t xml:space="preserve">, </w:t>
      </w:r>
      <w:r w:rsidRPr="004B224C">
        <w:rPr>
          <w:lang w:val="fr-CA"/>
        </w:rPr>
        <w:t>[</w:t>
      </w:r>
      <w:r>
        <w:rPr>
          <w:lang w:val="fr-CA"/>
        </w:rPr>
        <w:t>1999] 2 R.C.S. 203, par. </w:t>
      </w:r>
      <w:r w:rsidRPr="002A3AC6">
        <w:rPr>
          <w:lang w:val="fr-CA"/>
        </w:rPr>
        <w:t>118</w:t>
      </w:r>
      <w:r>
        <w:rPr>
          <w:lang w:val="fr-CA"/>
        </w:rPr>
        <w:noBreakHyphen/>
        <w:t>1</w:t>
      </w:r>
      <w:r w:rsidRPr="002A3AC6">
        <w:rPr>
          <w:lang w:val="fr-CA"/>
        </w:rPr>
        <w:t xml:space="preserve">19; </w:t>
      </w:r>
      <w:r w:rsidRPr="002A3AC6">
        <w:rPr>
          <w:i/>
          <w:lang w:val="fr-CA"/>
        </w:rPr>
        <w:t>M.</w:t>
      </w:r>
      <w:r>
        <w:rPr>
          <w:i/>
          <w:lang w:val="fr-CA"/>
        </w:rPr>
        <w:t> c</w:t>
      </w:r>
      <w:r w:rsidRPr="002A3AC6">
        <w:rPr>
          <w:i/>
          <w:lang w:val="fr-CA"/>
        </w:rPr>
        <w:t>.</w:t>
      </w:r>
      <w:r>
        <w:rPr>
          <w:i/>
          <w:lang w:val="fr-CA"/>
        </w:rPr>
        <w:t> </w:t>
      </w:r>
      <w:r w:rsidRPr="002A3AC6">
        <w:rPr>
          <w:i/>
          <w:lang w:val="fr-CA"/>
        </w:rPr>
        <w:t>H.</w:t>
      </w:r>
      <w:r w:rsidRPr="002A3AC6">
        <w:rPr>
          <w:lang w:val="fr-CA"/>
        </w:rPr>
        <w:t>,</w:t>
      </w:r>
      <w:r>
        <w:rPr>
          <w:lang w:val="fr-CA"/>
        </w:rPr>
        <w:t xml:space="preserve"> [1999] 2 R.C.S. 3,</w:t>
      </w:r>
      <w:r w:rsidRPr="002A3AC6">
        <w:rPr>
          <w:lang w:val="fr-CA"/>
        </w:rPr>
        <w:t xml:space="preserve"> </w:t>
      </w:r>
      <w:r>
        <w:rPr>
          <w:lang w:val="fr-CA"/>
        </w:rPr>
        <w:t>par. </w:t>
      </w:r>
      <w:r w:rsidRPr="002A3AC6">
        <w:rPr>
          <w:lang w:val="fr-CA"/>
        </w:rPr>
        <w:t xml:space="preserve">147; </w:t>
      </w:r>
      <w:r>
        <w:rPr>
          <w:i/>
          <w:lang w:val="fr-CA"/>
        </w:rPr>
        <w:t>T.U.A.C., section locale </w:t>
      </w:r>
      <w:r w:rsidRPr="002A3AC6">
        <w:rPr>
          <w:i/>
          <w:lang w:val="fr-CA"/>
        </w:rPr>
        <w:t xml:space="preserve">1518 </w:t>
      </w:r>
      <w:r>
        <w:rPr>
          <w:i/>
          <w:lang w:val="fr-CA"/>
        </w:rPr>
        <w:t>c</w:t>
      </w:r>
      <w:r w:rsidRPr="002A3AC6">
        <w:rPr>
          <w:i/>
          <w:lang w:val="fr-CA"/>
        </w:rPr>
        <w:t xml:space="preserve">. </w:t>
      </w:r>
      <w:proofErr w:type="spellStart"/>
      <w:r w:rsidRPr="002A3AC6">
        <w:rPr>
          <w:i/>
          <w:lang w:val="fr-CA"/>
        </w:rPr>
        <w:t>KMart</w:t>
      </w:r>
      <w:proofErr w:type="spellEnd"/>
      <w:r w:rsidRPr="002A3AC6">
        <w:rPr>
          <w:i/>
          <w:lang w:val="fr-CA"/>
        </w:rPr>
        <w:t xml:space="preserve"> Canada Ltd.</w:t>
      </w:r>
      <w:r w:rsidRPr="002A3AC6">
        <w:rPr>
          <w:lang w:val="fr-CA"/>
        </w:rPr>
        <w:t>, [1999] 2</w:t>
      </w:r>
      <w:r>
        <w:rPr>
          <w:lang w:val="fr-CA"/>
        </w:rPr>
        <w:t> R.C.S. </w:t>
      </w:r>
      <w:r w:rsidRPr="002A3AC6">
        <w:rPr>
          <w:lang w:val="fr-CA"/>
        </w:rPr>
        <w:t xml:space="preserve">1083, </w:t>
      </w:r>
      <w:r>
        <w:rPr>
          <w:lang w:val="fr-CA"/>
        </w:rPr>
        <w:t>par. </w:t>
      </w:r>
      <w:r w:rsidRPr="002A3AC6">
        <w:rPr>
          <w:lang w:val="fr-CA"/>
        </w:rPr>
        <w:t xml:space="preserve">79; </w:t>
      </w:r>
      <w:proofErr w:type="spellStart"/>
      <w:r w:rsidRPr="002A3AC6">
        <w:rPr>
          <w:i/>
          <w:lang w:val="fr-CA"/>
        </w:rPr>
        <w:t>Charkaoui</w:t>
      </w:r>
      <w:proofErr w:type="spellEnd"/>
      <w:r w:rsidRPr="002A3AC6">
        <w:rPr>
          <w:i/>
          <w:lang w:val="fr-CA"/>
        </w:rPr>
        <w:t xml:space="preserve"> </w:t>
      </w:r>
      <w:r>
        <w:rPr>
          <w:i/>
          <w:lang w:val="fr-CA"/>
        </w:rPr>
        <w:t>c</w:t>
      </w:r>
      <w:r w:rsidRPr="002A3AC6">
        <w:rPr>
          <w:i/>
          <w:lang w:val="fr-CA"/>
        </w:rPr>
        <w:t>. Canada (</w:t>
      </w:r>
      <w:r>
        <w:rPr>
          <w:i/>
          <w:lang w:val="fr-CA"/>
        </w:rPr>
        <w:t xml:space="preserve">Citoyenneté et </w:t>
      </w:r>
      <w:r w:rsidRPr="002A3AC6">
        <w:rPr>
          <w:i/>
          <w:lang w:val="fr-CA"/>
        </w:rPr>
        <w:t>Immigration)</w:t>
      </w:r>
      <w:r w:rsidRPr="002A3AC6">
        <w:rPr>
          <w:lang w:val="fr-CA"/>
        </w:rPr>
        <w:t>, 2007</w:t>
      </w:r>
      <w:r>
        <w:rPr>
          <w:lang w:val="fr-CA"/>
        </w:rPr>
        <w:t> CSC </w:t>
      </w:r>
      <w:r w:rsidRPr="002A3AC6">
        <w:rPr>
          <w:lang w:val="fr-CA"/>
        </w:rPr>
        <w:t xml:space="preserve">9, </w:t>
      </w:r>
      <w:r>
        <w:rPr>
          <w:lang w:val="fr-CA"/>
        </w:rPr>
        <w:t>[2007] 1 R.C.S. 350, par. </w:t>
      </w:r>
      <w:r w:rsidRPr="002A3AC6">
        <w:rPr>
          <w:lang w:val="fr-CA"/>
        </w:rPr>
        <w:t xml:space="preserve">140; </w:t>
      </w:r>
      <w:proofErr w:type="spellStart"/>
      <w:r w:rsidRPr="002A3AC6">
        <w:rPr>
          <w:i/>
          <w:lang w:val="fr-CA"/>
        </w:rPr>
        <w:t>Health</w:t>
      </w:r>
      <w:proofErr w:type="spellEnd"/>
      <w:r w:rsidRPr="002A3AC6">
        <w:rPr>
          <w:i/>
          <w:lang w:val="fr-CA"/>
        </w:rPr>
        <w:t xml:space="preserve"> Services and Support — </w:t>
      </w:r>
      <w:proofErr w:type="spellStart"/>
      <w:r w:rsidRPr="002A3AC6">
        <w:rPr>
          <w:i/>
          <w:lang w:val="fr-CA"/>
        </w:rPr>
        <w:t>Facilities</w:t>
      </w:r>
      <w:proofErr w:type="spellEnd"/>
      <w:r w:rsidRPr="002A3AC6">
        <w:rPr>
          <w:i/>
          <w:lang w:val="fr-CA"/>
        </w:rPr>
        <w:t xml:space="preserve"> </w:t>
      </w:r>
      <w:proofErr w:type="spellStart"/>
      <w:r w:rsidRPr="002A3AC6">
        <w:rPr>
          <w:i/>
          <w:lang w:val="fr-CA"/>
        </w:rPr>
        <w:t>Subsector</w:t>
      </w:r>
      <w:proofErr w:type="spellEnd"/>
      <w:r w:rsidRPr="002A3AC6">
        <w:rPr>
          <w:i/>
          <w:lang w:val="fr-CA"/>
        </w:rPr>
        <w:t xml:space="preserve"> </w:t>
      </w:r>
      <w:proofErr w:type="spellStart"/>
      <w:r w:rsidRPr="002A3AC6">
        <w:rPr>
          <w:i/>
          <w:lang w:val="fr-CA"/>
        </w:rPr>
        <w:t>Bargaining</w:t>
      </w:r>
      <w:proofErr w:type="spellEnd"/>
      <w:r w:rsidRPr="002A3AC6">
        <w:rPr>
          <w:i/>
          <w:lang w:val="fr-CA"/>
        </w:rPr>
        <w:t xml:space="preserve"> </w:t>
      </w:r>
      <w:proofErr w:type="spellStart"/>
      <w:r w:rsidRPr="002A3AC6">
        <w:rPr>
          <w:i/>
          <w:lang w:val="fr-CA"/>
        </w:rPr>
        <w:t>Assn</w:t>
      </w:r>
      <w:proofErr w:type="spellEnd"/>
      <w:r w:rsidRPr="002A3AC6">
        <w:rPr>
          <w:i/>
          <w:lang w:val="fr-CA"/>
        </w:rPr>
        <w:t xml:space="preserve">. </w:t>
      </w:r>
      <w:r>
        <w:rPr>
          <w:i/>
          <w:lang w:val="fr-CA"/>
        </w:rPr>
        <w:t>c</w:t>
      </w:r>
      <w:r w:rsidRPr="002A3AC6">
        <w:rPr>
          <w:i/>
          <w:lang w:val="fr-CA"/>
        </w:rPr>
        <w:t xml:space="preserve">. </w:t>
      </w:r>
      <w:r>
        <w:rPr>
          <w:i/>
          <w:lang w:val="fr-CA"/>
        </w:rPr>
        <w:t>Colombie</w:t>
      </w:r>
      <w:r>
        <w:rPr>
          <w:i/>
          <w:lang w:val="fr-CA"/>
        </w:rPr>
        <w:noBreakHyphen/>
        <w:t>Britannique</w:t>
      </w:r>
      <w:r w:rsidRPr="002A3AC6">
        <w:rPr>
          <w:lang w:val="fr-CA"/>
        </w:rPr>
        <w:t>, 2007</w:t>
      </w:r>
      <w:r>
        <w:rPr>
          <w:lang w:val="fr-CA"/>
        </w:rPr>
        <w:t> CSC </w:t>
      </w:r>
      <w:r w:rsidRPr="002A3AC6">
        <w:rPr>
          <w:lang w:val="fr-CA"/>
        </w:rPr>
        <w:t xml:space="preserve">27, </w:t>
      </w:r>
      <w:r>
        <w:rPr>
          <w:lang w:val="fr-CA"/>
        </w:rPr>
        <w:t>[2007] 2 R.C.S. 391, par. </w:t>
      </w:r>
      <w:r w:rsidRPr="002A3AC6">
        <w:rPr>
          <w:lang w:val="fr-CA"/>
        </w:rPr>
        <w:t xml:space="preserve">168; </w:t>
      </w:r>
      <w:r>
        <w:rPr>
          <w:i/>
          <w:lang w:val="fr-CA"/>
        </w:rPr>
        <w:t>Qué</w:t>
      </w:r>
      <w:r w:rsidRPr="002A3AC6">
        <w:rPr>
          <w:i/>
          <w:lang w:val="fr-CA"/>
        </w:rPr>
        <w:t>bec (</w:t>
      </w:r>
      <w:r>
        <w:rPr>
          <w:i/>
          <w:lang w:val="fr-CA"/>
        </w:rPr>
        <w:t>Éducation, Loisir et Sport</w:t>
      </w:r>
      <w:r w:rsidRPr="002A3AC6">
        <w:rPr>
          <w:i/>
          <w:lang w:val="fr-CA"/>
        </w:rPr>
        <w:t>)</w:t>
      </w:r>
      <w:r>
        <w:rPr>
          <w:i/>
          <w:lang w:val="fr-CA"/>
        </w:rPr>
        <w:t xml:space="preserve"> c. Nguyen</w:t>
      </w:r>
      <w:r w:rsidRPr="002A3AC6">
        <w:rPr>
          <w:lang w:val="fr-CA"/>
        </w:rPr>
        <w:t>, 2009</w:t>
      </w:r>
      <w:r>
        <w:rPr>
          <w:lang w:val="fr-CA"/>
        </w:rPr>
        <w:t> CSC </w:t>
      </w:r>
      <w:r w:rsidRPr="002A3AC6">
        <w:rPr>
          <w:lang w:val="fr-CA"/>
        </w:rPr>
        <w:t>47,</w:t>
      </w:r>
      <w:r>
        <w:rPr>
          <w:lang w:val="fr-CA"/>
        </w:rPr>
        <w:t xml:space="preserve"> [2009] 3 R.C.S. 208,</w:t>
      </w:r>
      <w:r w:rsidRPr="002A3AC6">
        <w:rPr>
          <w:lang w:val="fr-CA"/>
        </w:rPr>
        <w:t xml:space="preserve"> </w:t>
      </w:r>
      <w:r>
        <w:rPr>
          <w:lang w:val="fr-CA"/>
        </w:rPr>
        <w:t>par. </w:t>
      </w:r>
      <w:r w:rsidRPr="002A3AC6">
        <w:rPr>
          <w:lang w:val="fr-CA"/>
        </w:rPr>
        <w:t xml:space="preserve">46; </w:t>
      </w:r>
      <w:r w:rsidRPr="002A3AC6">
        <w:rPr>
          <w:i/>
          <w:lang w:val="fr-CA"/>
        </w:rPr>
        <w:t>R.</w:t>
      </w:r>
      <w:r>
        <w:rPr>
          <w:i/>
          <w:lang w:val="fr-CA"/>
        </w:rPr>
        <w:t> c</w:t>
      </w:r>
      <w:r w:rsidRPr="002A3AC6">
        <w:rPr>
          <w:i/>
          <w:lang w:val="fr-CA"/>
        </w:rPr>
        <w:t>.</w:t>
      </w:r>
      <w:r>
        <w:rPr>
          <w:i/>
          <w:lang w:val="fr-CA"/>
        </w:rPr>
        <w:t> </w:t>
      </w:r>
      <w:r w:rsidRPr="002A3AC6">
        <w:rPr>
          <w:i/>
          <w:lang w:val="fr-CA"/>
        </w:rPr>
        <w:t>Tse</w:t>
      </w:r>
      <w:r w:rsidRPr="002A3AC6">
        <w:rPr>
          <w:lang w:val="fr-CA"/>
        </w:rPr>
        <w:t>, 2012</w:t>
      </w:r>
      <w:r>
        <w:rPr>
          <w:lang w:val="fr-CA"/>
        </w:rPr>
        <w:t> CSC </w:t>
      </w:r>
      <w:r w:rsidRPr="002A3AC6">
        <w:rPr>
          <w:lang w:val="fr-CA"/>
        </w:rPr>
        <w:t>16,</w:t>
      </w:r>
      <w:r>
        <w:rPr>
          <w:lang w:val="fr-CA"/>
        </w:rPr>
        <w:t xml:space="preserve"> [2012] 1 R.C.S. 531,</w:t>
      </w:r>
      <w:r w:rsidRPr="002A3AC6">
        <w:rPr>
          <w:lang w:val="fr-CA"/>
        </w:rPr>
        <w:t xml:space="preserve"> </w:t>
      </w:r>
      <w:r>
        <w:rPr>
          <w:lang w:val="fr-CA"/>
        </w:rPr>
        <w:t>par. </w:t>
      </w:r>
      <w:r w:rsidRPr="002A3AC6">
        <w:rPr>
          <w:lang w:val="fr-CA"/>
        </w:rPr>
        <w:t>102;</w:t>
      </w:r>
      <w:r w:rsidRPr="002A3AC6">
        <w:rPr>
          <w:i/>
          <w:lang w:val="fr-CA"/>
        </w:rPr>
        <w:t xml:space="preserve"> Alberta (Information and </w:t>
      </w:r>
      <w:proofErr w:type="spellStart"/>
      <w:r w:rsidRPr="002A3AC6">
        <w:rPr>
          <w:i/>
          <w:lang w:val="fr-CA"/>
        </w:rPr>
        <w:t>Privacy</w:t>
      </w:r>
      <w:proofErr w:type="spellEnd"/>
      <w:r w:rsidRPr="002A3AC6">
        <w:rPr>
          <w:i/>
          <w:lang w:val="fr-CA"/>
        </w:rPr>
        <w:t xml:space="preserve"> </w:t>
      </w:r>
      <w:proofErr w:type="spellStart"/>
      <w:r w:rsidRPr="002A3AC6">
        <w:rPr>
          <w:i/>
          <w:lang w:val="fr-CA"/>
        </w:rPr>
        <w:t>Commissioner</w:t>
      </w:r>
      <w:proofErr w:type="spellEnd"/>
      <w:r w:rsidRPr="002A3AC6">
        <w:rPr>
          <w:i/>
          <w:lang w:val="fr-CA"/>
        </w:rPr>
        <w:t>)</w:t>
      </w:r>
      <w:r>
        <w:rPr>
          <w:i/>
          <w:lang w:val="fr-CA"/>
        </w:rPr>
        <w:t xml:space="preserve"> c. Travailleurs et travailleuses unis de l’alimentation et du commerce, section locale 401</w:t>
      </w:r>
      <w:r w:rsidRPr="002A3AC6">
        <w:rPr>
          <w:lang w:val="fr-CA"/>
        </w:rPr>
        <w:t>,</w:t>
      </w:r>
      <w:r>
        <w:rPr>
          <w:lang w:val="fr-CA"/>
        </w:rPr>
        <w:t xml:space="preserve"> 2013 CSC 62, </w:t>
      </w:r>
      <w:r w:rsidRPr="00ED1308">
        <w:rPr>
          <w:lang w:val="fr-CA"/>
        </w:rPr>
        <w:t>[2013]</w:t>
      </w:r>
      <w:r>
        <w:rPr>
          <w:lang w:val="fr-CA"/>
        </w:rPr>
        <w:t xml:space="preserve"> 3 R.C.S. 733,</w:t>
      </w:r>
      <w:r w:rsidRPr="002A3AC6">
        <w:rPr>
          <w:lang w:val="fr-CA"/>
        </w:rPr>
        <w:t xml:space="preserve"> </w:t>
      </w:r>
      <w:r>
        <w:rPr>
          <w:lang w:val="fr-CA"/>
        </w:rPr>
        <w:t>par. </w:t>
      </w:r>
      <w:r w:rsidRPr="002A3AC6">
        <w:rPr>
          <w:lang w:val="fr-CA"/>
        </w:rPr>
        <w:t xml:space="preserve">41; </w:t>
      </w:r>
      <w:proofErr w:type="spellStart"/>
      <w:r>
        <w:rPr>
          <w:i/>
          <w:lang w:val="fr-CA"/>
        </w:rPr>
        <w:t>Figueroa</w:t>
      </w:r>
      <w:proofErr w:type="spellEnd"/>
      <w:r>
        <w:rPr>
          <w:i/>
          <w:lang w:val="fr-CA"/>
        </w:rPr>
        <w:t> c</w:t>
      </w:r>
      <w:r w:rsidRPr="002A3AC6">
        <w:rPr>
          <w:i/>
          <w:lang w:val="fr-CA"/>
        </w:rPr>
        <w:t>.</w:t>
      </w:r>
      <w:r>
        <w:rPr>
          <w:i/>
          <w:lang w:val="fr-CA"/>
        </w:rPr>
        <w:t> </w:t>
      </w:r>
      <w:r w:rsidRPr="002A3AC6">
        <w:rPr>
          <w:i/>
          <w:lang w:val="fr-CA"/>
        </w:rPr>
        <w:t>Canada (</w:t>
      </w:r>
      <w:r>
        <w:rPr>
          <w:i/>
          <w:lang w:val="fr-CA"/>
        </w:rPr>
        <w:t>Procureur général</w:t>
      </w:r>
      <w:r w:rsidRPr="002A3AC6">
        <w:rPr>
          <w:i/>
          <w:lang w:val="fr-CA"/>
        </w:rPr>
        <w:t>)</w:t>
      </w:r>
      <w:r w:rsidRPr="002A3AC6">
        <w:rPr>
          <w:lang w:val="fr-CA"/>
        </w:rPr>
        <w:t>, 2003</w:t>
      </w:r>
      <w:r>
        <w:rPr>
          <w:lang w:val="fr-CA"/>
        </w:rPr>
        <w:t> CSC </w:t>
      </w:r>
      <w:r w:rsidRPr="002A3AC6">
        <w:rPr>
          <w:lang w:val="fr-CA"/>
        </w:rPr>
        <w:t>37,</w:t>
      </w:r>
      <w:r>
        <w:rPr>
          <w:lang w:val="fr-CA"/>
        </w:rPr>
        <w:t xml:space="preserve"> [2003] 1 R.C.S. 912, par. </w:t>
      </w:r>
      <w:r w:rsidRPr="002A3AC6">
        <w:rPr>
          <w:lang w:val="fr-CA"/>
        </w:rPr>
        <w:t xml:space="preserve">93; </w:t>
      </w:r>
      <w:proofErr w:type="spellStart"/>
      <w:r w:rsidRPr="002A3AC6">
        <w:rPr>
          <w:i/>
          <w:lang w:val="fr-CA"/>
        </w:rPr>
        <w:t>Dunmore</w:t>
      </w:r>
      <w:proofErr w:type="spellEnd"/>
      <w:r>
        <w:rPr>
          <w:i/>
          <w:lang w:val="fr-CA"/>
        </w:rPr>
        <w:t xml:space="preserve"> c. Ontario (Procureur général)</w:t>
      </w:r>
      <w:r w:rsidRPr="002A3AC6">
        <w:rPr>
          <w:lang w:val="fr-CA"/>
        </w:rPr>
        <w:t xml:space="preserve">, </w:t>
      </w:r>
      <w:r>
        <w:rPr>
          <w:lang w:val="fr-CA"/>
        </w:rPr>
        <w:t>2001 CSC 94, [2001] 3 R.C.S. 1016, par. </w:t>
      </w:r>
      <w:r w:rsidRPr="002A3AC6">
        <w:rPr>
          <w:lang w:val="fr-CA"/>
        </w:rPr>
        <w:t>66.</w:t>
      </w:r>
    </w:p>
  </w:footnote>
  <w:footnote w:id="9">
    <w:p w14:paraId="6E74FCB5" w14:textId="77777777" w:rsidR="004A6852" w:rsidRPr="000E0CE9" w:rsidRDefault="004A6852" w:rsidP="003163CF">
      <w:pPr>
        <w:pStyle w:val="FootnoteText"/>
        <w:tabs>
          <w:tab w:val="clear" w:pos="180"/>
        </w:tabs>
        <w:rPr>
          <w:lang w:val="fr-CA"/>
        </w:rPr>
      </w:pPr>
      <w:r w:rsidRPr="000E0CE9">
        <w:rPr>
          <w:rStyle w:val="FootnoteReference"/>
          <w:lang w:val="fr-CA"/>
        </w:rPr>
        <w:footnoteRef/>
      </w:r>
      <w:r>
        <w:rPr>
          <w:lang w:val="fr-CA"/>
        </w:rPr>
        <w:tab/>
      </w:r>
      <w:r>
        <w:rPr>
          <w:i/>
          <w:lang w:val="fr-CA"/>
        </w:rPr>
        <w:t xml:space="preserve">R. c. </w:t>
      </w:r>
      <w:r w:rsidRPr="000E0CE9">
        <w:rPr>
          <w:i/>
          <w:lang w:val="fr-CA"/>
        </w:rPr>
        <w:t>Morrison</w:t>
      </w:r>
      <w:r>
        <w:rPr>
          <w:lang w:val="fr-CA"/>
        </w:rPr>
        <w:t xml:space="preserve">, 2019 CSC 15, </w:t>
      </w:r>
      <w:r w:rsidRPr="008E2B24">
        <w:rPr>
          <w:lang w:val="fr-CA"/>
        </w:rPr>
        <w:t>[2019] 2 R.</w:t>
      </w:r>
      <w:r>
        <w:rPr>
          <w:lang w:val="fr-CA"/>
        </w:rPr>
        <w:t>C.S. 3;</w:t>
      </w:r>
      <w:r w:rsidRPr="000E0CE9">
        <w:rPr>
          <w:lang w:val="fr-CA"/>
        </w:rPr>
        <w:t xml:space="preserve"> </w:t>
      </w:r>
      <w:r w:rsidRPr="000E0CE9">
        <w:rPr>
          <w:i/>
          <w:lang w:val="fr-CA"/>
        </w:rPr>
        <w:t>Frank</w:t>
      </w:r>
      <w:r>
        <w:rPr>
          <w:i/>
          <w:lang w:val="fr-CA"/>
        </w:rPr>
        <w:t xml:space="preserve"> c. Canada (Procureur général)</w:t>
      </w:r>
      <w:r>
        <w:rPr>
          <w:lang w:val="fr-CA"/>
        </w:rPr>
        <w:t>, 2019 CSC 1, [2019] 1 R.C.S. 3</w:t>
      </w:r>
      <w:r w:rsidRPr="000E0CE9">
        <w:rPr>
          <w:lang w:val="fr-CA"/>
        </w:rPr>
        <w:t xml:space="preserve">; </w:t>
      </w:r>
      <w:r>
        <w:rPr>
          <w:i/>
          <w:lang w:val="fr-CA"/>
        </w:rPr>
        <w:t xml:space="preserve">R. c. </w:t>
      </w:r>
      <w:proofErr w:type="spellStart"/>
      <w:r w:rsidRPr="000E0CE9">
        <w:rPr>
          <w:i/>
          <w:lang w:val="fr-CA"/>
        </w:rPr>
        <w:t>Boudreault</w:t>
      </w:r>
      <w:proofErr w:type="spellEnd"/>
      <w:r w:rsidRPr="000E0CE9">
        <w:rPr>
          <w:lang w:val="fr-CA"/>
        </w:rPr>
        <w:t>,</w:t>
      </w:r>
      <w:r>
        <w:rPr>
          <w:lang w:val="fr-CA"/>
        </w:rPr>
        <w:t xml:space="preserve"> 2018 CSC 58, [2018] 3 R.C.S. 599,</w:t>
      </w:r>
      <w:r w:rsidRPr="000E0CE9">
        <w:rPr>
          <w:lang w:val="fr-CA"/>
        </w:rPr>
        <w:t xml:space="preserve"> </w:t>
      </w:r>
      <w:r>
        <w:rPr>
          <w:lang w:val="fr-CA"/>
        </w:rPr>
        <w:t>par. </w:t>
      </w:r>
      <w:r w:rsidRPr="000E0CE9">
        <w:rPr>
          <w:lang w:val="fr-CA"/>
        </w:rPr>
        <w:t>98;</w:t>
      </w:r>
      <w:r>
        <w:rPr>
          <w:lang w:val="fr-CA"/>
        </w:rPr>
        <w:t xml:space="preserve"> </w:t>
      </w:r>
      <w:r>
        <w:rPr>
          <w:i/>
          <w:lang w:val="fr-CA"/>
        </w:rPr>
        <w:t>Québec (Procureure générale) c.</w:t>
      </w:r>
      <w:r w:rsidRPr="000E0CE9">
        <w:rPr>
          <w:lang w:val="fr-CA"/>
        </w:rPr>
        <w:t xml:space="preserve"> </w:t>
      </w:r>
      <w:r w:rsidRPr="000E0CE9">
        <w:rPr>
          <w:i/>
          <w:lang w:val="fr-CA"/>
        </w:rPr>
        <w:t>Alliance</w:t>
      </w:r>
      <w:r>
        <w:rPr>
          <w:i/>
          <w:lang w:val="fr-CA"/>
        </w:rPr>
        <w:t xml:space="preserve"> du personnel professionnel et technique de la santé et des services sociaux</w:t>
      </w:r>
      <w:r>
        <w:rPr>
          <w:lang w:val="fr-CA"/>
        </w:rPr>
        <w:t xml:space="preserve">, 2018 CSC 17, </w:t>
      </w:r>
      <w:r w:rsidRPr="008E2B24">
        <w:rPr>
          <w:lang w:val="fr-CA"/>
        </w:rPr>
        <w:t>[20</w:t>
      </w:r>
      <w:r>
        <w:rPr>
          <w:lang w:val="fr-CA"/>
        </w:rPr>
        <w:t>18] 1 R.C.S. 464</w:t>
      </w:r>
      <w:r w:rsidRPr="000E0CE9">
        <w:rPr>
          <w:lang w:val="fr-CA"/>
        </w:rPr>
        <w:t xml:space="preserve">; </w:t>
      </w:r>
      <w:r w:rsidRPr="000E0CE9">
        <w:rPr>
          <w:i/>
          <w:lang w:val="fr-CA"/>
        </w:rPr>
        <w:t>Conférence des juges</w:t>
      </w:r>
      <w:r>
        <w:rPr>
          <w:i/>
          <w:lang w:val="fr-CA"/>
        </w:rPr>
        <w:t xml:space="preserve"> de paix magistrats du Québec c. Québec (Procureure générale)</w:t>
      </w:r>
      <w:r>
        <w:rPr>
          <w:lang w:val="fr-CA"/>
        </w:rPr>
        <w:t xml:space="preserve">, 2016 CSC 39, </w:t>
      </w:r>
      <w:r w:rsidRPr="004670BD">
        <w:rPr>
          <w:lang w:val="fr-CA"/>
        </w:rPr>
        <w:t xml:space="preserve">[2016] </w:t>
      </w:r>
      <w:r>
        <w:rPr>
          <w:lang w:val="fr-CA"/>
        </w:rPr>
        <w:t>2 R.C.S. 116;</w:t>
      </w:r>
      <w:r w:rsidRPr="000E0CE9">
        <w:rPr>
          <w:lang w:val="fr-CA"/>
        </w:rPr>
        <w:t xml:space="preserve"> </w:t>
      </w:r>
      <w:r>
        <w:rPr>
          <w:i/>
          <w:lang w:val="fr-CA"/>
        </w:rPr>
        <w:t xml:space="preserve">R. c. </w:t>
      </w:r>
      <w:r w:rsidRPr="000E0CE9">
        <w:rPr>
          <w:i/>
          <w:lang w:val="fr-CA"/>
        </w:rPr>
        <w:t>K.R.J.</w:t>
      </w:r>
      <w:r>
        <w:rPr>
          <w:lang w:val="fr-CA"/>
        </w:rPr>
        <w:t xml:space="preserve">, 2016 CSC 31, </w:t>
      </w:r>
      <w:r w:rsidRPr="003A705A">
        <w:rPr>
          <w:lang w:val="fr-CA"/>
        </w:rPr>
        <w:t>[2016]</w:t>
      </w:r>
      <w:r>
        <w:rPr>
          <w:lang w:val="fr-CA"/>
        </w:rPr>
        <w:t xml:space="preserve"> 1 R.C.S. 906</w:t>
      </w:r>
      <w:r w:rsidRPr="000E0CE9">
        <w:rPr>
          <w:lang w:val="fr-CA"/>
        </w:rPr>
        <w:t xml:space="preserve">; </w:t>
      </w:r>
      <w:r>
        <w:rPr>
          <w:i/>
          <w:lang w:val="fr-CA"/>
        </w:rPr>
        <w:t xml:space="preserve">Canada (Procureur général) c. </w:t>
      </w:r>
      <w:r w:rsidRPr="000E0CE9">
        <w:rPr>
          <w:i/>
          <w:lang w:val="fr-CA"/>
        </w:rPr>
        <w:t>Chambre des notaires</w:t>
      </w:r>
      <w:r>
        <w:rPr>
          <w:i/>
          <w:lang w:val="fr-CA"/>
        </w:rPr>
        <w:t xml:space="preserve"> du Québec</w:t>
      </w:r>
      <w:r>
        <w:rPr>
          <w:lang w:val="fr-CA"/>
        </w:rPr>
        <w:t xml:space="preserve">, 2016 CSC 20, </w:t>
      </w:r>
      <w:r w:rsidRPr="003A705A">
        <w:rPr>
          <w:lang w:val="fr-CA"/>
        </w:rPr>
        <w:t>[</w:t>
      </w:r>
      <w:r>
        <w:rPr>
          <w:lang w:val="fr-CA"/>
        </w:rPr>
        <w:t>2016] 1 R.C.S. 336</w:t>
      </w:r>
      <w:r w:rsidRPr="000E0CE9">
        <w:rPr>
          <w:lang w:val="fr-CA"/>
        </w:rPr>
        <w:t>;</w:t>
      </w:r>
      <w:r>
        <w:rPr>
          <w:lang w:val="fr-CA"/>
        </w:rPr>
        <w:t xml:space="preserve"> </w:t>
      </w:r>
      <w:r>
        <w:rPr>
          <w:i/>
          <w:lang w:val="fr-CA"/>
        </w:rPr>
        <w:t>R. c.</w:t>
      </w:r>
      <w:r w:rsidRPr="000E0CE9">
        <w:rPr>
          <w:lang w:val="fr-CA"/>
        </w:rPr>
        <w:t xml:space="preserve"> </w:t>
      </w:r>
      <w:proofErr w:type="spellStart"/>
      <w:r w:rsidRPr="000E0CE9">
        <w:rPr>
          <w:i/>
          <w:lang w:val="fr-CA"/>
        </w:rPr>
        <w:t>Safarzadeh</w:t>
      </w:r>
      <w:r>
        <w:rPr>
          <w:i/>
          <w:lang w:val="fr-CA"/>
        </w:rPr>
        <w:noBreakHyphen/>
      </w:r>
      <w:r w:rsidRPr="000E0CE9">
        <w:rPr>
          <w:i/>
          <w:lang w:val="fr-CA"/>
        </w:rPr>
        <w:t>Markhali</w:t>
      </w:r>
      <w:proofErr w:type="spellEnd"/>
      <w:r>
        <w:rPr>
          <w:lang w:val="fr-CA"/>
        </w:rPr>
        <w:t>, 2016 CSC 14, [2016] 1 R.C.S. 180</w:t>
      </w:r>
      <w:r w:rsidRPr="000E0CE9">
        <w:rPr>
          <w:lang w:val="fr-CA"/>
        </w:rPr>
        <w:t xml:space="preserve">; </w:t>
      </w:r>
      <w:r>
        <w:rPr>
          <w:i/>
          <w:lang w:val="fr-CA"/>
        </w:rPr>
        <w:t xml:space="preserve">R. c. </w:t>
      </w:r>
      <w:r w:rsidRPr="000E0CE9">
        <w:rPr>
          <w:i/>
          <w:lang w:val="fr-CA"/>
        </w:rPr>
        <w:t>Lloyd</w:t>
      </w:r>
      <w:r>
        <w:rPr>
          <w:lang w:val="fr-CA"/>
        </w:rPr>
        <w:t>, 2016 CSC 13, [2016] 1 R.C.S. 130</w:t>
      </w:r>
      <w:r w:rsidRPr="000E0CE9">
        <w:rPr>
          <w:lang w:val="fr-CA"/>
        </w:rPr>
        <w:t xml:space="preserve">; </w:t>
      </w:r>
      <w:r>
        <w:rPr>
          <w:i/>
          <w:lang w:val="fr-CA"/>
        </w:rPr>
        <w:t xml:space="preserve">R. c. </w:t>
      </w:r>
      <w:proofErr w:type="spellStart"/>
      <w:r w:rsidRPr="000E0CE9">
        <w:rPr>
          <w:i/>
          <w:lang w:val="fr-CA"/>
        </w:rPr>
        <w:t>Appulonappa</w:t>
      </w:r>
      <w:proofErr w:type="spellEnd"/>
      <w:r>
        <w:rPr>
          <w:lang w:val="fr-CA"/>
        </w:rPr>
        <w:t>, 2015 CSC 59, [2015] 3 R.C.S. 754</w:t>
      </w:r>
      <w:r w:rsidRPr="000E0CE9">
        <w:rPr>
          <w:lang w:val="fr-CA"/>
        </w:rPr>
        <w:t>;</w:t>
      </w:r>
      <w:r>
        <w:rPr>
          <w:lang w:val="fr-CA"/>
        </w:rPr>
        <w:t xml:space="preserve"> </w:t>
      </w:r>
      <w:r>
        <w:rPr>
          <w:i/>
          <w:lang w:val="fr-CA"/>
        </w:rPr>
        <w:t>R. c.</w:t>
      </w:r>
      <w:r w:rsidRPr="000E0CE9">
        <w:rPr>
          <w:lang w:val="fr-CA"/>
        </w:rPr>
        <w:t xml:space="preserve"> </w:t>
      </w:r>
      <w:r w:rsidRPr="000E0CE9">
        <w:rPr>
          <w:i/>
          <w:lang w:val="fr-CA"/>
        </w:rPr>
        <w:t>Smith</w:t>
      </w:r>
      <w:r w:rsidRPr="000E0CE9">
        <w:rPr>
          <w:lang w:val="fr-CA"/>
        </w:rPr>
        <w:t>,</w:t>
      </w:r>
      <w:r>
        <w:rPr>
          <w:lang w:val="fr-CA"/>
        </w:rPr>
        <w:t xml:space="preserve"> 2015 CSC 34, [2015] 2 R.C.S. 602,</w:t>
      </w:r>
      <w:r w:rsidRPr="000E0CE9">
        <w:rPr>
          <w:lang w:val="fr-CA"/>
        </w:rPr>
        <w:t xml:space="preserve"> </w:t>
      </w:r>
      <w:r>
        <w:rPr>
          <w:lang w:val="fr-CA"/>
        </w:rPr>
        <w:t>par. </w:t>
      </w:r>
      <w:r w:rsidRPr="000E0CE9">
        <w:rPr>
          <w:lang w:val="fr-CA"/>
        </w:rPr>
        <w:t xml:space="preserve">32; </w:t>
      </w:r>
      <w:r>
        <w:rPr>
          <w:i/>
          <w:lang w:val="fr-CA"/>
        </w:rPr>
        <w:t xml:space="preserve">R. c. </w:t>
      </w:r>
      <w:proofErr w:type="spellStart"/>
      <w:r w:rsidRPr="000E0CE9">
        <w:rPr>
          <w:i/>
          <w:lang w:val="fr-CA"/>
        </w:rPr>
        <w:t>Nur</w:t>
      </w:r>
      <w:proofErr w:type="spellEnd"/>
      <w:r>
        <w:rPr>
          <w:lang w:val="fr-CA"/>
        </w:rPr>
        <w:t>, 2015 CSC 15, [2015] 1 R.C.S. 773</w:t>
      </w:r>
      <w:r w:rsidRPr="000E0CE9">
        <w:rPr>
          <w:lang w:val="fr-CA"/>
        </w:rPr>
        <w:t xml:space="preserve">; </w:t>
      </w:r>
      <w:r>
        <w:rPr>
          <w:i/>
          <w:lang w:val="fr-CA"/>
        </w:rPr>
        <w:t>Canada (Procureur général) c.</w:t>
      </w:r>
      <w:r w:rsidRPr="000E0CE9">
        <w:rPr>
          <w:i/>
          <w:lang w:val="fr-CA"/>
        </w:rPr>
        <w:t xml:space="preserve"> F</w:t>
      </w:r>
      <w:r>
        <w:rPr>
          <w:i/>
          <w:lang w:val="fr-CA"/>
        </w:rPr>
        <w:t>édération des ordres professionnels de juristes du Canada</w:t>
      </w:r>
      <w:r>
        <w:rPr>
          <w:lang w:val="fr-CA"/>
        </w:rPr>
        <w:t>, 2015 CSC 7, [2015] 1 R.C.S. 401</w:t>
      </w:r>
      <w:r w:rsidRPr="000E0CE9">
        <w:rPr>
          <w:lang w:val="fr-CA"/>
        </w:rPr>
        <w:t>.</w:t>
      </w:r>
    </w:p>
  </w:footnote>
  <w:footnote w:id="10">
    <w:p w14:paraId="190F9CE6" w14:textId="786505A9" w:rsidR="004A6852" w:rsidRPr="000E0CE9" w:rsidRDefault="004A6852" w:rsidP="00F712C6">
      <w:pPr>
        <w:pStyle w:val="FootnoteText"/>
        <w:rPr>
          <w:lang w:val="fr-CA"/>
        </w:rPr>
      </w:pPr>
      <w:r w:rsidRPr="000E0CE9">
        <w:rPr>
          <w:rStyle w:val="FootnoteReference"/>
          <w:lang w:val="fr-CA"/>
        </w:rPr>
        <w:footnoteRef/>
      </w:r>
      <w:r>
        <w:rPr>
          <w:lang w:val="fr-CA"/>
        </w:rPr>
        <w:tab/>
        <w:t xml:space="preserve">Sous le régime de la version du par. 490.012(4) du </w:t>
      </w:r>
      <w:r w:rsidRPr="00A256C2">
        <w:rPr>
          <w:i/>
          <w:lang w:val="fr-CA"/>
        </w:rPr>
        <w:t xml:space="preserve">Code criminel </w:t>
      </w:r>
      <w:r>
        <w:rPr>
          <w:lang w:val="fr-CA"/>
        </w:rPr>
        <w:t xml:space="preserve">qui était en vigueur jusqu’en 2011, les tribunaux ont tenu compte de plusieurs facteurs pertinents au moment de décider de rendre ou non une ordonnance initiale de conformité à la </w:t>
      </w:r>
      <w:r w:rsidRPr="00786D35">
        <w:rPr>
          <w:i/>
          <w:lang w:val="fr-CA"/>
        </w:rPr>
        <w:t>LERDS</w:t>
      </w:r>
      <w:r>
        <w:rPr>
          <w:lang w:val="fr-CA"/>
        </w:rPr>
        <w:t xml:space="preserve">, tels que la nature de l’infraction, le risque de récidive du délinquant, le casier judiciaire du délinquant, l’effet sur les droits à la vie privée et à la liberté du délinquant, les effets </w:t>
      </w:r>
      <w:proofErr w:type="spellStart"/>
      <w:r>
        <w:rPr>
          <w:lang w:val="fr-CA"/>
        </w:rPr>
        <w:t>stigmatisants</w:t>
      </w:r>
      <w:proofErr w:type="spellEnd"/>
      <w:r>
        <w:rPr>
          <w:lang w:val="fr-CA"/>
        </w:rPr>
        <w:t xml:space="preserve"> que pourrait avoir l’enregistrement, ainsi que d’autres facteurs liés à la situation personnelle actuelle et future du délinquant (voir</w:t>
      </w:r>
      <w:r w:rsidRPr="000E0CE9">
        <w:rPr>
          <w:lang w:val="fr-CA"/>
        </w:rPr>
        <w:t xml:space="preserve"> </w:t>
      </w:r>
      <w:r w:rsidRPr="000E0CE9">
        <w:rPr>
          <w:i/>
          <w:lang w:val="fr-CA"/>
        </w:rPr>
        <w:t>R.</w:t>
      </w:r>
      <w:r>
        <w:rPr>
          <w:i/>
          <w:lang w:val="fr-CA"/>
        </w:rPr>
        <w:t> c</w:t>
      </w:r>
      <w:r w:rsidRPr="000E0CE9">
        <w:rPr>
          <w:i/>
          <w:lang w:val="fr-CA"/>
        </w:rPr>
        <w:t>.</w:t>
      </w:r>
      <w:r>
        <w:rPr>
          <w:i/>
          <w:lang w:val="fr-CA"/>
        </w:rPr>
        <w:t> </w:t>
      </w:r>
      <w:proofErr w:type="spellStart"/>
      <w:r w:rsidRPr="000E0CE9">
        <w:rPr>
          <w:i/>
          <w:lang w:val="fr-CA"/>
        </w:rPr>
        <w:t>Debidin</w:t>
      </w:r>
      <w:proofErr w:type="spellEnd"/>
      <w:r w:rsidRPr="000E0CE9">
        <w:rPr>
          <w:lang w:val="fr-CA"/>
        </w:rPr>
        <w:t>, 2008</w:t>
      </w:r>
      <w:r>
        <w:rPr>
          <w:lang w:val="fr-CA"/>
        </w:rPr>
        <w:t> </w:t>
      </w:r>
      <w:proofErr w:type="spellStart"/>
      <w:r>
        <w:rPr>
          <w:lang w:val="fr-CA"/>
        </w:rPr>
        <w:t>ONCA</w:t>
      </w:r>
      <w:proofErr w:type="spellEnd"/>
      <w:r>
        <w:rPr>
          <w:lang w:val="fr-CA"/>
        </w:rPr>
        <w:t> </w:t>
      </w:r>
      <w:r w:rsidRPr="000E0CE9">
        <w:rPr>
          <w:lang w:val="fr-CA"/>
        </w:rPr>
        <w:t>868,</w:t>
      </w:r>
      <w:r>
        <w:rPr>
          <w:lang w:val="fr-CA"/>
        </w:rPr>
        <w:t xml:space="preserve"> 94 </w:t>
      </w:r>
      <w:proofErr w:type="spellStart"/>
      <w:r>
        <w:rPr>
          <w:lang w:val="fr-CA"/>
        </w:rPr>
        <w:t>O.R</w:t>
      </w:r>
      <w:proofErr w:type="spellEnd"/>
      <w:r>
        <w:rPr>
          <w:lang w:val="fr-CA"/>
        </w:rPr>
        <w:t>. (3d) 421, par. </w:t>
      </w:r>
      <w:r w:rsidRPr="000E0CE9">
        <w:rPr>
          <w:lang w:val="fr-CA"/>
        </w:rPr>
        <w:t>65</w:t>
      </w:r>
      <w:r>
        <w:rPr>
          <w:lang w:val="fr-CA"/>
        </w:rPr>
        <w:noBreakHyphen/>
      </w:r>
      <w:r w:rsidRPr="000E0CE9">
        <w:rPr>
          <w:lang w:val="fr-CA"/>
        </w:rPr>
        <w:t xml:space="preserve">70; </w:t>
      </w:r>
      <w:r w:rsidRPr="000E0CE9">
        <w:rPr>
          <w:i/>
          <w:lang w:val="fr-CA"/>
        </w:rPr>
        <w:t>R.</w:t>
      </w:r>
      <w:r>
        <w:rPr>
          <w:i/>
          <w:lang w:val="fr-CA"/>
        </w:rPr>
        <w:t> c</w:t>
      </w:r>
      <w:r w:rsidRPr="000E0CE9">
        <w:rPr>
          <w:i/>
          <w:lang w:val="fr-CA"/>
        </w:rPr>
        <w:t>.</w:t>
      </w:r>
      <w:r>
        <w:rPr>
          <w:i/>
          <w:lang w:val="fr-CA"/>
        </w:rPr>
        <w:t> </w:t>
      </w:r>
      <w:r w:rsidRPr="000E0CE9">
        <w:rPr>
          <w:i/>
          <w:lang w:val="fr-CA"/>
        </w:rPr>
        <w:t>Redhead</w:t>
      </w:r>
      <w:r>
        <w:rPr>
          <w:lang w:val="fr-CA"/>
        </w:rPr>
        <w:t>, 2006 ABCA </w:t>
      </w:r>
      <w:r w:rsidRPr="000E0CE9">
        <w:rPr>
          <w:lang w:val="fr-CA"/>
        </w:rPr>
        <w:t>84,</w:t>
      </w:r>
      <w:r>
        <w:rPr>
          <w:lang w:val="fr-CA"/>
        </w:rPr>
        <w:t xml:space="preserve"> 384 A.R. 206</w:t>
      </w:r>
      <w:r w:rsidRPr="000E0CE9">
        <w:rPr>
          <w:lang w:val="fr-CA"/>
        </w:rPr>
        <w:t xml:space="preserve">, </w:t>
      </w:r>
      <w:r>
        <w:rPr>
          <w:lang w:val="fr-CA"/>
        </w:rPr>
        <w:t>par. </w:t>
      </w:r>
      <w:r w:rsidRPr="000E0CE9">
        <w:rPr>
          <w:lang w:val="fr-CA"/>
        </w:rPr>
        <w:t>30</w:t>
      </w:r>
      <w:r>
        <w:rPr>
          <w:lang w:val="fr-CA"/>
        </w:rPr>
        <w:noBreakHyphen/>
      </w:r>
      <w:r w:rsidRPr="000E0CE9">
        <w:rPr>
          <w:lang w:val="fr-CA"/>
        </w:rPr>
        <w:t xml:space="preserve">31). </w:t>
      </w:r>
      <w:r>
        <w:rPr>
          <w:lang w:val="fr-CA"/>
        </w:rPr>
        <w:t xml:space="preserve">Bien que le pouvoir discrétionnaire de ne pas rendre une ordonnance de conformité à la </w:t>
      </w:r>
      <w:r>
        <w:rPr>
          <w:i/>
          <w:lang w:val="fr-CA"/>
        </w:rPr>
        <w:t xml:space="preserve">Loi </w:t>
      </w:r>
      <w:r>
        <w:rPr>
          <w:lang w:val="fr-CA"/>
        </w:rPr>
        <w:t xml:space="preserve">qui était conféré aux tribunaux en vertu du par. 490.012(4) ait été supprimé, le libellé de cette disposition ressemble beaucoup à celui des </w:t>
      </w:r>
      <w:proofErr w:type="spellStart"/>
      <w:r>
        <w:rPr>
          <w:lang w:val="fr-CA"/>
        </w:rPr>
        <w:t>par</w:t>
      </w:r>
      <w:proofErr w:type="spellEnd"/>
      <w:r>
        <w:rPr>
          <w:lang w:val="fr-CA"/>
        </w:rPr>
        <w:t>. </w:t>
      </w:r>
      <w:r w:rsidRPr="000E0CE9">
        <w:rPr>
          <w:lang w:val="fr-CA"/>
        </w:rPr>
        <w:t xml:space="preserve">490.016(1) </w:t>
      </w:r>
      <w:r>
        <w:rPr>
          <w:lang w:val="fr-CA"/>
        </w:rPr>
        <w:t>et 490.023(2) (</w:t>
      </w:r>
      <w:proofErr w:type="spellStart"/>
      <w:r w:rsidRPr="000E0CE9">
        <w:rPr>
          <w:i/>
          <w:lang w:val="fr-CA"/>
        </w:rPr>
        <w:t>Martin’s</w:t>
      </w:r>
      <w:proofErr w:type="spellEnd"/>
      <w:r w:rsidRPr="000E0CE9">
        <w:rPr>
          <w:i/>
          <w:lang w:val="fr-CA"/>
        </w:rPr>
        <w:t xml:space="preserve"> </w:t>
      </w:r>
      <w:proofErr w:type="spellStart"/>
      <w:r w:rsidRPr="000E0CE9">
        <w:rPr>
          <w:i/>
          <w:lang w:val="fr-CA"/>
        </w:rPr>
        <w:t>Annual</w:t>
      </w:r>
      <w:proofErr w:type="spellEnd"/>
      <w:r w:rsidRPr="000E0CE9">
        <w:rPr>
          <w:i/>
          <w:lang w:val="fr-CA"/>
        </w:rPr>
        <w:t xml:space="preserve"> </w:t>
      </w:r>
      <w:proofErr w:type="spellStart"/>
      <w:r w:rsidRPr="000E0CE9">
        <w:rPr>
          <w:i/>
          <w:lang w:val="fr-CA"/>
        </w:rPr>
        <w:t>Criminal</w:t>
      </w:r>
      <w:proofErr w:type="spellEnd"/>
      <w:r w:rsidRPr="000E0CE9">
        <w:rPr>
          <w:i/>
          <w:lang w:val="fr-CA"/>
        </w:rPr>
        <w:t xml:space="preserve"> Code</w:t>
      </w:r>
      <w:r>
        <w:rPr>
          <w:lang w:val="fr-CA"/>
        </w:rPr>
        <w:t xml:space="preserve">, par M. </w:t>
      </w:r>
      <w:proofErr w:type="spellStart"/>
      <w:r>
        <w:rPr>
          <w:lang w:val="fr-CA"/>
        </w:rPr>
        <w:t>Henein</w:t>
      </w:r>
      <w:proofErr w:type="spellEnd"/>
      <w:r>
        <w:rPr>
          <w:lang w:val="fr-CA"/>
        </w:rPr>
        <w:t>, M. Rosenberg et E. L. Greenspan</w:t>
      </w:r>
      <w:r w:rsidRPr="000E0CE9">
        <w:rPr>
          <w:lang w:val="fr-CA"/>
        </w:rPr>
        <w:t xml:space="preserve"> (2019), </w:t>
      </w:r>
      <w:r>
        <w:rPr>
          <w:lang w:val="fr-CA"/>
        </w:rPr>
        <w:t>p. 1018</w:t>
      </w:r>
      <w:r>
        <w:rPr>
          <w:lang w:val="fr-CA"/>
        </w:rPr>
        <w:noBreakHyphen/>
        <w:t>1019</w:t>
      </w:r>
      <w:r w:rsidRPr="000E0CE9">
        <w:rPr>
          <w:bCs/>
          <w:lang w:val="fr-CA"/>
        </w:rPr>
        <w:t xml:space="preserve">). </w:t>
      </w:r>
      <w:r>
        <w:rPr>
          <w:bCs/>
          <w:lang w:val="fr-CA"/>
        </w:rPr>
        <w:t xml:space="preserve">La seule différence depuis 2011, c’est que les dispositions actuelles traitent de la </w:t>
      </w:r>
      <w:r w:rsidRPr="00436769">
        <w:rPr>
          <w:bCs/>
          <w:i/>
          <w:lang w:val="fr-CA"/>
        </w:rPr>
        <w:t>prévention</w:t>
      </w:r>
      <w:r>
        <w:rPr>
          <w:bCs/>
          <w:lang w:val="fr-CA"/>
        </w:rPr>
        <w:t xml:space="preserve"> efficace des crimes de nature sexuelle en plus d’enquêtes efficaces sur ceux</w:t>
      </w:r>
      <w:r>
        <w:rPr>
          <w:bCs/>
          <w:lang w:val="fr-CA"/>
        </w:rPr>
        <w:noBreakHyphen/>
        <w:t xml:space="preserve">ci. </w:t>
      </w:r>
    </w:p>
  </w:footnote>
  <w:footnote w:id="11">
    <w:p w14:paraId="2BCFD9DE" w14:textId="77777777" w:rsidR="004A6852" w:rsidRPr="00087821" w:rsidRDefault="004A6852" w:rsidP="00F712C6">
      <w:pPr>
        <w:pStyle w:val="FootnoteText"/>
        <w:rPr>
          <w:lang w:val="fr-CA"/>
        </w:rPr>
      </w:pPr>
      <w:r>
        <w:rPr>
          <w:rStyle w:val="FootnoteReference"/>
        </w:rPr>
        <w:footnoteRef/>
      </w:r>
      <w:r>
        <w:rPr>
          <w:lang w:val="fr-CA"/>
        </w:rPr>
        <w:tab/>
        <w:t>Voir, p.</w:t>
      </w:r>
      <w:r w:rsidRPr="007031FD">
        <w:rPr>
          <w:lang w:val="fr-CA"/>
        </w:rPr>
        <w:t xml:space="preserve"> ex.,</w:t>
      </w:r>
      <w:r w:rsidRPr="00571A92">
        <w:rPr>
          <w:i/>
          <w:lang w:val="fr-CA"/>
        </w:rPr>
        <w:t xml:space="preserve"> Association de la police montée de l’Ontario c. Canada (Procureur général)</w:t>
      </w:r>
      <w:r w:rsidRPr="00571A92">
        <w:rPr>
          <w:lang w:val="fr-CA"/>
        </w:rPr>
        <w:t xml:space="preserve">, 2015 CSC 1, </w:t>
      </w:r>
      <w:r w:rsidRPr="00DD2EFE">
        <w:rPr>
          <w:lang w:val="fr-CA"/>
        </w:rPr>
        <w:t xml:space="preserve">[2015] 1 </w:t>
      </w:r>
      <w:r>
        <w:rPr>
          <w:lang w:val="fr-CA"/>
        </w:rPr>
        <w:t>R</w:t>
      </w:r>
      <w:r w:rsidRPr="00DD2EFE">
        <w:rPr>
          <w:lang w:val="fr-CA"/>
        </w:rPr>
        <w:t>.C.</w:t>
      </w:r>
      <w:r>
        <w:rPr>
          <w:lang w:val="fr-CA"/>
        </w:rPr>
        <w:t>S</w:t>
      </w:r>
      <w:r w:rsidRPr="00DD2EFE">
        <w:rPr>
          <w:lang w:val="fr-CA"/>
        </w:rPr>
        <w:t>. 3</w:t>
      </w:r>
      <w:r>
        <w:rPr>
          <w:lang w:val="fr-CA"/>
        </w:rPr>
        <w:t>, par. </w:t>
      </w:r>
      <w:r w:rsidRPr="00DD2EFE">
        <w:rPr>
          <w:lang w:val="fr-CA"/>
        </w:rPr>
        <w:t xml:space="preserve">158; </w:t>
      </w:r>
      <w:r w:rsidRPr="00DD2EFE">
        <w:rPr>
          <w:i/>
          <w:lang w:val="fr-CA"/>
        </w:rPr>
        <w:t xml:space="preserve">Saskatchewan </w:t>
      </w:r>
      <w:proofErr w:type="spellStart"/>
      <w:r w:rsidRPr="00DD2EFE">
        <w:rPr>
          <w:i/>
          <w:lang w:val="fr-CA"/>
        </w:rPr>
        <w:t>Federation</w:t>
      </w:r>
      <w:proofErr w:type="spellEnd"/>
      <w:r w:rsidRPr="00DD2EFE">
        <w:rPr>
          <w:i/>
          <w:lang w:val="fr-CA"/>
        </w:rPr>
        <w:t xml:space="preserve"> of Labour c. Saskatchewan</w:t>
      </w:r>
      <w:r w:rsidRPr="00DD2EFE">
        <w:rPr>
          <w:lang w:val="fr-CA"/>
        </w:rPr>
        <w:t xml:space="preserve">, 2015 CSC 4, [2015] 1 R.C.S. 245, </w:t>
      </w:r>
      <w:r>
        <w:rPr>
          <w:lang w:val="fr-CA"/>
        </w:rPr>
        <w:t>par. </w:t>
      </w:r>
      <w:r w:rsidRPr="00DD2EFE">
        <w:rPr>
          <w:lang w:val="fr-CA"/>
        </w:rPr>
        <w:t xml:space="preserve">103; </w:t>
      </w:r>
      <w:r w:rsidRPr="00DD2EFE">
        <w:rPr>
          <w:i/>
          <w:lang w:val="fr-CA"/>
        </w:rPr>
        <w:t xml:space="preserve">T.U.A.C., section locale 1518 c. </w:t>
      </w:r>
      <w:proofErr w:type="spellStart"/>
      <w:r w:rsidRPr="00E45F3A">
        <w:rPr>
          <w:i/>
          <w:lang w:val="fr-CA"/>
        </w:rPr>
        <w:t>KMart</w:t>
      </w:r>
      <w:proofErr w:type="spellEnd"/>
      <w:r w:rsidRPr="00E45F3A">
        <w:rPr>
          <w:i/>
          <w:lang w:val="fr-CA"/>
        </w:rPr>
        <w:t xml:space="preserve"> </w:t>
      </w:r>
      <w:r w:rsidRPr="00DD2EFE">
        <w:rPr>
          <w:i/>
          <w:lang w:val="fr-CA"/>
        </w:rPr>
        <w:t>Canada Ltd.</w:t>
      </w:r>
      <w:r w:rsidRPr="00DD2EFE">
        <w:rPr>
          <w:lang w:val="fr-CA"/>
        </w:rPr>
        <w:t xml:space="preserve">, [1999] 2 R.C.S. 1083, </w:t>
      </w:r>
      <w:r>
        <w:rPr>
          <w:lang w:val="fr-CA"/>
        </w:rPr>
        <w:t>par. </w:t>
      </w:r>
      <w:r w:rsidRPr="00087821">
        <w:rPr>
          <w:lang w:val="fr-CA"/>
        </w:rPr>
        <w:t>79</w:t>
      </w:r>
      <w:r>
        <w:rPr>
          <w:lang w:val="fr-CA"/>
        </w:rPr>
        <w:noBreakHyphen/>
      </w:r>
      <w:r w:rsidRPr="00087821">
        <w:rPr>
          <w:lang w:val="fr-CA"/>
        </w:rPr>
        <w:t xml:space="preserve">80; </w:t>
      </w:r>
      <w:proofErr w:type="spellStart"/>
      <w:r w:rsidRPr="00087821">
        <w:rPr>
          <w:i/>
          <w:lang w:val="fr-CA"/>
        </w:rPr>
        <w:t>Health</w:t>
      </w:r>
      <w:proofErr w:type="spellEnd"/>
      <w:r w:rsidRPr="00087821">
        <w:rPr>
          <w:i/>
          <w:lang w:val="fr-CA"/>
        </w:rPr>
        <w:t xml:space="preserve"> Services and Support</w:t>
      </w:r>
      <w:r>
        <w:rPr>
          <w:i/>
          <w:lang w:val="fr-CA"/>
        </w:rPr>
        <w:t xml:space="preserve"> </w:t>
      </w:r>
      <w:r w:rsidRPr="00526BB3">
        <w:rPr>
          <w:b/>
          <w:i/>
          <w:lang w:val="fr-CA"/>
        </w:rPr>
        <w:t>—</w:t>
      </w:r>
      <w:r>
        <w:rPr>
          <w:b/>
          <w:i/>
          <w:lang w:val="fr-CA"/>
        </w:rPr>
        <w:t xml:space="preserve"> </w:t>
      </w:r>
      <w:proofErr w:type="spellStart"/>
      <w:r w:rsidRPr="00087821">
        <w:rPr>
          <w:i/>
          <w:lang w:val="fr-CA"/>
        </w:rPr>
        <w:t>Facilities</w:t>
      </w:r>
      <w:proofErr w:type="spellEnd"/>
      <w:r w:rsidRPr="00087821">
        <w:rPr>
          <w:i/>
          <w:lang w:val="fr-CA"/>
        </w:rPr>
        <w:t xml:space="preserve"> </w:t>
      </w:r>
      <w:proofErr w:type="spellStart"/>
      <w:r w:rsidRPr="00087821">
        <w:rPr>
          <w:i/>
          <w:lang w:val="fr-CA"/>
        </w:rPr>
        <w:t>Subsector</w:t>
      </w:r>
      <w:proofErr w:type="spellEnd"/>
      <w:r w:rsidRPr="00087821">
        <w:rPr>
          <w:i/>
          <w:lang w:val="fr-CA"/>
        </w:rPr>
        <w:t xml:space="preserve"> </w:t>
      </w:r>
      <w:proofErr w:type="spellStart"/>
      <w:r w:rsidRPr="00087821">
        <w:rPr>
          <w:i/>
          <w:lang w:val="fr-CA"/>
        </w:rPr>
        <w:t>Bargaining</w:t>
      </w:r>
      <w:proofErr w:type="spellEnd"/>
      <w:r w:rsidRPr="00087821">
        <w:rPr>
          <w:i/>
          <w:lang w:val="fr-CA"/>
        </w:rPr>
        <w:t xml:space="preserve"> </w:t>
      </w:r>
      <w:proofErr w:type="spellStart"/>
      <w:r w:rsidRPr="00087821">
        <w:rPr>
          <w:i/>
          <w:lang w:val="fr-CA"/>
        </w:rPr>
        <w:t>Assn</w:t>
      </w:r>
      <w:proofErr w:type="spellEnd"/>
      <w:r w:rsidRPr="00087821">
        <w:rPr>
          <w:i/>
          <w:lang w:val="fr-CA"/>
        </w:rPr>
        <w:t>. c. Colombie</w:t>
      </w:r>
      <w:r>
        <w:rPr>
          <w:i/>
          <w:lang w:val="fr-CA"/>
        </w:rPr>
        <w:noBreakHyphen/>
      </w:r>
      <w:r w:rsidRPr="00087821">
        <w:rPr>
          <w:i/>
          <w:lang w:val="fr-CA"/>
        </w:rPr>
        <w:t>Britannique</w:t>
      </w:r>
      <w:r w:rsidRPr="00087821">
        <w:rPr>
          <w:lang w:val="fr-CA"/>
        </w:rPr>
        <w:t xml:space="preserve">, 2007 CSC 27, [2007] 2 R.C.S. 391, </w:t>
      </w:r>
      <w:r>
        <w:rPr>
          <w:lang w:val="fr-CA"/>
        </w:rPr>
        <w:t>par. </w:t>
      </w:r>
      <w:r w:rsidRPr="00087821">
        <w:rPr>
          <w:lang w:val="fr-CA"/>
        </w:rPr>
        <w:t xml:space="preserve">168; </w:t>
      </w:r>
      <w:r w:rsidRPr="00087821">
        <w:rPr>
          <w:i/>
          <w:lang w:val="fr-CA"/>
        </w:rPr>
        <w:t>R. c. Guignard</w:t>
      </w:r>
      <w:r w:rsidRPr="00087821">
        <w:rPr>
          <w:lang w:val="fr-CA"/>
        </w:rPr>
        <w:t xml:space="preserve">, 2002 CSC 14, [2002] 1 R.C.S. 472, </w:t>
      </w:r>
      <w:r>
        <w:rPr>
          <w:lang w:val="fr-CA"/>
        </w:rPr>
        <w:t>par. </w:t>
      </w:r>
      <w:r w:rsidRPr="00087821">
        <w:rPr>
          <w:lang w:val="fr-CA"/>
        </w:rPr>
        <w:t xml:space="preserve">32 et 34; </w:t>
      </w:r>
      <w:proofErr w:type="spellStart"/>
      <w:r w:rsidRPr="00087821">
        <w:rPr>
          <w:i/>
          <w:lang w:val="fr-CA"/>
        </w:rPr>
        <w:t>Trociuk</w:t>
      </w:r>
      <w:proofErr w:type="spellEnd"/>
      <w:r w:rsidRPr="00087821">
        <w:rPr>
          <w:i/>
          <w:lang w:val="fr-CA"/>
        </w:rPr>
        <w:t xml:space="preserve"> c. Colombie</w:t>
      </w:r>
      <w:r>
        <w:rPr>
          <w:i/>
          <w:lang w:val="fr-CA"/>
        </w:rPr>
        <w:noBreakHyphen/>
      </w:r>
      <w:r w:rsidRPr="00087821">
        <w:rPr>
          <w:i/>
          <w:lang w:val="fr-CA"/>
        </w:rPr>
        <w:t>Britannique (Procureur général)</w:t>
      </w:r>
      <w:r w:rsidRPr="00087821">
        <w:rPr>
          <w:lang w:val="fr-CA"/>
        </w:rPr>
        <w:t xml:space="preserve">, 2003 CSC 34, [2003] 1 R.C.S. 835, </w:t>
      </w:r>
      <w:r>
        <w:rPr>
          <w:lang w:val="fr-CA"/>
        </w:rPr>
        <w:t>par. </w:t>
      </w:r>
      <w:r w:rsidRPr="00087821">
        <w:rPr>
          <w:lang w:val="fr-CA"/>
        </w:rPr>
        <w:t xml:space="preserve">43 et 46; </w:t>
      </w:r>
      <w:proofErr w:type="spellStart"/>
      <w:r w:rsidRPr="00087821">
        <w:rPr>
          <w:i/>
          <w:lang w:val="fr-CA"/>
        </w:rPr>
        <w:t>Figueroa</w:t>
      </w:r>
      <w:proofErr w:type="spellEnd"/>
      <w:r w:rsidRPr="00087821">
        <w:rPr>
          <w:i/>
          <w:lang w:val="fr-CA"/>
        </w:rPr>
        <w:t xml:space="preserve"> c. Canada (Procureur général)</w:t>
      </w:r>
      <w:r w:rsidRPr="00087821">
        <w:rPr>
          <w:lang w:val="fr-CA"/>
        </w:rPr>
        <w:t xml:space="preserve">, 2003 CSC 37, [2003] 1 R.C.S. 912, </w:t>
      </w:r>
      <w:r>
        <w:rPr>
          <w:lang w:val="fr-CA"/>
        </w:rPr>
        <w:t>par. </w:t>
      </w:r>
      <w:r w:rsidRPr="00087821">
        <w:rPr>
          <w:lang w:val="fr-CA"/>
        </w:rPr>
        <w:t xml:space="preserve">93; </w:t>
      </w:r>
      <w:proofErr w:type="spellStart"/>
      <w:r w:rsidRPr="00087821">
        <w:rPr>
          <w:i/>
          <w:lang w:val="fr-CA"/>
        </w:rPr>
        <w:t>Corbiere</w:t>
      </w:r>
      <w:proofErr w:type="spellEnd"/>
      <w:r w:rsidRPr="00087821">
        <w:rPr>
          <w:i/>
          <w:lang w:val="fr-CA"/>
        </w:rPr>
        <w:t xml:space="preserve"> c. Canada (Ministre des Affaires indiennes et du Nord canadien)</w:t>
      </w:r>
      <w:r w:rsidRPr="00087821">
        <w:rPr>
          <w:lang w:val="fr-CA"/>
        </w:rPr>
        <w:t xml:space="preserve">, [1999] 2 R.C.S. 203, </w:t>
      </w:r>
      <w:r>
        <w:rPr>
          <w:lang w:val="fr-CA"/>
        </w:rPr>
        <w:t>par. </w:t>
      </w:r>
      <w:r w:rsidRPr="00087821">
        <w:rPr>
          <w:lang w:val="fr-CA"/>
        </w:rPr>
        <w:t xml:space="preserve">24; </w:t>
      </w:r>
      <w:r w:rsidRPr="00087821">
        <w:rPr>
          <w:i/>
          <w:lang w:val="fr-CA"/>
        </w:rPr>
        <w:t>Carter c. Canada (Procureur général)</w:t>
      </w:r>
      <w:r w:rsidRPr="00087821">
        <w:rPr>
          <w:lang w:val="fr-CA"/>
        </w:rPr>
        <w:t xml:space="preserve">, 2015 CSC 5, [2015] 1 R.C.S. 331, </w:t>
      </w:r>
      <w:r>
        <w:rPr>
          <w:lang w:val="fr-CA"/>
        </w:rPr>
        <w:t>par. </w:t>
      </w:r>
      <w:r w:rsidRPr="00087821">
        <w:rPr>
          <w:lang w:val="fr-CA"/>
        </w:rPr>
        <w:t>128.</w:t>
      </w:r>
    </w:p>
  </w:footnote>
  <w:footnote w:id="12">
    <w:p w14:paraId="5FE5DCB5" w14:textId="77777777" w:rsidR="004A6852" w:rsidRPr="00526BB3" w:rsidRDefault="004A6852" w:rsidP="00F712C6">
      <w:pPr>
        <w:pStyle w:val="FootnoteText"/>
        <w:rPr>
          <w:lang w:val="fr-CA"/>
        </w:rPr>
      </w:pPr>
      <w:r w:rsidRPr="00111A69">
        <w:rPr>
          <w:rStyle w:val="FootnoteReference"/>
        </w:rPr>
        <w:footnoteRef/>
      </w:r>
      <w:r>
        <w:rPr>
          <w:lang w:val="fr-CA"/>
        </w:rPr>
        <w:tab/>
        <w:t>Le total de 44 a été atteint au début de cette année, e</w:t>
      </w:r>
      <w:r w:rsidRPr="00526BB3">
        <w:rPr>
          <w:lang w:val="fr-CA"/>
        </w:rPr>
        <w:t>t ce</w:t>
      </w:r>
      <w:r>
        <w:rPr>
          <w:lang w:val="fr-CA"/>
        </w:rPr>
        <w:t xml:space="preserve"> chiffre ne tient pas </w:t>
      </w:r>
      <w:r w:rsidRPr="00526BB3">
        <w:rPr>
          <w:lang w:val="fr-CA"/>
        </w:rPr>
        <w:t xml:space="preserve">compte des cas portant sur des </w:t>
      </w:r>
      <w:r w:rsidRPr="00526BB3">
        <w:rPr>
          <w:noProof/>
          <w:lang w:val="fr-CA"/>
        </w:rPr>
        <w:t xml:space="preserve">dispositions </w:t>
      </w:r>
      <w:r>
        <w:rPr>
          <w:noProof/>
          <w:lang w:val="fr-CA"/>
        </w:rPr>
        <w:t>qui prescrive</w:t>
      </w:r>
      <w:r w:rsidRPr="00526BB3">
        <w:rPr>
          <w:noProof/>
          <w:lang w:val="fr-CA"/>
        </w:rPr>
        <w:t>nt des peines minimales obligatoires (</w:t>
      </w:r>
      <w:r>
        <w:rPr>
          <w:noProof/>
          <w:lang w:val="fr-CA"/>
        </w:rPr>
        <w:t>lesquelles</w:t>
      </w:r>
      <w:r w:rsidRPr="00526BB3">
        <w:rPr>
          <w:noProof/>
          <w:lang w:val="fr-CA"/>
        </w:rPr>
        <w:t xml:space="preserve">, de par leur nature, doivent être invalidées </w:t>
      </w:r>
      <w:r>
        <w:rPr>
          <w:noProof/>
          <w:lang w:val="fr-CA"/>
        </w:rPr>
        <w:t>sur</w:t>
      </w:r>
      <w:r>
        <w:rPr>
          <w:noProof/>
          <w:lang w:val="fr-CA"/>
        </w:rPr>
        <w:noBreakHyphen/>
        <w:t>le</w:t>
      </w:r>
      <w:r>
        <w:rPr>
          <w:noProof/>
          <w:lang w:val="fr-CA"/>
        </w:rPr>
        <w:noBreakHyphen/>
        <w:t xml:space="preserve">champ : </w:t>
      </w:r>
      <w:r w:rsidRPr="00526BB3">
        <w:rPr>
          <w:lang w:val="fr-CA"/>
        </w:rPr>
        <w:t xml:space="preserve">motifs de la juge </w:t>
      </w:r>
      <w:proofErr w:type="spellStart"/>
      <w:r w:rsidRPr="00526BB3">
        <w:rPr>
          <w:lang w:val="fr-CA"/>
        </w:rPr>
        <w:t>Karakatsanis</w:t>
      </w:r>
      <w:proofErr w:type="spellEnd"/>
      <w:r w:rsidRPr="00526BB3">
        <w:rPr>
          <w:lang w:val="fr-CA"/>
        </w:rPr>
        <w:t xml:space="preserve">, </w:t>
      </w:r>
      <w:r>
        <w:rPr>
          <w:lang w:val="fr-CA"/>
        </w:rPr>
        <w:t>par. </w:t>
      </w:r>
      <w:r w:rsidRPr="00526BB3">
        <w:rPr>
          <w:lang w:val="fr-CA"/>
        </w:rPr>
        <w:t>11</w:t>
      </w:r>
      <w:r>
        <w:rPr>
          <w:lang w:val="fr-CA"/>
        </w:rPr>
        <w:t>4</w:t>
      </w:r>
      <w:r w:rsidRPr="00526BB3">
        <w:rPr>
          <w:lang w:val="fr-CA"/>
        </w:rPr>
        <w:t xml:space="preserve">) et des affaires dans lesquelles la Cour a corrigé le vice constitutionnel </w:t>
      </w:r>
      <w:r>
        <w:rPr>
          <w:lang w:val="fr-CA"/>
        </w:rPr>
        <w:t>grâce à une réparation adaptée telle la dissociation ou l’</w:t>
      </w:r>
      <w:r w:rsidRPr="00526BB3">
        <w:rPr>
          <w:lang w:val="fr-CA"/>
        </w:rPr>
        <w:t xml:space="preserve">interprétation large. </w:t>
      </w:r>
      <w:r>
        <w:rPr>
          <w:lang w:val="fr-CA"/>
        </w:rPr>
        <w:t>L</w:t>
      </w:r>
      <w:r w:rsidRPr="00526BB3">
        <w:rPr>
          <w:lang w:val="fr-CA"/>
        </w:rPr>
        <w:t>es décisions citées dans ces chiffres</w:t>
      </w:r>
      <w:r>
        <w:rPr>
          <w:lang w:val="fr-CA"/>
        </w:rPr>
        <w:t xml:space="preserve"> sont</w:t>
      </w:r>
      <w:r w:rsidRPr="00526BB3">
        <w:rPr>
          <w:lang w:val="fr-CA"/>
        </w:rPr>
        <w:t xml:space="preserve"> les suivantes (les a</w:t>
      </w:r>
      <w:r>
        <w:rPr>
          <w:lang w:val="fr-CA"/>
        </w:rPr>
        <w:t xml:space="preserve">rrêts </w:t>
      </w:r>
      <w:r w:rsidRPr="00526BB3">
        <w:rPr>
          <w:lang w:val="fr-CA"/>
        </w:rPr>
        <w:t xml:space="preserve">dans lesquels la Cour a suspendu </w:t>
      </w:r>
      <w:r>
        <w:rPr>
          <w:lang w:val="fr-CA"/>
        </w:rPr>
        <w:t xml:space="preserve">l’effet de </w:t>
      </w:r>
      <w:r w:rsidRPr="00526BB3">
        <w:rPr>
          <w:lang w:val="fr-CA"/>
        </w:rPr>
        <w:t>sa déclaration d’invalidité sont en caractères gras)</w:t>
      </w:r>
      <w:r>
        <w:rPr>
          <w:lang w:val="fr-CA"/>
        </w:rPr>
        <w:t> :</w:t>
      </w:r>
      <w:r w:rsidRPr="00526BB3">
        <w:rPr>
          <w:lang w:val="fr-CA"/>
        </w:rPr>
        <w:t xml:space="preserve"> </w:t>
      </w:r>
      <w:r w:rsidRPr="00526BB3">
        <w:rPr>
          <w:i/>
          <w:lang w:val="fr-CA"/>
        </w:rPr>
        <w:t>R. c. Morrison</w:t>
      </w:r>
      <w:r w:rsidRPr="00526BB3">
        <w:rPr>
          <w:lang w:val="fr-CA"/>
        </w:rPr>
        <w:t xml:space="preserve">, 2019 CSC 15, </w:t>
      </w:r>
      <w:r w:rsidRPr="00EE7170">
        <w:rPr>
          <w:lang w:val="fr-CA"/>
        </w:rPr>
        <w:t xml:space="preserve">[2019] 2 R.C.S. 3, </w:t>
      </w:r>
      <w:r>
        <w:rPr>
          <w:lang w:val="fr-CA"/>
        </w:rPr>
        <w:t>par. </w:t>
      </w:r>
      <w:r w:rsidRPr="00526BB3">
        <w:rPr>
          <w:lang w:val="fr-CA"/>
        </w:rPr>
        <w:t xml:space="preserve">73; </w:t>
      </w:r>
      <w:r w:rsidRPr="00526BB3">
        <w:rPr>
          <w:b/>
          <w:i/>
          <w:lang w:val="fr-CA"/>
        </w:rPr>
        <w:t>Québec (Procureur</w:t>
      </w:r>
      <w:r>
        <w:rPr>
          <w:b/>
          <w:i/>
          <w:lang w:val="fr-CA"/>
        </w:rPr>
        <w:t>e</w:t>
      </w:r>
      <w:r w:rsidRPr="00526BB3">
        <w:rPr>
          <w:b/>
          <w:i/>
          <w:lang w:val="fr-CA"/>
        </w:rPr>
        <w:t xml:space="preserve"> général</w:t>
      </w:r>
      <w:r>
        <w:rPr>
          <w:b/>
          <w:i/>
          <w:lang w:val="fr-CA"/>
        </w:rPr>
        <w:t>e</w:t>
      </w:r>
      <w:r w:rsidRPr="00526BB3">
        <w:rPr>
          <w:b/>
          <w:i/>
          <w:lang w:val="fr-CA"/>
        </w:rPr>
        <w:t xml:space="preserve">) c. Alliance du personnel professionnel et </w:t>
      </w:r>
      <w:r w:rsidRPr="005E4CEC">
        <w:rPr>
          <w:b/>
          <w:i/>
          <w:lang w:val="fr-CA"/>
        </w:rPr>
        <w:t>technique de la santé et des services sociaux</w:t>
      </w:r>
      <w:r w:rsidRPr="005E4CEC">
        <w:rPr>
          <w:b/>
          <w:lang w:val="fr-CA"/>
        </w:rPr>
        <w:t>, 2018 CSC 17, [2018] 1 R.C.S. 464, par. 3 et 5</w:t>
      </w:r>
      <w:r w:rsidRPr="005E4CEC">
        <w:rPr>
          <w:lang w:val="fr-CA"/>
        </w:rPr>
        <w:t xml:space="preserve">; </w:t>
      </w:r>
      <w:r w:rsidRPr="005E4CEC">
        <w:rPr>
          <w:i/>
          <w:lang w:val="fr-CA"/>
        </w:rPr>
        <w:t xml:space="preserve">R. c. </w:t>
      </w:r>
      <w:proofErr w:type="spellStart"/>
      <w:r w:rsidRPr="005E4CEC">
        <w:rPr>
          <w:i/>
          <w:lang w:val="fr-CA"/>
        </w:rPr>
        <w:t>Boudreault</w:t>
      </w:r>
      <w:proofErr w:type="spellEnd"/>
      <w:r w:rsidRPr="005E4CEC">
        <w:rPr>
          <w:lang w:val="fr-CA"/>
        </w:rPr>
        <w:t>, 2018 CSC 58, [2018] 3 R.C.S. 599,</w:t>
      </w:r>
      <w:r w:rsidRPr="005E4CEC">
        <w:rPr>
          <w:b/>
          <w:lang w:val="fr-CA"/>
        </w:rPr>
        <w:t xml:space="preserve"> </w:t>
      </w:r>
      <w:r w:rsidRPr="005E4CEC">
        <w:rPr>
          <w:lang w:val="fr-CA"/>
        </w:rPr>
        <w:t xml:space="preserve">par. 98; </w:t>
      </w:r>
      <w:r w:rsidRPr="005E4CEC">
        <w:rPr>
          <w:i/>
          <w:lang w:val="fr-CA"/>
        </w:rPr>
        <w:t>Conférence des juges de paix magistrats du Québec c. Québec (Procureur général)</w:t>
      </w:r>
      <w:r w:rsidRPr="005E4CEC">
        <w:rPr>
          <w:lang w:val="fr-CA"/>
        </w:rPr>
        <w:t xml:space="preserve">, 2016 CSC 39, [2016] 2 R.C.S. 116, par. 103; </w:t>
      </w:r>
      <w:r w:rsidRPr="005E4CEC">
        <w:rPr>
          <w:b/>
          <w:i/>
          <w:lang w:val="fr-CA"/>
        </w:rPr>
        <w:t xml:space="preserve">Saskatchewan </w:t>
      </w:r>
      <w:proofErr w:type="spellStart"/>
      <w:r w:rsidRPr="005E4CEC">
        <w:rPr>
          <w:b/>
          <w:i/>
          <w:lang w:val="fr-CA"/>
        </w:rPr>
        <w:t>Federation</w:t>
      </w:r>
      <w:proofErr w:type="spellEnd"/>
      <w:r w:rsidRPr="005E4CEC">
        <w:rPr>
          <w:b/>
          <w:i/>
          <w:lang w:val="fr-CA"/>
        </w:rPr>
        <w:t xml:space="preserve"> of Labour c. Saskatchewan</w:t>
      </w:r>
      <w:r w:rsidRPr="005E4CEC">
        <w:rPr>
          <w:b/>
          <w:lang w:val="fr-CA"/>
        </w:rPr>
        <w:t>, 2015 </w:t>
      </w:r>
      <w:r w:rsidRPr="00087821">
        <w:rPr>
          <w:b/>
          <w:lang w:val="fr-CA"/>
        </w:rPr>
        <w:t xml:space="preserve">CSC 4, [2015] 1 R.C.S. 245, </w:t>
      </w:r>
      <w:r>
        <w:rPr>
          <w:b/>
          <w:lang w:val="fr-CA"/>
        </w:rPr>
        <w:t>par. </w:t>
      </w:r>
      <w:r w:rsidRPr="00087821">
        <w:rPr>
          <w:b/>
          <w:lang w:val="fr-CA"/>
        </w:rPr>
        <w:t>103</w:t>
      </w:r>
      <w:r w:rsidRPr="00087821">
        <w:rPr>
          <w:lang w:val="fr-CA"/>
        </w:rPr>
        <w:t xml:space="preserve">; </w:t>
      </w:r>
      <w:r w:rsidRPr="00087821">
        <w:rPr>
          <w:i/>
          <w:lang w:val="fr-CA"/>
        </w:rPr>
        <w:t>R. c. Smith</w:t>
      </w:r>
      <w:r w:rsidRPr="00087821">
        <w:rPr>
          <w:lang w:val="fr-CA"/>
        </w:rPr>
        <w:t xml:space="preserve">, 2015 CSC 34, [2015] 2 R.C.S. 602, </w:t>
      </w:r>
      <w:r>
        <w:rPr>
          <w:lang w:val="fr-CA"/>
        </w:rPr>
        <w:t>par. </w:t>
      </w:r>
      <w:r w:rsidRPr="00087821">
        <w:rPr>
          <w:lang w:val="fr-CA"/>
        </w:rPr>
        <w:t>30</w:t>
      </w:r>
      <w:r>
        <w:rPr>
          <w:lang w:val="fr-CA"/>
        </w:rPr>
        <w:noBreakHyphen/>
      </w:r>
      <w:r w:rsidRPr="00087821">
        <w:rPr>
          <w:lang w:val="fr-CA"/>
        </w:rPr>
        <w:t xml:space="preserve">32; </w:t>
      </w:r>
      <w:r w:rsidRPr="00087821">
        <w:rPr>
          <w:b/>
          <w:i/>
          <w:lang w:val="fr-CA"/>
        </w:rPr>
        <w:t>Association de la police montée de l’Ontario c. Canada (Procureur général)</w:t>
      </w:r>
      <w:r w:rsidRPr="00087821">
        <w:rPr>
          <w:b/>
          <w:lang w:val="fr-CA"/>
        </w:rPr>
        <w:t xml:space="preserve">, 2015 CSC 1, [2015] 1 R.C.S. 3, </w:t>
      </w:r>
      <w:r>
        <w:rPr>
          <w:b/>
          <w:lang w:val="fr-CA"/>
        </w:rPr>
        <w:t>par. </w:t>
      </w:r>
      <w:r w:rsidRPr="00087821">
        <w:rPr>
          <w:b/>
          <w:lang w:val="fr-CA"/>
        </w:rPr>
        <w:t>154 et 158</w:t>
      </w:r>
      <w:r w:rsidRPr="00087821">
        <w:rPr>
          <w:lang w:val="fr-CA"/>
        </w:rPr>
        <w:t xml:space="preserve">; </w:t>
      </w:r>
      <w:r w:rsidRPr="00087821">
        <w:rPr>
          <w:b/>
          <w:i/>
          <w:lang w:val="fr-CA"/>
        </w:rPr>
        <w:t>Carter c. Canada (Procureur général)</w:t>
      </w:r>
      <w:r w:rsidRPr="00087821">
        <w:rPr>
          <w:b/>
          <w:lang w:val="fr-CA"/>
        </w:rPr>
        <w:t xml:space="preserve">, 2015 CSC 5, [2015] 1 R.C.S. 331, </w:t>
      </w:r>
      <w:r>
        <w:rPr>
          <w:b/>
          <w:lang w:val="fr-CA"/>
        </w:rPr>
        <w:t>par. </w:t>
      </w:r>
      <w:r w:rsidRPr="00087821">
        <w:rPr>
          <w:b/>
          <w:lang w:val="fr-CA"/>
        </w:rPr>
        <w:t>128</w:t>
      </w:r>
      <w:r w:rsidRPr="00087821">
        <w:rPr>
          <w:lang w:val="fr-CA"/>
        </w:rPr>
        <w:t xml:space="preserve">; </w:t>
      </w:r>
      <w:r w:rsidRPr="00087821">
        <w:rPr>
          <w:i/>
          <w:lang w:val="fr-CA"/>
        </w:rPr>
        <w:t xml:space="preserve">Canada (Procureur général) c. </w:t>
      </w:r>
      <w:proofErr w:type="spellStart"/>
      <w:r w:rsidRPr="00087821">
        <w:rPr>
          <w:i/>
          <w:lang w:val="fr-CA"/>
        </w:rPr>
        <w:t>Whaling</w:t>
      </w:r>
      <w:proofErr w:type="spellEnd"/>
      <w:r w:rsidRPr="00087821">
        <w:rPr>
          <w:lang w:val="fr-CA"/>
        </w:rPr>
        <w:t xml:space="preserve">, 2014 CSC 20, [2014] 1 R.C.S. 392, </w:t>
      </w:r>
      <w:r>
        <w:rPr>
          <w:lang w:val="fr-CA"/>
        </w:rPr>
        <w:t>par. </w:t>
      </w:r>
      <w:r w:rsidRPr="00087821">
        <w:rPr>
          <w:lang w:val="fr-CA"/>
        </w:rPr>
        <w:t>88</w:t>
      </w:r>
      <w:r>
        <w:rPr>
          <w:lang w:val="fr-CA"/>
        </w:rPr>
        <w:noBreakHyphen/>
      </w:r>
      <w:r w:rsidRPr="00087821">
        <w:rPr>
          <w:lang w:val="fr-CA"/>
        </w:rPr>
        <w:t xml:space="preserve">89; </w:t>
      </w:r>
      <w:r w:rsidRPr="00087821">
        <w:rPr>
          <w:b/>
          <w:i/>
          <w:lang w:val="fr-CA"/>
        </w:rPr>
        <w:t>Canada (Procureur général) c. Bedford</w:t>
      </w:r>
      <w:r w:rsidRPr="00087821">
        <w:rPr>
          <w:b/>
          <w:lang w:val="fr-CA"/>
        </w:rPr>
        <w:t>, 2013 CSC 72, [2013</w:t>
      </w:r>
      <w:r w:rsidRPr="00496CE3">
        <w:rPr>
          <w:b/>
          <w:lang w:val="fr-CA"/>
        </w:rPr>
        <w:t>]</w:t>
      </w:r>
      <w:r w:rsidRPr="00087821">
        <w:rPr>
          <w:b/>
          <w:lang w:val="fr-CA"/>
        </w:rPr>
        <w:t xml:space="preserve"> 3 R.C.S. 1101, </w:t>
      </w:r>
      <w:r>
        <w:rPr>
          <w:b/>
          <w:lang w:val="fr-CA"/>
        </w:rPr>
        <w:t>par. </w:t>
      </w:r>
      <w:r w:rsidRPr="00087821">
        <w:rPr>
          <w:b/>
          <w:lang w:val="fr-CA"/>
        </w:rPr>
        <w:t>166</w:t>
      </w:r>
      <w:r>
        <w:rPr>
          <w:b/>
          <w:lang w:val="fr-CA"/>
        </w:rPr>
        <w:noBreakHyphen/>
      </w:r>
      <w:r w:rsidRPr="00087821">
        <w:rPr>
          <w:b/>
          <w:lang w:val="fr-CA"/>
        </w:rPr>
        <w:t>169</w:t>
      </w:r>
      <w:r w:rsidRPr="00087821">
        <w:rPr>
          <w:lang w:val="fr-CA"/>
        </w:rPr>
        <w:t xml:space="preserve">; </w:t>
      </w:r>
      <w:r w:rsidRPr="00526BB3">
        <w:rPr>
          <w:b/>
          <w:i/>
          <w:lang w:val="fr-CA"/>
        </w:rPr>
        <w:t xml:space="preserve">Alberta (Information and </w:t>
      </w:r>
      <w:proofErr w:type="spellStart"/>
      <w:r w:rsidRPr="00526BB3">
        <w:rPr>
          <w:b/>
          <w:i/>
          <w:lang w:val="fr-CA"/>
        </w:rPr>
        <w:t>Privacy</w:t>
      </w:r>
      <w:proofErr w:type="spellEnd"/>
      <w:r w:rsidRPr="00526BB3">
        <w:rPr>
          <w:b/>
          <w:i/>
          <w:lang w:val="fr-CA"/>
        </w:rPr>
        <w:t xml:space="preserve"> </w:t>
      </w:r>
      <w:proofErr w:type="spellStart"/>
      <w:r w:rsidRPr="00526BB3">
        <w:rPr>
          <w:b/>
          <w:i/>
          <w:lang w:val="fr-CA"/>
        </w:rPr>
        <w:t>Commissioner</w:t>
      </w:r>
      <w:proofErr w:type="spellEnd"/>
      <w:r w:rsidRPr="00526BB3">
        <w:rPr>
          <w:b/>
          <w:i/>
          <w:lang w:val="fr-CA"/>
        </w:rPr>
        <w:t>) c. Travailleurs et travailleuses unis de l’alimentation et du commerce, section locale 401</w:t>
      </w:r>
      <w:r w:rsidRPr="00526BB3">
        <w:rPr>
          <w:b/>
          <w:lang w:val="fr-CA"/>
        </w:rPr>
        <w:t xml:space="preserve">, 2013 CSC 62, </w:t>
      </w:r>
      <w:r>
        <w:rPr>
          <w:b/>
          <w:lang w:val="fr-CA"/>
        </w:rPr>
        <w:t>[2013] 3 R.C.S. 733, par. </w:t>
      </w:r>
      <w:r w:rsidRPr="00526BB3">
        <w:rPr>
          <w:b/>
          <w:lang w:val="fr-CA"/>
        </w:rPr>
        <w:t>4</w:t>
      </w:r>
      <w:r>
        <w:rPr>
          <w:b/>
          <w:lang w:val="fr-CA"/>
        </w:rPr>
        <w:t>1</w:t>
      </w:r>
      <w:r w:rsidRPr="00526BB3">
        <w:rPr>
          <w:lang w:val="fr-CA"/>
        </w:rPr>
        <w:t xml:space="preserve">; </w:t>
      </w:r>
      <w:r w:rsidRPr="00526BB3">
        <w:rPr>
          <w:b/>
          <w:i/>
          <w:lang w:val="fr-CA"/>
        </w:rPr>
        <w:t>R. c. Tse</w:t>
      </w:r>
      <w:r w:rsidRPr="00526BB3">
        <w:rPr>
          <w:b/>
          <w:lang w:val="fr-CA"/>
        </w:rPr>
        <w:t xml:space="preserve">, 2012 CSC 16, </w:t>
      </w:r>
      <w:r>
        <w:rPr>
          <w:b/>
          <w:lang w:val="fr-CA"/>
        </w:rPr>
        <w:t>[2012] 1 R.C.S. 531, par. </w:t>
      </w:r>
      <w:r w:rsidRPr="00526BB3">
        <w:rPr>
          <w:b/>
          <w:lang w:val="fr-CA"/>
        </w:rPr>
        <w:t>100</w:t>
      </w:r>
      <w:r>
        <w:rPr>
          <w:b/>
          <w:lang w:val="fr-CA"/>
        </w:rPr>
        <w:noBreakHyphen/>
        <w:t>10</w:t>
      </w:r>
      <w:r w:rsidRPr="00526BB3">
        <w:rPr>
          <w:b/>
          <w:lang w:val="fr-CA"/>
        </w:rPr>
        <w:t>3</w:t>
      </w:r>
      <w:r w:rsidRPr="00526BB3">
        <w:rPr>
          <w:lang w:val="fr-CA"/>
        </w:rPr>
        <w:t xml:space="preserve">; </w:t>
      </w:r>
      <w:r w:rsidRPr="00526BB3">
        <w:rPr>
          <w:b/>
          <w:i/>
          <w:lang w:val="fr-CA"/>
        </w:rPr>
        <w:t>Québec (Éducation, Loisir et Sport)</w:t>
      </w:r>
      <w:r>
        <w:rPr>
          <w:b/>
          <w:i/>
          <w:lang w:val="fr-CA"/>
        </w:rPr>
        <w:t xml:space="preserve"> c. Nguyen</w:t>
      </w:r>
      <w:r w:rsidRPr="00526BB3">
        <w:rPr>
          <w:b/>
          <w:lang w:val="fr-CA"/>
        </w:rPr>
        <w:t xml:space="preserve">, 2009 CSC 47, </w:t>
      </w:r>
      <w:r>
        <w:rPr>
          <w:b/>
          <w:lang w:val="fr-CA"/>
        </w:rPr>
        <w:t>[2009] 3 R.C.S. 208, par. </w:t>
      </w:r>
      <w:r w:rsidRPr="00526BB3">
        <w:rPr>
          <w:b/>
          <w:lang w:val="fr-CA"/>
        </w:rPr>
        <w:t>46</w:t>
      </w:r>
      <w:r w:rsidRPr="00526BB3">
        <w:rPr>
          <w:lang w:val="fr-CA"/>
        </w:rPr>
        <w:t xml:space="preserve">; </w:t>
      </w:r>
      <w:proofErr w:type="spellStart"/>
      <w:r w:rsidRPr="00526BB3">
        <w:rPr>
          <w:i/>
          <w:lang w:val="fr-CA"/>
        </w:rPr>
        <w:t>Greater</w:t>
      </w:r>
      <w:proofErr w:type="spellEnd"/>
      <w:r w:rsidRPr="00526BB3">
        <w:rPr>
          <w:i/>
          <w:lang w:val="fr-CA"/>
        </w:rPr>
        <w:t xml:space="preserve"> Vancouver Transportation </w:t>
      </w:r>
      <w:proofErr w:type="spellStart"/>
      <w:r w:rsidRPr="00526BB3">
        <w:rPr>
          <w:i/>
          <w:lang w:val="fr-CA"/>
        </w:rPr>
        <w:t>Authority</w:t>
      </w:r>
      <w:proofErr w:type="spellEnd"/>
      <w:r w:rsidRPr="00526BB3">
        <w:rPr>
          <w:i/>
          <w:lang w:val="fr-CA"/>
        </w:rPr>
        <w:t xml:space="preserve"> c. Fédération canadienne des étudiantes et étudiants — Section Colombie</w:t>
      </w:r>
      <w:r>
        <w:rPr>
          <w:i/>
          <w:lang w:val="fr-CA"/>
        </w:rPr>
        <w:noBreakHyphen/>
      </w:r>
      <w:r w:rsidRPr="00526BB3">
        <w:rPr>
          <w:i/>
          <w:lang w:val="fr-CA"/>
        </w:rPr>
        <w:t>Britannique</w:t>
      </w:r>
      <w:r w:rsidRPr="00526BB3">
        <w:rPr>
          <w:lang w:val="fr-CA"/>
        </w:rPr>
        <w:t xml:space="preserve">, 2009 CSC 31, </w:t>
      </w:r>
      <w:r>
        <w:rPr>
          <w:lang w:val="fr-CA"/>
        </w:rPr>
        <w:t>[2009] 2 R.C.S. 295, par. </w:t>
      </w:r>
      <w:r w:rsidRPr="00526BB3">
        <w:rPr>
          <w:lang w:val="fr-CA"/>
        </w:rPr>
        <w:t>89</w:t>
      </w:r>
      <w:r>
        <w:rPr>
          <w:lang w:val="fr-CA"/>
        </w:rPr>
        <w:noBreakHyphen/>
      </w:r>
      <w:r w:rsidRPr="00526BB3">
        <w:rPr>
          <w:lang w:val="fr-CA"/>
        </w:rPr>
        <w:t xml:space="preserve">91; </w:t>
      </w:r>
      <w:r w:rsidRPr="00526BB3">
        <w:rPr>
          <w:i/>
          <w:lang w:val="fr-CA"/>
        </w:rPr>
        <w:t>R. c. D.B.</w:t>
      </w:r>
      <w:r w:rsidRPr="00526BB3">
        <w:rPr>
          <w:lang w:val="fr-CA"/>
        </w:rPr>
        <w:t xml:space="preserve">, 2008 CSC 25, </w:t>
      </w:r>
      <w:r w:rsidRPr="00DC77A5">
        <w:rPr>
          <w:lang w:val="fr-CA"/>
        </w:rPr>
        <w:t xml:space="preserve">[2008] 2 R.C.S. 3, </w:t>
      </w:r>
      <w:r>
        <w:rPr>
          <w:lang w:val="fr-CA"/>
        </w:rPr>
        <w:t>par. </w:t>
      </w:r>
      <w:r w:rsidRPr="00526BB3">
        <w:rPr>
          <w:lang w:val="fr-CA"/>
        </w:rPr>
        <w:t xml:space="preserve">95; </w:t>
      </w:r>
      <w:proofErr w:type="spellStart"/>
      <w:r w:rsidRPr="00526BB3">
        <w:rPr>
          <w:b/>
          <w:i/>
          <w:lang w:val="fr-CA"/>
        </w:rPr>
        <w:t>Health</w:t>
      </w:r>
      <w:proofErr w:type="spellEnd"/>
      <w:r w:rsidRPr="00526BB3">
        <w:rPr>
          <w:b/>
          <w:i/>
          <w:lang w:val="fr-CA"/>
        </w:rPr>
        <w:t xml:space="preserve"> Services and Support — </w:t>
      </w:r>
      <w:proofErr w:type="spellStart"/>
      <w:r w:rsidRPr="00526BB3">
        <w:rPr>
          <w:b/>
          <w:i/>
          <w:lang w:val="fr-CA"/>
        </w:rPr>
        <w:t>Facilities</w:t>
      </w:r>
      <w:proofErr w:type="spellEnd"/>
      <w:r w:rsidRPr="00526BB3">
        <w:rPr>
          <w:b/>
          <w:i/>
          <w:lang w:val="fr-CA"/>
        </w:rPr>
        <w:t xml:space="preserve"> </w:t>
      </w:r>
      <w:proofErr w:type="spellStart"/>
      <w:r w:rsidRPr="00526BB3">
        <w:rPr>
          <w:b/>
          <w:i/>
          <w:lang w:val="fr-CA"/>
        </w:rPr>
        <w:t>Subsector</w:t>
      </w:r>
      <w:proofErr w:type="spellEnd"/>
      <w:r w:rsidRPr="00526BB3">
        <w:rPr>
          <w:b/>
          <w:i/>
          <w:lang w:val="fr-CA"/>
        </w:rPr>
        <w:t xml:space="preserve"> </w:t>
      </w:r>
      <w:proofErr w:type="spellStart"/>
      <w:r w:rsidRPr="00526BB3">
        <w:rPr>
          <w:b/>
          <w:i/>
          <w:lang w:val="fr-CA"/>
        </w:rPr>
        <w:t>Bargaining</w:t>
      </w:r>
      <w:proofErr w:type="spellEnd"/>
      <w:r w:rsidRPr="00526BB3">
        <w:rPr>
          <w:b/>
          <w:i/>
          <w:lang w:val="fr-CA"/>
        </w:rPr>
        <w:t xml:space="preserve"> </w:t>
      </w:r>
      <w:proofErr w:type="spellStart"/>
      <w:r w:rsidRPr="00526BB3">
        <w:rPr>
          <w:b/>
          <w:i/>
          <w:lang w:val="fr-CA"/>
        </w:rPr>
        <w:t>Assn</w:t>
      </w:r>
      <w:proofErr w:type="spellEnd"/>
      <w:r w:rsidRPr="00526BB3">
        <w:rPr>
          <w:b/>
          <w:i/>
          <w:lang w:val="fr-CA"/>
        </w:rPr>
        <w:t>. c. Colombie</w:t>
      </w:r>
      <w:r>
        <w:rPr>
          <w:b/>
          <w:i/>
          <w:lang w:val="fr-CA"/>
        </w:rPr>
        <w:noBreakHyphen/>
      </w:r>
      <w:r w:rsidRPr="00526BB3">
        <w:rPr>
          <w:b/>
          <w:i/>
          <w:lang w:val="fr-CA"/>
        </w:rPr>
        <w:t>Britannique</w:t>
      </w:r>
      <w:r w:rsidRPr="00526BB3">
        <w:rPr>
          <w:b/>
          <w:lang w:val="fr-CA"/>
        </w:rPr>
        <w:t xml:space="preserve">, 2007 CSC 27, </w:t>
      </w:r>
      <w:r>
        <w:rPr>
          <w:b/>
          <w:lang w:val="fr-CA"/>
        </w:rPr>
        <w:t>[2007] 1 R.C.S. 391, par. </w:t>
      </w:r>
      <w:r w:rsidRPr="00526BB3">
        <w:rPr>
          <w:b/>
          <w:lang w:val="fr-CA"/>
        </w:rPr>
        <w:t>168</w:t>
      </w:r>
      <w:r w:rsidRPr="00526BB3">
        <w:rPr>
          <w:lang w:val="fr-CA"/>
        </w:rPr>
        <w:t xml:space="preserve">; </w:t>
      </w:r>
      <w:proofErr w:type="spellStart"/>
      <w:r w:rsidRPr="00526BB3">
        <w:rPr>
          <w:b/>
          <w:i/>
          <w:lang w:val="fr-CA"/>
        </w:rPr>
        <w:t>Charkaoui</w:t>
      </w:r>
      <w:proofErr w:type="spellEnd"/>
      <w:r w:rsidRPr="00526BB3">
        <w:rPr>
          <w:b/>
          <w:i/>
          <w:lang w:val="fr-CA"/>
        </w:rPr>
        <w:t xml:space="preserve"> c. Canada (Citoyenneté et Immigration)</w:t>
      </w:r>
      <w:r w:rsidRPr="00526BB3">
        <w:rPr>
          <w:b/>
          <w:lang w:val="fr-CA"/>
        </w:rPr>
        <w:t xml:space="preserve">, 2007 CSC 9, </w:t>
      </w:r>
      <w:r>
        <w:rPr>
          <w:b/>
          <w:lang w:val="fr-CA"/>
        </w:rPr>
        <w:t>[2007] 1 R.C.S. 350, par. </w:t>
      </w:r>
      <w:r w:rsidRPr="00883823">
        <w:rPr>
          <w:b/>
          <w:lang w:val="fr-CA"/>
        </w:rPr>
        <w:t>140</w:t>
      </w:r>
      <w:r w:rsidRPr="00526BB3">
        <w:rPr>
          <w:lang w:val="fr-CA"/>
        </w:rPr>
        <w:t xml:space="preserve">; </w:t>
      </w:r>
      <w:r w:rsidRPr="00526BB3">
        <w:rPr>
          <w:i/>
          <w:lang w:val="fr-CA"/>
        </w:rPr>
        <w:t xml:space="preserve">Canada (Procureur général) c. </w:t>
      </w:r>
      <w:proofErr w:type="spellStart"/>
      <w:r w:rsidRPr="00526BB3">
        <w:rPr>
          <w:i/>
          <w:lang w:val="fr-CA"/>
        </w:rPr>
        <w:t>Hislop</w:t>
      </w:r>
      <w:proofErr w:type="spellEnd"/>
      <w:r w:rsidRPr="00526BB3">
        <w:rPr>
          <w:lang w:val="fr-CA"/>
        </w:rPr>
        <w:t xml:space="preserve">, </w:t>
      </w:r>
      <w:r>
        <w:rPr>
          <w:lang w:val="fr-CA"/>
        </w:rPr>
        <w:t xml:space="preserve">2007 CSC 10, </w:t>
      </w:r>
      <w:r w:rsidRPr="00526BB3">
        <w:rPr>
          <w:lang w:val="fr-CA"/>
        </w:rPr>
        <w:t xml:space="preserve">[2007] 1 R.C.S. 429, </w:t>
      </w:r>
      <w:r>
        <w:rPr>
          <w:lang w:val="fr-CA"/>
        </w:rPr>
        <w:t>par. </w:t>
      </w:r>
      <w:r w:rsidRPr="00526BB3">
        <w:rPr>
          <w:lang w:val="fr-CA"/>
        </w:rPr>
        <w:t xml:space="preserve">121; </w:t>
      </w:r>
      <w:proofErr w:type="spellStart"/>
      <w:r w:rsidRPr="00526BB3">
        <w:rPr>
          <w:b/>
          <w:i/>
          <w:lang w:val="fr-CA"/>
        </w:rPr>
        <w:t>Chaoulli</w:t>
      </w:r>
      <w:proofErr w:type="spellEnd"/>
      <w:r w:rsidRPr="00526BB3">
        <w:rPr>
          <w:b/>
          <w:i/>
          <w:lang w:val="fr-CA"/>
        </w:rPr>
        <w:t xml:space="preserve"> c. Québec (</w:t>
      </w:r>
      <w:r>
        <w:rPr>
          <w:b/>
          <w:i/>
          <w:lang w:val="fr-CA"/>
        </w:rPr>
        <w:t>Procureur général</w:t>
      </w:r>
      <w:r w:rsidRPr="00526BB3">
        <w:rPr>
          <w:b/>
          <w:lang w:val="fr-CA"/>
        </w:rPr>
        <w:t xml:space="preserve">, </w:t>
      </w:r>
      <w:r>
        <w:rPr>
          <w:b/>
          <w:lang w:val="fr-CA"/>
        </w:rPr>
        <w:t>2005 CSC 35, [2005] 1 R.C.S. 791</w:t>
      </w:r>
      <w:r w:rsidRPr="00526BB3">
        <w:rPr>
          <w:lang w:val="fr-CA"/>
        </w:rPr>
        <w:t xml:space="preserve">; </w:t>
      </w:r>
      <w:r w:rsidRPr="00526BB3">
        <w:rPr>
          <w:b/>
          <w:i/>
          <w:lang w:val="fr-CA"/>
        </w:rPr>
        <w:t>R. c. Demers</w:t>
      </w:r>
      <w:r w:rsidRPr="00526BB3">
        <w:rPr>
          <w:b/>
          <w:lang w:val="fr-CA"/>
        </w:rPr>
        <w:t xml:space="preserve">, 2004 CSC 46, </w:t>
      </w:r>
      <w:r w:rsidRPr="00AC72C4">
        <w:rPr>
          <w:b/>
          <w:lang w:val="fr-CA"/>
        </w:rPr>
        <w:t xml:space="preserve">[2004] 2 R.C.S. 489, </w:t>
      </w:r>
      <w:r>
        <w:rPr>
          <w:b/>
          <w:lang w:val="fr-CA"/>
        </w:rPr>
        <w:t>par. </w:t>
      </w:r>
      <w:r w:rsidRPr="00526BB3">
        <w:rPr>
          <w:b/>
          <w:lang w:val="fr-CA"/>
        </w:rPr>
        <w:t>56</w:t>
      </w:r>
      <w:r>
        <w:rPr>
          <w:b/>
          <w:lang w:val="fr-CA"/>
        </w:rPr>
        <w:noBreakHyphen/>
      </w:r>
      <w:r w:rsidRPr="002C576E">
        <w:rPr>
          <w:b/>
          <w:lang w:val="fr-CA"/>
        </w:rPr>
        <w:t>60</w:t>
      </w:r>
      <w:r w:rsidRPr="00526BB3">
        <w:rPr>
          <w:lang w:val="fr-CA"/>
        </w:rPr>
        <w:t xml:space="preserve">; </w:t>
      </w:r>
      <w:proofErr w:type="spellStart"/>
      <w:r w:rsidRPr="00526BB3">
        <w:rPr>
          <w:b/>
          <w:i/>
          <w:lang w:val="fr-CA"/>
        </w:rPr>
        <w:t>Figueroa</w:t>
      </w:r>
      <w:proofErr w:type="spellEnd"/>
      <w:r w:rsidRPr="00526BB3">
        <w:rPr>
          <w:b/>
          <w:i/>
          <w:lang w:val="fr-CA"/>
        </w:rPr>
        <w:t xml:space="preserve"> c. Canada (Procureur général)</w:t>
      </w:r>
      <w:r w:rsidRPr="00526BB3">
        <w:rPr>
          <w:b/>
          <w:lang w:val="fr-CA"/>
        </w:rPr>
        <w:t xml:space="preserve">, 2003 CSC 37, </w:t>
      </w:r>
      <w:r>
        <w:rPr>
          <w:b/>
          <w:lang w:val="fr-CA"/>
        </w:rPr>
        <w:t>[2003] 1 R.C.S. 912, par. </w:t>
      </w:r>
      <w:r w:rsidRPr="00526BB3">
        <w:rPr>
          <w:b/>
          <w:lang w:val="fr-CA"/>
        </w:rPr>
        <w:t>93</w:t>
      </w:r>
      <w:r w:rsidRPr="00526BB3">
        <w:rPr>
          <w:lang w:val="fr-CA"/>
        </w:rPr>
        <w:t xml:space="preserve">; </w:t>
      </w:r>
      <w:r w:rsidRPr="00526BB3">
        <w:rPr>
          <w:b/>
          <w:i/>
          <w:lang w:val="fr-CA"/>
        </w:rPr>
        <w:t>Nouvelle</w:t>
      </w:r>
      <w:r>
        <w:rPr>
          <w:b/>
          <w:i/>
          <w:lang w:val="fr-CA"/>
        </w:rPr>
        <w:noBreakHyphen/>
      </w:r>
      <w:r w:rsidRPr="00526BB3">
        <w:rPr>
          <w:b/>
          <w:i/>
          <w:lang w:val="fr-CA"/>
        </w:rPr>
        <w:t>Écosse (</w:t>
      </w:r>
      <w:proofErr w:type="spellStart"/>
      <w:r w:rsidRPr="00526BB3">
        <w:rPr>
          <w:b/>
          <w:i/>
          <w:lang w:val="fr-CA"/>
        </w:rPr>
        <w:t>Workers</w:t>
      </w:r>
      <w:proofErr w:type="spellEnd"/>
      <w:r w:rsidRPr="00526BB3">
        <w:rPr>
          <w:b/>
          <w:i/>
          <w:lang w:val="fr-CA"/>
        </w:rPr>
        <w:t xml:space="preserve">’ Compensation </w:t>
      </w:r>
      <w:proofErr w:type="spellStart"/>
      <w:r w:rsidRPr="00526BB3">
        <w:rPr>
          <w:b/>
          <w:i/>
          <w:lang w:val="fr-CA"/>
        </w:rPr>
        <w:t>Board</w:t>
      </w:r>
      <w:proofErr w:type="spellEnd"/>
      <w:r w:rsidRPr="00526BB3">
        <w:rPr>
          <w:b/>
          <w:i/>
          <w:lang w:val="fr-CA"/>
        </w:rPr>
        <w:t>) c. Martin</w:t>
      </w:r>
      <w:r w:rsidRPr="00526BB3">
        <w:rPr>
          <w:b/>
          <w:lang w:val="fr-CA"/>
        </w:rPr>
        <w:t xml:space="preserve">, 2003 CSC 54, </w:t>
      </w:r>
      <w:r>
        <w:rPr>
          <w:b/>
          <w:lang w:val="fr-CA"/>
        </w:rPr>
        <w:t>[2003] 2 R.C.S. 504, par. </w:t>
      </w:r>
      <w:r w:rsidRPr="00526BB3">
        <w:rPr>
          <w:b/>
          <w:lang w:val="fr-CA"/>
        </w:rPr>
        <w:t xml:space="preserve">119; </w:t>
      </w:r>
      <w:proofErr w:type="spellStart"/>
      <w:r w:rsidRPr="00526BB3">
        <w:rPr>
          <w:b/>
          <w:i/>
          <w:lang w:val="fr-CA"/>
        </w:rPr>
        <w:t>Trociuk</w:t>
      </w:r>
      <w:proofErr w:type="spellEnd"/>
      <w:r w:rsidRPr="00526BB3">
        <w:rPr>
          <w:b/>
          <w:i/>
          <w:lang w:val="fr-CA"/>
        </w:rPr>
        <w:t xml:space="preserve"> c. Colombie</w:t>
      </w:r>
      <w:r>
        <w:rPr>
          <w:b/>
          <w:i/>
          <w:lang w:val="fr-CA"/>
        </w:rPr>
        <w:noBreakHyphen/>
      </w:r>
      <w:r w:rsidRPr="00526BB3">
        <w:rPr>
          <w:b/>
          <w:i/>
          <w:lang w:val="fr-CA"/>
        </w:rPr>
        <w:t>Britannique (Procureur général)</w:t>
      </w:r>
      <w:r w:rsidRPr="00526BB3">
        <w:rPr>
          <w:b/>
          <w:lang w:val="fr-CA"/>
        </w:rPr>
        <w:t xml:space="preserve">, 2003 CSC 34, </w:t>
      </w:r>
      <w:r>
        <w:rPr>
          <w:b/>
          <w:lang w:val="fr-CA"/>
        </w:rPr>
        <w:t>[2003] 1 R.C.S. 835, par. </w:t>
      </w:r>
      <w:r w:rsidRPr="00526BB3">
        <w:rPr>
          <w:b/>
          <w:lang w:val="fr-CA"/>
        </w:rPr>
        <w:t>43 et 46</w:t>
      </w:r>
      <w:r w:rsidRPr="00526BB3">
        <w:rPr>
          <w:lang w:val="fr-CA"/>
        </w:rPr>
        <w:t>;</w:t>
      </w:r>
      <w:r w:rsidRPr="00526BB3">
        <w:rPr>
          <w:b/>
          <w:lang w:val="fr-CA"/>
        </w:rPr>
        <w:t xml:space="preserve"> </w:t>
      </w:r>
      <w:proofErr w:type="spellStart"/>
      <w:r w:rsidRPr="00526BB3">
        <w:rPr>
          <w:b/>
          <w:i/>
          <w:lang w:val="fr-CA"/>
        </w:rPr>
        <w:t>Mackin</w:t>
      </w:r>
      <w:proofErr w:type="spellEnd"/>
      <w:r w:rsidRPr="00526BB3">
        <w:rPr>
          <w:b/>
          <w:i/>
          <w:lang w:val="fr-CA"/>
        </w:rPr>
        <w:t xml:space="preserve"> c. Nouveau</w:t>
      </w:r>
      <w:r>
        <w:rPr>
          <w:b/>
          <w:i/>
          <w:lang w:val="fr-CA"/>
        </w:rPr>
        <w:noBreakHyphen/>
      </w:r>
      <w:r w:rsidRPr="00526BB3">
        <w:rPr>
          <w:b/>
          <w:i/>
          <w:lang w:val="fr-CA"/>
        </w:rPr>
        <w:t>Brunswick (Ministre de</w:t>
      </w:r>
      <w:r>
        <w:rPr>
          <w:b/>
          <w:i/>
          <w:lang w:val="fr-CA"/>
        </w:rPr>
        <w:t>s Finances</w:t>
      </w:r>
      <w:r w:rsidRPr="00526BB3">
        <w:rPr>
          <w:b/>
          <w:i/>
          <w:lang w:val="fr-CA"/>
        </w:rPr>
        <w:t>)</w:t>
      </w:r>
      <w:r w:rsidRPr="00526BB3">
        <w:rPr>
          <w:b/>
          <w:lang w:val="fr-CA"/>
        </w:rPr>
        <w:t>,</w:t>
      </w:r>
      <w:r>
        <w:rPr>
          <w:b/>
          <w:lang w:val="fr-CA"/>
        </w:rPr>
        <w:t xml:space="preserve"> 2002 CSC 13,</w:t>
      </w:r>
      <w:r w:rsidRPr="00526BB3">
        <w:rPr>
          <w:b/>
          <w:lang w:val="fr-CA"/>
        </w:rPr>
        <w:t xml:space="preserve"> [2002] 1 R</w:t>
      </w:r>
      <w:r>
        <w:rPr>
          <w:b/>
          <w:lang w:val="fr-CA"/>
        </w:rPr>
        <w:t>.</w:t>
      </w:r>
      <w:r w:rsidRPr="00526BB3">
        <w:rPr>
          <w:b/>
          <w:lang w:val="fr-CA"/>
        </w:rPr>
        <w:t>C</w:t>
      </w:r>
      <w:r>
        <w:rPr>
          <w:b/>
          <w:lang w:val="fr-CA"/>
        </w:rPr>
        <w:t>.</w:t>
      </w:r>
      <w:r w:rsidRPr="00526BB3">
        <w:rPr>
          <w:b/>
          <w:lang w:val="fr-CA"/>
        </w:rPr>
        <w:t>S</w:t>
      </w:r>
      <w:r>
        <w:rPr>
          <w:b/>
          <w:lang w:val="fr-CA"/>
        </w:rPr>
        <w:t>.</w:t>
      </w:r>
      <w:r w:rsidRPr="00526BB3">
        <w:rPr>
          <w:b/>
          <w:lang w:val="fr-CA"/>
        </w:rPr>
        <w:t xml:space="preserve"> 405, </w:t>
      </w:r>
      <w:r>
        <w:rPr>
          <w:b/>
          <w:lang w:val="fr-CA"/>
        </w:rPr>
        <w:t>par. </w:t>
      </w:r>
      <w:r w:rsidRPr="00526BB3">
        <w:rPr>
          <w:b/>
          <w:lang w:val="fr-CA"/>
        </w:rPr>
        <w:t>77</w:t>
      </w:r>
      <w:r w:rsidRPr="00526BB3">
        <w:rPr>
          <w:lang w:val="fr-CA"/>
        </w:rPr>
        <w:t xml:space="preserve">; </w:t>
      </w:r>
      <w:r w:rsidRPr="00526BB3">
        <w:rPr>
          <w:b/>
          <w:i/>
          <w:lang w:val="fr-CA"/>
        </w:rPr>
        <w:t>R. c. Guignard</w:t>
      </w:r>
      <w:r w:rsidRPr="00526BB3">
        <w:rPr>
          <w:b/>
          <w:lang w:val="fr-CA"/>
        </w:rPr>
        <w:t xml:space="preserve">, 2002 CSC 14, </w:t>
      </w:r>
      <w:r>
        <w:rPr>
          <w:b/>
          <w:lang w:val="fr-CA"/>
        </w:rPr>
        <w:t>[2002] 3 R.C.S. 472, par. </w:t>
      </w:r>
      <w:r w:rsidRPr="00526BB3">
        <w:rPr>
          <w:b/>
          <w:lang w:val="fr-CA"/>
        </w:rPr>
        <w:t>32 et 34</w:t>
      </w:r>
      <w:r w:rsidRPr="00526BB3">
        <w:rPr>
          <w:lang w:val="fr-CA"/>
        </w:rPr>
        <w:t xml:space="preserve">; </w:t>
      </w:r>
      <w:r w:rsidRPr="00526BB3">
        <w:rPr>
          <w:i/>
          <w:lang w:val="fr-CA"/>
        </w:rPr>
        <w:t>Sauvé c. Canada (Directeur général des élections</w:t>
      </w:r>
      <w:r w:rsidRPr="00526BB3">
        <w:rPr>
          <w:lang w:val="fr-CA"/>
        </w:rPr>
        <w:t xml:space="preserve">), 2002 CSC 68, </w:t>
      </w:r>
      <w:r>
        <w:rPr>
          <w:lang w:val="fr-CA"/>
        </w:rPr>
        <w:t>[2002] 3 R.C.S. 519, par. </w:t>
      </w:r>
      <w:r w:rsidRPr="00526BB3">
        <w:rPr>
          <w:lang w:val="fr-CA"/>
        </w:rPr>
        <w:t xml:space="preserve">64; </w:t>
      </w:r>
      <w:proofErr w:type="spellStart"/>
      <w:r>
        <w:rPr>
          <w:i/>
          <w:lang w:val="fr-CA"/>
        </w:rPr>
        <w:t>Lavallee</w:t>
      </w:r>
      <w:proofErr w:type="spellEnd"/>
      <w:r>
        <w:rPr>
          <w:i/>
          <w:lang w:val="fr-CA"/>
        </w:rPr>
        <w:t xml:space="preserve">, </w:t>
      </w:r>
      <w:proofErr w:type="spellStart"/>
      <w:r>
        <w:rPr>
          <w:i/>
          <w:lang w:val="fr-CA"/>
        </w:rPr>
        <w:t>Rackel</w:t>
      </w:r>
      <w:proofErr w:type="spellEnd"/>
      <w:r>
        <w:rPr>
          <w:i/>
          <w:lang w:val="fr-CA"/>
        </w:rPr>
        <w:t xml:space="preserve"> &amp; </w:t>
      </w:r>
      <w:proofErr w:type="spellStart"/>
      <w:r>
        <w:rPr>
          <w:i/>
          <w:lang w:val="fr-CA"/>
        </w:rPr>
        <w:t>Heintz</w:t>
      </w:r>
      <w:proofErr w:type="spellEnd"/>
      <w:r>
        <w:rPr>
          <w:i/>
          <w:lang w:val="fr-CA"/>
        </w:rPr>
        <w:t xml:space="preserve"> c. Canada (Procureur général)</w:t>
      </w:r>
      <w:r>
        <w:rPr>
          <w:lang w:val="fr-CA"/>
        </w:rPr>
        <w:t>,</w:t>
      </w:r>
      <w:r w:rsidRPr="00526BB3">
        <w:rPr>
          <w:i/>
          <w:lang w:val="fr-CA"/>
        </w:rPr>
        <w:t xml:space="preserve"> </w:t>
      </w:r>
      <w:r w:rsidRPr="00526BB3">
        <w:rPr>
          <w:lang w:val="fr-CA"/>
        </w:rPr>
        <w:t xml:space="preserve">2002 CSC 61, </w:t>
      </w:r>
      <w:r w:rsidRPr="00AC72C4">
        <w:rPr>
          <w:lang w:val="fr-CA"/>
        </w:rPr>
        <w:t xml:space="preserve">[2002] 3 R.C.S. 209, </w:t>
      </w:r>
      <w:r>
        <w:rPr>
          <w:lang w:val="fr-CA"/>
        </w:rPr>
        <w:t>par. </w:t>
      </w:r>
      <w:r w:rsidRPr="00526BB3">
        <w:rPr>
          <w:lang w:val="fr-CA"/>
        </w:rPr>
        <w:t>47</w:t>
      </w:r>
      <w:r>
        <w:rPr>
          <w:lang w:val="fr-CA"/>
        </w:rPr>
        <w:noBreakHyphen/>
      </w:r>
      <w:r w:rsidRPr="00526BB3">
        <w:rPr>
          <w:lang w:val="fr-CA"/>
        </w:rPr>
        <w:t xml:space="preserve">48; </w:t>
      </w:r>
      <w:proofErr w:type="spellStart"/>
      <w:r w:rsidRPr="00526BB3">
        <w:rPr>
          <w:b/>
          <w:i/>
          <w:lang w:val="fr-CA"/>
        </w:rPr>
        <w:t>Dunmore</w:t>
      </w:r>
      <w:proofErr w:type="spellEnd"/>
      <w:r w:rsidRPr="00526BB3">
        <w:rPr>
          <w:b/>
          <w:i/>
          <w:lang w:val="fr-CA"/>
        </w:rPr>
        <w:t xml:space="preserve"> c. Ontario (Procureur général)</w:t>
      </w:r>
      <w:r w:rsidRPr="00526BB3">
        <w:rPr>
          <w:b/>
          <w:lang w:val="fr-CA"/>
        </w:rPr>
        <w:t xml:space="preserve">, 2001 CSC 94, </w:t>
      </w:r>
      <w:r>
        <w:rPr>
          <w:b/>
          <w:lang w:val="fr-CA"/>
        </w:rPr>
        <w:t>[2001] 3 R.C.S. 1016, par. </w:t>
      </w:r>
      <w:r w:rsidRPr="00526BB3">
        <w:rPr>
          <w:b/>
          <w:lang w:val="fr-CA"/>
        </w:rPr>
        <w:t>66</w:t>
      </w:r>
      <w:r w:rsidRPr="00526BB3">
        <w:rPr>
          <w:lang w:val="fr-CA"/>
        </w:rPr>
        <w:t xml:space="preserve">; </w:t>
      </w:r>
      <w:r w:rsidRPr="00526BB3">
        <w:rPr>
          <w:i/>
          <w:lang w:val="fr-CA"/>
        </w:rPr>
        <w:t xml:space="preserve">R. c. </w:t>
      </w:r>
      <w:proofErr w:type="spellStart"/>
      <w:r w:rsidRPr="00526BB3">
        <w:rPr>
          <w:i/>
          <w:lang w:val="fr-CA"/>
        </w:rPr>
        <w:t>Ruzic</w:t>
      </w:r>
      <w:proofErr w:type="spellEnd"/>
      <w:r w:rsidRPr="00526BB3">
        <w:rPr>
          <w:lang w:val="fr-CA"/>
        </w:rPr>
        <w:t xml:space="preserve">, 2001 CSC 24, </w:t>
      </w:r>
      <w:r>
        <w:rPr>
          <w:lang w:val="fr-CA"/>
        </w:rPr>
        <w:t>[2001] 1 R.C.S. 687, par. </w:t>
      </w:r>
      <w:r w:rsidRPr="00526BB3">
        <w:rPr>
          <w:lang w:val="fr-CA"/>
        </w:rPr>
        <w:t xml:space="preserve">1, 55 et 101; </w:t>
      </w:r>
      <w:proofErr w:type="spellStart"/>
      <w:r w:rsidRPr="00526BB3">
        <w:rPr>
          <w:i/>
          <w:lang w:val="fr-CA"/>
        </w:rPr>
        <w:t>Little</w:t>
      </w:r>
      <w:proofErr w:type="spellEnd"/>
      <w:r w:rsidRPr="00526BB3">
        <w:rPr>
          <w:i/>
          <w:lang w:val="fr-CA"/>
        </w:rPr>
        <w:t xml:space="preserve"> Sisters Book and Art Emporium c. Canada (Ministre de la Justice)</w:t>
      </w:r>
      <w:r w:rsidRPr="00526BB3">
        <w:rPr>
          <w:lang w:val="fr-CA"/>
        </w:rPr>
        <w:t xml:space="preserve">, 2000 CSC 69, </w:t>
      </w:r>
      <w:r>
        <w:rPr>
          <w:lang w:val="fr-CA"/>
        </w:rPr>
        <w:t>[2000] 2 R.C.S. 1120, par. </w:t>
      </w:r>
      <w:r w:rsidRPr="00526BB3">
        <w:rPr>
          <w:lang w:val="fr-CA"/>
        </w:rPr>
        <w:t xml:space="preserve">105 et 159; </w:t>
      </w:r>
      <w:r w:rsidRPr="00526BB3">
        <w:rPr>
          <w:b/>
          <w:i/>
          <w:lang w:val="fr-CA"/>
        </w:rPr>
        <w:t xml:space="preserve">T.U.A.C., section locale 1518 c. </w:t>
      </w:r>
      <w:proofErr w:type="spellStart"/>
      <w:r w:rsidRPr="00526BB3">
        <w:rPr>
          <w:b/>
          <w:i/>
          <w:lang w:val="fr-CA"/>
        </w:rPr>
        <w:t>KMart</w:t>
      </w:r>
      <w:proofErr w:type="spellEnd"/>
      <w:r w:rsidRPr="00526BB3">
        <w:rPr>
          <w:b/>
          <w:i/>
          <w:lang w:val="fr-CA"/>
        </w:rPr>
        <w:t xml:space="preserve"> Canada Ltd.</w:t>
      </w:r>
      <w:r w:rsidRPr="00526BB3">
        <w:rPr>
          <w:b/>
          <w:lang w:val="fr-CA"/>
        </w:rPr>
        <w:t xml:space="preserve">, [1999] 2 R.C.S. 1083, </w:t>
      </w:r>
      <w:r>
        <w:rPr>
          <w:b/>
          <w:lang w:val="fr-CA"/>
        </w:rPr>
        <w:t>par. </w:t>
      </w:r>
      <w:r w:rsidRPr="00526BB3">
        <w:rPr>
          <w:b/>
          <w:lang w:val="fr-CA"/>
        </w:rPr>
        <w:t>79</w:t>
      </w:r>
      <w:r w:rsidRPr="00526BB3">
        <w:rPr>
          <w:lang w:val="fr-CA"/>
        </w:rPr>
        <w:t xml:space="preserve">; </w:t>
      </w:r>
      <w:proofErr w:type="spellStart"/>
      <w:r w:rsidRPr="00526BB3">
        <w:rPr>
          <w:b/>
          <w:i/>
          <w:lang w:val="fr-CA"/>
        </w:rPr>
        <w:t>Corbiere</w:t>
      </w:r>
      <w:proofErr w:type="spellEnd"/>
      <w:r w:rsidRPr="00526BB3">
        <w:rPr>
          <w:b/>
          <w:i/>
          <w:lang w:val="fr-CA"/>
        </w:rPr>
        <w:t xml:space="preserve"> c. Canada (Ministre des Affaires indiennes et du Nord canadien)</w:t>
      </w:r>
      <w:r w:rsidRPr="00526BB3">
        <w:rPr>
          <w:b/>
          <w:lang w:val="fr-CA"/>
        </w:rPr>
        <w:t xml:space="preserve">, [1999] 2 R.C.S. 203, </w:t>
      </w:r>
      <w:r>
        <w:rPr>
          <w:b/>
          <w:lang w:val="fr-CA"/>
        </w:rPr>
        <w:t xml:space="preserve">par. 24 et </w:t>
      </w:r>
      <w:r w:rsidRPr="00526BB3">
        <w:rPr>
          <w:b/>
          <w:lang w:val="fr-CA"/>
        </w:rPr>
        <w:t>118</w:t>
      </w:r>
      <w:r w:rsidRPr="00526BB3">
        <w:rPr>
          <w:lang w:val="fr-CA"/>
        </w:rPr>
        <w:t xml:space="preserve">; </w:t>
      </w:r>
      <w:r w:rsidRPr="00526BB3">
        <w:rPr>
          <w:b/>
          <w:i/>
          <w:lang w:val="fr-CA"/>
        </w:rPr>
        <w:t>M. c. H.</w:t>
      </w:r>
      <w:r w:rsidRPr="00526BB3">
        <w:rPr>
          <w:b/>
          <w:lang w:val="fr-CA"/>
        </w:rPr>
        <w:t xml:space="preserve">, [1999] 2 R.C.S. 3, </w:t>
      </w:r>
      <w:r>
        <w:rPr>
          <w:b/>
          <w:lang w:val="fr-CA"/>
        </w:rPr>
        <w:t>par. </w:t>
      </w:r>
      <w:r w:rsidRPr="00526BB3">
        <w:rPr>
          <w:b/>
          <w:lang w:val="fr-CA"/>
        </w:rPr>
        <w:t>136</w:t>
      </w:r>
      <w:r>
        <w:rPr>
          <w:b/>
          <w:lang w:val="fr-CA"/>
        </w:rPr>
        <w:noBreakHyphen/>
      </w:r>
      <w:r w:rsidRPr="00526BB3">
        <w:rPr>
          <w:b/>
          <w:lang w:val="fr-CA"/>
        </w:rPr>
        <w:t>145</w:t>
      </w:r>
      <w:r w:rsidRPr="00526BB3">
        <w:rPr>
          <w:lang w:val="fr-CA"/>
        </w:rPr>
        <w:t xml:space="preserve">; </w:t>
      </w:r>
      <w:r w:rsidRPr="00526BB3">
        <w:rPr>
          <w:i/>
          <w:lang w:val="fr-CA"/>
        </w:rPr>
        <w:t xml:space="preserve">Thomson </w:t>
      </w:r>
      <w:proofErr w:type="spellStart"/>
      <w:r w:rsidRPr="00526BB3">
        <w:rPr>
          <w:i/>
          <w:lang w:val="fr-CA"/>
        </w:rPr>
        <w:t>Newspapers</w:t>
      </w:r>
      <w:proofErr w:type="spellEnd"/>
      <w:r w:rsidRPr="00526BB3">
        <w:rPr>
          <w:i/>
          <w:lang w:val="fr-CA"/>
        </w:rPr>
        <w:t xml:space="preserve"> Co. c. Canada (Procureur général)</w:t>
      </w:r>
      <w:r w:rsidRPr="00526BB3">
        <w:rPr>
          <w:lang w:val="fr-CA"/>
        </w:rPr>
        <w:t xml:space="preserve">, [1998] 1 R.C.S. 877, </w:t>
      </w:r>
      <w:r>
        <w:rPr>
          <w:lang w:val="fr-CA"/>
        </w:rPr>
        <w:t>par. </w:t>
      </w:r>
      <w:r w:rsidRPr="00526BB3">
        <w:rPr>
          <w:lang w:val="fr-CA"/>
        </w:rPr>
        <w:t xml:space="preserve">131; </w:t>
      </w:r>
      <w:proofErr w:type="spellStart"/>
      <w:r w:rsidRPr="00526BB3">
        <w:rPr>
          <w:b/>
          <w:i/>
          <w:lang w:val="fr-CA"/>
        </w:rPr>
        <w:t>Eldridge</w:t>
      </w:r>
      <w:proofErr w:type="spellEnd"/>
      <w:r w:rsidRPr="00526BB3">
        <w:rPr>
          <w:b/>
          <w:i/>
          <w:lang w:val="fr-CA"/>
        </w:rPr>
        <w:t xml:space="preserve"> c. Colombie</w:t>
      </w:r>
      <w:r>
        <w:rPr>
          <w:b/>
          <w:i/>
          <w:lang w:val="fr-CA"/>
        </w:rPr>
        <w:noBreakHyphen/>
      </w:r>
      <w:r w:rsidRPr="00526BB3">
        <w:rPr>
          <w:b/>
          <w:i/>
          <w:lang w:val="fr-CA"/>
        </w:rPr>
        <w:t>Britanniqu</w:t>
      </w:r>
      <w:r>
        <w:rPr>
          <w:b/>
          <w:i/>
          <w:lang w:val="fr-CA"/>
        </w:rPr>
        <w:t>e (Procureur général</w:t>
      </w:r>
      <w:r w:rsidRPr="00526BB3">
        <w:rPr>
          <w:b/>
          <w:i/>
          <w:lang w:val="fr-CA"/>
        </w:rPr>
        <w:t>)</w:t>
      </w:r>
      <w:r w:rsidRPr="00526BB3">
        <w:rPr>
          <w:b/>
          <w:lang w:val="fr-CA"/>
        </w:rPr>
        <w:t xml:space="preserve">, [1997] 3 R.C.S. 624, </w:t>
      </w:r>
      <w:r>
        <w:rPr>
          <w:b/>
          <w:lang w:val="fr-CA"/>
        </w:rPr>
        <w:t>par. </w:t>
      </w:r>
      <w:r w:rsidRPr="00526BB3">
        <w:rPr>
          <w:b/>
          <w:lang w:val="fr-CA"/>
        </w:rPr>
        <w:t>96</w:t>
      </w:r>
      <w:r w:rsidRPr="00526BB3">
        <w:rPr>
          <w:lang w:val="fr-CA"/>
        </w:rPr>
        <w:t xml:space="preserve">; </w:t>
      </w:r>
      <w:proofErr w:type="spellStart"/>
      <w:r w:rsidRPr="00526BB3">
        <w:rPr>
          <w:i/>
          <w:lang w:val="fr-CA"/>
        </w:rPr>
        <w:t>Libman</w:t>
      </w:r>
      <w:proofErr w:type="spellEnd"/>
      <w:r w:rsidRPr="00526BB3">
        <w:rPr>
          <w:i/>
          <w:lang w:val="fr-CA"/>
        </w:rPr>
        <w:t xml:space="preserve"> c. Québec (Procureur général)</w:t>
      </w:r>
      <w:r w:rsidRPr="00526BB3">
        <w:rPr>
          <w:lang w:val="fr-CA"/>
        </w:rPr>
        <w:t xml:space="preserve">, [1997] 3 R.C.S. 569, </w:t>
      </w:r>
      <w:r>
        <w:rPr>
          <w:lang w:val="fr-CA"/>
        </w:rPr>
        <w:t>par. </w:t>
      </w:r>
      <w:r w:rsidRPr="00526BB3">
        <w:rPr>
          <w:lang w:val="fr-CA"/>
        </w:rPr>
        <w:t xml:space="preserve">86; </w:t>
      </w:r>
      <w:r w:rsidRPr="00526BB3">
        <w:rPr>
          <w:i/>
          <w:lang w:val="fr-CA"/>
        </w:rPr>
        <w:t>Benner c. Canada (Secrétaire d’État)</w:t>
      </w:r>
      <w:r w:rsidRPr="00526BB3">
        <w:rPr>
          <w:lang w:val="fr-CA"/>
        </w:rPr>
        <w:t xml:space="preserve">, [1997] 1 R.C.S. 358, </w:t>
      </w:r>
      <w:r>
        <w:rPr>
          <w:lang w:val="fr-CA"/>
        </w:rPr>
        <w:t>par. </w:t>
      </w:r>
      <w:r w:rsidRPr="00526BB3">
        <w:rPr>
          <w:lang w:val="fr-CA"/>
        </w:rPr>
        <w:t>103</w:t>
      </w:r>
      <w:r>
        <w:rPr>
          <w:lang w:val="fr-CA"/>
        </w:rPr>
        <w:noBreakHyphen/>
      </w:r>
      <w:r w:rsidRPr="00526BB3">
        <w:rPr>
          <w:lang w:val="fr-CA"/>
        </w:rPr>
        <w:t xml:space="preserve">105; </w:t>
      </w:r>
      <w:r w:rsidRPr="00526BB3">
        <w:rPr>
          <w:b/>
          <w:bCs/>
          <w:i/>
          <w:iCs/>
          <w:lang w:val="fr-CA"/>
        </w:rPr>
        <w:t xml:space="preserve">Renvoi relatif à la rémunération des juges de la Cour provinciale de </w:t>
      </w:r>
      <w:r>
        <w:rPr>
          <w:b/>
          <w:bCs/>
          <w:i/>
          <w:iCs/>
          <w:lang w:val="fr-CA"/>
        </w:rPr>
        <w:t>l’Île</w:t>
      </w:r>
      <w:r>
        <w:rPr>
          <w:b/>
          <w:bCs/>
          <w:i/>
          <w:iCs/>
          <w:lang w:val="fr-CA"/>
        </w:rPr>
        <w:noBreakHyphen/>
        <w:t>du</w:t>
      </w:r>
      <w:r>
        <w:rPr>
          <w:b/>
          <w:bCs/>
          <w:i/>
          <w:iCs/>
          <w:lang w:val="fr-CA"/>
        </w:rPr>
        <w:noBreakHyphen/>
        <w:t>Prince</w:t>
      </w:r>
      <w:r>
        <w:rPr>
          <w:b/>
          <w:bCs/>
          <w:i/>
          <w:iCs/>
          <w:lang w:val="fr-CA"/>
        </w:rPr>
        <w:noBreakHyphen/>
        <w:t>Édouard</w:t>
      </w:r>
      <w:r w:rsidRPr="00526BB3">
        <w:rPr>
          <w:b/>
          <w:lang w:val="fr-CA"/>
        </w:rPr>
        <w:t xml:space="preserve">, [1997] 3 R.C.S. 3, </w:t>
      </w:r>
      <w:r>
        <w:rPr>
          <w:b/>
          <w:lang w:val="fr-CA"/>
        </w:rPr>
        <w:t>par. </w:t>
      </w:r>
      <w:r w:rsidRPr="00526BB3">
        <w:rPr>
          <w:b/>
          <w:lang w:val="fr-CA"/>
        </w:rPr>
        <w:t>292</w:t>
      </w:r>
      <w:r w:rsidRPr="00526BB3">
        <w:rPr>
          <w:lang w:val="fr-CA"/>
        </w:rPr>
        <w:t xml:space="preserve">; </w:t>
      </w:r>
      <w:proofErr w:type="spellStart"/>
      <w:r w:rsidRPr="00526BB3">
        <w:rPr>
          <w:i/>
          <w:lang w:val="fr-CA"/>
        </w:rPr>
        <w:t>RJR</w:t>
      </w:r>
      <w:r>
        <w:rPr>
          <w:i/>
          <w:lang w:val="fr-CA"/>
        </w:rPr>
        <w:noBreakHyphen/>
      </w:r>
      <w:r w:rsidRPr="00526BB3">
        <w:rPr>
          <w:i/>
          <w:lang w:val="fr-CA"/>
        </w:rPr>
        <w:t>MacDonald</w:t>
      </w:r>
      <w:proofErr w:type="spellEnd"/>
      <w:r w:rsidRPr="00526BB3">
        <w:rPr>
          <w:i/>
          <w:lang w:val="fr-CA"/>
        </w:rPr>
        <w:t xml:space="preserve"> Inc. c. Canada (Procureur général)</w:t>
      </w:r>
      <w:r w:rsidRPr="00526BB3">
        <w:rPr>
          <w:lang w:val="fr-CA"/>
        </w:rPr>
        <w:t xml:space="preserve">, [1995] 3 R.C.S. 199, </w:t>
      </w:r>
      <w:r>
        <w:rPr>
          <w:lang w:val="fr-CA"/>
        </w:rPr>
        <w:t>par. </w:t>
      </w:r>
      <w:r w:rsidRPr="00526BB3">
        <w:rPr>
          <w:lang w:val="fr-CA"/>
        </w:rPr>
        <w:t>176</w:t>
      </w:r>
      <w:r>
        <w:rPr>
          <w:lang w:val="fr-CA"/>
        </w:rPr>
        <w:noBreakHyphen/>
      </w:r>
      <w:r w:rsidRPr="00526BB3">
        <w:rPr>
          <w:lang w:val="fr-CA"/>
        </w:rPr>
        <w:t xml:space="preserve">177; </w:t>
      </w:r>
      <w:r w:rsidRPr="00526BB3">
        <w:rPr>
          <w:i/>
          <w:lang w:val="fr-CA"/>
        </w:rPr>
        <w:t>R. c. Heywood</w:t>
      </w:r>
      <w:r w:rsidRPr="00526BB3">
        <w:rPr>
          <w:lang w:val="fr-CA"/>
        </w:rPr>
        <w:t xml:space="preserve">, [1994] 3 R.C.S. 761, </w:t>
      </w:r>
      <w:r>
        <w:rPr>
          <w:lang w:val="fr-CA"/>
        </w:rPr>
        <w:t>p. </w:t>
      </w:r>
      <w:r w:rsidRPr="00526BB3">
        <w:rPr>
          <w:lang w:val="fr-CA"/>
        </w:rPr>
        <w:t>803</w:t>
      </w:r>
      <w:r>
        <w:rPr>
          <w:lang w:val="fr-CA"/>
        </w:rPr>
        <w:noBreakHyphen/>
      </w:r>
      <w:r w:rsidRPr="00526BB3">
        <w:rPr>
          <w:lang w:val="fr-CA"/>
        </w:rPr>
        <w:t xml:space="preserve">804; </w:t>
      </w:r>
      <w:r w:rsidRPr="00526BB3">
        <w:rPr>
          <w:i/>
          <w:lang w:val="fr-CA"/>
        </w:rPr>
        <w:t>Sauvé c. Canada (Procureur général)</w:t>
      </w:r>
      <w:r w:rsidRPr="00526BB3">
        <w:rPr>
          <w:lang w:val="fr-CA"/>
        </w:rPr>
        <w:t xml:space="preserve">, [1993] 2 R.C.S. 438, </w:t>
      </w:r>
      <w:r>
        <w:rPr>
          <w:lang w:val="fr-CA"/>
        </w:rPr>
        <w:t>p. </w:t>
      </w:r>
      <w:r w:rsidRPr="00526BB3">
        <w:rPr>
          <w:lang w:val="fr-CA"/>
        </w:rPr>
        <w:t>439</w:t>
      </w:r>
      <w:r>
        <w:rPr>
          <w:lang w:val="fr-CA"/>
        </w:rPr>
        <w:noBreakHyphen/>
      </w:r>
      <w:r w:rsidRPr="00526BB3">
        <w:rPr>
          <w:lang w:val="fr-CA"/>
        </w:rPr>
        <w:t xml:space="preserve">440; </w:t>
      </w:r>
      <w:r w:rsidRPr="00526BB3">
        <w:rPr>
          <w:i/>
          <w:lang w:val="fr-CA"/>
        </w:rPr>
        <w:t>Ramsden c. Peterborough (Ville)</w:t>
      </w:r>
      <w:r w:rsidRPr="00526BB3">
        <w:rPr>
          <w:lang w:val="fr-CA"/>
        </w:rPr>
        <w:t xml:space="preserve">, [1993] 2 R.C.S. 1084, </w:t>
      </w:r>
      <w:r>
        <w:rPr>
          <w:lang w:val="fr-CA"/>
        </w:rPr>
        <w:t>p. </w:t>
      </w:r>
      <w:r w:rsidRPr="00526BB3">
        <w:rPr>
          <w:lang w:val="fr-CA"/>
        </w:rPr>
        <w:t xml:space="preserve">1108; </w:t>
      </w:r>
      <w:r w:rsidRPr="00526BB3">
        <w:rPr>
          <w:i/>
          <w:lang w:val="fr-CA"/>
        </w:rPr>
        <w:t>Baron c. Canada</w:t>
      </w:r>
      <w:r w:rsidRPr="00526BB3">
        <w:rPr>
          <w:lang w:val="fr-CA"/>
        </w:rPr>
        <w:t xml:space="preserve">, [1993] 1 R.C.S. 416, </w:t>
      </w:r>
      <w:r>
        <w:rPr>
          <w:lang w:val="fr-CA"/>
        </w:rPr>
        <w:t>p. </w:t>
      </w:r>
      <w:r w:rsidRPr="00526BB3">
        <w:rPr>
          <w:lang w:val="fr-CA"/>
        </w:rPr>
        <w:t>453</w:t>
      </w:r>
      <w:r>
        <w:rPr>
          <w:lang w:val="fr-CA"/>
        </w:rPr>
        <w:noBreakHyphen/>
      </w:r>
      <w:r w:rsidRPr="00857507">
        <w:rPr>
          <w:lang w:val="fr-CA"/>
        </w:rPr>
        <w:t>455</w:t>
      </w:r>
      <w:r w:rsidRPr="00526BB3">
        <w:rPr>
          <w:lang w:val="fr-CA"/>
        </w:rPr>
        <w:t xml:space="preserve">; </w:t>
      </w:r>
      <w:r w:rsidRPr="00526BB3">
        <w:rPr>
          <w:i/>
          <w:lang w:val="fr-CA"/>
        </w:rPr>
        <w:t>R. c. Zundel</w:t>
      </w:r>
      <w:r w:rsidRPr="00526BB3">
        <w:rPr>
          <w:lang w:val="fr-CA"/>
        </w:rPr>
        <w:t xml:space="preserve">, [1992] 2 R.C.S. 731, </w:t>
      </w:r>
      <w:r>
        <w:rPr>
          <w:lang w:val="fr-CA"/>
        </w:rPr>
        <w:t>p. </w:t>
      </w:r>
      <w:r w:rsidRPr="00526BB3">
        <w:rPr>
          <w:lang w:val="fr-CA"/>
        </w:rPr>
        <w:t>778.</w:t>
      </w:r>
    </w:p>
  </w:footnote>
  <w:footnote w:id="13">
    <w:p w14:paraId="1050FB66" w14:textId="77777777" w:rsidR="004A6852" w:rsidRPr="00F14FBE" w:rsidRDefault="004A6852" w:rsidP="00F712C6">
      <w:pPr>
        <w:pStyle w:val="FootnoteText"/>
        <w:rPr>
          <w:lang w:val="fr-CA"/>
        </w:rPr>
      </w:pPr>
      <w:r>
        <w:rPr>
          <w:rStyle w:val="FootnoteReference"/>
        </w:rPr>
        <w:footnoteRef/>
      </w:r>
      <w:r>
        <w:rPr>
          <w:lang w:val="fr-CA"/>
        </w:rPr>
        <w:tab/>
      </w:r>
      <w:r w:rsidRPr="00F14FBE">
        <w:rPr>
          <w:lang w:val="fr-CA"/>
        </w:rPr>
        <w:t>Voir également</w:t>
      </w:r>
      <w:r>
        <w:rPr>
          <w:lang w:val="fr-CA"/>
        </w:rPr>
        <w:t xml:space="preserve"> la</w:t>
      </w:r>
      <w:r w:rsidRPr="00F14FBE">
        <w:rPr>
          <w:lang w:val="fr-CA"/>
        </w:rPr>
        <w:t xml:space="preserve"> </w:t>
      </w:r>
      <w:r w:rsidRPr="00F14FBE">
        <w:rPr>
          <w:i/>
          <w:lang w:val="fr-CA"/>
        </w:rPr>
        <w:t xml:space="preserve">Scotland </w:t>
      </w:r>
      <w:proofErr w:type="spellStart"/>
      <w:r w:rsidRPr="00F14FBE">
        <w:rPr>
          <w:i/>
          <w:lang w:val="fr-CA"/>
        </w:rPr>
        <w:t>Act</w:t>
      </w:r>
      <w:proofErr w:type="spellEnd"/>
      <w:r w:rsidRPr="00F14FBE">
        <w:rPr>
          <w:i/>
          <w:lang w:val="fr-CA"/>
        </w:rPr>
        <w:t>, 1998</w:t>
      </w:r>
      <w:r>
        <w:rPr>
          <w:lang w:val="fr-CA"/>
        </w:rPr>
        <w:t xml:space="preserve"> (R.</w:t>
      </w:r>
      <w:r>
        <w:rPr>
          <w:lang w:val="fr-CA"/>
        </w:rPr>
        <w:noBreakHyphen/>
        <w:t xml:space="preserve">U.), 1998, c. </w:t>
      </w:r>
      <w:r w:rsidRPr="00F14FBE">
        <w:rPr>
          <w:lang w:val="fr-CA"/>
        </w:rPr>
        <w:t xml:space="preserve">46, </w:t>
      </w:r>
      <w:r>
        <w:rPr>
          <w:lang w:val="fr-CA"/>
        </w:rPr>
        <w:t>par. </w:t>
      </w:r>
      <w:r w:rsidRPr="00F14FBE">
        <w:rPr>
          <w:lang w:val="fr-CA"/>
        </w:rPr>
        <w:t>102(2</w:t>
      </w:r>
      <w:proofErr w:type="gramStart"/>
      <w:r w:rsidRPr="00F14FBE">
        <w:rPr>
          <w:lang w:val="fr-CA"/>
        </w:rPr>
        <w:t>)</w:t>
      </w:r>
      <w:r>
        <w:rPr>
          <w:lang w:val="fr-CA"/>
        </w:rPr>
        <w:noBreakHyphen/>
      </w:r>
      <w:proofErr w:type="gramEnd"/>
      <w:r w:rsidRPr="00F14FBE">
        <w:rPr>
          <w:lang w:val="fr-CA"/>
        </w:rPr>
        <w:t>102(3).</w:t>
      </w:r>
    </w:p>
  </w:footnote>
  <w:footnote w:id="14">
    <w:p w14:paraId="0DC94443" w14:textId="77777777" w:rsidR="004A6852" w:rsidRPr="00121528" w:rsidRDefault="004A6852" w:rsidP="00F712C6">
      <w:pPr>
        <w:pStyle w:val="FootnoteText"/>
        <w:rPr>
          <w:lang w:val="fr-CA"/>
        </w:rPr>
      </w:pPr>
      <w:r w:rsidRPr="00F14FBE">
        <w:rPr>
          <w:rStyle w:val="FootnoteReference"/>
          <w:lang w:val="fr-CA"/>
        </w:rPr>
        <w:footnoteRef/>
      </w:r>
      <w:r>
        <w:rPr>
          <w:lang w:val="fr-CA"/>
        </w:rPr>
        <w:tab/>
        <w:t>Soulignons que M</w:t>
      </w:r>
      <w:r w:rsidRPr="00ED4BC0">
        <w:rPr>
          <w:lang w:val="fr-CA"/>
        </w:rPr>
        <w:t>. G n’a jamais fait l’objet d’une évaluation médico</w:t>
      </w:r>
      <w:r>
        <w:rPr>
          <w:lang w:val="fr-CA"/>
        </w:rPr>
        <w:noBreakHyphen/>
      </w:r>
      <w:r w:rsidRPr="00ED4BC0">
        <w:rPr>
          <w:lang w:val="fr-CA"/>
        </w:rPr>
        <w:t>légale des risques qu’il présentait. L’expert de l’intimé, le D</w:t>
      </w:r>
      <w:r w:rsidRPr="00ED4BC0">
        <w:rPr>
          <w:vertAlign w:val="superscript"/>
          <w:lang w:val="fr-CA"/>
        </w:rPr>
        <w:t>r</w:t>
      </w:r>
      <w:r w:rsidRPr="00ED4BC0">
        <w:rPr>
          <w:lang w:val="fr-CA"/>
        </w:rPr>
        <w:t xml:space="preserve"> Brink, n’a pas examiné l’intimé, pa</w:t>
      </w:r>
      <w:r w:rsidRPr="00883823">
        <w:rPr>
          <w:lang w:val="fr-CA"/>
        </w:rPr>
        <w:t>s</w:t>
      </w:r>
      <w:r w:rsidRPr="00ED4BC0">
        <w:rPr>
          <w:lang w:val="fr-CA"/>
        </w:rPr>
        <w:t xml:space="preserve"> plus que l’expert de l’appelant, le D</w:t>
      </w:r>
      <w:r w:rsidRPr="00ED4BC0">
        <w:rPr>
          <w:vertAlign w:val="superscript"/>
          <w:lang w:val="fr-CA"/>
        </w:rPr>
        <w:t>r</w:t>
      </w:r>
      <w:r w:rsidRPr="00ED4BC0">
        <w:rPr>
          <w:lang w:val="fr-CA"/>
        </w:rPr>
        <w:t> Hanson. Le seul témoin qui a évalué l’intimé est son médecin traitant, qui n’avait aucune compétence spécialisée en matière d’évaluation médico</w:t>
      </w:r>
      <w:r>
        <w:rPr>
          <w:lang w:val="fr-CA"/>
        </w:rPr>
        <w:noBreakHyphen/>
      </w:r>
      <w:r w:rsidRPr="00ED4BC0">
        <w:rPr>
          <w:lang w:val="fr-CA"/>
        </w:rPr>
        <w:t xml:space="preserve">légale </w:t>
      </w:r>
      <w:r>
        <w:rPr>
          <w:lang w:val="fr-CA"/>
        </w:rPr>
        <w:t>et que les deux juridictions inférieures ont jugé peu fiable (mémoire du P.</w:t>
      </w:r>
      <w:r w:rsidRPr="00F14FBE">
        <w:rPr>
          <w:lang w:val="fr-CA"/>
        </w:rPr>
        <w:t>G</w:t>
      </w:r>
      <w:r>
        <w:rPr>
          <w:lang w:val="fr-CA"/>
        </w:rPr>
        <w:t>.</w:t>
      </w:r>
      <w:r w:rsidRPr="00F14FBE">
        <w:rPr>
          <w:lang w:val="fr-CA"/>
        </w:rPr>
        <w:t>O</w:t>
      </w:r>
      <w:r>
        <w:rPr>
          <w:lang w:val="fr-CA"/>
        </w:rPr>
        <w:t>.</w:t>
      </w:r>
      <w:r w:rsidRPr="00F14FBE">
        <w:rPr>
          <w:lang w:val="fr-CA"/>
        </w:rPr>
        <w:t xml:space="preserve">, </w:t>
      </w:r>
      <w:r>
        <w:rPr>
          <w:lang w:val="fr-CA"/>
        </w:rPr>
        <w:t>par. </w:t>
      </w:r>
      <w:r w:rsidRPr="00F14FBE">
        <w:rPr>
          <w:lang w:val="fr-CA"/>
        </w:rPr>
        <w:t xml:space="preserve">96; </w:t>
      </w:r>
      <w:r>
        <w:rPr>
          <w:lang w:val="fr-CA"/>
        </w:rPr>
        <w:t>motifs de la C.S., par. </w:t>
      </w:r>
      <w:r w:rsidRPr="00F14FBE">
        <w:rPr>
          <w:lang w:val="fr-CA"/>
        </w:rPr>
        <w:t>64</w:t>
      </w:r>
      <w:r>
        <w:rPr>
          <w:lang w:val="fr-CA"/>
        </w:rPr>
        <w:noBreakHyphen/>
      </w:r>
      <w:r w:rsidRPr="00F14FBE">
        <w:rPr>
          <w:lang w:val="fr-CA"/>
        </w:rPr>
        <w:t xml:space="preserve">68; </w:t>
      </w:r>
      <w:r>
        <w:rPr>
          <w:lang w:val="fr-CA"/>
        </w:rPr>
        <w:t xml:space="preserve">motifs de la </w:t>
      </w:r>
      <w:r w:rsidRPr="00F14FBE">
        <w:rPr>
          <w:lang w:val="fr-CA"/>
        </w:rPr>
        <w:t xml:space="preserve">C.A., </w:t>
      </w:r>
      <w:r>
        <w:rPr>
          <w:lang w:val="fr-CA"/>
        </w:rPr>
        <w:t>par. </w:t>
      </w:r>
      <w:r w:rsidRPr="00F14FBE">
        <w:rPr>
          <w:lang w:val="fr-CA"/>
        </w:rPr>
        <w:t>48</w:t>
      </w:r>
      <w:r>
        <w:rPr>
          <w:lang w:val="fr-CA"/>
        </w:rPr>
        <w:noBreakHyphen/>
      </w:r>
      <w:r w:rsidRPr="00F14FBE">
        <w:rPr>
          <w:lang w:val="fr-CA"/>
        </w:rPr>
        <w:t>49</w:t>
      </w:r>
      <w:r>
        <w:rPr>
          <w:lang w:val="fr-CA"/>
        </w:rPr>
        <w:t>)</w:t>
      </w:r>
      <w:r w:rsidRPr="00F14FBE">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EDFD" w14:textId="77777777" w:rsidR="004A6852" w:rsidRDefault="004A6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7680" w14:textId="77777777" w:rsidR="004A6852" w:rsidRPr="00450352" w:rsidRDefault="004A68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178B7" w14:textId="77777777" w:rsidR="004A6852" w:rsidRDefault="004A6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E494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48D7"/>
    <w:multiLevelType w:val="hybridMultilevel"/>
    <w:tmpl w:val="5CBE5466"/>
    <w:lvl w:ilvl="0" w:tplc="4B1828B4">
      <w:start w:val="1"/>
      <w:numFmt w:val="lowerLetter"/>
      <w:lvlText w:val="(%1)"/>
      <w:lvlJc w:val="left"/>
      <w:pPr>
        <w:ind w:left="3412" w:hanging="360"/>
      </w:pPr>
      <w:rPr>
        <w:rFonts w:hint="default"/>
      </w:rPr>
    </w:lvl>
    <w:lvl w:ilvl="1" w:tplc="4524E8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E0369E"/>
    <w:multiLevelType w:val="hybridMultilevel"/>
    <w:tmpl w:val="1B3A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81550"/>
    <w:multiLevelType w:val="multilevel"/>
    <w:tmpl w:val="BD90C44C"/>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5F5EDD"/>
    <w:multiLevelType w:val="hybridMultilevel"/>
    <w:tmpl w:val="E312CCE8"/>
    <w:lvl w:ilvl="0" w:tplc="7646C61E">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16AC4"/>
    <w:multiLevelType w:val="hybridMultilevel"/>
    <w:tmpl w:val="7B52937A"/>
    <w:lvl w:ilvl="0" w:tplc="5156C830">
      <w:start w:val="1"/>
      <w:numFmt w:val="lowerRoman"/>
      <w:pStyle w:val="Heading3"/>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AFB669E"/>
    <w:multiLevelType w:val="hybridMultilevel"/>
    <w:tmpl w:val="1F2A0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03130A"/>
    <w:multiLevelType w:val="multilevel"/>
    <w:tmpl w:val="93E2D7B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590F2D"/>
    <w:multiLevelType w:val="hybridMultilevel"/>
    <w:tmpl w:val="D7B0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83EE8"/>
    <w:multiLevelType w:val="multilevel"/>
    <w:tmpl w:val="CF3CD2E4"/>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F619AE"/>
    <w:multiLevelType w:val="hybridMultilevel"/>
    <w:tmpl w:val="D52A6B82"/>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15" w15:restartNumberingAfterBreak="0">
    <w:nsid w:val="56CF1D5D"/>
    <w:multiLevelType w:val="multilevel"/>
    <w:tmpl w:val="520AB9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C0718"/>
    <w:multiLevelType w:val="multilevel"/>
    <w:tmpl w:val="9E3872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464F70"/>
    <w:multiLevelType w:val="hybridMultilevel"/>
    <w:tmpl w:val="1C0C5C88"/>
    <w:lvl w:ilvl="0" w:tplc="4B1828B4">
      <w:start w:val="1"/>
      <w:numFmt w:val="lowerLetter"/>
      <w:lvlText w:val="(%1)"/>
      <w:lvlJc w:val="left"/>
      <w:pPr>
        <w:ind w:left="3412" w:hanging="360"/>
      </w:pPr>
      <w:rPr>
        <w:rFonts w:hint="default"/>
      </w:rPr>
    </w:lvl>
    <w:lvl w:ilvl="1" w:tplc="22E88B02">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84CE8"/>
    <w:multiLevelType w:val="hybridMultilevel"/>
    <w:tmpl w:val="6008962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9" w15:restartNumberingAfterBreak="0">
    <w:nsid w:val="63A5062C"/>
    <w:multiLevelType w:val="hybridMultilevel"/>
    <w:tmpl w:val="B62E9226"/>
    <w:lvl w:ilvl="0" w:tplc="55924B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4A4854"/>
    <w:multiLevelType w:val="hybridMultilevel"/>
    <w:tmpl w:val="53B60012"/>
    <w:lvl w:ilvl="0" w:tplc="31F8676A">
      <w:start w:val="1"/>
      <w:numFmt w:val="upperRoman"/>
      <w:lvlText w:val="%1."/>
      <w:lvlJc w:val="left"/>
      <w:pPr>
        <w:ind w:left="1080" w:hanging="720"/>
      </w:pPr>
      <w:rPr>
        <w:rFonts w:hint="default"/>
        <w:b/>
        <w:i w:val="0"/>
      </w:rPr>
    </w:lvl>
    <w:lvl w:ilvl="1" w:tplc="8654C1DE">
      <w:start w:val="1"/>
      <w:numFmt w:val="lowerLetter"/>
      <w:lvlText w:val="%2."/>
      <w:lvlJc w:val="left"/>
      <w:pPr>
        <w:ind w:left="1440" w:hanging="360"/>
      </w:pPr>
      <w:rPr>
        <w:b/>
      </w:rPr>
    </w:lvl>
    <w:lvl w:ilvl="2" w:tplc="EBF6CC58">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61987"/>
    <w:multiLevelType w:val="hybridMultilevel"/>
    <w:tmpl w:val="04602370"/>
    <w:lvl w:ilvl="0" w:tplc="07D24F2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EA3550"/>
    <w:multiLevelType w:val="hybridMultilevel"/>
    <w:tmpl w:val="15666F6C"/>
    <w:lvl w:ilvl="0" w:tplc="04090015">
      <w:start w:val="1"/>
      <w:numFmt w:val="upp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13"/>
  </w:num>
  <w:num w:numId="2">
    <w:abstractNumId w:val="20"/>
  </w:num>
  <w:num w:numId="3">
    <w:abstractNumId w:val="3"/>
  </w:num>
  <w:num w:numId="4">
    <w:abstractNumId w:val="2"/>
  </w:num>
  <w:num w:numId="5">
    <w:abstractNumId w:val="10"/>
  </w:num>
  <w:num w:numId="6">
    <w:abstractNumId w:val="11"/>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1"/>
  </w:num>
  <w:num w:numId="10">
    <w:abstractNumId w:val="23"/>
  </w:num>
  <w:num w:numId="11">
    <w:abstractNumId w:val="7"/>
  </w:num>
  <w:num w:numId="12">
    <w:abstractNumId w:val="4"/>
  </w:num>
  <w:num w:numId="13">
    <w:abstractNumId w:val="1"/>
  </w:num>
  <w:num w:numId="14">
    <w:abstractNumId w:val="18"/>
  </w:num>
  <w:num w:numId="15">
    <w:abstractNumId w:val="22"/>
  </w:num>
  <w:num w:numId="16">
    <w:abstractNumId w:val="22"/>
    <w:lvlOverride w:ilvl="0">
      <w:startOverride w:val="1"/>
    </w:lvlOverride>
  </w:num>
  <w:num w:numId="17">
    <w:abstractNumId w:val="6"/>
  </w:num>
  <w:num w:numId="18">
    <w:abstractNumId w:val="15"/>
  </w:num>
  <w:num w:numId="19">
    <w:abstractNumId w:val="16"/>
  </w:num>
  <w:num w:numId="20">
    <w:abstractNumId w:val="17"/>
  </w:num>
  <w:num w:numId="21">
    <w:abstractNumId w:val="5"/>
  </w:num>
  <w:num w:numId="22">
    <w:abstractNumId w:val="14"/>
  </w:num>
  <w:num w:numId="23">
    <w:abstractNumId w:val="8"/>
  </w:num>
  <w:num w:numId="24">
    <w:abstractNumId w:val="1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0"/>
  </w:num>
  <w:num w:numId="28">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5ED"/>
    <w:rsid w:val="00002B4D"/>
    <w:rsid w:val="0001164F"/>
    <w:rsid w:val="00023FC7"/>
    <w:rsid w:val="00025198"/>
    <w:rsid w:val="0003043D"/>
    <w:rsid w:val="00035910"/>
    <w:rsid w:val="0004445A"/>
    <w:rsid w:val="00055924"/>
    <w:rsid w:val="00056E53"/>
    <w:rsid w:val="000578A3"/>
    <w:rsid w:val="0006341A"/>
    <w:rsid w:val="000648CC"/>
    <w:rsid w:val="00064AE0"/>
    <w:rsid w:val="00064DB3"/>
    <w:rsid w:val="00070E54"/>
    <w:rsid w:val="00084023"/>
    <w:rsid w:val="000A114A"/>
    <w:rsid w:val="000A64E3"/>
    <w:rsid w:val="000B37DF"/>
    <w:rsid w:val="000C2FB1"/>
    <w:rsid w:val="000C59B8"/>
    <w:rsid w:val="000C6AF0"/>
    <w:rsid w:val="000D0783"/>
    <w:rsid w:val="000D0A77"/>
    <w:rsid w:val="000D0DFF"/>
    <w:rsid w:val="000E38CB"/>
    <w:rsid w:val="000F06D0"/>
    <w:rsid w:val="000F0F90"/>
    <w:rsid w:val="000F7993"/>
    <w:rsid w:val="00104F33"/>
    <w:rsid w:val="001062E3"/>
    <w:rsid w:val="00111DE2"/>
    <w:rsid w:val="00116B38"/>
    <w:rsid w:val="00135406"/>
    <w:rsid w:val="00135972"/>
    <w:rsid w:val="00137AE7"/>
    <w:rsid w:val="001426A9"/>
    <w:rsid w:val="00143D5E"/>
    <w:rsid w:val="00154D7C"/>
    <w:rsid w:val="001566D5"/>
    <w:rsid w:val="001570B0"/>
    <w:rsid w:val="001573AF"/>
    <w:rsid w:val="0015752C"/>
    <w:rsid w:val="00157737"/>
    <w:rsid w:val="00165277"/>
    <w:rsid w:val="00170592"/>
    <w:rsid w:val="001720F7"/>
    <w:rsid w:val="00180212"/>
    <w:rsid w:val="00195D83"/>
    <w:rsid w:val="001A00C1"/>
    <w:rsid w:val="001A2DE0"/>
    <w:rsid w:val="001A4F48"/>
    <w:rsid w:val="001A6A5F"/>
    <w:rsid w:val="001B12DD"/>
    <w:rsid w:val="001B33E0"/>
    <w:rsid w:val="001B3B6D"/>
    <w:rsid w:val="001B4573"/>
    <w:rsid w:val="001C0B54"/>
    <w:rsid w:val="001C779F"/>
    <w:rsid w:val="001D02DB"/>
    <w:rsid w:val="001D13A0"/>
    <w:rsid w:val="001D2AC1"/>
    <w:rsid w:val="001D4E88"/>
    <w:rsid w:val="001E023E"/>
    <w:rsid w:val="001F2A00"/>
    <w:rsid w:val="002055F2"/>
    <w:rsid w:val="00210D97"/>
    <w:rsid w:val="00212F7D"/>
    <w:rsid w:val="00220FC2"/>
    <w:rsid w:val="002218CD"/>
    <w:rsid w:val="002222F4"/>
    <w:rsid w:val="00224FC0"/>
    <w:rsid w:val="00225EA4"/>
    <w:rsid w:val="00226EAF"/>
    <w:rsid w:val="00227FF3"/>
    <w:rsid w:val="00231F3A"/>
    <w:rsid w:val="002406EE"/>
    <w:rsid w:val="0024104A"/>
    <w:rsid w:val="00243EC8"/>
    <w:rsid w:val="0025412A"/>
    <w:rsid w:val="0025669C"/>
    <w:rsid w:val="002659D6"/>
    <w:rsid w:val="0026623B"/>
    <w:rsid w:val="0027028E"/>
    <w:rsid w:val="00270D93"/>
    <w:rsid w:val="002745CC"/>
    <w:rsid w:val="00276387"/>
    <w:rsid w:val="00282441"/>
    <w:rsid w:val="00285D84"/>
    <w:rsid w:val="002903A0"/>
    <w:rsid w:val="00294B0F"/>
    <w:rsid w:val="002972B9"/>
    <w:rsid w:val="002A4865"/>
    <w:rsid w:val="002B05FF"/>
    <w:rsid w:val="002B1CCB"/>
    <w:rsid w:val="002B6FBE"/>
    <w:rsid w:val="002B7924"/>
    <w:rsid w:val="002C10A6"/>
    <w:rsid w:val="002D14BA"/>
    <w:rsid w:val="002D28C3"/>
    <w:rsid w:val="002D39A4"/>
    <w:rsid w:val="002D69E5"/>
    <w:rsid w:val="002E6705"/>
    <w:rsid w:val="002E72C6"/>
    <w:rsid w:val="0030329A"/>
    <w:rsid w:val="00304249"/>
    <w:rsid w:val="0031086F"/>
    <w:rsid w:val="0031414C"/>
    <w:rsid w:val="00314E01"/>
    <w:rsid w:val="003163CF"/>
    <w:rsid w:val="0032089D"/>
    <w:rsid w:val="003208E1"/>
    <w:rsid w:val="003310DE"/>
    <w:rsid w:val="003323B0"/>
    <w:rsid w:val="00340A49"/>
    <w:rsid w:val="003447BD"/>
    <w:rsid w:val="00344D63"/>
    <w:rsid w:val="0035169A"/>
    <w:rsid w:val="0035259D"/>
    <w:rsid w:val="00352ED5"/>
    <w:rsid w:val="00364B18"/>
    <w:rsid w:val="003668DD"/>
    <w:rsid w:val="00367FE7"/>
    <w:rsid w:val="00382550"/>
    <w:rsid w:val="003A125D"/>
    <w:rsid w:val="003A2AC2"/>
    <w:rsid w:val="003A4C70"/>
    <w:rsid w:val="003B215F"/>
    <w:rsid w:val="003C360F"/>
    <w:rsid w:val="003C6276"/>
    <w:rsid w:val="003C799C"/>
    <w:rsid w:val="003D0399"/>
    <w:rsid w:val="003D30FC"/>
    <w:rsid w:val="003E1C71"/>
    <w:rsid w:val="003F327B"/>
    <w:rsid w:val="003F52A1"/>
    <w:rsid w:val="003F7AF8"/>
    <w:rsid w:val="00406166"/>
    <w:rsid w:val="0040704B"/>
    <w:rsid w:val="00410A55"/>
    <w:rsid w:val="00411300"/>
    <w:rsid w:val="00413F17"/>
    <w:rsid w:val="00415417"/>
    <w:rsid w:val="00426659"/>
    <w:rsid w:val="00450352"/>
    <w:rsid w:val="00454BDB"/>
    <w:rsid w:val="00460597"/>
    <w:rsid w:val="00465132"/>
    <w:rsid w:val="00475DB0"/>
    <w:rsid w:val="00480C90"/>
    <w:rsid w:val="00481865"/>
    <w:rsid w:val="0048396F"/>
    <w:rsid w:val="00483B71"/>
    <w:rsid w:val="00490D02"/>
    <w:rsid w:val="00493C18"/>
    <w:rsid w:val="004A600C"/>
    <w:rsid w:val="004A6118"/>
    <w:rsid w:val="004A6852"/>
    <w:rsid w:val="004A7655"/>
    <w:rsid w:val="004B4D0B"/>
    <w:rsid w:val="004C478D"/>
    <w:rsid w:val="004D4DC5"/>
    <w:rsid w:val="004D7D95"/>
    <w:rsid w:val="004E2C26"/>
    <w:rsid w:val="004E7BF9"/>
    <w:rsid w:val="004F5452"/>
    <w:rsid w:val="005125A8"/>
    <w:rsid w:val="00517549"/>
    <w:rsid w:val="00520ABC"/>
    <w:rsid w:val="00521AE8"/>
    <w:rsid w:val="00521ED2"/>
    <w:rsid w:val="00527180"/>
    <w:rsid w:val="00536DF3"/>
    <w:rsid w:val="00536F97"/>
    <w:rsid w:val="00543CEF"/>
    <w:rsid w:val="005442C1"/>
    <w:rsid w:val="00545DD8"/>
    <w:rsid w:val="00552BC7"/>
    <w:rsid w:val="00553154"/>
    <w:rsid w:val="00555291"/>
    <w:rsid w:val="005603C9"/>
    <w:rsid w:val="00562FB9"/>
    <w:rsid w:val="0056596C"/>
    <w:rsid w:val="00566AD1"/>
    <w:rsid w:val="005720E5"/>
    <w:rsid w:val="0058269F"/>
    <w:rsid w:val="00583EDE"/>
    <w:rsid w:val="005A6079"/>
    <w:rsid w:val="005B0DF7"/>
    <w:rsid w:val="005B1195"/>
    <w:rsid w:val="005B7DAA"/>
    <w:rsid w:val="005D68E9"/>
    <w:rsid w:val="005E4698"/>
    <w:rsid w:val="005F0BAE"/>
    <w:rsid w:val="005F7726"/>
    <w:rsid w:val="00603924"/>
    <w:rsid w:val="00610539"/>
    <w:rsid w:val="0061117A"/>
    <w:rsid w:val="00613969"/>
    <w:rsid w:val="006149C3"/>
    <w:rsid w:val="00622AC6"/>
    <w:rsid w:val="00625C35"/>
    <w:rsid w:val="006357D7"/>
    <w:rsid w:val="00636BD1"/>
    <w:rsid w:val="00645EFC"/>
    <w:rsid w:val="00647E49"/>
    <w:rsid w:val="00653A1F"/>
    <w:rsid w:val="00656313"/>
    <w:rsid w:val="006565F4"/>
    <w:rsid w:val="00662FB7"/>
    <w:rsid w:val="00671D9D"/>
    <w:rsid w:val="006764E7"/>
    <w:rsid w:val="0068033A"/>
    <w:rsid w:val="00684EEA"/>
    <w:rsid w:val="0069689B"/>
    <w:rsid w:val="006A2D3E"/>
    <w:rsid w:val="006A715C"/>
    <w:rsid w:val="006A7A91"/>
    <w:rsid w:val="006A7C81"/>
    <w:rsid w:val="006B5FF5"/>
    <w:rsid w:val="006C3944"/>
    <w:rsid w:val="006C3E0B"/>
    <w:rsid w:val="006C54E5"/>
    <w:rsid w:val="006D2567"/>
    <w:rsid w:val="006E6769"/>
    <w:rsid w:val="006E714E"/>
    <w:rsid w:val="006F30AF"/>
    <w:rsid w:val="00701759"/>
    <w:rsid w:val="00705C15"/>
    <w:rsid w:val="007110F6"/>
    <w:rsid w:val="007208D1"/>
    <w:rsid w:val="00733EDD"/>
    <w:rsid w:val="00744518"/>
    <w:rsid w:val="00747288"/>
    <w:rsid w:val="00747DD3"/>
    <w:rsid w:val="007522B5"/>
    <w:rsid w:val="007549C8"/>
    <w:rsid w:val="00766D14"/>
    <w:rsid w:val="007673C5"/>
    <w:rsid w:val="00767A0F"/>
    <w:rsid w:val="00773604"/>
    <w:rsid w:val="00773E54"/>
    <w:rsid w:val="0077594C"/>
    <w:rsid w:val="00783FAD"/>
    <w:rsid w:val="00791272"/>
    <w:rsid w:val="00794A66"/>
    <w:rsid w:val="007A05F6"/>
    <w:rsid w:val="007B4C21"/>
    <w:rsid w:val="007B6555"/>
    <w:rsid w:val="007B6F4A"/>
    <w:rsid w:val="007D4FBB"/>
    <w:rsid w:val="007D76F6"/>
    <w:rsid w:val="007E1C47"/>
    <w:rsid w:val="007E337A"/>
    <w:rsid w:val="007E5C70"/>
    <w:rsid w:val="007F1396"/>
    <w:rsid w:val="007F2FF5"/>
    <w:rsid w:val="007F3F08"/>
    <w:rsid w:val="007F602D"/>
    <w:rsid w:val="00800B34"/>
    <w:rsid w:val="00801779"/>
    <w:rsid w:val="00804CC6"/>
    <w:rsid w:val="00817190"/>
    <w:rsid w:val="008260E2"/>
    <w:rsid w:val="008322BD"/>
    <w:rsid w:val="00833E80"/>
    <w:rsid w:val="00834F73"/>
    <w:rsid w:val="00840783"/>
    <w:rsid w:val="0084577E"/>
    <w:rsid w:val="0085017C"/>
    <w:rsid w:val="00864C8A"/>
    <w:rsid w:val="00864CF8"/>
    <w:rsid w:val="0087033A"/>
    <w:rsid w:val="00874914"/>
    <w:rsid w:val="00881FD0"/>
    <w:rsid w:val="00891422"/>
    <w:rsid w:val="00892E1A"/>
    <w:rsid w:val="008A3281"/>
    <w:rsid w:val="008A38E0"/>
    <w:rsid w:val="008A3B54"/>
    <w:rsid w:val="008A7C16"/>
    <w:rsid w:val="008B660A"/>
    <w:rsid w:val="008C01DA"/>
    <w:rsid w:val="008D5B16"/>
    <w:rsid w:val="008E0D78"/>
    <w:rsid w:val="008E591E"/>
    <w:rsid w:val="008F2674"/>
    <w:rsid w:val="008F78E9"/>
    <w:rsid w:val="00906E20"/>
    <w:rsid w:val="00911223"/>
    <w:rsid w:val="00911DAA"/>
    <w:rsid w:val="0091242E"/>
    <w:rsid w:val="009179F9"/>
    <w:rsid w:val="00917C7A"/>
    <w:rsid w:val="00931E55"/>
    <w:rsid w:val="00933E5E"/>
    <w:rsid w:val="00935218"/>
    <w:rsid w:val="00937C52"/>
    <w:rsid w:val="009403F3"/>
    <w:rsid w:val="00946E42"/>
    <w:rsid w:val="009528C0"/>
    <w:rsid w:val="00953023"/>
    <w:rsid w:val="009555B7"/>
    <w:rsid w:val="009567AA"/>
    <w:rsid w:val="009602C9"/>
    <w:rsid w:val="00967374"/>
    <w:rsid w:val="0097746B"/>
    <w:rsid w:val="009819D2"/>
    <w:rsid w:val="00992A4D"/>
    <w:rsid w:val="009A0CEF"/>
    <w:rsid w:val="009A343A"/>
    <w:rsid w:val="009B2F23"/>
    <w:rsid w:val="009B57B3"/>
    <w:rsid w:val="009D0771"/>
    <w:rsid w:val="009D260F"/>
    <w:rsid w:val="009D2920"/>
    <w:rsid w:val="009D5AEB"/>
    <w:rsid w:val="009F0E33"/>
    <w:rsid w:val="00A03F53"/>
    <w:rsid w:val="00A11ACE"/>
    <w:rsid w:val="00A126A7"/>
    <w:rsid w:val="00A149DF"/>
    <w:rsid w:val="00A1755C"/>
    <w:rsid w:val="00A21B90"/>
    <w:rsid w:val="00A21D7D"/>
    <w:rsid w:val="00A22985"/>
    <w:rsid w:val="00A22AAC"/>
    <w:rsid w:val="00A22DD0"/>
    <w:rsid w:val="00A3657D"/>
    <w:rsid w:val="00A41805"/>
    <w:rsid w:val="00A43541"/>
    <w:rsid w:val="00A51882"/>
    <w:rsid w:val="00A52AFB"/>
    <w:rsid w:val="00A548CB"/>
    <w:rsid w:val="00A551AF"/>
    <w:rsid w:val="00A5521C"/>
    <w:rsid w:val="00A575B7"/>
    <w:rsid w:val="00A6293B"/>
    <w:rsid w:val="00A63310"/>
    <w:rsid w:val="00A643E7"/>
    <w:rsid w:val="00A717D3"/>
    <w:rsid w:val="00A734F4"/>
    <w:rsid w:val="00A73C38"/>
    <w:rsid w:val="00A772F6"/>
    <w:rsid w:val="00A872F9"/>
    <w:rsid w:val="00A921A7"/>
    <w:rsid w:val="00A96B38"/>
    <w:rsid w:val="00AA60CD"/>
    <w:rsid w:val="00AB03F2"/>
    <w:rsid w:val="00AB50D8"/>
    <w:rsid w:val="00AB5444"/>
    <w:rsid w:val="00AB670D"/>
    <w:rsid w:val="00AC3837"/>
    <w:rsid w:val="00AC6172"/>
    <w:rsid w:val="00AE3EBF"/>
    <w:rsid w:val="00AE756F"/>
    <w:rsid w:val="00AF03C5"/>
    <w:rsid w:val="00AF2346"/>
    <w:rsid w:val="00B000D8"/>
    <w:rsid w:val="00B00F75"/>
    <w:rsid w:val="00B038EB"/>
    <w:rsid w:val="00B122CF"/>
    <w:rsid w:val="00B145B6"/>
    <w:rsid w:val="00B2500E"/>
    <w:rsid w:val="00B279EB"/>
    <w:rsid w:val="00B3115C"/>
    <w:rsid w:val="00B379EE"/>
    <w:rsid w:val="00B50C81"/>
    <w:rsid w:val="00B557F8"/>
    <w:rsid w:val="00B57E74"/>
    <w:rsid w:val="00B6647D"/>
    <w:rsid w:val="00B672AD"/>
    <w:rsid w:val="00B76EBA"/>
    <w:rsid w:val="00B815FC"/>
    <w:rsid w:val="00B93FBC"/>
    <w:rsid w:val="00B9612F"/>
    <w:rsid w:val="00BA7DA0"/>
    <w:rsid w:val="00BB1833"/>
    <w:rsid w:val="00BB2EE4"/>
    <w:rsid w:val="00BB4C92"/>
    <w:rsid w:val="00BB546D"/>
    <w:rsid w:val="00BB6C13"/>
    <w:rsid w:val="00BC0C1A"/>
    <w:rsid w:val="00BC2108"/>
    <w:rsid w:val="00BC254B"/>
    <w:rsid w:val="00BC3322"/>
    <w:rsid w:val="00BD0E9E"/>
    <w:rsid w:val="00BD1413"/>
    <w:rsid w:val="00BD1BEC"/>
    <w:rsid w:val="00BD2767"/>
    <w:rsid w:val="00BD2D7E"/>
    <w:rsid w:val="00BD32FF"/>
    <w:rsid w:val="00BD64F3"/>
    <w:rsid w:val="00BF6FE9"/>
    <w:rsid w:val="00C02092"/>
    <w:rsid w:val="00C15213"/>
    <w:rsid w:val="00C24D91"/>
    <w:rsid w:val="00C26DB2"/>
    <w:rsid w:val="00C270E9"/>
    <w:rsid w:val="00C326E1"/>
    <w:rsid w:val="00C44BEC"/>
    <w:rsid w:val="00C51321"/>
    <w:rsid w:val="00C53F14"/>
    <w:rsid w:val="00C55690"/>
    <w:rsid w:val="00C600CF"/>
    <w:rsid w:val="00C6084F"/>
    <w:rsid w:val="00C6272E"/>
    <w:rsid w:val="00C62A66"/>
    <w:rsid w:val="00C66359"/>
    <w:rsid w:val="00C66B69"/>
    <w:rsid w:val="00C71458"/>
    <w:rsid w:val="00C73452"/>
    <w:rsid w:val="00C77613"/>
    <w:rsid w:val="00C82331"/>
    <w:rsid w:val="00C828E7"/>
    <w:rsid w:val="00C86719"/>
    <w:rsid w:val="00C921DD"/>
    <w:rsid w:val="00CA0A34"/>
    <w:rsid w:val="00CA42FF"/>
    <w:rsid w:val="00CA6391"/>
    <w:rsid w:val="00CC45D7"/>
    <w:rsid w:val="00CD08F2"/>
    <w:rsid w:val="00CD3CF2"/>
    <w:rsid w:val="00CE036E"/>
    <w:rsid w:val="00CE3171"/>
    <w:rsid w:val="00CE443F"/>
    <w:rsid w:val="00CF1601"/>
    <w:rsid w:val="00CF535E"/>
    <w:rsid w:val="00CF69D0"/>
    <w:rsid w:val="00D008CA"/>
    <w:rsid w:val="00D0172F"/>
    <w:rsid w:val="00D01E33"/>
    <w:rsid w:val="00D068A7"/>
    <w:rsid w:val="00D10EDE"/>
    <w:rsid w:val="00D1661B"/>
    <w:rsid w:val="00D17476"/>
    <w:rsid w:val="00D17B0E"/>
    <w:rsid w:val="00D32086"/>
    <w:rsid w:val="00D3579A"/>
    <w:rsid w:val="00D37A3F"/>
    <w:rsid w:val="00D4431D"/>
    <w:rsid w:val="00D4667A"/>
    <w:rsid w:val="00D50D9B"/>
    <w:rsid w:val="00D55BE2"/>
    <w:rsid w:val="00D6222C"/>
    <w:rsid w:val="00D63A1C"/>
    <w:rsid w:val="00D65F4A"/>
    <w:rsid w:val="00D66C86"/>
    <w:rsid w:val="00D7516F"/>
    <w:rsid w:val="00D80E1C"/>
    <w:rsid w:val="00D814C6"/>
    <w:rsid w:val="00D9182D"/>
    <w:rsid w:val="00D93D18"/>
    <w:rsid w:val="00D95F8E"/>
    <w:rsid w:val="00DA0590"/>
    <w:rsid w:val="00DB0834"/>
    <w:rsid w:val="00DB5E2B"/>
    <w:rsid w:val="00DC1739"/>
    <w:rsid w:val="00DC1788"/>
    <w:rsid w:val="00DC17F4"/>
    <w:rsid w:val="00DD5FD3"/>
    <w:rsid w:val="00DE319C"/>
    <w:rsid w:val="00DF0CA8"/>
    <w:rsid w:val="00DF13A5"/>
    <w:rsid w:val="00DF2B48"/>
    <w:rsid w:val="00DF49A7"/>
    <w:rsid w:val="00E00049"/>
    <w:rsid w:val="00E07EE2"/>
    <w:rsid w:val="00E07FD1"/>
    <w:rsid w:val="00E155A5"/>
    <w:rsid w:val="00E24573"/>
    <w:rsid w:val="00E25CF6"/>
    <w:rsid w:val="00E25E1E"/>
    <w:rsid w:val="00E27EE7"/>
    <w:rsid w:val="00E3205F"/>
    <w:rsid w:val="00E35404"/>
    <w:rsid w:val="00E45109"/>
    <w:rsid w:val="00E4636E"/>
    <w:rsid w:val="00E47B7A"/>
    <w:rsid w:val="00E524D5"/>
    <w:rsid w:val="00E56A44"/>
    <w:rsid w:val="00E60269"/>
    <w:rsid w:val="00E64CE8"/>
    <w:rsid w:val="00E70AD1"/>
    <w:rsid w:val="00E72B69"/>
    <w:rsid w:val="00E74B44"/>
    <w:rsid w:val="00E76FE8"/>
    <w:rsid w:val="00E772CC"/>
    <w:rsid w:val="00E8181E"/>
    <w:rsid w:val="00E8528C"/>
    <w:rsid w:val="00E90CF9"/>
    <w:rsid w:val="00E92CE7"/>
    <w:rsid w:val="00E93E51"/>
    <w:rsid w:val="00E94BB4"/>
    <w:rsid w:val="00E96209"/>
    <w:rsid w:val="00E97830"/>
    <w:rsid w:val="00EC0044"/>
    <w:rsid w:val="00EE065C"/>
    <w:rsid w:val="00EE0830"/>
    <w:rsid w:val="00EE6CB8"/>
    <w:rsid w:val="00EF0683"/>
    <w:rsid w:val="00EF4950"/>
    <w:rsid w:val="00EF7AD5"/>
    <w:rsid w:val="00F0070C"/>
    <w:rsid w:val="00F00EB7"/>
    <w:rsid w:val="00F06CEB"/>
    <w:rsid w:val="00F10369"/>
    <w:rsid w:val="00F220F1"/>
    <w:rsid w:val="00F25D5D"/>
    <w:rsid w:val="00F31CE7"/>
    <w:rsid w:val="00F33F67"/>
    <w:rsid w:val="00F36AB6"/>
    <w:rsid w:val="00F37A09"/>
    <w:rsid w:val="00F409CE"/>
    <w:rsid w:val="00F4379D"/>
    <w:rsid w:val="00F44A9A"/>
    <w:rsid w:val="00F47DF4"/>
    <w:rsid w:val="00F50D2D"/>
    <w:rsid w:val="00F56C8B"/>
    <w:rsid w:val="00F62639"/>
    <w:rsid w:val="00F66810"/>
    <w:rsid w:val="00F712C6"/>
    <w:rsid w:val="00F80608"/>
    <w:rsid w:val="00F843EB"/>
    <w:rsid w:val="00F84DF4"/>
    <w:rsid w:val="00F84E0B"/>
    <w:rsid w:val="00F85C97"/>
    <w:rsid w:val="00F96193"/>
    <w:rsid w:val="00FA5210"/>
    <w:rsid w:val="00FA6176"/>
    <w:rsid w:val="00FB2351"/>
    <w:rsid w:val="00FB37D2"/>
    <w:rsid w:val="00FC4D00"/>
    <w:rsid w:val="00FC4EFB"/>
    <w:rsid w:val="00FC56DC"/>
    <w:rsid w:val="00FC6F2A"/>
    <w:rsid w:val="00FD068D"/>
    <w:rsid w:val="00FD4F28"/>
    <w:rsid w:val="00FD5663"/>
    <w:rsid w:val="00FE6784"/>
    <w:rsid w:val="00FE7A8B"/>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rules v:ext="edit">
        <o:r id="V:Rule1" type="connector" idref="#AutoShape 2"/>
        <o:r id="V:Rule2" type="connector" idref="#AutoShape 2"/>
      </o:rules>
    </o:shapelayout>
  </w:shapeDefaults>
  <w:decimalSymbol w:val="."/>
  <w:listSeparator w:val=","/>
  <w14:docId w14:val="37C0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C1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12C6"/>
    <w:pPr>
      <w:keepNext/>
      <w:keepLines/>
      <w:numPr>
        <w:numId w:val="11"/>
      </w:numPr>
      <w:spacing w:after="120"/>
      <w:ind w:left="1800"/>
      <w:jc w:val="both"/>
      <w:outlineLvl w:val="2"/>
    </w:pPr>
    <w:rPr>
      <w:rFonts w:eastAsiaTheme="majorEastAsia" w:cstheme="majorBidi"/>
      <w:b/>
      <w:i/>
      <w:szCs w:val="24"/>
      <w:lang w:val="en-US" w:eastAsia="en-US"/>
    </w:rPr>
  </w:style>
  <w:style w:type="paragraph" w:styleId="Heading4">
    <w:name w:val="heading 4"/>
    <w:basedOn w:val="Normal"/>
    <w:next w:val="Normal"/>
    <w:link w:val="Heading4Char"/>
    <w:uiPriority w:val="9"/>
    <w:semiHidden/>
    <w:unhideWhenUsed/>
    <w:qFormat/>
    <w:rsid w:val="00F712C6"/>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0F0F90"/>
    <w:rPr>
      <w:color w:val="0000FF" w:themeColor="hyperlink"/>
      <w:u w:val="single"/>
    </w:rPr>
  </w:style>
  <w:style w:type="character" w:customStyle="1" w:styleId="solexhl">
    <w:name w:val="solexhl"/>
    <w:basedOn w:val="DefaultParagraphFont"/>
    <w:rsid w:val="00536F97"/>
  </w:style>
  <w:style w:type="character" w:styleId="CommentReference">
    <w:name w:val="annotation reference"/>
    <w:basedOn w:val="DefaultParagraphFont"/>
    <w:uiPriority w:val="99"/>
    <w:semiHidden/>
    <w:unhideWhenUsed/>
    <w:rsid w:val="0001164F"/>
    <w:rPr>
      <w:sz w:val="16"/>
      <w:szCs w:val="16"/>
    </w:rPr>
  </w:style>
  <w:style w:type="paragraph" w:styleId="CommentText">
    <w:name w:val="annotation text"/>
    <w:basedOn w:val="Normal"/>
    <w:link w:val="CommentTextChar"/>
    <w:uiPriority w:val="99"/>
    <w:unhideWhenUsed/>
    <w:rsid w:val="0001164F"/>
    <w:rPr>
      <w:sz w:val="20"/>
    </w:rPr>
  </w:style>
  <w:style w:type="character" w:customStyle="1" w:styleId="CommentTextChar">
    <w:name w:val="Comment Text Char"/>
    <w:basedOn w:val="DefaultParagraphFont"/>
    <w:link w:val="CommentText"/>
    <w:uiPriority w:val="99"/>
    <w:rsid w:val="0001164F"/>
  </w:style>
  <w:style w:type="paragraph" w:styleId="CommentSubject">
    <w:name w:val="annotation subject"/>
    <w:basedOn w:val="CommentText"/>
    <w:next w:val="CommentText"/>
    <w:link w:val="CommentSubjectChar"/>
    <w:uiPriority w:val="99"/>
    <w:semiHidden/>
    <w:unhideWhenUsed/>
    <w:rsid w:val="0001164F"/>
    <w:rPr>
      <w:b/>
      <w:bCs/>
    </w:rPr>
  </w:style>
  <w:style w:type="character" w:customStyle="1" w:styleId="CommentSubjectChar">
    <w:name w:val="Comment Subject Char"/>
    <w:basedOn w:val="CommentTextChar"/>
    <w:link w:val="CommentSubject"/>
    <w:uiPriority w:val="99"/>
    <w:semiHidden/>
    <w:rsid w:val="0001164F"/>
    <w:rPr>
      <w:b/>
      <w:bCs/>
    </w:rPr>
  </w:style>
  <w:style w:type="character" w:styleId="FollowedHyperlink">
    <w:name w:val="FollowedHyperlink"/>
    <w:basedOn w:val="DefaultParagraphFont"/>
    <w:uiPriority w:val="99"/>
    <w:semiHidden/>
    <w:unhideWhenUsed/>
    <w:rsid w:val="006A2D3E"/>
    <w:rPr>
      <w:color w:val="800080" w:themeColor="followedHyperlink"/>
      <w:u w:val="single"/>
    </w:rPr>
  </w:style>
  <w:style w:type="paragraph" w:styleId="Revision">
    <w:name w:val="Revision"/>
    <w:hidden/>
    <w:uiPriority w:val="99"/>
    <w:semiHidden/>
    <w:rsid w:val="006A2D3E"/>
    <w:rPr>
      <w:sz w:val="24"/>
    </w:rPr>
  </w:style>
  <w:style w:type="paragraph" w:customStyle="1" w:styleId="ParaNoNdepar-AltN">
    <w:name w:val="Para. No. / Nº de par. - Alt N"/>
    <w:qFormat/>
    <w:rsid w:val="006A2D3E"/>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F712C6"/>
    <w:rPr>
      <w:rFonts w:eastAsiaTheme="majorEastAsia" w:cstheme="majorBidi"/>
      <w:b/>
      <w:i/>
      <w:sz w:val="24"/>
      <w:szCs w:val="24"/>
      <w:lang w:val="en-US" w:eastAsia="en-US"/>
    </w:rPr>
  </w:style>
  <w:style w:type="character" w:customStyle="1" w:styleId="Heading4Char">
    <w:name w:val="Heading 4 Char"/>
    <w:basedOn w:val="DefaultParagraphFont"/>
    <w:link w:val="Heading4"/>
    <w:uiPriority w:val="9"/>
    <w:semiHidden/>
    <w:rsid w:val="00F712C6"/>
    <w:rPr>
      <w:rFonts w:asciiTheme="majorHAnsi" w:eastAsiaTheme="majorEastAsia" w:hAnsiTheme="majorHAnsi" w:cstheme="majorBidi"/>
      <w:i/>
      <w:iCs/>
      <w:color w:val="365F91" w:themeColor="accent1" w:themeShade="BF"/>
      <w:sz w:val="24"/>
      <w:szCs w:val="24"/>
    </w:rPr>
  </w:style>
  <w:style w:type="paragraph" w:customStyle="1" w:styleId="SCCLsocOtherPartyRoleSeparator">
    <w:name w:val="SCC.Lsoc.OtherPartyRoleSeparator"/>
    <w:basedOn w:val="Normal"/>
    <w:next w:val="Normal"/>
    <w:link w:val="SCCLsocOtherPartyRoleSeparatorChar"/>
    <w:rsid w:val="00F712C6"/>
    <w:pPr>
      <w:spacing w:after="480"/>
    </w:pPr>
    <w:rPr>
      <w:rFonts w:eastAsiaTheme="minorHAnsi" w:cstheme="minorBidi"/>
      <w:szCs w:val="22"/>
      <w:lang w:eastAsia="en-US"/>
    </w:rPr>
  </w:style>
  <w:style w:type="paragraph" w:customStyle="1" w:styleId="SCCCoram">
    <w:name w:val="SCC.Coram"/>
    <w:basedOn w:val="Normal"/>
    <w:next w:val="Normal"/>
    <w:link w:val="SCCCoramChar"/>
    <w:rsid w:val="00F712C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712C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712C6"/>
    <w:rPr>
      <w:rFonts w:eastAsiaTheme="minorHAnsi" w:cstheme="minorBidi"/>
      <w:sz w:val="24"/>
      <w:szCs w:val="22"/>
      <w:lang w:eastAsia="en-US"/>
    </w:rPr>
  </w:style>
  <w:style w:type="character" w:customStyle="1" w:styleId="SCCBanSummaryChar">
    <w:name w:val="SCC.BanSummary Char"/>
    <w:basedOn w:val="DefaultParagraphFont"/>
    <w:link w:val="SCCBanSummary"/>
    <w:rsid w:val="00F712C6"/>
    <w:rPr>
      <w:b/>
      <w:sz w:val="24"/>
    </w:rPr>
  </w:style>
  <w:style w:type="table" w:styleId="TableGrid">
    <w:name w:val="Table Grid"/>
    <w:basedOn w:val="TableNormal"/>
    <w:uiPriority w:val="59"/>
    <w:rsid w:val="00F712C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712C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712C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712C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712C6"/>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712C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712C6"/>
    <w:pPr>
      <w:numPr>
        <w:ilvl w:val="2"/>
      </w:numPr>
      <w:outlineLvl w:val="2"/>
    </w:pPr>
  </w:style>
  <w:style w:type="paragraph" w:customStyle="1" w:styleId="Title4LevelTitre4Niveau">
    <w:name w:val="Title 4 Level / Titre 4 Niveau"/>
    <w:basedOn w:val="Title3LevelTitre3Niveau"/>
    <w:next w:val="ParaNoNdepar-AltN"/>
    <w:uiPriority w:val="4"/>
    <w:qFormat/>
    <w:rsid w:val="00F712C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712C6"/>
    <w:pPr>
      <w:numPr>
        <w:ilvl w:val="4"/>
      </w:numPr>
      <w:outlineLvl w:val="4"/>
    </w:pPr>
  </w:style>
  <w:style w:type="paragraph" w:styleId="TOC1">
    <w:name w:val="toc 1"/>
    <w:basedOn w:val="Normal"/>
    <w:next w:val="Normal"/>
    <w:autoRedefine/>
    <w:uiPriority w:val="39"/>
    <w:unhideWhenUsed/>
    <w:rsid w:val="00F712C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712C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712C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712C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712C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712C6"/>
    <w:pPr>
      <w:tabs>
        <w:tab w:val="left" w:pos="2160"/>
        <w:tab w:val="right" w:leader="dot" w:pos="8270"/>
      </w:tabs>
      <w:spacing w:after="100"/>
      <w:ind w:left="1800"/>
    </w:pPr>
    <w:rPr>
      <w:noProof/>
    </w:rPr>
  </w:style>
  <w:style w:type="table" w:customStyle="1" w:styleId="TableGrid1">
    <w:name w:val="Table Grid1"/>
    <w:basedOn w:val="TableNormal"/>
    <w:uiPriority w:val="59"/>
    <w:rsid w:val="00F712C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712C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712C6"/>
    <w:pPr>
      <w:numPr>
        <w:ilvl w:val="5"/>
      </w:numPr>
      <w:outlineLvl w:val="5"/>
    </w:pPr>
    <w:rPr>
      <w:i/>
      <w:u w:val="none"/>
    </w:rPr>
  </w:style>
  <w:style w:type="paragraph" w:styleId="FootnoteText">
    <w:name w:val="footnote text"/>
    <w:basedOn w:val="Normal"/>
    <w:link w:val="FootnoteTextChar"/>
    <w:uiPriority w:val="99"/>
    <w:unhideWhenUsed/>
    <w:rsid w:val="00F712C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712C6"/>
  </w:style>
  <w:style w:type="character" w:styleId="FootnoteReference">
    <w:name w:val="footnote reference"/>
    <w:basedOn w:val="DefaultParagraphFont"/>
    <w:uiPriority w:val="99"/>
    <w:semiHidden/>
    <w:unhideWhenUsed/>
    <w:rsid w:val="00F712C6"/>
    <w:rPr>
      <w:vertAlign w:val="superscript"/>
    </w:rPr>
  </w:style>
  <w:style w:type="paragraph" w:styleId="ListParagraph">
    <w:name w:val="List Paragraph"/>
    <w:basedOn w:val="Normal"/>
    <w:uiPriority w:val="34"/>
    <w:qFormat/>
    <w:rsid w:val="00F712C6"/>
    <w:pPr>
      <w:ind w:left="720"/>
      <w:contextualSpacing/>
      <w:jc w:val="both"/>
    </w:pPr>
    <w:rPr>
      <w:szCs w:val="24"/>
    </w:rPr>
  </w:style>
  <w:style w:type="character" w:customStyle="1" w:styleId="sccrespondentforindexchar1">
    <w:name w:val="sccrespondentforindexchar1"/>
    <w:basedOn w:val="DefaultParagraphFont"/>
    <w:rsid w:val="00F712C6"/>
    <w:rPr>
      <w:b/>
      <w:bCs/>
    </w:rPr>
  </w:style>
  <w:style w:type="character" w:customStyle="1" w:styleId="ssbf">
    <w:name w:val="ss_bf"/>
    <w:basedOn w:val="DefaultParagraphFont"/>
    <w:rsid w:val="00F712C6"/>
  </w:style>
  <w:style w:type="character" w:customStyle="1" w:styleId="decisia-reflex2-icon">
    <w:name w:val="decisia-reflex2-icon"/>
    <w:basedOn w:val="DefaultParagraphFont"/>
    <w:rsid w:val="00F712C6"/>
  </w:style>
  <w:style w:type="character" w:styleId="Emphasis">
    <w:name w:val="Emphasis"/>
    <w:basedOn w:val="DefaultParagraphFont"/>
    <w:uiPriority w:val="20"/>
    <w:qFormat/>
    <w:rsid w:val="00F712C6"/>
    <w:rPr>
      <w:i/>
      <w:iCs/>
    </w:rPr>
  </w:style>
  <w:style w:type="paragraph" w:customStyle="1" w:styleId="section">
    <w:name w:val="section"/>
    <w:basedOn w:val="Normal"/>
    <w:rsid w:val="00F712C6"/>
    <w:pPr>
      <w:spacing w:before="100" w:beforeAutospacing="1" w:after="100" w:afterAutospacing="1"/>
    </w:pPr>
    <w:rPr>
      <w:szCs w:val="24"/>
      <w:lang w:val="fr-CA" w:eastAsia="fr-CA"/>
    </w:rPr>
  </w:style>
  <w:style w:type="paragraph" w:customStyle="1" w:styleId="paragraph">
    <w:name w:val="paragraph"/>
    <w:basedOn w:val="Normal"/>
    <w:rsid w:val="00F712C6"/>
    <w:pPr>
      <w:spacing w:before="100" w:beforeAutospacing="1" w:after="100" w:afterAutospacing="1"/>
    </w:pPr>
    <w:rPr>
      <w:szCs w:val="24"/>
      <w:lang w:val="fr-CA" w:eastAsia="fr-CA"/>
    </w:rPr>
  </w:style>
  <w:style w:type="paragraph" w:customStyle="1" w:styleId="subsection">
    <w:name w:val="subsection"/>
    <w:basedOn w:val="Normal"/>
    <w:rsid w:val="00F712C6"/>
    <w:pPr>
      <w:spacing w:before="100" w:beforeAutospacing="1" w:after="100" w:afterAutospacing="1"/>
    </w:pPr>
    <w:rPr>
      <w:szCs w:val="24"/>
      <w:lang w:val="fr-CA" w:eastAsia="fr-CA"/>
    </w:rPr>
  </w:style>
  <w:style w:type="character" w:customStyle="1" w:styleId="sectionlabel">
    <w:name w:val="sectionlabel"/>
    <w:basedOn w:val="DefaultParagraphFont"/>
    <w:rsid w:val="00F712C6"/>
  </w:style>
  <w:style w:type="paragraph" w:styleId="NormalWeb">
    <w:name w:val="Normal (Web)"/>
    <w:basedOn w:val="Normal"/>
    <w:uiPriority w:val="99"/>
    <w:unhideWhenUsed/>
    <w:rsid w:val="00F712C6"/>
    <w:pPr>
      <w:spacing w:before="100" w:beforeAutospacing="1" w:after="100" w:afterAutospacing="1"/>
    </w:pPr>
    <w:rPr>
      <w:szCs w:val="24"/>
      <w:lang w:val="fr-CA" w:eastAsia="fr-CA"/>
    </w:rPr>
  </w:style>
  <w:style w:type="character" w:customStyle="1" w:styleId="smallcaps">
    <w:name w:val="smallcaps"/>
    <w:basedOn w:val="DefaultParagraphFont"/>
    <w:rsid w:val="00F712C6"/>
  </w:style>
  <w:style w:type="character" w:customStyle="1" w:styleId="otherlang">
    <w:name w:val="otherlang"/>
    <w:basedOn w:val="DefaultParagraphFont"/>
    <w:rsid w:val="00F712C6"/>
  </w:style>
  <w:style w:type="character" w:customStyle="1" w:styleId="highlight">
    <w:name w:val="highlight"/>
    <w:basedOn w:val="DefaultParagraphFont"/>
    <w:rsid w:val="00F712C6"/>
  </w:style>
  <w:style w:type="paragraph" w:styleId="ListBullet">
    <w:name w:val="List Bullet"/>
    <w:basedOn w:val="Normal"/>
    <w:uiPriority w:val="99"/>
    <w:unhideWhenUsed/>
    <w:rsid w:val="00F712C6"/>
    <w:pPr>
      <w:numPr>
        <w:numId w:val="27"/>
      </w:numPr>
      <w:contextualSpacing/>
    </w:pPr>
    <w:rPr>
      <w:szCs w:val="24"/>
      <w:lang w:val="fr-CA" w:eastAsia="fr-CA"/>
    </w:rPr>
  </w:style>
  <w:style w:type="table" w:customStyle="1" w:styleId="TableGrid2">
    <w:name w:val="Table Grid2"/>
    <w:basedOn w:val="TableNormal"/>
    <w:next w:val="TableGrid"/>
    <w:uiPriority w:val="59"/>
    <w:rsid w:val="00F712C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8186">
      <w:bodyDiv w:val="1"/>
      <w:marLeft w:val="0"/>
      <w:marRight w:val="0"/>
      <w:marTop w:val="0"/>
      <w:marBottom w:val="0"/>
      <w:divBdr>
        <w:top w:val="none" w:sz="0" w:space="0" w:color="auto"/>
        <w:left w:val="none" w:sz="0" w:space="0" w:color="auto"/>
        <w:bottom w:val="none" w:sz="0" w:space="0" w:color="auto"/>
        <w:right w:val="none" w:sz="0" w:space="0" w:color="auto"/>
      </w:divBdr>
    </w:div>
    <w:div w:id="2732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D3D55-B5DC-4F18-AEA4-67EF016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52767</Words>
  <Characters>284821</Characters>
  <Application>Microsoft Office Word</Application>
  <DocSecurity>0</DocSecurity>
  <Lines>2373</Lines>
  <Paragraphs>673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2021-05-19T12:14:00Z</dcterms:created>
  <dcterms:modified xsi:type="dcterms:W3CDTF">2023-10-30T22:01:00Z</dcterms:modified>
</cp:coreProperties>
</file>