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1"/>
        <w:gridCol w:w="1514"/>
        <w:gridCol w:w="3257"/>
        <w:gridCol w:w="18"/>
      </w:tblGrid>
      <w:tr w:rsidR="004C3AE1" w14:paraId="6B02FEA4" w14:textId="77777777" w:rsidTr="008E32ED">
        <w:trPr>
          <w:trHeight w:val="1786"/>
        </w:trPr>
        <w:tc>
          <w:tcPr>
            <w:tcW w:w="5000" w:type="pct"/>
            <w:gridSpan w:val="4"/>
          </w:tcPr>
          <w:p w14:paraId="74D907C2" w14:textId="77777777" w:rsidR="004C3AE1" w:rsidRDefault="004C3AE1" w:rsidP="008E32ED">
            <w:pPr>
              <w:jc w:val="center"/>
            </w:pPr>
            <w:r w:rsidRPr="00C22905">
              <w:rPr>
                <w:rFonts w:eastAsia="Calibri"/>
                <w:szCs w:val="24"/>
                <w:lang w:eastAsia="en-US"/>
              </w:rPr>
              <w:object w:dxaOrig="1365" w:dyaOrig="1440" w14:anchorId="65D343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pt;height:65.1pt" o:ole="">
                  <v:imagedata r:id="rId8" o:title=""/>
                </v:shape>
                <o:OLEObject Type="Embed" ProgID="Presentations.Drawing.15" ShapeID="_x0000_i1025" DrawAspect="Content" ObjectID="_1766475890" r:id="rId9"/>
              </w:object>
            </w:r>
          </w:p>
          <w:p w14:paraId="450BA698" w14:textId="77777777" w:rsidR="004C3AE1" w:rsidRDefault="004C3AE1" w:rsidP="008E32ED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COUR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SUPRÊME DU</w:t>
            </w:r>
            <w:r w:rsidRPr="00C22905">
              <w:rPr>
                <w:rFonts w:eastAsia="Calibri"/>
                <w:b/>
                <w:szCs w:val="24"/>
                <w:lang w:eastAsia="en-US"/>
              </w:rPr>
              <w:t xml:space="preserve"> CANADA</w:t>
            </w:r>
          </w:p>
        </w:tc>
      </w:tr>
      <w:tr w:rsidR="004C3AE1" w:rsidRPr="0071662F" w14:paraId="398DAFC7" w14:textId="77777777" w:rsidTr="008E32ED">
        <w:trPr>
          <w:gridAfter w:val="1"/>
          <w:wAfter w:w="11" w:type="pct"/>
        </w:trPr>
        <w:tc>
          <w:tcPr>
            <w:tcW w:w="2108" w:type="pct"/>
            <w:tcMar>
              <w:top w:w="284" w:type="dxa"/>
            </w:tcMar>
          </w:tcPr>
          <w:p w14:paraId="6CEFC938" w14:textId="77777777" w:rsidR="004C3AE1" w:rsidRPr="00D6588D" w:rsidRDefault="004C3AE1" w:rsidP="008E32ED">
            <w:pPr>
              <w:spacing w:before="100" w:beforeAutospacing="1"/>
              <w:rPr>
                <w:rFonts w:eastAsia="Calibri"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Référence :</w:t>
            </w:r>
            <w:r w:rsidRPr="00CB5B04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Cie d’assurance générale CO-Operators </w:t>
            </w:r>
            <w:r>
              <w:rPr>
                <w:i/>
                <w:lang w:val="fr-CA"/>
              </w:rPr>
              <w:t>c.</w:t>
            </w:r>
            <w:r>
              <w:rPr>
                <w:lang w:val="fr-CA"/>
              </w:rPr>
              <w:t xml:space="preserve"> Sollio Groupe Coopératif, 2020 CSC 41, [2020] 3 R.C.S</w:t>
            </w:r>
            <w:r w:rsidRPr="00D6588D">
              <w:rPr>
                <w:lang w:val="fr-CA"/>
              </w:rPr>
              <w:t>. 785</w:t>
            </w:r>
          </w:p>
        </w:tc>
        <w:tc>
          <w:tcPr>
            <w:tcW w:w="914" w:type="pct"/>
          </w:tcPr>
          <w:p w14:paraId="46075C0F" w14:textId="77777777" w:rsidR="004C3AE1" w:rsidRPr="00CB5B04" w:rsidRDefault="004C3AE1" w:rsidP="008E32ED">
            <w:pPr>
              <w:rPr>
                <w:b/>
                <w:smallCaps/>
                <w:lang w:val="fr-CA"/>
              </w:rPr>
            </w:pPr>
          </w:p>
        </w:tc>
        <w:tc>
          <w:tcPr>
            <w:tcW w:w="1967" w:type="pct"/>
            <w:tcMar>
              <w:top w:w="284" w:type="dxa"/>
            </w:tcMar>
          </w:tcPr>
          <w:p w14:paraId="236388E3" w14:textId="77777777" w:rsidR="004C3AE1" w:rsidRPr="00CB5B04" w:rsidRDefault="004C3AE1" w:rsidP="008E32ED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Appel entendu :</w:t>
            </w:r>
            <w:r w:rsidRPr="00CB5B04">
              <w:rPr>
                <w:lang w:val="fr-CA"/>
              </w:rPr>
              <w:t xml:space="preserve"> </w:t>
            </w:r>
            <w:r>
              <w:rPr>
                <w:lang w:val="fr-CA"/>
              </w:rPr>
              <w:t>7 décembre 2020</w:t>
            </w:r>
          </w:p>
          <w:p w14:paraId="3C873359" w14:textId="77777777" w:rsidR="004C3AE1" w:rsidRPr="0071662F" w:rsidRDefault="004C3AE1" w:rsidP="008E32ED">
            <w:pPr>
              <w:rPr>
                <w:smallCaps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 xml:space="preserve">Jugement rendu : </w:t>
            </w:r>
            <w:r>
              <w:rPr>
                <w:lang w:val="fr-CA"/>
              </w:rPr>
              <w:t>7 décembre 2020</w:t>
            </w:r>
          </w:p>
          <w:p w14:paraId="29C9B0BB" w14:textId="77777777" w:rsidR="004C3AE1" w:rsidRPr="00010E0E" w:rsidRDefault="004C3AE1" w:rsidP="008E32ED">
            <w:pPr>
              <w:rPr>
                <w:rFonts w:eastAsia="Calibri"/>
                <w:lang w:val="fr-CA"/>
              </w:rPr>
            </w:pPr>
            <w:r w:rsidRPr="00010E0E">
              <w:rPr>
                <w:b/>
                <w:smallCaps/>
                <w:lang w:val="fr-CA"/>
              </w:rPr>
              <w:t>Dossier :</w:t>
            </w:r>
            <w:r w:rsidRPr="00010E0E">
              <w:rPr>
                <w:lang w:val="fr-CA"/>
              </w:rPr>
              <w:t xml:space="preserve"> </w:t>
            </w:r>
            <w:r>
              <w:rPr>
                <w:lang w:val="fr-CA"/>
              </w:rPr>
              <w:t>38938</w:t>
            </w:r>
          </w:p>
        </w:tc>
      </w:tr>
      <w:tr w:rsidR="004C3AE1" w:rsidRPr="008D5D92" w14:paraId="32A1DAAD" w14:textId="77777777" w:rsidTr="008E32ED">
        <w:tc>
          <w:tcPr>
            <w:tcW w:w="5000" w:type="pct"/>
            <w:gridSpan w:val="4"/>
          </w:tcPr>
          <w:p w14:paraId="0B9D47D4" w14:textId="77777777" w:rsidR="004C3AE1" w:rsidRDefault="004C3AE1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14:paraId="2BD93E06" w14:textId="77777777" w:rsidR="004C3AE1" w:rsidRDefault="004C3AE1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14:paraId="482D33E3" w14:textId="77777777" w:rsidR="004C3AE1" w:rsidRDefault="004C3AE1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b/>
                <w:smallCaps/>
                <w:lang w:val="fr-CA"/>
              </w:rPr>
              <w:t xml:space="preserve">Entre : </w:t>
            </w:r>
          </w:p>
          <w:p w14:paraId="092C5ECA" w14:textId="77777777" w:rsidR="004C3AE1" w:rsidRDefault="004C3AE1" w:rsidP="008E32ED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b/>
                <w:szCs w:val="24"/>
                <w:lang w:val="fr-CA" w:eastAsia="en-US"/>
              </w:rPr>
              <w:t>Compagnie d’assurance générale CO-O</w:t>
            </w:r>
            <w:r w:rsidRPr="004557F2">
              <w:rPr>
                <w:rFonts w:eastAsiaTheme="minorHAnsi" w:cstheme="minorBidi"/>
                <w:b/>
                <w:szCs w:val="24"/>
                <w:lang w:val="fr-CA" w:eastAsia="en-US"/>
              </w:rPr>
              <w:t>perators</w:t>
            </w:r>
          </w:p>
          <w:p w14:paraId="063D1E43" w14:textId="77777777" w:rsidR="004C3AE1" w:rsidRDefault="004C3AE1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Appelante</w:t>
            </w:r>
          </w:p>
          <w:p w14:paraId="71BEB0A0" w14:textId="77777777" w:rsidR="004C3AE1" w:rsidRDefault="004C3AE1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14:paraId="3B8AE47C" w14:textId="77777777" w:rsidR="004C3AE1" w:rsidRDefault="004C3AE1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14:paraId="5A6C3459" w14:textId="77777777" w:rsidR="004C3AE1" w:rsidRDefault="004C3AE1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14:paraId="0421293B" w14:textId="77777777" w:rsidR="004C3AE1" w:rsidRDefault="004C3AE1" w:rsidP="008E32ED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4557F2">
              <w:rPr>
                <w:rFonts w:eastAsiaTheme="minorHAnsi" w:cstheme="minorBidi"/>
                <w:b/>
                <w:szCs w:val="24"/>
                <w:lang w:val="fr-CA" w:eastAsia="en-US"/>
              </w:rPr>
              <w:t>Sollio Groupe Coopératif (anciennement connue s</w:t>
            </w:r>
            <w:r>
              <w:rPr>
                <w:rFonts w:eastAsiaTheme="minorHAnsi" w:cstheme="minorBidi"/>
                <w:b/>
                <w:szCs w:val="24"/>
                <w:lang w:val="fr-CA" w:eastAsia="en-US"/>
              </w:rPr>
              <w:t xml:space="preserve">ous le nom de La Coop Fédérée) et </w:t>
            </w:r>
          </w:p>
          <w:p w14:paraId="07376952" w14:textId="77777777" w:rsidR="004C3AE1" w:rsidRDefault="004C3AE1" w:rsidP="008E32ED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4557F2">
              <w:rPr>
                <w:rFonts w:eastAsiaTheme="minorHAnsi" w:cstheme="minorBidi"/>
                <w:b/>
                <w:szCs w:val="24"/>
                <w:lang w:val="fr-CA" w:eastAsia="en-US"/>
              </w:rPr>
              <w:t>Banque Nationale du Canada</w:t>
            </w:r>
          </w:p>
          <w:p w14:paraId="73D01AB2" w14:textId="77777777" w:rsidR="004C3AE1" w:rsidRDefault="004C3AE1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Intimées</w:t>
            </w:r>
          </w:p>
          <w:p w14:paraId="119D0971" w14:textId="77777777" w:rsidR="004C3AE1" w:rsidRDefault="004C3AE1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14:paraId="507FE162" w14:textId="77777777" w:rsidR="004C3AE1" w:rsidRPr="007E7C7D" w:rsidRDefault="004C3AE1" w:rsidP="008E32ED">
            <w:pPr>
              <w:jc w:val="center"/>
              <w:rPr>
                <w:lang w:val="fr-CA"/>
              </w:rPr>
            </w:pPr>
            <w:r w:rsidRPr="007E7C7D">
              <w:rPr>
                <w:lang w:val="fr-CA"/>
              </w:rPr>
              <w:t>- et -</w:t>
            </w:r>
          </w:p>
          <w:p w14:paraId="54F64252" w14:textId="77777777" w:rsidR="004C3AE1" w:rsidRDefault="004C3AE1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14:paraId="065B15D7" w14:textId="77777777" w:rsidR="004C3AE1" w:rsidRDefault="004C3AE1" w:rsidP="008E32ED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7667AA">
              <w:rPr>
                <w:rFonts w:eastAsiaTheme="minorHAnsi" w:cstheme="minorBidi"/>
                <w:b/>
                <w:szCs w:val="24"/>
                <w:lang w:val="fr-CA" w:eastAsia="en-US"/>
              </w:rPr>
              <w:t>Association des banquiers canadiens</w:t>
            </w:r>
          </w:p>
          <w:p w14:paraId="6F61889C" w14:textId="77777777" w:rsidR="004C3AE1" w:rsidRDefault="004C3AE1" w:rsidP="008E32ED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Intervenante</w:t>
            </w:r>
          </w:p>
          <w:p w14:paraId="0BC2A8A9" w14:textId="77777777" w:rsidR="004C3AE1" w:rsidRDefault="004C3AE1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14:paraId="45CD02BB" w14:textId="77777777" w:rsidR="004C3AE1" w:rsidRDefault="004C3AE1" w:rsidP="008E32ED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14:paraId="64EEA7A2" w14:textId="77777777" w:rsidR="004C3AE1" w:rsidRPr="003E23FA" w:rsidRDefault="004C3AE1" w:rsidP="008E32ED">
            <w:pPr>
              <w:jc w:val="center"/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29"/>
        <w:gridCol w:w="6634"/>
        <w:gridCol w:w="17"/>
      </w:tblGrid>
      <w:tr w:rsidR="004C3AE1" w:rsidRPr="00D6588D" w14:paraId="1F50E1FB" w14:textId="77777777" w:rsidTr="008E32ED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14:paraId="064EFD1C" w14:textId="77777777" w:rsidR="004C3AE1" w:rsidRPr="000434EA" w:rsidRDefault="004C3AE1" w:rsidP="008E32ED">
            <w:pPr>
              <w:rPr>
                <w:b/>
                <w:smallCaps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Coram :</w:t>
            </w:r>
            <w:r>
              <w:rPr>
                <w:lang w:val="fr-CA"/>
              </w:rPr>
              <w:t xml:space="preserve"> Le juge en chef Wagner et l</w:t>
            </w:r>
            <w:r w:rsidRPr="00CB5B04">
              <w:rPr>
                <w:lang w:val="fr-CA"/>
              </w:rPr>
              <w:t xml:space="preserve">es juges Abella, Moldaver, </w:t>
            </w:r>
            <w:r>
              <w:rPr>
                <w:lang w:val="fr-CA"/>
              </w:rPr>
              <w:t xml:space="preserve">Karakatsanis, Côté, Brown, Rowe, </w:t>
            </w:r>
            <w:r w:rsidRPr="00CB5B04">
              <w:rPr>
                <w:lang w:val="fr-CA"/>
              </w:rPr>
              <w:t>Martin et Kasirer</w:t>
            </w:r>
          </w:p>
        </w:tc>
      </w:tr>
      <w:tr w:rsidR="004C3AE1" w:rsidRPr="0071662F" w14:paraId="33170471" w14:textId="77777777" w:rsidTr="008E32ED">
        <w:trPr>
          <w:gridAfter w:val="1"/>
          <w:wAfter w:w="10" w:type="pct"/>
          <w:cantSplit/>
          <w:trHeight w:val="1109"/>
        </w:trPr>
        <w:tc>
          <w:tcPr>
            <w:tcW w:w="984" w:type="pct"/>
            <w:tcMar>
              <w:top w:w="57" w:type="dxa"/>
              <w:bottom w:w="57" w:type="dxa"/>
            </w:tcMar>
            <w:vAlign w:val="center"/>
          </w:tcPr>
          <w:p w14:paraId="7CFA269B" w14:textId="77777777" w:rsidR="004C3AE1" w:rsidRPr="000901CC" w:rsidRDefault="004C3AE1" w:rsidP="008E32ED">
            <w:pPr>
              <w:rPr>
                <w:smallCaps/>
                <w:lang w:val="fr-CA"/>
              </w:rPr>
            </w:pPr>
            <w:r w:rsidRPr="007B3D74">
              <w:rPr>
                <w:b/>
                <w:smallCaps/>
                <w:lang w:val="fr-CA"/>
              </w:rPr>
              <w:t>Jugement</w:t>
            </w:r>
            <w:r>
              <w:rPr>
                <w:b/>
                <w:smallCaps/>
                <w:lang w:val="fr-CA"/>
              </w:rPr>
              <w:t xml:space="preserve"> unanime lu par : </w:t>
            </w:r>
          </w:p>
          <w:p w14:paraId="23A81301" w14:textId="77777777" w:rsidR="004C3AE1" w:rsidRPr="000434EA" w:rsidRDefault="004C3AE1" w:rsidP="008E32ED">
            <w:pPr>
              <w:rPr>
                <w:lang w:val="fr-CA"/>
              </w:rPr>
            </w:pPr>
            <w:r w:rsidRPr="00526016">
              <w:rPr>
                <w:lang w:val="fr-CA"/>
              </w:rPr>
              <w:t>(par. 1 à</w:t>
            </w:r>
            <w:r>
              <w:rPr>
                <w:lang w:val="fr-CA"/>
              </w:rPr>
              <w:t xml:space="preserve"> 2</w:t>
            </w:r>
            <w:r w:rsidRPr="00547D98">
              <w:rPr>
                <w:lang w:val="fr-CA"/>
              </w:rPr>
              <w:t>)</w:t>
            </w:r>
          </w:p>
        </w:tc>
        <w:tc>
          <w:tcPr>
            <w:tcW w:w="4006" w:type="pct"/>
            <w:tcMar>
              <w:top w:w="57" w:type="dxa"/>
            </w:tcMar>
            <w:vAlign w:val="center"/>
          </w:tcPr>
          <w:p w14:paraId="01EDC93C" w14:textId="77777777" w:rsidR="004C3AE1" w:rsidRDefault="004C3AE1" w:rsidP="008E32ED">
            <w:pPr>
              <w:rPr>
                <w:lang w:val="fr-CA"/>
              </w:rPr>
            </w:pPr>
            <w:r>
              <w:rPr>
                <w:lang w:val="fr-CA"/>
              </w:rPr>
              <w:t>Le juge Kasirer</w:t>
            </w:r>
          </w:p>
          <w:p w14:paraId="1A4DBB4C" w14:textId="77777777" w:rsidR="004C3AE1" w:rsidRPr="009D6DBE" w:rsidRDefault="004C3AE1" w:rsidP="008E32ED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3312"/>
        <w:gridCol w:w="2484"/>
      </w:tblGrid>
      <w:tr w:rsidR="004C3AE1" w:rsidRPr="00D6588D" w14:paraId="5A04CCDD" w14:textId="77777777" w:rsidTr="008E32ED">
        <w:trPr>
          <w:trHeight w:val="24"/>
        </w:trPr>
        <w:tc>
          <w:tcPr>
            <w:tcW w:w="1500" w:type="pct"/>
            <w:tcMar>
              <w:top w:w="284" w:type="dxa"/>
              <w:left w:w="108" w:type="dxa"/>
              <w:bottom w:w="0" w:type="dxa"/>
              <w:right w:w="108" w:type="dxa"/>
            </w:tcMar>
          </w:tcPr>
          <w:p w14:paraId="15122584" w14:textId="77777777" w:rsidR="004C3AE1" w:rsidRPr="00D6588D" w:rsidRDefault="004C3AE1" w:rsidP="008E32ED">
            <w:pPr>
              <w:rPr>
                <w:rFonts w:eastAsia="Calibri"/>
                <w:lang w:val="fr-CA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4" w:type="dxa"/>
              <w:left w:w="108" w:type="dxa"/>
              <w:bottom w:w="0" w:type="dxa"/>
              <w:right w:w="108" w:type="dxa"/>
            </w:tcMar>
          </w:tcPr>
          <w:p w14:paraId="7435F0D9" w14:textId="77777777" w:rsidR="004C3AE1" w:rsidRPr="00D6588D" w:rsidRDefault="004C3AE1" w:rsidP="008E32ED">
            <w:pPr>
              <w:rPr>
                <w:rFonts w:eastAsia="Calibri"/>
                <w:lang w:val="fr-CA"/>
              </w:rPr>
            </w:pPr>
          </w:p>
        </w:tc>
        <w:tc>
          <w:tcPr>
            <w:tcW w:w="1500" w:type="pct"/>
            <w:tcMar>
              <w:top w:w="284" w:type="dxa"/>
              <w:left w:w="108" w:type="dxa"/>
              <w:bottom w:w="0" w:type="dxa"/>
              <w:right w:w="108" w:type="dxa"/>
            </w:tcMar>
          </w:tcPr>
          <w:p w14:paraId="5465A200" w14:textId="77777777" w:rsidR="004C3AE1" w:rsidRPr="00D6588D" w:rsidRDefault="004C3AE1" w:rsidP="008E32ED">
            <w:pPr>
              <w:rPr>
                <w:rFonts w:eastAsia="Calibri"/>
                <w:lang w:val="fr-CA"/>
              </w:rPr>
            </w:pPr>
          </w:p>
        </w:tc>
      </w:tr>
    </w:tbl>
    <w:p w14:paraId="608A5A86" w14:textId="77777777" w:rsidR="004C3AE1" w:rsidRDefault="004C3AE1" w:rsidP="004D109C">
      <w:pPr>
        <w:spacing w:after="720"/>
        <w:jc w:val="both"/>
        <w:rPr>
          <w:smallCaps/>
          <w:color w:val="000000"/>
          <w:lang w:val="fr-CA"/>
        </w:rPr>
        <w:sectPr w:rsidR="004C3AE1" w:rsidSect="000648CC">
          <w:pgSz w:w="12240" w:h="15840"/>
          <w:pgMar w:top="1267" w:right="2160" w:bottom="720" w:left="1800" w:header="1802" w:footer="720" w:gutter="0"/>
          <w:cols w:space="720"/>
          <w:docGrid w:linePitch="326"/>
        </w:sectPr>
      </w:pPr>
    </w:p>
    <w:p w14:paraId="19414B85" w14:textId="3C92A32A" w:rsidR="004D109C" w:rsidRPr="004C3AE1" w:rsidRDefault="004D109C" w:rsidP="004D109C">
      <w:pPr>
        <w:spacing w:after="720"/>
        <w:jc w:val="both"/>
        <w:rPr>
          <w:smallCaps/>
          <w:lang w:val="fr-CA"/>
        </w:rPr>
      </w:pPr>
      <w:bookmarkStart w:id="0" w:name="_GoBack"/>
      <w:bookmarkEnd w:id="0"/>
      <w:r w:rsidRPr="004C3AE1">
        <w:rPr>
          <w:smallCaps/>
          <w:color w:val="000000"/>
          <w:lang w:val="fr-CA"/>
        </w:rPr>
        <w:lastRenderedPageBreak/>
        <w:t xml:space="preserve">co-operators </w:t>
      </w:r>
      <w:r w:rsidRPr="004C3AE1">
        <w:rPr>
          <w:i/>
          <w:color w:val="000000"/>
          <w:lang w:val="fr-CA"/>
        </w:rPr>
        <w:t>c</w:t>
      </w:r>
      <w:r w:rsidRPr="004C3AE1">
        <w:rPr>
          <w:i/>
          <w:iCs/>
          <w:color w:val="000000"/>
          <w:lang w:val="fr-CA"/>
        </w:rPr>
        <w:t>.</w:t>
      </w:r>
      <w:r w:rsidRPr="004C3AE1">
        <w:rPr>
          <w:smallCaps/>
          <w:color w:val="000000"/>
          <w:lang w:val="fr-CA"/>
        </w:rPr>
        <w:t xml:space="preserve"> sollio </w:t>
      </w:r>
    </w:p>
    <w:p w14:paraId="78FAE85B" w14:textId="77777777" w:rsidR="004D109C" w:rsidRPr="00F144FD" w:rsidRDefault="004D109C" w:rsidP="004D109C">
      <w:pPr>
        <w:pStyle w:val="SCCLsocLastPartyInRole"/>
        <w:rPr>
          <w:lang w:val="fr-CA"/>
        </w:rPr>
      </w:pPr>
      <w:r w:rsidRPr="00E3654F">
        <w:rPr>
          <w:bCs/>
          <w:color w:val="000000"/>
          <w:lang w:val="fr-CA"/>
        </w:rPr>
        <w:t>Compagnie d’assurance générale CO-Operators</w:t>
      </w:r>
      <w:r w:rsidRPr="00F144FD">
        <w:rPr>
          <w:rStyle w:val="SCCLsocPartyRole"/>
          <w:lang w:val="fr-CA"/>
        </w:rPr>
        <w:tab/>
        <w:t>Appelant</w:t>
      </w:r>
      <w:r w:rsidRPr="00E3654F">
        <w:rPr>
          <w:rStyle w:val="SCCLsocPartyRole"/>
          <w:lang w:val="fr-CA"/>
        </w:rPr>
        <w:t>e</w:t>
      </w:r>
    </w:p>
    <w:p w14:paraId="4CB0F05B" w14:textId="77777777" w:rsidR="004D109C" w:rsidRPr="001F730C" w:rsidRDefault="004D109C" w:rsidP="004D109C">
      <w:pPr>
        <w:pStyle w:val="SCCLsocVersus"/>
        <w:rPr>
          <w:lang w:val="fr-CA"/>
        </w:rPr>
      </w:pPr>
      <w:r w:rsidRPr="001F730C">
        <w:rPr>
          <w:lang w:val="fr-CA"/>
        </w:rPr>
        <w:t>c.</w:t>
      </w:r>
    </w:p>
    <w:p w14:paraId="3B01B24B" w14:textId="77777777" w:rsidR="004D109C" w:rsidRDefault="004D109C" w:rsidP="004D109C">
      <w:pPr>
        <w:pStyle w:val="SCCLsocLastPartyInRole"/>
        <w:spacing w:after="0"/>
        <w:jc w:val="both"/>
        <w:rPr>
          <w:lang w:val="fr-CA"/>
        </w:rPr>
      </w:pPr>
      <w:r>
        <w:rPr>
          <w:lang w:val="fr-CA"/>
        </w:rPr>
        <w:t xml:space="preserve">Sollio Groupe Coopératif (anciennement connue sous le nom de </w:t>
      </w:r>
    </w:p>
    <w:p w14:paraId="4B21BBEA" w14:textId="77777777" w:rsidR="004D109C" w:rsidRDefault="004D109C" w:rsidP="004D109C">
      <w:pPr>
        <w:pStyle w:val="SCCLsocLastPartyInRole"/>
        <w:spacing w:after="0"/>
        <w:jc w:val="both"/>
        <w:rPr>
          <w:lang w:val="fr-CA"/>
        </w:rPr>
      </w:pPr>
      <w:r>
        <w:rPr>
          <w:lang w:val="fr-CA"/>
        </w:rPr>
        <w:t xml:space="preserve">La Coop Fédérée) et </w:t>
      </w:r>
    </w:p>
    <w:p w14:paraId="6832E396" w14:textId="77777777" w:rsidR="004D109C" w:rsidRPr="001F730C" w:rsidRDefault="004D109C" w:rsidP="004D109C">
      <w:pPr>
        <w:pStyle w:val="SCCLsocLastPartyInRole"/>
        <w:jc w:val="both"/>
        <w:rPr>
          <w:lang w:val="fr-CA"/>
        </w:rPr>
      </w:pPr>
      <w:r>
        <w:rPr>
          <w:lang w:val="fr-CA"/>
        </w:rPr>
        <w:t>Banque Nationale du Canada</w:t>
      </w:r>
      <w:r>
        <w:rPr>
          <w:rStyle w:val="SCCLsocPartyRole"/>
          <w:lang w:val="fr-CA"/>
        </w:rPr>
        <w:tab/>
        <w:t>Intimé</w:t>
      </w:r>
      <w:r w:rsidRPr="0068568D">
        <w:rPr>
          <w:rStyle w:val="SCCLsocPartyRole"/>
          <w:lang w:val="fr-CA"/>
        </w:rPr>
        <w:t>es</w:t>
      </w:r>
    </w:p>
    <w:p w14:paraId="0351DAB2" w14:textId="77777777" w:rsidR="004D109C" w:rsidRPr="001D666D" w:rsidRDefault="004D109C" w:rsidP="004D109C">
      <w:pPr>
        <w:pStyle w:val="SCCLsocVersus"/>
        <w:rPr>
          <w:i w:val="0"/>
          <w:lang w:val="fr-CA"/>
        </w:rPr>
      </w:pPr>
      <w:r>
        <w:rPr>
          <w:i w:val="0"/>
          <w:lang w:val="fr-CA"/>
        </w:rPr>
        <w:t>et</w:t>
      </w:r>
    </w:p>
    <w:p w14:paraId="763F9309" w14:textId="77777777" w:rsidR="004D109C" w:rsidRPr="001F730C" w:rsidRDefault="004D109C" w:rsidP="004D109C">
      <w:pPr>
        <w:pStyle w:val="SCCLsocLastPartyInRole"/>
        <w:rPr>
          <w:lang w:val="fr-CA"/>
        </w:rPr>
      </w:pPr>
      <w:r w:rsidRPr="00E3654F">
        <w:rPr>
          <w:lang w:val="fr-CA"/>
        </w:rPr>
        <w:t>A</w:t>
      </w:r>
      <w:r w:rsidRPr="00E3654F">
        <w:rPr>
          <w:bCs/>
          <w:color w:val="000000"/>
          <w:lang w:val="fr-CA"/>
        </w:rPr>
        <w:t>ssociation des banquiers canadiens</w:t>
      </w:r>
      <w:r w:rsidRPr="001F730C">
        <w:rPr>
          <w:rStyle w:val="SCCLsocPartyRole"/>
          <w:lang w:val="fr-CA"/>
        </w:rPr>
        <w:tab/>
      </w:r>
      <w:r>
        <w:rPr>
          <w:rStyle w:val="SCCLsocPartyRole"/>
          <w:lang w:val="fr-CA"/>
        </w:rPr>
        <w:t>Intervenant</w:t>
      </w:r>
      <w:r w:rsidRPr="00E3654F">
        <w:rPr>
          <w:rStyle w:val="SCCLsocPartyRole"/>
          <w:lang w:val="fr-CA"/>
        </w:rPr>
        <w:t>e</w:t>
      </w:r>
    </w:p>
    <w:p w14:paraId="7FF8BF32" w14:textId="77777777" w:rsidR="004D109C" w:rsidRPr="00EF6ACA" w:rsidRDefault="004D109C" w:rsidP="004D109C">
      <w:pPr>
        <w:spacing w:after="720"/>
        <w:jc w:val="both"/>
        <w:rPr>
          <w:lang w:val="fr-CA"/>
        </w:rPr>
      </w:pPr>
      <w:r>
        <w:rPr>
          <w:b/>
          <w:lang w:val="fr-CA"/>
        </w:rPr>
        <w:t xml:space="preserve">Répertorié : </w:t>
      </w:r>
      <w:r w:rsidRPr="00EF6ACA">
        <w:rPr>
          <w:b/>
          <w:color w:val="000000"/>
          <w:lang w:val="fr-CA"/>
        </w:rPr>
        <w:t>Cie d’</w:t>
      </w:r>
      <w:r>
        <w:rPr>
          <w:b/>
          <w:color w:val="000000"/>
          <w:lang w:val="fr-CA"/>
        </w:rPr>
        <w:t xml:space="preserve">assurance générale CO-Operators </w:t>
      </w:r>
      <w:r w:rsidRPr="00EF6ACA">
        <w:rPr>
          <w:b/>
          <w:i/>
          <w:iCs/>
          <w:color w:val="000000"/>
          <w:lang w:val="fr-CA"/>
        </w:rPr>
        <w:t>c.</w:t>
      </w:r>
      <w:r>
        <w:rPr>
          <w:b/>
          <w:color w:val="000000"/>
          <w:lang w:val="fr-CA"/>
        </w:rPr>
        <w:t xml:space="preserve"> </w:t>
      </w:r>
      <w:r w:rsidRPr="00EF6ACA">
        <w:rPr>
          <w:b/>
          <w:color w:val="000000"/>
          <w:lang w:val="fr-CA"/>
        </w:rPr>
        <w:t>Sollio Groupe Coopératif</w:t>
      </w:r>
    </w:p>
    <w:p w14:paraId="04CBECE9" w14:textId="77777777" w:rsidR="004D109C" w:rsidRPr="001F730C" w:rsidRDefault="004D109C" w:rsidP="004D109C">
      <w:pPr>
        <w:pStyle w:val="SCCSystemYear"/>
        <w:spacing w:after="720"/>
        <w:jc w:val="both"/>
        <w:rPr>
          <w:lang w:val="fr-CA"/>
        </w:rPr>
      </w:pPr>
      <w:r w:rsidRPr="001F730C">
        <w:rPr>
          <w:lang w:val="fr-CA"/>
        </w:rPr>
        <w:t>20</w:t>
      </w:r>
      <w:r>
        <w:rPr>
          <w:lang w:val="fr-CA"/>
        </w:rPr>
        <w:t>20 CSC 41</w:t>
      </w:r>
    </w:p>
    <w:p w14:paraId="1E4C50FB" w14:textId="77777777" w:rsidR="004D109C" w:rsidRPr="001F730C" w:rsidRDefault="004D109C" w:rsidP="004D109C">
      <w:pPr>
        <w:spacing w:after="720"/>
        <w:jc w:val="both"/>
        <w:rPr>
          <w:lang w:val="fr-CA"/>
        </w:rPr>
      </w:pPr>
      <w:r w:rsidRPr="001F730C">
        <w:rPr>
          <w:lang w:val="fr-CA"/>
        </w:rPr>
        <w:t>N</w:t>
      </w:r>
      <w:r w:rsidRPr="001F730C">
        <w:rPr>
          <w:vertAlign w:val="superscript"/>
          <w:lang w:val="fr-CA"/>
        </w:rPr>
        <w:t>o</w:t>
      </w:r>
      <w:r>
        <w:rPr>
          <w:lang w:val="fr-CA"/>
        </w:rPr>
        <w:t xml:space="preserve"> du greffe : </w:t>
      </w:r>
      <w:r w:rsidRPr="006E5BA8">
        <w:rPr>
          <w:color w:val="000000"/>
          <w:lang w:val="fr-CA"/>
        </w:rPr>
        <w:t>38938</w:t>
      </w:r>
      <w:r w:rsidRPr="001F730C">
        <w:rPr>
          <w:lang w:val="fr-CA"/>
        </w:rPr>
        <w:t>.</w:t>
      </w:r>
    </w:p>
    <w:p w14:paraId="70CB78B5" w14:textId="77777777" w:rsidR="004D109C" w:rsidRPr="001F730C" w:rsidRDefault="004D109C" w:rsidP="004D109C">
      <w:pPr>
        <w:spacing w:after="720"/>
        <w:jc w:val="both"/>
        <w:rPr>
          <w:lang w:val="fr-CA"/>
        </w:rPr>
      </w:pPr>
      <w:r>
        <w:rPr>
          <w:lang w:val="fr-CA"/>
        </w:rPr>
        <w:t>2020 </w:t>
      </w:r>
      <w:r w:rsidRPr="001F730C">
        <w:rPr>
          <w:lang w:val="fr-CA"/>
        </w:rPr>
        <w:t xml:space="preserve">: </w:t>
      </w:r>
      <w:r>
        <w:rPr>
          <w:lang w:val="fr-CA"/>
        </w:rPr>
        <w:t>7 décembre</w:t>
      </w:r>
      <w:r w:rsidRPr="001F730C">
        <w:rPr>
          <w:lang w:val="fr-CA"/>
        </w:rPr>
        <w:t>.</w:t>
      </w:r>
    </w:p>
    <w:p w14:paraId="48E2BB8D" w14:textId="77777777" w:rsidR="004D109C" w:rsidRPr="001F730C" w:rsidRDefault="004D109C" w:rsidP="004D109C">
      <w:pPr>
        <w:spacing w:after="720"/>
        <w:jc w:val="both"/>
        <w:rPr>
          <w:lang w:val="fr-CA"/>
        </w:rPr>
      </w:pPr>
      <w:r>
        <w:rPr>
          <w:lang w:val="fr-CA"/>
        </w:rPr>
        <w:t xml:space="preserve">Présents : </w:t>
      </w:r>
      <w:r w:rsidRPr="006E5BA8">
        <w:rPr>
          <w:lang w:val="fr-CA"/>
        </w:rPr>
        <w:t>Le juge en chef Wagner et les juges Abella, Moldaver, Karakatsanis, Côté, Brown, Rowe, Martin et Kasirer.</w:t>
      </w:r>
    </w:p>
    <w:p w14:paraId="3D41FD8B" w14:textId="77777777" w:rsidR="004D109C" w:rsidRDefault="004D109C" w:rsidP="004D109C">
      <w:pPr>
        <w:pStyle w:val="SCCLowerCourtNameLowercase"/>
        <w:spacing w:after="720" w:line="240" w:lineRule="auto"/>
        <w:rPr>
          <w:lang w:val="fr-CA"/>
        </w:rPr>
      </w:pPr>
      <w:r w:rsidRPr="00EC0E55">
        <w:rPr>
          <w:lang w:val="fr-CA"/>
        </w:rPr>
        <w:t xml:space="preserve">en appel de la </w:t>
      </w:r>
      <w:r>
        <w:rPr>
          <w:lang w:val="fr-CA"/>
        </w:rPr>
        <w:t>cour d’appel du québec</w:t>
      </w:r>
    </w:p>
    <w:p w14:paraId="27A897DD" w14:textId="77777777" w:rsidR="004D109C" w:rsidRPr="00561CB3" w:rsidRDefault="004D109C" w:rsidP="004D109C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 xml:space="preserve">Institutions financières </w:t>
      </w:r>
      <w:r>
        <w:rPr>
          <w:i/>
          <w:iCs/>
          <w:color w:val="000000"/>
          <w:lang w:val="fr-CA"/>
        </w:rPr>
        <w:t xml:space="preserve">— </w:t>
      </w:r>
      <w:r>
        <w:rPr>
          <w:i/>
          <w:lang w:val="fr-CA"/>
        </w:rPr>
        <w:t xml:space="preserve">Banques </w:t>
      </w:r>
      <w:r>
        <w:rPr>
          <w:i/>
          <w:iCs/>
          <w:color w:val="000000"/>
          <w:lang w:val="fr-CA"/>
        </w:rPr>
        <w:t xml:space="preserve">— Virements de fonds électroniques — Hameçonnage — </w:t>
      </w:r>
      <w:r>
        <w:rPr>
          <w:i/>
          <w:lang w:val="fr-CA"/>
        </w:rPr>
        <w:t xml:space="preserve">Assurances </w:t>
      </w:r>
      <w:r>
        <w:rPr>
          <w:i/>
          <w:iCs/>
          <w:color w:val="000000"/>
          <w:lang w:val="fr-CA"/>
        </w:rPr>
        <w:t xml:space="preserve">— Virement de fonds électronique effectué par une </w:t>
      </w:r>
      <w:r>
        <w:rPr>
          <w:i/>
          <w:iCs/>
          <w:color w:val="000000"/>
          <w:lang w:val="fr-CA"/>
        </w:rPr>
        <w:lastRenderedPageBreak/>
        <w:t xml:space="preserve">société commerciale </w:t>
      </w:r>
      <w:r w:rsidRPr="00D31B65">
        <w:rPr>
          <w:i/>
          <w:iCs/>
          <w:color w:val="000000"/>
          <w:lang w:val="fr-CA"/>
        </w:rPr>
        <w:t xml:space="preserve">victime </w:t>
      </w:r>
      <w:r>
        <w:rPr>
          <w:i/>
          <w:iCs/>
          <w:color w:val="000000"/>
          <w:lang w:val="fr-CA"/>
        </w:rPr>
        <w:t>d’un stratagème d’hameçonnage —</w:t>
      </w:r>
      <w:r>
        <w:rPr>
          <w:i/>
          <w:lang w:val="fr-CA"/>
        </w:rPr>
        <w:t xml:space="preserve"> </w:t>
      </w:r>
      <w:r>
        <w:rPr>
          <w:i/>
          <w:iCs/>
          <w:color w:val="000000"/>
          <w:lang w:val="fr-CA"/>
        </w:rPr>
        <w:t xml:space="preserve">Fonds virés </w:t>
      </w:r>
      <w:r>
        <w:rPr>
          <w:i/>
          <w:lang w:val="fr-CA"/>
        </w:rPr>
        <w:t xml:space="preserve">à partir du compte bancaire de la société assorti d’une marge de crédit consentie par la banque </w:t>
      </w:r>
      <w:r>
        <w:rPr>
          <w:i/>
          <w:iCs/>
          <w:color w:val="000000"/>
          <w:lang w:val="fr-CA"/>
        </w:rPr>
        <w:t xml:space="preserve">— Fonds virés provenant entièrement de la </w:t>
      </w:r>
      <w:r>
        <w:rPr>
          <w:i/>
          <w:lang w:val="fr-CA"/>
        </w:rPr>
        <w:t xml:space="preserve">marge de crédit </w:t>
      </w:r>
      <w:r>
        <w:rPr>
          <w:i/>
          <w:iCs/>
          <w:color w:val="000000"/>
          <w:lang w:val="fr-CA"/>
        </w:rPr>
        <w:t xml:space="preserve">— </w:t>
      </w:r>
      <w:r>
        <w:rPr>
          <w:i/>
          <w:lang w:val="fr-CA"/>
        </w:rPr>
        <w:t xml:space="preserve">Perte déclarée par la société à son assureur </w:t>
      </w:r>
      <w:r>
        <w:rPr>
          <w:i/>
          <w:iCs/>
          <w:color w:val="000000"/>
          <w:lang w:val="fr-CA"/>
        </w:rPr>
        <w:t xml:space="preserve">— </w:t>
      </w:r>
      <w:r>
        <w:rPr>
          <w:i/>
          <w:lang w:val="fr-CA"/>
        </w:rPr>
        <w:t>Couverture niée par l’assureur au</w:t>
      </w:r>
      <w:r w:rsidRPr="00D31B65">
        <w:rPr>
          <w:i/>
          <w:lang w:val="fr-CA"/>
        </w:rPr>
        <w:t>x</w:t>
      </w:r>
      <w:r>
        <w:rPr>
          <w:i/>
          <w:lang w:val="fr-CA"/>
        </w:rPr>
        <w:t xml:space="preserve"> motif</w:t>
      </w:r>
      <w:r w:rsidRPr="00D31B65">
        <w:rPr>
          <w:i/>
          <w:lang w:val="fr-CA"/>
        </w:rPr>
        <w:t>s</w:t>
      </w:r>
      <w:r>
        <w:rPr>
          <w:i/>
          <w:lang w:val="fr-CA"/>
        </w:rPr>
        <w:t xml:space="preserve"> que le risque en cause n’était pas couvert par la police de la société et que les fonds virés appartenaient à la banque et non à la société étant donné que les fonds provenaient entièrement de la marge de crédit </w:t>
      </w:r>
      <w:r>
        <w:rPr>
          <w:i/>
          <w:iCs/>
          <w:color w:val="000000"/>
          <w:lang w:val="fr-CA"/>
        </w:rPr>
        <w:t xml:space="preserve">— Conclusion de la </w:t>
      </w:r>
      <w:r>
        <w:rPr>
          <w:i/>
          <w:lang w:val="fr-CA"/>
        </w:rPr>
        <w:t xml:space="preserve">Cour d’appel portant que la perte est couverte par la police d’assurance et doit être assumée par l’assureur puisque la société était propriétaire des fonds virés </w:t>
      </w:r>
      <w:r>
        <w:rPr>
          <w:i/>
          <w:iCs/>
          <w:color w:val="000000"/>
          <w:lang w:val="fr-CA"/>
        </w:rPr>
        <w:t>—</w:t>
      </w:r>
      <w:r>
        <w:rPr>
          <w:i/>
          <w:lang w:val="fr-CA"/>
        </w:rPr>
        <w:t xml:space="preserve"> Décision de la Cour d’appel confirmée.</w:t>
      </w:r>
    </w:p>
    <w:p w14:paraId="09D6AF03" w14:textId="77777777" w:rsidR="004D109C" w:rsidRPr="006E5BA8" w:rsidRDefault="004D109C" w:rsidP="004D109C">
      <w:pPr>
        <w:pStyle w:val="SCCNormalDoubleSpacing"/>
        <w:spacing w:after="480"/>
        <w:rPr>
          <w:lang w:val="fr-CA"/>
        </w:rPr>
      </w:pPr>
      <w:r w:rsidRPr="003D3684">
        <w:rPr>
          <w:lang w:val="fr-CA"/>
        </w:rPr>
        <w:tab/>
      </w:r>
      <w:r w:rsidRPr="004D7D95">
        <w:rPr>
          <w:lang w:val="fr-CA"/>
        </w:rPr>
        <w:t>POURVO</w:t>
      </w:r>
      <w:r w:rsidRPr="00817D4B">
        <w:rPr>
          <w:lang w:val="fr-CA"/>
        </w:rPr>
        <w:t>I</w:t>
      </w:r>
      <w:r w:rsidRPr="004D7D95">
        <w:rPr>
          <w:lang w:val="fr-CA"/>
        </w:rPr>
        <w:t xml:space="preserve"> contre un arrêt de la </w:t>
      </w:r>
      <w:r>
        <w:rPr>
          <w:lang w:val="fr-CA"/>
        </w:rPr>
        <w:t xml:space="preserve">Cour d’appel du Québec (les juges </w:t>
      </w:r>
      <w:r w:rsidRPr="006E5BA8">
        <w:rPr>
          <w:lang w:val="fr-CA"/>
        </w:rPr>
        <w:t xml:space="preserve">Dufresne, Healy </w:t>
      </w:r>
      <w:r>
        <w:rPr>
          <w:lang w:val="fr-CA"/>
        </w:rPr>
        <w:t>et</w:t>
      </w:r>
      <w:r w:rsidRPr="006E5BA8">
        <w:rPr>
          <w:lang w:val="fr-CA"/>
        </w:rPr>
        <w:t xml:space="preserve"> Cotnam</w:t>
      </w:r>
      <w:r>
        <w:rPr>
          <w:lang w:val="fr-CA"/>
        </w:rPr>
        <w:t>), 2019 QCCA 1678, [2019] J.Q. n° </w:t>
      </w:r>
      <w:r w:rsidRPr="006E5BA8">
        <w:rPr>
          <w:lang w:val="fr-CA"/>
        </w:rPr>
        <w:t xml:space="preserve">8590 (QL), 2019 CarswellQue 8745 </w:t>
      </w:r>
      <w:r>
        <w:rPr>
          <w:lang w:val="fr-CA"/>
        </w:rPr>
        <w:t>(</w:t>
      </w:r>
      <w:r w:rsidRPr="006E5BA8">
        <w:rPr>
          <w:lang w:val="fr-CA"/>
        </w:rPr>
        <w:t>WL Can.)</w:t>
      </w:r>
      <w:r>
        <w:rPr>
          <w:lang w:val="fr-CA"/>
        </w:rPr>
        <w:t xml:space="preserve">, </w:t>
      </w:r>
      <w:r w:rsidRPr="005D3A91">
        <w:rPr>
          <w:color w:val="000000"/>
          <w:lang w:val="fr-CA"/>
        </w:rPr>
        <w:t>qui a infirmé en partie une décision du juge Déziel</w:t>
      </w:r>
      <w:r w:rsidRPr="000C5CD6">
        <w:rPr>
          <w:color w:val="000000"/>
          <w:lang w:val="fr-CA"/>
        </w:rPr>
        <w:t xml:space="preserve">, </w:t>
      </w:r>
      <w:r w:rsidRPr="006E5BA8">
        <w:rPr>
          <w:color w:val="000000"/>
          <w:lang w:val="fr-CA"/>
        </w:rPr>
        <w:t>20</w:t>
      </w:r>
      <w:r>
        <w:rPr>
          <w:color w:val="000000"/>
          <w:lang w:val="fr-CA"/>
        </w:rPr>
        <w:t>16 QCCS 6302, [2016] J.Q. n° </w:t>
      </w:r>
      <w:r w:rsidRPr="006E5BA8">
        <w:rPr>
          <w:color w:val="000000"/>
          <w:lang w:val="fr-CA"/>
        </w:rPr>
        <w:t>18816 (QL), 2016 CarswellQue 12703 (WL Can.).</w:t>
      </w:r>
      <w:r>
        <w:rPr>
          <w:color w:val="000000"/>
          <w:lang w:val="fr-CA"/>
        </w:rPr>
        <w:t xml:space="preserve"> Pourvoi rejeté.</w:t>
      </w:r>
    </w:p>
    <w:p w14:paraId="0C04C2A3" w14:textId="77777777" w:rsidR="004D109C" w:rsidRPr="006772DB" w:rsidRDefault="004D109C" w:rsidP="004D109C">
      <w:pPr>
        <w:pStyle w:val="SCCNormalDoubleSpacing"/>
        <w:spacing w:after="480"/>
        <w:rPr>
          <w:lang w:val="fr-CA"/>
        </w:rPr>
      </w:pPr>
      <w:r w:rsidRPr="007948E4">
        <w:rPr>
          <w:lang w:val="fr-CA"/>
        </w:rPr>
        <w:tab/>
      </w:r>
      <w:r w:rsidRPr="009F4381">
        <w:rPr>
          <w:i/>
          <w:iCs/>
          <w:color w:val="000000"/>
          <w:lang w:val="fr-CA"/>
        </w:rPr>
        <w:t>Pierre Gourdeau</w:t>
      </w:r>
      <w:r>
        <w:rPr>
          <w:color w:val="000000"/>
          <w:lang w:val="fr-CA"/>
        </w:rPr>
        <w:t xml:space="preserve"> et </w:t>
      </w:r>
      <w:r w:rsidRPr="009F4381">
        <w:rPr>
          <w:i/>
          <w:iCs/>
          <w:color w:val="000000"/>
          <w:lang w:val="fr-CA"/>
        </w:rPr>
        <w:t>Émilie Deschênes</w:t>
      </w:r>
      <w:r>
        <w:rPr>
          <w:lang w:val="fr-CA"/>
        </w:rPr>
        <w:t>, pour l’appelant</w:t>
      </w:r>
      <w:r w:rsidRPr="009F4381">
        <w:rPr>
          <w:rStyle w:val="SCCCounselPartyRoleChar"/>
          <w:lang w:val="fr-CA"/>
        </w:rPr>
        <w:t>e</w:t>
      </w:r>
      <w:r>
        <w:rPr>
          <w:lang w:val="fr-CA"/>
        </w:rPr>
        <w:t>.</w:t>
      </w:r>
    </w:p>
    <w:p w14:paraId="2DAB91B3" w14:textId="77777777" w:rsidR="004D109C" w:rsidRDefault="004D109C" w:rsidP="004D109C">
      <w:pPr>
        <w:pStyle w:val="SCCNormalDoubleSpacing"/>
        <w:spacing w:after="480"/>
        <w:rPr>
          <w:rStyle w:val="SCCCounselPartyRoleChar"/>
          <w:lang w:val="fr-CA"/>
        </w:rPr>
      </w:pPr>
      <w:r w:rsidRPr="006772DB">
        <w:rPr>
          <w:rStyle w:val="SCCCounselNameChar"/>
          <w:lang w:val="fr-CA"/>
        </w:rPr>
        <w:tab/>
      </w:r>
      <w:r w:rsidRPr="009F4381">
        <w:rPr>
          <w:i/>
          <w:iCs/>
          <w:color w:val="000000"/>
          <w:lang w:val="fr-CA"/>
        </w:rPr>
        <w:t>Alain Létourneau</w:t>
      </w:r>
      <w:r>
        <w:rPr>
          <w:color w:val="000000"/>
          <w:lang w:val="fr-CA"/>
        </w:rPr>
        <w:t xml:space="preserve"> et </w:t>
      </w:r>
      <w:r w:rsidRPr="009F4381">
        <w:rPr>
          <w:i/>
          <w:iCs/>
          <w:color w:val="000000"/>
          <w:lang w:val="fr-CA"/>
        </w:rPr>
        <w:t>Sylvie Grenier</w:t>
      </w:r>
      <w:r w:rsidRPr="006772DB">
        <w:rPr>
          <w:rStyle w:val="SCCCounselPartyRoleChar"/>
          <w:lang w:val="fr-CA"/>
        </w:rPr>
        <w:t xml:space="preserve">, </w:t>
      </w:r>
      <w:r>
        <w:rPr>
          <w:rStyle w:val="SCCCounselPartyRoleChar"/>
          <w:lang w:val="fr-CA"/>
        </w:rPr>
        <w:t>pour l’intimé</w:t>
      </w:r>
      <w:r w:rsidRPr="009F4381">
        <w:rPr>
          <w:rStyle w:val="SCCCounselPartyRoleChar"/>
          <w:lang w:val="fr-CA"/>
        </w:rPr>
        <w:t>e</w:t>
      </w:r>
      <w:r w:rsidRPr="00D81B64">
        <w:rPr>
          <w:color w:val="000000"/>
          <w:lang w:val="fr-CA"/>
        </w:rPr>
        <w:t xml:space="preserve"> Sollio Groupe Coopératif (anciennement connue sous le nom de La Coop Fédérée)</w:t>
      </w:r>
      <w:r w:rsidRPr="006772DB">
        <w:rPr>
          <w:rStyle w:val="SCCCounselPartyRoleChar"/>
          <w:lang w:val="fr-CA"/>
        </w:rPr>
        <w:t>.</w:t>
      </w:r>
    </w:p>
    <w:p w14:paraId="2A01597E" w14:textId="77777777" w:rsidR="004D109C" w:rsidRDefault="004D109C" w:rsidP="004D109C">
      <w:pPr>
        <w:pStyle w:val="SCCNormalDoubleSpacing"/>
        <w:spacing w:after="480"/>
        <w:rPr>
          <w:rStyle w:val="SCCCounselPartyRoleChar"/>
          <w:lang w:val="fr-CA"/>
        </w:rPr>
      </w:pPr>
      <w:r w:rsidRPr="006772DB">
        <w:rPr>
          <w:rStyle w:val="SCCCounselNameChar"/>
          <w:lang w:val="fr-CA"/>
        </w:rPr>
        <w:tab/>
      </w:r>
      <w:r w:rsidRPr="009F4381">
        <w:rPr>
          <w:i/>
          <w:iCs/>
          <w:color w:val="000000"/>
          <w:lang w:val="fr-CA"/>
        </w:rPr>
        <w:t>Patrick Ouellet</w:t>
      </w:r>
      <w:r>
        <w:rPr>
          <w:color w:val="000000"/>
          <w:lang w:val="fr-CA"/>
        </w:rPr>
        <w:t xml:space="preserve"> </w:t>
      </w:r>
      <w:r w:rsidRPr="009F4381">
        <w:rPr>
          <w:color w:val="000000"/>
          <w:lang w:val="fr-CA"/>
        </w:rPr>
        <w:t>et</w:t>
      </w:r>
      <w:r>
        <w:rPr>
          <w:color w:val="000000"/>
          <w:lang w:val="fr-CA"/>
        </w:rPr>
        <w:t xml:space="preserve"> </w:t>
      </w:r>
      <w:r>
        <w:rPr>
          <w:i/>
          <w:iCs/>
          <w:color w:val="000000"/>
          <w:lang w:val="fr-CA"/>
        </w:rPr>
        <w:t>Laurence Ste</w:t>
      </w:r>
      <w:r>
        <w:rPr>
          <w:i/>
          <w:iCs/>
          <w:color w:val="000000"/>
          <w:lang w:val="fr-CA"/>
        </w:rPr>
        <w:noBreakHyphen/>
      </w:r>
      <w:r w:rsidRPr="009F4381">
        <w:rPr>
          <w:i/>
          <w:iCs/>
          <w:color w:val="000000"/>
          <w:lang w:val="fr-CA"/>
        </w:rPr>
        <w:t>Marie</w:t>
      </w:r>
      <w:r w:rsidRPr="006772DB">
        <w:rPr>
          <w:rStyle w:val="SCCCounselPartyRoleChar"/>
          <w:lang w:val="fr-CA"/>
        </w:rPr>
        <w:t xml:space="preserve">, </w:t>
      </w:r>
      <w:r>
        <w:rPr>
          <w:rStyle w:val="SCCCounselPartyRoleChar"/>
          <w:lang w:val="fr-CA"/>
        </w:rPr>
        <w:t>pour l’intimé</w:t>
      </w:r>
      <w:r w:rsidRPr="009F4381">
        <w:rPr>
          <w:rStyle w:val="SCCCounselPartyRoleChar"/>
          <w:lang w:val="fr-CA"/>
        </w:rPr>
        <w:t>e</w:t>
      </w:r>
      <w:r w:rsidRPr="00D81B64">
        <w:rPr>
          <w:color w:val="000000"/>
          <w:lang w:val="fr-CA"/>
        </w:rPr>
        <w:t xml:space="preserve"> la Banque Nationale du Canada</w:t>
      </w:r>
      <w:r w:rsidRPr="006772DB">
        <w:rPr>
          <w:rStyle w:val="SCCCounselPartyRoleChar"/>
          <w:lang w:val="fr-CA"/>
        </w:rPr>
        <w:t>.</w:t>
      </w:r>
    </w:p>
    <w:p w14:paraId="10D30BF8" w14:textId="77777777" w:rsidR="004D109C" w:rsidRDefault="004D109C" w:rsidP="004D109C">
      <w:pPr>
        <w:pStyle w:val="SCCNormalDoubleSpacing"/>
        <w:spacing w:after="480"/>
        <w:rPr>
          <w:rStyle w:val="SCCCounselPartyRoleChar"/>
          <w:lang w:val="fr-CA"/>
        </w:rPr>
      </w:pPr>
      <w:r w:rsidRPr="006772DB">
        <w:rPr>
          <w:rStyle w:val="SCCCounselNameChar"/>
          <w:lang w:val="fr-CA"/>
        </w:rPr>
        <w:tab/>
      </w:r>
      <w:r w:rsidRPr="009F4381">
        <w:rPr>
          <w:i/>
          <w:iCs/>
          <w:color w:val="000000"/>
          <w:lang w:val="fr-CA"/>
        </w:rPr>
        <w:t>Mathieu Lévesque</w:t>
      </w:r>
      <w:r w:rsidRPr="006772DB">
        <w:rPr>
          <w:rStyle w:val="SCCCounselPartyRoleChar"/>
          <w:lang w:val="fr-CA"/>
        </w:rPr>
        <w:t xml:space="preserve">, </w:t>
      </w:r>
      <w:r>
        <w:rPr>
          <w:rStyle w:val="SCCCounselPartyRoleChar"/>
          <w:lang w:val="fr-CA"/>
        </w:rPr>
        <w:t>pour l’intervenant</w:t>
      </w:r>
      <w:r w:rsidRPr="009F4381">
        <w:rPr>
          <w:rStyle w:val="SCCCounselPartyRoleChar"/>
          <w:lang w:val="fr-CA"/>
        </w:rPr>
        <w:t>e</w:t>
      </w:r>
      <w:r w:rsidRPr="006772DB">
        <w:rPr>
          <w:rStyle w:val="SCCCounselPartyRoleChar"/>
          <w:lang w:val="fr-CA"/>
        </w:rPr>
        <w:t>.</w:t>
      </w:r>
    </w:p>
    <w:p w14:paraId="0B7EF0BB" w14:textId="77777777" w:rsidR="004D109C" w:rsidRDefault="004D109C" w:rsidP="004D109C">
      <w:pPr>
        <w:pStyle w:val="SCCNormalDoubleSpacing"/>
        <w:spacing w:before="480" w:after="480"/>
        <w:rPr>
          <w:rStyle w:val="SCCCounselPartyRoleChar"/>
          <w:lang w:val="fr-CA"/>
        </w:rPr>
      </w:pPr>
      <w:r>
        <w:rPr>
          <w:lang w:val="fr-CA"/>
        </w:rPr>
        <w:lastRenderedPageBreak/>
        <w:tab/>
      </w:r>
      <w:r w:rsidRPr="009F4381">
        <w:rPr>
          <w:rStyle w:val="SCCCounselPartyRoleChar"/>
          <w:lang w:val="fr-CA"/>
        </w:rPr>
        <w:t>Le jugement de la Cour a été rendu oralement par</w:t>
      </w:r>
    </w:p>
    <w:p w14:paraId="1FE5DBED" w14:textId="77777777" w:rsidR="004D109C" w:rsidRPr="00031BDA" w:rsidRDefault="004D109C" w:rsidP="004D109C">
      <w:pPr>
        <w:pStyle w:val="SCCNormalDoubleSpacing"/>
        <w:spacing w:before="480" w:after="480"/>
        <w:rPr>
          <w:color w:val="000000"/>
          <w:szCs w:val="27"/>
          <w:lang w:val="fr-CA" w:eastAsia="en-US"/>
        </w:rPr>
      </w:pPr>
      <w:r w:rsidRPr="00031BDA">
        <w:rPr>
          <w:smallCaps/>
          <w:color w:val="000000"/>
          <w:szCs w:val="27"/>
          <w:lang w:val="fr-CA" w:eastAsia="en-US"/>
        </w:rPr>
        <w:t>[1]</w:t>
      </w:r>
      <w:r>
        <w:rPr>
          <w:smallCaps/>
          <w:color w:val="000000"/>
          <w:szCs w:val="27"/>
          <w:lang w:val="fr-CA" w:eastAsia="en-US"/>
        </w:rPr>
        <w:tab/>
      </w:r>
      <w:r w:rsidRPr="00031BDA">
        <w:rPr>
          <w:smallCaps/>
          <w:color w:val="000000"/>
          <w:szCs w:val="27"/>
          <w:lang w:val="fr-CA" w:eastAsia="en-US"/>
        </w:rPr>
        <w:t>Le juge Kasirer</w:t>
      </w:r>
      <w:r>
        <w:rPr>
          <w:color w:val="000000"/>
          <w:szCs w:val="27"/>
          <w:lang w:val="fr-CA" w:eastAsia="en-US"/>
        </w:rPr>
        <w:t xml:space="preserve"> </w:t>
      </w:r>
      <w:r w:rsidRPr="00031BDA">
        <w:rPr>
          <w:color w:val="000000"/>
          <w:szCs w:val="27"/>
          <w:lang w:val="fr-CA" w:eastAsia="en-US"/>
        </w:rPr>
        <w:t>— Nous sommes unanimement d’avis que l’appel doit être rejeté, en substance, pour les motifs de la Cour d’appel, avec dépens en faveur des intimées.</w:t>
      </w:r>
    </w:p>
    <w:p w14:paraId="5032CA18" w14:textId="77777777" w:rsidR="004D109C" w:rsidRDefault="004D109C" w:rsidP="004D109C">
      <w:pPr>
        <w:pStyle w:val="SCCNormalDoubleSpacing"/>
        <w:spacing w:before="480" w:after="480"/>
        <w:rPr>
          <w:color w:val="000000"/>
          <w:szCs w:val="27"/>
          <w:lang w:val="fr-CA" w:eastAsia="en-US"/>
        </w:rPr>
      </w:pPr>
      <w:r>
        <w:rPr>
          <w:color w:val="000000"/>
          <w:szCs w:val="27"/>
          <w:lang w:val="fr-CA" w:eastAsia="en-US"/>
        </w:rPr>
        <w:t>[2]</w:t>
      </w:r>
      <w:r>
        <w:rPr>
          <w:color w:val="000000"/>
          <w:szCs w:val="27"/>
          <w:lang w:val="fr-CA" w:eastAsia="en-US"/>
        </w:rPr>
        <w:tab/>
      </w:r>
      <w:r w:rsidRPr="00031BDA">
        <w:rPr>
          <w:color w:val="000000"/>
          <w:szCs w:val="27"/>
          <w:lang w:val="fr-CA" w:eastAsia="en-US"/>
        </w:rPr>
        <w:t>Il y a lieu de précise</w:t>
      </w:r>
      <w:r>
        <w:rPr>
          <w:color w:val="000000"/>
          <w:szCs w:val="27"/>
          <w:lang w:val="fr-CA" w:eastAsia="en-US"/>
        </w:rPr>
        <w:t>r, toutefois, au regard du par. </w:t>
      </w:r>
      <w:r w:rsidRPr="00031BDA">
        <w:rPr>
          <w:color w:val="000000"/>
          <w:szCs w:val="27"/>
          <w:lang w:val="fr-CA" w:eastAsia="en-US"/>
        </w:rPr>
        <w:t>110 des motifs de la Cour d’appel, que le résultat n’aurait pas été différent si le solde du compte de l’intimée La Coop Fédérée avait été au crédit.</w:t>
      </w:r>
    </w:p>
    <w:p w14:paraId="477FE0FF" w14:textId="77777777" w:rsidR="004D109C" w:rsidRDefault="004D109C" w:rsidP="004D109C">
      <w:pPr>
        <w:pStyle w:val="SCCNormalDoubleSpacing"/>
        <w:spacing w:after="480"/>
        <w:rPr>
          <w:i/>
          <w:lang w:val="fr-CA"/>
        </w:rPr>
      </w:pPr>
      <w:r w:rsidRPr="006772DB">
        <w:rPr>
          <w:lang w:val="fr-CA"/>
        </w:rPr>
        <w:tab/>
      </w:r>
      <w:r w:rsidRPr="002A2088">
        <w:rPr>
          <w:i/>
          <w:lang w:val="fr-CA"/>
        </w:rPr>
        <w:t>Jugement</w:t>
      </w:r>
      <w:r w:rsidRPr="004762A1">
        <w:rPr>
          <w:i/>
          <w:lang w:val="fr-CA"/>
        </w:rPr>
        <w:t xml:space="preserve"> en conséquence.</w:t>
      </w:r>
    </w:p>
    <w:p w14:paraId="0FE76E28" w14:textId="77777777" w:rsidR="004D109C" w:rsidRPr="00AA12B1" w:rsidRDefault="004D109C" w:rsidP="004D109C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>Procureur</w:t>
      </w:r>
      <w:r w:rsidRPr="00D81B64">
        <w:rPr>
          <w:i/>
          <w:lang w:val="fr-CA"/>
        </w:rPr>
        <w:t>s</w:t>
      </w:r>
      <w:r w:rsidRPr="00AA12B1">
        <w:rPr>
          <w:i/>
          <w:lang w:val="fr-CA"/>
        </w:rPr>
        <w:t xml:space="preserve"> de l’appelant</w:t>
      </w:r>
      <w:r w:rsidRPr="00D81B64">
        <w:rPr>
          <w:rStyle w:val="SCCCounselPartyRoleChar"/>
          <w:i/>
          <w:lang w:val="fr-CA"/>
        </w:rPr>
        <w:t>e</w:t>
      </w:r>
      <w:r>
        <w:rPr>
          <w:i/>
          <w:lang w:val="fr-CA"/>
        </w:rPr>
        <w:t> </w:t>
      </w:r>
      <w:r w:rsidRPr="00AA12B1">
        <w:rPr>
          <w:i/>
          <w:lang w:val="fr-CA"/>
        </w:rPr>
        <w:t xml:space="preserve">: </w:t>
      </w:r>
      <w:r w:rsidRPr="00D81B64">
        <w:rPr>
          <w:i/>
          <w:lang w:val="fr-CA"/>
        </w:rPr>
        <w:t>Carter Gourdeau, Québec</w:t>
      </w:r>
      <w:r w:rsidRPr="00AA12B1">
        <w:rPr>
          <w:i/>
          <w:lang w:val="fr-CA"/>
        </w:rPr>
        <w:t>.</w:t>
      </w:r>
    </w:p>
    <w:p w14:paraId="3C79AE00" w14:textId="77777777" w:rsidR="004D109C" w:rsidRPr="00BD5CBF" w:rsidRDefault="004D109C" w:rsidP="004D109C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 w:rsidRPr="00BD5CBF">
        <w:rPr>
          <w:i/>
          <w:lang w:val="fr-CA"/>
        </w:rPr>
        <w:t>Procureurs de l’intimé</w:t>
      </w:r>
      <w:r w:rsidRPr="00BD5CBF">
        <w:rPr>
          <w:rStyle w:val="SCCCounselPartyRoleChar"/>
          <w:i/>
          <w:lang w:val="fr-CA"/>
        </w:rPr>
        <w:t>e</w:t>
      </w:r>
      <w:r w:rsidRPr="00BD5CBF">
        <w:rPr>
          <w:i/>
          <w:color w:val="000000"/>
          <w:lang w:val="fr-CA"/>
        </w:rPr>
        <w:t xml:space="preserve"> Sollio Groupe Coopératif (</w:t>
      </w:r>
      <w:r w:rsidRPr="00BD5CBF">
        <w:rPr>
          <w:i/>
          <w:lang w:val="fr-CA"/>
        </w:rPr>
        <w:t>anciennement connue sous le nom de La Coop Fédérée</w:t>
      </w:r>
      <w:r w:rsidRPr="00BD5CBF">
        <w:rPr>
          <w:i/>
          <w:color w:val="000000"/>
          <w:lang w:val="fr-CA"/>
        </w:rPr>
        <w:t>)</w:t>
      </w:r>
      <w:r w:rsidRPr="00BD5CBF">
        <w:rPr>
          <w:i/>
          <w:lang w:val="fr-CA"/>
        </w:rPr>
        <w:t> : Cain Lamarre, Montréal.</w:t>
      </w:r>
    </w:p>
    <w:p w14:paraId="23151C0E" w14:textId="77777777" w:rsidR="004D109C" w:rsidRPr="00BD5CBF" w:rsidRDefault="004D109C" w:rsidP="004D109C">
      <w:pPr>
        <w:pStyle w:val="SCCNormalDoubleSpacing"/>
        <w:spacing w:after="480"/>
        <w:rPr>
          <w:i/>
          <w:lang w:val="fr-CA"/>
        </w:rPr>
      </w:pPr>
      <w:r>
        <w:rPr>
          <w:lang w:val="fr-CA"/>
        </w:rPr>
        <w:tab/>
      </w:r>
      <w:r w:rsidRPr="00BD5CBF">
        <w:rPr>
          <w:i/>
          <w:lang w:val="fr-CA"/>
        </w:rPr>
        <w:t>Procureurs de l’intimé</w:t>
      </w:r>
      <w:r w:rsidRPr="00BD5CBF">
        <w:rPr>
          <w:rStyle w:val="SCCCounselPartyRoleChar"/>
          <w:i/>
          <w:lang w:val="fr-CA"/>
        </w:rPr>
        <w:t>e</w:t>
      </w:r>
      <w:r w:rsidRPr="00BD5CBF">
        <w:rPr>
          <w:i/>
          <w:color w:val="000000"/>
          <w:lang w:val="fr-CA"/>
        </w:rPr>
        <w:t xml:space="preserve"> la Banque Nationale du Canada</w:t>
      </w:r>
      <w:r w:rsidRPr="00BD5CBF">
        <w:rPr>
          <w:i/>
          <w:lang w:val="fr-CA"/>
        </w:rPr>
        <w:t> : Woods, Montréal.</w:t>
      </w:r>
    </w:p>
    <w:p w14:paraId="7BE207B2" w14:textId="77777777" w:rsidR="004D109C" w:rsidRPr="00BD5CBF" w:rsidRDefault="004D109C" w:rsidP="004D109C">
      <w:pPr>
        <w:pStyle w:val="SCCNormalDoubleSpacing"/>
        <w:spacing w:after="480"/>
        <w:rPr>
          <w:i/>
          <w:lang w:val="fr-CA"/>
        </w:rPr>
      </w:pPr>
      <w:r w:rsidRPr="00BD5CBF">
        <w:rPr>
          <w:i/>
          <w:lang w:val="fr-CA"/>
        </w:rPr>
        <w:tab/>
        <w:t>Procureurs de l’intervenant</w:t>
      </w:r>
      <w:r w:rsidRPr="00BD5CBF">
        <w:rPr>
          <w:rStyle w:val="SCCCounselPartyRoleChar"/>
          <w:i/>
          <w:lang w:val="fr-CA"/>
        </w:rPr>
        <w:t>e</w:t>
      </w:r>
      <w:r w:rsidRPr="00BD5CBF">
        <w:rPr>
          <w:i/>
          <w:lang w:val="fr-CA"/>
        </w:rPr>
        <w:t> : Borden Ladner Gervais, Montréal.</w:t>
      </w:r>
    </w:p>
    <w:sectPr w:rsidR="004D109C" w:rsidRPr="00BD5CBF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B51D" w14:textId="77777777" w:rsidR="00B21EB9" w:rsidRDefault="00B21EB9">
      <w:r>
        <w:separator/>
      </w:r>
    </w:p>
  </w:endnote>
  <w:endnote w:type="continuationSeparator" w:id="0">
    <w:p w14:paraId="7442AD43" w14:textId="77777777" w:rsidR="00B21EB9" w:rsidRDefault="00B2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5304" w14:textId="77777777" w:rsidR="00B21EB9" w:rsidRDefault="00B21EB9">
      <w:r>
        <w:separator/>
      </w:r>
    </w:p>
  </w:footnote>
  <w:footnote w:type="continuationSeparator" w:id="0">
    <w:p w14:paraId="6F264235" w14:textId="77777777" w:rsidR="00B21EB9" w:rsidRDefault="00B2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0E0E"/>
    <w:rsid w:val="00013781"/>
    <w:rsid w:val="00017885"/>
    <w:rsid w:val="00021580"/>
    <w:rsid w:val="00025198"/>
    <w:rsid w:val="00026467"/>
    <w:rsid w:val="00040D1B"/>
    <w:rsid w:val="00041BDD"/>
    <w:rsid w:val="000434EA"/>
    <w:rsid w:val="000520B6"/>
    <w:rsid w:val="000578A3"/>
    <w:rsid w:val="00063E74"/>
    <w:rsid w:val="000648CC"/>
    <w:rsid w:val="00076E46"/>
    <w:rsid w:val="00081938"/>
    <w:rsid w:val="00083BAE"/>
    <w:rsid w:val="000901CC"/>
    <w:rsid w:val="00094FED"/>
    <w:rsid w:val="000A2170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534F"/>
    <w:rsid w:val="001160DE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76387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2F2282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25844"/>
    <w:rsid w:val="003310DE"/>
    <w:rsid w:val="003323B0"/>
    <w:rsid w:val="00337C82"/>
    <w:rsid w:val="00342089"/>
    <w:rsid w:val="00347BA4"/>
    <w:rsid w:val="0035169A"/>
    <w:rsid w:val="0035259D"/>
    <w:rsid w:val="00353B79"/>
    <w:rsid w:val="00355C66"/>
    <w:rsid w:val="00362ADA"/>
    <w:rsid w:val="003636BF"/>
    <w:rsid w:val="00364B18"/>
    <w:rsid w:val="00396BF3"/>
    <w:rsid w:val="003A125D"/>
    <w:rsid w:val="003A4C70"/>
    <w:rsid w:val="003B215F"/>
    <w:rsid w:val="003C2CFF"/>
    <w:rsid w:val="003C799C"/>
    <w:rsid w:val="003D0399"/>
    <w:rsid w:val="003E1C71"/>
    <w:rsid w:val="003E23FA"/>
    <w:rsid w:val="003E2693"/>
    <w:rsid w:val="003E53AC"/>
    <w:rsid w:val="003F2888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4FE1"/>
    <w:rsid w:val="00426659"/>
    <w:rsid w:val="00426D16"/>
    <w:rsid w:val="00436FB7"/>
    <w:rsid w:val="00450352"/>
    <w:rsid w:val="00454BDB"/>
    <w:rsid w:val="00454C87"/>
    <w:rsid w:val="004557F2"/>
    <w:rsid w:val="00463A7A"/>
    <w:rsid w:val="00464800"/>
    <w:rsid w:val="00464BF6"/>
    <w:rsid w:val="00465132"/>
    <w:rsid w:val="00465EF1"/>
    <w:rsid w:val="004707F9"/>
    <w:rsid w:val="00470DB3"/>
    <w:rsid w:val="004721F0"/>
    <w:rsid w:val="0047411A"/>
    <w:rsid w:val="00480C90"/>
    <w:rsid w:val="0048396F"/>
    <w:rsid w:val="00493C18"/>
    <w:rsid w:val="00495D96"/>
    <w:rsid w:val="004A2760"/>
    <w:rsid w:val="004A600C"/>
    <w:rsid w:val="004A6118"/>
    <w:rsid w:val="004C2314"/>
    <w:rsid w:val="004C25EE"/>
    <w:rsid w:val="004C3AE1"/>
    <w:rsid w:val="004C478D"/>
    <w:rsid w:val="004D109C"/>
    <w:rsid w:val="004D4FEC"/>
    <w:rsid w:val="004D6595"/>
    <w:rsid w:val="004E0D6A"/>
    <w:rsid w:val="004E2C26"/>
    <w:rsid w:val="004E54D3"/>
    <w:rsid w:val="004E61A7"/>
    <w:rsid w:val="004F36FF"/>
    <w:rsid w:val="004F79C1"/>
    <w:rsid w:val="005125A8"/>
    <w:rsid w:val="00516DED"/>
    <w:rsid w:val="00521AE8"/>
    <w:rsid w:val="00524449"/>
    <w:rsid w:val="00526016"/>
    <w:rsid w:val="00527180"/>
    <w:rsid w:val="005341CE"/>
    <w:rsid w:val="00534AB2"/>
    <w:rsid w:val="005419EE"/>
    <w:rsid w:val="0054201E"/>
    <w:rsid w:val="00547D98"/>
    <w:rsid w:val="005541DB"/>
    <w:rsid w:val="00555291"/>
    <w:rsid w:val="005577D5"/>
    <w:rsid w:val="0056265A"/>
    <w:rsid w:val="00566AD1"/>
    <w:rsid w:val="0057257D"/>
    <w:rsid w:val="0058024B"/>
    <w:rsid w:val="00583EDE"/>
    <w:rsid w:val="00586928"/>
    <w:rsid w:val="005966EF"/>
    <w:rsid w:val="005A4F85"/>
    <w:rsid w:val="005A6079"/>
    <w:rsid w:val="005C4CA0"/>
    <w:rsid w:val="005C514E"/>
    <w:rsid w:val="005C7840"/>
    <w:rsid w:val="005D276E"/>
    <w:rsid w:val="005E4698"/>
    <w:rsid w:val="006003EE"/>
    <w:rsid w:val="00610539"/>
    <w:rsid w:val="00613969"/>
    <w:rsid w:val="0061523C"/>
    <w:rsid w:val="00617208"/>
    <w:rsid w:val="00624705"/>
    <w:rsid w:val="00625C35"/>
    <w:rsid w:val="00626A7D"/>
    <w:rsid w:val="0062787A"/>
    <w:rsid w:val="00635521"/>
    <w:rsid w:val="00641280"/>
    <w:rsid w:val="006468AB"/>
    <w:rsid w:val="00656313"/>
    <w:rsid w:val="006565F4"/>
    <w:rsid w:val="0066108F"/>
    <w:rsid w:val="006763FD"/>
    <w:rsid w:val="00684EEA"/>
    <w:rsid w:val="006908E8"/>
    <w:rsid w:val="0069689B"/>
    <w:rsid w:val="006A1551"/>
    <w:rsid w:val="006A48DB"/>
    <w:rsid w:val="006B5FF5"/>
    <w:rsid w:val="006B7683"/>
    <w:rsid w:val="006D4200"/>
    <w:rsid w:val="006F30AF"/>
    <w:rsid w:val="007009A0"/>
    <w:rsid w:val="00701759"/>
    <w:rsid w:val="00701CF2"/>
    <w:rsid w:val="00705C15"/>
    <w:rsid w:val="00712E55"/>
    <w:rsid w:val="00713025"/>
    <w:rsid w:val="007154A1"/>
    <w:rsid w:val="0071600E"/>
    <w:rsid w:val="007162FD"/>
    <w:rsid w:val="0071662F"/>
    <w:rsid w:val="00716899"/>
    <w:rsid w:val="00717FDC"/>
    <w:rsid w:val="007208D1"/>
    <w:rsid w:val="0072428C"/>
    <w:rsid w:val="00730177"/>
    <w:rsid w:val="00742119"/>
    <w:rsid w:val="00746D7D"/>
    <w:rsid w:val="00747288"/>
    <w:rsid w:val="00747DD3"/>
    <w:rsid w:val="007549C8"/>
    <w:rsid w:val="00754A0B"/>
    <w:rsid w:val="007667AA"/>
    <w:rsid w:val="00766D14"/>
    <w:rsid w:val="00767A0F"/>
    <w:rsid w:val="00772C0E"/>
    <w:rsid w:val="00787087"/>
    <w:rsid w:val="00795668"/>
    <w:rsid w:val="00796207"/>
    <w:rsid w:val="007A05F6"/>
    <w:rsid w:val="007B3D74"/>
    <w:rsid w:val="007B6F4A"/>
    <w:rsid w:val="007D097E"/>
    <w:rsid w:val="007E1C47"/>
    <w:rsid w:val="007E337A"/>
    <w:rsid w:val="007E57D0"/>
    <w:rsid w:val="007E5C70"/>
    <w:rsid w:val="007E7C7D"/>
    <w:rsid w:val="007F2FF5"/>
    <w:rsid w:val="007F3F08"/>
    <w:rsid w:val="00804CC6"/>
    <w:rsid w:val="00813B48"/>
    <w:rsid w:val="00817190"/>
    <w:rsid w:val="008177F7"/>
    <w:rsid w:val="00820EE5"/>
    <w:rsid w:val="008244E9"/>
    <w:rsid w:val="008260E2"/>
    <w:rsid w:val="008322BD"/>
    <w:rsid w:val="008323C4"/>
    <w:rsid w:val="00833E0A"/>
    <w:rsid w:val="00834F73"/>
    <w:rsid w:val="00843C98"/>
    <w:rsid w:val="00847F55"/>
    <w:rsid w:val="008544FA"/>
    <w:rsid w:val="0086301B"/>
    <w:rsid w:val="00864CF8"/>
    <w:rsid w:val="00872819"/>
    <w:rsid w:val="00874914"/>
    <w:rsid w:val="00891422"/>
    <w:rsid w:val="00892E1A"/>
    <w:rsid w:val="008A3F29"/>
    <w:rsid w:val="008B660A"/>
    <w:rsid w:val="008B70F9"/>
    <w:rsid w:val="008C01DA"/>
    <w:rsid w:val="008C02C9"/>
    <w:rsid w:val="008C7263"/>
    <w:rsid w:val="008D2104"/>
    <w:rsid w:val="008D5D92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555B7"/>
    <w:rsid w:val="009567AA"/>
    <w:rsid w:val="0096473A"/>
    <w:rsid w:val="00965D15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D6DBE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52AFB"/>
    <w:rsid w:val="00A548CB"/>
    <w:rsid w:val="00A5521C"/>
    <w:rsid w:val="00A557A1"/>
    <w:rsid w:val="00A55CEF"/>
    <w:rsid w:val="00A55D37"/>
    <w:rsid w:val="00A61FD8"/>
    <w:rsid w:val="00A643E7"/>
    <w:rsid w:val="00A73C38"/>
    <w:rsid w:val="00AB657B"/>
    <w:rsid w:val="00AB670D"/>
    <w:rsid w:val="00AC6FA4"/>
    <w:rsid w:val="00AD2826"/>
    <w:rsid w:val="00AD342F"/>
    <w:rsid w:val="00AE25FE"/>
    <w:rsid w:val="00AE4535"/>
    <w:rsid w:val="00AF03C5"/>
    <w:rsid w:val="00AF0B26"/>
    <w:rsid w:val="00AF1425"/>
    <w:rsid w:val="00AF4097"/>
    <w:rsid w:val="00B000D8"/>
    <w:rsid w:val="00B00F75"/>
    <w:rsid w:val="00B073B0"/>
    <w:rsid w:val="00B11735"/>
    <w:rsid w:val="00B1431F"/>
    <w:rsid w:val="00B145B6"/>
    <w:rsid w:val="00B21EB9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704C5"/>
    <w:rsid w:val="00B815FC"/>
    <w:rsid w:val="00B93FBC"/>
    <w:rsid w:val="00BA066D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67ED"/>
    <w:rsid w:val="00BF1D07"/>
    <w:rsid w:val="00C02092"/>
    <w:rsid w:val="00C101DF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97C71"/>
    <w:rsid w:val="00CA6391"/>
    <w:rsid w:val="00CA65B0"/>
    <w:rsid w:val="00CA7B39"/>
    <w:rsid w:val="00CB5B04"/>
    <w:rsid w:val="00CC34BD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8694F"/>
    <w:rsid w:val="00D90B9E"/>
    <w:rsid w:val="00D91A89"/>
    <w:rsid w:val="00D95F8E"/>
    <w:rsid w:val="00DA0590"/>
    <w:rsid w:val="00DA4F42"/>
    <w:rsid w:val="00DB7BEA"/>
    <w:rsid w:val="00DC1739"/>
    <w:rsid w:val="00DC1788"/>
    <w:rsid w:val="00DC2348"/>
    <w:rsid w:val="00DC2F37"/>
    <w:rsid w:val="00DC5DE2"/>
    <w:rsid w:val="00DC7D1A"/>
    <w:rsid w:val="00DD105B"/>
    <w:rsid w:val="00DD55B4"/>
    <w:rsid w:val="00DE319C"/>
    <w:rsid w:val="00DE54B0"/>
    <w:rsid w:val="00DE666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05FC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D681A"/>
    <w:rsid w:val="00EE5737"/>
    <w:rsid w:val="00EE643C"/>
    <w:rsid w:val="00EF0683"/>
    <w:rsid w:val="00EF69D2"/>
    <w:rsid w:val="00EF766E"/>
    <w:rsid w:val="00F0070C"/>
    <w:rsid w:val="00F00EB7"/>
    <w:rsid w:val="00F03D8E"/>
    <w:rsid w:val="00F36AB6"/>
    <w:rsid w:val="00F37A09"/>
    <w:rsid w:val="00F409CE"/>
    <w:rsid w:val="00F4379D"/>
    <w:rsid w:val="00F43876"/>
    <w:rsid w:val="00F50635"/>
    <w:rsid w:val="00F50D2D"/>
    <w:rsid w:val="00F56C8B"/>
    <w:rsid w:val="00F66810"/>
    <w:rsid w:val="00F846D9"/>
    <w:rsid w:val="00F84DF4"/>
    <w:rsid w:val="00F85C97"/>
    <w:rsid w:val="00F94A57"/>
    <w:rsid w:val="00FA51A0"/>
    <w:rsid w:val="00FB37D2"/>
    <w:rsid w:val="00FB7D08"/>
    <w:rsid w:val="00FC07F2"/>
    <w:rsid w:val="00FC3788"/>
    <w:rsid w:val="00FC4EFB"/>
    <w:rsid w:val="00FD068D"/>
    <w:rsid w:val="00FD4F28"/>
    <w:rsid w:val="00FE0416"/>
    <w:rsid w:val="00FE6784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A1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D8694F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D8694F"/>
    <w:rPr>
      <w:rFonts w:eastAsiaTheme="minorHAnsi" w:cstheme="minorBidi"/>
      <w:b/>
      <w:szCs w:val="22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D8694F"/>
    <w:rPr>
      <w:rFonts w:eastAsiaTheme="minorHAnsi" w:cstheme="minorBidi"/>
      <w:b/>
      <w:sz w:val="24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0D8D-2BF4-4B1A-B307-7E4D80E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2022-06-27T19:56:00Z</dcterms:created>
  <dcterms:modified xsi:type="dcterms:W3CDTF">2024-01-11T15:58:00Z</dcterms:modified>
</cp:coreProperties>
</file>