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6"/>
        <w:gridCol w:w="1733"/>
        <w:gridCol w:w="3660"/>
        <w:gridCol w:w="21"/>
      </w:tblGrid>
      <w:tr w:rsidR="00045C60" w:rsidTr="008E32ED">
        <w:trPr>
          <w:trHeight w:val="1786"/>
        </w:trPr>
        <w:tc>
          <w:tcPr>
            <w:tcW w:w="5000" w:type="pct"/>
            <w:gridSpan w:val="4"/>
          </w:tcPr>
          <w:p w:rsidR="00045C60" w:rsidRDefault="00045C60"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3.85pt" o:ole="">
                  <v:imagedata r:id="rId8" o:title=""/>
                </v:shape>
                <o:OLEObject Type="Embed" ProgID="Presentations.Drawing.15" ShapeID="_x0000_i1025" DrawAspect="Content" ObjectID="_1766475963" r:id="rId9"/>
              </w:object>
            </w:r>
          </w:p>
          <w:p w:rsidR="00045C60" w:rsidRDefault="00045C60" w:rsidP="008E32E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045C60" w:rsidRPr="00B954E0" w:rsidTr="008E32ED">
        <w:trPr>
          <w:gridAfter w:val="1"/>
          <w:wAfter w:w="11" w:type="pct"/>
        </w:trPr>
        <w:tc>
          <w:tcPr>
            <w:tcW w:w="2108" w:type="pct"/>
            <w:tcMar>
              <w:top w:w="284" w:type="dxa"/>
            </w:tcMar>
          </w:tcPr>
          <w:p w:rsidR="00045C60" w:rsidRPr="00B954E0" w:rsidRDefault="00045C60" w:rsidP="008E32ED">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Pr>
                <w:i/>
                <w:lang w:val="fr-CA"/>
              </w:rPr>
              <w:t xml:space="preserve">c. </w:t>
            </w:r>
            <w:r>
              <w:rPr>
                <w:lang w:val="fr-CA"/>
              </w:rPr>
              <w:t>W.M., 2020 CSC 42, [2020] 3 R.C.S. 787</w:t>
            </w:r>
          </w:p>
        </w:tc>
        <w:tc>
          <w:tcPr>
            <w:tcW w:w="926" w:type="pct"/>
          </w:tcPr>
          <w:p w:rsidR="00045C60" w:rsidRPr="00CB5B04" w:rsidRDefault="00045C60" w:rsidP="008E32ED">
            <w:pPr>
              <w:rPr>
                <w:b/>
                <w:smallCaps/>
                <w:lang w:val="fr-CA"/>
              </w:rPr>
            </w:pPr>
          </w:p>
        </w:tc>
        <w:tc>
          <w:tcPr>
            <w:tcW w:w="1955" w:type="pct"/>
            <w:tcMar>
              <w:top w:w="284" w:type="dxa"/>
            </w:tcMar>
          </w:tcPr>
          <w:p w:rsidR="00045C60" w:rsidRPr="00CB5B04" w:rsidRDefault="00045C60" w:rsidP="008E32ED">
            <w:pPr>
              <w:rPr>
                <w:lang w:val="fr-CA"/>
              </w:rPr>
            </w:pPr>
            <w:r w:rsidRPr="00CB5B04">
              <w:rPr>
                <w:b/>
                <w:smallCaps/>
                <w:lang w:val="fr-CA"/>
              </w:rPr>
              <w:t>Appel entendu :</w:t>
            </w:r>
            <w:r w:rsidRPr="00CB5B04">
              <w:rPr>
                <w:lang w:val="fr-CA"/>
              </w:rPr>
              <w:t xml:space="preserve"> </w:t>
            </w:r>
            <w:r>
              <w:rPr>
                <w:lang w:val="fr-CA"/>
              </w:rPr>
              <w:t>10 décembre 2020</w:t>
            </w:r>
          </w:p>
          <w:p w:rsidR="00045C60" w:rsidRPr="00B954E0" w:rsidRDefault="00045C60" w:rsidP="008E32ED">
            <w:pPr>
              <w:rPr>
                <w:b/>
                <w:lang w:val="fr-CA"/>
              </w:rPr>
            </w:pPr>
            <w:r w:rsidRPr="00CB5B04">
              <w:rPr>
                <w:b/>
                <w:smallCaps/>
                <w:lang w:val="fr-CA"/>
              </w:rPr>
              <w:t xml:space="preserve">Jugement rendu : </w:t>
            </w:r>
            <w:r w:rsidRPr="00B954E0">
              <w:rPr>
                <w:lang w:val="fr-CA"/>
              </w:rPr>
              <w:t>10 décembre 2020</w:t>
            </w:r>
          </w:p>
          <w:p w:rsidR="00045C60" w:rsidRPr="00A9085B" w:rsidRDefault="00045C60" w:rsidP="008E32ED">
            <w:pPr>
              <w:rPr>
                <w:rFonts w:eastAsia="Calibri"/>
                <w:lang w:val="fr-CA"/>
              </w:rPr>
            </w:pPr>
            <w:r w:rsidRPr="00A9085B">
              <w:rPr>
                <w:b/>
                <w:smallCaps/>
                <w:lang w:val="fr-CA"/>
              </w:rPr>
              <w:t>Dossier :</w:t>
            </w:r>
            <w:r w:rsidRPr="00A9085B">
              <w:rPr>
                <w:lang w:val="fr-CA"/>
              </w:rPr>
              <w:t xml:space="preserve"> </w:t>
            </w:r>
            <w:r>
              <w:rPr>
                <w:lang w:val="fr-CA"/>
              </w:rPr>
              <w:t>39114</w:t>
            </w:r>
          </w:p>
        </w:tc>
      </w:tr>
      <w:tr w:rsidR="00045C60" w:rsidRPr="00EC05FA" w:rsidTr="008E32ED">
        <w:tc>
          <w:tcPr>
            <w:tcW w:w="5000" w:type="pct"/>
            <w:gridSpan w:val="4"/>
          </w:tcPr>
          <w:p w:rsidR="00045C60" w:rsidRDefault="00045C60" w:rsidP="008E32ED">
            <w:pPr>
              <w:rPr>
                <w:rFonts w:eastAsiaTheme="minorHAnsi" w:cstheme="minorBidi"/>
                <w:b/>
                <w:smallCaps/>
                <w:szCs w:val="24"/>
                <w:lang w:val="fr-CA" w:eastAsia="en-US"/>
              </w:rPr>
            </w:pPr>
          </w:p>
          <w:p w:rsidR="00045C60" w:rsidRPr="006E0252" w:rsidRDefault="00045C60" w:rsidP="008E32ED">
            <w:pPr>
              <w:rPr>
                <w:rFonts w:eastAsiaTheme="minorHAnsi" w:cstheme="minorBidi"/>
                <w:b/>
                <w:smallCaps/>
                <w:szCs w:val="24"/>
                <w:lang w:val="fr-CA" w:eastAsia="en-US"/>
              </w:rPr>
            </w:pPr>
            <w:r w:rsidRPr="006E0252">
              <w:rPr>
                <w:rFonts w:eastAsiaTheme="minorHAnsi" w:cstheme="minorBidi"/>
                <w:b/>
                <w:smallCaps/>
                <w:szCs w:val="24"/>
                <w:lang w:val="fr-CA" w:eastAsia="en-US"/>
              </w:rPr>
              <w:t>Entre :</w:t>
            </w:r>
          </w:p>
          <w:p w:rsidR="00045C60" w:rsidRPr="00A64041" w:rsidRDefault="00045C60" w:rsidP="008E32ED">
            <w:pPr>
              <w:rPr>
                <w:rFonts w:eastAsiaTheme="minorHAnsi" w:cstheme="minorBidi"/>
                <w:b/>
                <w:szCs w:val="24"/>
                <w:lang w:val="fr-CA" w:eastAsia="en-US"/>
              </w:rPr>
            </w:pPr>
          </w:p>
          <w:p w:rsidR="00045C60" w:rsidRDefault="00045C60" w:rsidP="008E32ED">
            <w:pPr>
              <w:jc w:val="center"/>
              <w:rPr>
                <w:rFonts w:eastAsiaTheme="minorHAnsi" w:cstheme="minorBidi"/>
                <w:b/>
                <w:szCs w:val="24"/>
                <w:lang w:val="fr-CA" w:eastAsia="en-US"/>
              </w:rPr>
            </w:pPr>
            <w:r>
              <w:rPr>
                <w:rFonts w:eastAsiaTheme="minorHAnsi" w:cstheme="minorBidi"/>
                <w:b/>
                <w:szCs w:val="24"/>
                <w:lang w:val="fr-CA" w:eastAsia="en-US"/>
              </w:rPr>
              <w:t>Sa Majesté la Reine</w:t>
            </w:r>
          </w:p>
          <w:p w:rsidR="00045C60" w:rsidRDefault="00045C60" w:rsidP="008E32ED">
            <w:pPr>
              <w:jc w:val="center"/>
              <w:rPr>
                <w:rFonts w:eastAsiaTheme="minorHAnsi" w:cstheme="minorBidi"/>
                <w:szCs w:val="24"/>
                <w:lang w:val="fr-CA" w:eastAsia="en-US"/>
              </w:rPr>
            </w:pPr>
            <w:r>
              <w:rPr>
                <w:rFonts w:eastAsiaTheme="minorHAnsi" w:cstheme="minorBidi"/>
                <w:szCs w:val="24"/>
                <w:lang w:val="fr-CA" w:eastAsia="en-US"/>
              </w:rPr>
              <w:t>Appelante</w:t>
            </w:r>
          </w:p>
          <w:p w:rsidR="00045C60" w:rsidRDefault="00045C60" w:rsidP="008E32ED">
            <w:pPr>
              <w:jc w:val="center"/>
              <w:rPr>
                <w:rFonts w:eastAsiaTheme="minorHAnsi" w:cstheme="minorBidi"/>
                <w:szCs w:val="24"/>
                <w:lang w:val="fr-CA" w:eastAsia="en-US"/>
              </w:rPr>
            </w:pPr>
          </w:p>
          <w:p w:rsidR="00045C60" w:rsidRDefault="00045C60" w:rsidP="008E32ED">
            <w:pPr>
              <w:jc w:val="center"/>
              <w:rPr>
                <w:rFonts w:eastAsiaTheme="minorHAnsi" w:cstheme="minorBidi"/>
                <w:szCs w:val="24"/>
                <w:lang w:val="fr-CA" w:eastAsia="en-US"/>
              </w:rPr>
            </w:pPr>
            <w:r>
              <w:rPr>
                <w:rFonts w:eastAsiaTheme="minorHAnsi" w:cstheme="minorBidi"/>
                <w:szCs w:val="24"/>
                <w:lang w:val="fr-CA" w:eastAsia="en-US"/>
              </w:rPr>
              <w:t>et</w:t>
            </w:r>
          </w:p>
          <w:p w:rsidR="00045C60" w:rsidRDefault="00045C60" w:rsidP="008E32ED">
            <w:pPr>
              <w:jc w:val="center"/>
              <w:rPr>
                <w:rFonts w:eastAsiaTheme="minorHAnsi" w:cstheme="minorBidi"/>
                <w:szCs w:val="24"/>
                <w:lang w:val="fr-CA" w:eastAsia="en-US"/>
              </w:rPr>
            </w:pPr>
          </w:p>
          <w:p w:rsidR="00045C60" w:rsidRDefault="00045C60" w:rsidP="008E32ED">
            <w:pPr>
              <w:jc w:val="center"/>
              <w:rPr>
                <w:rFonts w:eastAsiaTheme="minorHAnsi" w:cstheme="minorBidi"/>
                <w:szCs w:val="24"/>
                <w:lang w:val="fr-CA" w:eastAsia="en-US"/>
              </w:rPr>
            </w:pPr>
            <w:r>
              <w:rPr>
                <w:rFonts w:eastAsiaTheme="minorHAnsi" w:cstheme="minorBidi"/>
                <w:b/>
                <w:szCs w:val="24"/>
                <w:lang w:val="fr-CA" w:eastAsia="en-US"/>
              </w:rPr>
              <w:t>W.M.</w:t>
            </w:r>
          </w:p>
          <w:p w:rsidR="00045C60" w:rsidRDefault="00045C60" w:rsidP="008E32ED">
            <w:pPr>
              <w:jc w:val="center"/>
              <w:rPr>
                <w:rFonts w:eastAsiaTheme="minorHAnsi" w:cstheme="minorBidi"/>
                <w:szCs w:val="24"/>
                <w:lang w:val="fr-CA" w:eastAsia="en-US"/>
              </w:rPr>
            </w:pPr>
            <w:r>
              <w:rPr>
                <w:rFonts w:eastAsiaTheme="minorHAnsi" w:cstheme="minorBidi"/>
                <w:szCs w:val="24"/>
                <w:lang w:val="fr-CA" w:eastAsia="en-US"/>
              </w:rPr>
              <w:t>Intimé</w:t>
            </w:r>
          </w:p>
          <w:p w:rsidR="00045C60" w:rsidRDefault="00045C60" w:rsidP="008E32ED">
            <w:pPr>
              <w:rPr>
                <w:rFonts w:eastAsiaTheme="minorHAnsi" w:cstheme="minorBidi"/>
                <w:szCs w:val="24"/>
                <w:lang w:val="fr-CA" w:eastAsia="en-US"/>
              </w:rPr>
            </w:pPr>
          </w:p>
          <w:p w:rsidR="00045C60" w:rsidRDefault="00045C60" w:rsidP="008E32ED">
            <w:pPr>
              <w:rPr>
                <w:rFonts w:eastAsiaTheme="minorHAnsi" w:cstheme="minorBidi"/>
                <w:szCs w:val="24"/>
                <w:lang w:val="fr-CA" w:eastAsia="en-US"/>
              </w:rPr>
            </w:pPr>
          </w:p>
          <w:p w:rsidR="00045C60" w:rsidRPr="00CB5B04" w:rsidRDefault="00045C60" w:rsidP="008E32ED">
            <w:pPr>
              <w:rPr>
                <w:rFonts w:eastAsiaTheme="minorHAnsi" w:cstheme="minorBidi"/>
                <w:szCs w:val="24"/>
                <w:lang w:val="fr-CA" w:eastAsia="en-US"/>
              </w:rPr>
            </w:pPr>
          </w:p>
          <w:p w:rsidR="00045C60" w:rsidRPr="00CB5B04" w:rsidRDefault="00045C60" w:rsidP="008E32ED">
            <w:pPr>
              <w:jc w:val="center"/>
              <w:rPr>
                <w:rFonts w:eastAsiaTheme="minorHAnsi" w:cstheme="minorBidi"/>
                <w:b/>
                <w:smallCaps/>
                <w:szCs w:val="24"/>
                <w:lang w:val="fr-CA" w:eastAsia="en-US"/>
              </w:rPr>
            </w:pPr>
            <w:r w:rsidRPr="002C6D91">
              <w:rPr>
                <w:rFonts w:eastAsiaTheme="minorHAnsi" w:cstheme="minorBidi"/>
                <w:b/>
                <w:smallCaps/>
                <w:szCs w:val="24"/>
                <w:lang w:val="fr-CA" w:eastAsia="en-US"/>
              </w:rPr>
              <w:t>Traduction française officielle</w:t>
            </w:r>
          </w:p>
          <w:p w:rsidR="00045C60" w:rsidRPr="00B954E0" w:rsidRDefault="00045C60" w:rsidP="008E32ED">
            <w:pPr>
              <w:rPr>
                <w:b/>
                <w:smallCaps/>
                <w:lang w:val="fr-CA"/>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973"/>
        <w:gridCol w:w="7366"/>
        <w:gridCol w:w="21"/>
      </w:tblGrid>
      <w:tr w:rsidR="00045C60" w:rsidRPr="00EC05FA" w:rsidTr="008E32ED">
        <w:trPr>
          <w:cantSplit/>
          <w:trHeight w:val="508"/>
        </w:trPr>
        <w:tc>
          <w:tcPr>
            <w:tcW w:w="5000" w:type="pct"/>
            <w:gridSpan w:val="3"/>
            <w:tcMar>
              <w:top w:w="284" w:type="dxa"/>
              <w:bottom w:w="57" w:type="dxa"/>
            </w:tcMar>
            <w:vAlign w:val="center"/>
          </w:tcPr>
          <w:p w:rsidR="00045C60" w:rsidRPr="00CB5B04" w:rsidRDefault="00045C60" w:rsidP="008E32ED">
            <w:pPr>
              <w:rPr>
                <w:lang w:val="fr-CA"/>
              </w:rPr>
            </w:pPr>
            <w:r w:rsidRPr="00CB5B04">
              <w:rPr>
                <w:b/>
                <w:smallCaps/>
                <w:lang w:val="fr-CA"/>
              </w:rPr>
              <w:t>Coram :</w:t>
            </w:r>
            <w:r w:rsidRPr="00CB5B04">
              <w:rPr>
                <w:lang w:val="fr-CA"/>
              </w:rPr>
              <w:t xml:space="preserve"> Le juge en chef Wagner</w:t>
            </w:r>
            <w:r>
              <w:rPr>
                <w:lang w:val="fr-CA"/>
              </w:rPr>
              <w:t xml:space="preserve"> et les juges Abella, Moldaver, Côté et Rowe</w:t>
            </w:r>
          </w:p>
        </w:tc>
      </w:tr>
      <w:tr w:rsidR="00045C60" w:rsidRPr="00B954E0" w:rsidTr="008E32ED">
        <w:trPr>
          <w:gridAfter w:val="1"/>
          <w:wAfter w:w="11" w:type="pct"/>
          <w:cantSplit/>
          <w:trHeight w:val="983"/>
        </w:trPr>
        <w:tc>
          <w:tcPr>
            <w:tcW w:w="1054" w:type="pct"/>
            <w:tcMar>
              <w:top w:w="57" w:type="dxa"/>
              <w:bottom w:w="57" w:type="dxa"/>
            </w:tcMar>
            <w:vAlign w:val="center"/>
          </w:tcPr>
          <w:p w:rsidR="00045C60" w:rsidRPr="008E4A48" w:rsidRDefault="00045C60" w:rsidP="008E32ED">
            <w:pPr>
              <w:rPr>
                <w:smallCaps/>
                <w:lang w:val="fr-CA"/>
              </w:rPr>
            </w:pPr>
            <w:r w:rsidRPr="007B3D74">
              <w:rPr>
                <w:b/>
                <w:smallCaps/>
                <w:lang w:val="fr-CA"/>
              </w:rPr>
              <w:t>Jugement</w:t>
            </w:r>
            <w:r>
              <w:rPr>
                <w:b/>
                <w:smallCaps/>
                <w:lang w:val="fr-CA"/>
              </w:rPr>
              <w:t xml:space="preserve"> </w:t>
            </w:r>
            <w:r w:rsidRPr="007B3D74">
              <w:rPr>
                <w:b/>
                <w:smallCaps/>
                <w:lang w:val="fr-CA"/>
              </w:rPr>
              <w:t>unanime lu par:</w:t>
            </w:r>
            <w:r>
              <w:rPr>
                <w:b/>
                <w:smallCaps/>
                <w:lang w:val="fr-CA"/>
              </w:rPr>
              <w:t xml:space="preserve"> </w:t>
            </w:r>
          </w:p>
          <w:p w:rsidR="00045C60" w:rsidRPr="007B3D74" w:rsidRDefault="00045C60" w:rsidP="008E32ED">
            <w:pPr>
              <w:rPr>
                <w:b/>
                <w:smallCaps/>
                <w:lang w:val="fr-CA"/>
              </w:rPr>
            </w:pPr>
            <w:r w:rsidRPr="007B3D74">
              <w:rPr>
                <w:lang w:val="fr-CA"/>
              </w:rPr>
              <w:t>(par. 1</w:t>
            </w:r>
            <w:r>
              <w:rPr>
                <w:lang w:val="fr-CA"/>
              </w:rPr>
              <w:t xml:space="preserve"> à </w:t>
            </w:r>
            <w:r w:rsidRPr="002C6D91">
              <w:rPr>
                <w:lang w:val="fr-CA"/>
              </w:rPr>
              <w:t>3)</w:t>
            </w:r>
          </w:p>
        </w:tc>
        <w:tc>
          <w:tcPr>
            <w:tcW w:w="3935" w:type="pct"/>
            <w:tcMar>
              <w:top w:w="57" w:type="dxa"/>
            </w:tcMar>
            <w:vAlign w:val="center"/>
          </w:tcPr>
          <w:p w:rsidR="00045C60" w:rsidRDefault="00045C60" w:rsidP="008E32ED">
            <w:pPr>
              <w:rPr>
                <w:b/>
                <w:smallCaps/>
                <w:lang w:val="fr-CA"/>
              </w:rPr>
            </w:pPr>
            <w:r w:rsidRPr="002C6D91">
              <w:rPr>
                <w:lang w:val="fr-CA"/>
              </w:rPr>
              <w:t>Le juge en chef Wagner</w:t>
            </w:r>
          </w:p>
          <w:p w:rsidR="00045C60" w:rsidRPr="007B3D74" w:rsidRDefault="00045C60" w:rsidP="008E32ED">
            <w:pPr>
              <w:rPr>
                <w:b/>
                <w:smallCaps/>
                <w:lang w:val="fr-CA"/>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45C60" w:rsidRPr="00EC05FA" w:rsidTr="008E32ED">
        <w:tc>
          <w:tcPr>
            <w:tcW w:w="1500" w:type="pct"/>
            <w:tcMar>
              <w:top w:w="284" w:type="dxa"/>
            </w:tcMar>
          </w:tcPr>
          <w:p w:rsidR="00045C60" w:rsidRPr="00A9085B" w:rsidRDefault="00045C60" w:rsidP="008E32ED">
            <w:pPr>
              <w:rPr>
                <w:rFonts w:eastAsia="Calibri"/>
                <w:szCs w:val="24"/>
                <w:lang w:val="fr-CA" w:eastAsia="en-US"/>
              </w:rPr>
            </w:pPr>
          </w:p>
        </w:tc>
        <w:tc>
          <w:tcPr>
            <w:tcW w:w="2000" w:type="pct"/>
            <w:tcBorders>
              <w:bottom w:val="single" w:sz="4" w:space="0" w:color="auto"/>
            </w:tcBorders>
            <w:tcMar>
              <w:top w:w="284" w:type="dxa"/>
            </w:tcMar>
          </w:tcPr>
          <w:p w:rsidR="00045C60" w:rsidRPr="00A9085B" w:rsidRDefault="00045C60" w:rsidP="008E32ED">
            <w:pPr>
              <w:rPr>
                <w:rFonts w:eastAsia="Calibri"/>
                <w:szCs w:val="24"/>
                <w:lang w:val="fr-CA" w:eastAsia="en-US"/>
              </w:rPr>
            </w:pPr>
          </w:p>
        </w:tc>
        <w:tc>
          <w:tcPr>
            <w:tcW w:w="1500" w:type="pct"/>
            <w:tcMar>
              <w:top w:w="284" w:type="dxa"/>
            </w:tcMar>
          </w:tcPr>
          <w:p w:rsidR="00045C60" w:rsidRPr="00A9085B" w:rsidRDefault="00045C60" w:rsidP="008E32ED">
            <w:pPr>
              <w:rPr>
                <w:rFonts w:eastAsia="Calibri"/>
                <w:szCs w:val="24"/>
                <w:lang w:val="fr-CA" w:eastAsia="en-US"/>
              </w:rPr>
            </w:pPr>
          </w:p>
        </w:tc>
      </w:tr>
    </w:tbl>
    <w:p w:rsidR="00045C60" w:rsidRDefault="00045C60" w:rsidP="00C12620">
      <w:pPr>
        <w:spacing w:after="720"/>
        <w:jc w:val="both"/>
        <w:rPr>
          <w:smallCaps/>
          <w:lang w:val="fr-CA"/>
        </w:rPr>
        <w:sectPr w:rsidR="00045C60" w:rsidSect="006B396C">
          <w:pgSz w:w="12240" w:h="15840"/>
          <w:pgMar w:top="1440" w:right="1440" w:bottom="1440" w:left="1440" w:header="1802" w:footer="720" w:gutter="0"/>
          <w:cols w:space="720"/>
          <w:docGrid w:linePitch="326"/>
        </w:sectPr>
      </w:pPr>
    </w:p>
    <w:p w:rsidR="00C12620" w:rsidRPr="00C12620" w:rsidRDefault="00C12620" w:rsidP="00C12620">
      <w:pPr>
        <w:spacing w:after="720"/>
        <w:jc w:val="both"/>
        <w:rPr>
          <w:smallCaps/>
          <w:lang w:val="fr-CA"/>
        </w:rPr>
      </w:pPr>
      <w:bookmarkStart w:id="0" w:name="_GoBack"/>
      <w:bookmarkEnd w:id="0"/>
      <w:r w:rsidRPr="00C12620">
        <w:rPr>
          <w:smallCaps/>
          <w:lang w:val="fr-CA"/>
        </w:rPr>
        <w:lastRenderedPageBreak/>
        <w:t xml:space="preserve">r. </w:t>
      </w:r>
      <w:r w:rsidRPr="00C12620">
        <w:rPr>
          <w:i/>
          <w:lang w:val="fr-CA"/>
        </w:rPr>
        <w:t>c.</w:t>
      </w:r>
      <w:r w:rsidRPr="00C12620">
        <w:rPr>
          <w:lang w:val="fr-CA"/>
        </w:rPr>
        <w:t xml:space="preserve"> </w:t>
      </w:r>
      <w:r w:rsidRPr="00C12620">
        <w:rPr>
          <w:smallCaps/>
          <w:lang w:val="fr-CA"/>
        </w:rPr>
        <w:t>w.m.</w:t>
      </w:r>
    </w:p>
    <w:p w:rsidR="00C12620" w:rsidRPr="00C12620" w:rsidRDefault="00C12620" w:rsidP="00C12620">
      <w:pPr>
        <w:tabs>
          <w:tab w:val="right" w:pos="8222"/>
        </w:tabs>
        <w:spacing w:after="720"/>
        <w:rPr>
          <w:b/>
          <w:lang w:val="fr-CA"/>
        </w:rPr>
      </w:pPr>
      <w:r w:rsidRPr="00C12620">
        <w:rPr>
          <w:b/>
          <w:lang w:val="fr-CA"/>
        </w:rPr>
        <w:t>Sa Majesté la Reine</w:t>
      </w:r>
      <w:r w:rsidRPr="00C12620">
        <w:rPr>
          <w:i/>
          <w:lang w:val="fr-CA"/>
        </w:rPr>
        <w:tab/>
        <w:t>Appelante</w:t>
      </w:r>
    </w:p>
    <w:p w:rsidR="00C12620" w:rsidRPr="00C12620" w:rsidRDefault="00C12620" w:rsidP="00C12620">
      <w:pPr>
        <w:spacing w:after="720"/>
        <w:rPr>
          <w:i/>
          <w:lang w:val="fr-CA"/>
        </w:rPr>
      </w:pPr>
      <w:r w:rsidRPr="00C12620">
        <w:rPr>
          <w:i/>
          <w:lang w:val="fr-CA"/>
        </w:rPr>
        <w:t>c.</w:t>
      </w:r>
    </w:p>
    <w:p w:rsidR="00C12620" w:rsidRPr="00C12620" w:rsidRDefault="00C12620" w:rsidP="00C12620">
      <w:pPr>
        <w:tabs>
          <w:tab w:val="right" w:pos="8222"/>
        </w:tabs>
        <w:spacing w:after="720"/>
        <w:rPr>
          <w:b/>
          <w:lang w:val="fr-CA"/>
        </w:rPr>
      </w:pPr>
      <w:r w:rsidRPr="00C12620">
        <w:rPr>
          <w:b/>
          <w:lang w:val="fr-CA"/>
        </w:rPr>
        <w:t>W.M.</w:t>
      </w:r>
      <w:r w:rsidRPr="00C12620">
        <w:rPr>
          <w:i/>
          <w:lang w:val="fr-CA"/>
        </w:rPr>
        <w:tab/>
        <w:t>Intimé</w:t>
      </w:r>
    </w:p>
    <w:p w:rsidR="00C12620" w:rsidRPr="00C12620" w:rsidRDefault="00C12620" w:rsidP="00C12620">
      <w:pPr>
        <w:spacing w:after="720"/>
        <w:jc w:val="both"/>
        <w:rPr>
          <w:b/>
          <w:lang w:val="fr-CA"/>
        </w:rPr>
      </w:pPr>
    </w:p>
    <w:p w:rsidR="00C12620" w:rsidRPr="00C12620" w:rsidRDefault="00C12620" w:rsidP="00C12620">
      <w:pPr>
        <w:spacing w:after="720"/>
        <w:jc w:val="both"/>
        <w:rPr>
          <w:lang w:val="fr-CA"/>
        </w:rPr>
      </w:pPr>
      <w:r w:rsidRPr="00C12620">
        <w:rPr>
          <w:b/>
          <w:lang w:val="fr-CA"/>
        </w:rPr>
        <w:t xml:space="preserve">Répertorié : R. </w:t>
      </w:r>
      <w:r w:rsidRPr="00C12620">
        <w:rPr>
          <w:b/>
          <w:i/>
          <w:lang w:val="fr-CA"/>
        </w:rPr>
        <w:t>c.</w:t>
      </w:r>
      <w:r w:rsidRPr="00C12620">
        <w:rPr>
          <w:b/>
          <w:lang w:val="fr-CA"/>
        </w:rPr>
        <w:t xml:space="preserve"> W.M.</w:t>
      </w:r>
    </w:p>
    <w:p w:rsidR="00C12620" w:rsidRPr="00C12620" w:rsidRDefault="00C12620" w:rsidP="00C12620">
      <w:pPr>
        <w:spacing w:after="720"/>
        <w:jc w:val="both"/>
        <w:rPr>
          <w:b/>
          <w:lang w:val="fr-CA"/>
        </w:rPr>
      </w:pPr>
      <w:r w:rsidRPr="00C12620">
        <w:rPr>
          <w:b/>
          <w:lang w:val="fr-CA"/>
        </w:rPr>
        <w:t>2020 CSC 42</w:t>
      </w:r>
    </w:p>
    <w:p w:rsidR="00C12620" w:rsidRPr="00C12620" w:rsidRDefault="00C12620" w:rsidP="00C12620">
      <w:pPr>
        <w:spacing w:after="720"/>
        <w:jc w:val="both"/>
        <w:rPr>
          <w:lang w:val="fr-CA"/>
        </w:rPr>
      </w:pPr>
      <w:r w:rsidRPr="00C12620">
        <w:rPr>
          <w:lang w:val="fr-CA"/>
        </w:rPr>
        <w:t>N</w:t>
      </w:r>
      <w:r w:rsidRPr="00C12620">
        <w:rPr>
          <w:vertAlign w:val="superscript"/>
          <w:lang w:val="fr-CA"/>
        </w:rPr>
        <w:t>o</w:t>
      </w:r>
      <w:r w:rsidRPr="00C12620">
        <w:rPr>
          <w:lang w:val="fr-CA"/>
        </w:rPr>
        <w:t xml:space="preserve"> du greffe : </w:t>
      </w:r>
      <w:r w:rsidRPr="00C12620">
        <w:rPr>
          <w:color w:val="000000"/>
          <w:lang w:val="fr-CA"/>
        </w:rPr>
        <w:t>39114</w:t>
      </w:r>
      <w:r w:rsidRPr="00C12620">
        <w:rPr>
          <w:lang w:val="fr-CA"/>
        </w:rPr>
        <w:t>.</w:t>
      </w:r>
    </w:p>
    <w:p w:rsidR="00C12620" w:rsidRPr="00C12620" w:rsidRDefault="00C12620" w:rsidP="00C12620">
      <w:pPr>
        <w:spacing w:after="720"/>
        <w:jc w:val="both"/>
        <w:rPr>
          <w:lang w:val="fr-CA"/>
        </w:rPr>
      </w:pPr>
      <w:r w:rsidRPr="00C12620">
        <w:rPr>
          <w:lang w:val="fr-CA"/>
        </w:rPr>
        <w:t>2020 : 10 décembre.</w:t>
      </w:r>
    </w:p>
    <w:p w:rsidR="00C12620" w:rsidRPr="00C12620" w:rsidRDefault="00C12620" w:rsidP="00C12620">
      <w:pPr>
        <w:spacing w:after="720"/>
        <w:jc w:val="both"/>
        <w:rPr>
          <w:lang w:val="fr-CA"/>
        </w:rPr>
      </w:pPr>
      <w:r w:rsidRPr="00C12620">
        <w:rPr>
          <w:lang w:val="fr-CA"/>
        </w:rPr>
        <w:t>Présents : Le juge en chef Wagner et les juges Abella, Moldaver, Côté et Rowe.</w:t>
      </w:r>
    </w:p>
    <w:p w:rsidR="00C12620" w:rsidRPr="00C12620" w:rsidRDefault="00C12620" w:rsidP="00C12620">
      <w:pPr>
        <w:tabs>
          <w:tab w:val="left" w:pos="1168"/>
        </w:tabs>
        <w:spacing w:after="720"/>
        <w:jc w:val="both"/>
        <w:rPr>
          <w:smallCaps/>
          <w:lang w:val="fr-CA"/>
        </w:rPr>
      </w:pPr>
      <w:r w:rsidRPr="00C12620">
        <w:rPr>
          <w:smallCaps/>
          <w:lang w:val="fr-CA"/>
        </w:rPr>
        <w:t>en appel de la cour d’appel de l’ontario</w:t>
      </w:r>
    </w:p>
    <w:p w:rsidR="00C12620" w:rsidRPr="00C12620" w:rsidRDefault="00C12620" w:rsidP="00C12620">
      <w:pPr>
        <w:tabs>
          <w:tab w:val="left" w:pos="1168"/>
        </w:tabs>
        <w:spacing w:line="480" w:lineRule="auto"/>
        <w:jc w:val="both"/>
        <w:rPr>
          <w:lang w:val="fr-CA"/>
        </w:rPr>
      </w:pPr>
      <w:r w:rsidRPr="00C12620">
        <w:rPr>
          <w:lang w:val="fr-CA"/>
        </w:rPr>
        <w:tab/>
      </w:r>
      <w:r w:rsidRPr="00C12620">
        <w:rPr>
          <w:i/>
          <w:lang w:val="fr-CA"/>
        </w:rPr>
        <w:t xml:space="preserve">Droit criminel — </w:t>
      </w:r>
      <w:r w:rsidR="00AF032C">
        <w:rPr>
          <w:i/>
          <w:lang w:val="fr-CA"/>
        </w:rPr>
        <w:t>Appels</w:t>
      </w:r>
      <w:r w:rsidRPr="00C12620">
        <w:rPr>
          <w:i/>
          <w:lang w:val="fr-CA"/>
        </w:rPr>
        <w:t xml:space="preserve"> — </w:t>
      </w:r>
      <w:r w:rsidRPr="00C12620">
        <w:rPr>
          <w:i/>
          <w:iCs/>
          <w:lang w:val="fr-CA"/>
        </w:rPr>
        <w:t>Interprétation erronée de la preuve</w:t>
      </w:r>
      <w:r w:rsidRPr="00C12620">
        <w:rPr>
          <w:i/>
          <w:lang w:val="fr-CA"/>
        </w:rPr>
        <w:t xml:space="preserve"> — Erreur judiciaire — Accusé déclaré coupable de contacts sexuels — Motifs du juge du procès indiquant que l’accusé avait suivi un traitement pour délinquant sexuel en 2008 plutôt qu’en 2000, la date exacte —</w:t>
      </w:r>
      <w:r w:rsidRPr="00C12620">
        <w:rPr>
          <w:i/>
          <w:iCs/>
          <w:color w:val="000000"/>
          <w:lang w:val="fr-CA"/>
        </w:rPr>
        <w:t xml:space="preserve"> Arrêt majoritaire de la Cour d’appel ordonnant la tenue d’un nouveau procès au motif que</w:t>
      </w:r>
      <w:r w:rsidRPr="00C12620">
        <w:rPr>
          <w:i/>
          <w:iCs/>
          <w:lang w:val="fr-CA"/>
        </w:rPr>
        <w:t xml:space="preserve"> </w:t>
      </w:r>
      <w:r w:rsidRPr="00C12620">
        <w:rPr>
          <w:i/>
          <w:iCs/>
          <w:lang w:val="fr-CA"/>
        </w:rPr>
        <w:lastRenderedPageBreak/>
        <w:t>l’i</w:t>
      </w:r>
      <w:r w:rsidRPr="00C12620">
        <w:rPr>
          <w:i/>
          <w:iCs/>
          <w:color w:val="000000"/>
          <w:lang w:val="fr-CA"/>
        </w:rPr>
        <w:t>nterprétation erronée de la preuve par le juge du procès a eu une incidence sur la déclaration de culpabilité et entraîné une erreur judiciaire</w:t>
      </w:r>
      <w:r w:rsidRPr="00C12620">
        <w:rPr>
          <w:i/>
          <w:lang w:val="fr-CA"/>
        </w:rPr>
        <w:t xml:space="preserve"> — Conclusion du juge dissident portant que </w:t>
      </w:r>
      <w:r w:rsidRPr="00C12620">
        <w:rPr>
          <w:i/>
          <w:iCs/>
          <w:lang w:val="fr-CA"/>
        </w:rPr>
        <w:t>l’interprétation erronée de la preuve</w:t>
      </w:r>
      <w:r w:rsidRPr="00C12620">
        <w:rPr>
          <w:i/>
          <w:lang w:val="fr-CA"/>
        </w:rPr>
        <w:t xml:space="preserve"> par le juge du procès n’a pas joué un rôle essentiel dans le processus de raisonnement ayant mené à la déclaration de culpabilité — Déclaration de culpabilité rétablie</w:t>
      </w:r>
      <w:r w:rsidRPr="00C12620">
        <w:rPr>
          <w:lang w:val="fr-CA"/>
        </w:rPr>
        <w:t>.</w:t>
      </w:r>
    </w:p>
    <w:p w:rsidR="00C12620" w:rsidRPr="00C12620" w:rsidRDefault="00C12620" w:rsidP="00C12620">
      <w:pPr>
        <w:tabs>
          <w:tab w:val="left" w:pos="1168"/>
        </w:tabs>
        <w:spacing w:line="480" w:lineRule="auto"/>
        <w:jc w:val="both"/>
        <w:rPr>
          <w:lang w:val="fr-CA"/>
        </w:rPr>
      </w:pPr>
    </w:p>
    <w:p w:rsidR="00C12620" w:rsidRPr="00C12620" w:rsidRDefault="00C12620" w:rsidP="00C12620">
      <w:pPr>
        <w:tabs>
          <w:tab w:val="left" w:pos="1168"/>
        </w:tabs>
        <w:spacing w:line="480" w:lineRule="auto"/>
        <w:jc w:val="both"/>
        <w:rPr>
          <w:lang w:val="fr-CA"/>
        </w:rPr>
      </w:pPr>
      <w:r w:rsidRPr="00C12620">
        <w:rPr>
          <w:lang w:val="fr-CA"/>
        </w:rPr>
        <w:tab/>
        <w:t xml:space="preserve">POURVOI contre un arrêt de la Cour d’appel de l’Ontario (le juge en chef Strathy et les juges Miller et Trotter), </w:t>
      </w:r>
      <w:r w:rsidRPr="00C12620">
        <w:rPr>
          <w:color w:val="000000"/>
          <w:lang w:val="fr-CA"/>
        </w:rPr>
        <w:t xml:space="preserve">2020 ONCA 236, 453 D.L.R. (4th) 370, [2020] O.J. No. 1278 (QL), 2020 CarswellOnt 4061 (WL Can.), </w:t>
      </w:r>
      <w:r w:rsidRPr="00C12620">
        <w:rPr>
          <w:lang w:val="fr-CA"/>
        </w:rPr>
        <w:t>qui a annulé la déclaration de culpabilité pour contacts sexuels prononcée contre l’accusé et ordonné la tenue d’un nouveau procès. Pourvoi accueilli.</w:t>
      </w:r>
    </w:p>
    <w:p w:rsidR="00C12620" w:rsidRPr="00C12620" w:rsidRDefault="00C12620" w:rsidP="00C12620">
      <w:pPr>
        <w:tabs>
          <w:tab w:val="left" w:pos="1168"/>
        </w:tabs>
        <w:spacing w:line="480" w:lineRule="auto"/>
        <w:jc w:val="both"/>
        <w:rPr>
          <w:lang w:val="fr-CA"/>
        </w:rPr>
      </w:pPr>
    </w:p>
    <w:p w:rsidR="00C12620" w:rsidRPr="00C12620" w:rsidRDefault="00C12620" w:rsidP="00C12620">
      <w:pPr>
        <w:tabs>
          <w:tab w:val="left" w:pos="1168"/>
        </w:tabs>
        <w:spacing w:line="480" w:lineRule="auto"/>
        <w:jc w:val="both"/>
        <w:rPr>
          <w:lang w:val="fr-CA"/>
        </w:rPr>
      </w:pPr>
      <w:r w:rsidRPr="00C12620">
        <w:rPr>
          <w:lang w:val="fr-CA"/>
        </w:rPr>
        <w:tab/>
      </w:r>
      <w:r w:rsidRPr="00C12620">
        <w:rPr>
          <w:i/>
          <w:iCs/>
          <w:color w:val="000000"/>
          <w:lang w:val="fr-CA"/>
        </w:rPr>
        <w:t>Caitlin Sharawy</w:t>
      </w:r>
      <w:r w:rsidRPr="00C12620">
        <w:rPr>
          <w:lang w:val="fr-CA"/>
        </w:rPr>
        <w:t>, pour l’appelante.</w:t>
      </w:r>
    </w:p>
    <w:p w:rsidR="00C12620" w:rsidRPr="00C12620" w:rsidRDefault="00C12620" w:rsidP="00C12620">
      <w:pPr>
        <w:tabs>
          <w:tab w:val="left" w:pos="1168"/>
        </w:tabs>
        <w:spacing w:line="480" w:lineRule="auto"/>
        <w:jc w:val="both"/>
        <w:rPr>
          <w:lang w:val="fr-CA"/>
        </w:rPr>
      </w:pPr>
    </w:p>
    <w:p w:rsidR="00C12620" w:rsidRPr="00C12620" w:rsidRDefault="00C12620" w:rsidP="00C12620">
      <w:pPr>
        <w:tabs>
          <w:tab w:val="left" w:pos="1168"/>
        </w:tabs>
        <w:spacing w:line="480" w:lineRule="auto"/>
        <w:jc w:val="both"/>
        <w:rPr>
          <w:lang w:val="fr-CA"/>
        </w:rPr>
      </w:pPr>
      <w:r w:rsidRPr="00C12620">
        <w:rPr>
          <w:i/>
          <w:lang w:val="fr-CA"/>
        </w:rPr>
        <w:tab/>
      </w:r>
      <w:r w:rsidRPr="00C12620">
        <w:rPr>
          <w:i/>
          <w:iCs/>
          <w:color w:val="000000"/>
          <w:lang w:val="fr-CA"/>
        </w:rPr>
        <w:t>W. John McCulligh</w:t>
      </w:r>
      <w:r w:rsidRPr="00C12620">
        <w:rPr>
          <w:lang w:val="fr-CA"/>
        </w:rPr>
        <w:t>, pour l’intimé.</w:t>
      </w:r>
    </w:p>
    <w:p w:rsidR="00C12620" w:rsidRPr="00C12620" w:rsidRDefault="00C12620" w:rsidP="00C12620">
      <w:pPr>
        <w:tabs>
          <w:tab w:val="left" w:pos="1168"/>
        </w:tabs>
        <w:spacing w:before="480" w:after="480" w:line="480" w:lineRule="auto"/>
        <w:jc w:val="both"/>
        <w:rPr>
          <w:lang w:val="fr-CA"/>
        </w:rPr>
      </w:pPr>
      <w:r w:rsidRPr="00C12620">
        <w:rPr>
          <w:lang w:val="fr-CA"/>
        </w:rPr>
        <w:tab/>
        <w:t>Version française du jugement de la Cour rendu oralement par</w:t>
      </w:r>
    </w:p>
    <w:p w:rsidR="00C12620" w:rsidRPr="00C12620" w:rsidRDefault="00C12620" w:rsidP="00C12620">
      <w:pPr>
        <w:spacing w:line="480" w:lineRule="auto"/>
        <w:jc w:val="both"/>
        <w:rPr>
          <w:color w:val="000000"/>
          <w:szCs w:val="27"/>
          <w:lang w:val="fr-CA" w:eastAsia="en-US"/>
        </w:rPr>
      </w:pPr>
      <w:r w:rsidRPr="00C12620">
        <w:rPr>
          <w:smallCaps/>
          <w:color w:val="000000"/>
          <w:szCs w:val="27"/>
          <w:lang w:val="fr-CA" w:eastAsia="en-US"/>
        </w:rPr>
        <w:t>[1]</w:t>
      </w:r>
      <w:r w:rsidRPr="00C12620">
        <w:rPr>
          <w:smallCaps/>
          <w:color w:val="000000"/>
          <w:szCs w:val="27"/>
          <w:lang w:val="fr-CA" w:eastAsia="en-US"/>
        </w:rPr>
        <w:tab/>
        <w:t>Le juge en chef</w:t>
      </w:r>
      <w:r w:rsidRPr="00C12620">
        <w:rPr>
          <w:color w:val="000000"/>
          <w:szCs w:val="27"/>
          <w:lang w:val="fr-CA" w:eastAsia="en-US"/>
        </w:rPr>
        <w:t> — Nous sommes toutes et tous d’avis d’accueillir l’appel pour les motifs exposés par le juge Miller.</w:t>
      </w:r>
    </w:p>
    <w:p w:rsidR="00C12620" w:rsidRPr="00C12620" w:rsidRDefault="00C12620" w:rsidP="00C12620">
      <w:pPr>
        <w:tabs>
          <w:tab w:val="left" w:pos="1166"/>
        </w:tabs>
        <w:spacing w:before="480" w:after="480" w:line="480" w:lineRule="auto"/>
        <w:jc w:val="both"/>
        <w:rPr>
          <w:rFonts w:eastAsiaTheme="minorEastAsia" w:cstheme="minorBidi"/>
          <w:color w:val="000000"/>
          <w:szCs w:val="27"/>
          <w:lang w:val="fr-CA" w:eastAsia="en-US"/>
        </w:rPr>
      </w:pPr>
      <w:r w:rsidRPr="00C12620">
        <w:rPr>
          <w:rFonts w:eastAsiaTheme="minorEastAsia" w:cstheme="minorBidi"/>
          <w:color w:val="000000"/>
          <w:szCs w:val="27"/>
          <w:lang w:val="fr-CA" w:eastAsia="en-US"/>
        </w:rPr>
        <w:t>[2]</w:t>
      </w:r>
      <w:r w:rsidRPr="00C12620">
        <w:rPr>
          <w:rFonts w:eastAsiaTheme="minorEastAsia" w:cstheme="minorBidi"/>
          <w:color w:val="000000"/>
          <w:szCs w:val="27"/>
          <w:lang w:val="fr-CA" w:eastAsia="en-US"/>
        </w:rPr>
        <w:tab/>
        <w:t>L’erreur du juge du procès en ce qui a trait à l’année précise du traitement pour délinquant sexuel n’a eu aucune incidence déterminante sur l’appréciation globale par le juge de la preuve de faits similaires ou de la crédibilité de l’accusé, si l’on considère ses motifs dans leur ensemble. En définitive, il n’y a eu aucune erreur judiciaire.</w:t>
      </w:r>
    </w:p>
    <w:p w:rsidR="00C12620" w:rsidRPr="00C12620" w:rsidRDefault="00C12620" w:rsidP="00C12620">
      <w:pPr>
        <w:tabs>
          <w:tab w:val="left" w:pos="1166"/>
        </w:tabs>
        <w:spacing w:before="480" w:after="480" w:line="480" w:lineRule="auto"/>
        <w:jc w:val="both"/>
        <w:rPr>
          <w:rFonts w:eastAsiaTheme="minorEastAsia" w:cstheme="minorBidi"/>
          <w:color w:val="000000"/>
          <w:szCs w:val="27"/>
          <w:lang w:val="fr-CA" w:eastAsia="en-US"/>
        </w:rPr>
      </w:pPr>
      <w:r w:rsidRPr="00C12620">
        <w:rPr>
          <w:rFonts w:eastAsiaTheme="minorEastAsia" w:cstheme="minorBidi"/>
          <w:color w:val="000000"/>
          <w:szCs w:val="27"/>
          <w:lang w:val="fr-CA" w:eastAsia="en-US"/>
        </w:rPr>
        <w:lastRenderedPageBreak/>
        <w:t>[3]</w:t>
      </w:r>
      <w:r w:rsidRPr="00C12620">
        <w:rPr>
          <w:rFonts w:eastAsiaTheme="minorEastAsia" w:cstheme="minorBidi"/>
          <w:color w:val="000000"/>
          <w:szCs w:val="27"/>
          <w:lang w:val="fr-CA" w:eastAsia="en-US"/>
        </w:rPr>
        <w:tab/>
        <w:t>L’appel est accueilli et la déclaration de culpabilité est rétablie.</w:t>
      </w:r>
    </w:p>
    <w:p w:rsidR="00C12620" w:rsidRPr="00C12620" w:rsidRDefault="00C12620" w:rsidP="00C12620">
      <w:pPr>
        <w:tabs>
          <w:tab w:val="left" w:pos="1168"/>
        </w:tabs>
        <w:spacing w:line="480" w:lineRule="auto"/>
        <w:jc w:val="both"/>
        <w:rPr>
          <w:i/>
          <w:lang w:val="fr-CA"/>
        </w:rPr>
      </w:pPr>
      <w:r w:rsidRPr="00C12620">
        <w:rPr>
          <w:lang w:val="fr-CA"/>
        </w:rPr>
        <w:tab/>
      </w:r>
      <w:r w:rsidRPr="00C12620">
        <w:rPr>
          <w:i/>
          <w:lang w:val="fr-CA"/>
        </w:rPr>
        <w:t>Jugement en conséquence.</w:t>
      </w:r>
    </w:p>
    <w:p w:rsidR="00C12620" w:rsidRPr="00C12620" w:rsidRDefault="00C12620" w:rsidP="00C12620">
      <w:pPr>
        <w:tabs>
          <w:tab w:val="left" w:pos="1168"/>
        </w:tabs>
        <w:spacing w:line="480" w:lineRule="auto"/>
        <w:jc w:val="both"/>
        <w:rPr>
          <w:i/>
          <w:lang w:val="fr-CA"/>
        </w:rPr>
      </w:pPr>
    </w:p>
    <w:p w:rsidR="00C12620" w:rsidRPr="00C12620" w:rsidRDefault="00C12620" w:rsidP="00C12620">
      <w:pPr>
        <w:tabs>
          <w:tab w:val="left" w:pos="1168"/>
        </w:tabs>
        <w:spacing w:line="480" w:lineRule="auto"/>
        <w:jc w:val="both"/>
        <w:rPr>
          <w:i/>
          <w:lang w:val="fr-CA"/>
        </w:rPr>
      </w:pPr>
      <w:r w:rsidRPr="00C12620">
        <w:rPr>
          <w:lang w:val="fr-CA"/>
        </w:rPr>
        <w:tab/>
      </w:r>
      <w:r w:rsidRPr="00C12620">
        <w:rPr>
          <w:i/>
          <w:lang w:val="fr-CA"/>
        </w:rPr>
        <w:t>Procureur de l’appelante : Procureur général de l’Ontario, Toronto.</w:t>
      </w:r>
    </w:p>
    <w:p w:rsidR="00C12620" w:rsidRPr="00C12620" w:rsidRDefault="00C12620" w:rsidP="00C12620">
      <w:pPr>
        <w:tabs>
          <w:tab w:val="left" w:pos="1168"/>
        </w:tabs>
        <w:spacing w:line="480" w:lineRule="auto"/>
        <w:jc w:val="both"/>
        <w:rPr>
          <w:i/>
          <w:lang w:val="fr-CA"/>
        </w:rPr>
      </w:pPr>
    </w:p>
    <w:p w:rsidR="00C12620" w:rsidRPr="00C12620" w:rsidRDefault="00C12620" w:rsidP="00C12620">
      <w:pPr>
        <w:tabs>
          <w:tab w:val="left" w:pos="1168"/>
        </w:tabs>
        <w:spacing w:line="480" w:lineRule="auto"/>
        <w:jc w:val="both"/>
        <w:rPr>
          <w:i/>
          <w:lang w:val="fr-CA"/>
        </w:rPr>
      </w:pPr>
      <w:r w:rsidRPr="00C12620">
        <w:rPr>
          <w:i/>
          <w:lang w:val="fr-CA"/>
        </w:rPr>
        <w:tab/>
        <w:t>Procureur de l’intimé : W. John McCulligh Professional Corporation, Brampton.</w:t>
      </w:r>
    </w:p>
    <w:sectPr w:rsidR="00C12620" w:rsidRPr="00C12620" w:rsidSect="006B396C">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CB" w:rsidRDefault="00D803CB">
      <w:r>
        <w:separator/>
      </w:r>
    </w:p>
  </w:endnote>
  <w:endnote w:type="continuationSeparator" w:id="0">
    <w:p w:rsidR="00D803CB" w:rsidRDefault="00D8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CB" w:rsidRDefault="00D803CB">
      <w:r>
        <w:separator/>
      </w:r>
    </w:p>
  </w:footnote>
  <w:footnote w:type="continuationSeparator" w:id="0">
    <w:p w:rsidR="00D803CB" w:rsidRDefault="00D8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45C60"/>
    <w:rsid w:val="000578A3"/>
    <w:rsid w:val="000648C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2042B"/>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12B"/>
    <w:rsid w:val="00264B77"/>
    <w:rsid w:val="00270D93"/>
    <w:rsid w:val="002745CC"/>
    <w:rsid w:val="002909F6"/>
    <w:rsid w:val="0029178F"/>
    <w:rsid w:val="002B7924"/>
    <w:rsid w:val="002B7ABA"/>
    <w:rsid w:val="002C6D91"/>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531C"/>
    <w:rsid w:val="00426659"/>
    <w:rsid w:val="00426D16"/>
    <w:rsid w:val="00436891"/>
    <w:rsid w:val="00450352"/>
    <w:rsid w:val="00454BDB"/>
    <w:rsid w:val="00463A7A"/>
    <w:rsid w:val="00464800"/>
    <w:rsid w:val="00464BF6"/>
    <w:rsid w:val="00465132"/>
    <w:rsid w:val="00465EF1"/>
    <w:rsid w:val="004707F9"/>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5125A8"/>
    <w:rsid w:val="00516DED"/>
    <w:rsid w:val="00521AE8"/>
    <w:rsid w:val="00524449"/>
    <w:rsid w:val="00527180"/>
    <w:rsid w:val="005341CE"/>
    <w:rsid w:val="00534AB2"/>
    <w:rsid w:val="0054201E"/>
    <w:rsid w:val="005541DB"/>
    <w:rsid w:val="00555291"/>
    <w:rsid w:val="0056265A"/>
    <w:rsid w:val="00566AD1"/>
    <w:rsid w:val="0057257D"/>
    <w:rsid w:val="0057534C"/>
    <w:rsid w:val="00583EDE"/>
    <w:rsid w:val="00586928"/>
    <w:rsid w:val="005966EF"/>
    <w:rsid w:val="005A4F85"/>
    <w:rsid w:val="005A6079"/>
    <w:rsid w:val="005C7840"/>
    <w:rsid w:val="005E4698"/>
    <w:rsid w:val="006003EE"/>
    <w:rsid w:val="00610539"/>
    <w:rsid w:val="00613969"/>
    <w:rsid w:val="0061523C"/>
    <w:rsid w:val="00617208"/>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396C"/>
    <w:rsid w:val="006B5FF5"/>
    <w:rsid w:val="006B7683"/>
    <w:rsid w:val="006D4200"/>
    <w:rsid w:val="006E0252"/>
    <w:rsid w:val="006F30AF"/>
    <w:rsid w:val="007009A0"/>
    <w:rsid w:val="00701759"/>
    <w:rsid w:val="00701CF2"/>
    <w:rsid w:val="00705C15"/>
    <w:rsid w:val="007104F8"/>
    <w:rsid w:val="00712E55"/>
    <w:rsid w:val="00713025"/>
    <w:rsid w:val="007154A1"/>
    <w:rsid w:val="0071600E"/>
    <w:rsid w:val="007162FD"/>
    <w:rsid w:val="00717FDC"/>
    <w:rsid w:val="007208D1"/>
    <w:rsid w:val="0072428C"/>
    <w:rsid w:val="00730177"/>
    <w:rsid w:val="00742119"/>
    <w:rsid w:val="00747288"/>
    <w:rsid w:val="00747DD3"/>
    <w:rsid w:val="007549C8"/>
    <w:rsid w:val="00754A0B"/>
    <w:rsid w:val="00766D14"/>
    <w:rsid w:val="00767A0F"/>
    <w:rsid w:val="007843AB"/>
    <w:rsid w:val="00796207"/>
    <w:rsid w:val="007A05F6"/>
    <w:rsid w:val="007B3D74"/>
    <w:rsid w:val="007B6F4A"/>
    <w:rsid w:val="007D097E"/>
    <w:rsid w:val="007E1C47"/>
    <w:rsid w:val="007E337A"/>
    <w:rsid w:val="007E5C70"/>
    <w:rsid w:val="007F2FF5"/>
    <w:rsid w:val="007F3F08"/>
    <w:rsid w:val="00804CC6"/>
    <w:rsid w:val="00813B48"/>
    <w:rsid w:val="00817190"/>
    <w:rsid w:val="00820EE5"/>
    <w:rsid w:val="008244E9"/>
    <w:rsid w:val="008260E2"/>
    <w:rsid w:val="008322BD"/>
    <w:rsid w:val="008323C4"/>
    <w:rsid w:val="00833E0A"/>
    <w:rsid w:val="00834F73"/>
    <w:rsid w:val="00847F55"/>
    <w:rsid w:val="008544FA"/>
    <w:rsid w:val="00864CF8"/>
    <w:rsid w:val="00872819"/>
    <w:rsid w:val="00874914"/>
    <w:rsid w:val="00891422"/>
    <w:rsid w:val="00892E1A"/>
    <w:rsid w:val="008A3F29"/>
    <w:rsid w:val="008B660A"/>
    <w:rsid w:val="008B70F9"/>
    <w:rsid w:val="008C01DA"/>
    <w:rsid w:val="008C02C9"/>
    <w:rsid w:val="008C7263"/>
    <w:rsid w:val="008D2104"/>
    <w:rsid w:val="008E4A48"/>
    <w:rsid w:val="008F78E9"/>
    <w:rsid w:val="00903C32"/>
    <w:rsid w:val="00911989"/>
    <w:rsid w:val="009179F9"/>
    <w:rsid w:val="0093031F"/>
    <w:rsid w:val="00931C1C"/>
    <w:rsid w:val="00933E5E"/>
    <w:rsid w:val="00935218"/>
    <w:rsid w:val="009403F3"/>
    <w:rsid w:val="00941A88"/>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52AFB"/>
    <w:rsid w:val="00A548CB"/>
    <w:rsid w:val="00A5521C"/>
    <w:rsid w:val="00A557A1"/>
    <w:rsid w:val="00A55CEF"/>
    <w:rsid w:val="00A64041"/>
    <w:rsid w:val="00A643E7"/>
    <w:rsid w:val="00A73C38"/>
    <w:rsid w:val="00A9085B"/>
    <w:rsid w:val="00AB670D"/>
    <w:rsid w:val="00AC6FA4"/>
    <w:rsid w:val="00AD2826"/>
    <w:rsid w:val="00AD342F"/>
    <w:rsid w:val="00AE25FE"/>
    <w:rsid w:val="00AE4535"/>
    <w:rsid w:val="00AF032C"/>
    <w:rsid w:val="00AF03C5"/>
    <w:rsid w:val="00AF0B26"/>
    <w:rsid w:val="00B000D8"/>
    <w:rsid w:val="00B00F75"/>
    <w:rsid w:val="00B11735"/>
    <w:rsid w:val="00B1431F"/>
    <w:rsid w:val="00B145B6"/>
    <w:rsid w:val="00B2215E"/>
    <w:rsid w:val="00B279EB"/>
    <w:rsid w:val="00B30E18"/>
    <w:rsid w:val="00B32357"/>
    <w:rsid w:val="00B43559"/>
    <w:rsid w:val="00B50C81"/>
    <w:rsid w:val="00B557F8"/>
    <w:rsid w:val="00B56AAF"/>
    <w:rsid w:val="00B67199"/>
    <w:rsid w:val="00B815FC"/>
    <w:rsid w:val="00B93FBC"/>
    <w:rsid w:val="00B954E0"/>
    <w:rsid w:val="00BA066D"/>
    <w:rsid w:val="00BA7DA0"/>
    <w:rsid w:val="00BB2366"/>
    <w:rsid w:val="00BB2EE4"/>
    <w:rsid w:val="00BB5AE6"/>
    <w:rsid w:val="00BC2108"/>
    <w:rsid w:val="00BC5642"/>
    <w:rsid w:val="00BD0E9E"/>
    <w:rsid w:val="00BD1BEC"/>
    <w:rsid w:val="00BD32FF"/>
    <w:rsid w:val="00BD67ED"/>
    <w:rsid w:val="00C02092"/>
    <w:rsid w:val="00C12620"/>
    <w:rsid w:val="00C22905"/>
    <w:rsid w:val="00C229CD"/>
    <w:rsid w:val="00C24D91"/>
    <w:rsid w:val="00C31D39"/>
    <w:rsid w:val="00C53F14"/>
    <w:rsid w:val="00C600CF"/>
    <w:rsid w:val="00C6084F"/>
    <w:rsid w:val="00C62A66"/>
    <w:rsid w:val="00C62FD6"/>
    <w:rsid w:val="00C71458"/>
    <w:rsid w:val="00C717DC"/>
    <w:rsid w:val="00C77613"/>
    <w:rsid w:val="00C828E7"/>
    <w:rsid w:val="00C86719"/>
    <w:rsid w:val="00C921DD"/>
    <w:rsid w:val="00CA6391"/>
    <w:rsid w:val="00CA7B39"/>
    <w:rsid w:val="00CB1993"/>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03CB"/>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2AD9"/>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D3B"/>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37D2"/>
    <w:rsid w:val="00FB7D08"/>
    <w:rsid w:val="00FC3788"/>
    <w:rsid w:val="00FC4EFB"/>
    <w:rsid w:val="00FD068D"/>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57534C"/>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57534C"/>
    <w:rPr>
      <w:rFonts w:eastAsiaTheme="minorHAnsi" w:cstheme="minorBidi"/>
      <w:b/>
      <w:szCs w:val="22"/>
      <w:lang w:eastAsia="en-US"/>
    </w:rPr>
  </w:style>
  <w:style w:type="character" w:customStyle="1" w:styleId="SCCLsocPrefixChar">
    <w:name w:val="SCC.Lsoc.Prefix Char"/>
    <w:basedOn w:val="DefaultParagraphFont"/>
    <w:link w:val="SCCLsocPrefix"/>
    <w:rsid w:val="0057534C"/>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5B7B-994F-453E-8245-3A0F88A7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2262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2020-12-11T18:35:00Z</dcterms:created>
  <dcterms:modified xsi:type="dcterms:W3CDTF">2024-01-11T15:59:00Z</dcterms:modified>
</cp:coreProperties>
</file>