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695"/>
        <w:gridCol w:w="1330"/>
        <w:gridCol w:w="3237"/>
        <w:gridCol w:w="18"/>
      </w:tblGrid>
      <w:tr w:rsidR="00915091" w:rsidTr="008E32ED">
        <w:trPr>
          <w:trHeight w:val="1786"/>
        </w:trPr>
        <w:tc>
          <w:tcPr>
            <w:tcW w:w="5000" w:type="pct"/>
            <w:gridSpan w:val="4"/>
          </w:tcPr>
          <w:p w:rsidR="00915091" w:rsidRDefault="00915091" w:rsidP="008E32ED">
            <w:pPr>
              <w:jc w:val="center"/>
            </w:pPr>
            <w:r w:rsidRPr="00C22905">
              <w:rPr>
                <w:rFonts w:eastAsia="Calibr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64.8pt" o:ole="">
                  <v:imagedata r:id="rId8" o:title=""/>
                </v:shape>
                <o:OLEObject Type="Embed" ProgID="Presentations.Drawing.15" ShapeID="_x0000_i1025" DrawAspect="Content" ObjectID="_1766495749" r:id="rId9"/>
              </w:object>
            </w:r>
          </w:p>
          <w:p w:rsidR="00915091" w:rsidRDefault="00915091" w:rsidP="008E32ED">
            <w:pPr>
              <w:spacing w:before="120" w:after="100" w:afterAutospacing="1"/>
              <w:jc w:val="center"/>
              <w:rPr>
                <w:rFonts w:eastAsia="Calibri"/>
              </w:rPr>
            </w:pPr>
            <w:r w:rsidRPr="00C22905">
              <w:rPr>
                <w:rFonts w:eastAsia="Calibri"/>
                <w:b/>
                <w:szCs w:val="24"/>
                <w:lang w:eastAsia="en-US"/>
              </w:rPr>
              <w:t>COUR</w:t>
            </w:r>
            <w:r>
              <w:rPr>
                <w:rFonts w:eastAsia="Calibri"/>
                <w:b/>
                <w:szCs w:val="24"/>
                <w:lang w:eastAsia="en-US"/>
              </w:rPr>
              <w:t xml:space="preserve"> SUPRÊME DU</w:t>
            </w:r>
            <w:r w:rsidRPr="00C22905">
              <w:rPr>
                <w:rFonts w:eastAsia="Calibri"/>
                <w:b/>
                <w:szCs w:val="24"/>
                <w:lang w:eastAsia="en-US"/>
              </w:rPr>
              <w:t xml:space="preserve"> CANADA</w:t>
            </w:r>
          </w:p>
        </w:tc>
      </w:tr>
      <w:tr w:rsidR="00915091" w:rsidRPr="004A4030" w:rsidTr="008E32ED">
        <w:trPr>
          <w:gridAfter w:val="1"/>
          <w:wAfter w:w="11" w:type="pct"/>
        </w:trPr>
        <w:tc>
          <w:tcPr>
            <w:tcW w:w="2231" w:type="pct"/>
            <w:tcMar>
              <w:top w:w="284" w:type="dxa"/>
            </w:tcMar>
          </w:tcPr>
          <w:p w:rsidR="00915091" w:rsidRPr="004A4030" w:rsidRDefault="00915091" w:rsidP="008E32ED">
            <w:pPr>
              <w:spacing w:before="100" w:beforeAutospacing="1"/>
              <w:rPr>
                <w:rFonts w:eastAsia="Calibri"/>
                <w:lang w:val="fr-CA"/>
              </w:rPr>
            </w:pPr>
            <w:r w:rsidRPr="00CB5B04">
              <w:rPr>
                <w:b/>
                <w:smallCaps/>
                <w:lang w:val="fr-CA"/>
              </w:rPr>
              <w:t>Référence :</w:t>
            </w:r>
            <w:r w:rsidRPr="00CB5B04">
              <w:rPr>
                <w:lang w:val="fr-CA"/>
              </w:rPr>
              <w:t xml:space="preserve"> </w:t>
            </w:r>
            <w:r>
              <w:rPr>
                <w:lang w:val="fr-CA"/>
              </w:rPr>
              <w:t xml:space="preserve">R. </w:t>
            </w:r>
            <w:r>
              <w:rPr>
                <w:i/>
                <w:lang w:val="fr-CA"/>
              </w:rPr>
              <w:t>c.</w:t>
            </w:r>
            <w:r>
              <w:rPr>
                <w:lang w:val="fr-CA"/>
              </w:rPr>
              <w:t xml:space="preserve"> Deslauriers, 2021 CSC 3, [2021] 1 R.C.S. 9</w:t>
            </w:r>
          </w:p>
        </w:tc>
        <w:tc>
          <w:tcPr>
            <w:tcW w:w="803" w:type="pct"/>
          </w:tcPr>
          <w:p w:rsidR="00915091" w:rsidRPr="00CB5B04" w:rsidRDefault="00915091" w:rsidP="008E32ED">
            <w:pPr>
              <w:rPr>
                <w:b/>
                <w:smallCaps/>
                <w:lang w:val="fr-CA"/>
              </w:rPr>
            </w:pPr>
          </w:p>
        </w:tc>
        <w:tc>
          <w:tcPr>
            <w:tcW w:w="1955" w:type="pct"/>
            <w:tcMar>
              <w:top w:w="284" w:type="dxa"/>
            </w:tcMar>
          </w:tcPr>
          <w:p w:rsidR="00915091" w:rsidRPr="00CB5B04" w:rsidRDefault="00915091" w:rsidP="008E32ED">
            <w:pPr>
              <w:rPr>
                <w:lang w:val="fr-CA"/>
              </w:rPr>
            </w:pPr>
            <w:r w:rsidRPr="00CB5B04">
              <w:rPr>
                <w:b/>
                <w:smallCaps/>
                <w:lang w:val="fr-CA"/>
              </w:rPr>
              <w:t>Appel entendu :</w:t>
            </w:r>
            <w:r w:rsidRPr="00CB5B04">
              <w:rPr>
                <w:lang w:val="fr-CA"/>
              </w:rPr>
              <w:t xml:space="preserve"> </w:t>
            </w:r>
            <w:r>
              <w:rPr>
                <w:lang w:val="fr-CA"/>
              </w:rPr>
              <w:t>20 janvier 2021</w:t>
            </w:r>
          </w:p>
          <w:p w:rsidR="00915091" w:rsidRPr="004A4030" w:rsidRDefault="00915091" w:rsidP="008E32ED">
            <w:pPr>
              <w:rPr>
                <w:smallCaps/>
                <w:lang w:val="fr-CA"/>
              </w:rPr>
            </w:pPr>
            <w:r>
              <w:rPr>
                <w:b/>
                <w:smallCaps/>
                <w:lang w:val="fr-CA"/>
              </w:rPr>
              <w:t xml:space="preserve">Jugement rendu : </w:t>
            </w:r>
            <w:r>
              <w:rPr>
                <w:lang w:val="fr-CA"/>
              </w:rPr>
              <w:t>20 janvier 2021</w:t>
            </w:r>
          </w:p>
          <w:p w:rsidR="00915091" w:rsidRPr="00A9085B" w:rsidRDefault="00915091" w:rsidP="008E32ED">
            <w:pPr>
              <w:rPr>
                <w:rFonts w:eastAsia="Calibri"/>
                <w:lang w:val="fr-CA"/>
              </w:rPr>
            </w:pPr>
            <w:r w:rsidRPr="00A9085B">
              <w:rPr>
                <w:b/>
                <w:smallCaps/>
                <w:lang w:val="fr-CA"/>
              </w:rPr>
              <w:t>Dossier :</w:t>
            </w:r>
            <w:r w:rsidRPr="00A9085B">
              <w:rPr>
                <w:lang w:val="fr-CA"/>
              </w:rPr>
              <w:t xml:space="preserve"> </w:t>
            </w:r>
            <w:r>
              <w:rPr>
                <w:lang w:val="fr-CA"/>
              </w:rPr>
              <w:t>39131</w:t>
            </w:r>
          </w:p>
        </w:tc>
      </w:tr>
      <w:tr w:rsidR="00915091" w:rsidRPr="004A4030" w:rsidTr="008E32ED">
        <w:tc>
          <w:tcPr>
            <w:tcW w:w="5000" w:type="pct"/>
            <w:gridSpan w:val="4"/>
          </w:tcPr>
          <w:p w:rsidR="00915091" w:rsidRDefault="00915091" w:rsidP="008E32ED">
            <w:pPr>
              <w:rPr>
                <w:rFonts w:eastAsiaTheme="minorHAnsi" w:cstheme="minorBidi"/>
                <w:szCs w:val="24"/>
                <w:lang w:val="fr-CA" w:eastAsia="en-US"/>
              </w:rPr>
            </w:pPr>
          </w:p>
          <w:p w:rsidR="00915091" w:rsidRPr="004A4030" w:rsidRDefault="00915091" w:rsidP="008E32ED">
            <w:pPr>
              <w:rPr>
                <w:rFonts w:eastAsiaTheme="minorHAnsi" w:cstheme="minorBidi"/>
                <w:b/>
                <w:smallCaps/>
                <w:szCs w:val="24"/>
                <w:lang w:val="fr-CA" w:eastAsia="en-US"/>
              </w:rPr>
            </w:pPr>
            <w:r w:rsidRPr="004A4030">
              <w:rPr>
                <w:rFonts w:eastAsiaTheme="minorHAnsi" w:cstheme="minorBidi"/>
                <w:b/>
                <w:smallCaps/>
                <w:szCs w:val="24"/>
                <w:lang w:val="fr-CA" w:eastAsia="en-US"/>
              </w:rPr>
              <w:t>Entre :</w:t>
            </w:r>
          </w:p>
          <w:p w:rsidR="00915091" w:rsidRPr="004A4030" w:rsidRDefault="00915091" w:rsidP="008E32ED">
            <w:pPr>
              <w:jc w:val="center"/>
              <w:rPr>
                <w:rFonts w:eastAsiaTheme="minorHAnsi" w:cstheme="minorBidi"/>
                <w:b/>
                <w:szCs w:val="24"/>
                <w:lang w:val="fr-CA" w:eastAsia="en-US"/>
              </w:rPr>
            </w:pPr>
            <w:r w:rsidRPr="004A4030">
              <w:rPr>
                <w:rFonts w:eastAsiaTheme="minorHAnsi" w:cstheme="minorBidi"/>
                <w:b/>
                <w:szCs w:val="24"/>
                <w:lang w:val="fr-CA" w:eastAsia="en-US"/>
              </w:rPr>
              <w:t>Sa Majesté la Reine</w:t>
            </w:r>
          </w:p>
          <w:p w:rsidR="00915091" w:rsidRDefault="00915091" w:rsidP="008E32ED">
            <w:pPr>
              <w:jc w:val="center"/>
              <w:rPr>
                <w:rFonts w:eastAsiaTheme="minorHAnsi" w:cstheme="minorBidi"/>
                <w:szCs w:val="24"/>
                <w:lang w:val="fr-CA" w:eastAsia="en-US"/>
              </w:rPr>
            </w:pPr>
            <w:r>
              <w:rPr>
                <w:rFonts w:eastAsiaTheme="minorHAnsi" w:cstheme="minorBidi"/>
                <w:szCs w:val="24"/>
                <w:lang w:val="fr-CA" w:eastAsia="en-US"/>
              </w:rPr>
              <w:t>Appelante</w:t>
            </w:r>
          </w:p>
          <w:p w:rsidR="00915091" w:rsidRPr="004A4030" w:rsidRDefault="00915091" w:rsidP="008E32ED">
            <w:pPr>
              <w:jc w:val="center"/>
              <w:rPr>
                <w:rFonts w:eastAsiaTheme="minorHAnsi" w:cstheme="minorBidi"/>
                <w:szCs w:val="24"/>
                <w:lang w:val="fr-CA" w:eastAsia="en-US"/>
              </w:rPr>
            </w:pPr>
          </w:p>
          <w:p w:rsidR="00915091" w:rsidRDefault="00915091" w:rsidP="008E32ED">
            <w:pPr>
              <w:jc w:val="center"/>
              <w:rPr>
                <w:rFonts w:eastAsiaTheme="minorHAnsi" w:cstheme="minorBidi"/>
                <w:szCs w:val="24"/>
                <w:lang w:val="fr-CA" w:eastAsia="en-US"/>
              </w:rPr>
            </w:pPr>
            <w:r>
              <w:rPr>
                <w:rFonts w:eastAsiaTheme="minorHAnsi" w:cstheme="minorBidi"/>
                <w:szCs w:val="24"/>
                <w:lang w:val="fr-CA" w:eastAsia="en-US"/>
              </w:rPr>
              <w:t>et</w:t>
            </w:r>
          </w:p>
          <w:p w:rsidR="00915091" w:rsidRPr="004A4030" w:rsidRDefault="00915091" w:rsidP="008E32ED">
            <w:pPr>
              <w:jc w:val="center"/>
              <w:rPr>
                <w:rFonts w:eastAsiaTheme="minorHAnsi" w:cstheme="minorBidi"/>
                <w:szCs w:val="24"/>
                <w:lang w:val="fr-CA" w:eastAsia="en-US"/>
              </w:rPr>
            </w:pPr>
          </w:p>
          <w:p w:rsidR="00915091" w:rsidRPr="004A4030" w:rsidRDefault="00915091" w:rsidP="008E32ED">
            <w:pPr>
              <w:jc w:val="center"/>
              <w:rPr>
                <w:rFonts w:eastAsiaTheme="minorHAnsi" w:cstheme="minorBidi"/>
                <w:b/>
                <w:szCs w:val="24"/>
                <w:lang w:val="fr-CA" w:eastAsia="en-US"/>
              </w:rPr>
            </w:pPr>
            <w:r w:rsidRPr="004A4030">
              <w:rPr>
                <w:rFonts w:eastAsiaTheme="minorHAnsi" w:cstheme="minorBidi"/>
                <w:b/>
                <w:szCs w:val="24"/>
                <w:lang w:val="fr-CA" w:eastAsia="en-US"/>
              </w:rPr>
              <w:t>Éric Deslauriers</w:t>
            </w:r>
          </w:p>
          <w:p w:rsidR="00915091" w:rsidRDefault="00915091" w:rsidP="008E32ED">
            <w:pPr>
              <w:jc w:val="center"/>
              <w:rPr>
                <w:rFonts w:eastAsiaTheme="minorHAnsi" w:cstheme="minorBidi"/>
                <w:szCs w:val="24"/>
                <w:lang w:val="fr-CA" w:eastAsia="en-US"/>
              </w:rPr>
            </w:pPr>
            <w:r>
              <w:rPr>
                <w:rFonts w:eastAsiaTheme="minorHAnsi" w:cstheme="minorBidi"/>
                <w:szCs w:val="24"/>
                <w:lang w:val="fr-CA" w:eastAsia="en-US"/>
              </w:rPr>
              <w:t>Intimé</w:t>
            </w:r>
          </w:p>
          <w:p w:rsidR="00915091" w:rsidRPr="004A4030" w:rsidRDefault="00915091" w:rsidP="008E32ED">
            <w:pPr>
              <w:rPr>
                <w:b/>
                <w:smallCaps/>
                <w:lang w:val="fr-CA"/>
              </w:rPr>
            </w:pPr>
          </w:p>
        </w:tc>
      </w:tr>
    </w:tbl>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280"/>
        <w:gridCol w:w="6982"/>
        <w:gridCol w:w="18"/>
      </w:tblGrid>
      <w:tr w:rsidR="00915091" w:rsidRPr="00965FE0" w:rsidTr="008E32ED">
        <w:trPr>
          <w:cantSplit/>
          <w:trHeight w:val="508"/>
        </w:trPr>
        <w:tc>
          <w:tcPr>
            <w:tcW w:w="5000" w:type="pct"/>
            <w:gridSpan w:val="3"/>
            <w:tcMar>
              <w:top w:w="284" w:type="dxa"/>
              <w:bottom w:w="57" w:type="dxa"/>
            </w:tcMar>
            <w:vAlign w:val="center"/>
          </w:tcPr>
          <w:p w:rsidR="00915091" w:rsidRPr="00CB5B04" w:rsidRDefault="00915091" w:rsidP="008E32ED">
            <w:pPr>
              <w:rPr>
                <w:lang w:val="fr-CA"/>
              </w:rPr>
            </w:pPr>
            <w:r w:rsidRPr="00CB5B04">
              <w:rPr>
                <w:b/>
                <w:smallCaps/>
                <w:lang w:val="fr-CA"/>
              </w:rPr>
              <w:t>Coram :</w:t>
            </w:r>
            <w:r w:rsidRPr="00CB5B04">
              <w:rPr>
                <w:lang w:val="fr-CA"/>
              </w:rPr>
              <w:t xml:space="preserve"> Le juge en chef Wagner et les juges </w:t>
            </w:r>
            <w:r>
              <w:rPr>
                <w:lang w:val="fr-CA"/>
              </w:rPr>
              <w:t xml:space="preserve">Abella, Moldaver, Côté, Brown, Rowe </w:t>
            </w:r>
            <w:r w:rsidRPr="00CB5B04">
              <w:rPr>
                <w:lang w:val="fr-CA"/>
              </w:rPr>
              <w:t>et Kasirer</w:t>
            </w:r>
          </w:p>
        </w:tc>
      </w:tr>
      <w:tr w:rsidR="00915091" w:rsidRPr="004A4030" w:rsidTr="008E32ED">
        <w:trPr>
          <w:gridAfter w:val="1"/>
          <w:wAfter w:w="11" w:type="pct"/>
          <w:cantSplit/>
        </w:trPr>
        <w:tc>
          <w:tcPr>
            <w:tcW w:w="773" w:type="pct"/>
            <w:tcMar>
              <w:top w:w="284" w:type="dxa"/>
              <w:bottom w:w="57" w:type="dxa"/>
            </w:tcMar>
            <w:vAlign w:val="center"/>
          </w:tcPr>
          <w:p w:rsidR="00915091" w:rsidRPr="007B3D74" w:rsidRDefault="00915091" w:rsidP="008E32ED">
            <w:pPr>
              <w:rPr>
                <w:b/>
                <w:smallCaps/>
                <w:lang w:val="fr-CA"/>
              </w:rPr>
            </w:pPr>
            <w:r w:rsidRPr="007B3D74">
              <w:rPr>
                <w:b/>
                <w:smallCaps/>
                <w:lang w:val="fr-CA"/>
              </w:rPr>
              <w:t>Jugement</w:t>
            </w:r>
            <w:r>
              <w:rPr>
                <w:b/>
                <w:smallCaps/>
                <w:lang w:val="fr-CA"/>
              </w:rPr>
              <w:t xml:space="preserve"> lu par : </w:t>
            </w:r>
          </w:p>
          <w:p w:rsidR="00915091" w:rsidRPr="007B3D74" w:rsidRDefault="00915091" w:rsidP="008E32ED">
            <w:pPr>
              <w:rPr>
                <w:b/>
                <w:smallCaps/>
                <w:lang w:val="fr-CA"/>
              </w:rPr>
            </w:pPr>
            <w:r w:rsidRPr="007B3D74">
              <w:rPr>
                <w:lang w:val="fr-CA"/>
              </w:rPr>
              <w:t>(par. 1</w:t>
            </w:r>
            <w:r>
              <w:rPr>
                <w:lang w:val="fr-CA"/>
              </w:rPr>
              <w:t xml:space="preserve"> </w:t>
            </w:r>
            <w:r w:rsidRPr="00B77470">
              <w:rPr>
                <w:lang w:val="fr-CA"/>
              </w:rPr>
              <w:t>à 5)</w:t>
            </w:r>
          </w:p>
        </w:tc>
        <w:tc>
          <w:tcPr>
            <w:tcW w:w="4216" w:type="pct"/>
            <w:tcMar>
              <w:top w:w="284" w:type="dxa"/>
            </w:tcMar>
            <w:vAlign w:val="center"/>
          </w:tcPr>
          <w:p w:rsidR="00915091" w:rsidRDefault="00915091" w:rsidP="008E32ED">
            <w:pPr>
              <w:rPr>
                <w:b/>
                <w:smallCaps/>
                <w:lang w:val="fr-CA"/>
              </w:rPr>
            </w:pPr>
            <w:r>
              <w:rPr>
                <w:lang w:val="fr-CA"/>
              </w:rPr>
              <w:t>Le juge en chef Wagner</w:t>
            </w:r>
          </w:p>
          <w:p w:rsidR="00915091" w:rsidRPr="007B3D74" w:rsidRDefault="00915091" w:rsidP="008E32ED">
            <w:pPr>
              <w:rPr>
                <w:b/>
                <w:smallCaps/>
                <w:lang w:val="fr-CA"/>
              </w:rPr>
            </w:pPr>
          </w:p>
        </w:tc>
      </w:tr>
      <w:tr w:rsidR="00915091" w:rsidRPr="00965FE0" w:rsidTr="008E32ED">
        <w:trPr>
          <w:gridAfter w:val="1"/>
          <w:wAfter w:w="11" w:type="pct"/>
          <w:cantSplit/>
        </w:trPr>
        <w:tc>
          <w:tcPr>
            <w:tcW w:w="773" w:type="pct"/>
            <w:tcMar>
              <w:top w:w="284" w:type="dxa"/>
              <w:bottom w:w="57" w:type="dxa"/>
            </w:tcMar>
            <w:vAlign w:val="center"/>
          </w:tcPr>
          <w:p w:rsidR="00915091" w:rsidRPr="007B3D74" w:rsidRDefault="00915091" w:rsidP="008E32ED">
            <w:pPr>
              <w:rPr>
                <w:b/>
                <w:smallCaps/>
                <w:lang w:val="fr-CA"/>
              </w:rPr>
            </w:pPr>
            <w:r>
              <w:rPr>
                <w:b/>
                <w:smallCaps/>
                <w:lang w:val="fr-CA"/>
              </w:rPr>
              <w:t>Majorité :</w:t>
            </w:r>
          </w:p>
        </w:tc>
        <w:tc>
          <w:tcPr>
            <w:tcW w:w="4216" w:type="pct"/>
            <w:tcMar>
              <w:top w:w="284" w:type="dxa"/>
            </w:tcMar>
            <w:vAlign w:val="center"/>
          </w:tcPr>
          <w:p w:rsidR="00915091" w:rsidRPr="004707F9" w:rsidRDefault="00915091" w:rsidP="008E32ED">
            <w:pPr>
              <w:rPr>
                <w:lang w:val="fr-CA"/>
              </w:rPr>
            </w:pPr>
            <w:r>
              <w:rPr>
                <w:lang w:val="fr-CA"/>
              </w:rPr>
              <w:t>Le juge en chef Wagner et les juges Moldaver, Côté, Rowe et Kasirer</w:t>
            </w:r>
          </w:p>
        </w:tc>
      </w:tr>
      <w:tr w:rsidR="00915091" w:rsidRPr="00965FE0" w:rsidTr="008E32ED">
        <w:trPr>
          <w:gridAfter w:val="1"/>
          <w:wAfter w:w="11" w:type="pct"/>
          <w:cantSplit/>
        </w:trPr>
        <w:tc>
          <w:tcPr>
            <w:tcW w:w="773" w:type="pct"/>
            <w:tcMar>
              <w:top w:w="284" w:type="dxa"/>
              <w:bottom w:w="57" w:type="dxa"/>
            </w:tcMar>
            <w:vAlign w:val="center"/>
          </w:tcPr>
          <w:p w:rsidR="00915091" w:rsidRDefault="00915091" w:rsidP="008E32ED">
            <w:pPr>
              <w:rPr>
                <w:b/>
                <w:smallCaps/>
                <w:lang w:val="fr-CA"/>
              </w:rPr>
            </w:pPr>
            <w:r>
              <w:rPr>
                <w:b/>
                <w:smallCaps/>
                <w:lang w:val="fr-CA"/>
              </w:rPr>
              <w:t>Dissidence :</w:t>
            </w:r>
          </w:p>
        </w:tc>
        <w:tc>
          <w:tcPr>
            <w:tcW w:w="4216" w:type="pct"/>
            <w:tcMar>
              <w:top w:w="284" w:type="dxa"/>
            </w:tcMar>
            <w:vAlign w:val="center"/>
          </w:tcPr>
          <w:p w:rsidR="00915091" w:rsidRDefault="00915091" w:rsidP="008E32ED">
            <w:pPr>
              <w:rPr>
                <w:lang w:val="fr-CA"/>
              </w:rPr>
            </w:pPr>
            <w:r>
              <w:rPr>
                <w:lang w:val="fr-CA"/>
              </w:rPr>
              <w:t>Les juges Abella et Brown</w:t>
            </w:r>
          </w:p>
        </w:tc>
      </w:tr>
    </w:tbl>
    <w:tbl>
      <w:tblPr>
        <w:tblStyle w:val="TableGrid"/>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026"/>
        <w:gridCol w:w="4034"/>
        <w:gridCol w:w="3020"/>
        <w:gridCol w:w="6"/>
      </w:tblGrid>
      <w:tr w:rsidR="00915091" w:rsidRPr="00965FE0" w:rsidTr="008E32ED">
        <w:trPr>
          <w:gridAfter w:val="1"/>
          <w:wAfter w:w="6" w:type="dxa"/>
        </w:trPr>
        <w:tc>
          <w:tcPr>
            <w:tcW w:w="10080" w:type="dxa"/>
            <w:gridSpan w:val="3"/>
          </w:tcPr>
          <w:p w:rsidR="00915091" w:rsidRPr="00F43876" w:rsidRDefault="00915091" w:rsidP="008E32ED">
            <w:pPr>
              <w:jc w:val="both"/>
              <w:rPr>
                <w:lang w:val="fr-CA"/>
              </w:rPr>
            </w:pPr>
          </w:p>
        </w:tc>
      </w:tr>
      <w:tr w:rsidR="00915091" w:rsidRPr="00965FE0" w:rsidTr="008E32ED">
        <w:tblPrEx>
          <w:tblCellMar>
            <w:top w:w="0" w:type="dxa"/>
            <w:left w:w="108" w:type="dxa"/>
            <w:bottom w:w="0" w:type="dxa"/>
            <w:right w:w="108" w:type="dxa"/>
          </w:tblCellMar>
        </w:tblPrEx>
        <w:tc>
          <w:tcPr>
            <w:tcW w:w="3026" w:type="dxa"/>
            <w:tcMar>
              <w:top w:w="284" w:type="dxa"/>
            </w:tcMar>
          </w:tcPr>
          <w:p w:rsidR="00915091" w:rsidRPr="00A9085B" w:rsidRDefault="00915091" w:rsidP="008E32ED">
            <w:pPr>
              <w:rPr>
                <w:rFonts w:eastAsia="Calibri"/>
                <w:szCs w:val="24"/>
                <w:lang w:val="fr-CA" w:eastAsia="en-US"/>
              </w:rPr>
            </w:pPr>
          </w:p>
        </w:tc>
        <w:tc>
          <w:tcPr>
            <w:tcW w:w="4034" w:type="dxa"/>
            <w:tcBorders>
              <w:bottom w:val="single" w:sz="4" w:space="0" w:color="auto"/>
            </w:tcBorders>
            <w:tcMar>
              <w:top w:w="284" w:type="dxa"/>
            </w:tcMar>
          </w:tcPr>
          <w:p w:rsidR="00915091" w:rsidRPr="00A9085B" w:rsidRDefault="00915091" w:rsidP="008E32ED">
            <w:pPr>
              <w:rPr>
                <w:rFonts w:eastAsia="Calibri"/>
                <w:szCs w:val="24"/>
                <w:lang w:val="fr-CA" w:eastAsia="en-US"/>
              </w:rPr>
            </w:pPr>
          </w:p>
        </w:tc>
        <w:tc>
          <w:tcPr>
            <w:tcW w:w="3026" w:type="dxa"/>
            <w:gridSpan w:val="2"/>
            <w:tcMar>
              <w:top w:w="284" w:type="dxa"/>
            </w:tcMar>
          </w:tcPr>
          <w:p w:rsidR="00915091" w:rsidRPr="00A9085B" w:rsidRDefault="00915091" w:rsidP="008E32ED">
            <w:pPr>
              <w:rPr>
                <w:rFonts w:eastAsia="Calibri"/>
                <w:szCs w:val="24"/>
                <w:lang w:val="fr-CA" w:eastAsia="en-US"/>
              </w:rPr>
            </w:pPr>
          </w:p>
        </w:tc>
      </w:tr>
    </w:tbl>
    <w:p w:rsidR="00915091" w:rsidRDefault="00915091" w:rsidP="00132729">
      <w:pPr>
        <w:spacing w:after="720"/>
        <w:jc w:val="both"/>
        <w:rPr>
          <w:smallCaps/>
          <w:lang w:val="fr-CA"/>
        </w:rPr>
        <w:sectPr w:rsidR="00915091" w:rsidSect="000648CC">
          <w:pgSz w:w="12240" w:h="15840"/>
          <w:pgMar w:top="1267" w:right="2160" w:bottom="720" w:left="1800" w:header="1802" w:footer="720" w:gutter="0"/>
          <w:cols w:space="720"/>
          <w:docGrid w:linePitch="326"/>
        </w:sectPr>
      </w:pPr>
    </w:p>
    <w:p w:rsidR="00132729" w:rsidRPr="0017235F" w:rsidRDefault="00132729" w:rsidP="00132729">
      <w:pPr>
        <w:spacing w:after="720"/>
        <w:jc w:val="both"/>
        <w:rPr>
          <w:lang w:val="fr-CA"/>
        </w:rPr>
      </w:pPr>
      <w:bookmarkStart w:id="0" w:name="_GoBack"/>
      <w:bookmarkEnd w:id="0"/>
      <w:r w:rsidRPr="0017235F">
        <w:rPr>
          <w:smallCaps/>
          <w:lang w:val="fr-CA"/>
        </w:rPr>
        <w:lastRenderedPageBreak/>
        <w:t xml:space="preserve">r. </w:t>
      </w:r>
      <w:r w:rsidRPr="0017235F">
        <w:rPr>
          <w:i/>
          <w:lang w:val="fr-CA"/>
        </w:rPr>
        <w:t>c.</w:t>
      </w:r>
      <w:r w:rsidRPr="0017235F">
        <w:rPr>
          <w:smallCaps/>
          <w:lang w:val="fr-CA"/>
        </w:rPr>
        <w:t xml:space="preserve"> deslauriers</w:t>
      </w:r>
    </w:p>
    <w:p w:rsidR="00132729" w:rsidRPr="0017235F" w:rsidRDefault="00132729" w:rsidP="00132729">
      <w:pPr>
        <w:pStyle w:val="SCCLsocLastPartyInRole"/>
        <w:rPr>
          <w:lang w:val="fr-CA"/>
        </w:rPr>
      </w:pPr>
      <w:r w:rsidRPr="00BA1F06">
        <w:rPr>
          <w:bCs/>
          <w:lang w:val="fr-CA"/>
        </w:rPr>
        <w:t>Sa Majesté la Reine</w:t>
      </w:r>
      <w:r w:rsidRPr="0017235F">
        <w:rPr>
          <w:rStyle w:val="SCCLsocPartyRole"/>
          <w:lang w:val="fr-CA"/>
        </w:rPr>
        <w:tab/>
        <w:t>Appelante</w:t>
      </w:r>
    </w:p>
    <w:p w:rsidR="00132729" w:rsidRPr="00BA1F06" w:rsidRDefault="00132729" w:rsidP="00132729">
      <w:pPr>
        <w:pStyle w:val="SCCLsocVersus"/>
        <w:rPr>
          <w:lang w:val="fr-CA"/>
        </w:rPr>
      </w:pPr>
      <w:r w:rsidRPr="00BA1F06">
        <w:rPr>
          <w:lang w:val="fr-CA"/>
        </w:rPr>
        <w:t>c.</w:t>
      </w:r>
    </w:p>
    <w:p w:rsidR="00132729" w:rsidRPr="0017235F" w:rsidRDefault="00132729" w:rsidP="00132729">
      <w:pPr>
        <w:pStyle w:val="SCCLsocLastPartyInRole"/>
        <w:rPr>
          <w:lang w:val="fr-CA"/>
        </w:rPr>
      </w:pPr>
      <w:r w:rsidRPr="0017235F">
        <w:rPr>
          <w:bCs/>
          <w:lang w:val="fr-CA"/>
        </w:rPr>
        <w:t>Éric Deslauriers</w:t>
      </w:r>
      <w:r w:rsidRPr="0017235F">
        <w:rPr>
          <w:rStyle w:val="SCCLsocPartyRole"/>
          <w:lang w:val="fr-CA"/>
        </w:rPr>
        <w:tab/>
        <w:t>Intimé</w:t>
      </w:r>
    </w:p>
    <w:p w:rsidR="00132729" w:rsidRPr="0017235F" w:rsidRDefault="00132729" w:rsidP="00132729">
      <w:pPr>
        <w:spacing w:after="720"/>
        <w:jc w:val="both"/>
        <w:rPr>
          <w:b/>
          <w:lang w:val="fr-CA"/>
        </w:rPr>
      </w:pPr>
      <w:r>
        <w:rPr>
          <w:b/>
          <w:lang w:val="fr-CA"/>
        </w:rPr>
        <w:t xml:space="preserve">Répertorié : R. </w:t>
      </w:r>
      <w:r w:rsidRPr="0017235F">
        <w:rPr>
          <w:b/>
          <w:i/>
          <w:iCs/>
          <w:lang w:val="fr-CA"/>
        </w:rPr>
        <w:t>c.</w:t>
      </w:r>
      <w:r>
        <w:rPr>
          <w:b/>
          <w:lang w:val="fr-CA"/>
        </w:rPr>
        <w:t xml:space="preserve"> </w:t>
      </w:r>
      <w:r w:rsidRPr="0017235F">
        <w:rPr>
          <w:b/>
          <w:lang w:val="fr-CA"/>
        </w:rPr>
        <w:t>Deslauriers</w:t>
      </w:r>
    </w:p>
    <w:p w:rsidR="00132729" w:rsidRPr="0017235F" w:rsidRDefault="00132729" w:rsidP="00132729">
      <w:pPr>
        <w:pStyle w:val="SCCSystemYear"/>
        <w:spacing w:after="720"/>
        <w:jc w:val="both"/>
        <w:rPr>
          <w:lang w:val="fr-CA"/>
        </w:rPr>
      </w:pPr>
      <w:r w:rsidRPr="0017235F">
        <w:rPr>
          <w:lang w:val="fr-CA"/>
        </w:rPr>
        <w:t>2021</w:t>
      </w:r>
      <w:r>
        <w:rPr>
          <w:lang w:val="fr-CA"/>
        </w:rPr>
        <w:t xml:space="preserve"> CSC </w:t>
      </w:r>
      <w:r w:rsidRPr="0017235F">
        <w:rPr>
          <w:color w:val="000000"/>
          <w:lang w:val="fr-CA"/>
        </w:rPr>
        <w:t>3</w:t>
      </w:r>
    </w:p>
    <w:p w:rsidR="00132729" w:rsidRPr="00AE3A60" w:rsidRDefault="00132729" w:rsidP="00132729">
      <w:pPr>
        <w:spacing w:after="720"/>
        <w:jc w:val="both"/>
        <w:rPr>
          <w:lang w:val="fr-CA"/>
        </w:rPr>
      </w:pPr>
      <w:r w:rsidRPr="00AE3A60">
        <w:rPr>
          <w:lang w:val="fr-CA"/>
        </w:rPr>
        <w:t>N</w:t>
      </w:r>
      <w:r w:rsidRPr="00AE3A60">
        <w:rPr>
          <w:vertAlign w:val="superscript"/>
          <w:lang w:val="fr-CA"/>
        </w:rPr>
        <w:t>o</w:t>
      </w:r>
      <w:r>
        <w:rPr>
          <w:lang w:val="fr-CA"/>
        </w:rPr>
        <w:t xml:space="preserve"> du greffe : </w:t>
      </w:r>
      <w:r w:rsidRPr="0017235F">
        <w:rPr>
          <w:color w:val="000000"/>
          <w:lang w:val="fr-CA"/>
        </w:rPr>
        <w:t>39131</w:t>
      </w:r>
      <w:r w:rsidRPr="00AE3A60">
        <w:rPr>
          <w:lang w:val="fr-CA"/>
        </w:rPr>
        <w:t>.</w:t>
      </w:r>
    </w:p>
    <w:p w:rsidR="00132729" w:rsidRPr="00AE3A60" w:rsidRDefault="00132729" w:rsidP="00132729">
      <w:pPr>
        <w:spacing w:after="720"/>
        <w:jc w:val="both"/>
        <w:rPr>
          <w:lang w:val="fr-CA"/>
        </w:rPr>
      </w:pPr>
      <w:r w:rsidRPr="00AE3A60">
        <w:rPr>
          <w:lang w:val="fr-CA"/>
        </w:rPr>
        <w:t>2021</w:t>
      </w:r>
      <w:r>
        <w:rPr>
          <w:lang w:val="fr-CA"/>
        </w:rPr>
        <w:t> </w:t>
      </w:r>
      <w:r w:rsidRPr="00AE3A60">
        <w:rPr>
          <w:lang w:val="fr-CA"/>
        </w:rPr>
        <w:t>:</w:t>
      </w:r>
      <w:r>
        <w:rPr>
          <w:lang w:val="fr-CA"/>
        </w:rPr>
        <w:t xml:space="preserve"> 20 janvier</w:t>
      </w:r>
      <w:r w:rsidRPr="00AE3A60">
        <w:rPr>
          <w:lang w:val="fr-CA"/>
        </w:rPr>
        <w:t>.</w:t>
      </w:r>
    </w:p>
    <w:p w:rsidR="00132729" w:rsidRPr="0017235F" w:rsidRDefault="00132729" w:rsidP="00132729">
      <w:pPr>
        <w:spacing w:after="720"/>
        <w:jc w:val="both"/>
        <w:rPr>
          <w:lang w:val="fr-CA"/>
        </w:rPr>
      </w:pPr>
      <w:r>
        <w:rPr>
          <w:lang w:val="fr-CA"/>
        </w:rPr>
        <w:t xml:space="preserve">Présents : </w:t>
      </w:r>
      <w:r w:rsidRPr="0017235F">
        <w:rPr>
          <w:color w:val="000000"/>
          <w:lang w:val="fr-CA"/>
        </w:rPr>
        <w:t>Le juge en chef Wagner et les juges Abella, Moldaver, Côté, Brown, Rowe et Kasirer</w:t>
      </w:r>
      <w:r>
        <w:rPr>
          <w:color w:val="000000"/>
          <w:lang w:val="fr-CA"/>
        </w:rPr>
        <w:t>.</w:t>
      </w:r>
    </w:p>
    <w:p w:rsidR="00132729" w:rsidRPr="006517E8" w:rsidRDefault="00132729" w:rsidP="00132729">
      <w:pPr>
        <w:spacing w:after="720"/>
        <w:jc w:val="both"/>
        <w:rPr>
          <w:smallCaps/>
          <w:lang w:val="fr-CA"/>
        </w:rPr>
      </w:pPr>
      <w:r w:rsidRPr="006517E8">
        <w:rPr>
          <w:smallCaps/>
          <w:lang w:val="fr-CA"/>
        </w:rPr>
        <w:t>en appel de la cour d’appel d</w:t>
      </w:r>
      <w:r>
        <w:rPr>
          <w:smallCaps/>
          <w:lang w:val="fr-CA"/>
        </w:rPr>
        <w:t>u québec</w:t>
      </w:r>
    </w:p>
    <w:p w:rsidR="00132729" w:rsidRPr="007948A0" w:rsidRDefault="00132729" w:rsidP="00132729">
      <w:pPr>
        <w:pStyle w:val="SCCNormalDoubleSpacing"/>
        <w:spacing w:after="480"/>
        <w:rPr>
          <w:i/>
          <w:iCs/>
          <w:lang w:val="fr-CA"/>
        </w:rPr>
      </w:pPr>
      <w:r w:rsidRPr="00BB4C92">
        <w:rPr>
          <w:lang w:val="fr-CA"/>
        </w:rPr>
        <w:tab/>
      </w:r>
      <w:r w:rsidRPr="00292D5B">
        <w:rPr>
          <w:i/>
          <w:lang w:val="fr-CA"/>
        </w:rPr>
        <w:t xml:space="preserve">Droit criminel </w:t>
      </w:r>
      <w:r w:rsidRPr="00695F74">
        <w:rPr>
          <w:i/>
          <w:lang w:val="fr-CA"/>
        </w:rPr>
        <w:t xml:space="preserve">— Preuve — </w:t>
      </w:r>
      <w:r w:rsidRPr="00F26247">
        <w:rPr>
          <w:i/>
          <w:iCs/>
          <w:lang w:val="fr-CA"/>
        </w:rPr>
        <w:t>Admissibilité</w:t>
      </w:r>
      <w:r>
        <w:rPr>
          <w:i/>
          <w:iCs/>
          <w:lang w:val="fr-CA"/>
        </w:rPr>
        <w:t xml:space="preserve"> </w:t>
      </w:r>
      <w:r w:rsidRPr="00F26247">
        <w:rPr>
          <w:i/>
          <w:iCs/>
          <w:lang w:val="fr-CA"/>
        </w:rPr>
        <w:t>—</w:t>
      </w:r>
      <w:r>
        <w:rPr>
          <w:i/>
          <w:iCs/>
          <w:lang w:val="fr-CA"/>
        </w:rPr>
        <w:t xml:space="preserve"> </w:t>
      </w:r>
      <w:r w:rsidRPr="00695F74">
        <w:rPr>
          <w:i/>
          <w:lang w:val="fr-CA"/>
        </w:rPr>
        <w:t>Appréciation</w:t>
      </w:r>
      <w:r w:rsidRPr="00292D5B">
        <w:rPr>
          <w:i/>
          <w:lang w:val="fr-CA"/>
        </w:rPr>
        <w:t xml:space="preserve"> —</w:t>
      </w:r>
      <w:r>
        <w:rPr>
          <w:i/>
          <w:lang w:val="fr-CA"/>
        </w:rPr>
        <w:t xml:space="preserve"> Preuve d’expert </w:t>
      </w:r>
      <w:r w:rsidRPr="00695F74">
        <w:rPr>
          <w:i/>
          <w:lang w:val="fr-CA"/>
        </w:rPr>
        <w:t>—</w:t>
      </w:r>
      <w:r>
        <w:rPr>
          <w:i/>
          <w:lang w:val="fr-CA"/>
        </w:rPr>
        <w:t xml:space="preserve"> </w:t>
      </w:r>
      <w:r w:rsidRPr="00E96B3B">
        <w:rPr>
          <w:i/>
          <w:lang w:val="fr-CA"/>
        </w:rPr>
        <w:t>Décès d’un adolescent à la suite de l’utilisation par un policier de son arme à feu</w:t>
      </w:r>
      <w:r>
        <w:rPr>
          <w:i/>
          <w:lang w:val="fr-CA"/>
        </w:rPr>
        <w:t xml:space="preserve"> </w:t>
      </w:r>
      <w:r w:rsidRPr="00695F74">
        <w:rPr>
          <w:i/>
          <w:lang w:val="fr-CA"/>
        </w:rPr>
        <w:t>—</w:t>
      </w:r>
      <w:r>
        <w:rPr>
          <w:i/>
          <w:lang w:val="fr-CA"/>
        </w:rPr>
        <w:t xml:space="preserve"> Policier</w:t>
      </w:r>
      <w:r>
        <w:rPr>
          <w:i/>
          <w:iCs/>
          <w:lang w:val="fr-CA"/>
        </w:rPr>
        <w:t xml:space="preserve"> a</w:t>
      </w:r>
      <w:r w:rsidRPr="00620D43">
        <w:rPr>
          <w:i/>
          <w:iCs/>
          <w:lang w:val="fr-CA"/>
        </w:rPr>
        <w:t>ccusé d</w:t>
      </w:r>
      <w:r>
        <w:rPr>
          <w:i/>
          <w:iCs/>
          <w:lang w:val="fr-CA"/>
        </w:rPr>
        <w:t>’homicide involontaire coupable et de négligence criminelle causant la mort</w:t>
      </w:r>
      <w:r w:rsidRPr="009643F4">
        <w:rPr>
          <w:i/>
          <w:iCs/>
          <w:lang w:val="fr-CA"/>
        </w:rPr>
        <w:t xml:space="preserve"> </w:t>
      </w:r>
      <w:r>
        <w:rPr>
          <w:i/>
          <w:iCs/>
          <w:lang w:val="fr-CA"/>
        </w:rPr>
        <w:t xml:space="preserve">et </w:t>
      </w:r>
      <w:r>
        <w:rPr>
          <w:i/>
          <w:lang w:val="fr-CA"/>
        </w:rPr>
        <w:t xml:space="preserve">déclaré coupable du premier chef d’accusation </w:t>
      </w:r>
      <w:r w:rsidRPr="00695F74">
        <w:rPr>
          <w:i/>
          <w:lang w:val="fr-CA"/>
        </w:rPr>
        <w:t>—</w:t>
      </w:r>
      <w:r>
        <w:rPr>
          <w:i/>
          <w:lang w:val="fr-CA"/>
        </w:rPr>
        <w:t xml:space="preserve"> </w:t>
      </w:r>
      <w:r w:rsidRPr="00F61244">
        <w:rPr>
          <w:i/>
          <w:iCs/>
          <w:lang w:val="fr-CA"/>
        </w:rPr>
        <w:t>Arrêt majoritaire de la C</w:t>
      </w:r>
      <w:r>
        <w:rPr>
          <w:i/>
          <w:iCs/>
          <w:lang w:val="fr-CA"/>
        </w:rPr>
        <w:t xml:space="preserve">our d’appel </w:t>
      </w:r>
      <w:r w:rsidRPr="00F61244">
        <w:rPr>
          <w:i/>
          <w:iCs/>
          <w:lang w:val="fr-CA"/>
        </w:rPr>
        <w:t>portant que la juge de première instance</w:t>
      </w:r>
      <w:r w:rsidRPr="00F61244">
        <w:rPr>
          <w:i/>
          <w:iCs/>
          <w:color w:val="000000"/>
          <w:lang w:val="fr-CA"/>
        </w:rPr>
        <w:t xml:space="preserve"> </w:t>
      </w:r>
      <w:r>
        <w:rPr>
          <w:i/>
          <w:iCs/>
          <w:lang w:val="fr-CA"/>
        </w:rPr>
        <w:t>a commis une erreur</w:t>
      </w:r>
      <w:r w:rsidRPr="00F61244">
        <w:rPr>
          <w:i/>
          <w:iCs/>
          <w:lang w:val="fr-CA"/>
        </w:rPr>
        <w:t xml:space="preserve"> en rejetant la requête de l’accusé en communication d’éléments de preuve en possession de tiers</w:t>
      </w:r>
      <w:r>
        <w:rPr>
          <w:i/>
          <w:iCs/>
          <w:lang w:val="fr-CA"/>
        </w:rPr>
        <w:t xml:space="preserve">, en retenant une </w:t>
      </w:r>
      <w:r w:rsidRPr="00F61244">
        <w:rPr>
          <w:i/>
          <w:iCs/>
          <w:lang w:val="fr-CA"/>
        </w:rPr>
        <w:t xml:space="preserve">trame factuelle incompatible avec la preuve sur certains </w:t>
      </w:r>
      <w:r w:rsidRPr="00F61244">
        <w:rPr>
          <w:i/>
          <w:iCs/>
          <w:lang w:val="fr-CA"/>
        </w:rPr>
        <w:lastRenderedPageBreak/>
        <w:t>points</w:t>
      </w:r>
      <w:r>
        <w:rPr>
          <w:i/>
          <w:iCs/>
          <w:lang w:val="fr-CA"/>
        </w:rPr>
        <w:t>,</w:t>
      </w:r>
      <w:r w:rsidRPr="00F61244">
        <w:rPr>
          <w:i/>
          <w:iCs/>
          <w:lang w:val="fr-CA"/>
        </w:rPr>
        <w:t xml:space="preserve"> et</w:t>
      </w:r>
      <w:r>
        <w:rPr>
          <w:i/>
          <w:iCs/>
          <w:lang w:val="fr-CA"/>
        </w:rPr>
        <w:t xml:space="preserve"> en rejetant le témoignage de l’expert quant à la </w:t>
      </w:r>
      <w:r w:rsidRPr="00407AB9">
        <w:rPr>
          <w:i/>
          <w:iCs/>
          <w:lang w:val="fr-CA"/>
        </w:rPr>
        <w:t>conformité de la conduite de l’</w:t>
      </w:r>
      <w:r>
        <w:rPr>
          <w:i/>
          <w:iCs/>
          <w:lang w:val="fr-CA"/>
        </w:rPr>
        <w:t xml:space="preserve">accusé par rapport aux enseignements </w:t>
      </w:r>
      <w:r w:rsidRPr="00407AB9">
        <w:rPr>
          <w:i/>
          <w:iCs/>
          <w:lang w:val="fr-CA"/>
        </w:rPr>
        <w:t>dispensés aux policiers</w:t>
      </w:r>
      <w:r>
        <w:rPr>
          <w:i/>
          <w:iCs/>
          <w:lang w:val="fr-CA"/>
        </w:rPr>
        <w:t xml:space="preserve"> </w:t>
      </w:r>
      <w:r w:rsidRPr="00F61244">
        <w:rPr>
          <w:i/>
          <w:iCs/>
          <w:lang w:val="fr-CA"/>
        </w:rPr>
        <w:t>—</w:t>
      </w:r>
      <w:r>
        <w:rPr>
          <w:i/>
          <w:iCs/>
          <w:lang w:val="fr-CA"/>
        </w:rPr>
        <w:t xml:space="preserve"> </w:t>
      </w:r>
      <w:r>
        <w:rPr>
          <w:i/>
          <w:iCs/>
          <w:color w:val="000000"/>
          <w:lang w:val="fr-CA"/>
        </w:rPr>
        <w:t>D</w:t>
      </w:r>
      <w:r w:rsidRPr="007948A0">
        <w:rPr>
          <w:i/>
          <w:iCs/>
          <w:color w:val="000000"/>
          <w:lang w:val="fr-CA"/>
        </w:rPr>
        <w:t>éclaration de culpabilité</w:t>
      </w:r>
      <w:r>
        <w:rPr>
          <w:i/>
          <w:iCs/>
          <w:color w:val="000000"/>
          <w:lang w:val="fr-CA"/>
        </w:rPr>
        <w:t xml:space="preserve"> annulée par la Cour d’appel </w:t>
      </w:r>
      <w:r w:rsidRPr="007948A0">
        <w:rPr>
          <w:i/>
          <w:iCs/>
          <w:color w:val="000000"/>
          <w:lang w:val="fr-CA"/>
        </w:rPr>
        <w:t>et nouveau procès</w:t>
      </w:r>
      <w:r>
        <w:rPr>
          <w:i/>
          <w:iCs/>
          <w:color w:val="000000"/>
          <w:lang w:val="fr-CA"/>
        </w:rPr>
        <w:t xml:space="preserve"> ordonné sur les deux chefs d’accusation </w:t>
      </w:r>
      <w:r w:rsidRPr="00DA0798">
        <w:rPr>
          <w:i/>
          <w:iCs/>
          <w:lang w:val="fr-CA"/>
        </w:rPr>
        <w:t>—</w:t>
      </w:r>
      <w:r>
        <w:rPr>
          <w:i/>
          <w:iCs/>
          <w:lang w:val="fr-CA"/>
        </w:rPr>
        <w:t xml:space="preserve"> </w:t>
      </w:r>
      <w:r w:rsidRPr="00192E83">
        <w:rPr>
          <w:i/>
          <w:iCs/>
          <w:lang w:val="fr-CA"/>
        </w:rPr>
        <w:t>Nouveau procès</w:t>
      </w:r>
      <w:r>
        <w:rPr>
          <w:i/>
          <w:iCs/>
          <w:lang w:val="fr-CA"/>
        </w:rPr>
        <w:t xml:space="preserve"> </w:t>
      </w:r>
      <w:r w:rsidRPr="00192E83">
        <w:rPr>
          <w:i/>
          <w:iCs/>
          <w:lang w:val="fr-CA"/>
        </w:rPr>
        <w:t>justifié</w:t>
      </w:r>
      <w:r>
        <w:rPr>
          <w:i/>
          <w:iCs/>
          <w:lang w:val="fr-CA"/>
        </w:rPr>
        <w:t>.</w:t>
      </w:r>
    </w:p>
    <w:p w:rsidR="00132729" w:rsidRPr="004D7D95" w:rsidRDefault="00132729" w:rsidP="00132729">
      <w:pPr>
        <w:pStyle w:val="SCCNormalDoubleSpacing"/>
        <w:widowControl w:val="0"/>
        <w:spacing w:after="720" w:line="240" w:lineRule="auto"/>
        <w:rPr>
          <w:b/>
          <w:lang w:val="fr-CA"/>
        </w:rPr>
      </w:pPr>
      <w:r w:rsidRPr="004D7D95">
        <w:rPr>
          <w:b/>
          <w:lang w:val="fr-CA"/>
        </w:rPr>
        <w:t>Jurisprudence</w:t>
      </w:r>
    </w:p>
    <w:p w:rsidR="00132729" w:rsidRDefault="00132729" w:rsidP="00132729">
      <w:pPr>
        <w:pStyle w:val="SCCNormalDoubleSpacing"/>
        <w:spacing w:after="480"/>
        <w:rPr>
          <w:b/>
          <w:lang w:val="fr-CA"/>
        </w:rPr>
      </w:pPr>
      <w:r>
        <w:rPr>
          <w:lang w:val="fr-CA"/>
        </w:rPr>
        <w:tab/>
      </w:r>
      <w:r w:rsidRPr="004D7D95">
        <w:rPr>
          <w:b/>
          <w:lang w:val="fr-CA"/>
        </w:rPr>
        <w:t>Arrêts mentionnés :</w:t>
      </w:r>
      <w:r w:rsidRPr="00BA1F06">
        <w:rPr>
          <w:i/>
          <w:iCs/>
          <w:color w:val="000000"/>
          <w:lang w:val="fr-CA"/>
        </w:rPr>
        <w:t xml:space="preserve"> </w:t>
      </w:r>
      <w:r w:rsidRPr="00D83444">
        <w:rPr>
          <w:i/>
          <w:iCs/>
          <w:color w:val="000000"/>
          <w:lang w:val="fr-CA"/>
        </w:rPr>
        <w:t>R. c.</w:t>
      </w:r>
      <w:r>
        <w:rPr>
          <w:color w:val="000000"/>
          <w:lang w:val="fr-CA"/>
        </w:rPr>
        <w:t xml:space="preserve"> </w:t>
      </w:r>
      <w:r w:rsidRPr="00D83444">
        <w:rPr>
          <w:i/>
          <w:iCs/>
          <w:color w:val="000000"/>
          <w:lang w:val="fr-CA"/>
        </w:rPr>
        <w:t>O’Connor</w:t>
      </w:r>
      <w:r>
        <w:rPr>
          <w:color w:val="000000"/>
          <w:lang w:val="fr-CA"/>
        </w:rPr>
        <w:t xml:space="preserve">, [1995] 4 R.C.S. 411; </w:t>
      </w:r>
      <w:r w:rsidRPr="00D83444">
        <w:rPr>
          <w:i/>
          <w:iCs/>
          <w:color w:val="000000"/>
          <w:lang w:val="fr-CA"/>
        </w:rPr>
        <w:t>R. c.</w:t>
      </w:r>
      <w:r>
        <w:rPr>
          <w:color w:val="000000"/>
          <w:lang w:val="fr-CA"/>
        </w:rPr>
        <w:t xml:space="preserve"> </w:t>
      </w:r>
      <w:r w:rsidRPr="00D83444">
        <w:rPr>
          <w:i/>
          <w:iCs/>
          <w:color w:val="000000"/>
          <w:lang w:val="fr-CA"/>
        </w:rPr>
        <w:t>McNeil</w:t>
      </w:r>
      <w:r w:rsidRPr="00D83444">
        <w:rPr>
          <w:color w:val="000000"/>
          <w:lang w:val="fr-CA"/>
        </w:rPr>
        <w:t>, 2009 CSC 3, [2009] 1 R.C.S. 66</w:t>
      </w:r>
      <w:r>
        <w:rPr>
          <w:color w:val="000000"/>
          <w:lang w:val="fr-CA"/>
        </w:rPr>
        <w:t>;</w:t>
      </w:r>
      <w:r w:rsidRPr="00BA1F06">
        <w:rPr>
          <w:i/>
          <w:iCs/>
          <w:color w:val="000000"/>
          <w:lang w:val="fr-CA"/>
        </w:rPr>
        <w:t xml:space="preserve"> </w:t>
      </w:r>
      <w:r w:rsidRPr="00D83444">
        <w:rPr>
          <w:i/>
          <w:iCs/>
          <w:color w:val="000000"/>
          <w:lang w:val="fr-CA"/>
        </w:rPr>
        <w:t>R. c.</w:t>
      </w:r>
      <w:r>
        <w:rPr>
          <w:color w:val="000000"/>
          <w:lang w:val="fr-CA"/>
        </w:rPr>
        <w:t xml:space="preserve"> </w:t>
      </w:r>
      <w:r w:rsidRPr="00D83444">
        <w:rPr>
          <w:i/>
          <w:iCs/>
          <w:color w:val="000000"/>
          <w:lang w:val="fr-CA"/>
        </w:rPr>
        <w:t>Sekhon</w:t>
      </w:r>
      <w:r w:rsidRPr="00D83444">
        <w:rPr>
          <w:color w:val="000000"/>
          <w:lang w:val="fr-CA"/>
        </w:rPr>
        <w:t>, 2014 CSC 15, [2014] 1 R.C.S. 272.</w:t>
      </w:r>
    </w:p>
    <w:p w:rsidR="00132729" w:rsidRPr="006517E8" w:rsidRDefault="00132729" w:rsidP="00132729">
      <w:pPr>
        <w:pStyle w:val="SCCNormalDoubleSpacing"/>
        <w:spacing w:after="480"/>
        <w:rPr>
          <w:lang w:val="fr-CA"/>
        </w:rPr>
      </w:pPr>
      <w:r w:rsidRPr="004D7D95">
        <w:rPr>
          <w:lang w:val="fr-CA"/>
        </w:rPr>
        <w:tab/>
      </w:r>
      <w:r w:rsidRPr="009330CB">
        <w:rPr>
          <w:lang w:val="fr-CA"/>
        </w:rPr>
        <w:t xml:space="preserve">POURVOI contre un arrêt de la Cour d’appel du Québec (la juge en chef Duval Hesler et les juges Chamberland et Schrager), </w:t>
      </w:r>
      <w:r w:rsidRPr="009330CB">
        <w:rPr>
          <w:color w:val="000000"/>
          <w:lang w:val="fr-CA"/>
        </w:rPr>
        <w:t>2020 QCCA 484, 453 D.L.R. (4th) 234, 63 C.R. (7th) 179, [2020] J.Q. n</w:t>
      </w:r>
      <w:r w:rsidRPr="009330CB">
        <w:rPr>
          <w:color w:val="000000"/>
          <w:vertAlign w:val="superscript"/>
          <w:lang w:val="fr-CA"/>
        </w:rPr>
        <w:t>o</w:t>
      </w:r>
      <w:r w:rsidRPr="009330CB">
        <w:rPr>
          <w:color w:val="000000"/>
          <w:lang w:val="fr-CA"/>
        </w:rPr>
        <w:t> 2073 (QL</w:t>
      </w:r>
      <w:r w:rsidRPr="008E05DA">
        <w:rPr>
          <w:color w:val="000000"/>
          <w:lang w:val="fr-CA"/>
        </w:rPr>
        <w:t xml:space="preserve">), 2020 CarswellQue 2321 (WL Can.), </w:t>
      </w:r>
      <w:r w:rsidRPr="006C36BA">
        <w:rPr>
          <w:lang w:val="fr-CA"/>
        </w:rPr>
        <w:t xml:space="preserve">qui a </w:t>
      </w:r>
      <w:r>
        <w:rPr>
          <w:lang w:val="fr-CA"/>
        </w:rPr>
        <w:t>annulé</w:t>
      </w:r>
      <w:r w:rsidRPr="006C36BA">
        <w:rPr>
          <w:lang w:val="fr-CA"/>
        </w:rPr>
        <w:t xml:space="preserve"> </w:t>
      </w:r>
      <w:r>
        <w:rPr>
          <w:color w:val="000000"/>
          <w:lang w:val="fr-CA"/>
        </w:rPr>
        <w:t>la déclaration</w:t>
      </w:r>
      <w:r w:rsidRPr="006C36BA">
        <w:rPr>
          <w:color w:val="000000"/>
          <w:lang w:val="fr-CA"/>
        </w:rPr>
        <w:t xml:space="preserve"> de culpabilité </w:t>
      </w:r>
      <w:r w:rsidRPr="009447A3">
        <w:rPr>
          <w:color w:val="000000"/>
          <w:lang w:val="fr-CA"/>
        </w:rPr>
        <w:t xml:space="preserve">pour homicide involontaire coupable </w:t>
      </w:r>
      <w:r w:rsidRPr="006C36BA">
        <w:rPr>
          <w:color w:val="000000"/>
          <w:lang w:val="fr-CA"/>
        </w:rPr>
        <w:t>prononcé</w:t>
      </w:r>
      <w:r>
        <w:rPr>
          <w:color w:val="000000"/>
          <w:lang w:val="fr-CA"/>
        </w:rPr>
        <w:t xml:space="preserve">e par la juge </w:t>
      </w:r>
      <w:r w:rsidRPr="006C36BA">
        <w:rPr>
          <w:color w:val="000000"/>
          <w:lang w:val="fr-CA"/>
        </w:rPr>
        <w:t>Roy</w:t>
      </w:r>
      <w:r w:rsidRPr="006C36BA">
        <w:rPr>
          <w:lang w:val="fr-CA"/>
        </w:rPr>
        <w:t>, 2017 QCCQ 11018,</w:t>
      </w:r>
      <w:r w:rsidRPr="00577424">
        <w:rPr>
          <w:lang w:val="fr-CA"/>
        </w:rPr>
        <w:t xml:space="preserve"> </w:t>
      </w:r>
      <w:r w:rsidRPr="00577424">
        <w:rPr>
          <w:bCs/>
          <w:lang w:val="fr-CA"/>
        </w:rPr>
        <w:t>[2017] J.Q. n</w:t>
      </w:r>
      <w:r w:rsidRPr="00577424">
        <w:rPr>
          <w:bCs/>
          <w:vertAlign w:val="superscript"/>
          <w:lang w:val="fr-CA"/>
        </w:rPr>
        <w:t>o</w:t>
      </w:r>
      <w:r w:rsidRPr="00577424">
        <w:rPr>
          <w:bCs/>
          <w:lang w:val="fr-CA"/>
        </w:rPr>
        <w:t> 13259 (QL</w:t>
      </w:r>
      <w:r w:rsidRPr="0090784F">
        <w:rPr>
          <w:bCs/>
          <w:lang w:val="fr-CA"/>
        </w:rPr>
        <w:t xml:space="preserve">), 2017 CarswellQue 8663 (WL Can.), </w:t>
      </w:r>
      <w:r w:rsidRPr="006C36BA">
        <w:rPr>
          <w:lang w:val="fr-CA"/>
        </w:rPr>
        <w:t>e</w:t>
      </w:r>
      <w:r>
        <w:rPr>
          <w:lang w:val="fr-CA"/>
        </w:rPr>
        <w:t xml:space="preserve">t </w:t>
      </w:r>
      <w:r w:rsidRPr="006C36BA">
        <w:rPr>
          <w:lang w:val="fr-CA"/>
        </w:rPr>
        <w:t>ordonné un nouveau procès</w:t>
      </w:r>
      <w:r w:rsidRPr="006C36BA">
        <w:rPr>
          <w:bCs/>
          <w:lang w:val="fr-CA"/>
        </w:rPr>
        <w:t>.</w:t>
      </w:r>
      <w:r w:rsidRPr="00D04664">
        <w:rPr>
          <w:bCs/>
          <w:lang w:val="fr-CA"/>
        </w:rPr>
        <w:t xml:space="preserve"> </w:t>
      </w:r>
      <w:r w:rsidRPr="002E6FF6">
        <w:rPr>
          <w:bCs/>
          <w:lang w:val="fr-CA"/>
        </w:rPr>
        <w:t xml:space="preserve">Pourvoi </w:t>
      </w:r>
      <w:r w:rsidRPr="00D04664">
        <w:rPr>
          <w:bCs/>
          <w:lang w:val="fr-CA"/>
        </w:rPr>
        <w:t>rejeté, l</w:t>
      </w:r>
      <w:r w:rsidRPr="00D04664">
        <w:rPr>
          <w:color w:val="000000"/>
          <w:lang w:val="fr-CA"/>
        </w:rPr>
        <w:t>es juges Abella et Brown sont dissidents</w:t>
      </w:r>
      <w:r w:rsidRPr="00D04664">
        <w:rPr>
          <w:bCs/>
          <w:lang w:val="fr-CA"/>
        </w:rPr>
        <w:t>.</w:t>
      </w:r>
    </w:p>
    <w:p w:rsidR="00132729" w:rsidRPr="00A54B4D" w:rsidRDefault="00132729" w:rsidP="00132729">
      <w:pPr>
        <w:pStyle w:val="SCCNormalDoubleSpacing"/>
        <w:spacing w:after="480"/>
        <w:rPr>
          <w:color w:val="000000"/>
          <w:szCs w:val="24"/>
          <w:lang w:val="fr-CA" w:eastAsia="en-US"/>
        </w:rPr>
      </w:pPr>
      <w:r w:rsidRPr="0017235F">
        <w:rPr>
          <w:lang w:val="fr-CA"/>
        </w:rPr>
        <w:tab/>
      </w:r>
      <w:r w:rsidRPr="004656EE">
        <w:rPr>
          <w:i/>
          <w:iCs/>
          <w:lang w:val="fr-CA"/>
        </w:rPr>
        <w:t>Julie Laborde</w:t>
      </w:r>
      <w:r w:rsidRPr="00A54B4D">
        <w:rPr>
          <w:iCs/>
          <w:lang w:val="fr-CA"/>
        </w:rPr>
        <w:t xml:space="preserve"> et</w:t>
      </w:r>
      <w:r>
        <w:rPr>
          <w:iCs/>
          <w:lang w:val="fr-CA"/>
        </w:rPr>
        <w:t xml:space="preserve"> </w:t>
      </w:r>
      <w:r w:rsidRPr="004656EE">
        <w:rPr>
          <w:i/>
          <w:iCs/>
          <w:lang w:val="fr-CA"/>
        </w:rPr>
        <w:t>Marie</w:t>
      </w:r>
      <w:r w:rsidRPr="004656EE">
        <w:rPr>
          <w:i/>
          <w:iCs/>
          <w:lang w:val="fr-CA"/>
        </w:rPr>
        <w:noBreakHyphen/>
        <w:t>Claude Bourassa</w:t>
      </w:r>
      <w:r w:rsidRPr="00A54B4D">
        <w:rPr>
          <w:color w:val="000000"/>
          <w:szCs w:val="24"/>
          <w:lang w:val="fr-CA" w:eastAsia="en-US"/>
        </w:rPr>
        <w:t>, pour l’appelante.</w:t>
      </w:r>
    </w:p>
    <w:p w:rsidR="00132729" w:rsidRPr="00680675" w:rsidRDefault="00132729" w:rsidP="00132729">
      <w:pPr>
        <w:pStyle w:val="SCCNormalDoubleSpacing"/>
        <w:spacing w:after="480"/>
        <w:rPr>
          <w:color w:val="000000"/>
          <w:szCs w:val="24"/>
          <w:lang w:val="fr-CA" w:eastAsia="en-US"/>
        </w:rPr>
      </w:pPr>
      <w:r w:rsidRPr="00680675">
        <w:rPr>
          <w:color w:val="000000"/>
          <w:szCs w:val="24"/>
          <w:lang w:val="fr-CA" w:eastAsia="en-US"/>
        </w:rPr>
        <w:tab/>
      </w:r>
      <w:r w:rsidRPr="004656EE">
        <w:rPr>
          <w:i/>
          <w:iCs/>
          <w:lang w:val="fr-CA"/>
        </w:rPr>
        <w:t>Tristan Desjardins</w:t>
      </w:r>
      <w:r w:rsidRPr="00680675">
        <w:rPr>
          <w:iCs/>
          <w:lang w:val="fr-CA"/>
        </w:rPr>
        <w:t xml:space="preserve"> et </w:t>
      </w:r>
      <w:r w:rsidRPr="004656EE">
        <w:rPr>
          <w:i/>
          <w:iCs/>
          <w:lang w:val="fr-CA"/>
        </w:rPr>
        <w:t>Nadine Touma</w:t>
      </w:r>
      <w:r w:rsidRPr="00680675">
        <w:rPr>
          <w:color w:val="000000"/>
          <w:szCs w:val="24"/>
          <w:lang w:val="fr-CA" w:eastAsia="en-US"/>
        </w:rPr>
        <w:t>, pour l’intimé.</w:t>
      </w:r>
    </w:p>
    <w:p w:rsidR="00132729" w:rsidRDefault="00132729" w:rsidP="00132729">
      <w:pPr>
        <w:pStyle w:val="SCCNormalDoubleSpacing"/>
        <w:spacing w:after="480"/>
        <w:rPr>
          <w:color w:val="000000"/>
          <w:lang w:val="fr-CA"/>
        </w:rPr>
      </w:pPr>
      <w:r w:rsidRPr="009D7F5E">
        <w:rPr>
          <w:color w:val="000000"/>
          <w:lang w:val="fr-CA"/>
        </w:rPr>
        <w:tab/>
      </w:r>
      <w:r w:rsidRPr="009D7F5E">
        <w:rPr>
          <w:rStyle w:val="SCCCounselPartyRoleChar"/>
          <w:lang w:val="fr-CA"/>
        </w:rPr>
        <w:t>Le jugement de la Cour a été rendu oralement par</w:t>
      </w:r>
    </w:p>
    <w:p w:rsidR="00132729" w:rsidRPr="00D83444" w:rsidRDefault="00132729" w:rsidP="00132729">
      <w:pPr>
        <w:pStyle w:val="SCCNormalDoubleSpacing"/>
        <w:spacing w:after="480"/>
        <w:rPr>
          <w:lang w:val="fr-CA" w:eastAsia="en-US"/>
        </w:rPr>
      </w:pPr>
      <w:r>
        <w:rPr>
          <w:lang w:val="fr-CA"/>
        </w:rPr>
        <w:t>[1]</w:t>
      </w:r>
      <w:r>
        <w:rPr>
          <w:lang w:val="fr-CA"/>
        </w:rPr>
        <w:tab/>
      </w:r>
      <w:r w:rsidRPr="009C60BD">
        <w:rPr>
          <w:smallCaps/>
          <w:lang w:val="fr-CA"/>
        </w:rPr>
        <w:t>Le juge en chef</w:t>
      </w:r>
      <w:r w:rsidRPr="00351398">
        <w:rPr>
          <w:lang w:val="fr-CA"/>
        </w:rPr>
        <w:t xml:space="preserve"> — </w:t>
      </w:r>
      <w:r w:rsidRPr="00D83444">
        <w:rPr>
          <w:color w:val="000000"/>
          <w:lang w:val="fr-CA"/>
        </w:rPr>
        <w:t xml:space="preserve">Le ministère public se pourvoit de plein droit sur des questions de droit suite au jugement majoritaire de la Cour d’appel du Québec qui a </w:t>
      </w:r>
      <w:r w:rsidRPr="00D83444">
        <w:rPr>
          <w:color w:val="000000"/>
          <w:lang w:val="fr-CA"/>
        </w:rPr>
        <w:lastRenderedPageBreak/>
        <w:t>cassé le verdict de culpabilité prononcé par la juge Joëlle Roy de la Cour du Québec et a ordonné la tenue d’un nouveau procès. Une majorité des juges de notre Cour est d’avis de rejeter le pourvoi pour les motifs du juge Chamberland.</w:t>
      </w:r>
    </w:p>
    <w:p w:rsidR="00132729" w:rsidRPr="00D83444" w:rsidRDefault="00132729" w:rsidP="00132729">
      <w:pPr>
        <w:pStyle w:val="SCCNormalDoubleSpacing"/>
        <w:spacing w:after="480"/>
        <w:rPr>
          <w:lang w:val="fr-CA"/>
        </w:rPr>
      </w:pPr>
      <w:r>
        <w:rPr>
          <w:lang w:val="fr-CA"/>
        </w:rPr>
        <w:t>[2]</w:t>
      </w:r>
      <w:r>
        <w:rPr>
          <w:lang w:val="fr-CA"/>
        </w:rPr>
        <w:tab/>
      </w:r>
      <w:r w:rsidRPr="00D83444">
        <w:rPr>
          <w:color w:val="000000"/>
          <w:lang w:val="fr-CA"/>
        </w:rPr>
        <w:t>La juge Roy a erré en droit en refusant à M. Deslauriers le droit d’obtenir et de déposer, le cas échéant, des documents portant sur l’existence de trois enquêtes criminelles et un rapport du Centre jeunesse des Laurentides impliquant la victime, information vraisemblablement et raisonnablement susceptible d’aider M. Deslauriers dans l’exercice de son droit à une défense pleine et entière.</w:t>
      </w:r>
    </w:p>
    <w:p w:rsidR="00132729" w:rsidRPr="00D83444" w:rsidRDefault="00132729" w:rsidP="00132729">
      <w:pPr>
        <w:pStyle w:val="SCCNormalDoubleSpacing"/>
        <w:spacing w:after="480"/>
        <w:rPr>
          <w:lang w:val="fr-CA"/>
        </w:rPr>
      </w:pPr>
      <w:r>
        <w:rPr>
          <w:lang w:val="fr-CA"/>
        </w:rPr>
        <w:t>[3]</w:t>
      </w:r>
      <w:r>
        <w:rPr>
          <w:lang w:val="fr-CA"/>
        </w:rPr>
        <w:tab/>
      </w:r>
      <w:r w:rsidRPr="002D0AA1">
        <w:rPr>
          <w:color w:val="000000"/>
          <w:lang w:val="fr-CA"/>
        </w:rPr>
        <w:t>La juge Roy a également erré dans l’interprétation et le traitement de la preuve capitale pour l’accusé de nature à entraîner une erreur judiciaire.</w:t>
      </w:r>
      <w:r w:rsidRPr="00D83444">
        <w:rPr>
          <w:color w:val="000000"/>
          <w:lang w:val="fr-CA"/>
        </w:rPr>
        <w:t xml:space="preserve"> En raison de nos motifs, </w:t>
      </w:r>
      <w:r w:rsidRPr="0057407C">
        <w:rPr>
          <w:color w:val="000000"/>
          <w:lang w:val="fr-CA"/>
        </w:rPr>
        <w:t>cependant, il n’est pas nécessaire de disposer de cette question déjà décidée par la Cour d’appel du Québec. La juge Roy a également erré dans le traiteme</w:t>
      </w:r>
      <w:r>
        <w:rPr>
          <w:color w:val="000000"/>
          <w:lang w:val="fr-CA"/>
        </w:rPr>
        <w:t>nt du témoignage de l’expert M. </w:t>
      </w:r>
      <w:r w:rsidRPr="0057407C">
        <w:rPr>
          <w:color w:val="000000"/>
          <w:lang w:val="fr-CA"/>
        </w:rPr>
        <w:t>Poulin qui portait sur le comportement de M. Deslauriers en tant que policier, ce qui était au cœur de ses moyens de défense.</w:t>
      </w:r>
    </w:p>
    <w:p w:rsidR="00132729" w:rsidRDefault="00132729" w:rsidP="00132729">
      <w:pPr>
        <w:pStyle w:val="SCCNormalDoubleSpacing"/>
        <w:spacing w:after="480"/>
        <w:rPr>
          <w:lang w:val="fr-CA"/>
        </w:rPr>
      </w:pPr>
      <w:r>
        <w:rPr>
          <w:lang w:val="fr-CA"/>
        </w:rPr>
        <w:t>[4]</w:t>
      </w:r>
      <w:r>
        <w:rPr>
          <w:lang w:val="fr-CA"/>
        </w:rPr>
        <w:tab/>
      </w:r>
      <w:r w:rsidRPr="00D83444">
        <w:rPr>
          <w:color w:val="000000"/>
          <w:lang w:val="fr-CA"/>
        </w:rPr>
        <w:t xml:space="preserve">Finalement, bien qu’il ne soit pas </w:t>
      </w:r>
      <w:r w:rsidRPr="0057407C">
        <w:rPr>
          <w:color w:val="000000"/>
          <w:lang w:val="fr-CA"/>
        </w:rPr>
        <w:t>nécessaire de se prononcer sur l’aspect récusation du jugement entrepris, et dans la mesure où le ministère public désire poursuivre les procédures menant à un deuxième procès, ce dernier devra procéder devant un autre juge d’instance. Pour ces motifs, le pourvoi est rejeté.</w:t>
      </w:r>
    </w:p>
    <w:p w:rsidR="00132729" w:rsidRPr="00D83444" w:rsidRDefault="00132729" w:rsidP="00132729">
      <w:pPr>
        <w:pStyle w:val="SCCNormalDoubleSpacing"/>
        <w:spacing w:before="480" w:after="480"/>
        <w:rPr>
          <w:lang w:val="fr-CA"/>
        </w:rPr>
      </w:pPr>
      <w:r>
        <w:rPr>
          <w:lang w:val="fr-CA"/>
        </w:rPr>
        <w:t>[5]</w:t>
      </w:r>
      <w:r>
        <w:rPr>
          <w:lang w:val="fr-CA"/>
        </w:rPr>
        <w:tab/>
      </w:r>
      <w:r w:rsidRPr="00D83444">
        <w:rPr>
          <w:color w:val="000000"/>
          <w:lang w:val="fr-CA"/>
        </w:rPr>
        <w:t>Les juges Abella et Brown sont d’avis que les documents recherchés par la défense ne satisfont pas au critère de « pertinenc</w:t>
      </w:r>
      <w:r>
        <w:rPr>
          <w:color w:val="000000"/>
          <w:lang w:val="fr-CA"/>
        </w:rPr>
        <w:t xml:space="preserve">e probable » au sens des arrêts </w:t>
      </w:r>
      <w:r w:rsidRPr="00D83444">
        <w:rPr>
          <w:i/>
          <w:iCs/>
          <w:color w:val="000000"/>
          <w:lang w:val="fr-CA"/>
        </w:rPr>
        <w:t>R. c.</w:t>
      </w:r>
      <w:r w:rsidRPr="00D83444">
        <w:rPr>
          <w:color w:val="000000"/>
          <w:lang w:val="fr-CA"/>
        </w:rPr>
        <w:t> </w:t>
      </w:r>
      <w:r w:rsidRPr="00D83444">
        <w:rPr>
          <w:i/>
          <w:iCs/>
          <w:color w:val="000000"/>
          <w:lang w:val="fr-CA"/>
        </w:rPr>
        <w:t>O’Connor</w:t>
      </w:r>
      <w:r>
        <w:rPr>
          <w:color w:val="000000"/>
          <w:lang w:val="fr-CA"/>
        </w:rPr>
        <w:t xml:space="preserve">, [1995] 4 R.C.S. 411, et </w:t>
      </w:r>
      <w:r w:rsidRPr="00D83444">
        <w:rPr>
          <w:i/>
          <w:iCs/>
          <w:color w:val="000000"/>
          <w:lang w:val="fr-CA"/>
        </w:rPr>
        <w:t>R. c.</w:t>
      </w:r>
      <w:r>
        <w:rPr>
          <w:color w:val="000000"/>
          <w:lang w:val="fr-CA"/>
        </w:rPr>
        <w:t xml:space="preserve"> </w:t>
      </w:r>
      <w:r w:rsidRPr="00D83444">
        <w:rPr>
          <w:i/>
          <w:iCs/>
          <w:color w:val="000000"/>
          <w:lang w:val="fr-CA"/>
        </w:rPr>
        <w:t>McNeil</w:t>
      </w:r>
      <w:r w:rsidRPr="00D83444">
        <w:rPr>
          <w:color w:val="000000"/>
          <w:lang w:val="fr-CA"/>
        </w:rPr>
        <w:t xml:space="preserve">, 2009 CSC 3, [2009] 1 R.C.S. 66. De plus, à leur avis, l’expert Bruno Poulin a dépassé les limites de son expertise, et son </w:t>
      </w:r>
      <w:r w:rsidRPr="00D83444">
        <w:rPr>
          <w:color w:val="000000"/>
          <w:lang w:val="fr-CA"/>
        </w:rPr>
        <w:lastRenderedPageBreak/>
        <w:t>témoignage n’était ni pertinent n</w:t>
      </w:r>
      <w:r>
        <w:rPr>
          <w:color w:val="000000"/>
          <w:lang w:val="fr-CA"/>
        </w:rPr>
        <w:t xml:space="preserve">i nécessaire au sens de l’arrêt </w:t>
      </w:r>
      <w:r w:rsidRPr="00D83444">
        <w:rPr>
          <w:i/>
          <w:iCs/>
          <w:color w:val="000000"/>
          <w:lang w:val="fr-CA"/>
        </w:rPr>
        <w:t>R. c.</w:t>
      </w:r>
      <w:r>
        <w:rPr>
          <w:color w:val="000000"/>
          <w:lang w:val="fr-CA"/>
        </w:rPr>
        <w:t xml:space="preserve"> </w:t>
      </w:r>
      <w:r w:rsidRPr="00D83444">
        <w:rPr>
          <w:i/>
          <w:iCs/>
          <w:color w:val="000000"/>
          <w:lang w:val="fr-CA"/>
        </w:rPr>
        <w:t>Sekhon</w:t>
      </w:r>
      <w:r w:rsidRPr="00D83444">
        <w:rPr>
          <w:color w:val="000000"/>
          <w:lang w:val="fr-CA"/>
        </w:rPr>
        <w:t>, 2014 CSC 15, [2014] 1 R.C.S. 272. Pour ces motifs, ils auraient accueilli l’appel, infirmé l’arrêt de la Cour d’appel et rétabli le verdict de culpabilité.</w:t>
      </w:r>
    </w:p>
    <w:p w:rsidR="00132729" w:rsidRPr="00077C07" w:rsidRDefault="00132729" w:rsidP="00132729">
      <w:pPr>
        <w:pStyle w:val="SCCNormalDoubleSpacing"/>
        <w:spacing w:after="480"/>
        <w:rPr>
          <w:lang w:val="fr-CA"/>
        </w:rPr>
      </w:pPr>
      <w:r w:rsidRPr="006517E8">
        <w:rPr>
          <w:lang w:val="fr-CA"/>
        </w:rPr>
        <w:tab/>
      </w:r>
      <w:r w:rsidRPr="00077C07">
        <w:rPr>
          <w:i/>
          <w:iCs/>
          <w:color w:val="000000"/>
          <w:lang w:val="fr-CA"/>
        </w:rPr>
        <w:t>Jugement en conséquence.</w:t>
      </w:r>
    </w:p>
    <w:p w:rsidR="00132729" w:rsidRPr="004656EE" w:rsidRDefault="00132729" w:rsidP="00132729">
      <w:pPr>
        <w:pStyle w:val="SCCNormalDoubleSpacing"/>
        <w:spacing w:after="480"/>
        <w:rPr>
          <w:i/>
          <w:highlight w:val="yellow"/>
          <w:lang w:val="fr-CA"/>
        </w:rPr>
      </w:pPr>
      <w:r w:rsidRPr="00C16981">
        <w:rPr>
          <w:lang w:val="fr-CA"/>
        </w:rPr>
        <w:tab/>
      </w:r>
      <w:r w:rsidRPr="004656EE">
        <w:rPr>
          <w:i/>
          <w:lang w:val="fr-CA"/>
        </w:rPr>
        <w:t xml:space="preserve">Procureur de l’appelante : </w:t>
      </w:r>
      <w:r w:rsidRPr="004656EE">
        <w:rPr>
          <w:bCs/>
          <w:i/>
          <w:iCs/>
          <w:lang w:val="fr-CA"/>
        </w:rPr>
        <w:t>Directeur des poursuites criminelles et pénales, Longueuil.</w:t>
      </w:r>
    </w:p>
    <w:p w:rsidR="00132729" w:rsidRPr="004656EE" w:rsidRDefault="00132729" w:rsidP="00132729">
      <w:pPr>
        <w:pStyle w:val="SCCNormalDoubleSpacing"/>
        <w:spacing w:after="480"/>
        <w:rPr>
          <w:i/>
          <w:lang w:val="fr-CA"/>
        </w:rPr>
      </w:pPr>
      <w:r w:rsidRPr="00F7216C">
        <w:rPr>
          <w:lang w:val="fr-CA"/>
        </w:rPr>
        <w:tab/>
      </w:r>
      <w:r w:rsidRPr="004656EE">
        <w:rPr>
          <w:i/>
          <w:lang w:val="fr-CA"/>
        </w:rPr>
        <w:t>Procureurs de l’intimé : Desjardins Côté, Montréal; Poupart, Touma, Montréal.</w:t>
      </w:r>
    </w:p>
    <w:p w:rsidR="008051F0" w:rsidRPr="00132729" w:rsidRDefault="008051F0" w:rsidP="00132729">
      <w:pPr>
        <w:tabs>
          <w:tab w:val="left" w:pos="576"/>
          <w:tab w:val="right" w:pos="9360"/>
        </w:tabs>
        <w:rPr>
          <w:lang w:val="fr-CA"/>
        </w:rPr>
      </w:pPr>
    </w:p>
    <w:sectPr w:rsidR="008051F0" w:rsidRPr="00132729"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8A2" w:rsidRDefault="008208A2">
      <w:r>
        <w:separator/>
      </w:r>
    </w:p>
  </w:endnote>
  <w:endnote w:type="continuationSeparator" w:id="0">
    <w:p w:rsidR="008208A2" w:rsidRDefault="0082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8A2" w:rsidRDefault="008208A2">
      <w:r>
        <w:separator/>
      </w:r>
    </w:p>
  </w:footnote>
  <w:footnote w:type="continuationSeparator" w:id="0">
    <w:p w:rsidR="008208A2" w:rsidRDefault="00820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64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763F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C850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A47E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3837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3003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7208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9661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905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2A51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B73F21"/>
    <w:multiLevelType w:val="hybridMultilevel"/>
    <w:tmpl w:val="1CA8AB4C"/>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000BA4"/>
    <w:multiLevelType w:val="hybridMultilevel"/>
    <w:tmpl w:val="900CBD0E"/>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C1B2609"/>
    <w:multiLevelType w:val="hybridMultilevel"/>
    <w:tmpl w:val="B62EB43A"/>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0F65EB2"/>
    <w:multiLevelType w:val="hybridMultilevel"/>
    <w:tmpl w:val="406E4396"/>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03130A"/>
    <w:multiLevelType w:val="multilevel"/>
    <w:tmpl w:val="9A5EAD4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283EE8"/>
    <w:multiLevelType w:val="multilevel"/>
    <w:tmpl w:val="61380426"/>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662891"/>
    <w:multiLevelType w:val="hybridMultilevel"/>
    <w:tmpl w:val="FAECBADC"/>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666D1F9C"/>
    <w:multiLevelType w:val="hybridMultilevel"/>
    <w:tmpl w:val="A1BAD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A5550B"/>
    <w:multiLevelType w:val="hybridMultilevel"/>
    <w:tmpl w:val="D9EA6A54"/>
    <w:lvl w:ilvl="0" w:tplc="AF12D38C">
      <w:start w:val="1"/>
      <w:numFmt w:val="decimal"/>
      <w:lvlText w:val="(%1)"/>
      <w:lvlJc w:val="left"/>
      <w:pPr>
        <w:ind w:left="1080" w:hanging="360"/>
      </w:pPr>
      <w:rPr>
        <w:rFonts w:hint="default"/>
      </w:rPr>
    </w:lvl>
    <w:lvl w:ilvl="1" w:tplc="19B23C74">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7A957F3C"/>
    <w:multiLevelType w:val="hybridMultilevel"/>
    <w:tmpl w:val="A0A41CF8"/>
    <w:lvl w:ilvl="0" w:tplc="D7E6156A">
      <w:start w:val="1"/>
      <w:numFmt w:val="bullet"/>
      <w:lvlText w:val=""/>
      <w:lvlJc w:val="left"/>
      <w:pPr>
        <w:ind w:left="900" w:hanging="360"/>
      </w:pPr>
      <w:rPr>
        <w:rFonts w:ascii="Symbol" w:hAnsi="Symbol" w:hint="default"/>
        <w:color w:val="auto"/>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num w:numId="1">
    <w:abstractNumId w:val="22"/>
  </w:num>
  <w:num w:numId="2">
    <w:abstractNumId w:val="12"/>
  </w:num>
  <w:num w:numId="3">
    <w:abstractNumId w:val="10"/>
  </w:num>
  <w:num w:numId="4">
    <w:abstractNumId w:val="19"/>
  </w:num>
  <w:num w:numId="5">
    <w:abstractNumId w:val="20"/>
  </w:num>
  <w:num w:numId="6">
    <w:abstractNumId w:val="21"/>
  </w:num>
  <w:num w:numId="7">
    <w:abstractNumId w:val="17"/>
  </w:num>
  <w:num w:numId="8">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5"/>
  </w:num>
  <w:num w:numId="10">
    <w:abstractNumId w:val="15"/>
  </w:num>
  <w:num w:numId="11">
    <w:abstractNumId w:val="13"/>
  </w:num>
  <w:num w:numId="12">
    <w:abstractNumId w:val="11"/>
  </w:num>
  <w:num w:numId="13">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i w:val="0"/>
        </w:rPr>
      </w:lvl>
    </w:lvlOverride>
    <w:lvlOverride w:ilvl="4">
      <w:lvl w:ilvl="4">
        <w:start w:val="1"/>
        <w:numFmt w:val="lowerRoman"/>
        <w:pStyle w:val="Title5LevelTitre5Niveau"/>
        <w:lvlText w:val="(%5)"/>
        <w:lvlJc w:val="left"/>
        <w:pPr>
          <w:tabs>
            <w:tab w:val="num" w:pos="1728"/>
          </w:tabs>
          <w:ind w:left="1728" w:hanging="576"/>
        </w:pPr>
        <w:rPr>
          <w:rFonts w:hint="default"/>
          <w:i w:val="0"/>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23"/>
  </w:num>
  <w:num w:numId="27">
    <w:abstractNumId w:val="14"/>
  </w:num>
  <w:num w:numId="28">
    <w:abstractNumId w:val="26"/>
  </w:num>
  <w:num w:numId="29">
    <w:abstractNumId w:val="24"/>
  </w:num>
  <w:num w:numId="30">
    <w:abstractNumId w:val="17"/>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3781"/>
    <w:rsid w:val="00017885"/>
    <w:rsid w:val="00025198"/>
    <w:rsid w:val="00026467"/>
    <w:rsid w:val="00040D1B"/>
    <w:rsid w:val="00041BDD"/>
    <w:rsid w:val="000578A3"/>
    <w:rsid w:val="000648CC"/>
    <w:rsid w:val="00076E46"/>
    <w:rsid w:val="00094FED"/>
    <w:rsid w:val="000B5CFA"/>
    <w:rsid w:val="000B69B5"/>
    <w:rsid w:val="000C3FCE"/>
    <w:rsid w:val="000C59B8"/>
    <w:rsid w:val="000C6AF0"/>
    <w:rsid w:val="000C78C2"/>
    <w:rsid w:val="000F0995"/>
    <w:rsid w:val="000F2FF1"/>
    <w:rsid w:val="00104F33"/>
    <w:rsid w:val="00106D75"/>
    <w:rsid w:val="00111905"/>
    <w:rsid w:val="00111DE2"/>
    <w:rsid w:val="0011492A"/>
    <w:rsid w:val="001160DE"/>
    <w:rsid w:val="00116B38"/>
    <w:rsid w:val="00122325"/>
    <w:rsid w:val="00132729"/>
    <w:rsid w:val="00134F55"/>
    <w:rsid w:val="00135406"/>
    <w:rsid w:val="00135972"/>
    <w:rsid w:val="00136268"/>
    <w:rsid w:val="00137E61"/>
    <w:rsid w:val="001426A9"/>
    <w:rsid w:val="0014546A"/>
    <w:rsid w:val="00154563"/>
    <w:rsid w:val="00154D7C"/>
    <w:rsid w:val="001570B0"/>
    <w:rsid w:val="0015752C"/>
    <w:rsid w:val="00157737"/>
    <w:rsid w:val="00165277"/>
    <w:rsid w:val="001677C1"/>
    <w:rsid w:val="00170592"/>
    <w:rsid w:val="00186351"/>
    <w:rsid w:val="00194B22"/>
    <w:rsid w:val="00195D83"/>
    <w:rsid w:val="001977DB"/>
    <w:rsid w:val="001A00C1"/>
    <w:rsid w:val="001A42A4"/>
    <w:rsid w:val="001B33E0"/>
    <w:rsid w:val="001B4573"/>
    <w:rsid w:val="001C779F"/>
    <w:rsid w:val="001D2AC1"/>
    <w:rsid w:val="001D4DDF"/>
    <w:rsid w:val="001D4E88"/>
    <w:rsid w:val="001D65FF"/>
    <w:rsid w:val="001D6E70"/>
    <w:rsid w:val="001E477D"/>
    <w:rsid w:val="00220FC2"/>
    <w:rsid w:val="002222F4"/>
    <w:rsid w:val="00224FC0"/>
    <w:rsid w:val="00225EA4"/>
    <w:rsid w:val="00226EAF"/>
    <w:rsid w:val="002310A2"/>
    <w:rsid w:val="00231F3A"/>
    <w:rsid w:val="00234199"/>
    <w:rsid w:val="00236389"/>
    <w:rsid w:val="00237AFE"/>
    <w:rsid w:val="002406EE"/>
    <w:rsid w:val="00243EC8"/>
    <w:rsid w:val="0026412B"/>
    <w:rsid w:val="00264B77"/>
    <w:rsid w:val="00270D93"/>
    <w:rsid w:val="002745CC"/>
    <w:rsid w:val="002909F6"/>
    <w:rsid w:val="0029178F"/>
    <w:rsid w:val="002B7924"/>
    <w:rsid w:val="002B7ABA"/>
    <w:rsid w:val="002D2226"/>
    <w:rsid w:val="002D28C3"/>
    <w:rsid w:val="002D294E"/>
    <w:rsid w:val="002D39A4"/>
    <w:rsid w:val="002E6189"/>
    <w:rsid w:val="002E6705"/>
    <w:rsid w:val="00301D08"/>
    <w:rsid w:val="0030329A"/>
    <w:rsid w:val="00303F14"/>
    <w:rsid w:val="00305526"/>
    <w:rsid w:val="0031086F"/>
    <w:rsid w:val="0031414C"/>
    <w:rsid w:val="00314E01"/>
    <w:rsid w:val="00317670"/>
    <w:rsid w:val="0032089D"/>
    <w:rsid w:val="00324AE2"/>
    <w:rsid w:val="003310DE"/>
    <w:rsid w:val="003323B0"/>
    <w:rsid w:val="00337C82"/>
    <w:rsid w:val="00342089"/>
    <w:rsid w:val="00347BA4"/>
    <w:rsid w:val="0035169A"/>
    <w:rsid w:val="0035171D"/>
    <w:rsid w:val="0035259D"/>
    <w:rsid w:val="00353B79"/>
    <w:rsid w:val="00355C66"/>
    <w:rsid w:val="00362ADA"/>
    <w:rsid w:val="00364B18"/>
    <w:rsid w:val="00396BF3"/>
    <w:rsid w:val="003A125D"/>
    <w:rsid w:val="003A4C70"/>
    <w:rsid w:val="003B215F"/>
    <w:rsid w:val="003C2CFF"/>
    <w:rsid w:val="003C799C"/>
    <w:rsid w:val="003D0399"/>
    <w:rsid w:val="003D73D2"/>
    <w:rsid w:val="003E1C71"/>
    <w:rsid w:val="003E2693"/>
    <w:rsid w:val="003E53AC"/>
    <w:rsid w:val="003F327B"/>
    <w:rsid w:val="003F7ACB"/>
    <w:rsid w:val="00400B24"/>
    <w:rsid w:val="00404D28"/>
    <w:rsid w:val="00406166"/>
    <w:rsid w:val="0040704B"/>
    <w:rsid w:val="00407839"/>
    <w:rsid w:val="00410003"/>
    <w:rsid w:val="00410A55"/>
    <w:rsid w:val="00411300"/>
    <w:rsid w:val="00415417"/>
    <w:rsid w:val="00424FE1"/>
    <w:rsid w:val="00426659"/>
    <w:rsid w:val="00426D16"/>
    <w:rsid w:val="00450352"/>
    <w:rsid w:val="00454BDB"/>
    <w:rsid w:val="00456232"/>
    <w:rsid w:val="00463A7A"/>
    <w:rsid w:val="00464800"/>
    <w:rsid w:val="00464BF6"/>
    <w:rsid w:val="00465132"/>
    <w:rsid w:val="00465EF1"/>
    <w:rsid w:val="004707F9"/>
    <w:rsid w:val="00470DB3"/>
    <w:rsid w:val="0047411A"/>
    <w:rsid w:val="00480C90"/>
    <w:rsid w:val="0048396F"/>
    <w:rsid w:val="00493C18"/>
    <w:rsid w:val="00495D96"/>
    <w:rsid w:val="004A4030"/>
    <w:rsid w:val="004A600C"/>
    <w:rsid w:val="004A6118"/>
    <w:rsid w:val="004B4085"/>
    <w:rsid w:val="004C2314"/>
    <w:rsid w:val="004C25EE"/>
    <w:rsid w:val="004C478D"/>
    <w:rsid w:val="004D4FEC"/>
    <w:rsid w:val="004E0D6A"/>
    <w:rsid w:val="004E2C26"/>
    <w:rsid w:val="004E61A7"/>
    <w:rsid w:val="004F36FF"/>
    <w:rsid w:val="005125A8"/>
    <w:rsid w:val="00516DED"/>
    <w:rsid w:val="00521AE8"/>
    <w:rsid w:val="00524449"/>
    <w:rsid w:val="00527180"/>
    <w:rsid w:val="005341CE"/>
    <w:rsid w:val="00534AB2"/>
    <w:rsid w:val="0054201E"/>
    <w:rsid w:val="005541DB"/>
    <w:rsid w:val="00555291"/>
    <w:rsid w:val="0056265A"/>
    <w:rsid w:val="00566AD1"/>
    <w:rsid w:val="0057257D"/>
    <w:rsid w:val="00583EDE"/>
    <w:rsid w:val="00586928"/>
    <w:rsid w:val="005966EF"/>
    <w:rsid w:val="005A4F85"/>
    <w:rsid w:val="005A6079"/>
    <w:rsid w:val="005C7840"/>
    <w:rsid w:val="005E4698"/>
    <w:rsid w:val="006003EE"/>
    <w:rsid w:val="00610539"/>
    <w:rsid w:val="00613969"/>
    <w:rsid w:val="0061523C"/>
    <w:rsid w:val="00617208"/>
    <w:rsid w:val="00625C35"/>
    <w:rsid w:val="00626A7D"/>
    <w:rsid w:val="0062787A"/>
    <w:rsid w:val="00635521"/>
    <w:rsid w:val="006468AB"/>
    <w:rsid w:val="00656313"/>
    <w:rsid w:val="006565F4"/>
    <w:rsid w:val="0066108F"/>
    <w:rsid w:val="006763FD"/>
    <w:rsid w:val="00684EEA"/>
    <w:rsid w:val="006908E8"/>
    <w:rsid w:val="0069689B"/>
    <w:rsid w:val="006A1551"/>
    <w:rsid w:val="006A48DB"/>
    <w:rsid w:val="006B12B1"/>
    <w:rsid w:val="006B5FF5"/>
    <w:rsid w:val="006B7683"/>
    <w:rsid w:val="006D4200"/>
    <w:rsid w:val="006F30AF"/>
    <w:rsid w:val="007009A0"/>
    <w:rsid w:val="00701759"/>
    <w:rsid w:val="00701CF2"/>
    <w:rsid w:val="00705C15"/>
    <w:rsid w:val="00712E55"/>
    <w:rsid w:val="00713025"/>
    <w:rsid w:val="007154A1"/>
    <w:rsid w:val="0071600E"/>
    <w:rsid w:val="007162FD"/>
    <w:rsid w:val="00717FDC"/>
    <w:rsid w:val="007208D1"/>
    <w:rsid w:val="0072428C"/>
    <w:rsid w:val="00730177"/>
    <w:rsid w:val="00742119"/>
    <w:rsid w:val="00747288"/>
    <w:rsid w:val="00747DD3"/>
    <w:rsid w:val="007549C8"/>
    <w:rsid w:val="00754A0B"/>
    <w:rsid w:val="0076370F"/>
    <w:rsid w:val="00766D14"/>
    <w:rsid w:val="00767A0F"/>
    <w:rsid w:val="00796207"/>
    <w:rsid w:val="007A05F6"/>
    <w:rsid w:val="007B3D74"/>
    <w:rsid w:val="007B6F4A"/>
    <w:rsid w:val="007D097E"/>
    <w:rsid w:val="007E1C47"/>
    <w:rsid w:val="007E337A"/>
    <w:rsid w:val="007E5C70"/>
    <w:rsid w:val="007F2FF5"/>
    <w:rsid w:val="007F3F08"/>
    <w:rsid w:val="00804CC6"/>
    <w:rsid w:val="008051F0"/>
    <w:rsid w:val="00813B48"/>
    <w:rsid w:val="00817190"/>
    <w:rsid w:val="008208A2"/>
    <w:rsid w:val="00820EE5"/>
    <w:rsid w:val="008244E9"/>
    <w:rsid w:val="008260E2"/>
    <w:rsid w:val="008322BD"/>
    <w:rsid w:val="008323C4"/>
    <w:rsid w:val="00833E0A"/>
    <w:rsid w:val="00834F73"/>
    <w:rsid w:val="00847F55"/>
    <w:rsid w:val="008544FA"/>
    <w:rsid w:val="00864CF8"/>
    <w:rsid w:val="00872819"/>
    <w:rsid w:val="00874914"/>
    <w:rsid w:val="00891422"/>
    <w:rsid w:val="00892E1A"/>
    <w:rsid w:val="008A3F29"/>
    <w:rsid w:val="008B660A"/>
    <w:rsid w:val="008B70F9"/>
    <w:rsid w:val="008C01DA"/>
    <w:rsid w:val="008C02C9"/>
    <w:rsid w:val="008C7263"/>
    <w:rsid w:val="008D2104"/>
    <w:rsid w:val="008F78E9"/>
    <w:rsid w:val="00903C32"/>
    <w:rsid w:val="00911989"/>
    <w:rsid w:val="00915091"/>
    <w:rsid w:val="009179F9"/>
    <w:rsid w:val="0093031F"/>
    <w:rsid w:val="00931C1C"/>
    <w:rsid w:val="00933E5E"/>
    <w:rsid w:val="00935218"/>
    <w:rsid w:val="009403F3"/>
    <w:rsid w:val="009555B7"/>
    <w:rsid w:val="009567AA"/>
    <w:rsid w:val="0096473A"/>
    <w:rsid w:val="00967374"/>
    <w:rsid w:val="00976EB5"/>
    <w:rsid w:val="00981B4D"/>
    <w:rsid w:val="009A343A"/>
    <w:rsid w:val="009A4E51"/>
    <w:rsid w:val="009A520F"/>
    <w:rsid w:val="009B2F23"/>
    <w:rsid w:val="009B57B3"/>
    <w:rsid w:val="009B6FFE"/>
    <w:rsid w:val="009C5B92"/>
    <w:rsid w:val="009D2920"/>
    <w:rsid w:val="009D5AEB"/>
    <w:rsid w:val="009D68C0"/>
    <w:rsid w:val="009F0E33"/>
    <w:rsid w:val="009F1E77"/>
    <w:rsid w:val="00A003F4"/>
    <w:rsid w:val="00A0150C"/>
    <w:rsid w:val="00A030CE"/>
    <w:rsid w:val="00A149DF"/>
    <w:rsid w:val="00A1755C"/>
    <w:rsid w:val="00A21B90"/>
    <w:rsid w:val="00A41805"/>
    <w:rsid w:val="00A42DCD"/>
    <w:rsid w:val="00A44699"/>
    <w:rsid w:val="00A52AFB"/>
    <w:rsid w:val="00A548CB"/>
    <w:rsid w:val="00A5521C"/>
    <w:rsid w:val="00A557A1"/>
    <w:rsid w:val="00A55CEF"/>
    <w:rsid w:val="00A643E7"/>
    <w:rsid w:val="00A73C38"/>
    <w:rsid w:val="00A9085B"/>
    <w:rsid w:val="00AB670D"/>
    <w:rsid w:val="00AC6FA4"/>
    <w:rsid w:val="00AD2826"/>
    <w:rsid w:val="00AD342F"/>
    <w:rsid w:val="00AE25FE"/>
    <w:rsid w:val="00AE4535"/>
    <w:rsid w:val="00AF03C5"/>
    <w:rsid w:val="00AF0B26"/>
    <w:rsid w:val="00B000D8"/>
    <w:rsid w:val="00B00F75"/>
    <w:rsid w:val="00B11735"/>
    <w:rsid w:val="00B1431F"/>
    <w:rsid w:val="00B145B6"/>
    <w:rsid w:val="00B2215E"/>
    <w:rsid w:val="00B279EB"/>
    <w:rsid w:val="00B30E18"/>
    <w:rsid w:val="00B32357"/>
    <w:rsid w:val="00B43559"/>
    <w:rsid w:val="00B50C81"/>
    <w:rsid w:val="00B557F8"/>
    <w:rsid w:val="00B56AAF"/>
    <w:rsid w:val="00B67199"/>
    <w:rsid w:val="00B77470"/>
    <w:rsid w:val="00B81284"/>
    <w:rsid w:val="00B815FC"/>
    <w:rsid w:val="00B93FBC"/>
    <w:rsid w:val="00BA066D"/>
    <w:rsid w:val="00BA7DA0"/>
    <w:rsid w:val="00BB2366"/>
    <w:rsid w:val="00BB2EE4"/>
    <w:rsid w:val="00BB5AE6"/>
    <w:rsid w:val="00BC2108"/>
    <w:rsid w:val="00BC5642"/>
    <w:rsid w:val="00BD0E9E"/>
    <w:rsid w:val="00BD1BEC"/>
    <w:rsid w:val="00BD32FF"/>
    <w:rsid w:val="00BD67ED"/>
    <w:rsid w:val="00C02092"/>
    <w:rsid w:val="00C22905"/>
    <w:rsid w:val="00C229CD"/>
    <w:rsid w:val="00C24D91"/>
    <w:rsid w:val="00C31D39"/>
    <w:rsid w:val="00C53F14"/>
    <w:rsid w:val="00C600CF"/>
    <w:rsid w:val="00C6084F"/>
    <w:rsid w:val="00C62A66"/>
    <w:rsid w:val="00C62FD6"/>
    <w:rsid w:val="00C71458"/>
    <w:rsid w:val="00C77613"/>
    <w:rsid w:val="00C828E7"/>
    <w:rsid w:val="00C86719"/>
    <w:rsid w:val="00C921DD"/>
    <w:rsid w:val="00CA6391"/>
    <w:rsid w:val="00CA7B39"/>
    <w:rsid w:val="00CB5B04"/>
    <w:rsid w:val="00CC34BD"/>
    <w:rsid w:val="00CE161A"/>
    <w:rsid w:val="00CE3171"/>
    <w:rsid w:val="00CF1601"/>
    <w:rsid w:val="00CF5AD5"/>
    <w:rsid w:val="00D0172F"/>
    <w:rsid w:val="00D068A7"/>
    <w:rsid w:val="00D173CE"/>
    <w:rsid w:val="00D17476"/>
    <w:rsid w:val="00D22128"/>
    <w:rsid w:val="00D25F6B"/>
    <w:rsid w:val="00D26B67"/>
    <w:rsid w:val="00D32086"/>
    <w:rsid w:val="00D360E6"/>
    <w:rsid w:val="00D37A3F"/>
    <w:rsid w:val="00D4431D"/>
    <w:rsid w:val="00D4667A"/>
    <w:rsid w:val="00D469D5"/>
    <w:rsid w:val="00D47BFC"/>
    <w:rsid w:val="00D614A5"/>
    <w:rsid w:val="00D63A1C"/>
    <w:rsid w:val="00D7516F"/>
    <w:rsid w:val="00D83628"/>
    <w:rsid w:val="00D8579F"/>
    <w:rsid w:val="00D90B9E"/>
    <w:rsid w:val="00D91A89"/>
    <w:rsid w:val="00D95F8E"/>
    <w:rsid w:val="00DA0590"/>
    <w:rsid w:val="00DB7BEA"/>
    <w:rsid w:val="00DC1739"/>
    <w:rsid w:val="00DC1788"/>
    <w:rsid w:val="00DC2F37"/>
    <w:rsid w:val="00DD105B"/>
    <w:rsid w:val="00DE319C"/>
    <w:rsid w:val="00DE54B0"/>
    <w:rsid w:val="00DF0CA8"/>
    <w:rsid w:val="00DF2B48"/>
    <w:rsid w:val="00DF49A7"/>
    <w:rsid w:val="00E07EE2"/>
    <w:rsid w:val="00E07FD1"/>
    <w:rsid w:val="00E176D8"/>
    <w:rsid w:val="00E24573"/>
    <w:rsid w:val="00E25E1E"/>
    <w:rsid w:val="00E27EE7"/>
    <w:rsid w:val="00E31D67"/>
    <w:rsid w:val="00E3214F"/>
    <w:rsid w:val="00E333F9"/>
    <w:rsid w:val="00E35404"/>
    <w:rsid w:val="00E45109"/>
    <w:rsid w:val="00E47B7A"/>
    <w:rsid w:val="00E56A44"/>
    <w:rsid w:val="00E60269"/>
    <w:rsid w:val="00E653D0"/>
    <w:rsid w:val="00E65A2E"/>
    <w:rsid w:val="00E71951"/>
    <w:rsid w:val="00E77932"/>
    <w:rsid w:val="00E83FDA"/>
    <w:rsid w:val="00E92347"/>
    <w:rsid w:val="00E97830"/>
    <w:rsid w:val="00EA1D3B"/>
    <w:rsid w:val="00ED681A"/>
    <w:rsid w:val="00ED6F01"/>
    <w:rsid w:val="00EE5737"/>
    <w:rsid w:val="00EE643C"/>
    <w:rsid w:val="00EF0683"/>
    <w:rsid w:val="00EF69D2"/>
    <w:rsid w:val="00EF766E"/>
    <w:rsid w:val="00F0070C"/>
    <w:rsid w:val="00F00EB7"/>
    <w:rsid w:val="00F03D8E"/>
    <w:rsid w:val="00F36AB6"/>
    <w:rsid w:val="00F37A09"/>
    <w:rsid w:val="00F409CE"/>
    <w:rsid w:val="00F4379D"/>
    <w:rsid w:val="00F43876"/>
    <w:rsid w:val="00F50635"/>
    <w:rsid w:val="00F50D2D"/>
    <w:rsid w:val="00F56C8B"/>
    <w:rsid w:val="00F66810"/>
    <w:rsid w:val="00F846D9"/>
    <w:rsid w:val="00F84DF4"/>
    <w:rsid w:val="00F85C97"/>
    <w:rsid w:val="00F94A57"/>
    <w:rsid w:val="00FA51A0"/>
    <w:rsid w:val="00FB37D2"/>
    <w:rsid w:val="00FB7D08"/>
    <w:rsid w:val="00FC3788"/>
    <w:rsid w:val="00FC4EFB"/>
    <w:rsid w:val="00FD068D"/>
    <w:rsid w:val="00FD4F28"/>
    <w:rsid w:val="00FE0416"/>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AB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2905"/>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C22905"/>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C22905"/>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C22905"/>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C22905"/>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C22905"/>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C22905"/>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qFormat/>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E65A2E"/>
    <w:rPr>
      <w:color w:val="0000FF" w:themeColor="hyperlink"/>
      <w:u w:val="single"/>
    </w:rPr>
  </w:style>
  <w:style w:type="character" w:customStyle="1" w:styleId="solexhl">
    <w:name w:val="solexhl"/>
    <w:basedOn w:val="DefaultParagraphFont"/>
    <w:rsid w:val="000C78C2"/>
  </w:style>
  <w:style w:type="character" w:customStyle="1" w:styleId="Heading3Char">
    <w:name w:val="Heading 3 Char"/>
    <w:basedOn w:val="DefaultParagraphFont"/>
    <w:link w:val="Heading3"/>
    <w:uiPriority w:val="9"/>
    <w:semiHidden/>
    <w:rsid w:val="00C22905"/>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C22905"/>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C22905"/>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C22905"/>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C22905"/>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C22905"/>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C22905"/>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C22905"/>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C22905"/>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C22905"/>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C22905"/>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C22905"/>
    <w:rPr>
      <w:b/>
      <w:sz w:val="24"/>
    </w:rPr>
  </w:style>
  <w:style w:type="table" w:styleId="TableGrid">
    <w:name w:val="Table Grid"/>
    <w:basedOn w:val="TableNormal"/>
    <w:uiPriority w:val="59"/>
    <w:rsid w:val="00C22905"/>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2290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C22905"/>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C22905"/>
    <w:pPr>
      <w:tabs>
        <w:tab w:val="left" w:pos="1260"/>
      </w:tabs>
      <w:spacing w:after="480" w:line="480" w:lineRule="auto"/>
    </w:pPr>
    <w:rPr>
      <w:smallCaps/>
      <w:sz w:val="24"/>
    </w:rPr>
  </w:style>
  <w:style w:type="paragraph" w:customStyle="1" w:styleId="ParaNoNdepar-AltN">
    <w:name w:val="Para. No. / Nº de par. - Alt N"/>
    <w:link w:val="ParaNoNdepar-AltNChar"/>
    <w:qFormat/>
    <w:rsid w:val="00C22905"/>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C22905"/>
    <w:pPr>
      <w:numPr>
        <w:numId w:val="7"/>
      </w:numPr>
      <w:tabs>
        <w:tab w:val="clear" w:pos="576"/>
      </w:tabs>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22905"/>
    <w:pPr>
      <w:numPr>
        <w:ilvl w:val="1"/>
      </w:numPr>
      <w:tabs>
        <w:tab w:val="clear" w:pos="576"/>
      </w:tabs>
      <w:outlineLvl w:val="1"/>
    </w:pPr>
    <w:rPr>
      <w:i/>
      <w:u w:val="none"/>
    </w:rPr>
  </w:style>
  <w:style w:type="paragraph" w:customStyle="1" w:styleId="Title3LevelTitre3Niveau">
    <w:name w:val="Title 3 Level / Titre 3 Niveau"/>
    <w:basedOn w:val="Title1LevelTitre1Niveau-AltL"/>
    <w:next w:val="ParaNoNdepar-AltN"/>
    <w:uiPriority w:val="4"/>
    <w:qFormat/>
    <w:rsid w:val="00C22905"/>
    <w:pPr>
      <w:numPr>
        <w:ilvl w:val="2"/>
      </w:numPr>
      <w:tabs>
        <w:tab w:val="clear" w:pos="1152"/>
      </w:tabs>
      <w:outlineLvl w:val="2"/>
    </w:pPr>
  </w:style>
  <w:style w:type="paragraph" w:customStyle="1" w:styleId="Title4LevelTitre4Niveau">
    <w:name w:val="Title 4 Level / Titre 4 Niveau"/>
    <w:basedOn w:val="Title3LevelTitre3Niveau"/>
    <w:next w:val="ParaNoNdepar-AltN"/>
    <w:uiPriority w:val="4"/>
    <w:qFormat/>
    <w:rsid w:val="00C22905"/>
    <w:pPr>
      <w:numPr>
        <w:ilvl w:val="3"/>
      </w:numPr>
      <w:tabs>
        <w:tab w:val="clear" w:pos="1152"/>
      </w:tabs>
      <w:ind w:left="1156" w:hanging="578"/>
      <w:outlineLvl w:val="3"/>
    </w:pPr>
    <w:rPr>
      <w:i/>
      <w:u w:val="none"/>
    </w:rPr>
  </w:style>
  <w:style w:type="paragraph" w:customStyle="1" w:styleId="Title5LevelTitre5Niveau">
    <w:name w:val="Title 5 Level / Titre 5 Niveau"/>
    <w:basedOn w:val="Title1LevelTitre1Niveau-AltL"/>
    <w:next w:val="ParaNoNdepar-AltN"/>
    <w:uiPriority w:val="4"/>
    <w:qFormat/>
    <w:rsid w:val="00C22905"/>
    <w:pPr>
      <w:numPr>
        <w:ilvl w:val="4"/>
      </w:numPr>
      <w:tabs>
        <w:tab w:val="clear" w:pos="1728"/>
      </w:tabs>
      <w:ind w:left="1729" w:hanging="578"/>
      <w:outlineLvl w:val="4"/>
    </w:pPr>
  </w:style>
  <w:style w:type="paragraph" w:styleId="TOC1">
    <w:name w:val="toc 1"/>
    <w:basedOn w:val="Normal"/>
    <w:next w:val="Normal"/>
    <w:autoRedefine/>
    <w:uiPriority w:val="39"/>
    <w:unhideWhenUsed/>
    <w:rsid w:val="00C22905"/>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C22905"/>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C22905"/>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C22905"/>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C22905"/>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C22905"/>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C2290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2290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C22905"/>
    <w:pPr>
      <w:numPr>
        <w:ilvl w:val="5"/>
      </w:numPr>
      <w:jc w:val="both"/>
      <w:outlineLvl w:val="5"/>
    </w:pPr>
    <w:rPr>
      <w:i/>
      <w:u w:val="none"/>
    </w:rPr>
  </w:style>
  <w:style w:type="paragraph" w:styleId="FootnoteText">
    <w:name w:val="footnote text"/>
    <w:basedOn w:val="Normal"/>
    <w:link w:val="FootnoteTextChar"/>
    <w:uiPriority w:val="99"/>
    <w:unhideWhenUsed/>
    <w:rsid w:val="00C2290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C22905"/>
  </w:style>
  <w:style w:type="character" w:styleId="FootnoteReference">
    <w:name w:val="footnote reference"/>
    <w:basedOn w:val="DefaultParagraphFont"/>
    <w:uiPriority w:val="99"/>
    <w:semiHidden/>
    <w:unhideWhenUsed/>
    <w:rsid w:val="00C22905"/>
    <w:rPr>
      <w:vertAlign w:val="superscript"/>
    </w:rPr>
  </w:style>
  <w:style w:type="character" w:styleId="SubtleEmphasis">
    <w:name w:val="Subtle Emphasis"/>
    <w:basedOn w:val="DefaultParagraphFont"/>
    <w:uiPriority w:val="19"/>
    <w:rsid w:val="00C22905"/>
    <w:rPr>
      <w:i/>
      <w:iCs/>
      <w:color w:val="808080" w:themeColor="text1" w:themeTint="7F"/>
    </w:rPr>
  </w:style>
  <w:style w:type="character" w:customStyle="1" w:styleId="ParaNoNdepar-AltNChar">
    <w:name w:val="Para. No. / Nº de par. - Alt N Char"/>
    <w:basedOn w:val="DefaultParagraphFont"/>
    <w:link w:val="ParaNoNdepar-AltN"/>
    <w:locked/>
    <w:rsid w:val="00C22905"/>
    <w:rPr>
      <w:rFonts w:eastAsiaTheme="minorEastAsia" w:cstheme="minorBidi"/>
      <w:sz w:val="24"/>
      <w:szCs w:val="22"/>
      <w:lang w:eastAsia="en-US"/>
    </w:rPr>
  </w:style>
  <w:style w:type="character" w:styleId="CommentReference">
    <w:name w:val="annotation reference"/>
    <w:basedOn w:val="DefaultParagraphFont"/>
    <w:uiPriority w:val="99"/>
    <w:semiHidden/>
    <w:unhideWhenUsed/>
    <w:rsid w:val="00C22905"/>
    <w:rPr>
      <w:sz w:val="16"/>
      <w:szCs w:val="16"/>
    </w:rPr>
  </w:style>
  <w:style w:type="paragraph" w:styleId="CommentText">
    <w:name w:val="annotation text"/>
    <w:basedOn w:val="Normal"/>
    <w:link w:val="CommentTextChar"/>
    <w:uiPriority w:val="99"/>
    <w:semiHidden/>
    <w:unhideWhenUsed/>
    <w:rsid w:val="00C22905"/>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C22905"/>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C22905"/>
    <w:rPr>
      <w:b/>
      <w:bCs/>
    </w:rPr>
  </w:style>
  <w:style w:type="character" w:customStyle="1" w:styleId="CommentSubjectChar">
    <w:name w:val="Comment Subject Char"/>
    <w:basedOn w:val="CommentTextChar"/>
    <w:link w:val="CommentSubject"/>
    <w:uiPriority w:val="99"/>
    <w:semiHidden/>
    <w:rsid w:val="00C22905"/>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C22905"/>
    <w:rPr>
      <w:smallCaps/>
      <w:sz w:val="24"/>
    </w:rPr>
  </w:style>
  <w:style w:type="paragraph" w:styleId="NoSpacing">
    <w:name w:val="No Spacing"/>
    <w:uiPriority w:val="1"/>
    <w:rsid w:val="00C22905"/>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C22905"/>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C22905"/>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C229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C2290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C22905"/>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C22905"/>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C22905"/>
    <w:rPr>
      <w:i/>
      <w:iCs/>
    </w:rPr>
  </w:style>
  <w:style w:type="paragraph" w:styleId="ListParagraph">
    <w:name w:val="List Paragraph"/>
    <w:basedOn w:val="Normal"/>
    <w:uiPriority w:val="34"/>
    <w:rsid w:val="00C22905"/>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C22905"/>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C22905"/>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C22905"/>
    <w:rPr>
      <w:b/>
      <w:bCs/>
      <w:i/>
      <w:iCs/>
      <w:color w:val="4F81BD" w:themeColor="accent1"/>
    </w:rPr>
  </w:style>
  <w:style w:type="character" w:styleId="SubtleReference">
    <w:name w:val="Subtle Reference"/>
    <w:basedOn w:val="DefaultParagraphFont"/>
    <w:uiPriority w:val="31"/>
    <w:rsid w:val="00C22905"/>
    <w:rPr>
      <w:smallCaps/>
      <w:color w:val="C0504D" w:themeColor="accent2"/>
      <w:u w:val="single"/>
    </w:rPr>
  </w:style>
  <w:style w:type="character" w:styleId="IntenseReference">
    <w:name w:val="Intense Reference"/>
    <w:basedOn w:val="DefaultParagraphFont"/>
    <w:uiPriority w:val="32"/>
    <w:rsid w:val="00C22905"/>
    <w:rPr>
      <w:b/>
      <w:bCs/>
      <w:smallCaps/>
      <w:color w:val="C0504D" w:themeColor="accent2"/>
      <w:spacing w:val="5"/>
      <w:u w:val="single"/>
    </w:rPr>
  </w:style>
  <w:style w:type="character" w:styleId="BookTitle">
    <w:name w:val="Book Title"/>
    <w:basedOn w:val="DefaultParagraphFont"/>
    <w:uiPriority w:val="33"/>
    <w:rsid w:val="00C22905"/>
    <w:rPr>
      <w:b/>
      <w:bCs/>
      <w:smallCaps/>
      <w:spacing w:val="5"/>
    </w:rPr>
  </w:style>
  <w:style w:type="paragraph" w:styleId="Revision">
    <w:name w:val="Revision"/>
    <w:hidden/>
    <w:uiPriority w:val="99"/>
    <w:semiHidden/>
    <w:rsid w:val="00C22905"/>
    <w:rPr>
      <w:rFonts w:eastAsiaTheme="minorHAnsi" w:cstheme="minorBidi"/>
      <w:sz w:val="24"/>
      <w:szCs w:val="22"/>
      <w:lang w:val="en-US" w:eastAsia="en-US" w:bidi="en-US"/>
    </w:rPr>
  </w:style>
  <w:style w:type="paragraph" w:styleId="EndnoteText">
    <w:name w:val="endnote text"/>
    <w:basedOn w:val="Normal"/>
    <w:link w:val="EndnoteTextChar"/>
    <w:uiPriority w:val="99"/>
    <w:semiHidden/>
    <w:unhideWhenUsed/>
    <w:rsid w:val="00C22905"/>
    <w:rPr>
      <w:rFonts w:eastAsiaTheme="minorHAnsi" w:cstheme="minorBidi"/>
      <w:sz w:val="20"/>
      <w:lang w:val="en-US" w:eastAsia="en-US" w:bidi="en-US"/>
    </w:rPr>
  </w:style>
  <w:style w:type="character" w:customStyle="1" w:styleId="EndnoteTextChar">
    <w:name w:val="Endnote Text Char"/>
    <w:basedOn w:val="DefaultParagraphFont"/>
    <w:link w:val="EndnoteText"/>
    <w:uiPriority w:val="99"/>
    <w:semiHidden/>
    <w:rsid w:val="00C22905"/>
    <w:rPr>
      <w:rFonts w:eastAsiaTheme="minorHAnsi" w:cstheme="minorBidi"/>
      <w:lang w:val="en-US" w:eastAsia="en-US" w:bidi="en-US"/>
    </w:rPr>
  </w:style>
  <w:style w:type="character" w:styleId="EndnoteReference">
    <w:name w:val="endnote reference"/>
    <w:basedOn w:val="DefaultParagraphFont"/>
    <w:uiPriority w:val="99"/>
    <w:semiHidden/>
    <w:unhideWhenUsed/>
    <w:rsid w:val="00C22905"/>
    <w:rPr>
      <w:vertAlign w:val="superscript"/>
    </w:rPr>
  </w:style>
  <w:style w:type="character" w:customStyle="1" w:styleId="reflex3-block">
    <w:name w:val="reflex3-block"/>
    <w:basedOn w:val="DefaultParagraphFont"/>
    <w:rsid w:val="00C22905"/>
  </w:style>
  <w:style w:type="character" w:customStyle="1" w:styleId="reflex3-alt">
    <w:name w:val="reflex3-alt"/>
    <w:basedOn w:val="DefaultParagraphFont"/>
    <w:rsid w:val="00C22905"/>
  </w:style>
  <w:style w:type="character" w:customStyle="1" w:styleId="lawlabel">
    <w:name w:val="lawlabel"/>
    <w:basedOn w:val="DefaultParagraphFont"/>
    <w:rsid w:val="00C22905"/>
  </w:style>
  <w:style w:type="table" w:customStyle="1" w:styleId="TableGrid2">
    <w:name w:val="Table Grid2"/>
    <w:basedOn w:val="TableNormal"/>
    <w:next w:val="TableGrid"/>
    <w:uiPriority w:val="59"/>
    <w:rsid w:val="00C22905"/>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CLsocPartyRoleChar">
    <w:name w:val="SCC.Lsoc.PartyRole Char"/>
    <w:basedOn w:val="DefaultParagraphFont"/>
    <w:rsid w:val="008051F0"/>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8051F0"/>
    <w:rPr>
      <w:rFonts w:eastAsiaTheme="minorHAnsi" w:cstheme="minorBidi"/>
      <w:b/>
      <w:szCs w:val="22"/>
      <w:lang w:val="fr-CA" w:eastAsia="en-US"/>
    </w:rPr>
  </w:style>
  <w:style w:type="character" w:customStyle="1" w:styleId="SCCLsocPrefixChar">
    <w:name w:val="SCC.Lsoc.Prefix Char"/>
    <w:basedOn w:val="DefaultParagraphFont"/>
    <w:link w:val="SCCLsocPrefix"/>
    <w:rsid w:val="008051F0"/>
    <w:rPr>
      <w:rFonts w:eastAsiaTheme="minorHAnsi" w:cstheme="minorBidi"/>
      <w:b/>
      <w:sz w:val="24"/>
      <w:szCs w:val="22"/>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B54F2-846E-4D29-875B-6A1662C70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755</Words>
  <Characters>4156</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2021-01-27T12:50:00Z</dcterms:created>
  <dcterms:modified xsi:type="dcterms:W3CDTF">2024-01-11T21:28:00Z</dcterms:modified>
</cp:coreProperties>
</file>