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53"/>
        <w:gridCol w:w="2126"/>
        <w:gridCol w:w="3687"/>
        <w:gridCol w:w="20"/>
      </w:tblGrid>
      <w:tr w:rsidR="004174A0" w:rsidTr="004174A0">
        <w:trPr>
          <w:trHeight w:val="1786"/>
        </w:trPr>
        <w:tc>
          <w:tcPr>
            <w:tcW w:w="5000" w:type="pct"/>
            <w:gridSpan w:val="4"/>
            <w:hideMark/>
          </w:tcPr>
          <w:p w:rsidR="004174A0" w:rsidRDefault="004174A0">
            <w:pPr>
              <w:jc w:val="center"/>
            </w:pPr>
            <w:r>
              <w:rPr>
                <w:noProof/>
                <w:lang w:val="fr-CA" w:eastAsia="fr-CA"/>
              </w:rPr>
              <w:drawing>
                <wp:inline distT="0" distB="0" distL="0" distR="0">
                  <wp:extent cx="1188720" cy="1638300"/>
                  <wp:effectExtent l="0" t="0" r="0"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4174A0" w:rsidRDefault="004174A0">
            <w:pPr>
              <w:spacing w:before="120" w:after="100" w:afterAutospacing="1"/>
              <w:jc w:val="center"/>
              <w:rPr>
                <w:rFonts w:eastAsia="Calibri"/>
              </w:rPr>
            </w:pPr>
            <w:r>
              <w:rPr>
                <w:rFonts w:eastAsia="Calibri"/>
                <w:b/>
                <w:szCs w:val="24"/>
                <w:lang w:eastAsia="en-US"/>
              </w:rPr>
              <w:t>COUR SUPRÊME DU CANADA</w:t>
            </w:r>
          </w:p>
        </w:tc>
      </w:tr>
      <w:tr w:rsidR="004174A0" w:rsidTr="004174A0">
        <w:trPr>
          <w:gridAfter w:val="1"/>
          <w:wAfter w:w="10" w:type="pct"/>
        </w:trPr>
        <w:tc>
          <w:tcPr>
            <w:tcW w:w="2108" w:type="pct"/>
            <w:tcMar>
              <w:top w:w="284" w:type="dxa"/>
              <w:left w:w="57" w:type="dxa"/>
              <w:bottom w:w="57" w:type="dxa"/>
              <w:right w:w="57" w:type="dxa"/>
            </w:tcMar>
            <w:hideMark/>
          </w:tcPr>
          <w:p w:rsidR="004174A0" w:rsidRDefault="004174A0">
            <w:pPr>
              <w:spacing w:before="100" w:beforeAutospacing="1"/>
              <w:rPr>
                <w:rFonts w:eastAsia="Calibri"/>
                <w:lang w:val="fr-CA"/>
              </w:rPr>
            </w:pPr>
            <w:r>
              <w:rPr>
                <w:b/>
                <w:smallCaps/>
                <w:lang w:val="fr-CA"/>
              </w:rPr>
              <w:t>Référence :</w:t>
            </w:r>
            <w:r>
              <w:rPr>
                <w:lang w:val="fr-CA"/>
              </w:rPr>
              <w:t xml:space="preserve"> R. </w:t>
            </w:r>
            <w:r>
              <w:rPr>
                <w:i/>
                <w:lang w:val="fr-CA"/>
              </w:rPr>
              <w:t>c.</w:t>
            </w:r>
            <w:r>
              <w:rPr>
                <w:lang w:val="fr-CA"/>
              </w:rPr>
              <w:t xml:space="preserve"> Gul, 2021 CSC 14</w:t>
            </w:r>
            <w:r>
              <w:rPr>
                <w:lang w:val="fr-CA"/>
              </w:rPr>
              <w:t>, [2021] 1 R.C.S. 525</w:t>
            </w:r>
            <w:bookmarkStart w:id="0" w:name="_GoBack"/>
            <w:bookmarkEnd w:id="0"/>
          </w:p>
        </w:tc>
        <w:tc>
          <w:tcPr>
            <w:tcW w:w="1054" w:type="pct"/>
          </w:tcPr>
          <w:p w:rsidR="004174A0" w:rsidRDefault="004174A0">
            <w:pPr>
              <w:rPr>
                <w:b/>
                <w:smallCaps/>
                <w:lang w:val="fr-CA"/>
              </w:rPr>
            </w:pPr>
          </w:p>
        </w:tc>
        <w:tc>
          <w:tcPr>
            <w:tcW w:w="1828" w:type="pct"/>
            <w:tcMar>
              <w:top w:w="284" w:type="dxa"/>
              <w:left w:w="57" w:type="dxa"/>
              <w:bottom w:w="57" w:type="dxa"/>
              <w:right w:w="57" w:type="dxa"/>
            </w:tcMar>
            <w:hideMark/>
          </w:tcPr>
          <w:p w:rsidR="004174A0" w:rsidRDefault="004174A0">
            <w:pPr>
              <w:rPr>
                <w:lang w:val="fr-CA"/>
              </w:rPr>
            </w:pPr>
            <w:r>
              <w:rPr>
                <w:b/>
                <w:smallCaps/>
                <w:lang w:val="fr-CA"/>
              </w:rPr>
              <w:t>Appel entendu :</w:t>
            </w:r>
            <w:r>
              <w:rPr>
                <w:lang w:val="fr-CA"/>
              </w:rPr>
              <w:t xml:space="preserve"> 19 avril 2021</w:t>
            </w:r>
          </w:p>
          <w:p w:rsidR="004174A0" w:rsidRDefault="004174A0">
            <w:pPr>
              <w:rPr>
                <w:b/>
                <w:smallCaps/>
                <w:lang w:val="fr-CA"/>
              </w:rPr>
            </w:pPr>
            <w:r>
              <w:rPr>
                <w:b/>
                <w:smallCaps/>
                <w:lang w:val="fr-CA"/>
              </w:rPr>
              <w:t xml:space="preserve">Jugement rendu : </w:t>
            </w:r>
            <w:r>
              <w:rPr>
                <w:lang w:val="fr-CA"/>
              </w:rPr>
              <w:t>19 avril 2021</w:t>
            </w:r>
          </w:p>
          <w:p w:rsidR="004174A0" w:rsidRDefault="004174A0">
            <w:pPr>
              <w:rPr>
                <w:rFonts w:eastAsia="Calibri"/>
                <w:lang w:val="fr-CA"/>
              </w:rPr>
            </w:pPr>
            <w:r>
              <w:rPr>
                <w:b/>
                <w:smallCaps/>
                <w:lang w:val="fr-CA"/>
              </w:rPr>
              <w:t>Dossier :</w:t>
            </w:r>
            <w:r>
              <w:rPr>
                <w:lang w:val="fr-CA"/>
              </w:rPr>
              <w:t xml:space="preserve"> 39414</w:t>
            </w:r>
          </w:p>
        </w:tc>
      </w:tr>
      <w:tr w:rsidR="004174A0" w:rsidTr="004174A0">
        <w:tc>
          <w:tcPr>
            <w:tcW w:w="5000" w:type="pct"/>
            <w:gridSpan w:val="4"/>
          </w:tcPr>
          <w:p w:rsidR="004174A0" w:rsidRDefault="004174A0">
            <w:pPr>
              <w:rPr>
                <w:rFonts w:eastAsiaTheme="minorHAnsi" w:cstheme="minorBidi"/>
                <w:b/>
                <w:smallCaps/>
                <w:szCs w:val="24"/>
                <w:lang w:val="fr-CA" w:eastAsia="en-US"/>
              </w:rPr>
            </w:pPr>
          </w:p>
          <w:p w:rsidR="004174A0" w:rsidRDefault="004174A0">
            <w:pPr>
              <w:rPr>
                <w:rFonts w:eastAsiaTheme="minorHAnsi" w:cstheme="minorBidi"/>
                <w:b/>
                <w:smallCaps/>
                <w:szCs w:val="24"/>
                <w:lang w:val="fr-CA" w:eastAsia="en-US"/>
              </w:rPr>
            </w:pPr>
            <w:r>
              <w:rPr>
                <w:rFonts w:eastAsiaTheme="minorHAnsi" w:cstheme="minorBidi"/>
                <w:b/>
                <w:smallCaps/>
                <w:szCs w:val="24"/>
                <w:lang w:val="fr-CA" w:eastAsia="en-US"/>
              </w:rPr>
              <w:t>Entre :</w:t>
            </w:r>
          </w:p>
          <w:p w:rsidR="004174A0" w:rsidRDefault="004174A0">
            <w:pPr>
              <w:jc w:val="center"/>
              <w:rPr>
                <w:rFonts w:eastAsiaTheme="minorHAnsi" w:cstheme="minorBidi"/>
                <w:b/>
                <w:szCs w:val="24"/>
                <w:lang w:val="fr-CA" w:eastAsia="en-US"/>
              </w:rPr>
            </w:pPr>
            <w:r>
              <w:rPr>
                <w:rFonts w:eastAsiaTheme="minorHAnsi" w:cstheme="minorBidi"/>
                <w:b/>
                <w:szCs w:val="24"/>
                <w:lang w:val="fr-CA" w:eastAsia="en-US"/>
              </w:rPr>
              <w:t>Rafi Mohammad Gul</w:t>
            </w:r>
          </w:p>
          <w:p w:rsidR="004174A0" w:rsidRDefault="004174A0">
            <w:pPr>
              <w:jc w:val="center"/>
              <w:rPr>
                <w:rFonts w:eastAsiaTheme="minorHAnsi" w:cstheme="minorBidi"/>
                <w:szCs w:val="24"/>
                <w:lang w:val="fr-CA" w:eastAsia="en-US"/>
              </w:rPr>
            </w:pPr>
            <w:r>
              <w:rPr>
                <w:rFonts w:eastAsiaTheme="minorHAnsi" w:cstheme="minorBidi"/>
                <w:szCs w:val="24"/>
                <w:lang w:val="fr-CA" w:eastAsia="en-US"/>
              </w:rPr>
              <w:t>Appelant</w:t>
            </w:r>
          </w:p>
          <w:p w:rsidR="004174A0" w:rsidRDefault="004174A0">
            <w:pPr>
              <w:jc w:val="center"/>
              <w:rPr>
                <w:rFonts w:eastAsiaTheme="minorHAnsi" w:cstheme="minorBidi"/>
                <w:szCs w:val="24"/>
                <w:lang w:val="fr-CA" w:eastAsia="en-US"/>
              </w:rPr>
            </w:pPr>
          </w:p>
          <w:p w:rsidR="004174A0" w:rsidRDefault="004174A0">
            <w:pPr>
              <w:jc w:val="center"/>
              <w:rPr>
                <w:rFonts w:eastAsiaTheme="minorHAnsi" w:cstheme="minorBidi"/>
                <w:szCs w:val="24"/>
                <w:lang w:val="fr-CA" w:eastAsia="en-US"/>
              </w:rPr>
            </w:pPr>
            <w:r>
              <w:rPr>
                <w:rFonts w:eastAsiaTheme="minorHAnsi" w:cstheme="minorBidi"/>
                <w:szCs w:val="24"/>
                <w:lang w:val="fr-CA" w:eastAsia="en-US"/>
              </w:rPr>
              <w:t>et</w:t>
            </w:r>
          </w:p>
          <w:p w:rsidR="004174A0" w:rsidRDefault="004174A0">
            <w:pPr>
              <w:jc w:val="center"/>
              <w:rPr>
                <w:rFonts w:eastAsiaTheme="minorHAnsi" w:cstheme="minorBidi"/>
                <w:szCs w:val="24"/>
                <w:lang w:val="fr-CA" w:eastAsia="en-US"/>
              </w:rPr>
            </w:pPr>
          </w:p>
          <w:p w:rsidR="004174A0" w:rsidRDefault="004174A0">
            <w:pPr>
              <w:jc w:val="center"/>
              <w:rPr>
                <w:rFonts w:eastAsiaTheme="minorHAnsi" w:cstheme="minorBidi"/>
                <w:b/>
                <w:szCs w:val="24"/>
                <w:lang w:val="fr-CA" w:eastAsia="en-US"/>
              </w:rPr>
            </w:pPr>
            <w:r>
              <w:rPr>
                <w:rFonts w:eastAsiaTheme="minorHAnsi" w:cstheme="minorBidi"/>
                <w:b/>
                <w:szCs w:val="24"/>
                <w:lang w:val="fr-CA" w:eastAsia="en-US"/>
              </w:rPr>
              <w:t>Sa Majesté la Reine</w:t>
            </w:r>
          </w:p>
          <w:p w:rsidR="004174A0" w:rsidRDefault="004174A0">
            <w:pPr>
              <w:jc w:val="center"/>
              <w:rPr>
                <w:rFonts w:eastAsiaTheme="minorHAnsi" w:cstheme="minorBidi"/>
                <w:szCs w:val="24"/>
                <w:lang w:val="fr-CA" w:eastAsia="en-US"/>
              </w:rPr>
            </w:pPr>
            <w:r>
              <w:rPr>
                <w:rFonts w:eastAsiaTheme="minorHAnsi" w:cstheme="minorBidi"/>
                <w:szCs w:val="24"/>
                <w:lang w:val="fr-CA" w:eastAsia="en-US"/>
              </w:rPr>
              <w:t>Intimée</w:t>
            </w:r>
          </w:p>
          <w:p w:rsidR="004174A0" w:rsidRDefault="004174A0">
            <w:pPr>
              <w:jc w:val="center"/>
              <w:rPr>
                <w:rFonts w:eastAsiaTheme="minorHAnsi" w:cstheme="minorBidi"/>
                <w:szCs w:val="24"/>
                <w:lang w:val="fr-CA" w:eastAsia="en-U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126"/>
        <w:gridCol w:w="7938"/>
        <w:gridCol w:w="22"/>
      </w:tblGrid>
      <w:tr w:rsidR="004174A0" w:rsidTr="004174A0">
        <w:trPr>
          <w:cantSplit/>
          <w:trHeight w:val="508"/>
        </w:trPr>
        <w:tc>
          <w:tcPr>
            <w:tcW w:w="5000" w:type="pct"/>
            <w:gridSpan w:val="3"/>
            <w:tcMar>
              <w:top w:w="284" w:type="dxa"/>
              <w:left w:w="58" w:type="dxa"/>
              <w:bottom w:w="57" w:type="dxa"/>
              <w:right w:w="58" w:type="dxa"/>
            </w:tcMar>
            <w:vAlign w:val="center"/>
          </w:tcPr>
          <w:p w:rsidR="004174A0" w:rsidRDefault="004174A0">
            <w:pPr>
              <w:rPr>
                <w:lang w:val="fr-CA"/>
              </w:rPr>
            </w:pPr>
            <w:r>
              <w:rPr>
                <w:b/>
                <w:smallCaps/>
                <w:lang w:val="fr-CA"/>
              </w:rPr>
              <w:t>Coram :</w:t>
            </w:r>
            <w:r>
              <w:rPr>
                <w:lang w:val="fr-CA"/>
              </w:rPr>
              <w:t xml:space="preserve"> Le juge en chef Wagner et les juges Moldaver, Brown, Rowe et Kasirer</w:t>
            </w:r>
          </w:p>
          <w:p w:rsidR="004174A0" w:rsidRDefault="004174A0">
            <w:pPr>
              <w:rPr>
                <w:lang w:val="fr-CA"/>
              </w:rPr>
            </w:pPr>
          </w:p>
        </w:tc>
      </w:tr>
      <w:tr w:rsidR="004174A0" w:rsidTr="004174A0">
        <w:trPr>
          <w:gridAfter w:val="1"/>
          <w:wAfter w:w="11" w:type="pct"/>
          <w:cantSplit/>
        </w:trPr>
        <w:tc>
          <w:tcPr>
            <w:tcW w:w="1054" w:type="pct"/>
            <w:tcMar>
              <w:top w:w="284" w:type="dxa"/>
              <w:left w:w="58" w:type="dxa"/>
              <w:bottom w:w="57" w:type="dxa"/>
              <w:right w:w="58" w:type="dxa"/>
            </w:tcMar>
            <w:vAlign w:val="center"/>
            <w:hideMark/>
          </w:tcPr>
          <w:p w:rsidR="004174A0" w:rsidRDefault="004174A0">
            <w:pPr>
              <w:rPr>
                <w:b/>
                <w:smallCaps/>
                <w:lang w:val="fr-CA"/>
              </w:rPr>
            </w:pPr>
            <w:r>
              <w:rPr>
                <w:b/>
                <w:smallCaps/>
                <w:lang w:val="fr-CA"/>
              </w:rPr>
              <w:t xml:space="preserve">Jugement lu par : </w:t>
            </w:r>
          </w:p>
          <w:p w:rsidR="004174A0" w:rsidRDefault="004174A0">
            <w:pPr>
              <w:rPr>
                <w:b/>
                <w:smallCaps/>
                <w:lang w:val="fr-CA"/>
              </w:rPr>
            </w:pPr>
            <w:r>
              <w:rPr>
                <w:lang w:val="fr-CA"/>
              </w:rPr>
              <w:t>(par. 1 à 2)</w:t>
            </w:r>
          </w:p>
        </w:tc>
        <w:tc>
          <w:tcPr>
            <w:tcW w:w="3935" w:type="pct"/>
            <w:tcMar>
              <w:top w:w="284" w:type="dxa"/>
              <w:left w:w="58" w:type="dxa"/>
              <w:bottom w:w="58" w:type="dxa"/>
              <w:right w:w="58" w:type="dxa"/>
            </w:tcMar>
            <w:vAlign w:val="center"/>
          </w:tcPr>
          <w:p w:rsidR="004174A0" w:rsidRDefault="004174A0">
            <w:pPr>
              <w:rPr>
                <w:b/>
                <w:smallCaps/>
                <w:lang w:val="fr-CA"/>
              </w:rPr>
            </w:pPr>
            <w:r>
              <w:rPr>
                <w:lang w:val="fr-CA"/>
              </w:rPr>
              <w:t>Le juge en chef Wagner</w:t>
            </w:r>
          </w:p>
          <w:p w:rsidR="004174A0" w:rsidRDefault="004174A0">
            <w:pPr>
              <w:rPr>
                <w:b/>
                <w:smallCaps/>
                <w:lang w:val="fr-CA"/>
              </w:rPr>
            </w:pPr>
          </w:p>
        </w:tc>
      </w:tr>
      <w:tr w:rsidR="004174A0" w:rsidTr="004174A0">
        <w:trPr>
          <w:gridAfter w:val="1"/>
          <w:wAfter w:w="11" w:type="pct"/>
          <w:cantSplit/>
        </w:trPr>
        <w:tc>
          <w:tcPr>
            <w:tcW w:w="1054" w:type="pct"/>
            <w:tcMar>
              <w:top w:w="284" w:type="dxa"/>
              <w:left w:w="58" w:type="dxa"/>
              <w:bottom w:w="57" w:type="dxa"/>
              <w:right w:w="58" w:type="dxa"/>
            </w:tcMar>
            <w:vAlign w:val="center"/>
            <w:hideMark/>
          </w:tcPr>
          <w:p w:rsidR="004174A0" w:rsidRDefault="004174A0">
            <w:pPr>
              <w:rPr>
                <w:b/>
                <w:smallCaps/>
                <w:lang w:val="fr-CA"/>
              </w:rPr>
            </w:pPr>
            <w:r>
              <w:rPr>
                <w:b/>
                <w:smallCaps/>
                <w:lang w:val="fr-CA"/>
              </w:rPr>
              <w:t>Dissidence lue par :</w:t>
            </w:r>
          </w:p>
          <w:p w:rsidR="004174A0" w:rsidRDefault="004174A0">
            <w:pPr>
              <w:rPr>
                <w:b/>
                <w:smallCaps/>
                <w:lang w:val="fr-CA"/>
              </w:rPr>
            </w:pPr>
            <w:r>
              <w:rPr>
                <w:lang w:val="fr-CA"/>
              </w:rPr>
              <w:t>(par. 3 à 4)</w:t>
            </w:r>
          </w:p>
        </w:tc>
        <w:tc>
          <w:tcPr>
            <w:tcW w:w="3935" w:type="pct"/>
            <w:tcMar>
              <w:top w:w="284" w:type="dxa"/>
              <w:left w:w="58" w:type="dxa"/>
              <w:bottom w:w="58" w:type="dxa"/>
              <w:right w:w="58" w:type="dxa"/>
            </w:tcMar>
            <w:vAlign w:val="center"/>
          </w:tcPr>
          <w:p w:rsidR="004174A0" w:rsidRDefault="004174A0">
            <w:pPr>
              <w:rPr>
                <w:lang w:val="fr-CA"/>
              </w:rPr>
            </w:pPr>
            <w:r>
              <w:rPr>
                <w:lang w:val="fr-CA"/>
              </w:rPr>
              <w:t>Le juge Rowe</w:t>
            </w:r>
          </w:p>
          <w:p w:rsidR="004174A0" w:rsidRDefault="004174A0">
            <w:pPr>
              <w:rPr>
                <w:lang w:val="fr-CA"/>
              </w:rPr>
            </w:pPr>
          </w:p>
        </w:tc>
      </w:tr>
      <w:tr w:rsidR="004174A0" w:rsidTr="004174A0">
        <w:trPr>
          <w:gridAfter w:val="1"/>
          <w:wAfter w:w="11" w:type="pct"/>
          <w:cantSplit/>
        </w:trPr>
        <w:tc>
          <w:tcPr>
            <w:tcW w:w="1054" w:type="pct"/>
            <w:tcMar>
              <w:top w:w="284" w:type="dxa"/>
              <w:left w:w="58" w:type="dxa"/>
              <w:bottom w:w="57" w:type="dxa"/>
              <w:right w:w="58" w:type="dxa"/>
            </w:tcMar>
            <w:vAlign w:val="center"/>
            <w:hideMark/>
          </w:tcPr>
          <w:p w:rsidR="004174A0" w:rsidRDefault="004174A0">
            <w:pPr>
              <w:rPr>
                <w:b/>
                <w:smallCaps/>
                <w:lang w:val="fr-CA"/>
              </w:rPr>
            </w:pPr>
            <w:r>
              <w:rPr>
                <w:b/>
                <w:smallCaps/>
                <w:lang w:val="fr-CA"/>
              </w:rPr>
              <w:t>Majorité :</w:t>
            </w:r>
          </w:p>
        </w:tc>
        <w:tc>
          <w:tcPr>
            <w:tcW w:w="3935" w:type="pct"/>
            <w:tcMar>
              <w:top w:w="284" w:type="dxa"/>
              <w:left w:w="58" w:type="dxa"/>
              <w:bottom w:w="58" w:type="dxa"/>
              <w:right w:w="58" w:type="dxa"/>
            </w:tcMar>
            <w:vAlign w:val="center"/>
            <w:hideMark/>
          </w:tcPr>
          <w:p w:rsidR="004174A0" w:rsidRDefault="004174A0">
            <w:pPr>
              <w:rPr>
                <w:lang w:val="fr-CA"/>
              </w:rPr>
            </w:pPr>
            <w:r>
              <w:rPr>
                <w:lang w:val="fr-CA"/>
              </w:rPr>
              <w:t>Le juge en chef Wagner et les juges Moldaver et Kasirer</w:t>
            </w:r>
          </w:p>
        </w:tc>
      </w:tr>
      <w:tr w:rsidR="004174A0" w:rsidTr="004174A0">
        <w:trPr>
          <w:gridAfter w:val="1"/>
          <w:wAfter w:w="11" w:type="pct"/>
          <w:cantSplit/>
        </w:trPr>
        <w:tc>
          <w:tcPr>
            <w:tcW w:w="1054" w:type="pct"/>
            <w:tcMar>
              <w:top w:w="284" w:type="dxa"/>
              <w:left w:w="58" w:type="dxa"/>
              <w:bottom w:w="57" w:type="dxa"/>
              <w:right w:w="58" w:type="dxa"/>
            </w:tcMar>
            <w:vAlign w:val="center"/>
            <w:hideMark/>
          </w:tcPr>
          <w:p w:rsidR="004174A0" w:rsidRDefault="004174A0">
            <w:pPr>
              <w:rPr>
                <w:b/>
                <w:smallCaps/>
                <w:lang w:val="fr-CA"/>
              </w:rPr>
            </w:pPr>
            <w:r>
              <w:rPr>
                <w:b/>
                <w:smallCaps/>
                <w:lang w:val="fr-CA"/>
              </w:rPr>
              <w:t>Dissidence :</w:t>
            </w:r>
          </w:p>
        </w:tc>
        <w:tc>
          <w:tcPr>
            <w:tcW w:w="3935" w:type="pct"/>
            <w:tcMar>
              <w:top w:w="284" w:type="dxa"/>
              <w:left w:w="58" w:type="dxa"/>
              <w:bottom w:w="58" w:type="dxa"/>
              <w:right w:w="58" w:type="dxa"/>
            </w:tcMar>
            <w:vAlign w:val="center"/>
            <w:hideMark/>
          </w:tcPr>
          <w:p w:rsidR="004174A0" w:rsidRDefault="004174A0">
            <w:pPr>
              <w:rPr>
                <w:lang w:val="fr-CA"/>
              </w:rPr>
            </w:pPr>
            <w:r>
              <w:rPr>
                <w:lang w:val="fr-CA"/>
              </w:rPr>
              <w:t>Les juges Brown et Rowe</w:t>
            </w:r>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26"/>
        <w:gridCol w:w="4034"/>
        <w:gridCol w:w="3020"/>
        <w:gridCol w:w="6"/>
      </w:tblGrid>
      <w:tr w:rsidR="004174A0" w:rsidTr="004174A0">
        <w:trPr>
          <w:gridAfter w:val="1"/>
          <w:wAfter w:w="6" w:type="dxa"/>
        </w:trPr>
        <w:tc>
          <w:tcPr>
            <w:tcW w:w="10080" w:type="dxa"/>
            <w:gridSpan w:val="3"/>
          </w:tcPr>
          <w:p w:rsidR="004174A0" w:rsidRDefault="004174A0">
            <w:pPr>
              <w:jc w:val="both"/>
              <w:rPr>
                <w:lang w:val="fr-CA"/>
              </w:rPr>
            </w:pPr>
          </w:p>
        </w:tc>
      </w:tr>
      <w:tr w:rsidR="004174A0" w:rsidTr="004174A0">
        <w:tblPrEx>
          <w:tblCellMar>
            <w:top w:w="0" w:type="dxa"/>
            <w:left w:w="108" w:type="dxa"/>
            <w:bottom w:w="0" w:type="dxa"/>
            <w:right w:w="108" w:type="dxa"/>
          </w:tblCellMar>
        </w:tblPrEx>
        <w:tc>
          <w:tcPr>
            <w:tcW w:w="3026" w:type="dxa"/>
            <w:tcMar>
              <w:top w:w="284" w:type="dxa"/>
              <w:left w:w="108" w:type="dxa"/>
              <w:bottom w:w="0" w:type="dxa"/>
              <w:right w:w="108" w:type="dxa"/>
            </w:tcMar>
          </w:tcPr>
          <w:p w:rsidR="004174A0" w:rsidRDefault="004174A0">
            <w:pPr>
              <w:rPr>
                <w:rFonts w:eastAsia="Calibri"/>
                <w:szCs w:val="24"/>
                <w:lang w:val="fr-CA" w:eastAsia="en-US"/>
              </w:rPr>
            </w:pPr>
          </w:p>
        </w:tc>
        <w:tc>
          <w:tcPr>
            <w:tcW w:w="4034" w:type="dxa"/>
            <w:tcBorders>
              <w:top w:val="nil"/>
              <w:left w:val="nil"/>
              <w:bottom w:val="single" w:sz="4" w:space="0" w:color="auto"/>
              <w:right w:val="nil"/>
            </w:tcBorders>
            <w:tcMar>
              <w:top w:w="284" w:type="dxa"/>
              <w:left w:w="108" w:type="dxa"/>
              <w:bottom w:w="0" w:type="dxa"/>
              <w:right w:w="108" w:type="dxa"/>
            </w:tcMar>
          </w:tcPr>
          <w:p w:rsidR="004174A0" w:rsidRDefault="004174A0">
            <w:pPr>
              <w:rPr>
                <w:rFonts w:eastAsia="Calibri"/>
                <w:szCs w:val="24"/>
                <w:lang w:val="fr-CA" w:eastAsia="en-US"/>
              </w:rPr>
            </w:pPr>
          </w:p>
        </w:tc>
        <w:tc>
          <w:tcPr>
            <w:tcW w:w="3026" w:type="dxa"/>
            <w:gridSpan w:val="2"/>
            <w:tcMar>
              <w:top w:w="284" w:type="dxa"/>
              <w:left w:w="108" w:type="dxa"/>
              <w:bottom w:w="0" w:type="dxa"/>
              <w:right w:w="108" w:type="dxa"/>
            </w:tcMar>
          </w:tcPr>
          <w:p w:rsidR="004174A0" w:rsidRDefault="004174A0">
            <w:pPr>
              <w:rPr>
                <w:rFonts w:eastAsia="Calibri"/>
                <w:szCs w:val="24"/>
                <w:lang w:val="fr-CA" w:eastAsia="en-US"/>
              </w:rPr>
            </w:pPr>
          </w:p>
        </w:tc>
      </w:tr>
    </w:tbl>
    <w:p w:rsidR="004174A0" w:rsidRDefault="004174A0" w:rsidP="004174A0">
      <w:pPr>
        <w:rPr>
          <w:rFonts w:eastAsia="Calibri"/>
          <w:szCs w:val="24"/>
          <w:lang w:val="fr-CA" w:eastAsia="en-US"/>
        </w:rPr>
        <w:sectPr w:rsidR="004174A0">
          <w:pgSz w:w="12240" w:h="15840"/>
          <w:pgMar w:top="1134" w:right="1077" w:bottom="1134" w:left="1077" w:header="1803" w:footer="720" w:gutter="0"/>
          <w:cols w:space="720"/>
        </w:sectPr>
      </w:pPr>
    </w:p>
    <w:p w:rsidR="00A9064E" w:rsidRPr="00427602" w:rsidRDefault="00A9064E" w:rsidP="00A9064E">
      <w:pPr>
        <w:pStyle w:val="SCCLsocLastPartyInRole"/>
        <w:rPr>
          <w:lang w:val="en-US"/>
        </w:rPr>
      </w:pPr>
      <w:r w:rsidRPr="00427602">
        <w:rPr>
          <w:bCs/>
          <w:lang w:val="en-US"/>
        </w:rPr>
        <w:t>Rafi Mohammad Gul</w:t>
      </w:r>
      <w:r w:rsidRPr="00427602">
        <w:rPr>
          <w:rStyle w:val="SCCLsocPartyRole"/>
          <w:lang w:val="en-US"/>
        </w:rPr>
        <w:tab/>
        <w:t>Appelant</w:t>
      </w:r>
    </w:p>
    <w:p w:rsidR="00A9064E" w:rsidRPr="00427602" w:rsidRDefault="00A9064E" w:rsidP="00A9064E">
      <w:pPr>
        <w:pStyle w:val="SCCLsocVersus"/>
        <w:rPr>
          <w:lang w:val="fr-CA"/>
        </w:rPr>
      </w:pPr>
      <w:r w:rsidRPr="00427602">
        <w:rPr>
          <w:lang w:val="fr-CA"/>
        </w:rPr>
        <w:t>c.</w:t>
      </w:r>
    </w:p>
    <w:p w:rsidR="00A9064E" w:rsidRPr="00427602" w:rsidRDefault="00A9064E" w:rsidP="00A9064E">
      <w:pPr>
        <w:pStyle w:val="SCCLsocLastPartyInRole"/>
        <w:rPr>
          <w:lang w:val="fr-CA"/>
        </w:rPr>
      </w:pPr>
      <w:r w:rsidRPr="00427602">
        <w:rPr>
          <w:bCs/>
          <w:lang w:val="fr-CA"/>
        </w:rPr>
        <w:t>Sa Majesté la Reine</w:t>
      </w:r>
      <w:r w:rsidRPr="00427602">
        <w:rPr>
          <w:rStyle w:val="SCCLsocPartyRole"/>
          <w:lang w:val="fr-CA"/>
        </w:rPr>
        <w:tab/>
        <w:t>Intimée</w:t>
      </w:r>
    </w:p>
    <w:p w:rsidR="00A9064E" w:rsidRPr="00427602" w:rsidRDefault="00A9064E" w:rsidP="00A9064E">
      <w:pPr>
        <w:spacing w:after="720"/>
        <w:jc w:val="both"/>
        <w:rPr>
          <w:b/>
          <w:lang w:val="fr-CA"/>
        </w:rPr>
      </w:pPr>
      <w:r>
        <w:rPr>
          <w:b/>
          <w:lang w:val="fr-CA"/>
        </w:rPr>
        <w:t xml:space="preserve">Répertorié : R. </w:t>
      </w:r>
      <w:r w:rsidRPr="00427602">
        <w:rPr>
          <w:b/>
          <w:i/>
          <w:iCs/>
          <w:lang w:val="fr-CA"/>
        </w:rPr>
        <w:t>c.</w:t>
      </w:r>
      <w:r>
        <w:rPr>
          <w:b/>
          <w:lang w:val="fr-CA"/>
        </w:rPr>
        <w:t xml:space="preserve"> </w:t>
      </w:r>
      <w:r w:rsidRPr="00427602">
        <w:rPr>
          <w:b/>
          <w:lang w:val="fr-CA"/>
        </w:rPr>
        <w:t>Gul</w:t>
      </w:r>
    </w:p>
    <w:p w:rsidR="00A9064E" w:rsidRPr="00427602" w:rsidRDefault="00A9064E" w:rsidP="00A9064E">
      <w:pPr>
        <w:pStyle w:val="SCCSystemYear"/>
        <w:spacing w:after="720"/>
        <w:jc w:val="both"/>
        <w:rPr>
          <w:lang w:val="fr-CA"/>
        </w:rPr>
      </w:pPr>
      <w:r w:rsidRPr="00427602">
        <w:rPr>
          <w:lang w:val="fr-CA"/>
        </w:rPr>
        <w:t>2021</w:t>
      </w:r>
      <w:r>
        <w:rPr>
          <w:lang w:val="fr-CA"/>
        </w:rPr>
        <w:t xml:space="preserve"> CSC </w:t>
      </w:r>
      <w:r w:rsidRPr="00427602">
        <w:rPr>
          <w:lang w:val="fr-CA"/>
        </w:rPr>
        <w:t>1</w:t>
      </w:r>
      <w:r w:rsidRPr="00427602">
        <w:rPr>
          <w:color w:val="000000"/>
          <w:lang w:val="fr-CA"/>
        </w:rPr>
        <w:t>4</w:t>
      </w:r>
    </w:p>
    <w:p w:rsidR="00A9064E" w:rsidRPr="00427602" w:rsidRDefault="00A9064E" w:rsidP="00A9064E">
      <w:pPr>
        <w:spacing w:after="720"/>
        <w:jc w:val="both"/>
        <w:rPr>
          <w:lang w:val="fr-CA"/>
        </w:rPr>
      </w:pPr>
      <w:r w:rsidRPr="00427602">
        <w:rPr>
          <w:lang w:val="fr-CA"/>
        </w:rPr>
        <w:t>N</w:t>
      </w:r>
      <w:r w:rsidRPr="00427602">
        <w:rPr>
          <w:vertAlign w:val="superscript"/>
          <w:lang w:val="fr-CA"/>
        </w:rPr>
        <w:t>o</w:t>
      </w:r>
      <w:r>
        <w:rPr>
          <w:lang w:val="fr-CA"/>
        </w:rPr>
        <w:t xml:space="preserve"> du greffe : </w:t>
      </w:r>
      <w:r w:rsidRPr="00427602">
        <w:rPr>
          <w:color w:val="000000"/>
          <w:lang w:val="fr-CA"/>
        </w:rPr>
        <w:t>39414</w:t>
      </w:r>
      <w:r w:rsidRPr="00427602">
        <w:rPr>
          <w:lang w:val="fr-CA"/>
        </w:rPr>
        <w:t>.</w:t>
      </w:r>
    </w:p>
    <w:p w:rsidR="00A9064E" w:rsidRPr="00427602" w:rsidRDefault="00A9064E" w:rsidP="00A9064E">
      <w:pPr>
        <w:spacing w:after="720"/>
        <w:jc w:val="both"/>
        <w:rPr>
          <w:lang w:val="fr-CA"/>
        </w:rPr>
      </w:pPr>
      <w:r w:rsidRPr="00427602">
        <w:rPr>
          <w:lang w:val="fr-CA"/>
        </w:rPr>
        <w:t xml:space="preserve">2021 : </w:t>
      </w:r>
      <w:r w:rsidRPr="00427602">
        <w:rPr>
          <w:color w:val="000000"/>
          <w:lang w:val="fr-CA"/>
        </w:rPr>
        <w:t>19 avril</w:t>
      </w:r>
      <w:r w:rsidRPr="00427602">
        <w:rPr>
          <w:lang w:val="fr-CA"/>
        </w:rPr>
        <w:t>.</w:t>
      </w:r>
    </w:p>
    <w:p w:rsidR="00A9064E" w:rsidRPr="00427602" w:rsidRDefault="00A9064E" w:rsidP="00A9064E">
      <w:pPr>
        <w:spacing w:after="720"/>
        <w:jc w:val="both"/>
        <w:rPr>
          <w:lang w:val="fr-CA"/>
        </w:rPr>
      </w:pPr>
      <w:r>
        <w:rPr>
          <w:lang w:val="fr-CA"/>
        </w:rPr>
        <w:t xml:space="preserve">Présents : </w:t>
      </w:r>
      <w:r w:rsidRPr="00427602">
        <w:rPr>
          <w:color w:val="000000"/>
          <w:lang w:val="fr-CA"/>
        </w:rPr>
        <w:t>Le juge en chef Wagner et les juges Moldaver, Brown, Rowe et Kasirer.</w:t>
      </w:r>
    </w:p>
    <w:p w:rsidR="00A9064E" w:rsidRPr="006517E8" w:rsidRDefault="00A9064E" w:rsidP="00A9064E">
      <w:pPr>
        <w:spacing w:after="720"/>
        <w:jc w:val="both"/>
        <w:rPr>
          <w:smallCaps/>
          <w:lang w:val="fr-CA"/>
        </w:rPr>
      </w:pPr>
      <w:r w:rsidRPr="00427602">
        <w:rPr>
          <w:smallCaps/>
          <w:lang w:val="fr-CA"/>
        </w:rPr>
        <w:t>en appel de la cour d’appel du québec</w:t>
      </w:r>
    </w:p>
    <w:p w:rsidR="00A9064E" w:rsidRPr="00510C76" w:rsidRDefault="00A9064E" w:rsidP="00A9064E">
      <w:pPr>
        <w:pStyle w:val="SCCNormalDoubleSpacing"/>
        <w:spacing w:after="480"/>
        <w:rPr>
          <w:i/>
          <w:lang w:val="fr-CA"/>
        </w:rPr>
      </w:pPr>
      <w:r w:rsidRPr="00BB4C92">
        <w:rPr>
          <w:lang w:val="fr-CA"/>
        </w:rPr>
        <w:tab/>
      </w:r>
      <w:r w:rsidRPr="00510C76">
        <w:rPr>
          <w:i/>
          <w:lang w:val="fr-CA"/>
        </w:rPr>
        <w:t xml:space="preserve">Droit criminel — </w:t>
      </w:r>
      <w:r>
        <w:rPr>
          <w:i/>
          <w:lang w:val="fr-CA"/>
        </w:rPr>
        <w:t>Appels</w:t>
      </w:r>
      <w:r w:rsidRPr="00510C76">
        <w:rPr>
          <w:i/>
          <w:lang w:val="fr-CA"/>
        </w:rPr>
        <w:t xml:space="preserve"> —</w:t>
      </w:r>
      <w:r>
        <w:rPr>
          <w:i/>
          <w:lang w:val="fr-CA"/>
        </w:rPr>
        <w:t xml:space="preserve"> Application de la disposition réparatrice — A</w:t>
      </w:r>
      <w:r w:rsidRPr="00A04685">
        <w:rPr>
          <w:i/>
          <w:lang w:val="fr-CA"/>
        </w:rPr>
        <w:t xml:space="preserve">ccusé </w:t>
      </w:r>
      <w:r>
        <w:rPr>
          <w:i/>
          <w:lang w:val="fr-CA"/>
        </w:rPr>
        <w:t>déclaré coupable d’</w:t>
      </w:r>
      <w:r w:rsidRPr="00A04685">
        <w:rPr>
          <w:i/>
          <w:lang w:val="fr-CA"/>
        </w:rPr>
        <w:t xml:space="preserve">agression sexuelle et </w:t>
      </w:r>
      <w:r>
        <w:rPr>
          <w:i/>
          <w:lang w:val="fr-CA"/>
        </w:rPr>
        <w:t>d’</w:t>
      </w:r>
      <w:r w:rsidRPr="00A04685">
        <w:rPr>
          <w:i/>
          <w:lang w:val="fr-CA"/>
        </w:rPr>
        <w:t xml:space="preserve">introduction par effraction avec intention de commettre un acte criminel </w:t>
      </w:r>
      <w:r>
        <w:rPr>
          <w:i/>
          <w:lang w:val="fr-CA"/>
        </w:rPr>
        <w:t xml:space="preserve">— Conclusion de la Cour d’appel portant que le juge du procès a </w:t>
      </w:r>
      <w:r w:rsidRPr="002A7F14">
        <w:rPr>
          <w:i/>
          <w:color w:val="000000"/>
          <w:shd w:val="clear" w:color="auto" w:fill="FFFFFF"/>
          <w:lang w:val="fr-CA"/>
        </w:rPr>
        <w:t>commis une erreur en qualifiant</w:t>
      </w:r>
      <w:r>
        <w:rPr>
          <w:i/>
          <w:lang w:val="fr-CA"/>
        </w:rPr>
        <w:t xml:space="preserve"> un événement antérieur de preuve de faits similaires — </w:t>
      </w:r>
      <w:r w:rsidRPr="002A7F14">
        <w:rPr>
          <w:i/>
          <w:iCs/>
          <w:color w:val="000000"/>
          <w:lang w:val="fr-CA"/>
        </w:rPr>
        <w:t xml:space="preserve">Application par les juges majoritaires de la Cour d’appel de la disposition réparatrice </w:t>
      </w:r>
      <w:r>
        <w:rPr>
          <w:i/>
          <w:lang w:val="fr-CA"/>
        </w:rPr>
        <w:t xml:space="preserve">— Déclarations de culpabilité confirmées — </w:t>
      </w:r>
      <w:r w:rsidRPr="00510C76">
        <w:rPr>
          <w:i/>
          <w:lang w:val="fr-CA"/>
        </w:rPr>
        <w:t>Code criminel</w:t>
      </w:r>
      <w:r>
        <w:rPr>
          <w:i/>
          <w:lang w:val="fr-CA"/>
        </w:rPr>
        <w:t>, L.R.C. 1985, c. C</w:t>
      </w:r>
      <w:r>
        <w:rPr>
          <w:i/>
          <w:lang w:val="fr-CA"/>
        </w:rPr>
        <w:noBreakHyphen/>
        <w:t>46, art. 686(1)b)(iii).</w:t>
      </w:r>
    </w:p>
    <w:p w:rsidR="00A9064E" w:rsidRPr="00427602" w:rsidRDefault="00A9064E" w:rsidP="00A9064E">
      <w:pPr>
        <w:pStyle w:val="SCCNormalDoubleSpacing"/>
        <w:widowControl w:val="0"/>
        <w:spacing w:after="720" w:line="240" w:lineRule="auto"/>
        <w:rPr>
          <w:b/>
          <w:bCs/>
          <w:color w:val="000000"/>
          <w:lang w:val="fr-CA"/>
        </w:rPr>
      </w:pPr>
      <w:r w:rsidRPr="00427602">
        <w:rPr>
          <w:b/>
          <w:bCs/>
          <w:color w:val="000000"/>
          <w:lang w:val="fr-CA"/>
        </w:rPr>
        <w:lastRenderedPageBreak/>
        <w:t>Jurisprudence</w:t>
      </w:r>
    </w:p>
    <w:p w:rsidR="00A9064E" w:rsidRPr="00427602" w:rsidRDefault="00A9064E" w:rsidP="00A9064E">
      <w:pPr>
        <w:pStyle w:val="SCCNormalDoubleSpacing"/>
        <w:widowControl w:val="0"/>
        <w:spacing w:after="720" w:line="240" w:lineRule="auto"/>
        <w:rPr>
          <w:bCs/>
          <w:color w:val="000000"/>
          <w:lang w:val="fr-CA"/>
        </w:rPr>
      </w:pPr>
      <w:r w:rsidRPr="00427602">
        <w:rPr>
          <w:bCs/>
          <w:color w:val="000000"/>
          <w:lang w:val="fr-CA"/>
        </w:rPr>
        <w:t xml:space="preserve">Citée par </w:t>
      </w:r>
      <w:r w:rsidRPr="00427602">
        <w:rPr>
          <w:color w:val="000000"/>
          <w:lang w:val="fr-CA"/>
        </w:rPr>
        <w:t>le juge Rowe (dissident)</w:t>
      </w:r>
    </w:p>
    <w:p w:rsidR="00A9064E" w:rsidRPr="00427602" w:rsidRDefault="00A9064E" w:rsidP="00A9064E">
      <w:pPr>
        <w:pStyle w:val="SCCNormalDoubleSpacing"/>
        <w:widowControl w:val="0"/>
        <w:spacing w:after="720" w:line="240" w:lineRule="auto"/>
        <w:rPr>
          <w:bCs/>
          <w:color w:val="000000"/>
          <w:lang w:val="en-US"/>
        </w:rPr>
      </w:pPr>
      <w:r w:rsidRPr="00427602">
        <w:rPr>
          <w:bCs/>
          <w:color w:val="000000"/>
          <w:lang w:val="fr-CA"/>
        </w:rPr>
        <w:tab/>
      </w:r>
      <w:r w:rsidRPr="00427602">
        <w:rPr>
          <w:i/>
          <w:iCs/>
          <w:color w:val="000000"/>
          <w:lang w:val="en-US"/>
        </w:rPr>
        <w:t>R. c. Trochym</w:t>
      </w:r>
      <w:r w:rsidRPr="00427602">
        <w:rPr>
          <w:color w:val="000000"/>
          <w:lang w:val="en-US"/>
        </w:rPr>
        <w:t>, 2007 CSC 6, [2007] 1 R.C.S. 239.</w:t>
      </w:r>
    </w:p>
    <w:p w:rsidR="00A9064E" w:rsidRPr="00427602" w:rsidRDefault="00A9064E" w:rsidP="00A9064E">
      <w:pPr>
        <w:pStyle w:val="SCCNormalDoubleSpacing"/>
        <w:widowControl w:val="0"/>
        <w:spacing w:after="720" w:line="240" w:lineRule="auto"/>
        <w:rPr>
          <w:b/>
          <w:lang w:val="fr-CA"/>
        </w:rPr>
      </w:pPr>
      <w:r w:rsidRPr="00427602">
        <w:rPr>
          <w:b/>
          <w:bCs/>
          <w:color w:val="000000"/>
          <w:lang w:val="fr-CA"/>
        </w:rPr>
        <w:t>Lois et règlements cités</w:t>
      </w:r>
    </w:p>
    <w:p w:rsidR="00A9064E" w:rsidRPr="00AE4F2E" w:rsidRDefault="00A9064E" w:rsidP="00A9064E">
      <w:pPr>
        <w:pStyle w:val="SCCNormalDoubleSpacing"/>
        <w:widowControl w:val="0"/>
        <w:spacing w:after="720" w:line="240" w:lineRule="auto"/>
        <w:rPr>
          <w:b/>
          <w:lang w:val="fr-CA"/>
        </w:rPr>
      </w:pPr>
      <w:r w:rsidRPr="00427602">
        <w:rPr>
          <w:rFonts w:eastAsiaTheme="majorEastAsia"/>
          <w:i/>
          <w:iCs/>
          <w:lang w:val="fr-CA"/>
        </w:rPr>
        <w:t>Code criminel</w:t>
      </w:r>
      <w:r>
        <w:rPr>
          <w:rFonts w:eastAsiaTheme="majorEastAsia"/>
          <w:lang w:val="fr-CA"/>
        </w:rPr>
        <w:t>, L.R.C. 1985, c. C</w:t>
      </w:r>
      <w:r>
        <w:rPr>
          <w:rFonts w:eastAsiaTheme="majorEastAsia"/>
          <w:lang w:val="fr-CA"/>
        </w:rPr>
        <w:noBreakHyphen/>
      </w:r>
      <w:r w:rsidRPr="00427602">
        <w:rPr>
          <w:rFonts w:eastAsiaTheme="majorEastAsia"/>
          <w:lang w:val="fr-CA"/>
        </w:rPr>
        <w:t>46</w:t>
      </w:r>
      <w:r w:rsidRPr="00427602">
        <w:rPr>
          <w:color w:val="000000"/>
          <w:lang w:val="fr-CA"/>
        </w:rPr>
        <w:t>, art. 686(1)b)(iii).</w:t>
      </w:r>
    </w:p>
    <w:p w:rsidR="00A9064E" w:rsidRPr="006517E8" w:rsidRDefault="00A9064E" w:rsidP="00A9064E">
      <w:pPr>
        <w:pStyle w:val="SCCNormalDoubleSpacing"/>
        <w:spacing w:after="480"/>
        <w:rPr>
          <w:lang w:val="fr-CA"/>
        </w:rPr>
      </w:pPr>
      <w:r w:rsidRPr="004D7D95">
        <w:rPr>
          <w:lang w:val="fr-CA"/>
        </w:rPr>
        <w:tab/>
      </w:r>
      <w:r w:rsidRPr="00364451">
        <w:rPr>
          <w:lang w:val="fr-CA"/>
        </w:rPr>
        <w:t>POURVOI contre un arrêt de la Cour d’appel du Québec</w:t>
      </w:r>
      <w:r>
        <w:rPr>
          <w:lang w:val="fr-CA"/>
        </w:rPr>
        <w:t xml:space="preserve"> (la juge en chef</w:t>
      </w:r>
      <w:r w:rsidRPr="005E3E2B">
        <w:rPr>
          <w:lang w:val="fr-CA"/>
        </w:rPr>
        <w:t xml:space="preserve"> </w:t>
      </w:r>
      <w:r w:rsidRPr="00AE4F2E">
        <w:rPr>
          <w:lang w:val="fr-CA"/>
        </w:rPr>
        <w:t>Savard</w:t>
      </w:r>
      <w:r>
        <w:rPr>
          <w:lang w:val="fr-CA"/>
        </w:rPr>
        <w:t xml:space="preserve"> et les juges</w:t>
      </w:r>
      <w:r w:rsidRPr="00AE4F2E">
        <w:rPr>
          <w:lang w:val="fr-CA"/>
        </w:rPr>
        <w:t xml:space="preserve"> Schrager </w:t>
      </w:r>
      <w:r w:rsidRPr="005E3E2B">
        <w:rPr>
          <w:lang w:val="fr-CA"/>
        </w:rPr>
        <w:t xml:space="preserve">et </w:t>
      </w:r>
      <w:r w:rsidRPr="00AE4F2E">
        <w:rPr>
          <w:lang w:val="fr-CA"/>
        </w:rPr>
        <w:t>Ruel</w:t>
      </w:r>
      <w:r>
        <w:rPr>
          <w:lang w:val="fr-CA"/>
        </w:rPr>
        <w:t>),</w:t>
      </w:r>
      <w:r w:rsidRPr="006517E8">
        <w:rPr>
          <w:lang w:val="fr-CA"/>
        </w:rPr>
        <w:t xml:space="preserve"> </w:t>
      </w:r>
      <w:r w:rsidRPr="00AE4F2E">
        <w:rPr>
          <w:color w:val="000000"/>
          <w:lang w:val="fr-CA"/>
        </w:rPr>
        <w:t>2020 QCCA 1557, 405 C.C.C. (3d) 143, 460 D.L.R. (4th) 195,</w:t>
      </w:r>
      <w:r>
        <w:rPr>
          <w:color w:val="000000"/>
          <w:lang w:val="fr-CA"/>
        </w:rPr>
        <w:t xml:space="preserve"> </w:t>
      </w:r>
      <w:r w:rsidRPr="00364451">
        <w:rPr>
          <w:color w:val="000000"/>
          <w:lang w:val="fr-CA"/>
        </w:rPr>
        <w:t>[202</w:t>
      </w:r>
      <w:r>
        <w:rPr>
          <w:color w:val="000000"/>
          <w:lang w:val="fr-CA"/>
        </w:rPr>
        <w:t>0] AZ</w:t>
      </w:r>
      <w:r>
        <w:rPr>
          <w:color w:val="000000"/>
          <w:lang w:val="fr-CA"/>
        </w:rPr>
        <w:noBreakHyphen/>
        <w:t>51724181,</w:t>
      </w:r>
      <w:r w:rsidRPr="00AE4F2E">
        <w:rPr>
          <w:color w:val="000000"/>
          <w:lang w:val="fr-CA"/>
        </w:rPr>
        <w:t xml:space="preserve"> [2020] Q.J. No. 11528 (QL), 2020 CarswellQue 12281</w:t>
      </w:r>
      <w:r w:rsidRPr="00720623">
        <w:rPr>
          <w:color w:val="000000"/>
          <w:lang w:val="fr-CA"/>
        </w:rPr>
        <w:t xml:space="preserve"> </w:t>
      </w:r>
      <w:r w:rsidRPr="006517E8">
        <w:rPr>
          <w:color w:val="000000"/>
          <w:lang w:val="fr-CA"/>
        </w:rPr>
        <w:t>(WL Can.),</w:t>
      </w:r>
      <w:r>
        <w:rPr>
          <w:color w:val="000000"/>
          <w:lang w:val="fr-CA"/>
        </w:rPr>
        <w:t xml:space="preserve"> </w:t>
      </w:r>
      <w:r>
        <w:rPr>
          <w:lang w:val="fr-CA"/>
        </w:rPr>
        <w:t>qui a confirmé les</w:t>
      </w:r>
      <w:r w:rsidRPr="00AE4F2E">
        <w:rPr>
          <w:lang w:val="fr-CA"/>
        </w:rPr>
        <w:t xml:space="preserve"> déclaration</w:t>
      </w:r>
      <w:r>
        <w:rPr>
          <w:lang w:val="fr-CA"/>
        </w:rPr>
        <w:t>s</w:t>
      </w:r>
      <w:r w:rsidRPr="00AE4F2E">
        <w:rPr>
          <w:lang w:val="fr-CA"/>
        </w:rPr>
        <w:t xml:space="preserve"> de culpabilité pour </w:t>
      </w:r>
      <w:r w:rsidRPr="00364451">
        <w:rPr>
          <w:lang w:val="fr-CA"/>
        </w:rPr>
        <w:t>agression sexuelle</w:t>
      </w:r>
      <w:r w:rsidRPr="00364451">
        <w:rPr>
          <w:color w:val="000000"/>
          <w:lang w:val="fr-CA"/>
        </w:rPr>
        <w:t xml:space="preserve"> et pour introduction par effraction avec l’intention de commettre un acte criminel</w:t>
      </w:r>
      <w:r>
        <w:rPr>
          <w:color w:val="000000"/>
          <w:lang w:val="fr-CA"/>
        </w:rPr>
        <w:t xml:space="preserve"> inscrites</w:t>
      </w:r>
      <w:r w:rsidRPr="008F0156">
        <w:rPr>
          <w:color w:val="000000"/>
          <w:lang w:val="fr-CA"/>
        </w:rPr>
        <w:t xml:space="preserve"> par l</w:t>
      </w:r>
      <w:r>
        <w:rPr>
          <w:color w:val="000000"/>
          <w:lang w:val="fr-CA"/>
        </w:rPr>
        <w:t xml:space="preserve">e juge </w:t>
      </w:r>
      <w:r w:rsidRPr="00E91E09">
        <w:rPr>
          <w:color w:val="000000"/>
          <w:lang w:val="fr-CA"/>
        </w:rPr>
        <w:t>Bélisle</w:t>
      </w:r>
      <w:r>
        <w:rPr>
          <w:lang w:val="fr-CA"/>
        </w:rPr>
        <w:t xml:space="preserve">, </w:t>
      </w:r>
      <w:r w:rsidRPr="00E91E09">
        <w:rPr>
          <w:lang w:val="fr-CA"/>
        </w:rPr>
        <w:t xml:space="preserve">2018 QCCQ 7257, </w:t>
      </w:r>
      <w:r>
        <w:rPr>
          <w:lang w:val="fr-CA"/>
        </w:rPr>
        <w:t>[2018] AZ</w:t>
      </w:r>
      <w:r>
        <w:rPr>
          <w:lang w:val="fr-CA"/>
        </w:rPr>
        <w:noBreakHyphen/>
        <w:t xml:space="preserve">51535284, </w:t>
      </w:r>
      <w:r w:rsidRPr="00E91E09">
        <w:rPr>
          <w:lang w:val="fr-CA"/>
        </w:rPr>
        <w:t>[2018] J.Q. n</w:t>
      </w:r>
      <w:r w:rsidRPr="00E91E09">
        <w:rPr>
          <w:vertAlign w:val="superscript"/>
          <w:lang w:val="fr-CA"/>
        </w:rPr>
        <w:t>o</w:t>
      </w:r>
      <w:r>
        <w:rPr>
          <w:lang w:val="fr-CA"/>
        </w:rPr>
        <w:t> </w:t>
      </w:r>
      <w:r w:rsidRPr="00E91E09">
        <w:rPr>
          <w:lang w:val="fr-CA"/>
        </w:rPr>
        <w:t>9504 (QL), 2018 CarswellQue 9145</w:t>
      </w:r>
      <w:r w:rsidRPr="00D83444">
        <w:rPr>
          <w:bCs/>
          <w:lang w:val="fr-CA"/>
        </w:rPr>
        <w:t xml:space="preserve"> (WL Can.)</w:t>
      </w:r>
      <w:r w:rsidRPr="006517E8">
        <w:rPr>
          <w:bCs/>
          <w:lang w:val="fr-CA"/>
        </w:rPr>
        <w:t xml:space="preserve">. </w:t>
      </w:r>
      <w:r w:rsidRPr="00364451">
        <w:rPr>
          <w:bCs/>
          <w:lang w:val="fr-CA"/>
        </w:rPr>
        <w:t>Pourvoi rejeté, l</w:t>
      </w:r>
      <w:r w:rsidRPr="00364451">
        <w:rPr>
          <w:color w:val="000000"/>
          <w:lang w:val="fr-CA"/>
        </w:rPr>
        <w:t>es juges Brown et Rowe sont dissidents</w:t>
      </w:r>
      <w:r w:rsidRPr="00364451">
        <w:rPr>
          <w:bCs/>
          <w:lang w:val="fr-CA"/>
        </w:rPr>
        <w:t>.</w:t>
      </w:r>
    </w:p>
    <w:p w:rsidR="00A9064E" w:rsidRPr="00427602" w:rsidRDefault="00A9064E" w:rsidP="00A9064E">
      <w:pPr>
        <w:pStyle w:val="SCCNormalDoubleSpacing"/>
        <w:spacing w:after="480"/>
        <w:rPr>
          <w:color w:val="000000"/>
          <w:szCs w:val="24"/>
          <w:lang w:val="fr-CA" w:eastAsia="en-US"/>
        </w:rPr>
      </w:pPr>
      <w:r w:rsidRPr="0017235F">
        <w:rPr>
          <w:lang w:val="fr-CA"/>
        </w:rPr>
        <w:tab/>
      </w:r>
      <w:r w:rsidRPr="00553A67">
        <w:rPr>
          <w:i/>
          <w:iCs/>
          <w:lang w:val="fr-CA"/>
        </w:rPr>
        <w:t>Jordan Trevick</w:t>
      </w:r>
      <w:r w:rsidRPr="00427602">
        <w:rPr>
          <w:iCs/>
          <w:lang w:val="fr-CA"/>
        </w:rPr>
        <w:t xml:space="preserve"> et </w:t>
      </w:r>
      <w:r w:rsidRPr="00553A67">
        <w:rPr>
          <w:i/>
          <w:iCs/>
          <w:lang w:val="fr-CA"/>
        </w:rPr>
        <w:t>Clara Daviault</w:t>
      </w:r>
      <w:r w:rsidRPr="00427602">
        <w:rPr>
          <w:color w:val="000000"/>
          <w:szCs w:val="24"/>
          <w:lang w:val="fr-CA" w:eastAsia="en-US"/>
        </w:rPr>
        <w:t>, pour l’appelant.</w:t>
      </w:r>
    </w:p>
    <w:p w:rsidR="00A9064E" w:rsidRPr="00427602" w:rsidRDefault="00A9064E" w:rsidP="00A9064E">
      <w:pPr>
        <w:pStyle w:val="SCCNormalDoubleSpacing"/>
        <w:spacing w:after="480"/>
        <w:rPr>
          <w:color w:val="000000"/>
          <w:szCs w:val="24"/>
          <w:lang w:val="fr-CA" w:eastAsia="en-US"/>
        </w:rPr>
      </w:pPr>
      <w:r w:rsidRPr="00427602">
        <w:rPr>
          <w:color w:val="000000"/>
          <w:szCs w:val="24"/>
          <w:lang w:val="fr-CA" w:eastAsia="en-US"/>
        </w:rPr>
        <w:tab/>
      </w:r>
      <w:r w:rsidRPr="00553A67">
        <w:rPr>
          <w:i/>
          <w:iCs/>
          <w:lang w:val="fr-CA"/>
        </w:rPr>
        <w:t>Frédérique Le Colletter</w:t>
      </w:r>
      <w:r w:rsidRPr="00427602">
        <w:rPr>
          <w:color w:val="000000"/>
          <w:szCs w:val="24"/>
          <w:lang w:val="fr-CA" w:eastAsia="en-US"/>
        </w:rPr>
        <w:t>, pour l’intimée.</w:t>
      </w:r>
    </w:p>
    <w:p w:rsidR="00A9064E" w:rsidRDefault="00A9064E" w:rsidP="00A9064E">
      <w:pPr>
        <w:pStyle w:val="SCCNormalDoubleSpacing"/>
        <w:spacing w:after="480"/>
        <w:rPr>
          <w:color w:val="000000"/>
          <w:lang w:val="fr-CA"/>
        </w:rPr>
      </w:pPr>
      <w:r w:rsidRPr="00427602">
        <w:rPr>
          <w:color w:val="000000"/>
          <w:lang w:val="fr-CA"/>
        </w:rPr>
        <w:tab/>
      </w:r>
      <w:r w:rsidRPr="00427602">
        <w:rPr>
          <w:rStyle w:val="SCCCounselPartyRoleChar"/>
          <w:lang w:val="fr-CA"/>
        </w:rPr>
        <w:t xml:space="preserve">Le jugement du </w:t>
      </w:r>
      <w:r w:rsidRPr="00427602">
        <w:rPr>
          <w:color w:val="000000"/>
          <w:lang w:val="fr-CA"/>
        </w:rPr>
        <w:t>juge en chef Wagner et des juges Moldaver et Kasirer</w:t>
      </w:r>
      <w:r w:rsidRPr="00427602">
        <w:rPr>
          <w:rStyle w:val="SCCCounselPartyRoleChar"/>
          <w:lang w:val="fr-CA"/>
        </w:rPr>
        <w:t xml:space="preserve"> a été rendu oralement par</w:t>
      </w:r>
    </w:p>
    <w:p w:rsidR="00A9064E" w:rsidRPr="00427602" w:rsidRDefault="00A9064E" w:rsidP="00A9064E">
      <w:pPr>
        <w:pStyle w:val="SCCNormalDoubleSpacing"/>
        <w:spacing w:after="480"/>
        <w:rPr>
          <w:lang w:val="fr-CA" w:eastAsia="en-US"/>
        </w:rPr>
      </w:pPr>
      <w:r>
        <w:rPr>
          <w:lang w:val="fr-CA"/>
        </w:rPr>
        <w:t>[1]</w:t>
      </w:r>
      <w:r>
        <w:rPr>
          <w:lang w:val="fr-CA"/>
        </w:rPr>
        <w:tab/>
      </w:r>
      <w:r w:rsidRPr="009C60BD">
        <w:rPr>
          <w:smallCaps/>
          <w:lang w:val="fr-CA"/>
        </w:rPr>
        <w:t>Le juge en chef</w:t>
      </w:r>
      <w:r w:rsidRPr="00351398">
        <w:rPr>
          <w:lang w:val="fr-CA"/>
        </w:rPr>
        <w:t xml:space="preserve"> — </w:t>
      </w:r>
      <w:r w:rsidRPr="00427602">
        <w:rPr>
          <w:color w:val="000000"/>
          <w:lang w:val="fr-CA"/>
        </w:rPr>
        <w:t>L’appelant se pourvoit de plein droit contre un arrêt majoritaire de la Cour d’appel du Québec, qui a confirmé le verdict de culpabilité prononcé par le juge de première instance.</w:t>
      </w:r>
    </w:p>
    <w:p w:rsidR="00B41805" w:rsidRDefault="00A9064E" w:rsidP="00A9064E">
      <w:pPr>
        <w:pStyle w:val="SCCNormalDoubleSpacing"/>
        <w:spacing w:after="480"/>
        <w:rPr>
          <w:color w:val="000000"/>
          <w:lang w:val="fr-CA"/>
        </w:rPr>
      </w:pPr>
      <w:r w:rsidRPr="00427602">
        <w:rPr>
          <w:lang w:val="fr-CA"/>
        </w:rPr>
        <w:t>[2]</w:t>
      </w:r>
      <w:r w:rsidRPr="00427602">
        <w:rPr>
          <w:lang w:val="fr-CA"/>
        </w:rPr>
        <w:tab/>
      </w:r>
      <w:r w:rsidRPr="00427602">
        <w:rPr>
          <w:color w:val="000000"/>
          <w:lang w:val="fr-CA"/>
        </w:rPr>
        <w:t>Une majorité de juges de notre Cour, pour les motifs de la juge en chef Savard et du juge Schrager, et en particulier pou</w:t>
      </w:r>
      <w:r>
        <w:rPr>
          <w:color w:val="000000"/>
          <w:lang w:val="fr-CA"/>
        </w:rPr>
        <w:t>r les motifs mentionnés au par. </w:t>
      </w:r>
      <w:r w:rsidRPr="00427602">
        <w:rPr>
          <w:color w:val="000000"/>
          <w:lang w:val="fr-CA"/>
        </w:rPr>
        <w:t>44 de l’arrêt de la Cour d’appel, sont d’avis de rejeter le pourvoi.</w:t>
      </w:r>
    </w:p>
    <w:p w:rsidR="00A9064E" w:rsidRPr="00B41805" w:rsidRDefault="00B41805" w:rsidP="00A9064E">
      <w:pPr>
        <w:pStyle w:val="SCCNormalDoubleSpacing"/>
        <w:spacing w:after="480"/>
        <w:rPr>
          <w:color w:val="000000"/>
          <w:lang w:val="fr-CA"/>
        </w:rPr>
      </w:pPr>
      <w:r>
        <w:rPr>
          <w:color w:val="000000"/>
          <w:lang w:val="fr-CA"/>
        </w:rPr>
        <w:tab/>
      </w:r>
      <w:r w:rsidR="00A9064E" w:rsidRPr="00427602">
        <w:rPr>
          <w:lang w:val="fr-CA"/>
        </w:rPr>
        <w:t>Les motifs des juges</w:t>
      </w:r>
      <w:r w:rsidR="00A9064E" w:rsidRPr="00427602">
        <w:rPr>
          <w:color w:val="000000"/>
          <w:lang w:val="fr-CA"/>
        </w:rPr>
        <w:t xml:space="preserve"> Brown et Rowe</w:t>
      </w:r>
      <w:r w:rsidR="00A9064E" w:rsidRPr="00427602">
        <w:rPr>
          <w:lang w:val="fr-CA"/>
        </w:rPr>
        <w:t xml:space="preserve"> ont été rendus oralement par</w:t>
      </w:r>
    </w:p>
    <w:p w:rsidR="00A9064E" w:rsidRPr="00427602" w:rsidRDefault="00A9064E" w:rsidP="00A9064E">
      <w:pPr>
        <w:pStyle w:val="SCCNormalDoubleSpacing"/>
        <w:spacing w:after="480"/>
        <w:rPr>
          <w:lang w:val="fr-CA"/>
        </w:rPr>
      </w:pPr>
      <w:r w:rsidRPr="00427602">
        <w:rPr>
          <w:lang w:val="fr-CA"/>
        </w:rPr>
        <w:t>[3]</w:t>
      </w:r>
      <w:r w:rsidRPr="00427602">
        <w:rPr>
          <w:lang w:val="fr-CA"/>
        </w:rPr>
        <w:tab/>
      </w:r>
      <w:r w:rsidRPr="00427602">
        <w:rPr>
          <w:smallCaps/>
          <w:color w:val="000000"/>
          <w:lang w:val="fr-CA"/>
        </w:rPr>
        <w:t xml:space="preserve">Le juge Rowe </w:t>
      </w:r>
      <w:r w:rsidR="00B41805" w:rsidRPr="00B41805">
        <w:rPr>
          <w:color w:val="000000"/>
          <w:lang w:val="fr-CA"/>
        </w:rPr>
        <w:t xml:space="preserve">(dissident) </w:t>
      </w:r>
      <w:r w:rsidRPr="00427602">
        <w:rPr>
          <w:color w:val="000000"/>
          <w:lang w:val="fr-CA"/>
        </w:rPr>
        <w:t>—</w:t>
      </w:r>
      <w:r>
        <w:rPr>
          <w:color w:val="000000"/>
          <w:shd w:val="clear" w:color="auto" w:fill="FFFFFF"/>
          <w:lang w:val="fr-CA"/>
        </w:rPr>
        <w:t xml:space="preserve"> </w:t>
      </w:r>
      <w:r w:rsidRPr="00427602">
        <w:rPr>
          <w:color w:val="000000"/>
          <w:shd w:val="clear" w:color="auto" w:fill="FFFFFF"/>
          <w:lang w:val="fr-CA"/>
        </w:rPr>
        <w:t xml:space="preserve">Le ministère public reconnaît, et nous convenons avec la Cour d’appel du Québec, que le juge de première instance a commis une erreur en qualifiant un événement antérieur de « preuve probante d’inconduite antérieure indigne » (2018 QCCQ 7257, par. 21 (CanLII)). Cependant, contrairement à nos collègues, nous sommes d’avis que la </w:t>
      </w:r>
      <w:r>
        <w:rPr>
          <w:color w:val="000000"/>
          <w:shd w:val="clear" w:color="auto" w:fill="FFFFFF"/>
          <w:lang w:val="fr-CA"/>
        </w:rPr>
        <w:t>disposition réparatrice du sous</w:t>
      </w:r>
      <w:r>
        <w:rPr>
          <w:color w:val="000000"/>
          <w:shd w:val="clear" w:color="auto" w:fill="FFFFFF"/>
          <w:lang w:val="fr-CA"/>
        </w:rPr>
        <w:noBreakHyphen/>
        <w:t xml:space="preserve">al. 686(1)b)(iii) du </w:t>
      </w:r>
      <w:r w:rsidRPr="00427602">
        <w:rPr>
          <w:rFonts w:eastAsiaTheme="majorEastAsia"/>
          <w:i/>
          <w:iCs/>
          <w:color w:val="000000"/>
          <w:shd w:val="clear" w:color="auto" w:fill="FFFFFF"/>
          <w:lang w:val="fr-CA"/>
        </w:rPr>
        <w:t>Code criminel</w:t>
      </w:r>
      <w:r w:rsidRPr="00427602">
        <w:rPr>
          <w:rFonts w:eastAsiaTheme="majorEastAsia"/>
          <w:color w:val="000000"/>
          <w:shd w:val="clear" w:color="auto" w:fill="FFFFFF"/>
          <w:lang w:val="fr-CA"/>
        </w:rPr>
        <w:t>, L.R.C</w:t>
      </w:r>
      <w:r>
        <w:rPr>
          <w:rFonts w:eastAsiaTheme="majorEastAsia"/>
          <w:color w:val="000000"/>
          <w:shd w:val="clear" w:color="auto" w:fill="FFFFFF"/>
          <w:lang w:val="fr-CA"/>
        </w:rPr>
        <w:t>. 1985, c. C</w:t>
      </w:r>
      <w:r>
        <w:rPr>
          <w:rFonts w:eastAsiaTheme="majorEastAsia"/>
          <w:color w:val="000000"/>
          <w:shd w:val="clear" w:color="auto" w:fill="FFFFFF"/>
          <w:lang w:val="fr-CA"/>
        </w:rPr>
        <w:noBreakHyphen/>
      </w:r>
      <w:r w:rsidRPr="00427602">
        <w:rPr>
          <w:rFonts w:eastAsiaTheme="majorEastAsia"/>
          <w:color w:val="000000"/>
          <w:shd w:val="clear" w:color="auto" w:fill="FFFFFF"/>
          <w:lang w:val="fr-CA"/>
        </w:rPr>
        <w:t>46</w:t>
      </w:r>
      <w:r>
        <w:rPr>
          <w:color w:val="000000"/>
          <w:shd w:val="clear" w:color="auto" w:fill="FFFFFF"/>
          <w:lang w:val="fr-CA"/>
        </w:rPr>
        <w:t>, ne peut s’appliquer. Au par. </w:t>
      </w:r>
      <w:r w:rsidRPr="00427602">
        <w:rPr>
          <w:color w:val="000000"/>
          <w:shd w:val="clear" w:color="auto" w:fill="FFFFFF"/>
          <w:lang w:val="fr-CA"/>
        </w:rPr>
        <w:t>21 de son jugement, le juge de première instance a expliqué que cette preuve était probante afin de « démontrer la similitude du comportement, déterminer la crédibilité de l’accusé, établir l’identité de l’auteur de l’infraction et rehausser la crédibilité de la plaignante, car sa version est contredite par celle de l’accusé ». À notre avis, puisque l’évaluation de la crédibilité de l’accusé et de la plaignante était au cœur du dossier, il</w:t>
      </w:r>
      <w:r>
        <w:rPr>
          <w:color w:val="000000"/>
          <w:lang w:val="fr-CA"/>
        </w:rPr>
        <w:t xml:space="preserve"> </w:t>
      </w:r>
      <w:r w:rsidRPr="00427602">
        <w:rPr>
          <w:color w:val="000000"/>
          <w:lang w:val="fr-CA"/>
        </w:rPr>
        <w:t>ne s’agit pas d’un cas où la preuve du ministère public est accablante et où une déclaration de culpabilité est inévitable. Comme notr</w:t>
      </w:r>
      <w:r>
        <w:rPr>
          <w:color w:val="000000"/>
          <w:lang w:val="fr-CA"/>
        </w:rPr>
        <w:t xml:space="preserve">e Cour l’a reconnu dans l’arrêt </w:t>
      </w:r>
      <w:r w:rsidRPr="00427602">
        <w:rPr>
          <w:i/>
          <w:iCs/>
          <w:color w:val="000000"/>
          <w:lang w:val="fr-CA"/>
        </w:rPr>
        <w:t>R. c. Trochym</w:t>
      </w:r>
      <w:r w:rsidRPr="00427602">
        <w:rPr>
          <w:color w:val="000000"/>
          <w:lang w:val="fr-CA"/>
        </w:rPr>
        <w:t>, 2007 CSC 6, [2007] 1 R.C.S. 239, au par. 82, déterminer si la preuve contre un accusé est accablante est une norme plus élevée que celle voulant que le ministère public prouve ses allégations hors de tout doute raisonnable.</w:t>
      </w:r>
    </w:p>
    <w:p w:rsidR="00A9064E" w:rsidRPr="00427602" w:rsidRDefault="00A9064E" w:rsidP="00A9064E">
      <w:pPr>
        <w:pStyle w:val="SCCNormalDoubleSpacing"/>
        <w:spacing w:after="480"/>
        <w:rPr>
          <w:lang w:val="fr-CA"/>
        </w:rPr>
      </w:pPr>
      <w:r w:rsidRPr="00427602">
        <w:rPr>
          <w:lang w:val="fr-CA"/>
        </w:rPr>
        <w:t>[4]</w:t>
      </w:r>
      <w:r w:rsidRPr="00427602">
        <w:rPr>
          <w:lang w:val="fr-CA"/>
        </w:rPr>
        <w:tab/>
      </w:r>
      <w:r w:rsidRPr="00427602">
        <w:rPr>
          <w:color w:val="000000"/>
          <w:lang w:val="fr-CA"/>
        </w:rPr>
        <w:t>Pour ces motifs, nous aurions donc accueilli l’appel et ordonné un nouveau procès pour les mêmes accusations.</w:t>
      </w:r>
    </w:p>
    <w:p w:rsidR="00A9064E" w:rsidRPr="00AE3A60" w:rsidRDefault="00A9064E" w:rsidP="00A9064E">
      <w:pPr>
        <w:pStyle w:val="SCCNormalDoubleSpacing"/>
        <w:spacing w:after="480"/>
        <w:rPr>
          <w:lang w:val="fr-CA"/>
        </w:rPr>
      </w:pPr>
      <w:r w:rsidRPr="00427602">
        <w:rPr>
          <w:lang w:val="fr-CA"/>
        </w:rPr>
        <w:tab/>
      </w:r>
      <w:r w:rsidRPr="00427602">
        <w:rPr>
          <w:i/>
          <w:iCs/>
          <w:color w:val="000000"/>
          <w:lang w:val="fr-CA"/>
        </w:rPr>
        <w:t>Jugement en conséquence.</w:t>
      </w:r>
    </w:p>
    <w:p w:rsidR="00A9064E" w:rsidRPr="00553A67" w:rsidRDefault="00A9064E" w:rsidP="00A9064E">
      <w:pPr>
        <w:pStyle w:val="SCCNormalDoubleSpacing"/>
        <w:spacing w:after="480"/>
        <w:rPr>
          <w:i/>
          <w:lang w:val="fr-CA"/>
        </w:rPr>
      </w:pPr>
      <w:r>
        <w:rPr>
          <w:lang w:val="fr-CA"/>
        </w:rPr>
        <w:tab/>
      </w:r>
      <w:r w:rsidRPr="00553A67">
        <w:rPr>
          <w:i/>
          <w:lang w:val="fr-CA"/>
        </w:rPr>
        <w:t xml:space="preserve">Procureurs de l’appelant : </w:t>
      </w:r>
      <w:r w:rsidRPr="00553A67">
        <w:rPr>
          <w:i/>
          <w:iCs/>
          <w:lang w:val="fr-CA"/>
        </w:rPr>
        <w:t>Jordan Trevick, Montréal;</w:t>
      </w:r>
      <w:r w:rsidRPr="00553A67">
        <w:rPr>
          <w:bCs/>
          <w:i/>
          <w:lang w:val="fr-CA"/>
        </w:rPr>
        <w:t xml:space="preserve"> Yves Ménard Avocats inc.</w:t>
      </w:r>
      <w:r w:rsidRPr="00553A67">
        <w:rPr>
          <w:i/>
          <w:lang w:val="fr-CA"/>
        </w:rPr>
        <w:t>, Montréal</w:t>
      </w:r>
      <w:r w:rsidRPr="00553A67">
        <w:rPr>
          <w:bCs/>
          <w:i/>
          <w:iCs/>
          <w:lang w:val="fr-CA"/>
        </w:rPr>
        <w:t>.</w:t>
      </w:r>
    </w:p>
    <w:p w:rsidR="00A9064E" w:rsidRPr="00553A67" w:rsidRDefault="00A9064E" w:rsidP="00A9064E">
      <w:pPr>
        <w:pStyle w:val="SCCNormalDoubleSpacing"/>
        <w:spacing w:after="480"/>
        <w:rPr>
          <w:i/>
          <w:lang w:val="fr-CA"/>
        </w:rPr>
      </w:pPr>
      <w:r w:rsidRPr="00AE3A60">
        <w:rPr>
          <w:lang w:val="fr-CA"/>
        </w:rPr>
        <w:tab/>
      </w:r>
      <w:r w:rsidRPr="00553A67">
        <w:rPr>
          <w:i/>
          <w:lang w:val="fr-CA"/>
        </w:rPr>
        <w:t xml:space="preserve">Procureur de l’intimée : </w:t>
      </w:r>
      <w:r w:rsidRPr="00553A67">
        <w:rPr>
          <w:bCs/>
          <w:i/>
          <w:iCs/>
          <w:lang w:val="fr-CA"/>
        </w:rPr>
        <w:t>Directeur des poursuites criminelles et pénales, Longueuil</w:t>
      </w:r>
      <w:r w:rsidRPr="00553A67">
        <w:rPr>
          <w:i/>
          <w:lang w:val="fr-CA"/>
        </w:rPr>
        <w:t>.</w:t>
      </w:r>
    </w:p>
    <w:sectPr w:rsidR="00A9064E" w:rsidRPr="00553A67"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B0" w:rsidRDefault="00F067B0">
      <w:r>
        <w:separator/>
      </w:r>
    </w:p>
  </w:endnote>
  <w:endnote w:type="continuationSeparator" w:id="0">
    <w:p w:rsidR="00F067B0" w:rsidRDefault="00F0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B0" w:rsidRDefault="00F067B0">
      <w:r>
        <w:separator/>
      </w:r>
    </w:p>
  </w:footnote>
  <w:footnote w:type="continuationSeparator" w:id="0">
    <w:p w:rsidR="00F067B0" w:rsidRDefault="00F06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40D1B"/>
    <w:rsid w:val="00041BDD"/>
    <w:rsid w:val="000578A3"/>
    <w:rsid w:val="000648CC"/>
    <w:rsid w:val="00076E46"/>
    <w:rsid w:val="00094FED"/>
    <w:rsid w:val="000B34E8"/>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21008"/>
    <w:rsid w:val="00134F55"/>
    <w:rsid w:val="00135406"/>
    <w:rsid w:val="00135972"/>
    <w:rsid w:val="00136268"/>
    <w:rsid w:val="00137E61"/>
    <w:rsid w:val="001426A9"/>
    <w:rsid w:val="00142D29"/>
    <w:rsid w:val="0014546A"/>
    <w:rsid w:val="00154563"/>
    <w:rsid w:val="00154D7C"/>
    <w:rsid w:val="001570B0"/>
    <w:rsid w:val="0015752C"/>
    <w:rsid w:val="00157737"/>
    <w:rsid w:val="00165277"/>
    <w:rsid w:val="001677C1"/>
    <w:rsid w:val="00170592"/>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407"/>
    <w:rsid w:val="00231F3A"/>
    <w:rsid w:val="00234199"/>
    <w:rsid w:val="00236389"/>
    <w:rsid w:val="00237AFE"/>
    <w:rsid w:val="002406EE"/>
    <w:rsid w:val="00243EC8"/>
    <w:rsid w:val="00254F60"/>
    <w:rsid w:val="0026412B"/>
    <w:rsid w:val="00264B77"/>
    <w:rsid w:val="00270D93"/>
    <w:rsid w:val="002745CC"/>
    <w:rsid w:val="002909F6"/>
    <w:rsid w:val="0029178F"/>
    <w:rsid w:val="002B7924"/>
    <w:rsid w:val="002B7ABA"/>
    <w:rsid w:val="002D2226"/>
    <w:rsid w:val="002D28C3"/>
    <w:rsid w:val="002D294E"/>
    <w:rsid w:val="002D3505"/>
    <w:rsid w:val="002D39A4"/>
    <w:rsid w:val="002E2A70"/>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3EF2"/>
    <w:rsid w:val="00355C66"/>
    <w:rsid w:val="00362ADA"/>
    <w:rsid w:val="00364B18"/>
    <w:rsid w:val="0037312D"/>
    <w:rsid w:val="00381C49"/>
    <w:rsid w:val="00396BF3"/>
    <w:rsid w:val="003A125D"/>
    <w:rsid w:val="003A4C70"/>
    <w:rsid w:val="003B215F"/>
    <w:rsid w:val="003C2CFF"/>
    <w:rsid w:val="003C799C"/>
    <w:rsid w:val="003D0399"/>
    <w:rsid w:val="003E1C71"/>
    <w:rsid w:val="003E2693"/>
    <w:rsid w:val="003E2AD3"/>
    <w:rsid w:val="003E53AC"/>
    <w:rsid w:val="003F327B"/>
    <w:rsid w:val="003F7ACB"/>
    <w:rsid w:val="00400B24"/>
    <w:rsid w:val="00404D28"/>
    <w:rsid w:val="00406166"/>
    <w:rsid w:val="0040704B"/>
    <w:rsid w:val="00407839"/>
    <w:rsid w:val="00410003"/>
    <w:rsid w:val="00410A55"/>
    <w:rsid w:val="00411300"/>
    <w:rsid w:val="00415417"/>
    <w:rsid w:val="004174A0"/>
    <w:rsid w:val="00424FE1"/>
    <w:rsid w:val="00426659"/>
    <w:rsid w:val="00426D16"/>
    <w:rsid w:val="00450352"/>
    <w:rsid w:val="00454BDB"/>
    <w:rsid w:val="00456FFF"/>
    <w:rsid w:val="0046317A"/>
    <w:rsid w:val="00463A7A"/>
    <w:rsid w:val="00464800"/>
    <w:rsid w:val="00464BF6"/>
    <w:rsid w:val="00465132"/>
    <w:rsid w:val="00465EF1"/>
    <w:rsid w:val="004707F9"/>
    <w:rsid w:val="00470DB3"/>
    <w:rsid w:val="0047411A"/>
    <w:rsid w:val="00480C90"/>
    <w:rsid w:val="0048396F"/>
    <w:rsid w:val="00486C55"/>
    <w:rsid w:val="00493C18"/>
    <w:rsid w:val="00495D96"/>
    <w:rsid w:val="004A600C"/>
    <w:rsid w:val="004A6118"/>
    <w:rsid w:val="004C2314"/>
    <w:rsid w:val="004C25EE"/>
    <w:rsid w:val="004C478D"/>
    <w:rsid w:val="004D4FEC"/>
    <w:rsid w:val="004E0D6A"/>
    <w:rsid w:val="004E2C26"/>
    <w:rsid w:val="004E61A7"/>
    <w:rsid w:val="004F36FF"/>
    <w:rsid w:val="00506A78"/>
    <w:rsid w:val="005125A8"/>
    <w:rsid w:val="00516DED"/>
    <w:rsid w:val="00517BC7"/>
    <w:rsid w:val="00521AE8"/>
    <w:rsid w:val="00524449"/>
    <w:rsid w:val="00527180"/>
    <w:rsid w:val="005341CE"/>
    <w:rsid w:val="00534AB2"/>
    <w:rsid w:val="0054201E"/>
    <w:rsid w:val="00547FB8"/>
    <w:rsid w:val="005541DB"/>
    <w:rsid w:val="00555291"/>
    <w:rsid w:val="0056265A"/>
    <w:rsid w:val="00566AD1"/>
    <w:rsid w:val="0057257D"/>
    <w:rsid w:val="00575FF2"/>
    <w:rsid w:val="00583EDE"/>
    <w:rsid w:val="00586928"/>
    <w:rsid w:val="005966EF"/>
    <w:rsid w:val="005A4F85"/>
    <w:rsid w:val="005A6079"/>
    <w:rsid w:val="005C7840"/>
    <w:rsid w:val="005E4698"/>
    <w:rsid w:val="006003EE"/>
    <w:rsid w:val="006055B2"/>
    <w:rsid w:val="00610539"/>
    <w:rsid w:val="00613969"/>
    <w:rsid w:val="0061523C"/>
    <w:rsid w:val="00617208"/>
    <w:rsid w:val="00625C35"/>
    <w:rsid w:val="00626A7D"/>
    <w:rsid w:val="0062787A"/>
    <w:rsid w:val="00635521"/>
    <w:rsid w:val="006468AB"/>
    <w:rsid w:val="00656313"/>
    <w:rsid w:val="006565F4"/>
    <w:rsid w:val="0066108F"/>
    <w:rsid w:val="00666098"/>
    <w:rsid w:val="006763FD"/>
    <w:rsid w:val="00684EEA"/>
    <w:rsid w:val="006908E8"/>
    <w:rsid w:val="0069689B"/>
    <w:rsid w:val="006A1551"/>
    <w:rsid w:val="006A48DB"/>
    <w:rsid w:val="006B5FF5"/>
    <w:rsid w:val="006B7683"/>
    <w:rsid w:val="006D4200"/>
    <w:rsid w:val="006D65A1"/>
    <w:rsid w:val="006F30AF"/>
    <w:rsid w:val="006F7FA0"/>
    <w:rsid w:val="007009A0"/>
    <w:rsid w:val="00701759"/>
    <w:rsid w:val="00701CF2"/>
    <w:rsid w:val="00705C15"/>
    <w:rsid w:val="00712E55"/>
    <w:rsid w:val="00713025"/>
    <w:rsid w:val="00714103"/>
    <w:rsid w:val="007154A1"/>
    <w:rsid w:val="0071600E"/>
    <w:rsid w:val="007162FD"/>
    <w:rsid w:val="00717FDC"/>
    <w:rsid w:val="007208D1"/>
    <w:rsid w:val="0072428C"/>
    <w:rsid w:val="0072436C"/>
    <w:rsid w:val="00730177"/>
    <w:rsid w:val="00742119"/>
    <w:rsid w:val="00744F09"/>
    <w:rsid w:val="00747288"/>
    <w:rsid w:val="00747DD3"/>
    <w:rsid w:val="007549C8"/>
    <w:rsid w:val="00754A0B"/>
    <w:rsid w:val="00766D14"/>
    <w:rsid w:val="00767A0F"/>
    <w:rsid w:val="00775C3E"/>
    <w:rsid w:val="00796207"/>
    <w:rsid w:val="007A05F6"/>
    <w:rsid w:val="007B1289"/>
    <w:rsid w:val="007B3D74"/>
    <w:rsid w:val="007B6F4A"/>
    <w:rsid w:val="007C21EC"/>
    <w:rsid w:val="007D097E"/>
    <w:rsid w:val="007E1C47"/>
    <w:rsid w:val="007E337A"/>
    <w:rsid w:val="007E5C70"/>
    <w:rsid w:val="007F2FF5"/>
    <w:rsid w:val="007F3F08"/>
    <w:rsid w:val="00804CC6"/>
    <w:rsid w:val="00813B48"/>
    <w:rsid w:val="00817190"/>
    <w:rsid w:val="00820223"/>
    <w:rsid w:val="00820EE5"/>
    <w:rsid w:val="008244E9"/>
    <w:rsid w:val="008260E2"/>
    <w:rsid w:val="008322BD"/>
    <w:rsid w:val="008323C4"/>
    <w:rsid w:val="00833E0A"/>
    <w:rsid w:val="00834F73"/>
    <w:rsid w:val="00847F55"/>
    <w:rsid w:val="008544FA"/>
    <w:rsid w:val="00864CF8"/>
    <w:rsid w:val="00872819"/>
    <w:rsid w:val="00874914"/>
    <w:rsid w:val="00883F8A"/>
    <w:rsid w:val="00891422"/>
    <w:rsid w:val="00892E1A"/>
    <w:rsid w:val="008A3F29"/>
    <w:rsid w:val="008B660A"/>
    <w:rsid w:val="008B70F9"/>
    <w:rsid w:val="008C01DA"/>
    <w:rsid w:val="008C02C9"/>
    <w:rsid w:val="008C7263"/>
    <w:rsid w:val="008D2104"/>
    <w:rsid w:val="008E18E5"/>
    <w:rsid w:val="008E3C2D"/>
    <w:rsid w:val="008F78E9"/>
    <w:rsid w:val="00903C32"/>
    <w:rsid w:val="00911989"/>
    <w:rsid w:val="009179F9"/>
    <w:rsid w:val="0093031F"/>
    <w:rsid w:val="00931C1C"/>
    <w:rsid w:val="00933E5E"/>
    <w:rsid w:val="00935218"/>
    <w:rsid w:val="009403F3"/>
    <w:rsid w:val="009555B7"/>
    <w:rsid w:val="009567AA"/>
    <w:rsid w:val="0096473A"/>
    <w:rsid w:val="00967374"/>
    <w:rsid w:val="00976EB5"/>
    <w:rsid w:val="00981B4D"/>
    <w:rsid w:val="00982D32"/>
    <w:rsid w:val="00983AF6"/>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46FB0"/>
    <w:rsid w:val="00A52AFB"/>
    <w:rsid w:val="00A548CB"/>
    <w:rsid w:val="00A5521C"/>
    <w:rsid w:val="00A557A1"/>
    <w:rsid w:val="00A55CEF"/>
    <w:rsid w:val="00A643E7"/>
    <w:rsid w:val="00A73C38"/>
    <w:rsid w:val="00A9064E"/>
    <w:rsid w:val="00A9085B"/>
    <w:rsid w:val="00AB59C4"/>
    <w:rsid w:val="00AB670D"/>
    <w:rsid w:val="00AC6FA4"/>
    <w:rsid w:val="00AD2826"/>
    <w:rsid w:val="00AD342F"/>
    <w:rsid w:val="00AE25FE"/>
    <w:rsid w:val="00AE4535"/>
    <w:rsid w:val="00AF03C5"/>
    <w:rsid w:val="00AF0B26"/>
    <w:rsid w:val="00AF4773"/>
    <w:rsid w:val="00AF49CC"/>
    <w:rsid w:val="00B000D8"/>
    <w:rsid w:val="00B00F75"/>
    <w:rsid w:val="00B11735"/>
    <w:rsid w:val="00B1431F"/>
    <w:rsid w:val="00B145B6"/>
    <w:rsid w:val="00B2215E"/>
    <w:rsid w:val="00B279EB"/>
    <w:rsid w:val="00B30E18"/>
    <w:rsid w:val="00B32357"/>
    <w:rsid w:val="00B41805"/>
    <w:rsid w:val="00B43559"/>
    <w:rsid w:val="00B50C81"/>
    <w:rsid w:val="00B557F8"/>
    <w:rsid w:val="00B56AAF"/>
    <w:rsid w:val="00B67199"/>
    <w:rsid w:val="00B815FC"/>
    <w:rsid w:val="00B838B8"/>
    <w:rsid w:val="00B93FBC"/>
    <w:rsid w:val="00BA066D"/>
    <w:rsid w:val="00BA7DA0"/>
    <w:rsid w:val="00BB2366"/>
    <w:rsid w:val="00BB2EE4"/>
    <w:rsid w:val="00BB5AE6"/>
    <w:rsid w:val="00BC2108"/>
    <w:rsid w:val="00BC5642"/>
    <w:rsid w:val="00BD0E9E"/>
    <w:rsid w:val="00BD1BEC"/>
    <w:rsid w:val="00BD32FF"/>
    <w:rsid w:val="00BD67ED"/>
    <w:rsid w:val="00BE7206"/>
    <w:rsid w:val="00C02092"/>
    <w:rsid w:val="00C22905"/>
    <w:rsid w:val="00C229CD"/>
    <w:rsid w:val="00C24D91"/>
    <w:rsid w:val="00C31D39"/>
    <w:rsid w:val="00C45215"/>
    <w:rsid w:val="00C53F14"/>
    <w:rsid w:val="00C600CF"/>
    <w:rsid w:val="00C6084F"/>
    <w:rsid w:val="00C62A66"/>
    <w:rsid w:val="00C62FD6"/>
    <w:rsid w:val="00C71458"/>
    <w:rsid w:val="00C77613"/>
    <w:rsid w:val="00C828E7"/>
    <w:rsid w:val="00C86719"/>
    <w:rsid w:val="00C921DD"/>
    <w:rsid w:val="00CA2AF7"/>
    <w:rsid w:val="00CA6391"/>
    <w:rsid w:val="00CA7B39"/>
    <w:rsid w:val="00CB5B04"/>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8628D"/>
    <w:rsid w:val="00D90B9E"/>
    <w:rsid w:val="00D91A89"/>
    <w:rsid w:val="00D95F8E"/>
    <w:rsid w:val="00DA0590"/>
    <w:rsid w:val="00DB342C"/>
    <w:rsid w:val="00DB7BEA"/>
    <w:rsid w:val="00DC1739"/>
    <w:rsid w:val="00DC1788"/>
    <w:rsid w:val="00DC2F37"/>
    <w:rsid w:val="00DD105B"/>
    <w:rsid w:val="00DE319C"/>
    <w:rsid w:val="00DE54B0"/>
    <w:rsid w:val="00DF0CA8"/>
    <w:rsid w:val="00DF2B48"/>
    <w:rsid w:val="00DF49A7"/>
    <w:rsid w:val="00E07EE2"/>
    <w:rsid w:val="00E07FD1"/>
    <w:rsid w:val="00E10A5C"/>
    <w:rsid w:val="00E176D8"/>
    <w:rsid w:val="00E24573"/>
    <w:rsid w:val="00E25E1E"/>
    <w:rsid w:val="00E27EE7"/>
    <w:rsid w:val="00E31D67"/>
    <w:rsid w:val="00E3214F"/>
    <w:rsid w:val="00E333F9"/>
    <w:rsid w:val="00E35404"/>
    <w:rsid w:val="00E45109"/>
    <w:rsid w:val="00E47B7A"/>
    <w:rsid w:val="00E5476E"/>
    <w:rsid w:val="00E56A44"/>
    <w:rsid w:val="00E60269"/>
    <w:rsid w:val="00E653D0"/>
    <w:rsid w:val="00E65A2E"/>
    <w:rsid w:val="00E71951"/>
    <w:rsid w:val="00E77932"/>
    <w:rsid w:val="00E83FDA"/>
    <w:rsid w:val="00E92347"/>
    <w:rsid w:val="00E97830"/>
    <w:rsid w:val="00EA1D3B"/>
    <w:rsid w:val="00EB0D87"/>
    <w:rsid w:val="00ED681A"/>
    <w:rsid w:val="00ED6CB3"/>
    <w:rsid w:val="00EE0B3C"/>
    <w:rsid w:val="00EE5737"/>
    <w:rsid w:val="00EE643C"/>
    <w:rsid w:val="00EF0683"/>
    <w:rsid w:val="00EF689B"/>
    <w:rsid w:val="00EF69D2"/>
    <w:rsid w:val="00EF766E"/>
    <w:rsid w:val="00F0070C"/>
    <w:rsid w:val="00F00EB7"/>
    <w:rsid w:val="00F03D8E"/>
    <w:rsid w:val="00F067B0"/>
    <w:rsid w:val="00F36AB6"/>
    <w:rsid w:val="00F37A09"/>
    <w:rsid w:val="00F409CE"/>
    <w:rsid w:val="00F4379D"/>
    <w:rsid w:val="00F43876"/>
    <w:rsid w:val="00F50635"/>
    <w:rsid w:val="00F50D2D"/>
    <w:rsid w:val="00F56C8B"/>
    <w:rsid w:val="00F66810"/>
    <w:rsid w:val="00F846D9"/>
    <w:rsid w:val="00F84DF4"/>
    <w:rsid w:val="00F85C97"/>
    <w:rsid w:val="00F94A57"/>
    <w:rsid w:val="00FA51A0"/>
    <w:rsid w:val="00FB010F"/>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Prefix">
    <w:name w:val="SCC.Lsoc.Prefix"/>
    <w:basedOn w:val="Normal"/>
    <w:next w:val="Normal"/>
    <w:link w:val="SCCLsocPrefixChar"/>
    <w:rsid w:val="00ED6CB3"/>
    <w:rPr>
      <w:rFonts w:eastAsiaTheme="minorHAnsi" w:cstheme="minorBidi"/>
      <w:b/>
      <w:szCs w:val="22"/>
      <w:lang w:val="fr-CA" w:eastAsia="en-US"/>
    </w:rPr>
  </w:style>
  <w:style w:type="character" w:customStyle="1" w:styleId="SCCLsocPrefixChar">
    <w:name w:val="SCC.Lsoc.Prefix Char"/>
    <w:basedOn w:val="DefaultParagraphFont"/>
    <w:link w:val="SCCLsocPrefix"/>
    <w:rsid w:val="00ED6CB3"/>
    <w:rPr>
      <w:rFonts w:eastAsiaTheme="minorHAnsi" w:cstheme="minorBidi"/>
      <w:b/>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2552">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6236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892A-8ECE-4C26-B7BE-65C2FAE1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2021-04-21T19:55:00Z</dcterms:created>
  <dcterms:modified xsi:type="dcterms:W3CDTF">2024-02-18T15:34:00Z</dcterms:modified>
</cp:coreProperties>
</file>