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50"/>
        <w:gridCol w:w="1983"/>
        <w:gridCol w:w="3847"/>
        <w:gridCol w:w="6"/>
      </w:tblGrid>
      <w:tr w:rsidR="000D2473" w:rsidTr="000D2473">
        <w:trPr>
          <w:gridAfter w:val="1"/>
          <w:wAfter w:w="3" w:type="pct"/>
          <w:trHeight w:val="1786"/>
        </w:trPr>
        <w:tc>
          <w:tcPr>
            <w:tcW w:w="4997" w:type="pct"/>
            <w:gridSpan w:val="3"/>
            <w:hideMark/>
          </w:tcPr>
          <w:p w:rsidR="000D2473" w:rsidRDefault="000D2473">
            <w:pPr>
              <w:jc w:val="center"/>
            </w:pPr>
            <w:r>
              <w:rPr>
                <w:noProof/>
                <w:lang w:val="fr-CA" w:eastAsia="fr-CA"/>
              </w:rPr>
              <w:drawing>
                <wp:inline distT="0" distB="0" distL="0" distR="0">
                  <wp:extent cx="1188720" cy="1638300"/>
                  <wp:effectExtent l="0" t="0" r="0"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rsidR="000D2473" w:rsidRDefault="000D2473">
            <w:pPr>
              <w:spacing w:before="120" w:after="100" w:afterAutospacing="1"/>
              <w:jc w:val="center"/>
              <w:rPr>
                <w:rFonts w:eastAsia="Calibri"/>
              </w:rPr>
            </w:pPr>
            <w:proofErr w:type="spellStart"/>
            <w:r>
              <w:rPr>
                <w:rFonts w:eastAsia="Calibri"/>
                <w:b/>
                <w:szCs w:val="24"/>
                <w:lang w:eastAsia="en-US"/>
              </w:rPr>
              <w:t>COUR</w:t>
            </w:r>
            <w:proofErr w:type="spellEnd"/>
            <w:r>
              <w:rPr>
                <w:rFonts w:eastAsia="Calibri"/>
                <w:b/>
                <w:szCs w:val="24"/>
                <w:lang w:eastAsia="en-US"/>
              </w:rPr>
              <w:t xml:space="preserve"> </w:t>
            </w:r>
            <w:proofErr w:type="spellStart"/>
            <w:r>
              <w:rPr>
                <w:rFonts w:eastAsia="Calibri"/>
                <w:b/>
                <w:szCs w:val="24"/>
                <w:lang w:eastAsia="en-US"/>
              </w:rPr>
              <w:t>SUPRÊME</w:t>
            </w:r>
            <w:proofErr w:type="spellEnd"/>
            <w:r>
              <w:rPr>
                <w:rFonts w:eastAsia="Calibri"/>
                <w:b/>
                <w:szCs w:val="24"/>
                <w:lang w:eastAsia="en-US"/>
              </w:rPr>
              <w:t xml:space="preserve"> DU CANADA</w:t>
            </w:r>
          </w:p>
        </w:tc>
      </w:tr>
      <w:tr w:rsidR="000D2473" w:rsidTr="000D2473">
        <w:tc>
          <w:tcPr>
            <w:tcW w:w="2107" w:type="pct"/>
            <w:tcMar>
              <w:top w:w="284" w:type="dxa"/>
              <w:left w:w="57" w:type="dxa"/>
              <w:bottom w:w="57" w:type="dxa"/>
              <w:right w:w="57" w:type="dxa"/>
            </w:tcMar>
            <w:hideMark/>
          </w:tcPr>
          <w:p w:rsidR="000D2473" w:rsidRDefault="000D2473">
            <w:pPr>
              <w:spacing w:before="100" w:beforeAutospacing="1"/>
              <w:rPr>
                <w:rFonts w:eastAsia="Calibri"/>
                <w:lang w:val="fr-CA"/>
              </w:rPr>
            </w:pPr>
            <w:r>
              <w:rPr>
                <w:b/>
                <w:smallCaps/>
                <w:lang w:val="fr-CA"/>
              </w:rPr>
              <w:t>Référence :</w:t>
            </w:r>
            <w:r>
              <w:rPr>
                <w:lang w:val="fr-CA"/>
              </w:rPr>
              <w:t xml:space="preserve"> R. </w:t>
            </w:r>
            <w:r>
              <w:rPr>
                <w:i/>
                <w:lang w:val="fr-CA"/>
              </w:rPr>
              <w:t>c.</w:t>
            </w:r>
            <w:r>
              <w:rPr>
                <w:lang w:val="fr-CA"/>
              </w:rPr>
              <w:t xml:space="preserve"> Smith, 2021 CSC 16</w:t>
            </w:r>
            <w:r>
              <w:rPr>
                <w:lang w:val="fr-CA"/>
              </w:rPr>
              <w:t xml:space="preserve">, [2021] 1 </w:t>
            </w:r>
            <w:proofErr w:type="spellStart"/>
            <w:r>
              <w:rPr>
                <w:lang w:val="fr-CA"/>
              </w:rPr>
              <w:t>R.C.S</w:t>
            </w:r>
            <w:proofErr w:type="spellEnd"/>
            <w:r>
              <w:rPr>
                <w:lang w:val="fr-CA"/>
              </w:rPr>
              <w:t>. 530</w:t>
            </w:r>
            <w:bookmarkStart w:id="0" w:name="_GoBack"/>
            <w:bookmarkEnd w:id="0"/>
          </w:p>
        </w:tc>
        <w:tc>
          <w:tcPr>
            <w:tcW w:w="983" w:type="pct"/>
          </w:tcPr>
          <w:p w:rsidR="000D2473" w:rsidRDefault="000D2473">
            <w:pPr>
              <w:rPr>
                <w:b/>
                <w:smallCaps/>
                <w:lang w:val="fr-CA"/>
              </w:rPr>
            </w:pPr>
          </w:p>
        </w:tc>
        <w:tc>
          <w:tcPr>
            <w:tcW w:w="1910" w:type="pct"/>
            <w:gridSpan w:val="2"/>
            <w:tcMar>
              <w:top w:w="284" w:type="dxa"/>
              <w:left w:w="57" w:type="dxa"/>
              <w:bottom w:w="57" w:type="dxa"/>
              <w:right w:w="57" w:type="dxa"/>
            </w:tcMar>
            <w:hideMark/>
          </w:tcPr>
          <w:p w:rsidR="000D2473" w:rsidRDefault="000D2473">
            <w:pPr>
              <w:rPr>
                <w:lang w:val="fr-CA"/>
              </w:rPr>
            </w:pPr>
            <w:r>
              <w:rPr>
                <w:b/>
                <w:smallCaps/>
                <w:lang w:val="fr-CA"/>
              </w:rPr>
              <w:t>Appel entendu :</w:t>
            </w:r>
            <w:r>
              <w:rPr>
                <w:lang w:val="fr-CA"/>
              </w:rPr>
              <w:t xml:space="preserve"> 22 avril 2021</w:t>
            </w:r>
          </w:p>
          <w:p w:rsidR="000D2473" w:rsidRDefault="000D2473">
            <w:pPr>
              <w:rPr>
                <w:b/>
                <w:smallCaps/>
                <w:lang w:val="fr-CA"/>
              </w:rPr>
            </w:pPr>
            <w:r>
              <w:rPr>
                <w:b/>
                <w:smallCaps/>
                <w:lang w:val="fr-CA"/>
              </w:rPr>
              <w:t xml:space="preserve">Jugement rendu : </w:t>
            </w:r>
            <w:r>
              <w:rPr>
                <w:lang w:val="fr-CA"/>
              </w:rPr>
              <w:t>22 avril 2021</w:t>
            </w:r>
          </w:p>
          <w:p w:rsidR="000D2473" w:rsidRDefault="000D2473">
            <w:pPr>
              <w:rPr>
                <w:rFonts w:eastAsia="Calibri"/>
                <w:lang w:val="fr-CA"/>
              </w:rPr>
            </w:pPr>
            <w:r>
              <w:rPr>
                <w:b/>
                <w:smallCaps/>
                <w:lang w:val="fr-CA"/>
              </w:rPr>
              <w:t>Dossier :</w:t>
            </w:r>
            <w:r>
              <w:rPr>
                <w:lang w:val="fr-CA"/>
              </w:rPr>
              <w:t xml:space="preserve"> 39401</w:t>
            </w:r>
          </w:p>
        </w:tc>
      </w:tr>
      <w:tr w:rsidR="000D2473" w:rsidTr="000D2473">
        <w:trPr>
          <w:gridAfter w:val="1"/>
          <w:wAfter w:w="3" w:type="pct"/>
        </w:trPr>
        <w:tc>
          <w:tcPr>
            <w:tcW w:w="4997" w:type="pct"/>
            <w:gridSpan w:val="3"/>
          </w:tcPr>
          <w:p w:rsidR="000D2473" w:rsidRDefault="000D2473">
            <w:pPr>
              <w:rPr>
                <w:rFonts w:eastAsiaTheme="minorHAnsi" w:cstheme="minorBidi"/>
                <w:b/>
                <w:smallCaps/>
                <w:szCs w:val="24"/>
                <w:lang w:val="fr-CA" w:eastAsia="en-US"/>
              </w:rPr>
            </w:pPr>
          </w:p>
          <w:p w:rsidR="000D2473" w:rsidRDefault="000D2473">
            <w:pPr>
              <w:rPr>
                <w:rFonts w:eastAsiaTheme="minorHAnsi" w:cstheme="minorBidi"/>
                <w:b/>
                <w:smallCaps/>
                <w:szCs w:val="24"/>
                <w:lang w:val="fr-CA" w:eastAsia="en-US"/>
              </w:rPr>
            </w:pPr>
            <w:r>
              <w:rPr>
                <w:rFonts w:eastAsiaTheme="minorHAnsi" w:cstheme="minorBidi"/>
                <w:b/>
                <w:smallCaps/>
                <w:szCs w:val="24"/>
                <w:lang w:val="fr-CA" w:eastAsia="en-US"/>
              </w:rPr>
              <w:t>Entre :</w:t>
            </w:r>
          </w:p>
          <w:p w:rsidR="000D2473" w:rsidRDefault="000D2473">
            <w:pPr>
              <w:rPr>
                <w:rFonts w:eastAsiaTheme="minorHAnsi" w:cstheme="minorBidi"/>
                <w:b/>
                <w:smallCaps/>
                <w:szCs w:val="24"/>
                <w:lang w:val="fr-CA" w:eastAsia="en-US"/>
              </w:rPr>
            </w:pPr>
          </w:p>
          <w:p w:rsidR="000D2473" w:rsidRDefault="000D2473">
            <w:pPr>
              <w:jc w:val="center"/>
              <w:rPr>
                <w:rFonts w:eastAsiaTheme="minorHAnsi" w:cstheme="minorBidi"/>
                <w:b/>
                <w:szCs w:val="24"/>
                <w:lang w:val="fr-CA" w:eastAsia="en-US"/>
              </w:rPr>
            </w:pPr>
            <w:r>
              <w:rPr>
                <w:rFonts w:eastAsiaTheme="minorHAnsi" w:cstheme="minorBidi"/>
                <w:b/>
                <w:szCs w:val="24"/>
                <w:lang w:val="fr-CA" w:eastAsia="en-US"/>
              </w:rPr>
              <w:t>Sa Majesté la Reine</w:t>
            </w:r>
          </w:p>
          <w:p w:rsidR="000D2473" w:rsidRDefault="000D2473">
            <w:pPr>
              <w:jc w:val="center"/>
              <w:rPr>
                <w:rFonts w:eastAsiaTheme="minorHAnsi" w:cstheme="minorBidi"/>
                <w:szCs w:val="24"/>
                <w:lang w:val="fr-CA" w:eastAsia="en-US"/>
              </w:rPr>
            </w:pPr>
            <w:r>
              <w:rPr>
                <w:rFonts w:eastAsiaTheme="minorHAnsi" w:cstheme="minorBidi"/>
                <w:szCs w:val="24"/>
                <w:lang w:val="fr-CA" w:eastAsia="en-US"/>
              </w:rPr>
              <w:t>Appelante</w:t>
            </w:r>
          </w:p>
          <w:p w:rsidR="000D2473" w:rsidRDefault="000D2473">
            <w:pPr>
              <w:jc w:val="center"/>
              <w:rPr>
                <w:rFonts w:eastAsiaTheme="minorHAnsi" w:cstheme="minorBidi"/>
                <w:szCs w:val="24"/>
                <w:lang w:val="fr-CA" w:eastAsia="en-US"/>
              </w:rPr>
            </w:pPr>
          </w:p>
          <w:p w:rsidR="000D2473" w:rsidRDefault="000D2473">
            <w:pPr>
              <w:jc w:val="center"/>
              <w:rPr>
                <w:rFonts w:eastAsiaTheme="minorHAnsi" w:cstheme="minorBidi"/>
                <w:szCs w:val="24"/>
                <w:lang w:val="fr-CA" w:eastAsia="en-US"/>
              </w:rPr>
            </w:pPr>
            <w:r>
              <w:rPr>
                <w:rFonts w:eastAsiaTheme="minorHAnsi" w:cstheme="minorBidi"/>
                <w:szCs w:val="24"/>
                <w:lang w:val="fr-CA" w:eastAsia="en-US"/>
              </w:rPr>
              <w:t>et</w:t>
            </w:r>
          </w:p>
          <w:p w:rsidR="000D2473" w:rsidRDefault="000D2473">
            <w:pPr>
              <w:jc w:val="center"/>
              <w:rPr>
                <w:rFonts w:eastAsiaTheme="minorHAnsi" w:cstheme="minorBidi"/>
                <w:szCs w:val="24"/>
                <w:lang w:val="fr-CA" w:eastAsia="en-US"/>
              </w:rPr>
            </w:pPr>
          </w:p>
          <w:p w:rsidR="000D2473" w:rsidRDefault="000D2473">
            <w:pPr>
              <w:jc w:val="center"/>
              <w:rPr>
                <w:rFonts w:eastAsiaTheme="minorHAnsi" w:cstheme="minorBidi"/>
                <w:b/>
                <w:szCs w:val="24"/>
                <w:lang w:val="fr-CA" w:eastAsia="en-US"/>
              </w:rPr>
            </w:pPr>
            <w:r>
              <w:rPr>
                <w:rFonts w:eastAsiaTheme="minorHAnsi" w:cstheme="minorBidi"/>
                <w:b/>
                <w:szCs w:val="24"/>
                <w:lang w:val="fr-CA" w:eastAsia="en-US"/>
              </w:rPr>
              <w:t>Mark Anthony Smith</w:t>
            </w:r>
          </w:p>
          <w:p w:rsidR="000D2473" w:rsidRDefault="000D2473">
            <w:pPr>
              <w:jc w:val="center"/>
              <w:rPr>
                <w:rFonts w:eastAsiaTheme="minorHAnsi" w:cstheme="minorBidi"/>
                <w:szCs w:val="24"/>
                <w:lang w:val="fr-CA" w:eastAsia="en-US"/>
              </w:rPr>
            </w:pPr>
            <w:r>
              <w:rPr>
                <w:rFonts w:eastAsiaTheme="minorHAnsi" w:cstheme="minorBidi"/>
                <w:szCs w:val="24"/>
                <w:lang w:val="fr-CA" w:eastAsia="en-US"/>
              </w:rPr>
              <w:t>Intimé</w:t>
            </w:r>
          </w:p>
          <w:p w:rsidR="000D2473" w:rsidRDefault="000D2473">
            <w:pPr>
              <w:jc w:val="center"/>
              <w:rPr>
                <w:rFonts w:eastAsiaTheme="minorHAnsi" w:cstheme="minorBidi"/>
                <w:szCs w:val="24"/>
                <w:lang w:val="fr-CA" w:eastAsia="en-US"/>
              </w:rPr>
            </w:pPr>
          </w:p>
          <w:p w:rsidR="000D2473" w:rsidRDefault="000D2473">
            <w:pPr>
              <w:rPr>
                <w:rFonts w:eastAsiaTheme="minorHAnsi" w:cstheme="minorBidi"/>
                <w:szCs w:val="24"/>
                <w:lang w:val="fr-CA" w:eastAsia="en-US"/>
              </w:rPr>
            </w:pPr>
          </w:p>
          <w:p w:rsidR="000D2473" w:rsidRDefault="000D2473">
            <w:pPr>
              <w:jc w:val="center"/>
              <w:rPr>
                <w:rFonts w:eastAsiaTheme="minorHAnsi" w:cstheme="minorBidi"/>
                <w:b/>
                <w:smallCaps/>
                <w:szCs w:val="24"/>
                <w:lang w:val="fr-CA" w:eastAsia="en-US"/>
              </w:rPr>
            </w:pPr>
            <w:r>
              <w:rPr>
                <w:rFonts w:eastAsiaTheme="minorHAnsi" w:cstheme="minorBidi"/>
                <w:b/>
                <w:smallCaps/>
                <w:szCs w:val="24"/>
                <w:lang w:val="fr-CA" w:eastAsia="en-US"/>
              </w:rPr>
              <w:t>Traduction française officielle</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126"/>
        <w:gridCol w:w="7940"/>
        <w:gridCol w:w="20"/>
      </w:tblGrid>
      <w:tr w:rsidR="000D2473" w:rsidTr="000D2473">
        <w:trPr>
          <w:cantSplit/>
          <w:trHeight w:val="508"/>
        </w:trPr>
        <w:tc>
          <w:tcPr>
            <w:tcW w:w="5000" w:type="pct"/>
            <w:gridSpan w:val="3"/>
            <w:tcMar>
              <w:top w:w="284" w:type="dxa"/>
              <w:left w:w="58" w:type="dxa"/>
              <w:bottom w:w="57" w:type="dxa"/>
              <w:right w:w="58" w:type="dxa"/>
            </w:tcMar>
            <w:vAlign w:val="center"/>
          </w:tcPr>
          <w:p w:rsidR="000D2473" w:rsidRDefault="000D2473">
            <w:pPr>
              <w:rPr>
                <w:lang w:val="fr-CA"/>
              </w:rPr>
            </w:pPr>
            <w:r>
              <w:rPr>
                <w:b/>
                <w:smallCaps/>
                <w:lang w:val="fr-CA"/>
              </w:rPr>
              <w:t>Coram :</w:t>
            </w:r>
            <w:r>
              <w:rPr>
                <w:lang w:val="fr-CA"/>
              </w:rPr>
              <w:t xml:space="preserve"> Les juges </w:t>
            </w:r>
            <w:proofErr w:type="spellStart"/>
            <w:r>
              <w:rPr>
                <w:lang w:val="fr-CA"/>
              </w:rPr>
              <w:t>Moldaver</w:t>
            </w:r>
            <w:proofErr w:type="spellEnd"/>
            <w:r>
              <w:rPr>
                <w:lang w:val="fr-CA"/>
              </w:rPr>
              <w:t xml:space="preserve">, </w:t>
            </w:r>
            <w:proofErr w:type="spellStart"/>
            <w:r>
              <w:rPr>
                <w:lang w:val="fr-CA"/>
              </w:rPr>
              <w:t>Karakatsanis</w:t>
            </w:r>
            <w:proofErr w:type="spellEnd"/>
            <w:r>
              <w:rPr>
                <w:lang w:val="fr-CA"/>
              </w:rPr>
              <w:t xml:space="preserve">, Brown, Rowe et </w:t>
            </w:r>
            <w:proofErr w:type="spellStart"/>
            <w:r>
              <w:rPr>
                <w:lang w:val="fr-CA"/>
              </w:rPr>
              <w:t>Kasirer</w:t>
            </w:r>
            <w:proofErr w:type="spellEnd"/>
          </w:p>
          <w:p w:rsidR="000D2473" w:rsidRDefault="000D2473">
            <w:pPr>
              <w:rPr>
                <w:lang w:val="fr-CA"/>
              </w:rPr>
            </w:pPr>
          </w:p>
        </w:tc>
      </w:tr>
      <w:tr w:rsidR="000D2473" w:rsidTr="000D2473">
        <w:trPr>
          <w:gridAfter w:val="1"/>
          <w:wAfter w:w="10" w:type="pct"/>
          <w:cantSplit/>
        </w:trPr>
        <w:tc>
          <w:tcPr>
            <w:tcW w:w="1054" w:type="pct"/>
            <w:tcMar>
              <w:top w:w="284" w:type="dxa"/>
              <w:left w:w="58" w:type="dxa"/>
              <w:bottom w:w="57" w:type="dxa"/>
              <w:right w:w="58" w:type="dxa"/>
            </w:tcMar>
            <w:vAlign w:val="center"/>
            <w:hideMark/>
          </w:tcPr>
          <w:p w:rsidR="000D2473" w:rsidRDefault="000D2473">
            <w:pPr>
              <w:rPr>
                <w:b/>
                <w:smallCaps/>
                <w:lang w:val="fr-CA"/>
              </w:rPr>
            </w:pPr>
            <w:r>
              <w:rPr>
                <w:b/>
                <w:smallCaps/>
                <w:lang w:val="fr-CA"/>
              </w:rPr>
              <w:t xml:space="preserve">Jugement unanime lu par : </w:t>
            </w:r>
          </w:p>
          <w:p w:rsidR="000D2473" w:rsidRDefault="000D2473">
            <w:pPr>
              <w:rPr>
                <w:b/>
                <w:smallCaps/>
                <w:lang w:val="fr-CA"/>
              </w:rPr>
            </w:pPr>
            <w:r>
              <w:rPr>
                <w:lang w:val="fr-CA"/>
              </w:rPr>
              <w:t>(par. 1 à 3)</w:t>
            </w:r>
          </w:p>
        </w:tc>
        <w:tc>
          <w:tcPr>
            <w:tcW w:w="3936" w:type="pct"/>
            <w:tcMar>
              <w:top w:w="284" w:type="dxa"/>
              <w:left w:w="58" w:type="dxa"/>
              <w:bottom w:w="58" w:type="dxa"/>
              <w:right w:w="58" w:type="dxa"/>
            </w:tcMar>
            <w:vAlign w:val="center"/>
          </w:tcPr>
          <w:p w:rsidR="000D2473" w:rsidRDefault="000D2473">
            <w:pPr>
              <w:rPr>
                <w:b/>
                <w:smallCaps/>
                <w:lang w:val="fr-CA"/>
              </w:rPr>
            </w:pPr>
            <w:r>
              <w:rPr>
                <w:lang w:val="fr-CA"/>
              </w:rPr>
              <w:t>Le juge Brown</w:t>
            </w:r>
          </w:p>
          <w:p w:rsidR="000D2473" w:rsidRDefault="000D2473">
            <w:pPr>
              <w:rPr>
                <w:b/>
                <w:smallCaps/>
                <w:lang w:val="fr-CA"/>
              </w:rPr>
            </w:pPr>
          </w:p>
        </w:tc>
      </w:tr>
    </w:tbl>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026"/>
        <w:gridCol w:w="4034"/>
        <w:gridCol w:w="3020"/>
        <w:gridCol w:w="6"/>
      </w:tblGrid>
      <w:tr w:rsidR="000D2473" w:rsidTr="000D2473">
        <w:trPr>
          <w:gridAfter w:val="1"/>
          <w:wAfter w:w="6" w:type="dxa"/>
        </w:trPr>
        <w:tc>
          <w:tcPr>
            <w:tcW w:w="10080" w:type="dxa"/>
            <w:gridSpan w:val="3"/>
          </w:tcPr>
          <w:p w:rsidR="000D2473" w:rsidRDefault="000D2473">
            <w:pPr>
              <w:jc w:val="both"/>
              <w:rPr>
                <w:lang w:val="fr-CA"/>
              </w:rPr>
            </w:pPr>
          </w:p>
        </w:tc>
      </w:tr>
      <w:tr w:rsidR="000D2473" w:rsidTr="000D2473">
        <w:tblPrEx>
          <w:tblCellMar>
            <w:top w:w="0" w:type="dxa"/>
            <w:left w:w="108" w:type="dxa"/>
            <w:bottom w:w="0" w:type="dxa"/>
            <w:right w:w="108" w:type="dxa"/>
          </w:tblCellMar>
        </w:tblPrEx>
        <w:tc>
          <w:tcPr>
            <w:tcW w:w="3026" w:type="dxa"/>
            <w:tcMar>
              <w:top w:w="284" w:type="dxa"/>
              <w:left w:w="108" w:type="dxa"/>
              <w:bottom w:w="0" w:type="dxa"/>
              <w:right w:w="108" w:type="dxa"/>
            </w:tcMar>
          </w:tcPr>
          <w:p w:rsidR="000D2473" w:rsidRDefault="000D2473">
            <w:pPr>
              <w:rPr>
                <w:rFonts w:eastAsia="Calibri"/>
                <w:szCs w:val="24"/>
                <w:lang w:val="fr-CA" w:eastAsia="en-US"/>
              </w:rPr>
            </w:pPr>
          </w:p>
        </w:tc>
        <w:tc>
          <w:tcPr>
            <w:tcW w:w="4034" w:type="dxa"/>
            <w:tcBorders>
              <w:top w:val="nil"/>
              <w:left w:val="nil"/>
              <w:bottom w:val="single" w:sz="4" w:space="0" w:color="auto"/>
              <w:right w:val="nil"/>
            </w:tcBorders>
            <w:tcMar>
              <w:top w:w="284" w:type="dxa"/>
              <w:left w:w="108" w:type="dxa"/>
              <w:bottom w:w="0" w:type="dxa"/>
              <w:right w:w="108" w:type="dxa"/>
            </w:tcMar>
          </w:tcPr>
          <w:p w:rsidR="000D2473" w:rsidRDefault="000D2473">
            <w:pPr>
              <w:rPr>
                <w:rFonts w:eastAsia="Calibri"/>
                <w:szCs w:val="24"/>
                <w:lang w:val="fr-CA" w:eastAsia="en-US"/>
              </w:rPr>
            </w:pPr>
          </w:p>
        </w:tc>
        <w:tc>
          <w:tcPr>
            <w:tcW w:w="3026" w:type="dxa"/>
            <w:gridSpan w:val="2"/>
            <w:tcMar>
              <w:top w:w="284" w:type="dxa"/>
              <w:left w:w="108" w:type="dxa"/>
              <w:bottom w:w="0" w:type="dxa"/>
              <w:right w:w="108" w:type="dxa"/>
            </w:tcMar>
          </w:tcPr>
          <w:p w:rsidR="000D2473" w:rsidRDefault="000D2473">
            <w:pPr>
              <w:rPr>
                <w:rFonts w:eastAsia="Calibri"/>
                <w:szCs w:val="24"/>
                <w:lang w:val="fr-CA" w:eastAsia="en-US"/>
              </w:rPr>
            </w:pPr>
          </w:p>
        </w:tc>
      </w:tr>
    </w:tbl>
    <w:p w:rsidR="000D2473" w:rsidRDefault="000D2473" w:rsidP="000D2473">
      <w:pPr>
        <w:rPr>
          <w:rFonts w:eastAsia="Calibri"/>
          <w:szCs w:val="24"/>
          <w:lang w:val="fr-CA" w:eastAsia="en-US"/>
        </w:rPr>
        <w:sectPr w:rsidR="000D2473">
          <w:pgSz w:w="12240" w:h="15840"/>
          <w:pgMar w:top="1134" w:right="1077" w:bottom="1134" w:left="1077" w:header="1803" w:footer="720" w:gutter="0"/>
          <w:cols w:space="720"/>
        </w:sectPr>
      </w:pPr>
    </w:p>
    <w:p w:rsidR="00D01580" w:rsidRPr="00D01580" w:rsidRDefault="00D01580" w:rsidP="00D01580">
      <w:pPr>
        <w:tabs>
          <w:tab w:val="right" w:pos="8222"/>
        </w:tabs>
        <w:spacing w:after="720"/>
        <w:rPr>
          <w:b/>
          <w:lang w:val="fr-CA"/>
        </w:rPr>
      </w:pPr>
      <w:r w:rsidRPr="00D01580">
        <w:rPr>
          <w:b/>
          <w:bCs/>
          <w:lang w:val="fr-CA"/>
        </w:rPr>
        <w:t>Sa Majesté la Reine</w:t>
      </w:r>
      <w:r w:rsidRPr="00D01580">
        <w:rPr>
          <w:i/>
          <w:lang w:val="fr-CA"/>
        </w:rPr>
        <w:tab/>
        <w:t>Appelante</w:t>
      </w:r>
    </w:p>
    <w:p w:rsidR="00D01580" w:rsidRPr="00D01580" w:rsidRDefault="00D01580" w:rsidP="00D01580">
      <w:pPr>
        <w:spacing w:after="720"/>
        <w:rPr>
          <w:i/>
          <w:lang w:val="en-US"/>
        </w:rPr>
      </w:pPr>
      <w:proofErr w:type="gramStart"/>
      <w:r w:rsidRPr="00D01580">
        <w:rPr>
          <w:i/>
          <w:lang w:val="en-US"/>
        </w:rPr>
        <w:t>c</w:t>
      </w:r>
      <w:proofErr w:type="gramEnd"/>
      <w:r w:rsidRPr="00D01580">
        <w:rPr>
          <w:i/>
          <w:lang w:val="en-US"/>
        </w:rPr>
        <w:t>.</w:t>
      </w:r>
    </w:p>
    <w:p w:rsidR="00D01580" w:rsidRPr="00D01580" w:rsidRDefault="00D01580" w:rsidP="00D01580">
      <w:pPr>
        <w:tabs>
          <w:tab w:val="right" w:pos="8222"/>
        </w:tabs>
        <w:spacing w:after="720"/>
        <w:rPr>
          <w:b/>
          <w:lang w:val="en-US"/>
        </w:rPr>
      </w:pPr>
      <w:r w:rsidRPr="00D01580">
        <w:rPr>
          <w:b/>
          <w:bCs/>
        </w:rPr>
        <w:t>Mark Anthony Smith</w:t>
      </w:r>
      <w:r w:rsidRPr="00D01580">
        <w:rPr>
          <w:i/>
          <w:lang w:val="en-US"/>
        </w:rPr>
        <w:tab/>
      </w:r>
      <w:proofErr w:type="spellStart"/>
      <w:r w:rsidRPr="00D01580">
        <w:rPr>
          <w:i/>
          <w:lang w:val="en-US"/>
        </w:rPr>
        <w:t>Intimé</w:t>
      </w:r>
      <w:proofErr w:type="spellEnd"/>
    </w:p>
    <w:p w:rsidR="00D01580" w:rsidRPr="00184786" w:rsidRDefault="00D01580" w:rsidP="00D01580">
      <w:pPr>
        <w:spacing w:after="720"/>
        <w:jc w:val="both"/>
        <w:rPr>
          <w:b/>
          <w:lang w:val="en-US"/>
        </w:rPr>
      </w:pPr>
      <w:proofErr w:type="spellStart"/>
      <w:r w:rsidRPr="00184786">
        <w:rPr>
          <w:b/>
          <w:lang w:val="en-US"/>
        </w:rPr>
        <w:t>Répertorié</w:t>
      </w:r>
      <w:proofErr w:type="spellEnd"/>
      <w:r w:rsidRPr="00184786">
        <w:rPr>
          <w:b/>
          <w:lang w:val="en-US"/>
        </w:rPr>
        <w:t xml:space="preserve"> : R. </w:t>
      </w:r>
      <w:r w:rsidRPr="00184786">
        <w:rPr>
          <w:b/>
          <w:i/>
          <w:iCs/>
          <w:lang w:val="en-US"/>
        </w:rPr>
        <w:t>c.</w:t>
      </w:r>
      <w:r w:rsidRPr="00184786">
        <w:rPr>
          <w:b/>
          <w:lang w:val="en-US"/>
        </w:rPr>
        <w:t xml:space="preserve"> Smith</w:t>
      </w:r>
    </w:p>
    <w:p w:rsidR="00D01580" w:rsidRPr="00D01580" w:rsidRDefault="00D01580" w:rsidP="00D01580">
      <w:pPr>
        <w:spacing w:after="720"/>
        <w:jc w:val="both"/>
        <w:rPr>
          <w:b/>
          <w:lang w:val="fr-CA"/>
        </w:rPr>
      </w:pPr>
      <w:r w:rsidRPr="00D01580">
        <w:rPr>
          <w:b/>
          <w:lang w:val="fr-CA"/>
        </w:rPr>
        <w:t>2021</w:t>
      </w:r>
      <w:r>
        <w:rPr>
          <w:b/>
          <w:lang w:val="fr-CA"/>
        </w:rPr>
        <w:t xml:space="preserve"> CSC </w:t>
      </w:r>
      <w:r w:rsidRPr="00D01580">
        <w:rPr>
          <w:b/>
          <w:lang w:val="fr-CA"/>
        </w:rPr>
        <w:t>1</w:t>
      </w:r>
      <w:r w:rsidRPr="00D01580">
        <w:rPr>
          <w:b/>
          <w:color w:val="000000"/>
          <w:lang w:val="fr-CA"/>
        </w:rPr>
        <w:t>6</w:t>
      </w:r>
    </w:p>
    <w:p w:rsidR="00D01580" w:rsidRPr="00D01580" w:rsidRDefault="00D01580" w:rsidP="00D01580">
      <w:pPr>
        <w:spacing w:after="720"/>
        <w:jc w:val="both"/>
        <w:rPr>
          <w:lang w:val="fr-CA"/>
        </w:rPr>
      </w:pPr>
      <w:r w:rsidRPr="00D01580">
        <w:rPr>
          <w:lang w:val="fr-CA"/>
        </w:rPr>
        <w:t>N</w:t>
      </w:r>
      <w:r w:rsidRPr="00D01580">
        <w:rPr>
          <w:vertAlign w:val="superscript"/>
          <w:lang w:val="fr-CA"/>
        </w:rPr>
        <w:t>o</w:t>
      </w:r>
      <w:r>
        <w:rPr>
          <w:lang w:val="fr-CA"/>
        </w:rPr>
        <w:t xml:space="preserve"> du greffe : </w:t>
      </w:r>
      <w:r w:rsidRPr="00D01580">
        <w:rPr>
          <w:color w:val="000000"/>
          <w:lang w:val="fr-CA"/>
        </w:rPr>
        <w:t>39401</w:t>
      </w:r>
      <w:r w:rsidRPr="00D01580">
        <w:rPr>
          <w:lang w:val="fr-CA"/>
        </w:rPr>
        <w:t>.</w:t>
      </w:r>
    </w:p>
    <w:p w:rsidR="00D01580" w:rsidRPr="00D01580" w:rsidRDefault="00D01580" w:rsidP="00D01580">
      <w:pPr>
        <w:spacing w:after="720"/>
        <w:jc w:val="both"/>
        <w:rPr>
          <w:lang w:val="fr-CA"/>
        </w:rPr>
      </w:pPr>
      <w:r w:rsidRPr="00D01580">
        <w:rPr>
          <w:lang w:val="fr-CA"/>
        </w:rPr>
        <w:t xml:space="preserve">2021 : </w:t>
      </w:r>
      <w:r w:rsidRPr="00D01580">
        <w:rPr>
          <w:color w:val="000000"/>
          <w:lang w:val="fr-CA"/>
        </w:rPr>
        <w:t>22 avril</w:t>
      </w:r>
      <w:r w:rsidRPr="00D01580">
        <w:rPr>
          <w:lang w:val="fr-CA"/>
        </w:rPr>
        <w:t>.</w:t>
      </w:r>
    </w:p>
    <w:p w:rsidR="00D01580" w:rsidRPr="00D01580" w:rsidRDefault="00D01580" w:rsidP="00D01580">
      <w:pPr>
        <w:spacing w:after="720"/>
        <w:jc w:val="both"/>
        <w:rPr>
          <w:lang w:val="fr-CA"/>
        </w:rPr>
      </w:pPr>
      <w:r>
        <w:rPr>
          <w:lang w:val="fr-CA"/>
        </w:rPr>
        <w:t xml:space="preserve">Présents : </w:t>
      </w:r>
      <w:r w:rsidRPr="00D01580">
        <w:rPr>
          <w:color w:val="000000"/>
          <w:lang w:val="fr-CA"/>
        </w:rPr>
        <w:t xml:space="preserve">Les juges </w:t>
      </w:r>
      <w:proofErr w:type="spellStart"/>
      <w:r w:rsidRPr="00D01580">
        <w:rPr>
          <w:color w:val="000000"/>
          <w:lang w:val="fr-CA"/>
        </w:rPr>
        <w:t>Moldaver</w:t>
      </w:r>
      <w:proofErr w:type="spellEnd"/>
      <w:r w:rsidRPr="00D01580">
        <w:rPr>
          <w:color w:val="000000"/>
          <w:lang w:val="fr-CA"/>
        </w:rPr>
        <w:t xml:space="preserve">, </w:t>
      </w:r>
      <w:proofErr w:type="spellStart"/>
      <w:r w:rsidRPr="00D01580">
        <w:rPr>
          <w:color w:val="000000"/>
          <w:lang w:val="fr-CA"/>
        </w:rPr>
        <w:t>Karakatsanis</w:t>
      </w:r>
      <w:proofErr w:type="spellEnd"/>
      <w:r w:rsidRPr="00D01580">
        <w:rPr>
          <w:color w:val="000000"/>
          <w:lang w:val="fr-CA"/>
        </w:rPr>
        <w:t xml:space="preserve">, Brown, Rowe et </w:t>
      </w:r>
      <w:proofErr w:type="spellStart"/>
      <w:r w:rsidRPr="00D01580">
        <w:rPr>
          <w:color w:val="000000"/>
          <w:lang w:val="fr-CA"/>
        </w:rPr>
        <w:t>Kasirer</w:t>
      </w:r>
      <w:proofErr w:type="spellEnd"/>
      <w:r w:rsidRPr="00D01580">
        <w:rPr>
          <w:color w:val="000000"/>
          <w:lang w:val="fr-CA"/>
        </w:rPr>
        <w:t>.</w:t>
      </w:r>
    </w:p>
    <w:p w:rsidR="00D01580" w:rsidRPr="00D01580" w:rsidRDefault="00D01580" w:rsidP="00D01580">
      <w:pPr>
        <w:spacing w:after="720"/>
        <w:jc w:val="both"/>
        <w:rPr>
          <w:smallCaps/>
          <w:lang w:val="fr-CA"/>
        </w:rPr>
      </w:pPr>
      <w:r w:rsidRPr="00D01580">
        <w:rPr>
          <w:smallCaps/>
          <w:lang w:val="fr-CA"/>
        </w:rPr>
        <w:t xml:space="preserve">en appel de la cour d’appel de la </w:t>
      </w:r>
      <w:proofErr w:type="spellStart"/>
      <w:r w:rsidRPr="00D01580">
        <w:rPr>
          <w:smallCaps/>
          <w:lang w:val="fr-CA"/>
        </w:rPr>
        <w:t>c</w:t>
      </w:r>
      <w:r>
        <w:rPr>
          <w:smallCaps/>
          <w:lang w:val="fr-CA"/>
        </w:rPr>
        <w:t>olombie</w:t>
      </w:r>
      <w:r>
        <w:rPr>
          <w:smallCaps/>
          <w:lang w:val="fr-CA"/>
        </w:rPr>
        <w:noBreakHyphen/>
      </w:r>
      <w:r w:rsidRPr="00D01580">
        <w:rPr>
          <w:smallCaps/>
          <w:lang w:val="fr-CA"/>
        </w:rPr>
        <w:t>britannique</w:t>
      </w:r>
      <w:proofErr w:type="spellEnd"/>
    </w:p>
    <w:p w:rsidR="00D01580" w:rsidRPr="00D01580" w:rsidRDefault="00D01580" w:rsidP="00D01580">
      <w:pPr>
        <w:pStyle w:val="SCCNormalDoubleSpacing"/>
        <w:spacing w:after="480"/>
        <w:rPr>
          <w:i/>
          <w:lang w:val="fr-CA"/>
        </w:rPr>
      </w:pPr>
      <w:r w:rsidRPr="00D01580">
        <w:rPr>
          <w:lang w:val="fr-CA"/>
        </w:rPr>
        <w:tab/>
      </w:r>
      <w:r w:rsidRPr="00D01580">
        <w:rPr>
          <w:i/>
          <w:lang w:val="fr-CA"/>
        </w:rPr>
        <w:t xml:space="preserve">Droit criminel — Appels — Interprétation erronée de la preuve — Erreur judiciaire — Accusé déclaré coupable d’agression sexuelle — Arrêt majoritaire de la Cour d’appel ordonnant la tenue d’un nouveau procès parce que la juge de première instance a commis des erreurs dans une partie essentielle de son raisonnement et parce que l’omission de cette dernière de relever certaines incohérences et d’en traiter expressément a constitué une interprétation erronée de la preuve — Motifs de la juge </w:t>
      </w:r>
      <w:r w:rsidRPr="00D01580">
        <w:rPr>
          <w:i/>
          <w:lang w:val="fr-CA"/>
        </w:rPr>
        <w:lastRenderedPageBreak/>
        <w:t>dissidente concluant que la juge du procès n’a pas interprété erronément la preuve et que la déclaration de culpabilité devrait être maintenue — Déclaration de culpabilité rétablie</w:t>
      </w:r>
      <w:r w:rsidRPr="00D01580">
        <w:rPr>
          <w:lang w:val="fr-CA"/>
        </w:rPr>
        <w:t>.</w:t>
      </w:r>
    </w:p>
    <w:p w:rsidR="00D01580" w:rsidRPr="00D01580" w:rsidRDefault="00D01580" w:rsidP="00D01580">
      <w:pPr>
        <w:pStyle w:val="SCCNormalDoubleSpacing"/>
        <w:spacing w:after="480"/>
        <w:rPr>
          <w:b/>
          <w:lang w:val="fr-CA"/>
        </w:rPr>
      </w:pPr>
      <w:r w:rsidRPr="00D01580">
        <w:rPr>
          <w:b/>
          <w:lang w:val="fr-CA"/>
        </w:rPr>
        <w:t>Jurisprudence</w:t>
      </w:r>
    </w:p>
    <w:p w:rsidR="00D01580" w:rsidRPr="00D01580" w:rsidRDefault="00D01580" w:rsidP="00D01580">
      <w:pPr>
        <w:pStyle w:val="SCCNormalDoubleSpacing"/>
        <w:spacing w:after="480"/>
        <w:rPr>
          <w:b/>
          <w:lang w:val="fr-CA"/>
        </w:rPr>
      </w:pPr>
      <w:r w:rsidRPr="00D01580">
        <w:rPr>
          <w:b/>
          <w:lang w:val="fr-CA"/>
        </w:rPr>
        <w:tab/>
        <w:t xml:space="preserve">Arrêts mentionnés : </w:t>
      </w:r>
      <w:r w:rsidRPr="00D01580">
        <w:rPr>
          <w:i/>
          <w:iCs/>
          <w:color w:val="000000"/>
          <w:lang w:val="fr-CA"/>
        </w:rPr>
        <w:t>R. c. Burns</w:t>
      </w:r>
      <w:r w:rsidRPr="00D01580">
        <w:rPr>
          <w:color w:val="000000"/>
          <w:lang w:val="fr-CA"/>
        </w:rPr>
        <w:t xml:space="preserve">, [1994] 1 R.C.S. 656; </w:t>
      </w:r>
      <w:r w:rsidRPr="00D01580">
        <w:rPr>
          <w:i/>
          <w:iCs/>
          <w:color w:val="000000"/>
          <w:lang w:val="fr-CA"/>
        </w:rPr>
        <w:t xml:space="preserve">R. c. </w:t>
      </w:r>
      <w:proofErr w:type="spellStart"/>
      <w:r w:rsidRPr="00D01580">
        <w:rPr>
          <w:i/>
          <w:iCs/>
          <w:color w:val="000000"/>
          <w:lang w:val="fr-CA"/>
        </w:rPr>
        <w:t>Morrissey</w:t>
      </w:r>
      <w:proofErr w:type="spellEnd"/>
      <w:r w:rsidRPr="00D01580">
        <w:rPr>
          <w:color w:val="000000"/>
          <w:lang w:val="fr-CA"/>
        </w:rPr>
        <w:t xml:space="preserve"> (1995), 97 </w:t>
      </w:r>
      <w:proofErr w:type="spellStart"/>
      <w:r w:rsidRPr="00D01580">
        <w:rPr>
          <w:color w:val="000000"/>
          <w:lang w:val="fr-CA"/>
        </w:rPr>
        <w:t>C.C.C</w:t>
      </w:r>
      <w:proofErr w:type="spellEnd"/>
      <w:r w:rsidRPr="00D01580">
        <w:rPr>
          <w:color w:val="000000"/>
          <w:lang w:val="fr-CA"/>
        </w:rPr>
        <w:t xml:space="preserve">. (3d) 193; </w:t>
      </w:r>
      <w:r w:rsidRPr="00D01580">
        <w:rPr>
          <w:i/>
          <w:iCs/>
          <w:color w:val="000000"/>
          <w:lang w:val="fr-CA"/>
        </w:rPr>
        <w:t xml:space="preserve">R. c. </w:t>
      </w:r>
      <w:proofErr w:type="spellStart"/>
      <w:r w:rsidRPr="00D01580">
        <w:rPr>
          <w:i/>
          <w:iCs/>
          <w:color w:val="000000"/>
          <w:lang w:val="fr-CA"/>
        </w:rPr>
        <w:t>Lohrer</w:t>
      </w:r>
      <w:proofErr w:type="spellEnd"/>
      <w:r w:rsidRPr="00D01580">
        <w:rPr>
          <w:color w:val="000000"/>
          <w:lang w:val="fr-CA"/>
        </w:rPr>
        <w:t>, 2004 CSC 80, [2004] 3 R.C.S. 732.</w:t>
      </w:r>
    </w:p>
    <w:p w:rsidR="00D01580" w:rsidRPr="00D01580" w:rsidRDefault="00D01580" w:rsidP="00D01580">
      <w:pPr>
        <w:pStyle w:val="SCCNormalDoubleSpacing"/>
        <w:spacing w:after="480"/>
        <w:rPr>
          <w:lang w:val="fr-CA"/>
        </w:rPr>
      </w:pPr>
      <w:r w:rsidRPr="00D01580">
        <w:rPr>
          <w:lang w:val="fr-CA"/>
        </w:rPr>
        <w:tab/>
        <w:t xml:space="preserve">POURVOI contre un arrêt de la Cour d’appel </w:t>
      </w:r>
      <w:r w:rsidRPr="00D01580">
        <w:rPr>
          <w:color w:val="000000"/>
          <w:lang w:val="fr-CA"/>
        </w:rPr>
        <w:t xml:space="preserve">de la </w:t>
      </w:r>
      <w:r>
        <w:rPr>
          <w:color w:val="000000"/>
          <w:lang w:val="fr-CA"/>
        </w:rPr>
        <w:t>Colombie</w:t>
      </w:r>
      <w:r>
        <w:rPr>
          <w:color w:val="000000"/>
          <w:lang w:val="fr-CA"/>
        </w:rPr>
        <w:noBreakHyphen/>
      </w:r>
      <w:r w:rsidRPr="00D01580">
        <w:rPr>
          <w:color w:val="000000"/>
          <w:lang w:val="fr-CA"/>
        </w:rPr>
        <w:t>Britannique</w:t>
      </w:r>
      <w:r w:rsidRPr="00D01580">
        <w:rPr>
          <w:lang w:val="fr-CA"/>
        </w:rPr>
        <w:t xml:space="preserve"> (les juges Newbury, Saunders et Dickson), </w:t>
      </w:r>
      <w:r w:rsidRPr="00D01580">
        <w:rPr>
          <w:color w:val="000000"/>
          <w:lang w:val="fr-CA"/>
        </w:rPr>
        <w:t>2020 BCCA 271, 393 C.C.C. (3d) 581, 456 D.L.R. (4th) 553, [2020] B.C.J. No. 1582 (</w:t>
      </w:r>
      <w:proofErr w:type="spellStart"/>
      <w:r w:rsidRPr="00D01580">
        <w:rPr>
          <w:color w:val="000000"/>
          <w:lang w:val="fr-CA"/>
        </w:rPr>
        <w:t>QL</w:t>
      </w:r>
      <w:proofErr w:type="spellEnd"/>
      <w:r w:rsidRPr="00D01580">
        <w:rPr>
          <w:color w:val="000000"/>
          <w:lang w:val="fr-CA"/>
        </w:rPr>
        <w:t xml:space="preserve">), 2020 </w:t>
      </w:r>
      <w:proofErr w:type="spellStart"/>
      <w:r w:rsidRPr="00D01580">
        <w:rPr>
          <w:color w:val="000000"/>
          <w:lang w:val="fr-CA"/>
        </w:rPr>
        <w:t>CarswellBC</w:t>
      </w:r>
      <w:proofErr w:type="spellEnd"/>
      <w:r w:rsidRPr="00D01580">
        <w:rPr>
          <w:color w:val="000000"/>
          <w:lang w:val="fr-CA"/>
        </w:rPr>
        <w:t xml:space="preserve"> 2493 (</w:t>
      </w:r>
      <w:proofErr w:type="spellStart"/>
      <w:r w:rsidRPr="00D01580">
        <w:rPr>
          <w:color w:val="000000"/>
          <w:lang w:val="fr-CA"/>
        </w:rPr>
        <w:t>WL</w:t>
      </w:r>
      <w:proofErr w:type="spellEnd"/>
      <w:r w:rsidRPr="00D01580">
        <w:rPr>
          <w:color w:val="000000"/>
          <w:lang w:val="fr-CA"/>
        </w:rPr>
        <w:t xml:space="preserve"> Can.), </w:t>
      </w:r>
      <w:r w:rsidRPr="00D01580">
        <w:rPr>
          <w:lang w:val="fr-CA"/>
        </w:rPr>
        <w:t>qui a confirmé la déclaration de culpabilité pour agression sexuelle prononcée</w:t>
      </w:r>
      <w:r w:rsidRPr="00D01580">
        <w:rPr>
          <w:color w:val="000000"/>
          <w:lang w:val="fr-CA"/>
        </w:rPr>
        <w:t xml:space="preserve"> par la juge </w:t>
      </w:r>
      <w:proofErr w:type="spellStart"/>
      <w:r w:rsidRPr="00D01580">
        <w:rPr>
          <w:lang w:val="fr-CA"/>
        </w:rPr>
        <w:t>Gropper</w:t>
      </w:r>
      <w:proofErr w:type="spellEnd"/>
      <w:r w:rsidRPr="00D01580">
        <w:rPr>
          <w:lang w:val="fr-CA"/>
        </w:rPr>
        <w:t xml:space="preserve">, 2018 </w:t>
      </w:r>
      <w:proofErr w:type="spellStart"/>
      <w:r w:rsidRPr="00D01580">
        <w:rPr>
          <w:lang w:val="fr-CA"/>
        </w:rPr>
        <w:t>BCSC</w:t>
      </w:r>
      <w:proofErr w:type="spellEnd"/>
      <w:r w:rsidRPr="00D01580">
        <w:rPr>
          <w:lang w:val="fr-CA"/>
        </w:rPr>
        <w:t xml:space="preserve"> 1376, [2018] B.C.J. No. 7269 (</w:t>
      </w:r>
      <w:proofErr w:type="spellStart"/>
      <w:r w:rsidRPr="00D01580">
        <w:rPr>
          <w:lang w:val="fr-CA"/>
        </w:rPr>
        <w:t>QL</w:t>
      </w:r>
      <w:proofErr w:type="spellEnd"/>
      <w:r w:rsidRPr="00D01580">
        <w:rPr>
          <w:lang w:val="fr-CA"/>
        </w:rPr>
        <w:t xml:space="preserve">), 2018 </w:t>
      </w:r>
      <w:proofErr w:type="spellStart"/>
      <w:r w:rsidRPr="00D01580">
        <w:rPr>
          <w:lang w:val="fr-CA"/>
        </w:rPr>
        <w:t>CarswellBC</w:t>
      </w:r>
      <w:proofErr w:type="spellEnd"/>
      <w:r w:rsidRPr="00D01580">
        <w:rPr>
          <w:lang w:val="fr-CA"/>
        </w:rPr>
        <w:t xml:space="preserve"> 4138 (</w:t>
      </w:r>
      <w:proofErr w:type="spellStart"/>
      <w:r w:rsidRPr="00D01580">
        <w:rPr>
          <w:lang w:val="fr-CA"/>
        </w:rPr>
        <w:t>WL</w:t>
      </w:r>
      <w:proofErr w:type="spellEnd"/>
      <w:r w:rsidRPr="00D01580">
        <w:rPr>
          <w:lang w:val="fr-CA"/>
        </w:rPr>
        <w:t xml:space="preserve"> Can.)</w:t>
      </w:r>
      <w:r w:rsidRPr="00D01580">
        <w:rPr>
          <w:bCs/>
          <w:lang w:val="fr-CA"/>
        </w:rPr>
        <w:t>. Pourvoi accueilli.</w:t>
      </w:r>
    </w:p>
    <w:p w:rsidR="00D01580" w:rsidRPr="00D01580" w:rsidRDefault="00D01580" w:rsidP="00D01580">
      <w:pPr>
        <w:pStyle w:val="SCCNormalDoubleSpacing"/>
        <w:spacing w:after="480"/>
        <w:rPr>
          <w:i/>
          <w:color w:val="000000"/>
          <w:szCs w:val="24"/>
          <w:lang w:val="fr-CA" w:eastAsia="en-US"/>
        </w:rPr>
      </w:pPr>
      <w:r w:rsidRPr="00D01580">
        <w:rPr>
          <w:lang w:val="fr-CA"/>
        </w:rPr>
        <w:tab/>
      </w:r>
      <w:r>
        <w:rPr>
          <w:i/>
          <w:iCs/>
          <w:lang w:val="fr-CA"/>
        </w:rPr>
        <w:t xml:space="preserve">Mila Shah </w:t>
      </w:r>
      <w:r w:rsidRPr="00D01580">
        <w:rPr>
          <w:iCs/>
          <w:lang w:val="fr-CA"/>
        </w:rPr>
        <w:t>et</w:t>
      </w:r>
      <w:r>
        <w:rPr>
          <w:i/>
          <w:iCs/>
          <w:lang w:val="fr-CA"/>
        </w:rPr>
        <w:t xml:space="preserve"> </w:t>
      </w:r>
      <w:r w:rsidRPr="00D01580">
        <w:rPr>
          <w:i/>
          <w:iCs/>
          <w:lang w:val="fr-CA"/>
        </w:rPr>
        <w:t>John R.</w:t>
      </w:r>
      <w:r w:rsidR="001F260D">
        <w:rPr>
          <w:i/>
          <w:iCs/>
          <w:lang w:val="fr-CA"/>
        </w:rPr>
        <w:t xml:space="preserve"> </w:t>
      </w:r>
      <w:r w:rsidRPr="00D01580">
        <w:rPr>
          <w:i/>
          <w:iCs/>
          <w:lang w:val="fr-CA"/>
        </w:rPr>
        <w:t>W. Caldwell</w:t>
      </w:r>
      <w:r w:rsidRPr="00D01580">
        <w:rPr>
          <w:color w:val="000000"/>
          <w:szCs w:val="24"/>
          <w:lang w:val="fr-CA" w:eastAsia="en-US"/>
        </w:rPr>
        <w:t>, pour l’appelante.</w:t>
      </w:r>
    </w:p>
    <w:p w:rsidR="00D01580" w:rsidRPr="00D01580" w:rsidRDefault="00D01580" w:rsidP="00D01580">
      <w:pPr>
        <w:pStyle w:val="SCCNormalDoubleSpacing"/>
        <w:spacing w:after="480"/>
        <w:rPr>
          <w:i/>
          <w:color w:val="000000"/>
          <w:szCs w:val="24"/>
          <w:lang w:val="fr-CA" w:eastAsia="en-US"/>
        </w:rPr>
      </w:pPr>
      <w:r w:rsidRPr="00D01580">
        <w:rPr>
          <w:i/>
          <w:color w:val="000000"/>
          <w:szCs w:val="24"/>
          <w:lang w:val="fr-CA" w:eastAsia="en-US"/>
        </w:rPr>
        <w:tab/>
      </w:r>
      <w:proofErr w:type="spellStart"/>
      <w:r>
        <w:rPr>
          <w:i/>
          <w:iCs/>
          <w:lang w:val="fr-CA"/>
        </w:rPr>
        <w:t>Eric</w:t>
      </w:r>
      <w:proofErr w:type="spellEnd"/>
      <w:r>
        <w:rPr>
          <w:i/>
          <w:iCs/>
          <w:lang w:val="fr-CA"/>
        </w:rPr>
        <w:t xml:space="preserve"> </w:t>
      </w:r>
      <w:proofErr w:type="spellStart"/>
      <w:r>
        <w:rPr>
          <w:i/>
          <w:iCs/>
          <w:lang w:val="fr-CA"/>
        </w:rPr>
        <w:t>Purtzki</w:t>
      </w:r>
      <w:proofErr w:type="spellEnd"/>
      <w:r>
        <w:rPr>
          <w:i/>
          <w:iCs/>
          <w:lang w:val="fr-CA"/>
        </w:rPr>
        <w:t xml:space="preserve"> </w:t>
      </w:r>
      <w:r w:rsidRPr="00D01580">
        <w:rPr>
          <w:iCs/>
          <w:lang w:val="fr-CA"/>
        </w:rPr>
        <w:t>et</w:t>
      </w:r>
      <w:r>
        <w:rPr>
          <w:i/>
          <w:iCs/>
          <w:lang w:val="fr-CA"/>
        </w:rPr>
        <w:t xml:space="preserve"> </w:t>
      </w:r>
      <w:r w:rsidRPr="00D01580">
        <w:rPr>
          <w:i/>
          <w:iCs/>
          <w:lang w:val="fr-CA"/>
        </w:rPr>
        <w:t>Garth Barriere</w:t>
      </w:r>
      <w:r w:rsidRPr="00D01580">
        <w:rPr>
          <w:color w:val="000000"/>
          <w:szCs w:val="24"/>
          <w:lang w:val="fr-CA" w:eastAsia="en-US"/>
        </w:rPr>
        <w:t>, pour l’intimé.</w:t>
      </w:r>
    </w:p>
    <w:p w:rsidR="00D01580" w:rsidRPr="00D01580" w:rsidRDefault="00D01580" w:rsidP="00D01580">
      <w:pPr>
        <w:pStyle w:val="SCCNormalDoubleSpacing"/>
        <w:spacing w:after="480"/>
        <w:rPr>
          <w:color w:val="000000"/>
          <w:lang w:val="fr-CA"/>
        </w:rPr>
      </w:pPr>
      <w:r w:rsidRPr="00D01580">
        <w:rPr>
          <w:color w:val="000000"/>
          <w:lang w:val="fr-CA"/>
        </w:rPr>
        <w:tab/>
        <w:t>Version française du jugement de la Cour rendu oralement par</w:t>
      </w:r>
    </w:p>
    <w:p w:rsidR="00D01580" w:rsidRPr="00D01580" w:rsidRDefault="00D01580" w:rsidP="00D01580">
      <w:pPr>
        <w:pStyle w:val="SCCNormalDoubleSpacing"/>
        <w:spacing w:after="480"/>
        <w:rPr>
          <w:color w:val="000000"/>
          <w:lang w:val="fr-CA"/>
        </w:rPr>
      </w:pPr>
      <w:r w:rsidRPr="00D01580">
        <w:rPr>
          <w:lang w:val="fr-CA"/>
        </w:rPr>
        <w:t>[1]</w:t>
      </w:r>
      <w:r w:rsidRPr="00D01580">
        <w:rPr>
          <w:lang w:val="fr-CA"/>
        </w:rPr>
        <w:tab/>
      </w:r>
      <w:r w:rsidRPr="00D01580">
        <w:rPr>
          <w:smallCaps/>
          <w:lang w:val="fr-CA"/>
        </w:rPr>
        <w:t>Le juge Brown</w:t>
      </w:r>
      <w:r w:rsidRPr="00D01580">
        <w:rPr>
          <w:lang w:val="fr-CA"/>
        </w:rPr>
        <w:t xml:space="preserve"> — </w:t>
      </w:r>
      <w:r w:rsidRPr="00D01580">
        <w:rPr>
          <w:color w:val="000000"/>
          <w:lang w:val="fr-CA"/>
        </w:rPr>
        <w:t>Nous sommes d’avis d’accueillir le pourvoi, d’annuler l’ordonnance intimant la tenue d’un nouveau procès et de rétablir la déclaration de culpabilité pour agression sexuelle prononcée contre l’intimé, essentiellement pour les motifs exposés par la juge d’appel Dickson. En particulier, nous convenons avec cette dernière que l’omission de la juge du procès de traiter adéquatement les déclarations antérieures incompatibles ne signifie pas qu’elle ne les a pas considérées ou ne leur a pas donné effet (</w:t>
      </w:r>
      <w:r w:rsidRPr="00D01580">
        <w:rPr>
          <w:i/>
          <w:iCs/>
          <w:color w:val="000000"/>
          <w:lang w:val="fr-CA"/>
        </w:rPr>
        <w:t>R. c. Burns</w:t>
      </w:r>
      <w:r>
        <w:rPr>
          <w:color w:val="000000"/>
          <w:lang w:val="fr-CA"/>
        </w:rPr>
        <w:t>, [1994] 1 R.C.S. 656, p. </w:t>
      </w:r>
      <w:r w:rsidRPr="00D01580">
        <w:rPr>
          <w:color w:val="000000"/>
          <w:lang w:val="fr-CA"/>
        </w:rPr>
        <w:t>665). De plus, et ce, même si la juge du procès n’a pas considéré ces déclarations lorsqu’elle a apprécié la crédibilité et la fiabilité de la plaignante, cette erreur n’a pas entraîné d’erreur judiciaire.</w:t>
      </w:r>
    </w:p>
    <w:p w:rsidR="00D01580" w:rsidRPr="00D01580" w:rsidRDefault="00D01580" w:rsidP="00D01580">
      <w:pPr>
        <w:pStyle w:val="SCCNormalDoubleSpacing"/>
        <w:spacing w:after="480"/>
        <w:rPr>
          <w:color w:val="000000"/>
          <w:lang w:val="fr-CA"/>
        </w:rPr>
      </w:pPr>
      <w:r w:rsidRPr="00D01580">
        <w:rPr>
          <w:color w:val="000000"/>
          <w:lang w:val="fr-CA"/>
        </w:rPr>
        <w:t>[2]</w:t>
      </w:r>
      <w:r w:rsidRPr="00D01580">
        <w:rPr>
          <w:color w:val="000000"/>
          <w:lang w:val="fr-CA"/>
        </w:rPr>
        <w:tab/>
        <w:t>Afin de déterminer si une interprétation erronée de la preuve a entraîné une erreur judiciaire, le tribunal d’appel doit apprécier la nature et l’étendue de l’erreur, ainsi que son importance pour le verdict (</w:t>
      </w:r>
      <w:r w:rsidRPr="00D01580">
        <w:rPr>
          <w:i/>
          <w:iCs/>
          <w:color w:val="000000"/>
          <w:lang w:val="fr-CA"/>
        </w:rPr>
        <w:t xml:space="preserve">R. c. </w:t>
      </w:r>
      <w:proofErr w:type="spellStart"/>
      <w:r w:rsidRPr="00D01580">
        <w:rPr>
          <w:i/>
          <w:iCs/>
          <w:color w:val="000000"/>
          <w:lang w:val="fr-CA"/>
        </w:rPr>
        <w:t>Morrissey</w:t>
      </w:r>
      <w:proofErr w:type="spellEnd"/>
      <w:r>
        <w:rPr>
          <w:color w:val="000000"/>
          <w:lang w:val="fr-CA"/>
        </w:rPr>
        <w:t xml:space="preserve"> </w:t>
      </w:r>
      <w:r w:rsidRPr="00D01580">
        <w:rPr>
          <w:color w:val="000000"/>
          <w:lang w:val="fr-CA"/>
        </w:rPr>
        <w:t xml:space="preserve">(1995), 97 </w:t>
      </w:r>
      <w:proofErr w:type="spellStart"/>
      <w:r>
        <w:rPr>
          <w:color w:val="000000"/>
          <w:lang w:val="fr-CA"/>
        </w:rPr>
        <w:t>C.C.C</w:t>
      </w:r>
      <w:proofErr w:type="spellEnd"/>
      <w:r>
        <w:rPr>
          <w:color w:val="000000"/>
          <w:lang w:val="fr-CA"/>
        </w:rPr>
        <w:t>. (3d) 193 (C.A. Ont.), p. </w:t>
      </w:r>
      <w:r w:rsidRPr="00D01580">
        <w:rPr>
          <w:color w:val="000000"/>
          <w:lang w:val="fr-CA"/>
        </w:rPr>
        <w:t>221). Il s’agit d’une norme stricte, à laquelle il est satisfait uniquement dans les cas où l’interprétation erronée a pu influer sur l’issue de l’affaire</w:t>
      </w:r>
      <w:r>
        <w:rPr>
          <w:i/>
          <w:iCs/>
          <w:color w:val="000000"/>
          <w:lang w:val="fr-CA"/>
        </w:rPr>
        <w:t xml:space="preserve"> </w:t>
      </w:r>
      <w:r w:rsidRPr="00D01580">
        <w:rPr>
          <w:color w:val="000000"/>
          <w:lang w:val="fr-CA"/>
        </w:rPr>
        <w:t>(</w:t>
      </w:r>
      <w:r w:rsidRPr="00D01580">
        <w:rPr>
          <w:i/>
          <w:iCs/>
          <w:color w:val="000000"/>
          <w:lang w:val="fr-CA"/>
        </w:rPr>
        <w:t xml:space="preserve">R. c. </w:t>
      </w:r>
      <w:proofErr w:type="spellStart"/>
      <w:r w:rsidRPr="00D01580">
        <w:rPr>
          <w:i/>
          <w:iCs/>
          <w:color w:val="000000"/>
          <w:lang w:val="fr-CA"/>
        </w:rPr>
        <w:t>Lohrer</w:t>
      </w:r>
      <w:proofErr w:type="spellEnd"/>
      <w:r w:rsidRPr="00D01580">
        <w:rPr>
          <w:color w:val="000000"/>
          <w:lang w:val="fr-CA"/>
        </w:rPr>
        <w:t>, 2004 CSC 80, [2004] 3 R.C.S. 732, par. 7). Bien qu’il puisse arriver que des incohérences dans un témoignage soient pertinentes dans l’appréciation de la crédibilité et la fiabilité d’un témoin, seulement certaines incohérences présentent une importance telle que l’omission de les considérer satisfera à cette norme.</w:t>
      </w:r>
    </w:p>
    <w:p w:rsidR="00D01580" w:rsidRPr="00D01580" w:rsidRDefault="00D01580" w:rsidP="00D01580">
      <w:pPr>
        <w:pStyle w:val="SCCNormalDoubleSpacing"/>
        <w:spacing w:after="480"/>
        <w:rPr>
          <w:color w:val="000000"/>
          <w:lang w:val="fr-CA"/>
        </w:rPr>
      </w:pPr>
      <w:r w:rsidRPr="00D01580">
        <w:rPr>
          <w:color w:val="000000"/>
          <w:lang w:val="fr-CA"/>
        </w:rPr>
        <w:t>[3]</w:t>
      </w:r>
      <w:r w:rsidRPr="00D01580">
        <w:rPr>
          <w:color w:val="000000"/>
          <w:lang w:val="fr-CA"/>
        </w:rPr>
        <w:tab/>
        <w:t>En l’espèce, nous convenons avec la juge Dickson que les inc</w:t>
      </w:r>
      <w:r>
        <w:rPr>
          <w:color w:val="000000"/>
          <w:lang w:val="fr-CA"/>
        </w:rPr>
        <w:t xml:space="preserve">ohérences — en supposant que ce </w:t>
      </w:r>
      <w:r w:rsidRPr="00D01580">
        <w:rPr>
          <w:i/>
          <w:iCs/>
          <w:color w:val="000000"/>
          <w:lang w:val="fr-CA"/>
        </w:rPr>
        <w:t>sont</w:t>
      </w:r>
      <w:r>
        <w:rPr>
          <w:color w:val="000000"/>
          <w:lang w:val="fr-CA"/>
        </w:rPr>
        <w:t xml:space="preserve"> </w:t>
      </w:r>
      <w:r w:rsidRPr="00D01580">
        <w:rPr>
          <w:color w:val="000000"/>
          <w:lang w:val="fr-CA"/>
        </w:rPr>
        <w:t>des incohérences — entre les déclarations qu’a faites la plaignante à son amie peu de temps après l’agression et le témoignage qu’elle a donné au procès ne sont pas importantes. Bien qu’il ait été préférable que la juge du procès en traite, l’omission de le faire ne jette pas de doute sur son appréciation de la crédibilité et de la fiabilité de la plaignante ou sur le caractère sûr de la déclaration de culpabilité. Par conséquent, le seuil requis pour établir une erreur judiciaire n’est pas franchi.</w:t>
      </w:r>
    </w:p>
    <w:p w:rsidR="00D01580" w:rsidRPr="00D01580" w:rsidRDefault="00D01580" w:rsidP="00D01580">
      <w:pPr>
        <w:pStyle w:val="SCCNormalDoubleSpacing"/>
        <w:spacing w:after="480"/>
        <w:rPr>
          <w:i/>
          <w:iCs/>
          <w:color w:val="000000"/>
          <w:lang w:val="fr-CA"/>
        </w:rPr>
      </w:pPr>
      <w:r w:rsidRPr="00D01580">
        <w:rPr>
          <w:lang w:val="fr-CA"/>
        </w:rPr>
        <w:tab/>
      </w:r>
      <w:r w:rsidRPr="00D01580">
        <w:rPr>
          <w:i/>
          <w:iCs/>
          <w:color w:val="000000"/>
          <w:lang w:val="fr-CA"/>
        </w:rPr>
        <w:t>Jugement en conséquence.</w:t>
      </w:r>
    </w:p>
    <w:p w:rsidR="00D01580" w:rsidRPr="00D01580" w:rsidRDefault="00D01580" w:rsidP="00D01580">
      <w:pPr>
        <w:pStyle w:val="SCCNormalDoubleSpacing"/>
        <w:spacing w:after="480"/>
        <w:rPr>
          <w:i/>
          <w:iCs/>
          <w:color w:val="000000"/>
          <w:lang w:val="fr-CA"/>
        </w:rPr>
      </w:pPr>
      <w:r>
        <w:rPr>
          <w:i/>
          <w:iCs/>
          <w:color w:val="000000"/>
          <w:lang w:val="fr-CA"/>
        </w:rPr>
        <w:tab/>
      </w:r>
      <w:r w:rsidRPr="00D01580">
        <w:rPr>
          <w:i/>
          <w:iCs/>
          <w:color w:val="000000"/>
          <w:lang w:val="fr-CA"/>
        </w:rPr>
        <w:t>Procureur de l’appelante : P</w:t>
      </w:r>
      <w:r w:rsidR="00184786">
        <w:rPr>
          <w:i/>
          <w:iCs/>
          <w:color w:val="000000"/>
          <w:lang w:val="fr-CA"/>
        </w:rPr>
        <w:t>rocureur général de la Colombie-</w:t>
      </w:r>
      <w:r w:rsidRPr="00D01580">
        <w:rPr>
          <w:i/>
          <w:iCs/>
          <w:color w:val="000000"/>
          <w:lang w:val="fr-CA"/>
        </w:rPr>
        <w:t>Britannique, Vancouver.</w:t>
      </w:r>
    </w:p>
    <w:p w:rsidR="00D01580" w:rsidRPr="00D01580" w:rsidRDefault="00D01580" w:rsidP="00D01580">
      <w:pPr>
        <w:pStyle w:val="SCCNormalDoubleSpacing"/>
        <w:spacing w:after="480"/>
        <w:rPr>
          <w:i/>
          <w:iCs/>
          <w:color w:val="000000"/>
          <w:lang w:val="fr-CA"/>
        </w:rPr>
      </w:pPr>
      <w:r>
        <w:rPr>
          <w:i/>
          <w:iCs/>
          <w:color w:val="000000"/>
          <w:lang w:val="fr-CA"/>
        </w:rPr>
        <w:tab/>
      </w:r>
      <w:r w:rsidRPr="00D01580">
        <w:rPr>
          <w:i/>
          <w:iCs/>
          <w:color w:val="000000"/>
          <w:lang w:val="fr-CA"/>
        </w:rPr>
        <w:t>Procureurs de l’intimé : Melville Law Chambers, Vancouver.</w:t>
      </w:r>
    </w:p>
    <w:sectPr w:rsidR="00D01580" w:rsidRPr="00D01580" w:rsidSect="00D01580">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E51" w:rsidRDefault="00891E51">
      <w:r>
        <w:separator/>
      </w:r>
    </w:p>
  </w:endnote>
  <w:endnote w:type="continuationSeparator" w:id="0">
    <w:p w:rsidR="00891E51" w:rsidRDefault="0089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E51" w:rsidRDefault="00891E51">
      <w:r>
        <w:separator/>
      </w:r>
    </w:p>
  </w:footnote>
  <w:footnote w:type="continuationSeparator" w:id="0">
    <w:p w:rsidR="00891E51" w:rsidRDefault="0089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D01580" w:rsidRDefault="00450352" w:rsidP="00D01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6467"/>
    <w:rsid w:val="00040D1B"/>
    <w:rsid w:val="00041BDD"/>
    <w:rsid w:val="000578A3"/>
    <w:rsid w:val="000648CC"/>
    <w:rsid w:val="00076E46"/>
    <w:rsid w:val="00093679"/>
    <w:rsid w:val="00094FED"/>
    <w:rsid w:val="000B5CFA"/>
    <w:rsid w:val="000B69B5"/>
    <w:rsid w:val="000C3FCE"/>
    <w:rsid w:val="000C59B8"/>
    <w:rsid w:val="000C6AF0"/>
    <w:rsid w:val="000C78C2"/>
    <w:rsid w:val="000D2473"/>
    <w:rsid w:val="000F0995"/>
    <w:rsid w:val="000F2FF1"/>
    <w:rsid w:val="00104F33"/>
    <w:rsid w:val="00106D75"/>
    <w:rsid w:val="00111905"/>
    <w:rsid w:val="00111DE2"/>
    <w:rsid w:val="0011492A"/>
    <w:rsid w:val="001160DE"/>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4786"/>
    <w:rsid w:val="00186351"/>
    <w:rsid w:val="00195D83"/>
    <w:rsid w:val="001977DB"/>
    <w:rsid w:val="001A00C1"/>
    <w:rsid w:val="001A42A4"/>
    <w:rsid w:val="001B33E0"/>
    <w:rsid w:val="001B4573"/>
    <w:rsid w:val="001C779F"/>
    <w:rsid w:val="001D2AC1"/>
    <w:rsid w:val="001D4DDF"/>
    <w:rsid w:val="001D4E88"/>
    <w:rsid w:val="001D65FF"/>
    <w:rsid w:val="001D6E70"/>
    <w:rsid w:val="001E477D"/>
    <w:rsid w:val="001F260D"/>
    <w:rsid w:val="001F6B5E"/>
    <w:rsid w:val="00220113"/>
    <w:rsid w:val="00220FC2"/>
    <w:rsid w:val="002222F4"/>
    <w:rsid w:val="00224FC0"/>
    <w:rsid w:val="00225EA4"/>
    <w:rsid w:val="00226EAF"/>
    <w:rsid w:val="002310A2"/>
    <w:rsid w:val="00231407"/>
    <w:rsid w:val="00231F3A"/>
    <w:rsid w:val="00234199"/>
    <w:rsid w:val="00236389"/>
    <w:rsid w:val="00237AFE"/>
    <w:rsid w:val="002406EE"/>
    <w:rsid w:val="00243EC8"/>
    <w:rsid w:val="00260748"/>
    <w:rsid w:val="0026412B"/>
    <w:rsid w:val="00264B77"/>
    <w:rsid w:val="00270D93"/>
    <w:rsid w:val="002745CC"/>
    <w:rsid w:val="002909F6"/>
    <w:rsid w:val="0029178F"/>
    <w:rsid w:val="002944E6"/>
    <w:rsid w:val="002B7924"/>
    <w:rsid w:val="002B7ABA"/>
    <w:rsid w:val="002D2226"/>
    <w:rsid w:val="002D28C3"/>
    <w:rsid w:val="002D294E"/>
    <w:rsid w:val="002D3505"/>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3B79"/>
    <w:rsid w:val="00354525"/>
    <w:rsid w:val="00355C66"/>
    <w:rsid w:val="00362ADA"/>
    <w:rsid w:val="00364B18"/>
    <w:rsid w:val="00396BF3"/>
    <w:rsid w:val="003A125D"/>
    <w:rsid w:val="003A4C70"/>
    <w:rsid w:val="003B215F"/>
    <w:rsid w:val="003C2CFF"/>
    <w:rsid w:val="003C799C"/>
    <w:rsid w:val="003D0399"/>
    <w:rsid w:val="003E1C71"/>
    <w:rsid w:val="003E2693"/>
    <w:rsid w:val="003E53AC"/>
    <w:rsid w:val="003F327B"/>
    <w:rsid w:val="003F7ACB"/>
    <w:rsid w:val="00400B24"/>
    <w:rsid w:val="00404D28"/>
    <w:rsid w:val="00406166"/>
    <w:rsid w:val="0040704B"/>
    <w:rsid w:val="00407839"/>
    <w:rsid w:val="00410003"/>
    <w:rsid w:val="00410A55"/>
    <w:rsid w:val="00411300"/>
    <w:rsid w:val="004136A3"/>
    <w:rsid w:val="00415417"/>
    <w:rsid w:val="00422F83"/>
    <w:rsid w:val="00424FE1"/>
    <w:rsid w:val="00426659"/>
    <w:rsid w:val="00426D16"/>
    <w:rsid w:val="00450352"/>
    <w:rsid w:val="00454BDB"/>
    <w:rsid w:val="00456FFF"/>
    <w:rsid w:val="00463A7A"/>
    <w:rsid w:val="00464800"/>
    <w:rsid w:val="00464BF6"/>
    <w:rsid w:val="00465132"/>
    <w:rsid w:val="00465EF1"/>
    <w:rsid w:val="004707F9"/>
    <w:rsid w:val="00470DB3"/>
    <w:rsid w:val="0047411A"/>
    <w:rsid w:val="00480C90"/>
    <w:rsid w:val="0048396F"/>
    <w:rsid w:val="00486C55"/>
    <w:rsid w:val="00492365"/>
    <w:rsid w:val="00493C18"/>
    <w:rsid w:val="00495D96"/>
    <w:rsid w:val="004A34CA"/>
    <w:rsid w:val="004A600C"/>
    <w:rsid w:val="004A6118"/>
    <w:rsid w:val="004C094D"/>
    <w:rsid w:val="004C2314"/>
    <w:rsid w:val="004C25EE"/>
    <w:rsid w:val="004C478D"/>
    <w:rsid w:val="004D4FEC"/>
    <w:rsid w:val="004E0D6A"/>
    <w:rsid w:val="004E2C26"/>
    <w:rsid w:val="004E61A7"/>
    <w:rsid w:val="004F36FF"/>
    <w:rsid w:val="00506A78"/>
    <w:rsid w:val="005125A8"/>
    <w:rsid w:val="00516DED"/>
    <w:rsid w:val="00521AE8"/>
    <w:rsid w:val="00524449"/>
    <w:rsid w:val="00527180"/>
    <w:rsid w:val="005341CE"/>
    <w:rsid w:val="00534AB2"/>
    <w:rsid w:val="0054201E"/>
    <w:rsid w:val="00547FB8"/>
    <w:rsid w:val="005541DB"/>
    <w:rsid w:val="00555291"/>
    <w:rsid w:val="0056265A"/>
    <w:rsid w:val="00566AD1"/>
    <w:rsid w:val="0057257D"/>
    <w:rsid w:val="00583EDE"/>
    <w:rsid w:val="00586928"/>
    <w:rsid w:val="005966EF"/>
    <w:rsid w:val="005A4F85"/>
    <w:rsid w:val="005A6079"/>
    <w:rsid w:val="005C7840"/>
    <w:rsid w:val="005E4698"/>
    <w:rsid w:val="006003EE"/>
    <w:rsid w:val="006055B2"/>
    <w:rsid w:val="00610539"/>
    <w:rsid w:val="00613969"/>
    <w:rsid w:val="0061523C"/>
    <w:rsid w:val="00617208"/>
    <w:rsid w:val="00625C35"/>
    <w:rsid w:val="00626A7D"/>
    <w:rsid w:val="0062787A"/>
    <w:rsid w:val="00635521"/>
    <w:rsid w:val="006468AB"/>
    <w:rsid w:val="00656313"/>
    <w:rsid w:val="006565F4"/>
    <w:rsid w:val="0066108F"/>
    <w:rsid w:val="00666098"/>
    <w:rsid w:val="006763FD"/>
    <w:rsid w:val="00684EEA"/>
    <w:rsid w:val="006908E8"/>
    <w:rsid w:val="0069689B"/>
    <w:rsid w:val="006A1551"/>
    <w:rsid w:val="006A2D37"/>
    <w:rsid w:val="006A48DB"/>
    <w:rsid w:val="006B5FF5"/>
    <w:rsid w:val="006B7683"/>
    <w:rsid w:val="006D4200"/>
    <w:rsid w:val="006D65A1"/>
    <w:rsid w:val="006F30AF"/>
    <w:rsid w:val="007009A0"/>
    <w:rsid w:val="00701759"/>
    <w:rsid w:val="00701CF2"/>
    <w:rsid w:val="00705C15"/>
    <w:rsid w:val="00712E55"/>
    <w:rsid w:val="00713025"/>
    <w:rsid w:val="007154A1"/>
    <w:rsid w:val="0071600E"/>
    <w:rsid w:val="007162FD"/>
    <w:rsid w:val="00717FDC"/>
    <w:rsid w:val="007208D1"/>
    <w:rsid w:val="0072428C"/>
    <w:rsid w:val="00730177"/>
    <w:rsid w:val="00742119"/>
    <w:rsid w:val="00747288"/>
    <w:rsid w:val="00747DD3"/>
    <w:rsid w:val="007549C8"/>
    <w:rsid w:val="00754A0B"/>
    <w:rsid w:val="00766D14"/>
    <w:rsid w:val="00767A0F"/>
    <w:rsid w:val="00796207"/>
    <w:rsid w:val="007A05F6"/>
    <w:rsid w:val="007A5321"/>
    <w:rsid w:val="007B1289"/>
    <w:rsid w:val="007B3D74"/>
    <w:rsid w:val="007B6F4A"/>
    <w:rsid w:val="007D097E"/>
    <w:rsid w:val="007E1C47"/>
    <w:rsid w:val="007E337A"/>
    <w:rsid w:val="007E5C70"/>
    <w:rsid w:val="007F2FF5"/>
    <w:rsid w:val="007F3F08"/>
    <w:rsid w:val="00804CC6"/>
    <w:rsid w:val="00813B48"/>
    <w:rsid w:val="00816632"/>
    <w:rsid w:val="00817190"/>
    <w:rsid w:val="00820223"/>
    <w:rsid w:val="00820EE5"/>
    <w:rsid w:val="008244E9"/>
    <w:rsid w:val="008260E2"/>
    <w:rsid w:val="008322BD"/>
    <w:rsid w:val="008323C4"/>
    <w:rsid w:val="00833E0A"/>
    <w:rsid w:val="00834F73"/>
    <w:rsid w:val="00847F55"/>
    <w:rsid w:val="008544FA"/>
    <w:rsid w:val="00864CF8"/>
    <w:rsid w:val="00866717"/>
    <w:rsid w:val="00872819"/>
    <w:rsid w:val="00874914"/>
    <w:rsid w:val="0088097D"/>
    <w:rsid w:val="00883F8A"/>
    <w:rsid w:val="00891422"/>
    <w:rsid w:val="00891E51"/>
    <w:rsid w:val="00892E1A"/>
    <w:rsid w:val="008A3F29"/>
    <w:rsid w:val="008B660A"/>
    <w:rsid w:val="008B70F9"/>
    <w:rsid w:val="008C01DA"/>
    <w:rsid w:val="008C02C9"/>
    <w:rsid w:val="008C7263"/>
    <w:rsid w:val="008D2104"/>
    <w:rsid w:val="008E3C2D"/>
    <w:rsid w:val="008F78E9"/>
    <w:rsid w:val="00903C32"/>
    <w:rsid w:val="00911989"/>
    <w:rsid w:val="009179F9"/>
    <w:rsid w:val="0093031F"/>
    <w:rsid w:val="00931C1C"/>
    <w:rsid w:val="00933E5E"/>
    <w:rsid w:val="00935218"/>
    <w:rsid w:val="009403F3"/>
    <w:rsid w:val="009555B7"/>
    <w:rsid w:val="009567AA"/>
    <w:rsid w:val="0096473A"/>
    <w:rsid w:val="00967374"/>
    <w:rsid w:val="009703F7"/>
    <w:rsid w:val="00976EB5"/>
    <w:rsid w:val="00981B4D"/>
    <w:rsid w:val="009A343A"/>
    <w:rsid w:val="009A4E51"/>
    <w:rsid w:val="009A520F"/>
    <w:rsid w:val="009B2F23"/>
    <w:rsid w:val="009B57B3"/>
    <w:rsid w:val="009B6FFE"/>
    <w:rsid w:val="009C5B92"/>
    <w:rsid w:val="009D2920"/>
    <w:rsid w:val="009D5AEB"/>
    <w:rsid w:val="009F0E33"/>
    <w:rsid w:val="009F1E77"/>
    <w:rsid w:val="009F4A63"/>
    <w:rsid w:val="00A003F4"/>
    <w:rsid w:val="00A030CE"/>
    <w:rsid w:val="00A149DF"/>
    <w:rsid w:val="00A1755C"/>
    <w:rsid w:val="00A21B90"/>
    <w:rsid w:val="00A41805"/>
    <w:rsid w:val="00A42DCD"/>
    <w:rsid w:val="00A44699"/>
    <w:rsid w:val="00A52AFB"/>
    <w:rsid w:val="00A548CB"/>
    <w:rsid w:val="00A5521C"/>
    <w:rsid w:val="00A557A1"/>
    <w:rsid w:val="00A55CEF"/>
    <w:rsid w:val="00A643E7"/>
    <w:rsid w:val="00A73C38"/>
    <w:rsid w:val="00A9085B"/>
    <w:rsid w:val="00AB59C4"/>
    <w:rsid w:val="00AB670D"/>
    <w:rsid w:val="00AC6FA4"/>
    <w:rsid w:val="00AD2826"/>
    <w:rsid w:val="00AD342F"/>
    <w:rsid w:val="00AE25FE"/>
    <w:rsid w:val="00AE4535"/>
    <w:rsid w:val="00AF03C5"/>
    <w:rsid w:val="00AF0B26"/>
    <w:rsid w:val="00AF4773"/>
    <w:rsid w:val="00B000D8"/>
    <w:rsid w:val="00B00F75"/>
    <w:rsid w:val="00B11735"/>
    <w:rsid w:val="00B1431F"/>
    <w:rsid w:val="00B145B6"/>
    <w:rsid w:val="00B2215E"/>
    <w:rsid w:val="00B279EB"/>
    <w:rsid w:val="00B30E18"/>
    <w:rsid w:val="00B32357"/>
    <w:rsid w:val="00B42165"/>
    <w:rsid w:val="00B43559"/>
    <w:rsid w:val="00B50C81"/>
    <w:rsid w:val="00B557F8"/>
    <w:rsid w:val="00B56AAF"/>
    <w:rsid w:val="00B67199"/>
    <w:rsid w:val="00B815FC"/>
    <w:rsid w:val="00B93FBC"/>
    <w:rsid w:val="00BA066D"/>
    <w:rsid w:val="00BA7DA0"/>
    <w:rsid w:val="00BB2366"/>
    <w:rsid w:val="00BB2EE4"/>
    <w:rsid w:val="00BB5AE6"/>
    <w:rsid w:val="00BC2108"/>
    <w:rsid w:val="00BC5642"/>
    <w:rsid w:val="00BD0E9E"/>
    <w:rsid w:val="00BD1BEC"/>
    <w:rsid w:val="00BD32FF"/>
    <w:rsid w:val="00BD67ED"/>
    <w:rsid w:val="00C02092"/>
    <w:rsid w:val="00C22905"/>
    <w:rsid w:val="00C229CD"/>
    <w:rsid w:val="00C24D91"/>
    <w:rsid w:val="00C31D39"/>
    <w:rsid w:val="00C53F14"/>
    <w:rsid w:val="00C600CF"/>
    <w:rsid w:val="00C6084F"/>
    <w:rsid w:val="00C62A66"/>
    <w:rsid w:val="00C62FD6"/>
    <w:rsid w:val="00C71458"/>
    <w:rsid w:val="00C77613"/>
    <w:rsid w:val="00C828E7"/>
    <w:rsid w:val="00C86719"/>
    <w:rsid w:val="00C921DD"/>
    <w:rsid w:val="00CA6391"/>
    <w:rsid w:val="00CA7B39"/>
    <w:rsid w:val="00CB5B04"/>
    <w:rsid w:val="00CC34BD"/>
    <w:rsid w:val="00CC76B5"/>
    <w:rsid w:val="00CE161A"/>
    <w:rsid w:val="00CE3171"/>
    <w:rsid w:val="00CF1601"/>
    <w:rsid w:val="00D01580"/>
    <w:rsid w:val="00D0172F"/>
    <w:rsid w:val="00D068A7"/>
    <w:rsid w:val="00D173CE"/>
    <w:rsid w:val="00D17476"/>
    <w:rsid w:val="00D22128"/>
    <w:rsid w:val="00D25F6B"/>
    <w:rsid w:val="00D26B67"/>
    <w:rsid w:val="00D32086"/>
    <w:rsid w:val="00D360E6"/>
    <w:rsid w:val="00D37A3F"/>
    <w:rsid w:val="00D43730"/>
    <w:rsid w:val="00D4431D"/>
    <w:rsid w:val="00D4667A"/>
    <w:rsid w:val="00D469D5"/>
    <w:rsid w:val="00D47BFC"/>
    <w:rsid w:val="00D614A5"/>
    <w:rsid w:val="00D63A1C"/>
    <w:rsid w:val="00D7516F"/>
    <w:rsid w:val="00D83628"/>
    <w:rsid w:val="00D8579F"/>
    <w:rsid w:val="00D90B9E"/>
    <w:rsid w:val="00D91A89"/>
    <w:rsid w:val="00D95F8E"/>
    <w:rsid w:val="00DA0590"/>
    <w:rsid w:val="00DB342C"/>
    <w:rsid w:val="00DB7BEA"/>
    <w:rsid w:val="00DC1739"/>
    <w:rsid w:val="00DC1788"/>
    <w:rsid w:val="00DC2F37"/>
    <w:rsid w:val="00DD105B"/>
    <w:rsid w:val="00DE319C"/>
    <w:rsid w:val="00DE54B0"/>
    <w:rsid w:val="00DF0CA8"/>
    <w:rsid w:val="00DF2B48"/>
    <w:rsid w:val="00DF49A7"/>
    <w:rsid w:val="00E07EE2"/>
    <w:rsid w:val="00E07FD1"/>
    <w:rsid w:val="00E10A5C"/>
    <w:rsid w:val="00E176D8"/>
    <w:rsid w:val="00E24573"/>
    <w:rsid w:val="00E25E1E"/>
    <w:rsid w:val="00E27EE7"/>
    <w:rsid w:val="00E31D67"/>
    <w:rsid w:val="00E3214F"/>
    <w:rsid w:val="00E333F9"/>
    <w:rsid w:val="00E35404"/>
    <w:rsid w:val="00E45109"/>
    <w:rsid w:val="00E47B7A"/>
    <w:rsid w:val="00E526D2"/>
    <w:rsid w:val="00E56A44"/>
    <w:rsid w:val="00E60269"/>
    <w:rsid w:val="00E653D0"/>
    <w:rsid w:val="00E65A2E"/>
    <w:rsid w:val="00E71951"/>
    <w:rsid w:val="00E77932"/>
    <w:rsid w:val="00E83FDA"/>
    <w:rsid w:val="00E92347"/>
    <w:rsid w:val="00E97830"/>
    <w:rsid w:val="00EA1D3B"/>
    <w:rsid w:val="00EB0D87"/>
    <w:rsid w:val="00ED3759"/>
    <w:rsid w:val="00ED681A"/>
    <w:rsid w:val="00EE5737"/>
    <w:rsid w:val="00EE643C"/>
    <w:rsid w:val="00EF0683"/>
    <w:rsid w:val="00EF69D2"/>
    <w:rsid w:val="00EF74B4"/>
    <w:rsid w:val="00EF766E"/>
    <w:rsid w:val="00F0070C"/>
    <w:rsid w:val="00F00EB7"/>
    <w:rsid w:val="00F03D8E"/>
    <w:rsid w:val="00F36AB6"/>
    <w:rsid w:val="00F37A09"/>
    <w:rsid w:val="00F409CE"/>
    <w:rsid w:val="00F4379D"/>
    <w:rsid w:val="00F43876"/>
    <w:rsid w:val="00F50635"/>
    <w:rsid w:val="00F50D2D"/>
    <w:rsid w:val="00F54826"/>
    <w:rsid w:val="00F56C8B"/>
    <w:rsid w:val="00F66810"/>
    <w:rsid w:val="00F846D9"/>
    <w:rsid w:val="00F84DF4"/>
    <w:rsid w:val="00F85C97"/>
    <w:rsid w:val="00F94A57"/>
    <w:rsid w:val="00FA51A0"/>
    <w:rsid w:val="00FB37D2"/>
    <w:rsid w:val="00FB7D08"/>
    <w:rsid w:val="00FC3788"/>
    <w:rsid w:val="00FC4EFB"/>
    <w:rsid w:val="00FD068D"/>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422F83"/>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422F83"/>
    <w:rPr>
      <w:rFonts w:eastAsiaTheme="minorHAnsi" w:cstheme="minorBidi"/>
      <w:b/>
      <w:szCs w:val="22"/>
      <w:lang w:eastAsia="en-US"/>
    </w:rPr>
  </w:style>
  <w:style w:type="character" w:customStyle="1" w:styleId="SCCLsocPrefixChar">
    <w:name w:val="SCC.Lsoc.Prefix Char"/>
    <w:basedOn w:val="DefaultParagraphFont"/>
    <w:link w:val="SCCLsocPrefix"/>
    <w:rsid w:val="00422F83"/>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26888">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3558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3A21-3FA6-438B-8B65-8B5E1D37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3689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2021-04-27T19:06:00Z</dcterms:created>
  <dcterms:modified xsi:type="dcterms:W3CDTF">2024-02-18T15:42:00Z</dcterms:modified>
</cp:coreProperties>
</file>