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502"/>
        <w:gridCol w:w="1512"/>
        <w:gridCol w:w="3244"/>
        <w:gridCol w:w="22"/>
      </w:tblGrid>
      <w:tr w:rsidR="0055119B">
        <w:trPr>
          <w:trHeight w:val="1786"/>
        </w:trPr>
        <w:tc>
          <w:tcPr>
            <w:tcW w:w="5000" w:type="pct"/>
            <w:gridSpan w:val="4"/>
            <w:hideMark/>
          </w:tcPr>
          <w:p w:rsidR="0055119B" w:rsidRDefault="0055119B">
            <w:pPr>
              <w:jc w:val="center"/>
              <w:rPr>
                <w:lang w:val="fr-CA"/>
              </w:rPr>
            </w:pPr>
            <w:r>
              <w:rPr>
                <w:noProof/>
                <w:lang w:val="fr-CA" w:eastAsia="fr-CA"/>
              </w:rPr>
              <w:drawing>
                <wp:inline distT="0" distB="0" distL="0" distR="0">
                  <wp:extent cx="1188720" cy="1638300"/>
                  <wp:effectExtent l="0" t="0" r="0"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88720" cy="1638300"/>
                          </a:xfrm>
                          <a:prstGeom prst="rect">
                            <a:avLst/>
                          </a:prstGeom>
                          <a:noFill/>
                          <a:ln>
                            <a:noFill/>
                          </a:ln>
                        </pic:spPr>
                      </pic:pic>
                    </a:graphicData>
                  </a:graphic>
                </wp:inline>
              </w:drawing>
            </w:r>
          </w:p>
          <w:p w:rsidR="0055119B" w:rsidRDefault="0055119B">
            <w:pPr>
              <w:spacing w:before="120" w:after="100" w:afterAutospacing="1"/>
              <w:jc w:val="center"/>
              <w:rPr>
                <w:lang w:val="fr-CA"/>
              </w:rPr>
            </w:pPr>
            <w:r>
              <w:rPr>
                <w:b/>
                <w:lang w:val="fr-CA"/>
              </w:rPr>
              <w:t>COUR SUPRÊME DU CANADA</w:t>
            </w:r>
          </w:p>
        </w:tc>
      </w:tr>
      <w:tr w:rsidR="0055119B">
        <w:trPr>
          <w:gridAfter w:val="1"/>
          <w:wAfter w:w="12" w:type="pct"/>
        </w:trPr>
        <w:tc>
          <w:tcPr>
            <w:tcW w:w="2115" w:type="pct"/>
            <w:tcMar>
              <w:top w:w="284" w:type="dxa"/>
              <w:left w:w="57" w:type="dxa"/>
              <w:bottom w:w="57" w:type="dxa"/>
              <w:right w:w="57" w:type="dxa"/>
            </w:tcMar>
            <w:hideMark/>
          </w:tcPr>
          <w:p w:rsidR="0055119B" w:rsidRDefault="0055119B">
            <w:pPr>
              <w:spacing w:before="100" w:beforeAutospacing="1"/>
            </w:pPr>
            <w:r>
              <w:rPr>
                <w:b/>
                <w:smallCaps/>
              </w:rPr>
              <w:t>Référence :</w:t>
            </w:r>
            <w:r>
              <w:t xml:space="preserve"> Ethiopian Orthodox </w:t>
            </w:r>
            <w:proofErr w:type="spellStart"/>
            <w:r>
              <w:t>Tewahedo</w:t>
            </w:r>
            <w:proofErr w:type="spellEnd"/>
            <w:r>
              <w:t xml:space="preserve"> Church of Canada St. Mary Cathedral </w:t>
            </w:r>
            <w:r>
              <w:rPr>
                <w:i/>
              </w:rPr>
              <w:t>c.</w:t>
            </w:r>
            <w:r>
              <w:t xml:space="preserve"> Aga, 2021 CSC 22</w:t>
            </w:r>
            <w:r>
              <w:t xml:space="preserve">, [2021] 1 </w:t>
            </w:r>
            <w:proofErr w:type="spellStart"/>
            <w:r>
              <w:t>R.C.S</w:t>
            </w:r>
            <w:proofErr w:type="spellEnd"/>
            <w:r>
              <w:t>. 868</w:t>
            </w:r>
          </w:p>
        </w:tc>
        <w:tc>
          <w:tcPr>
            <w:tcW w:w="913" w:type="pct"/>
          </w:tcPr>
          <w:p w:rsidR="0055119B" w:rsidRDefault="0055119B">
            <w:pPr>
              <w:rPr>
                <w:b/>
                <w:smallCaps/>
              </w:rPr>
            </w:pPr>
          </w:p>
        </w:tc>
        <w:tc>
          <w:tcPr>
            <w:tcW w:w="1959" w:type="pct"/>
            <w:tcMar>
              <w:top w:w="284" w:type="dxa"/>
              <w:left w:w="57" w:type="dxa"/>
              <w:bottom w:w="57" w:type="dxa"/>
              <w:right w:w="57" w:type="dxa"/>
            </w:tcMar>
            <w:hideMark/>
          </w:tcPr>
          <w:p w:rsidR="0055119B" w:rsidRDefault="0055119B">
            <w:pPr>
              <w:rPr>
                <w:lang w:val="fr-CA"/>
              </w:rPr>
            </w:pPr>
            <w:r>
              <w:rPr>
                <w:b/>
                <w:smallCaps/>
                <w:lang w:val="fr-CA"/>
              </w:rPr>
              <w:t>Appel entendu :</w:t>
            </w:r>
            <w:r>
              <w:rPr>
                <w:lang w:val="fr-CA"/>
              </w:rPr>
              <w:t xml:space="preserve"> 9 décembre 2020</w:t>
            </w:r>
          </w:p>
          <w:p w:rsidR="0055119B" w:rsidRDefault="0055119B">
            <w:pPr>
              <w:rPr>
                <w:b/>
                <w:smallCaps/>
                <w:lang w:val="fr-CA"/>
              </w:rPr>
            </w:pPr>
            <w:r>
              <w:rPr>
                <w:b/>
                <w:smallCaps/>
                <w:lang w:val="fr-CA"/>
              </w:rPr>
              <w:t xml:space="preserve">Jugement rendu : </w:t>
            </w:r>
            <w:r>
              <w:rPr>
                <w:lang w:val="fr-CA"/>
              </w:rPr>
              <w:t xml:space="preserve">21 mai </w:t>
            </w:r>
            <w:r>
              <w:rPr>
                <w:smallCaps/>
                <w:lang w:val="fr-CA"/>
              </w:rPr>
              <w:t>2021</w:t>
            </w:r>
          </w:p>
          <w:p w:rsidR="0055119B" w:rsidRDefault="0055119B">
            <w:pPr>
              <w:rPr>
                <w:lang w:val="fr-CA"/>
              </w:rPr>
            </w:pPr>
            <w:r>
              <w:rPr>
                <w:b/>
                <w:smallCaps/>
                <w:lang w:val="fr-CA"/>
              </w:rPr>
              <w:t>Dossier :</w:t>
            </w:r>
            <w:r>
              <w:rPr>
                <w:lang w:val="fr-CA"/>
              </w:rPr>
              <w:t xml:space="preserve"> 39094</w:t>
            </w:r>
          </w:p>
        </w:tc>
      </w:tr>
      <w:tr w:rsidR="0055119B">
        <w:tc>
          <w:tcPr>
            <w:tcW w:w="5000" w:type="pct"/>
            <w:gridSpan w:val="4"/>
          </w:tcPr>
          <w:p w:rsidR="0055119B" w:rsidRDefault="0055119B">
            <w:pPr>
              <w:rPr>
                <w:b/>
                <w:smallCaps/>
              </w:rPr>
            </w:pPr>
          </w:p>
          <w:p w:rsidR="0055119B" w:rsidRDefault="0055119B">
            <w:pPr>
              <w:rPr>
                <w:b/>
                <w:smallCaps/>
              </w:rPr>
            </w:pPr>
            <w:r>
              <w:rPr>
                <w:b/>
                <w:smallCaps/>
              </w:rPr>
              <w:t>Entre :</w:t>
            </w:r>
          </w:p>
          <w:p w:rsidR="0055119B" w:rsidRDefault="0055119B">
            <w:pPr>
              <w:rPr>
                <w:b/>
                <w:smallCaps/>
              </w:rPr>
            </w:pPr>
          </w:p>
          <w:p w:rsidR="0055119B" w:rsidRDefault="0055119B">
            <w:pPr>
              <w:jc w:val="center"/>
              <w:rPr>
                <w:b/>
              </w:rPr>
            </w:pPr>
            <w:r>
              <w:rPr>
                <w:b/>
              </w:rPr>
              <w:t xml:space="preserve">Ethiopian Orthodox </w:t>
            </w:r>
            <w:proofErr w:type="spellStart"/>
            <w:r>
              <w:rPr>
                <w:b/>
              </w:rPr>
              <w:t>Tewahedo</w:t>
            </w:r>
            <w:proofErr w:type="spellEnd"/>
            <w:r>
              <w:rPr>
                <w:b/>
              </w:rPr>
              <w:t xml:space="preserve"> Church of Canada St. Mary Cathedral, </w:t>
            </w:r>
          </w:p>
          <w:p w:rsidR="0055119B" w:rsidRDefault="0055119B">
            <w:pPr>
              <w:jc w:val="center"/>
              <w:rPr>
                <w:b/>
                <w:lang w:val="fr-CA"/>
              </w:rPr>
            </w:pPr>
            <w:proofErr w:type="spellStart"/>
            <w:r>
              <w:rPr>
                <w:b/>
                <w:lang w:val="fr-CA"/>
              </w:rPr>
              <w:t>Messale</w:t>
            </w:r>
            <w:proofErr w:type="spellEnd"/>
            <w:r>
              <w:rPr>
                <w:b/>
                <w:lang w:val="fr-CA"/>
              </w:rPr>
              <w:t xml:space="preserve"> </w:t>
            </w:r>
            <w:proofErr w:type="spellStart"/>
            <w:r>
              <w:rPr>
                <w:b/>
                <w:lang w:val="fr-CA"/>
              </w:rPr>
              <w:t>Engeda</w:t>
            </w:r>
            <w:proofErr w:type="spellEnd"/>
            <w:r>
              <w:rPr>
                <w:b/>
                <w:lang w:val="fr-CA"/>
              </w:rPr>
              <w:t xml:space="preserve">, </w:t>
            </w:r>
            <w:proofErr w:type="spellStart"/>
            <w:r>
              <w:rPr>
                <w:b/>
                <w:lang w:val="fr-CA"/>
              </w:rPr>
              <w:t>Abune</w:t>
            </w:r>
            <w:proofErr w:type="spellEnd"/>
            <w:r>
              <w:rPr>
                <w:b/>
                <w:lang w:val="fr-CA"/>
              </w:rPr>
              <w:t xml:space="preserve"> </w:t>
            </w:r>
            <w:proofErr w:type="spellStart"/>
            <w:r>
              <w:rPr>
                <w:b/>
                <w:lang w:val="fr-CA"/>
              </w:rPr>
              <w:t>Dimetros</w:t>
            </w:r>
            <w:proofErr w:type="spellEnd"/>
            <w:r>
              <w:rPr>
                <w:b/>
                <w:lang w:val="fr-CA"/>
              </w:rPr>
              <w:t xml:space="preserve"> et </w:t>
            </w:r>
            <w:proofErr w:type="spellStart"/>
            <w:r>
              <w:rPr>
                <w:b/>
                <w:lang w:val="fr-CA"/>
              </w:rPr>
              <w:t>Hiwot</w:t>
            </w:r>
            <w:proofErr w:type="spellEnd"/>
            <w:r>
              <w:rPr>
                <w:b/>
                <w:lang w:val="fr-CA"/>
              </w:rPr>
              <w:t xml:space="preserve"> </w:t>
            </w:r>
            <w:proofErr w:type="spellStart"/>
            <w:r>
              <w:rPr>
                <w:b/>
                <w:lang w:val="fr-CA"/>
              </w:rPr>
              <w:t>Bekele</w:t>
            </w:r>
            <w:proofErr w:type="spellEnd"/>
          </w:p>
          <w:p w:rsidR="0055119B" w:rsidRDefault="0055119B">
            <w:pPr>
              <w:jc w:val="center"/>
            </w:pPr>
            <w:proofErr w:type="spellStart"/>
            <w:r>
              <w:t>Appelants</w:t>
            </w:r>
            <w:proofErr w:type="spellEnd"/>
          </w:p>
          <w:p w:rsidR="0055119B" w:rsidRDefault="0055119B">
            <w:pPr>
              <w:jc w:val="center"/>
            </w:pPr>
          </w:p>
          <w:p w:rsidR="0055119B" w:rsidRDefault="0055119B">
            <w:pPr>
              <w:jc w:val="center"/>
            </w:pPr>
            <w:r>
              <w:t>et</w:t>
            </w:r>
          </w:p>
          <w:p w:rsidR="0055119B" w:rsidRDefault="0055119B">
            <w:pPr>
              <w:jc w:val="center"/>
            </w:pPr>
          </w:p>
          <w:p w:rsidR="0055119B" w:rsidRDefault="0055119B">
            <w:pPr>
              <w:jc w:val="center"/>
              <w:rPr>
                <w:b/>
              </w:rPr>
            </w:pPr>
            <w:proofErr w:type="spellStart"/>
            <w:r>
              <w:rPr>
                <w:b/>
              </w:rPr>
              <w:t>Teshome</w:t>
            </w:r>
            <w:proofErr w:type="spellEnd"/>
            <w:r>
              <w:rPr>
                <w:b/>
              </w:rPr>
              <w:t xml:space="preserve"> Aga, </w:t>
            </w:r>
            <w:proofErr w:type="spellStart"/>
            <w:r>
              <w:rPr>
                <w:b/>
              </w:rPr>
              <w:t>Yoseph</w:t>
            </w:r>
            <w:proofErr w:type="spellEnd"/>
            <w:r>
              <w:rPr>
                <w:b/>
              </w:rPr>
              <w:t xml:space="preserve"> </w:t>
            </w:r>
            <w:proofErr w:type="spellStart"/>
            <w:r>
              <w:rPr>
                <w:b/>
              </w:rPr>
              <w:t>Beyene</w:t>
            </w:r>
            <w:proofErr w:type="spellEnd"/>
            <w:r>
              <w:rPr>
                <w:b/>
              </w:rPr>
              <w:t xml:space="preserve">, </w:t>
            </w:r>
            <w:proofErr w:type="spellStart"/>
            <w:r>
              <w:rPr>
                <w:b/>
              </w:rPr>
              <w:t>Dereje</w:t>
            </w:r>
            <w:proofErr w:type="spellEnd"/>
            <w:r>
              <w:rPr>
                <w:b/>
              </w:rPr>
              <w:t xml:space="preserve"> </w:t>
            </w:r>
            <w:proofErr w:type="spellStart"/>
            <w:r>
              <w:rPr>
                <w:b/>
              </w:rPr>
              <w:t>Goshu</w:t>
            </w:r>
            <w:proofErr w:type="spellEnd"/>
            <w:r>
              <w:rPr>
                <w:b/>
              </w:rPr>
              <w:t xml:space="preserve">, </w:t>
            </w:r>
            <w:proofErr w:type="spellStart"/>
            <w:r>
              <w:rPr>
                <w:b/>
              </w:rPr>
              <w:t>Tseduke</w:t>
            </w:r>
            <w:proofErr w:type="spellEnd"/>
            <w:r>
              <w:rPr>
                <w:b/>
              </w:rPr>
              <w:t xml:space="preserve"> </w:t>
            </w:r>
            <w:proofErr w:type="spellStart"/>
            <w:r>
              <w:rPr>
                <w:b/>
              </w:rPr>
              <w:t>Gezaw</w:t>
            </w:r>
            <w:proofErr w:type="spellEnd"/>
            <w:r>
              <w:rPr>
                <w:b/>
              </w:rPr>
              <w:t xml:space="preserve"> et Belay </w:t>
            </w:r>
            <w:proofErr w:type="spellStart"/>
            <w:r>
              <w:rPr>
                <w:b/>
              </w:rPr>
              <w:t>Hebest</w:t>
            </w:r>
            <w:proofErr w:type="spellEnd"/>
          </w:p>
          <w:p w:rsidR="0055119B" w:rsidRDefault="0055119B">
            <w:pPr>
              <w:jc w:val="center"/>
              <w:rPr>
                <w:lang w:val="fr-CA"/>
              </w:rPr>
            </w:pPr>
            <w:r>
              <w:rPr>
                <w:lang w:val="fr-CA"/>
              </w:rPr>
              <w:t>Intimés</w:t>
            </w:r>
          </w:p>
          <w:p w:rsidR="0055119B" w:rsidRDefault="0055119B">
            <w:pPr>
              <w:jc w:val="center"/>
              <w:rPr>
                <w:lang w:val="fr-CA"/>
              </w:rPr>
            </w:pPr>
          </w:p>
          <w:p w:rsidR="0055119B" w:rsidRDefault="0055119B">
            <w:pPr>
              <w:jc w:val="center"/>
              <w:rPr>
                <w:lang w:val="fr-CA"/>
              </w:rPr>
            </w:pPr>
            <w:r>
              <w:rPr>
                <w:lang w:val="fr-CA"/>
              </w:rPr>
              <w:t>- et -</w:t>
            </w:r>
          </w:p>
          <w:p w:rsidR="0055119B" w:rsidRDefault="0055119B">
            <w:pPr>
              <w:jc w:val="center"/>
              <w:rPr>
                <w:b/>
                <w:lang w:val="fr-CA"/>
              </w:rPr>
            </w:pPr>
          </w:p>
          <w:p w:rsidR="0055119B" w:rsidRDefault="0055119B">
            <w:pPr>
              <w:jc w:val="center"/>
              <w:rPr>
                <w:b/>
                <w:lang w:val="fr-CA"/>
              </w:rPr>
            </w:pPr>
            <w:r>
              <w:rPr>
                <w:b/>
                <w:lang w:val="fr-CA"/>
              </w:rPr>
              <w:t xml:space="preserve">Association canadienne des avocats musulmans, Association for </w:t>
            </w:r>
            <w:proofErr w:type="spellStart"/>
            <w:r>
              <w:rPr>
                <w:b/>
                <w:lang w:val="fr-CA"/>
              </w:rPr>
              <w:t>Reformed</w:t>
            </w:r>
            <w:proofErr w:type="spellEnd"/>
            <w:r>
              <w:rPr>
                <w:b/>
                <w:lang w:val="fr-CA"/>
              </w:rPr>
              <w:t xml:space="preserve"> </w:t>
            </w:r>
            <w:proofErr w:type="spellStart"/>
            <w:r>
              <w:rPr>
                <w:b/>
                <w:lang w:val="fr-CA"/>
              </w:rPr>
              <w:t>Political</w:t>
            </w:r>
            <w:proofErr w:type="spellEnd"/>
            <w:r>
              <w:rPr>
                <w:b/>
                <w:lang w:val="fr-CA"/>
              </w:rPr>
              <w:t xml:space="preserve"> Action (</w:t>
            </w:r>
            <w:proofErr w:type="spellStart"/>
            <w:r>
              <w:rPr>
                <w:b/>
                <w:lang w:val="fr-CA"/>
              </w:rPr>
              <w:t>ARPA</w:t>
            </w:r>
            <w:proofErr w:type="spellEnd"/>
            <w:r>
              <w:rPr>
                <w:b/>
                <w:lang w:val="fr-CA"/>
              </w:rPr>
              <w:t xml:space="preserve">) Canada, Association canadienne des libertés civiles, Alliance évangélique du Canada, Ligue catholique pour les droits de l’homme, Tour de Garde Société de Bibles et de Tracts du Canada, British Columbia </w:t>
            </w:r>
            <w:proofErr w:type="spellStart"/>
            <w:r>
              <w:rPr>
                <w:b/>
                <w:lang w:val="fr-CA"/>
              </w:rPr>
              <w:t>Humanist</w:t>
            </w:r>
            <w:proofErr w:type="spellEnd"/>
            <w:r>
              <w:rPr>
                <w:b/>
                <w:lang w:val="fr-CA"/>
              </w:rPr>
              <w:t xml:space="preserve"> Association, Église adventiste du septième jour au Canada, Alliance des chrétiens en droit, Conseil national des musulmans canadiens, Fonds Égale Canada pour les droits de la personne et Canadian Centre for Christian </w:t>
            </w:r>
            <w:proofErr w:type="spellStart"/>
            <w:r>
              <w:rPr>
                <w:b/>
                <w:lang w:val="fr-CA"/>
              </w:rPr>
              <w:t>Charities</w:t>
            </w:r>
            <w:proofErr w:type="spellEnd"/>
          </w:p>
          <w:p w:rsidR="0055119B" w:rsidRDefault="0055119B">
            <w:pPr>
              <w:jc w:val="center"/>
              <w:rPr>
                <w:lang w:val="fr-CA"/>
              </w:rPr>
            </w:pPr>
            <w:r>
              <w:rPr>
                <w:lang w:val="fr-CA"/>
              </w:rPr>
              <w:t>Intervenants</w:t>
            </w:r>
          </w:p>
          <w:p w:rsidR="0055119B" w:rsidRDefault="0055119B">
            <w:pPr>
              <w:rPr>
                <w:lang w:val="fr-CA"/>
              </w:rPr>
            </w:pPr>
          </w:p>
          <w:p w:rsidR="0055119B" w:rsidRDefault="0055119B">
            <w:pPr>
              <w:rPr>
                <w:lang w:val="fr-CA"/>
              </w:rPr>
            </w:pPr>
          </w:p>
          <w:p w:rsidR="0055119B" w:rsidRDefault="0055119B">
            <w:pPr>
              <w:jc w:val="center"/>
              <w:rPr>
                <w:b/>
                <w:smallCaps/>
                <w:lang w:val="fr-CA"/>
              </w:rPr>
            </w:pPr>
            <w:r>
              <w:rPr>
                <w:b/>
                <w:smallCaps/>
                <w:lang w:val="fr-CA"/>
              </w:rPr>
              <w:t>Traduction française officielle</w:t>
            </w:r>
          </w:p>
          <w:p w:rsidR="0055119B" w:rsidRDefault="0055119B">
            <w:pPr>
              <w:rPr>
                <w:b/>
                <w:smallCaps/>
                <w:lang w:val="fr-CA"/>
              </w:rPr>
            </w:pPr>
          </w:p>
        </w:tc>
      </w:tr>
    </w:tbl>
    <w:p w:rsidR="0055119B" w:rsidRDefault="0055119B" w:rsidP="0055119B">
      <w:pPr>
        <w:rPr>
          <w:rFonts w:eastAsiaTheme="minorHAnsi" w:cstheme="minorBidi"/>
          <w:szCs w:val="24"/>
          <w:lang w:val="fr-CA" w:eastAsia="en-US"/>
        </w:rPr>
      </w:pPr>
      <w:r>
        <w:rPr>
          <w:rFonts w:eastAsiaTheme="minorHAnsi" w:cstheme="minorBidi"/>
          <w:b/>
          <w:smallCaps/>
          <w:szCs w:val="24"/>
          <w:lang w:val="fr-CA" w:eastAsia="en-US"/>
        </w:rPr>
        <w:t>Coram :</w:t>
      </w:r>
      <w:r>
        <w:rPr>
          <w:rFonts w:eastAsiaTheme="minorHAnsi" w:cstheme="minorBidi"/>
          <w:szCs w:val="24"/>
          <w:lang w:val="fr-CA" w:eastAsia="en-US"/>
        </w:rPr>
        <w:t xml:space="preserve"> Le juge en chef Wagner et les juges Abella, </w:t>
      </w:r>
      <w:proofErr w:type="spellStart"/>
      <w:r>
        <w:rPr>
          <w:rFonts w:eastAsiaTheme="minorHAnsi" w:cstheme="minorBidi"/>
          <w:szCs w:val="24"/>
          <w:lang w:val="fr-CA" w:eastAsia="en-US"/>
        </w:rPr>
        <w:t>Moldaver</w:t>
      </w:r>
      <w:proofErr w:type="spellEnd"/>
      <w:r>
        <w:rPr>
          <w:rFonts w:eastAsiaTheme="minorHAnsi" w:cstheme="minorBidi"/>
          <w:szCs w:val="24"/>
          <w:lang w:val="fr-CA" w:eastAsia="en-US"/>
        </w:rPr>
        <w:t xml:space="preserve">, </w:t>
      </w:r>
      <w:proofErr w:type="spellStart"/>
      <w:r>
        <w:rPr>
          <w:rFonts w:eastAsiaTheme="minorHAnsi" w:cstheme="minorBidi"/>
          <w:szCs w:val="24"/>
          <w:lang w:val="fr-CA" w:eastAsia="en-US"/>
        </w:rPr>
        <w:t>Karakatsanis</w:t>
      </w:r>
      <w:proofErr w:type="spellEnd"/>
      <w:r>
        <w:rPr>
          <w:rFonts w:eastAsiaTheme="minorHAnsi" w:cstheme="minorBidi"/>
          <w:szCs w:val="24"/>
          <w:lang w:val="fr-CA" w:eastAsia="en-US"/>
        </w:rPr>
        <w:t xml:space="preserve">, Côté, Brown, Rowe, Martin et </w:t>
      </w:r>
      <w:proofErr w:type="spellStart"/>
      <w:r>
        <w:rPr>
          <w:rFonts w:eastAsiaTheme="minorHAnsi" w:cstheme="minorBidi"/>
          <w:szCs w:val="24"/>
          <w:lang w:val="fr-CA" w:eastAsia="en-US"/>
        </w:rPr>
        <w:t>Kasirer</w:t>
      </w:r>
      <w:proofErr w:type="spellEnd"/>
    </w:p>
    <w:p w:rsidR="0055119B" w:rsidRDefault="0055119B" w:rsidP="0055119B">
      <w:pPr>
        <w:rPr>
          <w:rFonts w:eastAsiaTheme="minorHAnsi" w:cstheme="minorBidi"/>
          <w:szCs w:val="24"/>
          <w:lang w:val="fr-CA" w:eastAsia="en-US"/>
        </w:rPr>
      </w:pPr>
    </w:p>
    <w:tbl>
      <w:tblPr>
        <w:tblStyle w:val="TableGrid2"/>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5119B">
        <w:trPr>
          <w:cantSplit/>
        </w:trPr>
        <w:tc>
          <w:tcPr>
            <w:tcW w:w="3618" w:type="dxa"/>
            <w:hideMark/>
          </w:tcPr>
          <w:p w:rsidR="0055119B" w:rsidRDefault="0055119B">
            <w:pPr>
              <w:rPr>
                <w:b/>
                <w:smallCaps/>
                <w:lang w:val="fr-CA"/>
              </w:rPr>
            </w:pPr>
            <w:r>
              <w:rPr>
                <w:b/>
                <w:smallCaps/>
                <w:lang w:val="fr-CA"/>
              </w:rPr>
              <w:t>Motifs de jugement :</w:t>
            </w:r>
          </w:p>
          <w:p w:rsidR="0055119B" w:rsidRDefault="0055119B">
            <w:pPr>
              <w:rPr>
                <w:lang w:val="fr-CA"/>
              </w:rPr>
            </w:pPr>
            <w:r>
              <w:rPr>
                <w:lang w:val="fr-CA"/>
              </w:rPr>
              <w:t>(par. 1 à 58)</w:t>
            </w:r>
          </w:p>
        </w:tc>
        <w:tc>
          <w:tcPr>
            <w:tcW w:w="5958" w:type="dxa"/>
            <w:hideMark/>
          </w:tcPr>
          <w:p w:rsidR="0055119B" w:rsidRDefault="0055119B">
            <w:pPr>
              <w:rPr>
                <w:lang w:val="fr-CA"/>
              </w:rPr>
            </w:pPr>
            <w:r>
              <w:rPr>
                <w:lang w:val="fr-CA"/>
              </w:rPr>
              <w:t xml:space="preserve">Le juge Rowe (avec l’accord du juge en chef Wagner et des juges Abella, </w:t>
            </w:r>
            <w:proofErr w:type="spellStart"/>
            <w:r>
              <w:rPr>
                <w:lang w:val="fr-CA"/>
              </w:rPr>
              <w:t>Moldaver</w:t>
            </w:r>
            <w:proofErr w:type="spellEnd"/>
            <w:r>
              <w:rPr>
                <w:lang w:val="fr-CA"/>
              </w:rPr>
              <w:t xml:space="preserve">, </w:t>
            </w:r>
            <w:proofErr w:type="spellStart"/>
            <w:r>
              <w:rPr>
                <w:lang w:val="fr-CA"/>
              </w:rPr>
              <w:t>Karakatsanis</w:t>
            </w:r>
            <w:proofErr w:type="spellEnd"/>
            <w:r>
              <w:rPr>
                <w:lang w:val="fr-CA"/>
              </w:rPr>
              <w:t xml:space="preserve">, Côté, Brown, Martin et </w:t>
            </w:r>
            <w:proofErr w:type="spellStart"/>
            <w:r>
              <w:rPr>
                <w:lang w:val="fr-CA"/>
              </w:rPr>
              <w:t>Kasirer</w:t>
            </w:r>
            <w:proofErr w:type="spellEnd"/>
            <w:r>
              <w:rPr>
                <w:lang w:val="fr-CA"/>
              </w:rPr>
              <w:t>)</w:t>
            </w:r>
          </w:p>
        </w:tc>
      </w:tr>
    </w:tbl>
    <w:p w:rsidR="0055119B" w:rsidRDefault="0055119B" w:rsidP="0055119B">
      <w:pPr>
        <w:rPr>
          <w:rFonts w:eastAsiaTheme="minorHAnsi" w:cstheme="minorBidi"/>
          <w:szCs w:val="24"/>
          <w:lang w:val="fr-CA" w:eastAsia="en-US"/>
        </w:rPr>
      </w:pPr>
    </w:p>
    <w:p w:rsidR="0055119B" w:rsidRDefault="0055119B" w:rsidP="0055119B">
      <w:pPr>
        <w:rPr>
          <w:rFonts w:eastAsiaTheme="minorHAnsi" w:cstheme="minorBidi"/>
          <w:szCs w:val="24"/>
          <w:lang w:val="fr-CA" w:eastAsia="en-US"/>
        </w:rPr>
      </w:pPr>
      <w:r>
        <w:rPr>
          <w:noProof/>
          <w:lang w:val="fr-CA" w:eastAsia="fr-CA"/>
        </w:rPr>
        <mc:AlternateContent>
          <mc:Choice Requires="wps">
            <w:drawing>
              <wp:anchor distT="0" distB="0" distL="114300" distR="114300" simplePos="0" relativeHeight="251659264" behindDoc="0" locked="0" layoutInCell="1" allowOverlap="1">
                <wp:simplePos x="0" y="0"/>
                <wp:positionH relativeFrom="column">
                  <wp:posOffset>1609725</wp:posOffset>
                </wp:positionH>
                <wp:positionV relativeFrom="paragraph">
                  <wp:posOffset>184150</wp:posOffset>
                </wp:positionV>
                <wp:extent cx="250507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D44C05" id="_x0000_t32" coordsize="21600,21600" o:spt="32" o:oned="t" path="m,l21600,21600e" filled="f">
                <v:path arrowok="t" fillok="f" o:connecttype="none"/>
                <o:lock v:ext="edit" shapetype="t"/>
              </v:shapetype>
              <v:shape id="Straight Arrow Connector 4"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"/>
            </w:pict>
          </mc:Fallback>
        </mc:AlternateContent>
      </w:r>
    </w:p>
    <w:p w:rsidR="0055119B" w:rsidRPr="0055119B" w:rsidRDefault="0055119B" w:rsidP="0055119B">
      <w:pPr>
        <w:pStyle w:val="SCCLsocParty"/>
        <w:rPr>
          <w:lang w:val="fr-CA"/>
        </w:rPr>
      </w:pPr>
    </w:p>
    <w:p w:rsidR="0055119B" w:rsidRPr="0055119B" w:rsidRDefault="0055119B" w:rsidP="0055119B">
      <w:pPr>
        <w:rPr>
          <w:lang w:val="fr-CA"/>
        </w:rPr>
      </w:pPr>
    </w:p>
    <w:p w:rsidR="0055119B" w:rsidRDefault="00C81AA4" w:rsidP="00C81AA4">
      <w:pPr>
        <w:pStyle w:val="SCCLsocParty"/>
      </w:pPr>
      <w:r w:rsidRPr="001D0B71">
        <w:t xml:space="preserve">Ethiopian Orthodox </w:t>
      </w:r>
      <w:proofErr w:type="spellStart"/>
      <w:r w:rsidRPr="001D0B71">
        <w:t>Tewahedo</w:t>
      </w:r>
      <w:proofErr w:type="spellEnd"/>
      <w:r w:rsidRPr="001D0B71">
        <w:t xml:space="preserve"> Church of </w:t>
      </w:r>
    </w:p>
    <w:p w:rsidR="00C81AA4" w:rsidRPr="001D0B71" w:rsidRDefault="00C81AA4" w:rsidP="00C81AA4">
      <w:pPr>
        <w:pStyle w:val="SCCLsocParty"/>
      </w:pPr>
      <w:r w:rsidRPr="001D0B71">
        <w:t>Canada St. Mary Cathedral,</w:t>
      </w:r>
    </w:p>
    <w:p w:rsidR="00C81AA4" w:rsidRPr="001D0B71" w:rsidRDefault="00C81AA4" w:rsidP="00C81AA4">
      <w:pPr>
        <w:pStyle w:val="SCCLsocParty"/>
        <w:rPr>
          <w:lang w:val="fr-CA"/>
        </w:rPr>
      </w:pPr>
      <w:proofErr w:type="spellStart"/>
      <w:r w:rsidRPr="0055119B">
        <w:rPr>
          <w:lang w:val="en-US"/>
        </w:rPr>
        <w:t>Messale</w:t>
      </w:r>
      <w:proofErr w:type="spellEnd"/>
      <w:r w:rsidRPr="0055119B">
        <w:rPr>
          <w:lang w:val="en-US"/>
        </w:rPr>
        <w:t xml:space="preserve"> </w:t>
      </w:r>
      <w:proofErr w:type="spellStart"/>
      <w:r w:rsidRPr="0055119B">
        <w:rPr>
          <w:lang w:val="en-US"/>
        </w:rPr>
        <w:t>Engeda</w:t>
      </w:r>
      <w:proofErr w:type="spellEnd"/>
      <w:r w:rsidRPr="0055119B">
        <w:rPr>
          <w:lang w:val="en-US"/>
        </w:rPr>
        <w:t>,</w:t>
      </w:r>
      <w:r w:rsidR="0055119B">
        <w:rPr>
          <w:lang w:val="en-US"/>
        </w:rPr>
        <w:t xml:space="preserve"> </w:t>
      </w:r>
      <w:proofErr w:type="spellStart"/>
      <w:r w:rsidRPr="001D0B71">
        <w:rPr>
          <w:lang w:val="fr-CA"/>
        </w:rPr>
        <w:t>Abune</w:t>
      </w:r>
      <w:proofErr w:type="spellEnd"/>
      <w:r w:rsidRPr="001D0B71">
        <w:rPr>
          <w:lang w:val="fr-CA"/>
        </w:rPr>
        <w:t xml:space="preserve"> </w:t>
      </w:r>
      <w:proofErr w:type="spellStart"/>
      <w:r w:rsidRPr="001D0B71">
        <w:rPr>
          <w:lang w:val="fr-CA"/>
        </w:rPr>
        <w:t>Dimetros</w:t>
      </w:r>
      <w:proofErr w:type="spellEnd"/>
      <w:r w:rsidRPr="001D0B71">
        <w:rPr>
          <w:lang w:val="fr-CA"/>
        </w:rPr>
        <w:t xml:space="preserve"> </w:t>
      </w:r>
      <w:proofErr w:type="gramStart"/>
      <w:r w:rsidRPr="001D0B71">
        <w:rPr>
          <w:lang w:val="fr-CA"/>
        </w:rPr>
        <w:t>et</w:t>
      </w:r>
      <w:proofErr w:type="gramEnd"/>
      <w:r w:rsidRPr="001D0B71">
        <w:rPr>
          <w:lang w:val="fr-CA"/>
        </w:rPr>
        <w:t xml:space="preserve"> </w:t>
      </w:r>
    </w:p>
    <w:p w:rsidR="00C81AA4" w:rsidRPr="001D0B71" w:rsidRDefault="00C81AA4" w:rsidP="00C81AA4">
      <w:pPr>
        <w:pStyle w:val="SCCLsocParty"/>
        <w:spacing w:after="720"/>
        <w:rPr>
          <w:lang w:val="fr-CA"/>
        </w:rPr>
      </w:pPr>
      <w:r w:rsidRPr="001D0B71">
        <w:rPr>
          <w:lang w:val="fr-CA"/>
        </w:rPr>
        <w:t>Hiwot Bekele</w:t>
      </w:r>
      <w:r w:rsidRPr="001D0B71">
        <w:rPr>
          <w:rStyle w:val="SCCLsocPartyRole"/>
          <w:lang w:val="fr-CA"/>
        </w:rPr>
        <w:tab/>
        <w:t>Appelants</w:t>
      </w:r>
    </w:p>
    <w:p w:rsidR="00C81AA4" w:rsidRPr="001D0B71" w:rsidRDefault="00C81AA4" w:rsidP="00C81AA4">
      <w:pPr>
        <w:pStyle w:val="SCCLsocVersus"/>
      </w:pPr>
      <w:proofErr w:type="gramStart"/>
      <w:r w:rsidRPr="001D0B71">
        <w:t>c</w:t>
      </w:r>
      <w:proofErr w:type="gramEnd"/>
      <w:r w:rsidRPr="001D0B71">
        <w:t>.</w:t>
      </w:r>
    </w:p>
    <w:p w:rsidR="00C81AA4" w:rsidRPr="001D0B71" w:rsidRDefault="00C81AA4" w:rsidP="00C81AA4">
      <w:pPr>
        <w:pStyle w:val="SCCLsocParty"/>
      </w:pPr>
      <w:proofErr w:type="spellStart"/>
      <w:r w:rsidRPr="001D0B71">
        <w:t>Teshome</w:t>
      </w:r>
      <w:proofErr w:type="spellEnd"/>
      <w:r w:rsidRPr="001D0B71">
        <w:t xml:space="preserve"> Aga,</w:t>
      </w:r>
      <w:r w:rsidR="0055119B">
        <w:t xml:space="preserve"> </w:t>
      </w:r>
      <w:proofErr w:type="spellStart"/>
      <w:r w:rsidRPr="001D0B71">
        <w:t>Yoseph</w:t>
      </w:r>
      <w:proofErr w:type="spellEnd"/>
      <w:r w:rsidRPr="001D0B71">
        <w:t xml:space="preserve"> </w:t>
      </w:r>
      <w:proofErr w:type="spellStart"/>
      <w:r w:rsidRPr="001D0B71">
        <w:t>Beyene</w:t>
      </w:r>
      <w:proofErr w:type="spellEnd"/>
      <w:r w:rsidRPr="001D0B71">
        <w:t>,</w:t>
      </w:r>
    </w:p>
    <w:p w:rsidR="00C81AA4" w:rsidRPr="001D0B71" w:rsidRDefault="00C81AA4" w:rsidP="00C81AA4">
      <w:pPr>
        <w:pStyle w:val="SCCLsocParty"/>
      </w:pPr>
      <w:proofErr w:type="spellStart"/>
      <w:r w:rsidRPr="001D0B71">
        <w:t>Dereje</w:t>
      </w:r>
      <w:proofErr w:type="spellEnd"/>
      <w:r w:rsidRPr="001D0B71">
        <w:t xml:space="preserve"> </w:t>
      </w:r>
      <w:proofErr w:type="spellStart"/>
      <w:r w:rsidRPr="001D0B71">
        <w:t>Goshu</w:t>
      </w:r>
      <w:proofErr w:type="spellEnd"/>
      <w:r w:rsidRPr="001D0B71">
        <w:t>,</w:t>
      </w:r>
      <w:r w:rsidR="0055119B">
        <w:t xml:space="preserve"> </w:t>
      </w:r>
      <w:proofErr w:type="spellStart"/>
      <w:r w:rsidRPr="001D0B71">
        <w:t>Tseduke</w:t>
      </w:r>
      <w:proofErr w:type="spellEnd"/>
      <w:r w:rsidRPr="001D0B71">
        <w:t xml:space="preserve"> </w:t>
      </w:r>
      <w:proofErr w:type="spellStart"/>
      <w:r w:rsidRPr="001D0B71">
        <w:t>Gezaw</w:t>
      </w:r>
      <w:proofErr w:type="spellEnd"/>
      <w:r w:rsidRPr="001D0B71">
        <w:t xml:space="preserve"> </w:t>
      </w:r>
      <w:proofErr w:type="gramStart"/>
      <w:r w:rsidRPr="001D0B71">
        <w:t>et</w:t>
      </w:r>
      <w:proofErr w:type="gramEnd"/>
    </w:p>
    <w:p w:rsidR="00C81AA4" w:rsidRPr="001D0B71" w:rsidRDefault="00C81AA4" w:rsidP="00C81AA4">
      <w:pPr>
        <w:pStyle w:val="SCCLsocLastPartyInRole"/>
        <w:rPr>
          <w:lang w:val="en-US"/>
        </w:rPr>
      </w:pPr>
      <w:r w:rsidRPr="001D0B71">
        <w:rPr>
          <w:lang w:val="en-US"/>
        </w:rPr>
        <w:t>Belay Hebest</w:t>
      </w:r>
      <w:r w:rsidRPr="001D0B71">
        <w:rPr>
          <w:rStyle w:val="SCCLsocPartyRole"/>
          <w:lang w:val="en-US"/>
        </w:rPr>
        <w:tab/>
        <w:t>Intimés</w:t>
      </w:r>
    </w:p>
    <w:p w:rsidR="00C81AA4" w:rsidRPr="001D0B71" w:rsidRDefault="00C81AA4" w:rsidP="00C81AA4">
      <w:pPr>
        <w:pStyle w:val="SCCLsocOtherPartySeparator"/>
        <w:rPr>
          <w:lang w:val="fr-CA"/>
        </w:rPr>
      </w:pPr>
      <w:proofErr w:type="gramStart"/>
      <w:r w:rsidRPr="001D0B71">
        <w:rPr>
          <w:lang w:val="fr-CA"/>
        </w:rPr>
        <w:t>et</w:t>
      </w:r>
      <w:proofErr w:type="gramEnd"/>
    </w:p>
    <w:p w:rsidR="00C81AA4" w:rsidRPr="001D0B71" w:rsidRDefault="00C81AA4" w:rsidP="00C81AA4">
      <w:pPr>
        <w:pStyle w:val="SCCLsocParty"/>
        <w:rPr>
          <w:lang w:val="fr-CA"/>
        </w:rPr>
      </w:pPr>
      <w:r w:rsidRPr="001D0B71">
        <w:rPr>
          <w:lang w:val="fr-CA"/>
        </w:rPr>
        <w:t>Association canadienne des avocats musulmans,</w:t>
      </w:r>
    </w:p>
    <w:p w:rsidR="00C81AA4" w:rsidRPr="001D0B71" w:rsidRDefault="00C81AA4" w:rsidP="00C81AA4">
      <w:pPr>
        <w:pStyle w:val="SCCLsocParty"/>
      </w:pPr>
      <w:r w:rsidRPr="001D0B71">
        <w:t>Association for Reformed Political Action (ARPA) Canada,</w:t>
      </w:r>
    </w:p>
    <w:p w:rsidR="00C81AA4" w:rsidRPr="001D0B71" w:rsidRDefault="00C81AA4" w:rsidP="00C81AA4">
      <w:pPr>
        <w:pStyle w:val="SCCLsocParty"/>
        <w:rPr>
          <w:lang w:val="fr-CA"/>
        </w:rPr>
      </w:pPr>
      <w:r w:rsidRPr="001D0B71">
        <w:rPr>
          <w:lang w:val="fr-CA"/>
        </w:rPr>
        <w:t>Association canadienne des libertés civiles,</w:t>
      </w:r>
    </w:p>
    <w:p w:rsidR="00C81AA4" w:rsidRPr="001D0B71" w:rsidRDefault="00C81AA4" w:rsidP="00C81AA4">
      <w:pPr>
        <w:pStyle w:val="SCCLsocParty"/>
        <w:rPr>
          <w:lang w:val="fr-CA"/>
        </w:rPr>
      </w:pPr>
      <w:r w:rsidRPr="001D0B71">
        <w:rPr>
          <w:lang w:val="fr-CA"/>
        </w:rPr>
        <w:t xml:space="preserve">Alliance évangélique du Canada, </w:t>
      </w:r>
    </w:p>
    <w:p w:rsidR="00C81AA4" w:rsidRPr="001D0B71" w:rsidRDefault="00C81AA4" w:rsidP="00C81AA4">
      <w:pPr>
        <w:pStyle w:val="SCCLsocParty"/>
        <w:rPr>
          <w:lang w:val="fr-CA"/>
        </w:rPr>
      </w:pPr>
      <w:r w:rsidRPr="001D0B71">
        <w:rPr>
          <w:lang w:val="fr-CA"/>
        </w:rPr>
        <w:t>Ligue catholique pour les droits de l’homme,</w:t>
      </w:r>
    </w:p>
    <w:p w:rsidR="00C81AA4" w:rsidRPr="001D0B71" w:rsidRDefault="00C81AA4" w:rsidP="00C81AA4">
      <w:pPr>
        <w:pStyle w:val="SCCLsocParty"/>
        <w:rPr>
          <w:lang w:val="fr-CA"/>
        </w:rPr>
      </w:pPr>
      <w:r w:rsidRPr="001D0B71">
        <w:rPr>
          <w:lang w:val="fr-CA"/>
        </w:rPr>
        <w:t>Tour de Garde Société de Bibles et de Tracts du Canada,</w:t>
      </w:r>
    </w:p>
    <w:p w:rsidR="00C81AA4" w:rsidRPr="001D0B71" w:rsidRDefault="00C81AA4" w:rsidP="00C81AA4">
      <w:pPr>
        <w:pStyle w:val="SCCLsocParty"/>
        <w:rPr>
          <w:lang w:val="fr-CA"/>
        </w:rPr>
      </w:pPr>
      <w:r w:rsidRPr="001D0B71">
        <w:rPr>
          <w:lang w:val="fr-CA"/>
        </w:rPr>
        <w:t>British Columbia Humanist Association,</w:t>
      </w:r>
    </w:p>
    <w:p w:rsidR="00C81AA4" w:rsidRPr="001D0B71" w:rsidRDefault="00C81AA4" w:rsidP="00C81AA4">
      <w:pPr>
        <w:pStyle w:val="SCCLsocParty"/>
        <w:rPr>
          <w:lang w:val="fr-CA"/>
        </w:rPr>
      </w:pPr>
      <w:r w:rsidRPr="001D0B71">
        <w:rPr>
          <w:lang w:val="fr-CA"/>
        </w:rPr>
        <w:t>Église adventiste du septième jour au Canada,</w:t>
      </w:r>
    </w:p>
    <w:p w:rsidR="00C81AA4" w:rsidRPr="001D0B71" w:rsidRDefault="00C81AA4" w:rsidP="00C81AA4">
      <w:pPr>
        <w:pStyle w:val="SCCLsocParty"/>
        <w:rPr>
          <w:lang w:val="fr-CA"/>
        </w:rPr>
      </w:pPr>
      <w:r w:rsidRPr="001D0B71">
        <w:rPr>
          <w:lang w:val="fr-CA"/>
        </w:rPr>
        <w:t>Alliance des chrétiens en droit,</w:t>
      </w:r>
    </w:p>
    <w:p w:rsidR="00C81AA4" w:rsidRPr="001D0B71" w:rsidRDefault="00C81AA4" w:rsidP="00C81AA4">
      <w:pPr>
        <w:pStyle w:val="SCCLsocParty"/>
        <w:rPr>
          <w:lang w:val="fr-CA"/>
        </w:rPr>
      </w:pPr>
      <w:r w:rsidRPr="001D0B71">
        <w:rPr>
          <w:lang w:val="fr-CA"/>
        </w:rPr>
        <w:t>Conseil national des musulmans canadiens,</w:t>
      </w:r>
    </w:p>
    <w:p w:rsidR="00C81AA4" w:rsidRPr="001D0B71" w:rsidRDefault="00C81AA4" w:rsidP="00C81AA4">
      <w:pPr>
        <w:pStyle w:val="SCCLsocParty"/>
        <w:rPr>
          <w:lang w:val="fr-CA"/>
        </w:rPr>
      </w:pPr>
      <w:r w:rsidRPr="001D0B71">
        <w:rPr>
          <w:lang w:val="fr-CA"/>
        </w:rPr>
        <w:t>Fonds Égale Canada pour les droits de la personne et</w:t>
      </w:r>
    </w:p>
    <w:p w:rsidR="00C81AA4" w:rsidRPr="001D0B71" w:rsidRDefault="00C81AA4" w:rsidP="00C81AA4">
      <w:pPr>
        <w:pStyle w:val="SCCLsocLastPartyInRole"/>
        <w:rPr>
          <w:lang w:val="en-US"/>
        </w:rPr>
      </w:pPr>
      <w:r w:rsidRPr="001D0B71">
        <w:rPr>
          <w:lang w:val="en-US"/>
        </w:rPr>
        <w:t>Canadian Centre for Christian Charities</w:t>
      </w:r>
      <w:r w:rsidRPr="001D0B71">
        <w:rPr>
          <w:rStyle w:val="SCCLsocPartyRole"/>
          <w:lang w:val="en-US"/>
        </w:rPr>
        <w:tab/>
        <w:t>Intervenants</w:t>
      </w:r>
    </w:p>
    <w:p w:rsidR="00C81AA4" w:rsidRPr="001D0B71" w:rsidRDefault="00C81AA4" w:rsidP="00C81AA4">
      <w:pPr>
        <w:spacing w:after="720"/>
        <w:rPr>
          <w:b/>
          <w:lang w:val="en-US"/>
        </w:rPr>
      </w:pPr>
      <w:proofErr w:type="gramStart"/>
      <w:r w:rsidRPr="001D0B71">
        <w:rPr>
          <w:b/>
          <w:lang w:val="en-US"/>
        </w:rPr>
        <w:t>Répertorié :</w:t>
      </w:r>
      <w:proofErr w:type="gramEnd"/>
      <w:r w:rsidRPr="001D0B71">
        <w:rPr>
          <w:b/>
          <w:lang w:val="en-US"/>
        </w:rPr>
        <w:t> </w:t>
      </w:r>
      <w:r w:rsidRPr="001D0B71">
        <w:rPr>
          <w:rStyle w:val="SCCAppellantForIndexChar"/>
          <w:lang w:val="en-US"/>
        </w:rPr>
        <w:t xml:space="preserve">Ethiopian Orthodox Tewahedo Church of Canada </w:t>
      </w:r>
      <w:r w:rsidRPr="001D0B71">
        <w:rPr>
          <w:b/>
        </w:rPr>
        <w:t>St. Mary Cathedral</w:t>
      </w:r>
      <w:r w:rsidRPr="001D0B71">
        <w:rPr>
          <w:b/>
          <w:lang w:val="en-US"/>
        </w:rPr>
        <w:t xml:space="preserve"> </w:t>
      </w:r>
      <w:r w:rsidRPr="001D0B71">
        <w:rPr>
          <w:b/>
          <w:i/>
          <w:lang w:val="en-US"/>
        </w:rPr>
        <w:t>c.</w:t>
      </w:r>
      <w:r w:rsidRPr="001D0B71">
        <w:rPr>
          <w:b/>
          <w:lang w:val="en-US"/>
        </w:rPr>
        <w:t xml:space="preserve"> </w:t>
      </w:r>
      <w:r w:rsidRPr="001D0B71">
        <w:rPr>
          <w:rStyle w:val="SCCRespondentForIndexChar"/>
          <w:lang w:val="en-US"/>
        </w:rPr>
        <w:t xml:space="preserve">Aga </w:t>
      </w:r>
    </w:p>
    <w:p w:rsidR="00C81AA4" w:rsidRPr="001D0B71" w:rsidRDefault="00C81AA4" w:rsidP="00C81AA4">
      <w:pPr>
        <w:pStyle w:val="SCCSystemYear"/>
        <w:spacing w:after="720"/>
        <w:jc w:val="both"/>
        <w:rPr>
          <w:lang w:val="fr-CA"/>
        </w:rPr>
      </w:pPr>
      <w:r w:rsidRPr="001D0B71">
        <w:rPr>
          <w:lang w:val="fr-CA"/>
        </w:rPr>
        <w:t>2021</w:t>
      </w:r>
      <w:r>
        <w:rPr>
          <w:lang w:val="fr-CA"/>
        </w:rPr>
        <w:t xml:space="preserve"> CSC 22</w:t>
      </w:r>
    </w:p>
    <w:p w:rsidR="00C81AA4" w:rsidRPr="001D0B71" w:rsidRDefault="00C81AA4" w:rsidP="00C81AA4">
      <w:pPr>
        <w:spacing w:after="720"/>
        <w:jc w:val="both"/>
        <w:rPr>
          <w:lang w:val="fr-CA"/>
        </w:rPr>
      </w:pPr>
      <w:r w:rsidRPr="001D0B71">
        <w:rPr>
          <w:lang w:val="fr-CA"/>
        </w:rPr>
        <w:lastRenderedPageBreak/>
        <w:t>N</w:t>
      </w:r>
      <w:r w:rsidRPr="001D0B71">
        <w:rPr>
          <w:vertAlign w:val="superscript"/>
          <w:lang w:val="fr-CA"/>
        </w:rPr>
        <w:t>o</w:t>
      </w:r>
      <w:r w:rsidRPr="001D0B71">
        <w:rPr>
          <w:lang w:val="fr-CA"/>
        </w:rPr>
        <w:t xml:space="preserve"> du greffe : 39094.</w:t>
      </w:r>
    </w:p>
    <w:p w:rsidR="00C81AA4" w:rsidRPr="001D0B71" w:rsidRDefault="00C81AA4" w:rsidP="00C81AA4">
      <w:pPr>
        <w:spacing w:after="720"/>
        <w:jc w:val="both"/>
        <w:rPr>
          <w:lang w:val="fr-CA"/>
        </w:rPr>
      </w:pPr>
      <w:r w:rsidRPr="001D0B71">
        <w:rPr>
          <w:lang w:val="fr-CA"/>
        </w:rPr>
        <w:t>2020 : 9 décembre; 2021 : 21 mai.</w:t>
      </w:r>
    </w:p>
    <w:p w:rsidR="00C81AA4" w:rsidRPr="001D0B71" w:rsidRDefault="00C81AA4" w:rsidP="00C81AA4">
      <w:pPr>
        <w:spacing w:after="720"/>
        <w:jc w:val="both"/>
        <w:rPr>
          <w:lang w:val="fr-CA"/>
        </w:rPr>
      </w:pPr>
      <w:r w:rsidRPr="001D0B71">
        <w:rPr>
          <w:lang w:val="fr-CA"/>
        </w:rPr>
        <w:t>Présents : Le juge en chef Wagner et les juges Abella, Moldaver, Karakatsanis, Côté, Brown, Rowe, Martin et Kasirer.</w:t>
      </w:r>
    </w:p>
    <w:p w:rsidR="00C81AA4" w:rsidRPr="001D0B71" w:rsidRDefault="00C81AA4" w:rsidP="00C81AA4">
      <w:pPr>
        <w:spacing w:after="720"/>
        <w:jc w:val="both"/>
        <w:rPr>
          <w:smallCaps/>
          <w:lang w:val="fr-CA"/>
        </w:rPr>
      </w:pPr>
      <w:r w:rsidRPr="001D0B71">
        <w:rPr>
          <w:smallCaps/>
          <w:lang w:val="fr-CA"/>
        </w:rPr>
        <w:t xml:space="preserve">en appel de la cour d’appel de </w:t>
      </w:r>
      <w:proofErr w:type="spellStart"/>
      <w:r w:rsidRPr="001D0B71">
        <w:rPr>
          <w:smallCaps/>
          <w:lang w:val="fr-CA"/>
        </w:rPr>
        <w:t>l’ontario</w:t>
      </w:r>
      <w:proofErr w:type="spellEnd"/>
    </w:p>
    <w:p w:rsidR="00C81AA4" w:rsidRPr="001D0B71" w:rsidRDefault="00C81AA4" w:rsidP="00C81AA4">
      <w:pPr>
        <w:pStyle w:val="SCCNormalDoubleSpacing"/>
        <w:spacing w:after="480"/>
        <w:rPr>
          <w:szCs w:val="24"/>
          <w:lang w:val="fr-CA" w:eastAsia="en-US"/>
        </w:rPr>
      </w:pPr>
      <w:r w:rsidRPr="001D0B71">
        <w:rPr>
          <w:lang w:val="fr-CA"/>
        </w:rPr>
        <w:tab/>
      </w:r>
      <w:r w:rsidRPr="001D0B71">
        <w:rPr>
          <w:i/>
          <w:iCs/>
          <w:lang w:val="fr-CA"/>
        </w:rPr>
        <w:t>Tribunaux —</w:t>
      </w:r>
      <w:r w:rsidRPr="001D0B71">
        <w:rPr>
          <w:lang w:val="fr-CA"/>
        </w:rPr>
        <w:t xml:space="preserve"> </w:t>
      </w:r>
      <w:r w:rsidRPr="001D0B71">
        <w:rPr>
          <w:i/>
          <w:iCs/>
          <w:lang w:val="fr-CA"/>
        </w:rPr>
        <w:t>Compétence —</w:t>
      </w:r>
      <w:r w:rsidRPr="001D0B71">
        <w:rPr>
          <w:i/>
          <w:lang w:val="fr-CA"/>
        </w:rPr>
        <w:t xml:space="preserve"> Exclusion par une organisation r</w:t>
      </w:r>
      <w:r w:rsidRPr="001D0B71">
        <w:rPr>
          <w:i/>
          <w:iCs/>
          <w:lang w:val="fr-CA"/>
        </w:rPr>
        <w:t xml:space="preserve">eligieuse de membres de la </w:t>
      </w:r>
      <w:r w:rsidRPr="001D0B71">
        <w:rPr>
          <w:i/>
          <w:lang w:val="fr-CA"/>
        </w:rPr>
        <w:t>congrégation</w:t>
      </w:r>
      <w:r>
        <w:rPr>
          <w:i/>
          <w:iCs/>
          <w:lang w:val="fr-CA"/>
        </w:rPr>
        <w:t xml:space="preserve"> — Action intentée par c</w:t>
      </w:r>
      <w:r w:rsidRPr="001D0B71">
        <w:rPr>
          <w:i/>
          <w:iCs/>
          <w:lang w:val="fr-CA"/>
        </w:rPr>
        <w:t>es membres pour contester leur exclusion — L’action soulève</w:t>
      </w:r>
      <w:r w:rsidRPr="001D0B71">
        <w:rPr>
          <w:i/>
          <w:iCs/>
          <w:lang w:val="fr-CA"/>
        </w:rPr>
        <w:noBreakHyphen/>
        <w:t>t</w:t>
      </w:r>
      <w:r w:rsidRPr="001D0B71">
        <w:rPr>
          <w:i/>
          <w:iCs/>
          <w:lang w:val="fr-CA"/>
        </w:rPr>
        <w:noBreakHyphen/>
        <w:t>elle un droit légal conférant à la cour supérieure compétence pour contrôler leur exclusion? —</w:t>
      </w:r>
      <w:r w:rsidRPr="001D0B71">
        <w:rPr>
          <w:szCs w:val="24"/>
          <w:lang w:val="fr-CA"/>
        </w:rPr>
        <w:t xml:space="preserve"> </w:t>
      </w:r>
      <w:r w:rsidRPr="001D0B71">
        <w:rPr>
          <w:i/>
          <w:iCs/>
          <w:lang w:val="fr-CA"/>
        </w:rPr>
        <w:t xml:space="preserve">La constitution </w:t>
      </w:r>
      <w:r>
        <w:rPr>
          <w:i/>
          <w:iCs/>
          <w:lang w:val="fr-CA"/>
        </w:rPr>
        <w:t xml:space="preserve">écrite </w:t>
      </w:r>
      <w:r w:rsidRPr="001D0B71">
        <w:rPr>
          <w:i/>
          <w:iCs/>
          <w:lang w:val="fr-CA"/>
        </w:rPr>
        <w:t xml:space="preserve">et le règlement intérieur de l’organisation </w:t>
      </w:r>
      <w:r w:rsidRPr="001D0B71">
        <w:rPr>
          <w:i/>
          <w:szCs w:val="24"/>
          <w:lang w:val="fr-CA" w:eastAsia="en-US"/>
        </w:rPr>
        <w:t>religieuse sont</w:t>
      </w:r>
      <w:r w:rsidRPr="001D0B71">
        <w:rPr>
          <w:i/>
          <w:szCs w:val="24"/>
          <w:lang w:val="fr-CA" w:eastAsia="en-US"/>
        </w:rPr>
        <w:noBreakHyphen/>
        <w:t>ils</w:t>
      </w:r>
      <w:r w:rsidRPr="001D0B71">
        <w:rPr>
          <w:szCs w:val="24"/>
          <w:lang w:val="fr-CA"/>
        </w:rPr>
        <w:t xml:space="preserve"> </w:t>
      </w:r>
      <w:r w:rsidRPr="001D0B71">
        <w:rPr>
          <w:i/>
          <w:szCs w:val="24"/>
          <w:lang w:val="fr-CA" w:eastAsia="en-US"/>
        </w:rPr>
        <w:t>des documents contractuellement contraignants et dont l’exécution peut être demandée aux tribunaux?</w:t>
      </w:r>
    </w:p>
    <w:p w:rsidR="00C81AA4" w:rsidRPr="001D0B71" w:rsidRDefault="00C81AA4" w:rsidP="00C81AA4">
      <w:pPr>
        <w:pStyle w:val="SCCNormalDoubleSpacing"/>
        <w:spacing w:after="480"/>
        <w:rPr>
          <w:lang w:val="fr-CA"/>
        </w:rPr>
      </w:pPr>
      <w:r w:rsidRPr="001D0B71">
        <w:rPr>
          <w:lang w:val="fr-CA"/>
        </w:rPr>
        <w:tab/>
        <w:t xml:space="preserve">Cinq membres de la congrégation de </w:t>
      </w:r>
      <w:r w:rsidR="00516A24" w:rsidRPr="001D0B71">
        <w:rPr>
          <w:lang w:val="fr-CA"/>
        </w:rPr>
        <w:t>l’</w:t>
      </w:r>
      <w:proofErr w:type="spellStart"/>
      <w:r w:rsidR="00516A24" w:rsidRPr="001D0B71">
        <w:rPr>
          <w:lang w:val="fr-CA"/>
        </w:rPr>
        <w:t>Ethiopian</w:t>
      </w:r>
      <w:proofErr w:type="spellEnd"/>
      <w:r w:rsidRPr="001D0B71">
        <w:rPr>
          <w:lang w:val="fr-CA"/>
        </w:rPr>
        <w:t xml:space="preserve"> </w:t>
      </w:r>
      <w:proofErr w:type="spellStart"/>
      <w:r w:rsidRPr="001D0B71">
        <w:rPr>
          <w:lang w:val="fr-CA"/>
        </w:rPr>
        <w:t>Orthodox</w:t>
      </w:r>
      <w:proofErr w:type="spellEnd"/>
      <w:r w:rsidRPr="001D0B71">
        <w:rPr>
          <w:lang w:val="fr-CA"/>
        </w:rPr>
        <w:t xml:space="preserve"> </w:t>
      </w:r>
      <w:proofErr w:type="spellStart"/>
      <w:r w:rsidRPr="001D0B71">
        <w:rPr>
          <w:lang w:val="fr-CA"/>
        </w:rPr>
        <w:t>Tewahedo</w:t>
      </w:r>
      <w:proofErr w:type="spellEnd"/>
      <w:r w:rsidRPr="001D0B71">
        <w:rPr>
          <w:lang w:val="fr-CA"/>
        </w:rPr>
        <w:t xml:space="preserve"> Chur</w:t>
      </w:r>
      <w:r>
        <w:rPr>
          <w:lang w:val="fr-CA"/>
        </w:rPr>
        <w:t>ch of Canada St. </w:t>
      </w:r>
      <w:r w:rsidRPr="001D0B71">
        <w:rPr>
          <w:lang w:val="fr-CA"/>
        </w:rPr>
        <w:t>Mary Cathedral ont été exclus de celle</w:t>
      </w:r>
      <w:r w:rsidRPr="001D0B71">
        <w:rPr>
          <w:lang w:val="fr-CA"/>
        </w:rPr>
        <w:noBreakHyphen/>
        <w:t>ci. Ils ont intenté contre l’Église et des membres de la haute direction de celle</w:t>
      </w:r>
      <w:r w:rsidRPr="001D0B71">
        <w:rPr>
          <w:lang w:val="fr-CA"/>
        </w:rPr>
        <w:noBreakHyphen/>
        <w:t xml:space="preserve">ci une action sollicitant, entre autres réparations, un jugement portant que leur exclusion était </w:t>
      </w:r>
      <w:proofErr w:type="gramStart"/>
      <w:r w:rsidRPr="001D0B71">
        <w:rPr>
          <w:lang w:val="fr-CA"/>
        </w:rPr>
        <w:t>nulle</w:t>
      </w:r>
      <w:proofErr w:type="gramEnd"/>
      <w:r w:rsidRPr="001D0B71">
        <w:rPr>
          <w:lang w:val="fr-CA"/>
        </w:rPr>
        <w:t xml:space="preserve">, puisqu’elle violait les principes de justice naturelle. L’Église et les membres de sa direction ont présenté une motion en </w:t>
      </w:r>
      <w:r w:rsidRPr="00953638">
        <w:rPr>
          <w:lang w:val="fr-CA"/>
        </w:rPr>
        <w:t>jugement</w:t>
      </w:r>
      <w:r w:rsidRPr="001D0B71">
        <w:rPr>
          <w:lang w:val="fr-CA"/>
        </w:rPr>
        <w:t xml:space="preserve"> sommaire sollicitant le rejet de l’action, au motif que le tribunal n’avait pas compétence pour contrôler ou annuler la décision d’exclusion. Ils ont plaidé qu’il n’existe aucun droit autonome à l’équité procédurale en l’absence d’un droit légal sous</w:t>
      </w:r>
      <w:r w:rsidRPr="001D0B71">
        <w:rPr>
          <w:lang w:val="fr-CA"/>
        </w:rPr>
        <w:noBreakHyphen/>
        <w:t>jacent, et que les membres exclus ne possédaient aucun droit de cette nature. La juge des motions a accueilli la motion en jugement sommaire et rejeté l’action, concluant que les membres exclus n’avaient pas invoqué de droit légal sous</w:t>
      </w:r>
      <w:r w:rsidRPr="001D0B71">
        <w:rPr>
          <w:lang w:val="fr-CA"/>
        </w:rPr>
        <w:noBreakHyphen/>
        <w:t>jacent ou apporté la preuve de l’existence d’un tel droit. La Cour d’appel a fait droit à l’appel des membres</w:t>
      </w:r>
      <w:r>
        <w:rPr>
          <w:lang w:val="fr-CA"/>
        </w:rPr>
        <w:t xml:space="preserve"> exclus</w:t>
      </w:r>
      <w:r w:rsidRPr="001D0B71">
        <w:rPr>
          <w:lang w:val="fr-CA"/>
        </w:rPr>
        <w:t xml:space="preserve">, statuant que la constitution </w:t>
      </w:r>
      <w:r>
        <w:rPr>
          <w:lang w:val="fr-CA"/>
        </w:rPr>
        <w:t xml:space="preserve">écrite </w:t>
      </w:r>
      <w:r w:rsidRPr="001D0B71">
        <w:rPr>
          <w:lang w:val="fr-CA"/>
        </w:rPr>
        <w:t>et le</w:t>
      </w:r>
      <w:r>
        <w:rPr>
          <w:lang w:val="fr-CA"/>
        </w:rPr>
        <w:t>s</w:t>
      </w:r>
      <w:r w:rsidRPr="001D0B71">
        <w:rPr>
          <w:lang w:val="fr-CA"/>
        </w:rPr>
        <w:t xml:space="preserve"> règlement</w:t>
      </w:r>
      <w:r>
        <w:rPr>
          <w:lang w:val="fr-CA"/>
        </w:rPr>
        <w:t>s</w:t>
      </w:r>
      <w:r w:rsidRPr="001D0B71">
        <w:rPr>
          <w:lang w:val="fr-CA"/>
        </w:rPr>
        <w:t xml:space="preserve"> intérieur</w:t>
      </w:r>
      <w:r>
        <w:rPr>
          <w:lang w:val="fr-CA"/>
        </w:rPr>
        <w:t>s</w:t>
      </w:r>
      <w:r w:rsidRPr="001D0B71">
        <w:rPr>
          <w:lang w:val="fr-CA"/>
        </w:rPr>
        <w:t xml:space="preserve"> d’une organisation volontaire constituent un contrat établissant les droits et les obligations des membres et de l’organisation. La cour a conclu que les parties s’étaient mutuellement engagées à respecter les règles régissant l’organisation, et que la question de savoir s’il y avait eu violation contractuelle pour cause de non</w:t>
      </w:r>
      <w:r w:rsidRPr="001D0B71">
        <w:rPr>
          <w:lang w:val="fr-CA"/>
        </w:rPr>
        <w:noBreakHyphen/>
        <w:t>respect des règles constituait une véritable question litigieuse nécessitant la tenue d’une instruction.</w:t>
      </w:r>
    </w:p>
    <w:p w:rsidR="00C81AA4" w:rsidRPr="001D0B71" w:rsidRDefault="00C81AA4" w:rsidP="00C81AA4">
      <w:pPr>
        <w:pStyle w:val="SCCNormalDoubleSpacing"/>
        <w:spacing w:after="480"/>
        <w:rPr>
          <w:lang w:val="fr-CA"/>
        </w:rPr>
      </w:pPr>
      <w:r w:rsidRPr="001D0B71">
        <w:rPr>
          <w:i/>
          <w:lang w:val="fr-CA"/>
        </w:rPr>
        <w:tab/>
        <w:t>Arrêt </w:t>
      </w:r>
      <w:r w:rsidRPr="008610D1">
        <w:rPr>
          <w:lang w:val="fr-CA"/>
        </w:rPr>
        <w:t xml:space="preserve">: </w:t>
      </w:r>
      <w:r w:rsidRPr="001D0B71">
        <w:rPr>
          <w:lang w:val="fr-CA"/>
        </w:rPr>
        <w:t>Le pourvoi est accueilli, et l’ordonnance de la juge</w:t>
      </w:r>
      <w:bookmarkStart w:id="0" w:name="_Hlk66030176"/>
      <w:r w:rsidRPr="001D0B71">
        <w:rPr>
          <w:lang w:val="fr-CA"/>
        </w:rPr>
        <w:t xml:space="preserve"> des motions </w:t>
      </w:r>
      <w:bookmarkEnd w:id="0"/>
      <w:r w:rsidRPr="001D0B71">
        <w:rPr>
          <w:lang w:val="fr-CA"/>
        </w:rPr>
        <w:t xml:space="preserve">est rétablie. </w:t>
      </w:r>
    </w:p>
    <w:p w:rsidR="00C81AA4" w:rsidRPr="001D0B71" w:rsidRDefault="00C81AA4" w:rsidP="00C81AA4">
      <w:pPr>
        <w:pStyle w:val="SCCNormalDoubleSpacing"/>
        <w:spacing w:after="480"/>
        <w:rPr>
          <w:lang w:val="fr-CA"/>
        </w:rPr>
      </w:pPr>
      <w:r w:rsidRPr="001D0B71">
        <w:rPr>
          <w:lang w:val="fr-CA"/>
        </w:rPr>
        <w:tab/>
        <w:t xml:space="preserve">La compétence permettant à un tribunal d’intervenir dans les affaires d’une association volontaire dépend de l’existence d’un droit légal que le tribunal est appelé à confirmer. Il est possible qu’une association volontaire dotée d’une constitution </w:t>
      </w:r>
      <w:r>
        <w:rPr>
          <w:lang w:val="fr-CA"/>
        </w:rPr>
        <w:t>et de</w:t>
      </w:r>
      <w:r w:rsidRPr="001D0B71">
        <w:rPr>
          <w:lang w:val="fr-CA"/>
        </w:rPr>
        <w:t xml:space="preserve"> règlement</w:t>
      </w:r>
      <w:r>
        <w:rPr>
          <w:lang w:val="fr-CA"/>
        </w:rPr>
        <w:t>s</w:t>
      </w:r>
      <w:r w:rsidRPr="001D0B71">
        <w:rPr>
          <w:lang w:val="fr-CA"/>
        </w:rPr>
        <w:t xml:space="preserve"> intérieur</w:t>
      </w:r>
      <w:r>
        <w:rPr>
          <w:lang w:val="fr-CA"/>
        </w:rPr>
        <w:t>s</w:t>
      </w:r>
      <w:r w:rsidRPr="001D0B71">
        <w:rPr>
          <w:lang w:val="fr-CA"/>
        </w:rPr>
        <w:t xml:space="preserve"> soit constituée par contrat, mais pour décider si c’est le cas, il faut se baser sur les principes généraux régissant les contrats, et l’existence d’une intention objective de créer des rapports juridiques est nécessaire. Dans la présente affaire, il n’y a pas de preuve d’une telle intention. Par conséquent, il y a absence de contrat, absence de compétence et absence d’une véritable question litigieuse nécessitant la tenue d’une instruction. </w:t>
      </w:r>
    </w:p>
    <w:p w:rsidR="00C81AA4" w:rsidRPr="001D0B71" w:rsidRDefault="00C81AA4" w:rsidP="00C81AA4">
      <w:pPr>
        <w:pStyle w:val="SCCNormalDoubleSpacing"/>
        <w:spacing w:after="480"/>
        <w:rPr>
          <w:lang w:val="fr-CA"/>
        </w:rPr>
      </w:pPr>
      <w:r w:rsidRPr="001D0B71">
        <w:rPr>
          <w:lang w:val="fr-CA"/>
        </w:rPr>
        <w:tab/>
        <w:t>Les tribunaux n’ont compétence pour intervenir relativement aux décisions prises par des associations volontaires que dans les cas où un droit légal est touché. Les questions purement théologiques ne sont pas justiciables, mais lorsqu’un droit légal est en litige, il est possible que les tribunaux examinent des questions comportant un aspect religieux afin de statuer à l’égard du droit en cause. Les droits légaux susceptibles de conférer compétence aux tribunaux incluent les droits privés en matière de propriété, de contrat, de délit civil ou d’enrichissement sans cause, ainsi que les causes d’action prévues par la loi</w:t>
      </w:r>
      <w:r w:rsidRPr="001D0B71">
        <w:rPr>
          <w:lang w:val="fr-CA" w:bidi="en-US"/>
        </w:rPr>
        <w:t>.</w:t>
      </w:r>
      <w:r w:rsidRPr="001D0B71">
        <w:rPr>
          <w:lang w:val="fr-CA"/>
        </w:rPr>
        <w:t xml:space="preserve"> La justice naturelle n’est pas source de compétence, mais lorsqu’un droit légal est en litige, elle peut toutefois être pertinente pour déterminer s’il y a eu atteinte à ce droit. De nombreuses associations volontaires exercent certains droits légaux, par exemple en possédant des biens ou en concluant des contrats de service. La question à trancher dans une affaire donnée est celle de savoir si la réparation particulière recherchée par le demandeur est fondée sur un droit légal qu’il cherche à faire valoir. Si ce n’est pas le cas, il n’y a alors pas de cause d’action ni de fondement justifiant d’accorder une réparation.</w:t>
      </w:r>
    </w:p>
    <w:p w:rsidR="00C81AA4" w:rsidRPr="001D0B71" w:rsidRDefault="00C81AA4" w:rsidP="00C81AA4">
      <w:pPr>
        <w:pStyle w:val="SCCNormalDoubleSpacing"/>
        <w:spacing w:after="480"/>
        <w:rPr>
          <w:lang w:val="fr-CA"/>
        </w:rPr>
      </w:pPr>
      <w:r w:rsidRPr="001D0B71">
        <w:rPr>
          <w:lang w:val="fr-CA"/>
        </w:rPr>
        <w:tab/>
      </w:r>
      <w:r w:rsidRPr="001D0B71">
        <w:rPr>
          <w:lang w:val="fr-CA" w:bidi="en-US"/>
        </w:rPr>
        <w:t>L’appartenance à une association volontaire n’est pas automatiquement de nature contractuelle. C’est uniquement lorsque les conditions de formation des contrats sont réunies qu’il y a contrat.</w:t>
      </w:r>
      <w:r w:rsidRPr="001D0B71">
        <w:rPr>
          <w:lang w:val="fr-CA"/>
        </w:rPr>
        <w:t xml:space="preserve"> </w:t>
      </w:r>
      <w:r w:rsidRPr="001D0B71">
        <w:rPr>
          <w:iCs/>
          <w:lang w:val="fr-CA"/>
        </w:rPr>
        <w:t xml:space="preserve">La </w:t>
      </w:r>
      <w:r w:rsidRPr="001D0B71">
        <w:rPr>
          <w:lang w:val="fr-CA"/>
        </w:rPr>
        <w:t>partie qui allègue l’existence d’un contrat doit démontrer que les parties avaient l’intention de créer des rapports contractuels. La common law applique une théorie objective en matière de formation des contrats.</w:t>
      </w:r>
      <w:r w:rsidRPr="001D0B71">
        <w:rPr>
          <w:lang w:val="fr-CA" w:bidi="en-US"/>
        </w:rPr>
        <w:t xml:space="preserve"> </w:t>
      </w:r>
      <w:r w:rsidRPr="001D0B71">
        <w:rPr>
          <w:lang w:val="fr-CA"/>
        </w:rPr>
        <w:t xml:space="preserve">Pour ce qui est de la condition requérant l’existence d’une intention de créer des rapports juridiques, </w:t>
      </w:r>
      <w:r w:rsidRPr="001D0B71">
        <w:rPr>
          <w:szCs w:val="24"/>
          <w:lang w:val="fr-CA"/>
        </w:rPr>
        <w:t>le critère consiste à se demander si les parties ont indiqué au monde extérieur, à savoir un observateur objectif raisonnable,</w:t>
      </w:r>
      <w:r w:rsidRPr="001D0B71">
        <w:rPr>
          <w:sz w:val="22"/>
          <w:lang w:val="fr-CA"/>
        </w:rPr>
        <w:t xml:space="preserve"> </w:t>
      </w:r>
      <w:r w:rsidRPr="001D0B71">
        <w:rPr>
          <w:lang w:val="fr-CA"/>
        </w:rPr>
        <w:t>leur intention de conclure un contrat ainsi que les modalités de ce dernier. Les tribunaux peuvent examiner l’ensemble des circonstances entourant sa conclusion, notamment la nature des liens qui existent entre les parties, ainsi que les intérêts en jeu. Ces principes s’appliquent directement à la question de savoir si une association volontaire donnée est constituée par contrat.</w:t>
      </w:r>
    </w:p>
    <w:p w:rsidR="00C81AA4" w:rsidRPr="001D0B71" w:rsidRDefault="00C81AA4" w:rsidP="00C81AA4">
      <w:pPr>
        <w:pStyle w:val="SCCNormalDoubleSpacing"/>
        <w:spacing w:after="480"/>
        <w:rPr>
          <w:lang w:val="fr-CA"/>
        </w:rPr>
      </w:pPr>
      <w:r w:rsidRPr="001D0B71">
        <w:rPr>
          <w:lang w:val="fr-CA"/>
        </w:rPr>
        <w:tab/>
        <w:t xml:space="preserve">Lorsque des biens ou des emplois sont en jeu, il est davantage probable qu’une intention objective de créer des rapports juridiques existe. L’existence d’une intention objective de créer des rapports juridiques peut à l’inverse se révéler plus difficile à démontrer dans un contexte religieux. Bien que les tribunaux doivent disposer de la compétence requise pour donner effet aux droits légaux </w:t>
      </w:r>
      <w:r w:rsidRPr="001D0B71">
        <w:t>⸺</w:t>
      </w:r>
      <w:r w:rsidRPr="001D0B71">
        <w:rPr>
          <w:lang w:val="fr-CA"/>
        </w:rPr>
        <w:t xml:space="preserve"> y compris les droits légaux dont bénéficient les membres d’associations religieuses et qui sont lésés de manière inacceptable dans le cours des activités de ces associations </w:t>
      </w:r>
      <w:r w:rsidRPr="001D0B71">
        <w:t>⸺</w:t>
      </w:r>
      <w:r w:rsidRPr="001D0B71">
        <w:rPr>
          <w:lang w:val="fr-CA"/>
        </w:rPr>
        <w:t xml:space="preserve">, les tribunaux ne devraient toutefois pas qualifier trop hâtivement de juridiquement contraignants des engagements religieux. </w:t>
      </w:r>
    </w:p>
    <w:p w:rsidR="00C81AA4" w:rsidRPr="001D0B71" w:rsidRDefault="00C81AA4" w:rsidP="00C81AA4">
      <w:pPr>
        <w:pStyle w:val="SCCNormalDoubleSpacing"/>
        <w:spacing w:after="480"/>
        <w:rPr>
          <w:lang w:val="fr-CA"/>
        </w:rPr>
      </w:pPr>
      <w:r w:rsidRPr="001D0B71">
        <w:rPr>
          <w:lang w:val="fr-CA"/>
        </w:rPr>
        <w:tab/>
        <w:t xml:space="preserve">Selon la common law, certaines associations volontaires sont constituées par un réseau de contrats liant chacun des membres. Un tel résultat découle d’une interprétation objective de l’intention des parties. Une association volontaire est constituée par un réseau de contrats liant chacun des membres uniquement lorsque les conditions de formation des contrats sont réunies, y compris une intention objective. </w:t>
      </w:r>
    </w:p>
    <w:p w:rsidR="00C81AA4" w:rsidRPr="001D0B71" w:rsidRDefault="00C81AA4" w:rsidP="00C81AA4">
      <w:pPr>
        <w:pStyle w:val="SCCNormalDoubleSpacing"/>
        <w:spacing w:after="480"/>
        <w:rPr>
          <w:lang w:val="fr-CA"/>
        </w:rPr>
      </w:pPr>
      <w:r w:rsidRPr="001D0B71">
        <w:rPr>
          <w:lang w:val="fr-CA"/>
        </w:rPr>
        <w:tab/>
      </w:r>
      <w:r w:rsidRPr="001D0B71">
        <w:rPr>
          <w:rFonts w:eastAsiaTheme="minorHAnsi"/>
          <w:lang w:val="fr-CA"/>
        </w:rPr>
        <w:t>En l’espèce, il n’y a aucune preuve de l’existence d’une intention objective de créer des rapports juridiques. La juge des motions a eu raison de conclure à l’absence de contrat.</w:t>
      </w:r>
      <w:r w:rsidRPr="001D0B71">
        <w:rPr>
          <w:lang w:val="fr-CA"/>
        </w:rPr>
        <w:t xml:space="preserve"> </w:t>
      </w:r>
      <w:r w:rsidRPr="001D0B71">
        <w:rPr>
          <w:rFonts w:eastAsiaTheme="minorHAnsi"/>
          <w:lang w:val="fr-CA"/>
        </w:rPr>
        <w:t xml:space="preserve">Le fait de devenir membre d’une association volontaire </w:t>
      </w:r>
      <w:r w:rsidRPr="001D0B71">
        <w:rPr>
          <w:rFonts w:eastAsiaTheme="minorHAnsi"/>
          <w:iCs/>
          <w:lang w:val="fr-CA"/>
        </w:rPr>
        <w:t>religieuse</w:t>
      </w:r>
      <w:r w:rsidRPr="001D0B71">
        <w:rPr>
          <w:rFonts w:eastAsiaTheme="minorHAnsi"/>
          <w:lang w:val="fr-CA"/>
        </w:rPr>
        <w:t>, et même le fait d’accepter d’être lié par certaines règles, n’établit pas, à lui seul, l’intention objective de conclure juridiquement un contrat dont l’exécution peut être demandée aux tribunaux</w:t>
      </w:r>
      <w:r w:rsidRPr="001D0B71">
        <w:rPr>
          <w:lang w:val="fr-CA"/>
        </w:rPr>
        <w:t>. Les membres d’une association volontaire religieuse peuvent contracter des obligations religieuses sans contracter d’obligations juridiques. L’absence de</w:t>
      </w:r>
      <w:r w:rsidRPr="001D0B71">
        <w:rPr>
          <w:rFonts w:eastAsiaTheme="minorHAnsi"/>
          <w:lang w:val="fr-CA"/>
        </w:rPr>
        <w:t xml:space="preserve"> preuve de l’existence d’une intention objective de créer des rapports juridiques est fatale à la demande des</w:t>
      </w:r>
      <w:r w:rsidRPr="001D0B71">
        <w:rPr>
          <w:lang w:val="fr-CA"/>
        </w:rPr>
        <w:t xml:space="preserve"> membres exclus. </w:t>
      </w:r>
    </w:p>
    <w:p w:rsidR="00C81AA4" w:rsidRPr="006D53E4" w:rsidRDefault="00C81AA4" w:rsidP="00C81AA4">
      <w:pPr>
        <w:pStyle w:val="SCCNormalDoubleSpacing"/>
        <w:spacing w:after="720" w:line="240" w:lineRule="auto"/>
        <w:rPr>
          <w:b/>
          <w:lang w:val="fr-CA"/>
        </w:rPr>
      </w:pPr>
      <w:r w:rsidRPr="006D53E4">
        <w:rPr>
          <w:b/>
          <w:lang w:val="fr-CA"/>
        </w:rPr>
        <w:t>Jurisprudence</w:t>
      </w:r>
    </w:p>
    <w:p w:rsidR="00C81AA4" w:rsidRPr="001D0B71" w:rsidRDefault="00C81AA4" w:rsidP="00C81AA4">
      <w:pPr>
        <w:pStyle w:val="SCCNormalDoubleSpacing"/>
        <w:spacing w:after="480"/>
        <w:rPr>
          <w:b/>
          <w:lang w:val="en-US"/>
        </w:rPr>
      </w:pPr>
      <w:r w:rsidRPr="006D53E4">
        <w:rPr>
          <w:lang w:val="fr-CA"/>
        </w:rPr>
        <w:tab/>
      </w:r>
      <w:r w:rsidRPr="006D53E4">
        <w:rPr>
          <w:b/>
          <w:lang w:val="fr-CA"/>
        </w:rPr>
        <w:t xml:space="preserve">Arrêt appliqué: </w:t>
      </w:r>
      <w:proofErr w:type="spellStart"/>
      <w:r w:rsidRPr="006D53E4">
        <w:rPr>
          <w:i/>
          <w:lang w:val="fr-CA"/>
        </w:rPr>
        <w:t>Highwood</w:t>
      </w:r>
      <w:proofErr w:type="spellEnd"/>
      <w:r w:rsidRPr="006D53E4">
        <w:rPr>
          <w:i/>
          <w:lang w:val="fr-CA"/>
        </w:rPr>
        <w:t xml:space="preserve"> </w:t>
      </w:r>
      <w:proofErr w:type="spellStart"/>
      <w:r w:rsidRPr="006D53E4">
        <w:rPr>
          <w:i/>
          <w:lang w:val="fr-CA"/>
        </w:rPr>
        <w:t>Congregation</w:t>
      </w:r>
      <w:proofErr w:type="spellEnd"/>
      <w:r w:rsidRPr="006D53E4">
        <w:rPr>
          <w:i/>
          <w:lang w:val="fr-CA"/>
        </w:rPr>
        <w:t xml:space="preserve"> of </w:t>
      </w:r>
      <w:proofErr w:type="spellStart"/>
      <w:r w:rsidRPr="006D53E4">
        <w:rPr>
          <w:i/>
          <w:lang w:val="fr-CA"/>
        </w:rPr>
        <w:t>Jehovah’s</w:t>
      </w:r>
      <w:proofErr w:type="spellEnd"/>
      <w:r w:rsidRPr="006D53E4">
        <w:rPr>
          <w:i/>
          <w:lang w:val="fr-CA"/>
        </w:rPr>
        <w:t xml:space="preserve"> </w:t>
      </w:r>
      <w:proofErr w:type="spellStart"/>
      <w:r w:rsidRPr="006D53E4">
        <w:rPr>
          <w:i/>
          <w:lang w:val="fr-CA"/>
        </w:rPr>
        <w:t>Witnesses</w:t>
      </w:r>
      <w:proofErr w:type="spellEnd"/>
      <w:r w:rsidRPr="006D53E4">
        <w:rPr>
          <w:i/>
          <w:lang w:val="fr-CA"/>
        </w:rPr>
        <w:t xml:space="preserve"> (</w:t>
      </w:r>
      <w:proofErr w:type="spellStart"/>
      <w:r w:rsidRPr="006D53E4">
        <w:rPr>
          <w:i/>
          <w:lang w:val="fr-CA"/>
        </w:rPr>
        <w:t>Judicial</w:t>
      </w:r>
      <w:proofErr w:type="spellEnd"/>
      <w:r w:rsidRPr="006D53E4">
        <w:rPr>
          <w:i/>
          <w:lang w:val="fr-CA"/>
        </w:rPr>
        <w:t xml:space="preserve"> </w:t>
      </w:r>
      <w:proofErr w:type="spellStart"/>
      <w:r w:rsidRPr="006D53E4">
        <w:rPr>
          <w:i/>
          <w:lang w:val="fr-CA"/>
        </w:rPr>
        <w:t>Committee</w:t>
      </w:r>
      <w:proofErr w:type="spellEnd"/>
      <w:r w:rsidRPr="006D53E4">
        <w:rPr>
          <w:i/>
          <w:lang w:val="fr-CA"/>
        </w:rPr>
        <w:t>) c. Wall</w:t>
      </w:r>
      <w:r w:rsidRPr="006D53E4">
        <w:rPr>
          <w:lang w:val="fr-CA"/>
        </w:rPr>
        <w:t>,</w:t>
      </w:r>
      <w:r w:rsidRPr="006D53E4">
        <w:rPr>
          <w:i/>
          <w:lang w:val="fr-CA"/>
        </w:rPr>
        <w:t xml:space="preserve"> </w:t>
      </w:r>
      <w:r w:rsidRPr="006D53E4">
        <w:rPr>
          <w:lang w:val="fr-CA"/>
        </w:rPr>
        <w:t xml:space="preserve">2018 CSC 26, [2018] 1 R.C.S. 750; </w:t>
      </w:r>
      <w:r w:rsidRPr="006D53E4">
        <w:rPr>
          <w:b/>
          <w:lang w:val="fr-CA"/>
        </w:rPr>
        <w:t xml:space="preserve">arrêts examinés: </w:t>
      </w:r>
      <w:r w:rsidRPr="006D53E4">
        <w:rPr>
          <w:i/>
          <w:lang w:val="fr-CA"/>
        </w:rPr>
        <w:t>Senez c. Chambre d’Immeuble de Montréal</w:t>
      </w:r>
      <w:r w:rsidRPr="006D53E4">
        <w:rPr>
          <w:lang w:val="fr-CA"/>
        </w:rPr>
        <w:t xml:space="preserve">, [1980] 2 R.C.S. 555; </w:t>
      </w:r>
      <w:proofErr w:type="spellStart"/>
      <w:r w:rsidRPr="006D53E4">
        <w:rPr>
          <w:bCs/>
          <w:i/>
          <w:iCs/>
          <w:lang w:val="fr-CA"/>
        </w:rPr>
        <w:t>Lakeside</w:t>
      </w:r>
      <w:proofErr w:type="spellEnd"/>
      <w:r w:rsidRPr="006D53E4">
        <w:rPr>
          <w:bCs/>
          <w:i/>
          <w:iCs/>
          <w:lang w:val="fr-CA"/>
        </w:rPr>
        <w:t xml:space="preserve"> </w:t>
      </w:r>
      <w:proofErr w:type="spellStart"/>
      <w:r w:rsidRPr="006D53E4">
        <w:rPr>
          <w:bCs/>
          <w:i/>
          <w:iCs/>
          <w:lang w:val="fr-CA"/>
        </w:rPr>
        <w:t>Colony</w:t>
      </w:r>
      <w:proofErr w:type="spellEnd"/>
      <w:r w:rsidRPr="006D53E4">
        <w:rPr>
          <w:bCs/>
          <w:i/>
          <w:iCs/>
          <w:lang w:val="fr-CA"/>
        </w:rPr>
        <w:t xml:space="preserve"> of </w:t>
      </w:r>
      <w:proofErr w:type="spellStart"/>
      <w:r w:rsidRPr="006D53E4">
        <w:rPr>
          <w:bCs/>
          <w:i/>
          <w:iCs/>
          <w:lang w:val="fr-CA"/>
        </w:rPr>
        <w:t>Hutterian</w:t>
      </w:r>
      <w:proofErr w:type="spellEnd"/>
      <w:r w:rsidRPr="006D53E4">
        <w:rPr>
          <w:bCs/>
          <w:i/>
          <w:iCs/>
          <w:lang w:val="fr-CA"/>
        </w:rPr>
        <w:t xml:space="preserve"> </w:t>
      </w:r>
      <w:proofErr w:type="spellStart"/>
      <w:r w:rsidRPr="006D53E4">
        <w:rPr>
          <w:bCs/>
          <w:i/>
          <w:iCs/>
          <w:lang w:val="fr-CA"/>
        </w:rPr>
        <w:t>Brethren</w:t>
      </w:r>
      <w:proofErr w:type="spellEnd"/>
      <w:r w:rsidRPr="006D53E4">
        <w:rPr>
          <w:bCs/>
          <w:i/>
          <w:iCs/>
          <w:lang w:val="fr-CA"/>
        </w:rPr>
        <w:t xml:space="preserve"> c. Hofer</w:t>
      </w:r>
      <w:r w:rsidRPr="006D53E4">
        <w:rPr>
          <w:bCs/>
          <w:iCs/>
          <w:lang w:val="fr-CA"/>
        </w:rPr>
        <w:t xml:space="preserve">, [1992] 3 R.C.S. 165; </w:t>
      </w:r>
      <w:r w:rsidRPr="006D53E4">
        <w:rPr>
          <w:bCs/>
          <w:i/>
          <w:iCs/>
          <w:lang w:val="fr-CA"/>
        </w:rPr>
        <w:t>Hofer c. Hofer</w:t>
      </w:r>
      <w:r w:rsidRPr="006D53E4">
        <w:rPr>
          <w:bCs/>
          <w:iCs/>
          <w:lang w:val="fr-CA"/>
        </w:rPr>
        <w:t xml:space="preserve">, [1970] R.C.S. 958; </w:t>
      </w:r>
      <w:r w:rsidRPr="006D53E4">
        <w:rPr>
          <w:b/>
          <w:lang w:val="fr-CA"/>
        </w:rPr>
        <w:t>arrêts mentionnés :</w:t>
      </w:r>
      <w:r w:rsidRPr="006D53E4">
        <w:rPr>
          <w:lang w:val="fr-CA"/>
        </w:rPr>
        <w:t xml:space="preserve"> </w:t>
      </w:r>
      <w:proofErr w:type="spellStart"/>
      <w:r w:rsidRPr="006D53E4">
        <w:rPr>
          <w:i/>
          <w:lang w:val="fr-CA"/>
        </w:rPr>
        <w:t>Ahenakew</w:t>
      </w:r>
      <w:proofErr w:type="spellEnd"/>
      <w:r w:rsidRPr="006D53E4">
        <w:rPr>
          <w:i/>
          <w:lang w:val="fr-CA"/>
        </w:rPr>
        <w:t xml:space="preserve"> c. </w:t>
      </w:r>
      <w:proofErr w:type="spellStart"/>
      <w:r w:rsidRPr="006D53E4">
        <w:rPr>
          <w:i/>
          <w:lang w:val="fr-CA"/>
        </w:rPr>
        <w:t>MacKay</w:t>
      </w:r>
      <w:proofErr w:type="spellEnd"/>
      <w:r w:rsidRPr="006D53E4">
        <w:rPr>
          <w:i/>
          <w:lang w:val="fr-CA"/>
        </w:rPr>
        <w:t xml:space="preserve"> </w:t>
      </w:r>
      <w:r w:rsidRPr="006D53E4">
        <w:rPr>
          <w:lang w:val="fr-CA"/>
        </w:rPr>
        <w:t xml:space="preserve">(2004), 71 </w:t>
      </w:r>
      <w:proofErr w:type="spellStart"/>
      <w:r w:rsidRPr="006D53E4">
        <w:rPr>
          <w:lang w:val="fr-CA"/>
        </w:rPr>
        <w:t>O.R</w:t>
      </w:r>
      <w:proofErr w:type="spellEnd"/>
      <w:r w:rsidRPr="006D53E4">
        <w:rPr>
          <w:lang w:val="fr-CA"/>
        </w:rPr>
        <w:t xml:space="preserve">. (3d) 130; </w:t>
      </w:r>
      <w:r w:rsidRPr="006D53E4">
        <w:rPr>
          <w:i/>
          <w:lang w:val="fr-CA"/>
        </w:rPr>
        <w:t>Hryniak c. Mauldin</w:t>
      </w:r>
      <w:r w:rsidRPr="006D53E4">
        <w:rPr>
          <w:lang w:val="fr-CA"/>
        </w:rPr>
        <w:t xml:space="preserve">, 2014 CSC 7, [2014] 1 R.C.S. 87; </w:t>
      </w:r>
      <w:r w:rsidRPr="006D53E4">
        <w:rPr>
          <w:i/>
          <w:lang w:val="fr-CA"/>
        </w:rPr>
        <w:t xml:space="preserve">Canada (Procureur général) c. </w:t>
      </w:r>
      <w:proofErr w:type="spellStart"/>
      <w:r w:rsidRPr="006D53E4">
        <w:rPr>
          <w:i/>
          <w:lang w:val="fr-CA"/>
        </w:rPr>
        <w:t>Lameman</w:t>
      </w:r>
      <w:proofErr w:type="spellEnd"/>
      <w:r w:rsidRPr="006D53E4">
        <w:rPr>
          <w:lang w:val="fr-CA"/>
        </w:rPr>
        <w:t xml:space="preserve">, 2008 CSC 14, [2008] 1 R.C.S. 372; </w:t>
      </w:r>
      <w:proofErr w:type="spellStart"/>
      <w:r w:rsidRPr="006D53E4">
        <w:rPr>
          <w:i/>
          <w:iCs/>
          <w:lang w:val="fr-CA"/>
        </w:rPr>
        <w:t>Transamerica</w:t>
      </w:r>
      <w:proofErr w:type="spellEnd"/>
      <w:r w:rsidRPr="006D53E4">
        <w:rPr>
          <w:i/>
          <w:iCs/>
          <w:lang w:val="fr-CA"/>
        </w:rPr>
        <w:t xml:space="preserve"> Life </w:t>
      </w:r>
      <w:proofErr w:type="spellStart"/>
      <w:r w:rsidRPr="006D53E4">
        <w:rPr>
          <w:i/>
          <w:iCs/>
          <w:lang w:val="fr-CA"/>
        </w:rPr>
        <w:t>Insurance</w:t>
      </w:r>
      <w:proofErr w:type="spellEnd"/>
      <w:r w:rsidRPr="006D53E4">
        <w:rPr>
          <w:i/>
          <w:iCs/>
          <w:lang w:val="fr-CA"/>
        </w:rPr>
        <w:t xml:space="preserve"> Co. of Canada c. Canada Life Assurance Co.</w:t>
      </w:r>
      <w:r w:rsidRPr="006D53E4">
        <w:rPr>
          <w:iCs/>
          <w:lang w:val="fr-CA"/>
        </w:rPr>
        <w:t xml:space="preserve"> </w:t>
      </w:r>
      <w:r w:rsidRPr="001D0B71">
        <w:rPr>
          <w:iCs/>
          <w:lang w:val="en-US"/>
        </w:rPr>
        <w:t xml:space="preserve">(1996), 28 O.R. (3d) 423, conf. par [1997] O.J. No. 3754 (QL); </w:t>
      </w:r>
      <w:r w:rsidRPr="001D0B71">
        <w:rPr>
          <w:i/>
          <w:iCs/>
          <w:lang w:val="en-US"/>
        </w:rPr>
        <w:t>Goudie c. Ottawa (Ville)</w:t>
      </w:r>
      <w:r w:rsidRPr="001D0B71">
        <w:rPr>
          <w:iCs/>
          <w:lang w:val="en-US"/>
        </w:rPr>
        <w:t xml:space="preserve">, 2003 CSC 14, [2003] 1 </w:t>
      </w:r>
      <w:proofErr w:type="spellStart"/>
      <w:r w:rsidRPr="001D0B71">
        <w:rPr>
          <w:iCs/>
          <w:lang w:val="en-US"/>
        </w:rPr>
        <w:t>R.C.S</w:t>
      </w:r>
      <w:proofErr w:type="spellEnd"/>
      <w:r w:rsidRPr="001D0B71">
        <w:rPr>
          <w:iCs/>
          <w:lang w:val="en-US"/>
        </w:rPr>
        <w:t xml:space="preserve">. 141; </w:t>
      </w:r>
      <w:proofErr w:type="spellStart"/>
      <w:r w:rsidRPr="001D0B71">
        <w:rPr>
          <w:i/>
          <w:iCs/>
        </w:rPr>
        <w:t>Dunnet</w:t>
      </w:r>
      <w:proofErr w:type="spellEnd"/>
      <w:r w:rsidRPr="001D0B71">
        <w:rPr>
          <w:i/>
          <w:iCs/>
        </w:rPr>
        <w:t xml:space="preserve"> c. </w:t>
      </w:r>
      <w:proofErr w:type="spellStart"/>
      <w:r w:rsidRPr="001D0B71">
        <w:rPr>
          <w:i/>
          <w:iCs/>
        </w:rPr>
        <w:t>Forneri</w:t>
      </w:r>
      <w:proofErr w:type="spellEnd"/>
      <w:r w:rsidRPr="001D0B71">
        <w:rPr>
          <w:iCs/>
        </w:rPr>
        <w:t xml:space="preserve"> (1877), 25 Gr. 199; </w:t>
      </w:r>
      <w:r w:rsidRPr="001D0B71">
        <w:rPr>
          <w:bCs/>
          <w:i/>
          <w:iCs/>
        </w:rPr>
        <w:t xml:space="preserve">Ukrainian Greek Orthodox Church of Canada c. Trustees of the Ukrainian Greek Orthodox Cathedral of St. Mary the </w:t>
      </w:r>
      <w:proofErr w:type="spellStart"/>
      <w:r w:rsidRPr="001D0B71">
        <w:rPr>
          <w:bCs/>
          <w:i/>
          <w:iCs/>
        </w:rPr>
        <w:t>Protectress</w:t>
      </w:r>
      <w:proofErr w:type="spellEnd"/>
      <w:r w:rsidRPr="001D0B71">
        <w:rPr>
          <w:bCs/>
          <w:iCs/>
        </w:rPr>
        <w:t xml:space="preserve">, [1940] </w:t>
      </w:r>
      <w:proofErr w:type="spellStart"/>
      <w:r w:rsidRPr="001D0B71">
        <w:rPr>
          <w:bCs/>
          <w:iCs/>
        </w:rPr>
        <w:t>R.C.S</w:t>
      </w:r>
      <w:proofErr w:type="spellEnd"/>
      <w:r w:rsidRPr="001D0B71">
        <w:rPr>
          <w:bCs/>
          <w:iCs/>
        </w:rPr>
        <w:t xml:space="preserve">. 586; </w:t>
      </w:r>
      <w:r w:rsidRPr="001D0B71">
        <w:rPr>
          <w:bCs/>
          <w:i/>
          <w:iCs/>
        </w:rPr>
        <w:t xml:space="preserve">Bruker c. </w:t>
      </w:r>
      <w:proofErr w:type="spellStart"/>
      <w:r w:rsidRPr="001D0B71">
        <w:rPr>
          <w:bCs/>
          <w:i/>
          <w:iCs/>
        </w:rPr>
        <w:t>Marcovitz</w:t>
      </w:r>
      <w:proofErr w:type="spellEnd"/>
      <w:r w:rsidRPr="001D0B71">
        <w:rPr>
          <w:bCs/>
          <w:iCs/>
        </w:rPr>
        <w:t xml:space="preserve">, 2007 CSC 54, [2007] 3 R.C.S. 607; </w:t>
      </w:r>
      <w:r w:rsidRPr="001D0B71">
        <w:rPr>
          <w:bCs/>
          <w:i/>
          <w:iCs/>
        </w:rPr>
        <w:t>McCaw c. United Church of Canada</w:t>
      </w:r>
      <w:r w:rsidRPr="001D0B71">
        <w:rPr>
          <w:bCs/>
          <w:iCs/>
        </w:rPr>
        <w:t xml:space="preserve"> (1991), 4 O.R. (3d) 481; </w:t>
      </w:r>
      <w:r w:rsidRPr="001D0B71">
        <w:rPr>
          <w:bCs/>
          <w:i/>
          <w:iCs/>
          <w:lang w:bidi="en-US"/>
        </w:rPr>
        <w:t>Polish Alliance of Association of Toronto Ltd. c. The Polish Alliance of Canada</w:t>
      </w:r>
      <w:r w:rsidRPr="001D0B71">
        <w:rPr>
          <w:bCs/>
          <w:iCs/>
          <w:lang w:bidi="en-US"/>
        </w:rPr>
        <w:t xml:space="preserve">, 2017 ONCA 574, 32 E.T.R. (4th) 64; </w:t>
      </w:r>
      <w:proofErr w:type="spellStart"/>
      <w:r w:rsidRPr="001D0B71">
        <w:rPr>
          <w:bCs/>
          <w:i/>
          <w:iCs/>
          <w:lang w:bidi="en-US"/>
        </w:rPr>
        <w:t>Scotsburn</w:t>
      </w:r>
      <w:proofErr w:type="spellEnd"/>
      <w:r w:rsidRPr="001D0B71">
        <w:rPr>
          <w:bCs/>
          <w:i/>
          <w:iCs/>
          <w:lang w:bidi="en-US"/>
        </w:rPr>
        <w:t xml:space="preserve"> Co</w:t>
      </w:r>
      <w:r w:rsidRPr="001D0B71">
        <w:rPr>
          <w:bCs/>
          <w:i/>
          <w:iCs/>
          <w:lang w:bidi="en-US"/>
        </w:rPr>
        <w:noBreakHyphen/>
        <w:t>operative Services Ltd. c. W. T. Goodwin Ltd.</w:t>
      </w:r>
      <w:r w:rsidRPr="001D0B71">
        <w:rPr>
          <w:bCs/>
          <w:iCs/>
          <w:lang w:bidi="en-US"/>
        </w:rPr>
        <w:t xml:space="preserve">, [1985] 1 R.C.S. 54; </w:t>
      </w:r>
      <w:r w:rsidRPr="001D0B71">
        <w:rPr>
          <w:bCs/>
          <w:i/>
          <w:iCs/>
          <w:lang w:bidi="en-US"/>
        </w:rPr>
        <w:t>Owners, Strata Plan LMS 3905 c. Crystal Square Parking Corp.</w:t>
      </w:r>
      <w:r w:rsidRPr="001D0B71">
        <w:rPr>
          <w:bCs/>
          <w:iCs/>
          <w:lang w:bidi="en-US"/>
        </w:rPr>
        <w:t>, 2020 CSC 29</w:t>
      </w:r>
      <w:r w:rsidR="00516A24">
        <w:rPr>
          <w:bCs/>
          <w:iCs/>
          <w:lang w:bidi="en-US"/>
        </w:rPr>
        <w:t xml:space="preserve">, [2020] 3 </w:t>
      </w:r>
      <w:proofErr w:type="spellStart"/>
      <w:r w:rsidR="00516A24">
        <w:rPr>
          <w:bCs/>
          <w:iCs/>
          <w:lang w:bidi="en-US"/>
        </w:rPr>
        <w:t>R.C.S</w:t>
      </w:r>
      <w:proofErr w:type="spellEnd"/>
      <w:r w:rsidR="00516A24">
        <w:rPr>
          <w:bCs/>
          <w:iCs/>
          <w:lang w:bidi="en-US"/>
        </w:rPr>
        <w:t xml:space="preserve">. </w:t>
      </w:r>
      <w:r w:rsidR="0055119B">
        <w:rPr>
          <w:bCs/>
          <w:iCs/>
          <w:lang w:bidi="en-US"/>
        </w:rPr>
        <w:t>247</w:t>
      </w:r>
      <w:r w:rsidRPr="001D0B71">
        <w:rPr>
          <w:bCs/>
          <w:iCs/>
          <w:lang w:bidi="en-US"/>
        </w:rPr>
        <w:t xml:space="preserve">; </w:t>
      </w:r>
      <w:proofErr w:type="spellStart"/>
      <w:r w:rsidRPr="001D0B71">
        <w:rPr>
          <w:bCs/>
          <w:i/>
          <w:iCs/>
          <w:lang w:bidi="en-US"/>
        </w:rPr>
        <w:t>Kernwood</w:t>
      </w:r>
      <w:proofErr w:type="spellEnd"/>
      <w:r w:rsidRPr="001D0B71">
        <w:rPr>
          <w:bCs/>
          <w:i/>
          <w:iCs/>
          <w:lang w:bidi="en-US"/>
        </w:rPr>
        <w:t xml:space="preserve"> Ltd. c. Renegade Capital Corp. </w:t>
      </w:r>
      <w:r w:rsidRPr="001D0B71">
        <w:rPr>
          <w:bCs/>
          <w:iCs/>
          <w:lang w:bidi="en-US"/>
        </w:rPr>
        <w:t xml:space="preserve">(1997), 97 O.A.C. 3; </w:t>
      </w:r>
      <w:r w:rsidRPr="001D0B71">
        <w:rPr>
          <w:bCs/>
          <w:i/>
          <w:iCs/>
          <w:lang w:bidi="en-US"/>
        </w:rPr>
        <w:t>Smith c. Hughes</w:t>
      </w:r>
      <w:r w:rsidRPr="001D0B71">
        <w:rPr>
          <w:bCs/>
          <w:iCs/>
          <w:lang w:bidi="en-US"/>
        </w:rPr>
        <w:t xml:space="preserve"> (1871), L.R. 6 Q.B. 597; </w:t>
      </w:r>
      <w:proofErr w:type="spellStart"/>
      <w:r w:rsidRPr="001D0B71">
        <w:rPr>
          <w:bCs/>
          <w:i/>
          <w:iCs/>
          <w:lang w:bidi="en-US"/>
        </w:rPr>
        <w:t>Leemhuis</w:t>
      </w:r>
      <w:proofErr w:type="spellEnd"/>
      <w:r w:rsidRPr="001D0B71">
        <w:rPr>
          <w:bCs/>
          <w:i/>
          <w:iCs/>
          <w:lang w:bidi="en-US"/>
        </w:rPr>
        <w:t xml:space="preserve"> c. </w:t>
      </w:r>
      <w:proofErr w:type="spellStart"/>
      <w:r w:rsidRPr="001D0B71">
        <w:rPr>
          <w:bCs/>
          <w:i/>
          <w:iCs/>
          <w:lang w:bidi="en-US"/>
        </w:rPr>
        <w:t>Kardash</w:t>
      </w:r>
      <w:proofErr w:type="spellEnd"/>
      <w:r w:rsidRPr="001D0B71">
        <w:rPr>
          <w:bCs/>
          <w:i/>
          <w:iCs/>
          <w:lang w:bidi="en-US"/>
        </w:rPr>
        <w:t xml:space="preserve"> Plumbing Ltd.</w:t>
      </w:r>
      <w:r w:rsidRPr="001D0B71">
        <w:rPr>
          <w:bCs/>
          <w:iCs/>
          <w:lang w:bidi="en-US"/>
        </w:rPr>
        <w:t xml:space="preserve">, 2020 BCCA 99, 34 B.C.L.R. (6th) 248; </w:t>
      </w:r>
      <w:r w:rsidRPr="001D0B71">
        <w:rPr>
          <w:bCs/>
          <w:i/>
          <w:iCs/>
          <w:lang w:bidi="en-US"/>
        </w:rPr>
        <w:t>Balfour c. Balfour</w:t>
      </w:r>
      <w:r w:rsidRPr="001D0B71">
        <w:rPr>
          <w:bCs/>
          <w:iCs/>
          <w:lang w:bidi="en-US"/>
        </w:rPr>
        <w:t xml:space="preserve">, [1919] 2 K.B. 571; </w:t>
      </w:r>
      <w:proofErr w:type="spellStart"/>
      <w:r w:rsidRPr="001D0B71">
        <w:rPr>
          <w:bCs/>
          <w:i/>
          <w:iCs/>
          <w:lang w:bidi="en-US"/>
        </w:rPr>
        <w:t>Eng</w:t>
      </w:r>
      <w:proofErr w:type="spellEnd"/>
      <w:r w:rsidRPr="001D0B71">
        <w:rPr>
          <w:bCs/>
          <w:i/>
          <w:iCs/>
          <w:lang w:bidi="en-US"/>
        </w:rPr>
        <w:t xml:space="preserve"> c. Evans</w:t>
      </w:r>
      <w:r w:rsidRPr="001D0B71">
        <w:rPr>
          <w:bCs/>
          <w:iCs/>
          <w:lang w:bidi="en-US"/>
        </w:rPr>
        <w:t xml:space="preserve"> (1991), 83 Alta. L.R. (</w:t>
      </w:r>
      <w:proofErr w:type="spellStart"/>
      <w:r w:rsidRPr="001D0B71">
        <w:rPr>
          <w:bCs/>
          <w:iCs/>
          <w:lang w:bidi="en-US"/>
        </w:rPr>
        <w:t>2d</w:t>
      </w:r>
      <w:proofErr w:type="spellEnd"/>
      <w:r w:rsidRPr="001D0B71">
        <w:rPr>
          <w:bCs/>
          <w:iCs/>
          <w:lang w:bidi="en-US"/>
        </w:rPr>
        <w:t xml:space="preserve">) 107; </w:t>
      </w:r>
      <w:proofErr w:type="spellStart"/>
      <w:r w:rsidRPr="001D0B71">
        <w:rPr>
          <w:bCs/>
          <w:i/>
          <w:iCs/>
          <w:lang w:bidi="en-US"/>
        </w:rPr>
        <w:t>Foran</w:t>
      </w:r>
      <w:proofErr w:type="spellEnd"/>
      <w:r w:rsidRPr="001D0B71">
        <w:rPr>
          <w:bCs/>
          <w:i/>
          <w:iCs/>
          <w:lang w:bidi="en-US"/>
        </w:rPr>
        <w:t xml:space="preserve"> c. </w:t>
      </w:r>
      <w:proofErr w:type="spellStart"/>
      <w:r w:rsidRPr="001D0B71">
        <w:rPr>
          <w:bCs/>
          <w:i/>
          <w:iCs/>
          <w:lang w:bidi="en-US"/>
        </w:rPr>
        <w:t>Kottmeier</w:t>
      </w:r>
      <w:proofErr w:type="spellEnd"/>
      <w:r w:rsidRPr="001D0B71">
        <w:rPr>
          <w:bCs/>
          <w:iCs/>
          <w:lang w:bidi="en-US"/>
        </w:rPr>
        <w:t xml:space="preserve">, [1973] 3 </w:t>
      </w:r>
      <w:proofErr w:type="spellStart"/>
      <w:r w:rsidRPr="001D0B71">
        <w:rPr>
          <w:bCs/>
          <w:iCs/>
          <w:lang w:bidi="en-US"/>
        </w:rPr>
        <w:t>O.R</w:t>
      </w:r>
      <w:proofErr w:type="spellEnd"/>
      <w:r w:rsidRPr="001D0B71">
        <w:rPr>
          <w:bCs/>
          <w:iCs/>
          <w:lang w:bidi="en-US"/>
        </w:rPr>
        <w:t xml:space="preserve">. 1002; </w:t>
      </w:r>
      <w:proofErr w:type="spellStart"/>
      <w:r w:rsidRPr="001D0B71">
        <w:rPr>
          <w:bCs/>
          <w:i/>
          <w:iCs/>
          <w:lang w:bidi="en-US"/>
        </w:rPr>
        <w:t>Pinke</w:t>
      </w:r>
      <w:proofErr w:type="spellEnd"/>
      <w:r w:rsidRPr="001D0B71">
        <w:rPr>
          <w:bCs/>
          <w:i/>
          <w:iCs/>
          <w:lang w:bidi="en-US"/>
        </w:rPr>
        <w:t xml:space="preserve"> c. </w:t>
      </w:r>
      <w:proofErr w:type="spellStart"/>
      <w:r w:rsidRPr="001D0B71">
        <w:rPr>
          <w:bCs/>
          <w:i/>
          <w:iCs/>
          <w:lang w:bidi="en-US"/>
        </w:rPr>
        <w:t>Bornhold</w:t>
      </w:r>
      <w:proofErr w:type="spellEnd"/>
      <w:r w:rsidRPr="001D0B71">
        <w:rPr>
          <w:bCs/>
          <w:iCs/>
          <w:lang w:bidi="en-US"/>
        </w:rPr>
        <w:t xml:space="preserve"> (1904), 8 </w:t>
      </w:r>
      <w:proofErr w:type="spellStart"/>
      <w:r w:rsidRPr="001D0B71">
        <w:rPr>
          <w:bCs/>
          <w:iCs/>
          <w:lang w:bidi="en-US"/>
        </w:rPr>
        <w:t>O.L.R</w:t>
      </w:r>
      <w:proofErr w:type="spellEnd"/>
      <w:r w:rsidRPr="001D0B71">
        <w:rPr>
          <w:bCs/>
          <w:iCs/>
          <w:lang w:bidi="en-US"/>
        </w:rPr>
        <w:t xml:space="preserve">. 575; </w:t>
      </w:r>
      <w:proofErr w:type="spellStart"/>
      <w:r w:rsidRPr="001D0B71">
        <w:rPr>
          <w:bCs/>
          <w:i/>
          <w:iCs/>
          <w:lang w:bidi="en-US"/>
        </w:rPr>
        <w:t>Zebroski</w:t>
      </w:r>
      <w:proofErr w:type="spellEnd"/>
      <w:r w:rsidRPr="001D0B71">
        <w:rPr>
          <w:bCs/>
          <w:i/>
          <w:iCs/>
          <w:lang w:bidi="en-US"/>
        </w:rPr>
        <w:t xml:space="preserve"> c. Jehovah’s Witnesses</w:t>
      </w:r>
      <w:r w:rsidRPr="001D0B71">
        <w:rPr>
          <w:bCs/>
          <w:iCs/>
          <w:lang w:bidi="en-US"/>
        </w:rPr>
        <w:t xml:space="preserve"> (1988), 87 A.R. 229; </w:t>
      </w:r>
      <w:r w:rsidRPr="001D0B71">
        <w:rPr>
          <w:bCs/>
          <w:i/>
          <w:iCs/>
          <w:lang w:bidi="en-US"/>
        </w:rPr>
        <w:t>E. c. English Province of Our Lady of Charity</w:t>
      </w:r>
      <w:r w:rsidRPr="001D0B71">
        <w:rPr>
          <w:bCs/>
          <w:iCs/>
          <w:lang w:bidi="en-US"/>
        </w:rPr>
        <w:t xml:space="preserve">, [2012] </w:t>
      </w:r>
      <w:proofErr w:type="spellStart"/>
      <w:r w:rsidRPr="001D0B71">
        <w:rPr>
          <w:bCs/>
          <w:iCs/>
          <w:lang w:bidi="en-US"/>
        </w:rPr>
        <w:t>EWCA</w:t>
      </w:r>
      <w:proofErr w:type="spellEnd"/>
      <w:r w:rsidRPr="001D0B71">
        <w:rPr>
          <w:bCs/>
          <w:iCs/>
          <w:lang w:bidi="en-US"/>
        </w:rPr>
        <w:t xml:space="preserve"> </w:t>
      </w:r>
      <w:proofErr w:type="spellStart"/>
      <w:r w:rsidRPr="001D0B71">
        <w:rPr>
          <w:bCs/>
          <w:iCs/>
          <w:lang w:bidi="en-US"/>
        </w:rPr>
        <w:t>Civ</w:t>
      </w:r>
      <w:proofErr w:type="spellEnd"/>
      <w:r w:rsidRPr="001D0B71">
        <w:rPr>
          <w:bCs/>
          <w:iCs/>
          <w:lang w:bidi="en-US"/>
        </w:rPr>
        <w:t xml:space="preserve"> 938, [2013] </w:t>
      </w:r>
      <w:proofErr w:type="spellStart"/>
      <w:r w:rsidRPr="001D0B71">
        <w:rPr>
          <w:bCs/>
          <w:iCs/>
          <w:lang w:bidi="en-US"/>
        </w:rPr>
        <w:t>Q.B.</w:t>
      </w:r>
      <w:proofErr w:type="spellEnd"/>
      <w:r w:rsidRPr="001D0B71">
        <w:rPr>
          <w:bCs/>
          <w:iCs/>
          <w:lang w:bidi="en-US"/>
        </w:rPr>
        <w:t xml:space="preserve"> 722; </w:t>
      </w:r>
      <w:r w:rsidRPr="001D0B71">
        <w:rPr>
          <w:bCs/>
          <w:i/>
          <w:iCs/>
          <w:lang w:bidi="en-US"/>
        </w:rPr>
        <w:t>Percy c. Board of National Mission of the Church of Scotland</w:t>
      </w:r>
      <w:r w:rsidRPr="001D0B71">
        <w:rPr>
          <w:bCs/>
          <w:iCs/>
          <w:lang w:bidi="en-US"/>
        </w:rPr>
        <w:t xml:space="preserve">, [2005] UKHL 73, [2006] 2 A.C. 28; </w:t>
      </w:r>
      <w:r w:rsidRPr="001D0B71">
        <w:rPr>
          <w:bCs/>
          <w:i/>
          <w:iCs/>
          <w:lang w:bidi="en-US"/>
        </w:rPr>
        <w:t>Berry c. Pulley</w:t>
      </w:r>
      <w:r w:rsidRPr="001D0B71">
        <w:rPr>
          <w:bCs/>
          <w:iCs/>
          <w:lang w:bidi="en-US"/>
        </w:rPr>
        <w:t xml:space="preserve">, 2002 CSC 40, [2002] 2 R.C.S. 493; </w:t>
      </w:r>
      <w:r w:rsidRPr="001D0B71">
        <w:rPr>
          <w:bCs/>
          <w:i/>
          <w:iCs/>
          <w:lang w:bidi="en-US"/>
        </w:rPr>
        <w:t xml:space="preserve">The </w:t>
      </w:r>
      <w:proofErr w:type="spellStart"/>
      <w:r w:rsidRPr="001D0B71">
        <w:rPr>
          <w:bCs/>
          <w:i/>
          <w:iCs/>
          <w:lang w:bidi="en-US"/>
        </w:rPr>
        <w:t>Satanita</w:t>
      </w:r>
      <w:proofErr w:type="spellEnd"/>
      <w:r w:rsidRPr="001D0B71">
        <w:rPr>
          <w:bCs/>
          <w:iCs/>
          <w:lang w:bidi="en-US"/>
        </w:rPr>
        <w:t xml:space="preserve">, [1895] P. 248, conf. par </w:t>
      </w:r>
      <w:r w:rsidRPr="001D0B71">
        <w:rPr>
          <w:bCs/>
          <w:i/>
          <w:iCs/>
          <w:lang w:bidi="en-US"/>
        </w:rPr>
        <w:t>Clarke c. Earl of Dunraven</w:t>
      </w:r>
      <w:r w:rsidRPr="001D0B71">
        <w:rPr>
          <w:bCs/>
          <w:iCs/>
          <w:lang w:bidi="en-US"/>
        </w:rPr>
        <w:t xml:space="preserve">, [1897] A.C. 59; </w:t>
      </w:r>
      <w:r w:rsidRPr="001D0B71">
        <w:rPr>
          <w:bCs/>
          <w:i/>
          <w:iCs/>
          <w:lang w:bidi="en-US"/>
        </w:rPr>
        <w:t>Orchard c. Tunney</w:t>
      </w:r>
      <w:r w:rsidRPr="001D0B71">
        <w:rPr>
          <w:bCs/>
          <w:iCs/>
          <w:lang w:bidi="en-US"/>
        </w:rPr>
        <w:t xml:space="preserve">, [1957] R.C.S. 436; </w:t>
      </w:r>
      <w:proofErr w:type="spellStart"/>
      <w:r w:rsidRPr="001D0B71">
        <w:rPr>
          <w:bCs/>
          <w:i/>
          <w:iCs/>
          <w:lang w:bidi="en-US"/>
        </w:rPr>
        <w:t>Taff</w:t>
      </w:r>
      <w:proofErr w:type="spellEnd"/>
      <w:r w:rsidRPr="001D0B71">
        <w:rPr>
          <w:bCs/>
          <w:i/>
          <w:iCs/>
          <w:lang w:bidi="en-US"/>
        </w:rPr>
        <w:t xml:space="preserve"> Vale Railway Co. c. Amalgamated Society of Railway Servants</w:t>
      </w:r>
      <w:r w:rsidRPr="001D0B71">
        <w:rPr>
          <w:bCs/>
          <w:iCs/>
          <w:lang w:bidi="en-US"/>
        </w:rPr>
        <w:t xml:space="preserve">, [1901] A.C. 426; </w:t>
      </w:r>
      <w:r w:rsidRPr="001D0B71">
        <w:rPr>
          <w:bCs/>
          <w:i/>
          <w:iCs/>
          <w:lang w:bidi="en-US"/>
        </w:rPr>
        <w:t>Palmer c. La Reine</w:t>
      </w:r>
      <w:r w:rsidRPr="001D0B71">
        <w:rPr>
          <w:bCs/>
          <w:iCs/>
          <w:lang w:bidi="en-US"/>
        </w:rPr>
        <w:t>, [1980] 1 R.C.S. 759.</w:t>
      </w:r>
    </w:p>
    <w:p w:rsidR="00C81AA4" w:rsidRPr="001D0B71" w:rsidRDefault="00C81AA4" w:rsidP="00C81AA4">
      <w:pPr>
        <w:pStyle w:val="SCCNormalDoubleSpacing"/>
        <w:spacing w:after="720" w:line="240" w:lineRule="auto"/>
        <w:rPr>
          <w:b/>
          <w:lang w:val="fr-CA"/>
        </w:rPr>
      </w:pPr>
      <w:r w:rsidRPr="001D0B71">
        <w:rPr>
          <w:b/>
          <w:lang w:val="fr-CA"/>
        </w:rPr>
        <w:t>Lois et règlements cités</w:t>
      </w:r>
    </w:p>
    <w:p w:rsidR="00C81AA4" w:rsidRPr="001D0B71" w:rsidRDefault="00C81AA4" w:rsidP="00C81AA4">
      <w:pPr>
        <w:pStyle w:val="SCCNormalDoubleSpacing"/>
        <w:spacing w:after="240" w:line="240" w:lineRule="auto"/>
        <w:ind w:left="539" w:hanging="539"/>
        <w:rPr>
          <w:lang w:val="fr-CA"/>
        </w:rPr>
      </w:pPr>
      <w:r w:rsidRPr="001D0B71">
        <w:rPr>
          <w:i/>
          <w:lang w:val="fr-CA"/>
        </w:rPr>
        <w:t>Charte canadienne des droits et libertés</w:t>
      </w:r>
      <w:r w:rsidRPr="001D0B71">
        <w:rPr>
          <w:lang w:val="fr-CA"/>
        </w:rPr>
        <w:t>, art. 2a).</w:t>
      </w:r>
    </w:p>
    <w:p w:rsidR="00C81AA4" w:rsidRPr="001D0B71" w:rsidRDefault="00C81AA4" w:rsidP="00C81AA4">
      <w:pPr>
        <w:pStyle w:val="SCCNormalDoubleSpacing"/>
        <w:spacing w:after="240" w:line="240" w:lineRule="auto"/>
        <w:ind w:left="539" w:hanging="539"/>
        <w:rPr>
          <w:lang w:val="fr-CA"/>
        </w:rPr>
      </w:pPr>
      <w:r w:rsidRPr="001D0B71">
        <w:rPr>
          <w:i/>
          <w:lang w:val="fr-CA"/>
        </w:rPr>
        <w:t>Loi sur la Cour suprême</w:t>
      </w:r>
      <w:r w:rsidRPr="001D0B71">
        <w:rPr>
          <w:lang w:val="fr-CA"/>
        </w:rPr>
        <w:t>, L.R.C. 1985, c. S</w:t>
      </w:r>
      <w:r w:rsidRPr="001D0B71">
        <w:rPr>
          <w:lang w:val="fr-CA"/>
        </w:rPr>
        <w:noBreakHyphen/>
        <w:t>26, art. 62(3).</w:t>
      </w:r>
    </w:p>
    <w:p w:rsidR="00C81AA4" w:rsidRPr="001D0B71" w:rsidRDefault="00C81AA4" w:rsidP="00C81AA4">
      <w:pPr>
        <w:pStyle w:val="SCCNormalDoubleSpacing"/>
        <w:spacing w:after="240" w:line="240" w:lineRule="auto"/>
        <w:ind w:left="539" w:hanging="539"/>
        <w:rPr>
          <w:lang w:val="fr-CA"/>
        </w:rPr>
      </w:pPr>
      <w:r w:rsidRPr="001D0B71">
        <w:rPr>
          <w:i/>
          <w:lang w:val="fr-CA"/>
        </w:rPr>
        <w:t>Loi sur les personnes morales</w:t>
      </w:r>
      <w:r w:rsidRPr="001D0B71">
        <w:rPr>
          <w:lang w:val="fr-CA"/>
        </w:rPr>
        <w:t>, L.R.O. 1990, c. C.38.</w:t>
      </w:r>
    </w:p>
    <w:p w:rsidR="00C81AA4" w:rsidRPr="001D0B71" w:rsidRDefault="00C81AA4" w:rsidP="00C81AA4">
      <w:pPr>
        <w:pStyle w:val="SCCNormalDoubleSpacing"/>
        <w:spacing w:after="240" w:line="240" w:lineRule="auto"/>
        <w:ind w:left="539" w:hanging="539"/>
        <w:rPr>
          <w:lang w:val="fr-CA"/>
        </w:rPr>
      </w:pPr>
      <w:r w:rsidRPr="001D0B71">
        <w:rPr>
          <w:i/>
          <w:lang w:val="fr-CA"/>
        </w:rPr>
        <w:t>Règles de la Cour suprême du Canada</w:t>
      </w:r>
      <w:r w:rsidRPr="001D0B71">
        <w:rPr>
          <w:lang w:val="fr-CA"/>
        </w:rPr>
        <w:t>, DORS/2002</w:t>
      </w:r>
      <w:r w:rsidRPr="001D0B71">
        <w:rPr>
          <w:lang w:val="fr-CA"/>
        </w:rPr>
        <w:noBreakHyphen/>
        <w:t>156, règle 47.</w:t>
      </w:r>
    </w:p>
    <w:p w:rsidR="00C81AA4" w:rsidRPr="001D0B71" w:rsidRDefault="00C81AA4" w:rsidP="00C81AA4">
      <w:pPr>
        <w:pStyle w:val="SCCNormalDoubleSpacing"/>
        <w:spacing w:after="720" w:line="240" w:lineRule="auto"/>
        <w:ind w:left="540" w:hanging="540"/>
        <w:rPr>
          <w:lang w:val="fr-CA"/>
        </w:rPr>
      </w:pPr>
      <w:r w:rsidRPr="001D0B71">
        <w:rPr>
          <w:i/>
          <w:lang w:val="fr-CA"/>
        </w:rPr>
        <w:t>Règles de procédure civile</w:t>
      </w:r>
      <w:r w:rsidRPr="001D0B71">
        <w:rPr>
          <w:lang w:val="fr-CA"/>
        </w:rPr>
        <w:t>, R.R.O. 1990, Règl. 194, règle 20.04(2)a).</w:t>
      </w:r>
    </w:p>
    <w:p w:rsidR="00C81AA4" w:rsidRPr="001D0B71" w:rsidRDefault="00C81AA4" w:rsidP="00C81AA4">
      <w:pPr>
        <w:pStyle w:val="SCCNormalDoubleSpacing"/>
        <w:spacing w:after="720" w:line="240" w:lineRule="auto"/>
        <w:rPr>
          <w:b/>
          <w:lang w:val="fr-CA"/>
        </w:rPr>
      </w:pPr>
      <w:r w:rsidRPr="001D0B71">
        <w:rPr>
          <w:b/>
          <w:lang w:val="fr-CA"/>
        </w:rPr>
        <w:t>Doctrine et autres documents cités</w:t>
      </w:r>
    </w:p>
    <w:p w:rsidR="00C81AA4" w:rsidRPr="001D0B71" w:rsidRDefault="00C81AA4" w:rsidP="00C81AA4">
      <w:pPr>
        <w:pStyle w:val="SCCNormalDoubleSpacing"/>
        <w:spacing w:after="240" w:line="240" w:lineRule="auto"/>
        <w:ind w:left="539" w:hanging="539"/>
      </w:pPr>
      <w:r w:rsidRPr="001D0B71">
        <w:rPr>
          <w:lang w:val="fr-CA"/>
        </w:rPr>
        <w:t xml:space="preserve">Aylward, Stephen. </w:t>
      </w:r>
      <w:r w:rsidRPr="001D0B71">
        <w:rPr>
          <w:i/>
        </w:rPr>
        <w:t>The Law of Unincorporated Associations in Canada</w:t>
      </w:r>
      <w:r w:rsidRPr="001D0B71">
        <w:t>, Toronto, LexisNexis, 2020.</w:t>
      </w:r>
    </w:p>
    <w:p w:rsidR="00C81AA4" w:rsidRPr="001D0B71" w:rsidRDefault="00C81AA4" w:rsidP="00C81AA4">
      <w:pPr>
        <w:pStyle w:val="SCCNormalDoubleSpacing"/>
        <w:spacing w:after="240" w:line="240" w:lineRule="auto"/>
        <w:ind w:left="539" w:hanging="539"/>
      </w:pPr>
      <w:r w:rsidRPr="001D0B71">
        <w:rPr>
          <w:lang w:val="en-US"/>
        </w:rPr>
        <w:t xml:space="preserve">Forbes, J. R. S. </w:t>
      </w:r>
      <w:r w:rsidRPr="001D0B71">
        <w:rPr>
          <w:i/>
          <w:lang w:val="en-US"/>
        </w:rPr>
        <w:t>The Law of Domestic or Private Tribunals</w:t>
      </w:r>
      <w:r w:rsidRPr="001D0B71">
        <w:rPr>
          <w:lang w:val="en-US"/>
        </w:rPr>
        <w:t>, Sydney (N.S.W.), Law Book, 1982.</w:t>
      </w:r>
    </w:p>
    <w:p w:rsidR="00C81AA4" w:rsidRPr="001D0B71" w:rsidRDefault="00C81AA4" w:rsidP="00C81AA4">
      <w:pPr>
        <w:pStyle w:val="SCCNormalDoubleSpacing"/>
        <w:spacing w:after="240" w:line="240" w:lineRule="auto"/>
        <w:ind w:left="539" w:hanging="539"/>
      </w:pPr>
      <w:proofErr w:type="spellStart"/>
      <w:r w:rsidRPr="001D0B71">
        <w:t>Fridman</w:t>
      </w:r>
      <w:proofErr w:type="spellEnd"/>
      <w:r w:rsidRPr="001D0B71">
        <w:t xml:space="preserve">, G. H. L. </w:t>
      </w:r>
      <w:r w:rsidRPr="001D0B71">
        <w:rPr>
          <w:i/>
        </w:rPr>
        <w:t>The Law of Contract in Canada</w:t>
      </w:r>
      <w:r w:rsidRPr="001D0B71">
        <w:t>, 6th ed., Toronto, Carswell, 2011.</w:t>
      </w:r>
    </w:p>
    <w:p w:rsidR="00C81AA4" w:rsidRPr="001D0B71" w:rsidRDefault="00C81AA4" w:rsidP="00C81AA4">
      <w:pPr>
        <w:pStyle w:val="SCCNormalDoubleSpacing"/>
        <w:spacing w:after="240" w:line="240" w:lineRule="auto"/>
        <w:ind w:left="539" w:hanging="539"/>
        <w:rPr>
          <w:lang w:val="en-US"/>
        </w:rPr>
      </w:pPr>
      <w:r w:rsidRPr="001D0B71">
        <w:t xml:space="preserve">Ogilvie, M. H. </w:t>
      </w:r>
      <w:r w:rsidRPr="001D0B71">
        <w:rPr>
          <w:lang w:val="en-US"/>
        </w:rPr>
        <w:t>« </w:t>
      </w:r>
      <w:r w:rsidRPr="001D0B71">
        <w:t xml:space="preserve">Case </w:t>
      </w:r>
      <w:proofErr w:type="gramStart"/>
      <w:r w:rsidRPr="001D0B71">
        <w:t>Comments :</w:t>
      </w:r>
      <w:proofErr w:type="gramEnd"/>
      <w:r w:rsidRPr="001D0B71">
        <w:t xml:space="preserve"> </w:t>
      </w:r>
      <w:r w:rsidRPr="001D0B71">
        <w:rPr>
          <w:i/>
        </w:rPr>
        <w:t xml:space="preserve">Lakeside Colony of </w:t>
      </w:r>
      <w:proofErr w:type="spellStart"/>
      <w:r w:rsidRPr="001D0B71">
        <w:rPr>
          <w:i/>
        </w:rPr>
        <w:t>Hutterian</w:t>
      </w:r>
      <w:proofErr w:type="spellEnd"/>
      <w:r w:rsidRPr="001D0B71">
        <w:rPr>
          <w:i/>
        </w:rPr>
        <w:t xml:space="preserve"> Brethren</w:t>
      </w:r>
      <w:r w:rsidRPr="001D0B71">
        <w:t xml:space="preserve"> v. </w:t>
      </w:r>
      <w:r w:rsidRPr="001D0B71">
        <w:rPr>
          <w:i/>
        </w:rPr>
        <w:t>Hofer</w:t>
      </w:r>
      <w:r w:rsidRPr="001D0B71">
        <w:rPr>
          <w:lang w:val="en-US"/>
        </w:rPr>
        <w:t> »</w:t>
      </w:r>
      <w:r w:rsidRPr="001D0B71">
        <w:t xml:space="preserve"> (1993), 72 </w:t>
      </w:r>
      <w:r w:rsidRPr="001D0B71">
        <w:rPr>
          <w:i/>
        </w:rPr>
        <w:t>R. du B. can.</w:t>
      </w:r>
      <w:r w:rsidRPr="001D0B71">
        <w:t xml:space="preserve"> 238.</w:t>
      </w:r>
    </w:p>
    <w:p w:rsidR="00C81AA4" w:rsidRPr="001D0B71" w:rsidRDefault="00C81AA4" w:rsidP="00C81AA4">
      <w:pPr>
        <w:pStyle w:val="SCCNormalDoubleSpacing"/>
        <w:spacing w:after="720" w:line="240" w:lineRule="auto"/>
        <w:ind w:left="540" w:hanging="540"/>
        <w:rPr>
          <w:lang w:val="en-US"/>
        </w:rPr>
      </w:pPr>
      <w:proofErr w:type="spellStart"/>
      <w:r w:rsidRPr="001D0B71">
        <w:t>Waddams</w:t>
      </w:r>
      <w:proofErr w:type="spellEnd"/>
      <w:r w:rsidRPr="001D0B71">
        <w:t xml:space="preserve">, S. M. </w:t>
      </w:r>
      <w:r w:rsidRPr="001D0B71">
        <w:rPr>
          <w:i/>
        </w:rPr>
        <w:t>The Law of Contracts</w:t>
      </w:r>
      <w:r w:rsidRPr="001D0B71">
        <w:t>, 7th ed., Toronto, Thomson Reuters, 2017.</w:t>
      </w:r>
    </w:p>
    <w:p w:rsidR="00C81AA4" w:rsidRPr="001D0B71" w:rsidRDefault="00C81AA4" w:rsidP="00C81AA4">
      <w:pPr>
        <w:pStyle w:val="SCCNormalDoubleSpacing"/>
        <w:spacing w:after="480"/>
        <w:rPr>
          <w:lang w:val="fr-CA"/>
        </w:rPr>
      </w:pPr>
      <w:r w:rsidRPr="001D0B71">
        <w:rPr>
          <w:lang w:val="en-US"/>
        </w:rPr>
        <w:tab/>
      </w:r>
      <w:r w:rsidRPr="001D0B71">
        <w:rPr>
          <w:lang w:val="fr-CA"/>
        </w:rPr>
        <w:t>POURVOI contre un arrêt de la Cour d’appel de l’Ontario (les juges van Rensburg, Paciocco et Thorburn), 2020 ONCA 10, 150 O.R. (3d) 516, 442 D.L.R. (4th) 257, [2020] O.J. No. 68 (</w:t>
      </w:r>
      <w:proofErr w:type="spellStart"/>
      <w:r w:rsidRPr="001D0B71">
        <w:rPr>
          <w:lang w:val="fr-CA"/>
        </w:rPr>
        <w:t>QL</w:t>
      </w:r>
      <w:proofErr w:type="spellEnd"/>
      <w:r w:rsidRPr="001D0B71">
        <w:rPr>
          <w:lang w:val="fr-CA"/>
        </w:rPr>
        <w:t xml:space="preserve">), 2020 </w:t>
      </w:r>
      <w:proofErr w:type="spellStart"/>
      <w:r w:rsidRPr="001D0B71">
        <w:rPr>
          <w:lang w:val="fr-CA"/>
        </w:rPr>
        <w:t>CarswellOnt</w:t>
      </w:r>
      <w:proofErr w:type="spellEnd"/>
      <w:r w:rsidRPr="001D0B71">
        <w:rPr>
          <w:lang w:val="fr-CA"/>
        </w:rPr>
        <w:t xml:space="preserve"> 138 (</w:t>
      </w:r>
      <w:proofErr w:type="spellStart"/>
      <w:r w:rsidRPr="001D0B71">
        <w:rPr>
          <w:lang w:val="fr-CA"/>
        </w:rPr>
        <w:t>WL</w:t>
      </w:r>
      <w:proofErr w:type="spellEnd"/>
      <w:r w:rsidRPr="001D0B71">
        <w:rPr>
          <w:lang w:val="fr-CA"/>
        </w:rPr>
        <w:t xml:space="preserve"> Can.), qui a infirmé une décision de la juge Nishikawa, C.S. Ont., n</w:t>
      </w:r>
      <w:r w:rsidRPr="001D0B71">
        <w:rPr>
          <w:vertAlign w:val="superscript"/>
          <w:lang w:val="fr-CA"/>
        </w:rPr>
        <w:t>o</w:t>
      </w:r>
      <w:r w:rsidRPr="001D0B71">
        <w:rPr>
          <w:lang w:val="fr-CA"/>
        </w:rPr>
        <w:t> CV</w:t>
      </w:r>
      <w:r w:rsidRPr="001D0B71">
        <w:rPr>
          <w:lang w:val="fr-CA"/>
        </w:rPr>
        <w:noBreakHyphen/>
        <w:t>18</w:t>
      </w:r>
      <w:r w:rsidRPr="001D0B71">
        <w:rPr>
          <w:lang w:val="fr-CA"/>
        </w:rPr>
        <w:noBreakHyphen/>
        <w:t>589955, 26 février 2019. Pourvoi accueilli.</w:t>
      </w:r>
    </w:p>
    <w:p w:rsidR="00C81AA4" w:rsidRPr="001D0B71" w:rsidRDefault="00C81AA4" w:rsidP="00C81AA4">
      <w:pPr>
        <w:pStyle w:val="SCCNormalDoubleSpacing"/>
        <w:spacing w:after="480"/>
        <w:rPr>
          <w:lang w:val="fr-CA"/>
        </w:rPr>
      </w:pPr>
      <w:r w:rsidRPr="001D0B71">
        <w:rPr>
          <w:rStyle w:val="SCCCounselNameChar"/>
          <w:lang w:val="fr-CA"/>
        </w:rPr>
        <w:tab/>
        <w:t xml:space="preserve">Philip H. </w:t>
      </w:r>
      <w:proofErr w:type="spellStart"/>
      <w:r w:rsidRPr="001D0B71">
        <w:rPr>
          <w:rStyle w:val="SCCCounselNameChar"/>
          <w:lang w:val="fr-CA"/>
        </w:rPr>
        <w:t>Horgan</w:t>
      </w:r>
      <w:proofErr w:type="spellEnd"/>
      <w:r w:rsidRPr="001D0B71">
        <w:rPr>
          <w:rStyle w:val="SCCCounselSeparatorChar"/>
          <w:lang w:val="fr-CA"/>
        </w:rPr>
        <w:t xml:space="preserve"> et </w:t>
      </w:r>
      <w:r w:rsidRPr="001D0B71">
        <w:rPr>
          <w:rStyle w:val="SCCCounselNameChar"/>
          <w:lang w:val="fr-CA"/>
        </w:rPr>
        <w:t>Raphael T. R. Fernandes</w:t>
      </w:r>
      <w:r w:rsidRPr="001D0B71">
        <w:rPr>
          <w:rStyle w:val="SCCCounselPartyRoleChar"/>
          <w:lang w:val="fr-CA"/>
        </w:rPr>
        <w:t>, pour les appelants.</w:t>
      </w:r>
    </w:p>
    <w:p w:rsidR="00C81AA4" w:rsidRPr="001D0B71" w:rsidRDefault="00C81AA4" w:rsidP="00C81AA4">
      <w:pPr>
        <w:pStyle w:val="SCCNormalDoubleSpacing"/>
        <w:spacing w:after="480"/>
        <w:rPr>
          <w:lang w:val="fr-CA"/>
        </w:rPr>
      </w:pPr>
      <w:r w:rsidRPr="001D0B71">
        <w:rPr>
          <w:rStyle w:val="SCCCounselNameChar"/>
          <w:lang w:val="fr-CA"/>
        </w:rPr>
        <w:tab/>
        <w:t>Anthony Colangelo</w:t>
      </w:r>
      <w:r w:rsidRPr="001D0B71">
        <w:rPr>
          <w:rStyle w:val="SCCCounselPartyRoleChar"/>
          <w:lang w:val="fr-CA"/>
        </w:rPr>
        <w:t>, pour les intimés.</w:t>
      </w:r>
    </w:p>
    <w:p w:rsidR="00C81AA4" w:rsidRPr="001D0B71" w:rsidRDefault="00C81AA4" w:rsidP="00C81AA4">
      <w:pPr>
        <w:pStyle w:val="SCCNormalDoubleSpacing"/>
        <w:spacing w:after="480"/>
        <w:rPr>
          <w:lang w:val="fr-CA"/>
        </w:rPr>
      </w:pPr>
      <w:r w:rsidRPr="001D0B71">
        <w:rPr>
          <w:rStyle w:val="SCCCounselNameChar"/>
          <w:lang w:val="fr-CA"/>
        </w:rPr>
        <w:tab/>
      </w:r>
      <w:proofErr w:type="spellStart"/>
      <w:r w:rsidRPr="001D0B71">
        <w:rPr>
          <w:rStyle w:val="SCCCounselNameChar"/>
          <w:lang w:val="fr-CA"/>
        </w:rPr>
        <w:t>Shahzad</w:t>
      </w:r>
      <w:proofErr w:type="spellEnd"/>
      <w:r w:rsidRPr="001D0B71">
        <w:rPr>
          <w:rStyle w:val="SCCCounselNameChar"/>
          <w:lang w:val="fr-CA"/>
        </w:rPr>
        <w:t xml:space="preserve"> </w:t>
      </w:r>
      <w:proofErr w:type="spellStart"/>
      <w:r w:rsidRPr="001D0B71">
        <w:rPr>
          <w:rStyle w:val="SCCCounselNameChar"/>
          <w:lang w:val="fr-CA"/>
        </w:rPr>
        <w:t>Siddiqui</w:t>
      </w:r>
      <w:proofErr w:type="spellEnd"/>
      <w:r w:rsidRPr="001D0B71">
        <w:rPr>
          <w:rStyle w:val="SCCCounselPartyRoleChar"/>
          <w:lang w:val="fr-CA"/>
        </w:rPr>
        <w:t>, pour l’intervenante l’Association canadienne des avocats musulmans.</w:t>
      </w:r>
    </w:p>
    <w:p w:rsidR="00C81AA4" w:rsidRPr="001D0B71" w:rsidRDefault="00C81AA4" w:rsidP="00C81AA4">
      <w:pPr>
        <w:pStyle w:val="SCCNormalDoubleSpacing"/>
        <w:spacing w:after="480"/>
        <w:rPr>
          <w:lang w:val="fr-CA"/>
        </w:rPr>
      </w:pPr>
      <w:r w:rsidRPr="001D0B71">
        <w:rPr>
          <w:rStyle w:val="SCCCounselNameChar"/>
          <w:lang w:val="fr-CA"/>
        </w:rPr>
        <w:tab/>
        <w:t xml:space="preserve">John </w:t>
      </w:r>
      <w:proofErr w:type="spellStart"/>
      <w:r w:rsidRPr="001D0B71">
        <w:rPr>
          <w:rStyle w:val="SCCCounselNameChar"/>
          <w:lang w:val="fr-CA"/>
        </w:rPr>
        <w:t>Sikkema</w:t>
      </w:r>
      <w:proofErr w:type="spellEnd"/>
      <w:r w:rsidRPr="001D0B71">
        <w:rPr>
          <w:rStyle w:val="SCCCounselPartyRoleChar"/>
          <w:lang w:val="fr-CA"/>
        </w:rPr>
        <w:t>, pour l’intervenante Association for Reformed Political Action (ARPA) Canada.</w:t>
      </w:r>
    </w:p>
    <w:p w:rsidR="00C81AA4" w:rsidRPr="001D0B71" w:rsidRDefault="00C81AA4" w:rsidP="00C81AA4">
      <w:pPr>
        <w:pStyle w:val="SCCNormalDoubleSpacing"/>
        <w:spacing w:after="480"/>
        <w:rPr>
          <w:lang w:val="fr-CA"/>
        </w:rPr>
      </w:pPr>
      <w:r w:rsidRPr="001D0B71">
        <w:rPr>
          <w:rStyle w:val="SCCCounselNameChar"/>
          <w:lang w:val="fr-CA"/>
        </w:rPr>
        <w:tab/>
        <w:t xml:space="preserve">Cara </w:t>
      </w:r>
      <w:proofErr w:type="spellStart"/>
      <w:r w:rsidRPr="001D0B71">
        <w:rPr>
          <w:rStyle w:val="SCCCounselNameChar"/>
          <w:lang w:val="fr-CA"/>
        </w:rPr>
        <w:t>Zwibel</w:t>
      </w:r>
      <w:proofErr w:type="spellEnd"/>
      <w:r w:rsidRPr="001D0B71">
        <w:rPr>
          <w:rStyle w:val="SCCCounselPartyRoleChar"/>
          <w:lang w:val="fr-CA"/>
        </w:rPr>
        <w:t>, pour l’intervenante l’Association canadienne des libertés civiles.</w:t>
      </w:r>
    </w:p>
    <w:p w:rsidR="00C81AA4" w:rsidRPr="001D0B71" w:rsidRDefault="00C81AA4" w:rsidP="00C81AA4">
      <w:pPr>
        <w:pStyle w:val="SCCNormalDoubleSpacing"/>
        <w:spacing w:after="480"/>
        <w:rPr>
          <w:lang w:val="fr-CA"/>
        </w:rPr>
      </w:pPr>
      <w:r w:rsidRPr="001D0B71">
        <w:rPr>
          <w:rStyle w:val="SCCCounselNameChar"/>
          <w:lang w:val="fr-CA"/>
        </w:rPr>
        <w:tab/>
      </w:r>
      <w:r w:rsidRPr="001D0B71">
        <w:rPr>
          <w:rStyle w:val="SCCCounselNameChar"/>
          <w:i w:val="0"/>
          <w:lang w:val="fr-CA"/>
        </w:rPr>
        <w:t xml:space="preserve">Argumentation écrite seulement par </w:t>
      </w:r>
      <w:r w:rsidRPr="001D0B71">
        <w:rPr>
          <w:rStyle w:val="SCCCounselNameChar"/>
          <w:lang w:val="fr-CA"/>
        </w:rPr>
        <w:t>Albertos Polizogopoulos</w:t>
      </w:r>
      <w:r w:rsidRPr="001D0B71">
        <w:rPr>
          <w:rStyle w:val="SCCCounselPartyRoleChar"/>
          <w:lang w:val="fr-CA"/>
        </w:rPr>
        <w:t>, pour les intervenantes l’Alliance évangélique du Canada et la Ligue catholique pour les droits de l’homme.</w:t>
      </w:r>
    </w:p>
    <w:p w:rsidR="00C81AA4" w:rsidRPr="001D0B71" w:rsidRDefault="00C81AA4" w:rsidP="00C81AA4">
      <w:pPr>
        <w:pStyle w:val="SCCNormalDoubleSpacing"/>
        <w:spacing w:after="480"/>
        <w:rPr>
          <w:lang w:val="fr-CA"/>
        </w:rPr>
      </w:pPr>
      <w:r w:rsidRPr="001D0B71">
        <w:rPr>
          <w:rStyle w:val="SCCCounselNameChar"/>
          <w:lang w:val="fr-CA"/>
        </w:rPr>
        <w:tab/>
      </w:r>
      <w:proofErr w:type="spellStart"/>
      <w:r w:rsidRPr="001D0B71">
        <w:rPr>
          <w:rStyle w:val="SCCCounselNameChar"/>
          <w:lang w:val="fr-CA"/>
        </w:rPr>
        <w:t>Jayden</w:t>
      </w:r>
      <w:proofErr w:type="spellEnd"/>
      <w:r w:rsidRPr="001D0B71">
        <w:rPr>
          <w:rStyle w:val="SCCCounselNameChar"/>
          <w:lang w:val="fr-CA"/>
        </w:rPr>
        <w:t xml:space="preserve"> </w:t>
      </w:r>
      <w:proofErr w:type="spellStart"/>
      <w:r w:rsidRPr="001D0B71">
        <w:rPr>
          <w:rStyle w:val="SCCCounselNameChar"/>
          <w:lang w:val="fr-CA"/>
        </w:rPr>
        <w:t>MacEwan</w:t>
      </w:r>
      <w:proofErr w:type="spellEnd"/>
      <w:r w:rsidRPr="001D0B71">
        <w:rPr>
          <w:rStyle w:val="SCCCounselPartyRoleChar"/>
          <w:lang w:val="fr-CA"/>
        </w:rPr>
        <w:t>, pour l’intervenante</w:t>
      </w:r>
      <w:r w:rsidR="0055119B">
        <w:rPr>
          <w:rStyle w:val="SCCCounselPartyRoleChar"/>
          <w:lang w:val="fr-CA"/>
        </w:rPr>
        <w:t xml:space="preserve"> la</w:t>
      </w:r>
      <w:r w:rsidRPr="001D0B71">
        <w:rPr>
          <w:rStyle w:val="SCCCounselPartyRoleChar"/>
          <w:lang w:val="fr-CA"/>
        </w:rPr>
        <w:t xml:space="preserve"> Tour de Garde Société de Bibles et de Tracts du Canada.</w:t>
      </w:r>
    </w:p>
    <w:p w:rsidR="00C81AA4" w:rsidRPr="001D0B71" w:rsidRDefault="00C81AA4" w:rsidP="00C81AA4">
      <w:pPr>
        <w:pStyle w:val="SCCNormalDoubleSpacing"/>
        <w:spacing w:after="480"/>
        <w:rPr>
          <w:lang w:val="fr-CA"/>
        </w:rPr>
      </w:pPr>
      <w:r w:rsidRPr="001D0B71">
        <w:rPr>
          <w:rStyle w:val="SCCCounselNameChar"/>
          <w:lang w:val="fr-CA"/>
        </w:rPr>
        <w:tab/>
        <w:t>Wesley J. McMillan</w:t>
      </w:r>
      <w:r w:rsidRPr="001D0B71">
        <w:rPr>
          <w:rStyle w:val="SCCCounselPartyRoleChar"/>
          <w:lang w:val="fr-CA"/>
        </w:rPr>
        <w:t>, pour l’intervenante British Columbia Humanist Association.</w:t>
      </w:r>
    </w:p>
    <w:p w:rsidR="00C81AA4" w:rsidRPr="001D0B71" w:rsidRDefault="00C81AA4" w:rsidP="00C81AA4">
      <w:pPr>
        <w:pStyle w:val="SCCNormalDoubleSpacing"/>
        <w:spacing w:after="480"/>
        <w:rPr>
          <w:lang w:val="fr-CA"/>
        </w:rPr>
      </w:pPr>
      <w:r w:rsidRPr="001D0B71">
        <w:rPr>
          <w:rStyle w:val="SCCCounselNameChar"/>
          <w:lang w:val="fr-CA"/>
        </w:rPr>
        <w:tab/>
        <w:t xml:space="preserve">Kevin L. </w:t>
      </w:r>
      <w:proofErr w:type="spellStart"/>
      <w:r w:rsidRPr="001D0B71">
        <w:rPr>
          <w:rStyle w:val="SCCCounselNameChar"/>
          <w:lang w:val="fr-CA"/>
        </w:rPr>
        <w:t>Boonstra</w:t>
      </w:r>
      <w:proofErr w:type="spellEnd"/>
      <w:r w:rsidRPr="001D0B71">
        <w:rPr>
          <w:rStyle w:val="SCCCounselPartyRoleChar"/>
          <w:lang w:val="fr-CA"/>
        </w:rPr>
        <w:t>, pour l’intervenante l’Église adventiste du septième jour au Canada.</w:t>
      </w:r>
    </w:p>
    <w:p w:rsidR="00C81AA4" w:rsidRPr="001D0B71" w:rsidRDefault="00C81AA4" w:rsidP="00C81AA4">
      <w:pPr>
        <w:pStyle w:val="SCCNormalDoubleSpacing"/>
        <w:spacing w:after="480"/>
        <w:rPr>
          <w:rStyle w:val="SCCCounselPartyRoleChar"/>
          <w:lang w:val="fr-CA"/>
        </w:rPr>
      </w:pPr>
      <w:r w:rsidRPr="001D0B71">
        <w:rPr>
          <w:rStyle w:val="SCCCounselNameChar"/>
          <w:lang w:val="fr-CA"/>
        </w:rPr>
        <w:tab/>
        <w:t>Derek Ross</w:t>
      </w:r>
      <w:r w:rsidRPr="001D0B71">
        <w:rPr>
          <w:rStyle w:val="SCCCounselSeparatorChar"/>
          <w:lang w:val="fr-CA"/>
        </w:rPr>
        <w:t xml:space="preserve">, </w:t>
      </w:r>
      <w:r w:rsidRPr="001D0B71">
        <w:rPr>
          <w:rStyle w:val="SCCCounselPartyRoleChar"/>
          <w:lang w:val="fr-CA"/>
        </w:rPr>
        <w:t>pour l’intervenante l’Alliance des chrétiens en droit.</w:t>
      </w:r>
    </w:p>
    <w:p w:rsidR="00C81AA4" w:rsidRPr="001D0B71" w:rsidRDefault="00C81AA4" w:rsidP="00C81AA4">
      <w:pPr>
        <w:pStyle w:val="SCCNormalDoubleSpacing"/>
        <w:spacing w:after="480"/>
        <w:rPr>
          <w:lang w:val="fr-CA"/>
        </w:rPr>
      </w:pPr>
      <w:r w:rsidRPr="001D0B71">
        <w:rPr>
          <w:rStyle w:val="SCCCounselNameChar"/>
          <w:lang w:val="fr-CA"/>
        </w:rPr>
        <w:tab/>
      </w:r>
      <w:proofErr w:type="spellStart"/>
      <w:r w:rsidRPr="001D0B71">
        <w:rPr>
          <w:rStyle w:val="SCCCounselNameChar"/>
          <w:lang w:val="fr-CA"/>
        </w:rPr>
        <w:t>Mannu</w:t>
      </w:r>
      <w:proofErr w:type="spellEnd"/>
      <w:r w:rsidRPr="001D0B71">
        <w:rPr>
          <w:rStyle w:val="SCCCounselNameChar"/>
          <w:lang w:val="fr-CA"/>
        </w:rPr>
        <w:t xml:space="preserve"> Chowdhury</w:t>
      </w:r>
      <w:r w:rsidRPr="001D0B71">
        <w:rPr>
          <w:rStyle w:val="SCCCounselPartyRoleChar"/>
          <w:lang w:val="fr-CA"/>
        </w:rPr>
        <w:t>, pour l’intervenant le Conseil national des musulmans canadiens.</w:t>
      </w:r>
    </w:p>
    <w:p w:rsidR="00614067" w:rsidRDefault="00C81AA4" w:rsidP="00614067">
      <w:pPr>
        <w:pStyle w:val="SCCNormalDoubleSpacing"/>
        <w:spacing w:after="480"/>
        <w:rPr>
          <w:rStyle w:val="SCCCounselPartyRoleChar"/>
          <w:lang w:val="fr-CA"/>
        </w:rPr>
      </w:pPr>
      <w:r w:rsidRPr="001D0B71">
        <w:rPr>
          <w:rStyle w:val="SCCCounselNameChar"/>
          <w:lang w:val="fr-CA"/>
        </w:rPr>
        <w:tab/>
        <w:t>Adam Goldenberg</w:t>
      </w:r>
      <w:r w:rsidRPr="001D0B71">
        <w:rPr>
          <w:rStyle w:val="SCCCounselPartyRoleChar"/>
          <w:lang w:val="fr-CA"/>
        </w:rPr>
        <w:t>, pour l’intervenant le Fonds Égale Canada pour les droits de la personne.</w:t>
      </w:r>
    </w:p>
    <w:p w:rsidR="00614067" w:rsidRDefault="00614067" w:rsidP="00614067">
      <w:pPr>
        <w:pStyle w:val="SCCNormalDoubleSpacing"/>
        <w:spacing w:after="480"/>
        <w:rPr>
          <w:rStyle w:val="SCCCounselPartyRoleChar"/>
          <w:lang w:val="fr-CA"/>
        </w:rPr>
      </w:pPr>
      <w:r>
        <w:rPr>
          <w:rStyle w:val="SCCCounselPartyRoleChar"/>
          <w:lang w:val="fr-CA"/>
        </w:rPr>
        <w:tab/>
      </w:r>
      <w:r w:rsidR="00C81AA4" w:rsidRPr="001D0B71">
        <w:rPr>
          <w:rStyle w:val="SCCCounselNameChar"/>
          <w:i w:val="0"/>
          <w:lang w:val="fr-CA"/>
        </w:rPr>
        <w:t xml:space="preserve">Argumentation écrite seulement par </w:t>
      </w:r>
      <w:r w:rsidR="00C81AA4" w:rsidRPr="001D0B71">
        <w:rPr>
          <w:rStyle w:val="SCCCounselNameChar"/>
          <w:lang w:val="fr-CA"/>
        </w:rPr>
        <w:t xml:space="preserve">Barry W. </w:t>
      </w:r>
      <w:proofErr w:type="spellStart"/>
      <w:r w:rsidR="00C81AA4" w:rsidRPr="001D0B71">
        <w:rPr>
          <w:rStyle w:val="SCCCounselNameChar"/>
          <w:lang w:val="fr-CA"/>
        </w:rPr>
        <w:t>Bussey</w:t>
      </w:r>
      <w:proofErr w:type="spellEnd"/>
      <w:r w:rsidR="00C81AA4" w:rsidRPr="001D0B71">
        <w:rPr>
          <w:rStyle w:val="SCCCounselPartyRoleChar"/>
          <w:lang w:val="fr-CA"/>
        </w:rPr>
        <w:t xml:space="preserve">, pour l’intervenant Canadian Centre for Christian </w:t>
      </w:r>
      <w:proofErr w:type="spellStart"/>
      <w:r w:rsidR="00C81AA4" w:rsidRPr="001D0B71">
        <w:rPr>
          <w:rStyle w:val="SCCCounselPartyRoleChar"/>
          <w:lang w:val="fr-CA"/>
        </w:rPr>
        <w:t>Charities</w:t>
      </w:r>
      <w:proofErr w:type="spellEnd"/>
      <w:r w:rsidR="00C81AA4" w:rsidRPr="001D0B71">
        <w:rPr>
          <w:rStyle w:val="SCCCounselPartyRoleChar"/>
          <w:lang w:val="fr-CA"/>
        </w:rPr>
        <w:t>.</w:t>
      </w:r>
    </w:p>
    <w:p w:rsidR="003F2287" w:rsidRDefault="00614067" w:rsidP="00614067">
      <w:pPr>
        <w:pStyle w:val="SCCNormalDoubleSpacing"/>
        <w:rPr>
          <w:lang w:val="fr-CA"/>
        </w:rPr>
      </w:pPr>
      <w:r>
        <w:rPr>
          <w:lang w:val="fr-CA"/>
        </w:rPr>
        <w:tab/>
      </w:r>
      <w:r w:rsidR="003F2287">
        <w:rPr>
          <w:lang w:val="fr-CA"/>
        </w:rPr>
        <w:t>Version française du jugement de la Cour rendu par</w:t>
      </w:r>
    </w:p>
    <w:p w:rsidR="003F2287" w:rsidRPr="00BE0323" w:rsidRDefault="003F2287" w:rsidP="003F2287">
      <w:pPr>
        <w:jc w:val="both"/>
        <w:rPr>
          <w:szCs w:val="24"/>
          <w:lang w:val="fr-CA"/>
        </w:rPr>
      </w:pPr>
    </w:p>
    <w:p w:rsidR="003F2287" w:rsidRPr="00614067" w:rsidRDefault="00614067" w:rsidP="00614067">
      <w:pPr>
        <w:pStyle w:val="ParaNoNdepar-AltN"/>
        <w:rPr>
          <w:lang w:val="fr-CA"/>
        </w:rPr>
      </w:pPr>
      <w:r w:rsidRPr="00614067">
        <w:rPr>
          <w:smallCaps/>
          <w:lang w:val="fr-CA"/>
        </w:rPr>
        <w:t xml:space="preserve">Le juge Rowe </w:t>
      </w:r>
      <w:r w:rsidRPr="00394CCC">
        <w:rPr>
          <w:lang w:val="fr-CA"/>
        </w:rPr>
        <w:t xml:space="preserve">— </w:t>
      </w:r>
      <w:r w:rsidR="003F2287" w:rsidRPr="00614067">
        <w:rPr>
          <w:rFonts w:cs="Times New Roman"/>
          <w:lang w:val="fr-CA"/>
        </w:rPr>
        <w:t xml:space="preserve">Les intimés ont été exclus de la congrégation de </w:t>
      </w:r>
      <w:r w:rsidR="00516A24" w:rsidRPr="00614067">
        <w:rPr>
          <w:rFonts w:cs="Times New Roman"/>
          <w:lang w:val="fr-CA"/>
        </w:rPr>
        <w:t>l’</w:t>
      </w:r>
      <w:proofErr w:type="spellStart"/>
      <w:r w:rsidR="00516A24" w:rsidRPr="00614067">
        <w:rPr>
          <w:rFonts w:cs="Times New Roman"/>
          <w:lang w:val="fr-CA"/>
        </w:rPr>
        <w:t>Ethiopian</w:t>
      </w:r>
      <w:proofErr w:type="spellEnd"/>
      <w:r w:rsidR="003F2287" w:rsidRPr="00614067">
        <w:rPr>
          <w:rFonts w:cs="Times New Roman"/>
          <w:lang w:val="fr-CA"/>
        </w:rPr>
        <w:t xml:space="preserve"> </w:t>
      </w:r>
      <w:proofErr w:type="spellStart"/>
      <w:r w:rsidR="003F2287" w:rsidRPr="00614067">
        <w:rPr>
          <w:rFonts w:cs="Times New Roman"/>
          <w:lang w:val="fr-CA"/>
        </w:rPr>
        <w:t>Orthodox</w:t>
      </w:r>
      <w:proofErr w:type="spellEnd"/>
      <w:r w:rsidR="003F2287" w:rsidRPr="00614067">
        <w:rPr>
          <w:rFonts w:cs="Times New Roman"/>
          <w:lang w:val="fr-CA"/>
        </w:rPr>
        <w:t xml:space="preserve"> </w:t>
      </w:r>
      <w:proofErr w:type="spellStart"/>
      <w:r w:rsidR="003F2287" w:rsidRPr="00614067">
        <w:rPr>
          <w:rFonts w:cs="Times New Roman"/>
          <w:lang w:val="fr-CA"/>
        </w:rPr>
        <w:t>Tewahedo</w:t>
      </w:r>
      <w:proofErr w:type="spellEnd"/>
      <w:r w:rsidR="003F2287" w:rsidRPr="00614067">
        <w:rPr>
          <w:rFonts w:cs="Times New Roman"/>
          <w:lang w:val="fr-CA"/>
        </w:rPr>
        <w:t xml:space="preserve"> Church of Canada St. Mary Cathedral à la suite d’un différend portant sur un mouvement au sein de l’Église que certains considéraient comme hérétique. Les intimés ont par la suite intenté contre les appelants, l’Église et des membres de la haute direction de celle</w:t>
      </w:r>
      <w:r w:rsidR="003F2287" w:rsidRPr="00614067">
        <w:rPr>
          <w:rFonts w:cs="Times New Roman"/>
          <w:lang w:val="fr-CA"/>
        </w:rPr>
        <w:noBreakHyphen/>
        <w:t>ci, une action sollicitant un jugement portant que leur exclusion était nulle, ainsi que d’autres réparations. Les appelants ont présenté une motion en jugement sommaire demandant le rejet de l’action intentée contre eux, au motif que le tribunal n’avait pas compétence pour contrôler ou annuler la décision d’exclusion. La juge des motions a accueilli la motion en jugement sommaire des appelants et rejeté l’action. Les intimés ont fait appel de cette décision et la Cour d’appel de l’Ontario a fait droit à leur appel : 2020 ONCA 10, 150 O.R. (3d) 516.</w:t>
      </w:r>
    </w:p>
    <w:p w:rsidR="003F2287" w:rsidRPr="00394CCC" w:rsidRDefault="003F2287" w:rsidP="003F2287">
      <w:pPr>
        <w:pStyle w:val="ParaNoNdepar-AltN"/>
        <w:rPr>
          <w:rFonts w:cs="Times New Roman"/>
          <w:lang w:val="fr-CA"/>
        </w:rPr>
      </w:pPr>
      <w:r w:rsidRPr="00394CCC">
        <w:rPr>
          <w:rFonts w:cs="Times New Roman"/>
          <w:lang w:val="fr-CA"/>
        </w:rPr>
        <w:t>Dans le cadre du pourvoi devant notre Cour, les appelants plaident que les décisions d’une association religieuse volontaire ne peuvent être contrôlées par les tribunaux en l’absence d’un droit légal sous</w:t>
      </w:r>
      <w:r w:rsidRPr="00394CCC">
        <w:rPr>
          <w:rFonts w:cs="Times New Roman"/>
          <w:lang w:val="fr-CA"/>
        </w:rPr>
        <w:noBreakHyphen/>
        <w:t xml:space="preserve">jacent, et que </w:t>
      </w:r>
      <w:bookmarkStart w:id="1" w:name="_Hlk65484294"/>
      <w:r w:rsidRPr="00394CCC">
        <w:rPr>
          <w:rFonts w:cs="Times New Roman"/>
          <w:lang w:val="fr-CA"/>
        </w:rPr>
        <w:t>la Cour d’appel a commis une erreur en concluant effectivement que l’appartenance à une telle association constitue en soi un droit légal sous</w:t>
      </w:r>
      <w:r w:rsidRPr="00394CCC">
        <w:rPr>
          <w:rFonts w:cs="Times New Roman"/>
          <w:lang w:val="fr-CA"/>
        </w:rPr>
        <w:noBreakHyphen/>
        <w:t>jacent donnant compétence</w:t>
      </w:r>
      <w:bookmarkEnd w:id="1"/>
      <w:r w:rsidRPr="00394CCC">
        <w:rPr>
          <w:rFonts w:cs="Times New Roman"/>
          <w:lang w:val="fr-CA"/>
        </w:rPr>
        <w:t xml:space="preserve"> aux tribunaux, s’écartant ainsi de l’arrêt </w:t>
      </w:r>
      <w:proofErr w:type="spellStart"/>
      <w:r w:rsidRPr="00394CCC">
        <w:rPr>
          <w:rFonts w:cs="Times New Roman"/>
          <w:i/>
          <w:lang w:val="fr-CA"/>
        </w:rPr>
        <w:t>Highwood</w:t>
      </w:r>
      <w:proofErr w:type="spellEnd"/>
      <w:r w:rsidRPr="00394CCC">
        <w:rPr>
          <w:rFonts w:cs="Times New Roman"/>
          <w:i/>
          <w:lang w:val="fr-CA"/>
        </w:rPr>
        <w:t xml:space="preserve"> </w:t>
      </w:r>
      <w:proofErr w:type="spellStart"/>
      <w:r w:rsidRPr="00394CCC">
        <w:rPr>
          <w:rFonts w:cs="Times New Roman"/>
          <w:i/>
          <w:lang w:val="fr-CA"/>
        </w:rPr>
        <w:t>Congregation</w:t>
      </w:r>
      <w:proofErr w:type="spellEnd"/>
      <w:r w:rsidRPr="00394CCC">
        <w:rPr>
          <w:rFonts w:cs="Times New Roman"/>
          <w:i/>
          <w:lang w:val="fr-CA"/>
        </w:rPr>
        <w:t xml:space="preserve"> of </w:t>
      </w:r>
      <w:proofErr w:type="spellStart"/>
      <w:r w:rsidRPr="00394CCC">
        <w:rPr>
          <w:rFonts w:cs="Times New Roman"/>
          <w:i/>
          <w:lang w:val="fr-CA"/>
        </w:rPr>
        <w:t>Jehovah’s</w:t>
      </w:r>
      <w:proofErr w:type="spellEnd"/>
      <w:r w:rsidRPr="00394CCC">
        <w:rPr>
          <w:rFonts w:cs="Times New Roman"/>
          <w:i/>
          <w:lang w:val="fr-CA"/>
        </w:rPr>
        <w:t xml:space="preserve"> </w:t>
      </w:r>
      <w:proofErr w:type="spellStart"/>
      <w:r w:rsidRPr="00394CCC">
        <w:rPr>
          <w:rFonts w:cs="Times New Roman"/>
          <w:i/>
          <w:lang w:val="fr-CA"/>
        </w:rPr>
        <w:t>Witnesses</w:t>
      </w:r>
      <w:proofErr w:type="spellEnd"/>
      <w:r w:rsidRPr="00394CCC">
        <w:rPr>
          <w:rFonts w:cs="Times New Roman"/>
          <w:i/>
          <w:lang w:val="fr-CA"/>
        </w:rPr>
        <w:t xml:space="preserve"> (</w:t>
      </w:r>
      <w:proofErr w:type="spellStart"/>
      <w:r w:rsidRPr="00394CCC">
        <w:rPr>
          <w:rFonts w:cs="Times New Roman"/>
          <w:i/>
          <w:lang w:val="fr-CA"/>
        </w:rPr>
        <w:t>Judicial</w:t>
      </w:r>
      <w:proofErr w:type="spellEnd"/>
      <w:r w:rsidRPr="00394CCC">
        <w:rPr>
          <w:rFonts w:cs="Times New Roman"/>
          <w:i/>
          <w:lang w:val="fr-CA"/>
        </w:rPr>
        <w:t xml:space="preserve"> </w:t>
      </w:r>
      <w:proofErr w:type="spellStart"/>
      <w:r w:rsidRPr="00394CCC">
        <w:rPr>
          <w:rFonts w:cs="Times New Roman"/>
          <w:i/>
          <w:lang w:val="fr-CA"/>
        </w:rPr>
        <w:t>Committee</w:t>
      </w:r>
      <w:proofErr w:type="spellEnd"/>
      <w:r w:rsidRPr="00394CCC">
        <w:rPr>
          <w:rFonts w:cs="Times New Roman"/>
          <w:i/>
          <w:lang w:val="fr-CA"/>
        </w:rPr>
        <w:t>) c. Wall</w:t>
      </w:r>
      <w:r w:rsidRPr="00394CCC">
        <w:rPr>
          <w:rFonts w:cs="Times New Roman"/>
          <w:lang w:val="fr-CA"/>
        </w:rPr>
        <w:t>,</w:t>
      </w:r>
      <w:r w:rsidRPr="00394CCC">
        <w:rPr>
          <w:rFonts w:cs="Times New Roman"/>
          <w:i/>
          <w:lang w:val="fr-CA"/>
        </w:rPr>
        <w:t xml:space="preserve"> </w:t>
      </w:r>
      <w:r w:rsidRPr="00394CCC">
        <w:rPr>
          <w:rFonts w:cs="Times New Roman"/>
          <w:lang w:val="fr-CA"/>
        </w:rPr>
        <w:t>2018 CSC 26, [2018] 1 R.C.S. 750.</w:t>
      </w:r>
    </w:p>
    <w:p w:rsidR="003F2287" w:rsidRPr="00394CCC" w:rsidRDefault="003F2287" w:rsidP="003F2287">
      <w:pPr>
        <w:pStyle w:val="ParaNoNdepar-AltN"/>
        <w:rPr>
          <w:rFonts w:cs="Times New Roman"/>
          <w:lang w:val="fr-CA"/>
        </w:rPr>
      </w:pPr>
      <w:r w:rsidRPr="00394CCC">
        <w:rPr>
          <w:rFonts w:cs="Times New Roman"/>
          <w:lang w:val="fr-CA"/>
        </w:rPr>
        <w:t xml:space="preserve">La compétence permettant à un tribunal d’intervenir dans les affaires d’une association volontaire dépend de l’existence d’un droit légal que le tribunal est appelé à confirmer. En l’espèce, le seul droit légal potentiel susceptible de justifier l’intervention des tribunaux serait un contrat. On ne saurait conclure automatiquement à l’existence d’un contrat entre les membres d’une association volontaire du seul fait que cette association possède une constitution écrite et des règlements intérieurs. Il est </w:t>
      </w:r>
      <w:r w:rsidRPr="00394CCC">
        <w:rPr>
          <w:rFonts w:cs="Times New Roman"/>
          <w:i/>
          <w:lang w:val="fr-CA"/>
        </w:rPr>
        <w:t>possible</w:t>
      </w:r>
      <w:r w:rsidRPr="00394CCC">
        <w:rPr>
          <w:rFonts w:cs="Times New Roman"/>
          <w:lang w:val="fr-CA"/>
        </w:rPr>
        <w:t xml:space="preserve"> qu’une association volontaire dotée d’une constitution et de règlements intérieurs soit constituée par contrat, mais pour décider si c’est le cas, il faut se baser sur les principes généraux régissant les contrats, et l’existence d’une intention objective de créer des rapports juridiques est nécessaire. En l’espèce, il n’y a pas de preuve d’une telle intention. Par conséquent, il y a absence de contrat, absence de compétence et absence d’une véritable question litigieuse nécessitant la tenue d’une instruction. Je suis donc d’avis d’accueillir l’appel et de rétablir l’ordonnance de la juge des motions accordant un jugement sommaire et rejetant l’action.</w:t>
      </w:r>
    </w:p>
    <w:p w:rsidR="003F2287" w:rsidRPr="00394CCC" w:rsidRDefault="003F2287" w:rsidP="003F2287">
      <w:pPr>
        <w:pStyle w:val="Title1LevelTitre1Niveau-AltL"/>
        <w:rPr>
          <w:rFonts w:cs="Times New Roman"/>
          <w:lang w:val="fr-CA"/>
        </w:rPr>
      </w:pPr>
      <w:r w:rsidRPr="00394CCC">
        <w:rPr>
          <w:rFonts w:cs="Times New Roman"/>
          <w:lang w:val="fr-CA"/>
        </w:rPr>
        <w:t>Faits</w:t>
      </w:r>
    </w:p>
    <w:p w:rsidR="003F2287" w:rsidRPr="00394CCC" w:rsidRDefault="003F2287" w:rsidP="003F2287">
      <w:pPr>
        <w:pStyle w:val="Title2LevelTitre2Niveau"/>
        <w:rPr>
          <w:rFonts w:cs="Times New Roman"/>
          <w:lang w:val="fr-CA"/>
        </w:rPr>
      </w:pPr>
      <w:r w:rsidRPr="00394CCC">
        <w:rPr>
          <w:rFonts w:cs="Times New Roman"/>
          <w:lang w:val="fr-CA"/>
        </w:rPr>
        <w:t>Parties</w:t>
      </w:r>
    </w:p>
    <w:p w:rsidR="003F2287" w:rsidRPr="00394CCC" w:rsidRDefault="003F2287" w:rsidP="003F2287">
      <w:pPr>
        <w:pStyle w:val="ParaNoNdepar-AltN"/>
        <w:tabs>
          <w:tab w:val="clear" w:pos="1166"/>
          <w:tab w:val="num" w:pos="1152"/>
        </w:tabs>
        <w:rPr>
          <w:rFonts w:cs="Times New Roman"/>
          <w:lang w:val="fr-CA"/>
        </w:rPr>
      </w:pPr>
      <w:r w:rsidRPr="00394CCC">
        <w:rPr>
          <w:rFonts w:cs="Times New Roman"/>
          <w:lang w:val="fr-CA"/>
        </w:rPr>
        <w:t xml:space="preserve">La personne morale appelante, </w:t>
      </w:r>
      <w:bookmarkStart w:id="2" w:name="_Hlk65653180"/>
      <w:r w:rsidR="00516A24" w:rsidRPr="00394CCC">
        <w:rPr>
          <w:rFonts w:cs="Times New Roman"/>
          <w:lang w:val="fr-CA"/>
        </w:rPr>
        <w:t>l’</w:t>
      </w:r>
      <w:proofErr w:type="spellStart"/>
      <w:r w:rsidR="00516A24" w:rsidRPr="00394CCC">
        <w:rPr>
          <w:rFonts w:cs="Times New Roman"/>
          <w:lang w:val="fr-CA"/>
        </w:rPr>
        <w:t>Ethiopian</w:t>
      </w:r>
      <w:proofErr w:type="spellEnd"/>
      <w:r w:rsidRPr="00394CCC">
        <w:rPr>
          <w:rFonts w:cs="Times New Roman"/>
          <w:lang w:val="fr-CA"/>
        </w:rPr>
        <w:t xml:space="preserve"> </w:t>
      </w:r>
      <w:proofErr w:type="spellStart"/>
      <w:r w:rsidRPr="00394CCC">
        <w:rPr>
          <w:rFonts w:cs="Times New Roman"/>
          <w:lang w:val="fr-CA"/>
        </w:rPr>
        <w:t>Orthodox</w:t>
      </w:r>
      <w:proofErr w:type="spellEnd"/>
      <w:r w:rsidRPr="00394CCC">
        <w:rPr>
          <w:rFonts w:cs="Times New Roman"/>
          <w:lang w:val="fr-CA"/>
        </w:rPr>
        <w:t xml:space="preserve"> </w:t>
      </w:r>
      <w:proofErr w:type="spellStart"/>
      <w:r w:rsidRPr="00394CCC">
        <w:rPr>
          <w:rFonts w:cs="Times New Roman"/>
          <w:lang w:val="fr-CA"/>
        </w:rPr>
        <w:t>Tewahedo</w:t>
      </w:r>
      <w:proofErr w:type="spellEnd"/>
      <w:r w:rsidRPr="00394CCC">
        <w:rPr>
          <w:rFonts w:cs="Times New Roman"/>
          <w:lang w:val="fr-CA"/>
        </w:rPr>
        <w:t xml:space="preserve"> Church of Canada St. Mary Cathedral</w:t>
      </w:r>
      <w:bookmarkEnd w:id="2"/>
      <w:r w:rsidRPr="00394CCC">
        <w:rPr>
          <w:rFonts w:cs="Times New Roman"/>
          <w:lang w:val="fr-CA"/>
        </w:rPr>
        <w:t xml:space="preserve"> (« Personne morale ecclésiastique ») est constituée en vertu de la </w:t>
      </w:r>
      <w:r w:rsidRPr="00394CCC">
        <w:rPr>
          <w:rFonts w:cs="Times New Roman"/>
          <w:i/>
          <w:iCs/>
          <w:lang w:val="fr-CA"/>
        </w:rPr>
        <w:t>Loi sur les personnes morales</w:t>
      </w:r>
      <w:r w:rsidRPr="00394CCC">
        <w:rPr>
          <w:rFonts w:cs="Times New Roman"/>
          <w:lang w:val="fr-CA"/>
        </w:rPr>
        <w:t xml:space="preserve">, L.R.O. 1990, c. C.38. </w:t>
      </w:r>
      <w:bookmarkStart w:id="3" w:name="_Hlk65653462"/>
      <w:r w:rsidRPr="00394CCC">
        <w:rPr>
          <w:rFonts w:cs="Times New Roman"/>
          <w:lang w:val="fr-CA"/>
        </w:rPr>
        <w:t>La Personne morale ecclésiastique est propriétaire du bâtiment abritant l’Église ainsi que du terrain où il se trouve, et elle est une section locale de l’entité mondiale que constitue l’Église orthodoxe tewahedo éthiopie</w:t>
      </w:r>
      <w:bookmarkEnd w:id="3"/>
      <w:r w:rsidRPr="00394CCC">
        <w:rPr>
          <w:rFonts w:cs="Times New Roman"/>
          <w:lang w:val="fr-CA"/>
        </w:rPr>
        <w:t>nne. Les personnes physiques appelantes incluent des membres de la haute direction de l’Église : Messale Engeda en est le grand</w:t>
      </w:r>
      <w:r w:rsidRPr="00394CCC">
        <w:rPr>
          <w:rFonts w:cs="Times New Roman"/>
          <w:lang w:val="fr-CA"/>
        </w:rPr>
        <w:noBreakHyphen/>
        <w:t xml:space="preserve">prêtre et l’administrateur, et Abune Dimetros en est l’archevêque. </w:t>
      </w:r>
    </w:p>
    <w:p w:rsidR="003F2287" w:rsidRPr="00394CCC" w:rsidRDefault="003F2287" w:rsidP="003F2287">
      <w:pPr>
        <w:pStyle w:val="ParaNoNdepar-AltN"/>
        <w:rPr>
          <w:rFonts w:cs="Times New Roman"/>
          <w:lang w:val="fr-CA"/>
        </w:rPr>
      </w:pPr>
      <w:r w:rsidRPr="00394CCC">
        <w:rPr>
          <w:rFonts w:cs="Times New Roman"/>
          <w:lang w:val="fr-CA"/>
        </w:rPr>
        <w:t xml:space="preserve">Les intimés sont tous d’anciens membres de la congrégation de </w:t>
      </w:r>
      <w:proofErr w:type="gramStart"/>
      <w:r w:rsidRPr="00394CCC">
        <w:rPr>
          <w:rFonts w:cs="Times New Roman"/>
          <w:lang w:val="fr-CA"/>
        </w:rPr>
        <w:t>la Ethiopian</w:t>
      </w:r>
      <w:proofErr w:type="gramEnd"/>
      <w:r w:rsidRPr="00394CCC">
        <w:rPr>
          <w:rFonts w:cs="Times New Roman"/>
          <w:lang w:val="fr-CA"/>
        </w:rPr>
        <w:t xml:space="preserve"> Orthodox Tewahedo</w:t>
      </w:r>
      <w:r>
        <w:rPr>
          <w:rFonts w:cs="Times New Roman"/>
          <w:lang w:val="fr-CA"/>
        </w:rPr>
        <w:t xml:space="preserve"> Church of Canada St. </w:t>
      </w:r>
      <w:r w:rsidRPr="00394CCC">
        <w:rPr>
          <w:rFonts w:cs="Times New Roman"/>
          <w:lang w:val="fr-CA"/>
        </w:rPr>
        <w:t xml:space="preserve">Mary Cathedral (« Congrégation »). La Congrégation est une association qui n’est pas constituée en personne morale. Les intimés ne sont pas et n’ont jamais été membres de la Personne morale ecclésiastique au sens de la </w:t>
      </w:r>
      <w:r w:rsidRPr="00394CCC">
        <w:rPr>
          <w:rFonts w:cs="Times New Roman"/>
          <w:i/>
          <w:iCs/>
          <w:lang w:val="fr-CA"/>
        </w:rPr>
        <w:t>Loi sur les personnes morales</w:t>
      </w:r>
      <w:r w:rsidRPr="00394CCC">
        <w:rPr>
          <w:rFonts w:cs="Times New Roman"/>
          <w:lang w:val="fr-CA"/>
        </w:rPr>
        <w:t>.</w:t>
      </w:r>
    </w:p>
    <w:p w:rsidR="003F2287" w:rsidRPr="00394CCC" w:rsidRDefault="003F2287" w:rsidP="003F2287">
      <w:pPr>
        <w:pStyle w:val="Title2LevelTitre2Niveau"/>
        <w:rPr>
          <w:rFonts w:cs="Times New Roman"/>
          <w:lang w:val="fr-CA"/>
        </w:rPr>
      </w:pPr>
      <w:r w:rsidRPr="00394CCC">
        <w:rPr>
          <w:rFonts w:cs="Times New Roman"/>
          <w:lang w:val="fr-CA"/>
        </w:rPr>
        <w:t>La Constitution et le Règlement intérieur</w:t>
      </w:r>
    </w:p>
    <w:p w:rsidR="003F2287" w:rsidRPr="00394CCC" w:rsidRDefault="003F2287" w:rsidP="003F2287">
      <w:pPr>
        <w:pStyle w:val="ParaNoNdepar-AltN"/>
        <w:rPr>
          <w:rFonts w:cs="Times New Roman"/>
          <w:lang w:val="fr-CA"/>
        </w:rPr>
      </w:pPr>
      <w:r w:rsidRPr="00394CCC">
        <w:rPr>
          <w:rFonts w:cs="Times New Roman"/>
          <w:lang w:val="fr-CA"/>
        </w:rPr>
        <w:t xml:space="preserve">Les intimés se fondent sur la Constitution de 1977 et sur le </w:t>
      </w:r>
      <w:proofErr w:type="spellStart"/>
      <w:r w:rsidRPr="004C1C5E">
        <w:rPr>
          <w:rFonts w:cs="Times New Roman"/>
          <w:i/>
          <w:lang w:val="fr-CA"/>
        </w:rPr>
        <w:t>Bylaw</w:t>
      </w:r>
      <w:proofErr w:type="spellEnd"/>
      <w:r w:rsidRPr="004C1C5E">
        <w:rPr>
          <w:rFonts w:cs="Times New Roman"/>
          <w:i/>
          <w:lang w:val="fr-CA"/>
        </w:rPr>
        <w:t xml:space="preserve"> </w:t>
      </w:r>
      <w:proofErr w:type="spellStart"/>
      <w:r w:rsidRPr="004C1C5E">
        <w:rPr>
          <w:rFonts w:cs="Times New Roman"/>
          <w:i/>
          <w:lang w:val="fr-CA"/>
        </w:rPr>
        <w:t>Promulgated</w:t>
      </w:r>
      <w:proofErr w:type="spellEnd"/>
      <w:r w:rsidRPr="004C1C5E">
        <w:rPr>
          <w:rFonts w:cs="Times New Roman"/>
          <w:i/>
          <w:lang w:val="fr-CA"/>
        </w:rPr>
        <w:t xml:space="preserve"> to </w:t>
      </w:r>
      <w:proofErr w:type="spellStart"/>
      <w:r w:rsidRPr="004C1C5E">
        <w:rPr>
          <w:rFonts w:cs="Times New Roman"/>
          <w:i/>
          <w:lang w:val="fr-CA"/>
        </w:rPr>
        <w:t>Legally</w:t>
      </w:r>
      <w:proofErr w:type="spellEnd"/>
      <w:r w:rsidRPr="004C1C5E">
        <w:rPr>
          <w:rFonts w:cs="Times New Roman"/>
          <w:i/>
          <w:lang w:val="fr-CA"/>
        </w:rPr>
        <w:t xml:space="preserve"> and </w:t>
      </w:r>
      <w:proofErr w:type="spellStart"/>
      <w:r w:rsidRPr="004C1C5E">
        <w:rPr>
          <w:rFonts w:cs="Times New Roman"/>
          <w:i/>
          <w:lang w:val="fr-CA"/>
        </w:rPr>
        <w:t>Unitedly</w:t>
      </w:r>
      <w:proofErr w:type="spellEnd"/>
      <w:r w:rsidRPr="004C1C5E">
        <w:rPr>
          <w:rFonts w:cs="Times New Roman"/>
          <w:i/>
          <w:lang w:val="fr-CA"/>
        </w:rPr>
        <w:t xml:space="preserve"> </w:t>
      </w:r>
      <w:proofErr w:type="spellStart"/>
      <w:r w:rsidRPr="004C1C5E">
        <w:rPr>
          <w:rFonts w:cs="Times New Roman"/>
          <w:i/>
          <w:lang w:val="fr-CA"/>
        </w:rPr>
        <w:t>Administer</w:t>
      </w:r>
      <w:proofErr w:type="spellEnd"/>
      <w:r w:rsidRPr="004C1C5E">
        <w:rPr>
          <w:rFonts w:cs="Times New Roman"/>
          <w:i/>
          <w:lang w:val="fr-CA"/>
        </w:rPr>
        <w:t xml:space="preserve"> the </w:t>
      </w:r>
      <w:proofErr w:type="spellStart"/>
      <w:r w:rsidRPr="004C1C5E">
        <w:rPr>
          <w:rFonts w:cs="Times New Roman"/>
          <w:i/>
          <w:lang w:val="fr-CA"/>
        </w:rPr>
        <w:t>Ethiopian</w:t>
      </w:r>
      <w:proofErr w:type="spellEnd"/>
      <w:r w:rsidRPr="004C1C5E">
        <w:rPr>
          <w:rFonts w:cs="Times New Roman"/>
          <w:i/>
          <w:lang w:val="fr-CA"/>
        </w:rPr>
        <w:t xml:space="preserve"> Orthodox Tewahedo Church in the Diaspora</w:t>
      </w:r>
      <w:r w:rsidRPr="00394CCC">
        <w:rPr>
          <w:rFonts w:cs="Times New Roman"/>
          <w:lang w:val="fr-CA"/>
        </w:rPr>
        <w:t>, daté du 28 octobre 1996 (« Règlement intérieur »). La Constitution a été modifiée en 2017 (« Constitution révisée »), mais c’est la Constitution de 1977 qui s’applique au présent litige. La Constitution de</w:t>
      </w:r>
      <w:r>
        <w:rPr>
          <w:rFonts w:cs="Times New Roman"/>
          <w:lang w:val="fr-CA"/>
        </w:rPr>
        <w:t xml:space="preserve"> </w:t>
      </w:r>
      <w:r w:rsidRPr="00394CCC">
        <w:rPr>
          <w:rFonts w:cs="Times New Roman"/>
          <w:lang w:val="fr-CA"/>
        </w:rPr>
        <w:t>1977 est rédigée en langue amharique. Aucune traduction de cette constitution n’a été fournie, mais les appelants ont produit un tableau comparatif de la Constitution de 1977 et de la Constitution révisée.</w:t>
      </w:r>
    </w:p>
    <w:p w:rsidR="003F2287" w:rsidRPr="00394CCC" w:rsidRDefault="003F2287" w:rsidP="003F2287">
      <w:pPr>
        <w:pStyle w:val="ParaNoNdepar-AltN"/>
        <w:tabs>
          <w:tab w:val="clear" w:pos="1166"/>
          <w:tab w:val="num" w:pos="1152"/>
        </w:tabs>
        <w:rPr>
          <w:rFonts w:cs="Times New Roman"/>
          <w:lang w:val="fr-CA"/>
        </w:rPr>
      </w:pPr>
      <w:r w:rsidRPr="00394CCC">
        <w:rPr>
          <w:rFonts w:cs="Times New Roman"/>
          <w:lang w:val="fr-CA"/>
        </w:rPr>
        <w:t>D’après ce tableau, les articles</w:t>
      </w:r>
      <w:r>
        <w:rPr>
          <w:rFonts w:cs="Times New Roman"/>
          <w:lang w:val="fr-CA"/>
        </w:rPr>
        <w:t xml:space="preserve"> </w:t>
      </w:r>
      <w:r w:rsidRPr="00394CCC">
        <w:rPr>
          <w:rFonts w:cs="Times New Roman"/>
          <w:lang w:val="fr-CA"/>
        </w:rPr>
        <w:t>61 et 63 de la Constitution révisée correspondent à des articles de la Constitution de</w:t>
      </w:r>
      <w:r>
        <w:rPr>
          <w:rFonts w:cs="Times New Roman"/>
          <w:lang w:val="fr-CA"/>
        </w:rPr>
        <w:t xml:space="preserve"> </w:t>
      </w:r>
      <w:r w:rsidRPr="00394CCC">
        <w:rPr>
          <w:rFonts w:cs="Times New Roman"/>
          <w:lang w:val="fr-CA"/>
        </w:rPr>
        <w:t>1977. L’article 61 de la Constitution révisée porte sur les [</w:t>
      </w:r>
      <w:r w:rsidRPr="00394CCC">
        <w:rPr>
          <w:rFonts w:cs="Times New Roman"/>
          <w:smallCaps/>
          <w:lang w:val="fr-CA"/>
        </w:rPr>
        <w:t>traduction</w:t>
      </w:r>
      <w:r w:rsidRPr="00394CCC">
        <w:rPr>
          <w:rFonts w:cs="Times New Roman"/>
          <w:lang w:val="fr-CA"/>
        </w:rPr>
        <w:t>] « Droits et obligations des fidèles de l’Église paroissiale », et l’article 63 traite des « Décisions visant les violations de la présente Constitution ecclésiastique [. . .] et des règles de droit de l’Église », et inclut des dispositions sur l’annulation de la qualité de membre. Le Règlement intérieur traite lui aussi des [</w:t>
      </w:r>
      <w:r w:rsidRPr="00394CCC">
        <w:rPr>
          <w:rFonts w:cs="Times New Roman"/>
          <w:smallCaps/>
          <w:lang w:val="fr-CA"/>
        </w:rPr>
        <w:t>traduction</w:t>
      </w:r>
      <w:r w:rsidRPr="00394CCC">
        <w:rPr>
          <w:rFonts w:cs="Times New Roman"/>
          <w:lang w:val="fr-CA"/>
        </w:rPr>
        <w:t>] « Droits et des obligations des laïcs », à l’article 44, et des « Mesures disciplinaires », y compris de l’annulation de la qualité de membre et l’excommunication, à l’article 47.</w:t>
      </w:r>
    </w:p>
    <w:p w:rsidR="003F2287" w:rsidRPr="00394CCC" w:rsidRDefault="003F2287" w:rsidP="003F2287">
      <w:pPr>
        <w:pStyle w:val="Title2LevelTitre2Niveau"/>
        <w:rPr>
          <w:rFonts w:cs="Times New Roman"/>
          <w:lang w:val="fr-CA"/>
        </w:rPr>
      </w:pPr>
      <w:bookmarkStart w:id="4" w:name="_Toc57374784"/>
      <w:r w:rsidRPr="00394CCC">
        <w:rPr>
          <w:rFonts w:cs="Times New Roman"/>
          <w:lang w:val="fr-CA"/>
        </w:rPr>
        <w:t>Exclusion des intimés de la Congrégation</w:t>
      </w:r>
      <w:bookmarkEnd w:id="4"/>
    </w:p>
    <w:p w:rsidR="003F2287" w:rsidRPr="00394CCC" w:rsidRDefault="003F2287" w:rsidP="003F2287">
      <w:pPr>
        <w:pStyle w:val="ParaNoNdepar-AltN"/>
        <w:rPr>
          <w:rFonts w:cs="Times New Roman"/>
          <w:lang w:val="fr-CA"/>
        </w:rPr>
      </w:pPr>
      <w:r w:rsidRPr="00394CCC">
        <w:rPr>
          <w:rFonts w:cs="Times New Roman"/>
          <w:lang w:val="fr-CA"/>
        </w:rPr>
        <w:t>Quiconque souhaite devenir membre de la Congrégation doit remplir et présenter un formulaire de demande d’adhésion. Un exemplaire vierge du formulaire d’adhésion est annexé en tant que pièce à l’affidavit de l’un des appelants. Le formulaire fourni est rédigé en anglais et en amharique. Il contient un champ vide intitulé [</w:t>
      </w:r>
      <w:r w:rsidRPr="00394CCC">
        <w:rPr>
          <w:rFonts w:cs="Times New Roman"/>
          <w:smallCaps/>
          <w:lang w:val="fr-CA"/>
        </w:rPr>
        <w:t>traduction</w:t>
      </w:r>
      <w:r w:rsidRPr="00394CCC">
        <w:rPr>
          <w:rFonts w:cs="Times New Roman"/>
          <w:lang w:val="fr-CA"/>
        </w:rPr>
        <w:t xml:space="preserve">] « Contribution mensuelle du membre ». La traduction anglaise ne renferme aucune mention de la Constitution ou du Règlement intérieur. </w:t>
      </w:r>
    </w:p>
    <w:p w:rsidR="003F2287" w:rsidRPr="00394CCC" w:rsidRDefault="003F2287" w:rsidP="003F2287">
      <w:pPr>
        <w:pStyle w:val="ParaNoNdepar-AltN"/>
        <w:rPr>
          <w:rFonts w:cs="Times New Roman"/>
          <w:lang w:val="fr-CA"/>
        </w:rPr>
      </w:pPr>
      <w:r w:rsidRPr="00394CCC">
        <w:rPr>
          <w:rFonts w:cs="Times New Roman"/>
          <w:lang w:val="fr-CA"/>
        </w:rPr>
        <w:t>En 2016, les cinq intimés et six</w:t>
      </w:r>
      <w:r>
        <w:rPr>
          <w:rFonts w:cs="Times New Roman"/>
          <w:lang w:val="fr-CA"/>
        </w:rPr>
        <w:t xml:space="preserve"> </w:t>
      </w:r>
      <w:r w:rsidRPr="00394CCC">
        <w:rPr>
          <w:rFonts w:cs="Times New Roman"/>
          <w:lang w:val="fr-CA"/>
        </w:rPr>
        <w:t>autres personnes, dont les appelants Abune Dimetros et Messale Engeda, ont été nommés pour faire partie d’un comité spécial chargé d’enquêter sur un mouvement considéré par certains comme hérétique. Les lignes directrices du comité précisent que [</w:t>
      </w:r>
      <w:r w:rsidRPr="00394CCC">
        <w:rPr>
          <w:rFonts w:cs="Times New Roman"/>
          <w:smallCaps/>
          <w:lang w:val="fr-CA"/>
        </w:rPr>
        <w:t>traduction</w:t>
      </w:r>
      <w:r w:rsidRPr="00394CCC">
        <w:rPr>
          <w:rFonts w:cs="Times New Roman"/>
          <w:lang w:val="fr-CA"/>
        </w:rPr>
        <w:t>] « [l]e comité sera guidé par les règles et règlements généraux du synode de l’Église orthodoxe tewahedo éthiopienne dans la diaspora » et que, « [c]</w:t>
      </w:r>
      <w:proofErr w:type="spellStart"/>
      <w:r w:rsidRPr="00394CCC">
        <w:rPr>
          <w:rFonts w:cs="Times New Roman"/>
          <w:lang w:val="fr-CA"/>
        </w:rPr>
        <w:t>omme</w:t>
      </w:r>
      <w:proofErr w:type="spellEnd"/>
      <w:r w:rsidRPr="00394CCC">
        <w:rPr>
          <w:rFonts w:cs="Times New Roman"/>
          <w:lang w:val="fr-CA"/>
        </w:rPr>
        <w:t xml:space="preserve"> il s’agit d’une affaire de nature dogmatique et canonique, la décision définitive sera donc prise par l’archevêque du diocèse ». Les lignes directrices font état des noms de neuf signataires, y compris certaines des personnes physiques appelantes et certains des intimés. Le comité a produit un rapport et tiré certaines conclusions. Le rapport a été soumis à l’archevêque</w:t>
      </w:r>
      <w:r>
        <w:rPr>
          <w:rFonts w:cs="Times New Roman"/>
          <w:lang w:val="fr-CA"/>
        </w:rPr>
        <w:t xml:space="preserve"> le 13 mars </w:t>
      </w:r>
      <w:r w:rsidRPr="00394CCC">
        <w:rPr>
          <w:rFonts w:cs="Times New Roman"/>
          <w:lang w:val="fr-CA"/>
        </w:rPr>
        <w:t>2016.</w:t>
      </w:r>
    </w:p>
    <w:p w:rsidR="003F2287" w:rsidRPr="00394CCC" w:rsidRDefault="003F2287" w:rsidP="003F2287">
      <w:pPr>
        <w:pStyle w:val="ParaNoNdepar-AltN"/>
        <w:rPr>
          <w:rFonts w:cs="Times New Roman"/>
          <w:lang w:val="fr-CA"/>
        </w:rPr>
      </w:pPr>
      <w:r w:rsidRPr="00394CCC">
        <w:rPr>
          <w:rFonts w:cs="Times New Roman"/>
          <w:lang w:val="fr-CA"/>
        </w:rPr>
        <w:t>L’archevêque n’a pas accepté ni mis en œuvre les conclusions du comité. Cela a entraîné un différend. Le 26 octobre 2016, l’appelant Messale Engeda a envoyé une lettre à chacun des intimés, les avertissant que des mesures seraient prises afin de les exclure de la Congrégation s’ils ne cessaient pas d’exprimer du mécontentement à l’égard des décisions de l’archevêque.</w:t>
      </w:r>
    </w:p>
    <w:p w:rsidR="003F2287" w:rsidRPr="00394CCC" w:rsidRDefault="003F2287" w:rsidP="003F2287">
      <w:pPr>
        <w:pStyle w:val="ParaNoNdepar-AltN"/>
        <w:rPr>
          <w:rFonts w:cs="Times New Roman"/>
          <w:lang w:val="fr-CA"/>
        </w:rPr>
      </w:pPr>
      <w:r w:rsidRPr="00394CCC">
        <w:rPr>
          <w:rFonts w:cs="Times New Roman"/>
          <w:lang w:val="fr-CA"/>
        </w:rPr>
        <w:t>Le 24 mai 2017, chacun des intimés a reçu une lettre identique l’avisant qu’il avait été exclu de la Congrégation, conformément à l’avis d’exclusion de l’archevêque joint à la lettre. Cet avis précisait que [</w:t>
      </w:r>
      <w:r w:rsidRPr="00394CCC">
        <w:rPr>
          <w:rFonts w:cs="Times New Roman"/>
          <w:smallCaps/>
          <w:lang w:val="fr-CA"/>
        </w:rPr>
        <w:t>traduction</w:t>
      </w:r>
      <w:r w:rsidRPr="00394CCC">
        <w:rPr>
          <w:rFonts w:cs="Times New Roman"/>
          <w:lang w:val="fr-CA"/>
        </w:rPr>
        <w:t xml:space="preserve">] « conformément à l’article 4 du chapitre 57 et à l’article 1 du chapitre 55 du règlement intérieur de notre Église, votre qualité de membre de la </w:t>
      </w:r>
      <w:r w:rsidRPr="00394CCC">
        <w:rPr>
          <w:rFonts w:cs="Times New Roman"/>
          <w:spacing w:val="-5"/>
          <w:szCs w:val="24"/>
          <w:shd w:val="clear" w:color="auto" w:fill="FFFFFF"/>
          <w:lang w:val="fr-CA"/>
        </w:rPr>
        <w:t>St. Mary Cathedral de Toronto a été suspendue ». Le</w:t>
      </w:r>
      <w:r>
        <w:rPr>
          <w:rFonts w:cs="Times New Roman"/>
          <w:spacing w:val="-5"/>
          <w:szCs w:val="24"/>
          <w:shd w:val="clear" w:color="auto" w:fill="FFFFFF"/>
          <w:lang w:val="fr-CA"/>
        </w:rPr>
        <w:t xml:space="preserve"> contenu des</w:t>
      </w:r>
      <w:r w:rsidRPr="00394CCC">
        <w:rPr>
          <w:rFonts w:cs="Times New Roman"/>
          <w:spacing w:val="-5"/>
          <w:szCs w:val="24"/>
          <w:shd w:val="clear" w:color="auto" w:fill="FFFFFF"/>
          <w:lang w:val="fr-CA"/>
        </w:rPr>
        <w:t xml:space="preserve"> chapitres 55 et 57 du Règlement intérieur ne figure pas au dossier. Le dossier des appelants contient uniquement les chapitres 1 à 12.</w:t>
      </w:r>
    </w:p>
    <w:p w:rsidR="003F2287" w:rsidRPr="00394CCC" w:rsidRDefault="003F2287" w:rsidP="003F2287">
      <w:pPr>
        <w:pStyle w:val="Title2LevelTitre2Niveau"/>
        <w:rPr>
          <w:rFonts w:cs="Times New Roman"/>
          <w:lang w:val="fr-CA"/>
        </w:rPr>
      </w:pPr>
      <w:r w:rsidRPr="00394CCC">
        <w:rPr>
          <w:rFonts w:cs="Times New Roman"/>
          <w:lang w:val="fr-CA"/>
        </w:rPr>
        <w:t>Procédures judiciaires</w:t>
      </w:r>
    </w:p>
    <w:p w:rsidR="003F2287" w:rsidRPr="00394CCC" w:rsidRDefault="003F2287" w:rsidP="003F2287">
      <w:pPr>
        <w:pStyle w:val="ParaNoNdepar-AltN"/>
        <w:rPr>
          <w:rFonts w:cs="Times New Roman"/>
          <w:lang w:val="fr-CA"/>
        </w:rPr>
      </w:pPr>
      <w:r w:rsidRPr="00394CCC">
        <w:rPr>
          <w:rFonts w:cs="Times New Roman"/>
          <w:lang w:val="fr-CA"/>
        </w:rPr>
        <w:t>Les intimés ont intenté une action contre les appelants. Ils plaident entre autres que leur exclusion viole les principes de justice naturelle, notamment en ce qu’on ne leur a donné aucune précision concernant les allégations qui ont été formulées contre eux et qui ont mené à leur exclusion, ni aucune possibilité de répondre à ces allégations et de demander la révision de la décision à l’interne. Ils affirment qu’en agissant ainsi on a contrevenu aux procédures internes régissant l’</w:t>
      </w:r>
      <w:r>
        <w:rPr>
          <w:rFonts w:cs="Times New Roman"/>
          <w:lang w:val="fr-CA"/>
        </w:rPr>
        <w:t>É</w:t>
      </w:r>
      <w:r w:rsidRPr="00394CCC">
        <w:rPr>
          <w:rFonts w:cs="Times New Roman"/>
          <w:lang w:val="fr-CA"/>
        </w:rPr>
        <w:t xml:space="preserve">glise. Les intimés ont sollicité une ordonnance déclarant nulle la décision de les exclure, une ordonnance déclarant que les droits qui leur sont garantis par l’al. 2a) de la </w:t>
      </w:r>
      <w:r w:rsidRPr="00394CCC">
        <w:rPr>
          <w:rFonts w:cs="Times New Roman"/>
          <w:i/>
          <w:iCs/>
          <w:lang w:val="fr-CA"/>
        </w:rPr>
        <w:t>Charte canadienne des droits et libertés</w:t>
      </w:r>
      <w:r w:rsidRPr="00394CCC">
        <w:rPr>
          <w:rFonts w:cs="Times New Roman"/>
          <w:lang w:val="fr-CA"/>
        </w:rPr>
        <w:t xml:space="preserve"> ont été violés par les appelants, une ordonnance déclarant valides et exécutoires les conclusions du comité, une ordonnance intimant aux appelants de communiquer les conclusions à la Congrégation et de rendre une décision fondée sur des conclusions compatibles avec les règles de droit de l’Église, ainsi que diverses autres réparations. </w:t>
      </w:r>
    </w:p>
    <w:p w:rsidR="003F2287" w:rsidRPr="00394CCC" w:rsidRDefault="003F2287" w:rsidP="003F2287">
      <w:pPr>
        <w:pStyle w:val="ParaNoNdepar-AltN"/>
        <w:rPr>
          <w:rFonts w:cs="Times New Roman"/>
          <w:lang w:val="fr-CA"/>
        </w:rPr>
      </w:pPr>
      <w:r w:rsidRPr="00394CCC">
        <w:rPr>
          <w:rFonts w:cs="Times New Roman"/>
          <w:lang w:val="fr-CA"/>
        </w:rPr>
        <w:t>La déclaration n’allègue pas explicitement de violation contractuelle. Toutefois, les intimés plaident effectivement que [</w:t>
      </w:r>
      <w:r w:rsidRPr="00394CCC">
        <w:rPr>
          <w:rFonts w:cs="Times New Roman"/>
          <w:smallCaps/>
          <w:lang w:val="fr-CA"/>
        </w:rPr>
        <w:t>traduction</w:t>
      </w:r>
      <w:r w:rsidRPr="00394CCC">
        <w:rPr>
          <w:rFonts w:cs="Times New Roman"/>
          <w:lang w:val="fr-CA"/>
        </w:rPr>
        <w:t>] « [l]’Église n’a pas suivi ses propres procédures et règlements internes lorsqu’elle a décidé d’exclure [les intimés] » et que « les [appelants] n’ont pas respecté leurs propres règlements intérieurs et constitution ».</w:t>
      </w:r>
    </w:p>
    <w:p w:rsidR="003F2287" w:rsidRPr="00394CCC" w:rsidRDefault="003F2287" w:rsidP="003F2287">
      <w:pPr>
        <w:pStyle w:val="Title1LevelTitre1Niveau-AltL"/>
        <w:rPr>
          <w:rFonts w:cs="Times New Roman"/>
          <w:lang w:val="fr-CA"/>
        </w:rPr>
      </w:pPr>
      <w:r w:rsidRPr="00394CCC">
        <w:rPr>
          <w:rFonts w:cs="Times New Roman"/>
          <w:lang w:val="fr-CA"/>
        </w:rPr>
        <w:t>Historique judiciaire</w:t>
      </w:r>
    </w:p>
    <w:p w:rsidR="003F2287" w:rsidRPr="00394CCC" w:rsidRDefault="003F2287" w:rsidP="003F2287">
      <w:pPr>
        <w:pStyle w:val="Title2LevelTitre2Niveau"/>
        <w:rPr>
          <w:rFonts w:cs="Times New Roman"/>
          <w:lang w:val="fr-CA"/>
        </w:rPr>
      </w:pPr>
      <w:r w:rsidRPr="00394CCC">
        <w:rPr>
          <w:rFonts w:cs="Times New Roman"/>
          <w:lang w:val="fr-CA"/>
        </w:rPr>
        <w:t>Motion en jugement sommaire</w:t>
      </w:r>
    </w:p>
    <w:p w:rsidR="003F2287" w:rsidRPr="00394CCC" w:rsidRDefault="003F2287" w:rsidP="003F2287">
      <w:pPr>
        <w:pStyle w:val="ParaNoNdepar-AltN"/>
        <w:rPr>
          <w:rFonts w:cs="Times New Roman"/>
          <w:lang w:val="fr-CA"/>
        </w:rPr>
      </w:pPr>
      <w:r w:rsidRPr="00394CCC">
        <w:rPr>
          <w:rFonts w:cs="Times New Roman"/>
          <w:lang w:val="fr-CA"/>
        </w:rPr>
        <w:t>Les appelants ont présenté une motion en jugement sommaire sollicitant le rejet des demandes des intimés. La thèse des appelants est qu’il n’existe aucun droit autonome à l’équité procédurale en l’absence d’un droit légal sous</w:t>
      </w:r>
      <w:r w:rsidRPr="00394CCC">
        <w:rPr>
          <w:rFonts w:cs="Times New Roman"/>
          <w:lang w:val="fr-CA"/>
        </w:rPr>
        <w:noBreakHyphen/>
        <w:t>jacent, et que les intimés ne possèdent aucun droit de la sorte en l’espèce.</w:t>
      </w:r>
    </w:p>
    <w:p w:rsidR="003F2287" w:rsidRPr="00394CCC" w:rsidRDefault="003F2287" w:rsidP="003F2287">
      <w:pPr>
        <w:pStyle w:val="ParaNoNdepar-AltN"/>
        <w:tabs>
          <w:tab w:val="clear" w:pos="1166"/>
          <w:tab w:val="num" w:pos="1152"/>
        </w:tabs>
        <w:rPr>
          <w:rFonts w:cs="Times New Roman"/>
          <w:lang w:val="fr-CA"/>
        </w:rPr>
      </w:pPr>
      <w:r w:rsidRPr="00394CCC">
        <w:rPr>
          <w:rFonts w:cs="Times New Roman"/>
          <w:lang w:val="fr-CA"/>
        </w:rPr>
        <w:t xml:space="preserve">La juge Sandra Nishikawa a accueilli la motion en jugement sommaire et rejeté l’action, concluant, au vu du dossier dont elle disposait, qu’il n’existait pas de véritable question litigieuse nécessitant la tenue d’une instruction aux termes de l’al. 20.04(2)a) des </w:t>
      </w:r>
      <w:r w:rsidRPr="00394CCC">
        <w:rPr>
          <w:rFonts w:cs="Times New Roman"/>
          <w:i/>
          <w:lang w:val="fr-CA"/>
        </w:rPr>
        <w:t>Règles de procédure civile</w:t>
      </w:r>
      <w:r w:rsidRPr="00394CCC">
        <w:rPr>
          <w:rFonts w:cs="Times New Roman"/>
          <w:lang w:val="fr-CA"/>
        </w:rPr>
        <w:t>, R.R.O. 1990, Règl. 194. La juge Nishikawa a statué que la présente affaire constitue un cas clair d’application de l’arrêt </w:t>
      </w:r>
      <w:r w:rsidRPr="00394CCC">
        <w:rPr>
          <w:rFonts w:cs="Times New Roman"/>
          <w:i/>
          <w:iCs/>
          <w:lang w:val="fr-CA"/>
        </w:rPr>
        <w:t>Wall</w:t>
      </w:r>
      <w:r w:rsidRPr="00394CCC">
        <w:rPr>
          <w:rFonts w:cs="Times New Roman"/>
          <w:iCs/>
          <w:lang w:val="fr-CA"/>
        </w:rPr>
        <w:t>,</w:t>
      </w:r>
      <w:r w:rsidRPr="00394CCC">
        <w:rPr>
          <w:rFonts w:cs="Times New Roman"/>
          <w:lang w:val="fr-CA"/>
        </w:rPr>
        <w:t xml:space="preserve"> et que les intimés n’avaient pas invoqué de droit légal sous</w:t>
      </w:r>
      <w:r w:rsidRPr="00394CCC">
        <w:rPr>
          <w:rFonts w:cs="Times New Roman"/>
          <w:lang w:val="fr-CA"/>
        </w:rPr>
        <w:noBreakHyphen/>
        <w:t>jacent ou apporté la preuve de l’existence d’un tel droit. Elle a affirmé que la déclaration n’alléguait aucune violation de contrat et que, quoi qu’il en soit, ni la Constitution ni le Règlement intérieur ne constituaient un contrat. Un des éléments essentiels d’un contrat est l’intention mutuelle des parties d’être liées par les modalités de celui</w:t>
      </w:r>
      <w:r w:rsidRPr="00394CCC">
        <w:rPr>
          <w:rFonts w:cs="Times New Roman"/>
          <w:lang w:val="fr-CA"/>
        </w:rPr>
        <w:noBreakHyphen/>
        <w:t>ci, mais les intimés n’étaient pas au fait de l’existence du Règlement intérieur ou de ses modalités avant la présente instance. Bien que les membres de la Congrégation soient obligés de remplir un formulaire d’adhésion, celui</w:t>
      </w:r>
      <w:r w:rsidRPr="00394CCC">
        <w:rPr>
          <w:rFonts w:cs="Times New Roman"/>
          <w:lang w:val="fr-CA"/>
        </w:rPr>
        <w:noBreakHyphen/>
        <w:t xml:space="preserve">ci ne mentionne pas qu’ils sont liés par le Règlement intérieur. </w:t>
      </w:r>
    </w:p>
    <w:p w:rsidR="003F2287" w:rsidRPr="00394CCC" w:rsidRDefault="003F2287" w:rsidP="003F2287">
      <w:pPr>
        <w:pStyle w:val="Title2LevelTitre2Niveau"/>
        <w:rPr>
          <w:rFonts w:cs="Times New Roman"/>
          <w:lang w:val="fr-CA"/>
        </w:rPr>
      </w:pPr>
      <w:r w:rsidRPr="00394CCC">
        <w:rPr>
          <w:rFonts w:cs="Times New Roman"/>
          <w:lang w:val="fr-CA"/>
        </w:rPr>
        <w:t>Cour d’appel de l’Ontario, 2020 ONCA 10, 150 O.R. (3d) 516</w:t>
      </w:r>
    </w:p>
    <w:p w:rsidR="003F2287" w:rsidRPr="00394CCC" w:rsidRDefault="003F2287" w:rsidP="003F2287">
      <w:pPr>
        <w:pStyle w:val="ParaNoNdepar-AltN"/>
        <w:rPr>
          <w:rFonts w:cs="Times New Roman"/>
          <w:lang w:val="fr-CA"/>
        </w:rPr>
      </w:pPr>
      <w:r w:rsidRPr="00394CCC">
        <w:rPr>
          <w:rFonts w:cs="Times New Roman"/>
          <w:lang w:val="fr-CA"/>
        </w:rPr>
        <w:t>En appel, les intimés ont fait valoir que la Constitution et le Règlement intérieur, qui régissent notamment les mesures disciplinaires, sont des documents contractuellement contraignants et dont l’exécution peut être demandée aux tribunaux, et qu’il existe par conséquent une question litigieuse nécessitant la tenue d’une instruction. La Cour d’appel a souligné que, pour qu’un tribunal ait compétence pour contrôler les procédures d’une association volontaire, il doit exister un droit légal sous</w:t>
      </w:r>
      <w:r w:rsidRPr="00394CCC">
        <w:rPr>
          <w:rFonts w:cs="Times New Roman"/>
          <w:lang w:val="fr-CA"/>
        </w:rPr>
        <w:noBreakHyphen/>
        <w:t>jacent, par exemple un droit de nature contractuelle. La Cour d’appel a ensuite déclaré que [</w:t>
      </w:r>
      <w:r w:rsidRPr="00394CCC">
        <w:rPr>
          <w:rFonts w:cs="Times New Roman"/>
          <w:smallCaps/>
          <w:lang w:val="fr-CA"/>
        </w:rPr>
        <w:t>traduction</w:t>
      </w:r>
      <w:r w:rsidRPr="00394CCC">
        <w:rPr>
          <w:rFonts w:cs="Times New Roman"/>
          <w:lang w:val="fr-CA"/>
        </w:rPr>
        <w:t xml:space="preserve">] « [l]es associations volontaires ne possèdent pas toutes une constitution écrite et des règlements intérieurs. Toutefois, lorsque de tels instruments existent, ils constituent un contrat établissant les droits et les obligations des membres et de l’organisation » : par. 40. La Cour d’appel a cité l’arrêt </w:t>
      </w:r>
      <w:proofErr w:type="spellStart"/>
      <w:r w:rsidRPr="00394CCC">
        <w:rPr>
          <w:rFonts w:cs="Times New Roman"/>
          <w:i/>
          <w:lang w:val="fr-CA"/>
        </w:rPr>
        <w:t>Ahenakew</w:t>
      </w:r>
      <w:proofErr w:type="spellEnd"/>
      <w:r w:rsidRPr="00394CCC">
        <w:rPr>
          <w:rFonts w:cs="Times New Roman"/>
          <w:i/>
          <w:lang w:val="fr-CA"/>
        </w:rPr>
        <w:t xml:space="preserve"> c. </w:t>
      </w:r>
      <w:proofErr w:type="spellStart"/>
      <w:r w:rsidRPr="00394CCC">
        <w:rPr>
          <w:rFonts w:cs="Times New Roman"/>
          <w:i/>
          <w:lang w:val="fr-CA"/>
        </w:rPr>
        <w:t>MacKay</w:t>
      </w:r>
      <w:proofErr w:type="spellEnd"/>
      <w:r w:rsidRPr="00394CCC">
        <w:rPr>
          <w:rFonts w:cs="Times New Roman"/>
          <w:i/>
          <w:lang w:val="fr-CA"/>
        </w:rPr>
        <w:t> </w:t>
      </w:r>
      <w:r w:rsidRPr="00394CCC">
        <w:rPr>
          <w:rFonts w:cs="Times New Roman"/>
          <w:lang w:val="fr-CA"/>
        </w:rPr>
        <w:t xml:space="preserve">(2004), 71 </w:t>
      </w:r>
      <w:proofErr w:type="spellStart"/>
      <w:r w:rsidRPr="00394CCC">
        <w:rPr>
          <w:rFonts w:cs="Times New Roman"/>
          <w:lang w:val="fr-CA"/>
        </w:rPr>
        <w:t>O.R</w:t>
      </w:r>
      <w:proofErr w:type="spellEnd"/>
      <w:r w:rsidRPr="00394CCC">
        <w:rPr>
          <w:rFonts w:cs="Times New Roman"/>
          <w:lang w:val="fr-CA"/>
        </w:rPr>
        <w:t>. (</w:t>
      </w:r>
      <w:proofErr w:type="spellStart"/>
      <w:r w:rsidRPr="00394CCC">
        <w:rPr>
          <w:rFonts w:cs="Times New Roman"/>
          <w:lang w:val="fr-CA"/>
        </w:rPr>
        <w:t>3d</w:t>
      </w:r>
      <w:proofErr w:type="spellEnd"/>
      <w:r w:rsidRPr="00394CCC">
        <w:rPr>
          <w:rFonts w:cs="Times New Roman"/>
          <w:lang w:val="fr-CA"/>
        </w:rPr>
        <w:t xml:space="preserve">) 130 (C.A.), au soutien de la proposition portant qu’une association volontaire constitue </w:t>
      </w:r>
      <w:bookmarkStart w:id="5" w:name="_Hlk66025775"/>
      <w:r w:rsidRPr="00394CCC">
        <w:rPr>
          <w:rFonts w:cs="Times New Roman"/>
          <w:lang w:val="fr-CA"/>
        </w:rPr>
        <w:t>« un réseau de contrats liant chacun des membres</w:t>
      </w:r>
      <w:bookmarkEnd w:id="5"/>
      <w:r w:rsidRPr="00394CCC">
        <w:rPr>
          <w:rFonts w:cs="Times New Roman"/>
          <w:lang w:val="fr-CA"/>
        </w:rPr>
        <w:t>. Les modalités de ces contrats se trouvent dans la constitution et le</w:t>
      </w:r>
      <w:r>
        <w:rPr>
          <w:rFonts w:cs="Times New Roman"/>
          <w:lang w:val="fr-CA"/>
        </w:rPr>
        <w:t>s</w:t>
      </w:r>
      <w:r w:rsidRPr="00394CCC">
        <w:rPr>
          <w:rFonts w:cs="Times New Roman"/>
          <w:lang w:val="fr-CA"/>
        </w:rPr>
        <w:t xml:space="preserve"> règlement</w:t>
      </w:r>
      <w:r>
        <w:rPr>
          <w:rFonts w:cs="Times New Roman"/>
          <w:lang w:val="fr-CA"/>
        </w:rPr>
        <w:t>s</w:t>
      </w:r>
      <w:r w:rsidRPr="00394CCC">
        <w:rPr>
          <w:rFonts w:cs="Times New Roman"/>
          <w:lang w:val="fr-CA"/>
        </w:rPr>
        <w:t xml:space="preserve"> intérieur</w:t>
      </w:r>
      <w:r>
        <w:rPr>
          <w:rFonts w:cs="Times New Roman"/>
          <w:lang w:val="fr-CA"/>
        </w:rPr>
        <w:t>s</w:t>
      </w:r>
      <w:r w:rsidRPr="00394CCC">
        <w:rPr>
          <w:rFonts w:cs="Times New Roman"/>
          <w:lang w:val="fr-CA"/>
        </w:rPr>
        <w:t xml:space="preserve"> de l’association volontaire » : par. 40, citant </w:t>
      </w:r>
      <w:proofErr w:type="spellStart"/>
      <w:r w:rsidRPr="00394CCC">
        <w:rPr>
          <w:rFonts w:cs="Times New Roman"/>
          <w:i/>
          <w:lang w:val="fr-CA"/>
        </w:rPr>
        <w:t>Ahenakew</w:t>
      </w:r>
      <w:proofErr w:type="spellEnd"/>
      <w:r w:rsidRPr="00394CCC">
        <w:rPr>
          <w:rFonts w:cs="Times New Roman"/>
          <w:lang w:val="fr-CA"/>
        </w:rPr>
        <w:t xml:space="preserve">, par. 20 et 26. La Cour d’appel a fait observer que, dans l’arrêt </w:t>
      </w:r>
      <w:r w:rsidRPr="00394CCC">
        <w:rPr>
          <w:rFonts w:cs="Times New Roman"/>
          <w:i/>
          <w:lang w:val="fr-CA"/>
        </w:rPr>
        <w:t>Senez c. Chambre d’Immeuble de Montréal</w:t>
      </w:r>
      <w:r w:rsidRPr="00394CCC">
        <w:rPr>
          <w:rFonts w:cs="Times New Roman"/>
          <w:lang w:val="fr-CA"/>
        </w:rPr>
        <w:t>, [1980] 2 R.C.S. 555</w:t>
      </w:r>
      <w:r w:rsidRPr="00394CCC">
        <w:rPr>
          <w:rFonts w:cs="Times New Roman"/>
          <w:iCs/>
          <w:lang w:val="fr-CA"/>
        </w:rPr>
        <w:t>, notre Cour s’est penchée sur les droits d’un membre d’une chambre immobilière qui avait été exclu de l’organisation, et a jugé que, « lorsqu’un individu décide d’adhérer à une association volontaire, [. . .] “</w:t>
      </w:r>
      <w:r w:rsidRPr="00394CCC">
        <w:rPr>
          <w:rFonts w:cs="Times New Roman"/>
          <w:i/>
          <w:iCs/>
          <w:lang w:val="fr-CA"/>
        </w:rPr>
        <w:t>il accepte sa constitution et les règlements alors en vigueur et il contracte l’obligation de les observer</w:t>
      </w:r>
      <w:r w:rsidRPr="00394CCC">
        <w:rPr>
          <w:rFonts w:cs="Times New Roman"/>
          <w:iCs/>
          <w:lang w:val="fr-CA"/>
        </w:rPr>
        <w:t xml:space="preserve">” » : par. 42 (en italique dans l’original), citant </w:t>
      </w:r>
      <w:r w:rsidRPr="00394CCC">
        <w:rPr>
          <w:rFonts w:cs="Times New Roman"/>
          <w:i/>
          <w:iCs/>
          <w:lang w:val="fr-CA"/>
        </w:rPr>
        <w:t>Senez</w:t>
      </w:r>
      <w:r w:rsidRPr="00394CCC">
        <w:rPr>
          <w:rFonts w:cs="Times New Roman"/>
          <w:iCs/>
          <w:lang w:val="fr-CA"/>
        </w:rPr>
        <w:t>, p. 566.</w:t>
      </w:r>
      <w:r w:rsidRPr="00394CCC">
        <w:rPr>
          <w:rFonts w:cs="Times New Roman"/>
          <w:lang w:val="fr-CA"/>
        </w:rPr>
        <w:t xml:space="preserve"> </w:t>
      </w:r>
    </w:p>
    <w:p w:rsidR="003F2287" w:rsidRPr="00394CCC" w:rsidRDefault="003F2287" w:rsidP="003F2287">
      <w:pPr>
        <w:pStyle w:val="ParaNoNdepar-AltN"/>
        <w:tabs>
          <w:tab w:val="clear" w:pos="1166"/>
          <w:tab w:val="num" w:pos="1152"/>
        </w:tabs>
        <w:rPr>
          <w:rFonts w:cs="Times New Roman"/>
          <w:lang w:val="fr-CA"/>
        </w:rPr>
      </w:pPr>
      <w:r w:rsidRPr="00394CCC">
        <w:rPr>
          <w:rFonts w:cs="Times New Roman"/>
          <w:lang w:val="fr-CA"/>
        </w:rPr>
        <w:t>Appliquant ces règles de droit, la Cour d’appel a conclu qu’il y avait des éléments de preuve de l’existence d’un contrat sous</w:t>
      </w:r>
      <w:r w:rsidRPr="00394CCC">
        <w:rPr>
          <w:rFonts w:cs="Times New Roman"/>
          <w:lang w:val="fr-CA"/>
        </w:rPr>
        <w:noBreakHyphen/>
        <w:t>jacent entre les parties. Elle a déclaré que les intimés avaient présenté des demandes d’adhésion à la Congrégation, rempli les formulaires d’adhésion et offert une contrepartie sous forme de paiements mensuels. Dès l’approbation de leur demande d’adhésion, ils s’étaient trouvés à conclure un accord mutuel par lequel ils s’engageaient à faire partie de la Congrégation et à respecter les règles la régissant, et ce, qu’ils aient ou non eu concrètement connaissance des modalités applicables. La Cour d’appel a également statué qu’il existait des éléments de preuve établissant que les intimés avaient eu connaissance de la Constitution et du Règlement intérieur : en tant que membres du comité d’enquête, les intimés ont été avisés que le comité serait guidé par les règles et règlements du synode de l’Église orthodoxe tewahedo éthiopienne dans la diaspora, et quatre d’entre eux [</w:t>
      </w:r>
      <w:r w:rsidRPr="00394CCC">
        <w:rPr>
          <w:rFonts w:cs="Times New Roman"/>
          <w:smallCaps/>
          <w:lang w:val="fr-CA"/>
        </w:rPr>
        <w:t>traduction</w:t>
      </w:r>
      <w:r w:rsidRPr="00394CCC">
        <w:rPr>
          <w:rFonts w:cs="Times New Roman"/>
          <w:lang w:val="fr-CA"/>
        </w:rPr>
        <w:t>] « ont signé les lignes directrices, confirmant expressément leur connaissance et leur acceptation de cette modalité » : par. 48. La Cour d’appel a en outre jugé qu’il existait des éléments de preuve établissant que la Personne morale ecclésiastique et ses dirigeants ont reconnu qu’ils étaient contractuellement tenus de respecter les règles applicables lorsqu’ils voulaient exclure un membre, par exemple les lettres envoyées aux intimés lors de leur exclusion. Toutefois, la Cour d’appel a conclu que, au vu du dossier, il n’était pas possible de déterminer s’il y avait eu violation contractuelle pour cause de non</w:t>
      </w:r>
      <w:r w:rsidRPr="00394CCC">
        <w:rPr>
          <w:rFonts w:cs="Times New Roman"/>
          <w:lang w:val="fr-CA"/>
        </w:rPr>
        <w:noBreakHyphen/>
        <w:t xml:space="preserve">respect des règles. Par conséquent, la question de savoir quelles </w:t>
      </w:r>
      <w:proofErr w:type="gramStart"/>
      <w:r w:rsidRPr="00394CCC">
        <w:rPr>
          <w:rFonts w:cs="Times New Roman"/>
          <w:lang w:val="fr-CA"/>
        </w:rPr>
        <w:t>étaient</w:t>
      </w:r>
      <w:proofErr w:type="gramEnd"/>
      <w:r w:rsidRPr="00394CCC">
        <w:rPr>
          <w:rFonts w:cs="Times New Roman"/>
          <w:lang w:val="fr-CA"/>
        </w:rPr>
        <w:t xml:space="preserve"> les règles applicables en matière d’exclusion et si ces règles avaient ou non été respectées constituait une véritable question litigieuse nécessitant la tenue d’une instruction.</w:t>
      </w:r>
    </w:p>
    <w:p w:rsidR="003F2287" w:rsidRPr="00394CCC" w:rsidRDefault="003F2287" w:rsidP="003F2287">
      <w:pPr>
        <w:pStyle w:val="Title1LevelTitre1Niveau-AltL"/>
        <w:rPr>
          <w:rFonts w:cs="Times New Roman"/>
          <w:lang w:val="fr-CA"/>
        </w:rPr>
      </w:pPr>
      <w:r w:rsidRPr="00394CCC">
        <w:rPr>
          <w:rFonts w:cs="Times New Roman"/>
          <w:lang w:val="fr-CA"/>
        </w:rPr>
        <w:t>Arguments des parties</w:t>
      </w:r>
    </w:p>
    <w:p w:rsidR="003F2287" w:rsidRPr="00394CCC" w:rsidRDefault="003F2287" w:rsidP="003F2287">
      <w:pPr>
        <w:pStyle w:val="ParaNoNdepar-AltN"/>
        <w:rPr>
          <w:rFonts w:cs="Times New Roman"/>
          <w:lang w:val="fr-CA"/>
        </w:rPr>
      </w:pPr>
      <w:r w:rsidRPr="00394CCC">
        <w:rPr>
          <w:rFonts w:cs="Times New Roman"/>
          <w:lang w:val="fr-CA"/>
        </w:rPr>
        <w:t xml:space="preserve">Les appelants soutiennent qu’il n’existe pas de véritable question litigieuse nécessitant la tenue d’une instruction, étant donné que l’arrêt </w:t>
      </w:r>
      <w:r w:rsidRPr="00394CCC">
        <w:rPr>
          <w:rFonts w:cs="Times New Roman"/>
          <w:i/>
          <w:iCs/>
          <w:lang w:val="fr-CA"/>
        </w:rPr>
        <w:t>Wall</w:t>
      </w:r>
      <w:r w:rsidRPr="00394CCC">
        <w:rPr>
          <w:rFonts w:cs="Times New Roman"/>
          <w:lang w:val="fr-CA"/>
        </w:rPr>
        <w:t xml:space="preserve"> prescrit que les décisions prises par une association religieuse relativement à la qualité de membre ne sont pas assujetties au pouvoir de contrôle des tribunaux en l’absence d’un droit légal sous</w:t>
      </w:r>
      <w:r w:rsidRPr="00394CCC">
        <w:rPr>
          <w:rFonts w:cs="Times New Roman"/>
          <w:lang w:val="fr-CA"/>
        </w:rPr>
        <w:noBreakHyphen/>
        <w:t xml:space="preserve">jacent. La Cour d’appel a commis une erreur en statuant que, en règle générale, lorsqu’une association volontaire est dotée d’une constitution écrite ou de règlements intérieurs, ces instruments constituent un contrat juridiquement contraignant, parce qu’il a été jugé dans l’arrêt </w:t>
      </w:r>
      <w:r w:rsidRPr="00394CCC">
        <w:rPr>
          <w:rFonts w:cs="Times New Roman"/>
          <w:i/>
          <w:iCs/>
          <w:lang w:val="fr-CA"/>
        </w:rPr>
        <w:t>Wall</w:t>
      </w:r>
      <w:r w:rsidRPr="00394CCC">
        <w:rPr>
          <w:rFonts w:cs="Times New Roman"/>
          <w:lang w:val="fr-CA"/>
        </w:rPr>
        <w:t xml:space="preserve"> que l’analyse usuelle en matière contractuelle s’applique et que l’existence d’une intention mutuelle de créer des rapports contractuels est requise. Les appelants soulèvent également un certain nombre d’autres arguments : les dons de bienfaisance ne devraient pas être considérés comme une contrepartie contractuelle; les demandes des intimés et les réparations qu’ils sollicitent ne sont pas justiciables en raison du caractère religieux du différend; la mesure de redressement demandée par les intimés viole la </w:t>
      </w:r>
      <w:r w:rsidRPr="00394CCC">
        <w:rPr>
          <w:rFonts w:cs="Times New Roman"/>
          <w:i/>
          <w:iCs/>
          <w:lang w:val="fr-CA"/>
        </w:rPr>
        <w:t>Charte</w:t>
      </w:r>
      <w:r w:rsidRPr="00394CCC">
        <w:rPr>
          <w:rFonts w:cs="Times New Roman"/>
          <w:lang w:val="fr-CA"/>
        </w:rPr>
        <w:t xml:space="preserve">; et en concluant à l’existence d’une contrepartie et d’une intention mutuelle de créer des rapports contractuels, la Cour d’appel a infirmé les conclusions de fait de la juge des motions sans appliquer la norme de l’erreur manifeste et déterminante. </w:t>
      </w:r>
    </w:p>
    <w:p w:rsidR="003F2287" w:rsidRPr="00394CCC" w:rsidRDefault="003F2287" w:rsidP="003F2287">
      <w:pPr>
        <w:pStyle w:val="ParaNoNdepar-AltN"/>
        <w:rPr>
          <w:rFonts w:cs="Times New Roman"/>
          <w:lang w:val="fr-CA"/>
        </w:rPr>
      </w:pPr>
      <w:r w:rsidRPr="00394CCC">
        <w:rPr>
          <w:rFonts w:cs="Times New Roman"/>
          <w:lang w:val="fr-CA"/>
        </w:rPr>
        <w:t xml:space="preserve">Les intimés soulignent que, contrairement à la situation de l’arrêt </w:t>
      </w:r>
      <w:r w:rsidRPr="00394CCC">
        <w:rPr>
          <w:rFonts w:cs="Times New Roman"/>
          <w:i/>
          <w:iCs/>
          <w:lang w:val="fr-CA"/>
        </w:rPr>
        <w:t>Wall</w:t>
      </w:r>
      <w:r w:rsidRPr="00394CCC">
        <w:rPr>
          <w:rFonts w:cs="Times New Roman"/>
          <w:lang w:val="fr-CA"/>
        </w:rPr>
        <w:t>, l’</w:t>
      </w:r>
      <w:r>
        <w:rPr>
          <w:rFonts w:cs="Times New Roman"/>
          <w:lang w:val="fr-CA"/>
        </w:rPr>
        <w:t>É</w:t>
      </w:r>
      <w:r w:rsidRPr="00394CCC">
        <w:rPr>
          <w:rFonts w:cs="Times New Roman"/>
          <w:lang w:val="fr-CA"/>
        </w:rPr>
        <w:t xml:space="preserve">glise en cause dans la présente affaire possède une constitution et un règlement intérieur. Les intimés font valoir que la Cour d’appel était sensible à cette distinction et qu’elle a eu raison de conclure que le fait de devenir membre d’une telle association volontaire emporte acceptation des modalités de la constitution et du règlement intérieur de l’association, comme le prévoient les arrêts </w:t>
      </w:r>
      <w:r w:rsidRPr="00394CCC">
        <w:rPr>
          <w:rFonts w:cs="Times New Roman"/>
          <w:i/>
          <w:lang w:val="fr-CA"/>
        </w:rPr>
        <w:t xml:space="preserve">Wall </w:t>
      </w:r>
      <w:r w:rsidRPr="00394CCC">
        <w:rPr>
          <w:rFonts w:cs="Times New Roman"/>
          <w:lang w:val="fr-CA"/>
        </w:rPr>
        <w:t xml:space="preserve">et </w:t>
      </w:r>
      <w:r w:rsidRPr="00394CCC">
        <w:rPr>
          <w:rFonts w:cs="Times New Roman"/>
          <w:i/>
          <w:lang w:val="fr-CA"/>
        </w:rPr>
        <w:t>Senez</w:t>
      </w:r>
      <w:r w:rsidRPr="00394CCC">
        <w:rPr>
          <w:rFonts w:cs="Times New Roman"/>
          <w:lang w:val="fr-CA"/>
        </w:rPr>
        <w:t>. Les intimés traitent aussi des autres arguments soulevés par les appelants.</w:t>
      </w:r>
    </w:p>
    <w:p w:rsidR="003F2287" w:rsidRPr="00394CCC" w:rsidRDefault="003F2287" w:rsidP="003F2287">
      <w:pPr>
        <w:pStyle w:val="Title1LevelTitre1Niveau-AltL"/>
        <w:rPr>
          <w:rFonts w:cs="Times New Roman"/>
          <w:lang w:val="fr-CA"/>
        </w:rPr>
      </w:pPr>
      <w:r w:rsidRPr="00394CCC">
        <w:rPr>
          <w:rFonts w:cs="Times New Roman"/>
          <w:lang w:val="fr-CA"/>
        </w:rPr>
        <w:t>La question en litige dans le pourvoi</w:t>
      </w:r>
    </w:p>
    <w:p w:rsidR="003F2287" w:rsidRPr="00394CCC" w:rsidRDefault="003F2287" w:rsidP="003F2287">
      <w:pPr>
        <w:pStyle w:val="ParaNoNdepar-AltN"/>
        <w:rPr>
          <w:rFonts w:cs="Times New Roman"/>
          <w:lang w:val="fr-CA"/>
        </w:rPr>
      </w:pPr>
      <w:r w:rsidRPr="00394CCC">
        <w:rPr>
          <w:rFonts w:cs="Times New Roman"/>
          <w:lang w:val="fr-CA"/>
        </w:rPr>
        <w:t>La seule question dont notre Cour est saisie est la suivante : La Cour d’appel a</w:t>
      </w:r>
      <w:r w:rsidRPr="00394CCC">
        <w:rPr>
          <w:rFonts w:cs="Times New Roman"/>
          <w:lang w:val="fr-CA"/>
        </w:rPr>
        <w:noBreakHyphen/>
        <w:t>t</w:t>
      </w:r>
      <w:r w:rsidRPr="00394CCC">
        <w:rPr>
          <w:rFonts w:cs="Times New Roman"/>
          <w:lang w:val="fr-CA"/>
        </w:rPr>
        <w:noBreakHyphen/>
        <w:t>elle commis une erreur en concluant à l’existence d’un contrat sous</w:t>
      </w:r>
      <w:r w:rsidRPr="00394CCC">
        <w:rPr>
          <w:rFonts w:cs="Times New Roman"/>
          <w:lang w:val="fr-CA"/>
        </w:rPr>
        <w:noBreakHyphen/>
        <w:t>jacent et, en conséquence, à l’existence d’une véritable question litigieuse nécessitant la tenue d’une instruction? Pour les motifs exposés ci</w:t>
      </w:r>
      <w:r w:rsidRPr="00394CCC">
        <w:rPr>
          <w:rFonts w:cs="Times New Roman"/>
          <w:lang w:val="fr-CA"/>
        </w:rPr>
        <w:noBreakHyphen/>
        <w:t>après, j’arrive à la conclusion que oui. Cette conclusion tranche toutes les questions telles qu’elles ont été formulées par les appelants. Je rejetterais également la requête sollicitant l’autorisation de produire un nouvel élément de preuve, pour les raisons expliquées plus loin.</w:t>
      </w:r>
    </w:p>
    <w:p w:rsidR="003F2287" w:rsidRPr="00394CCC" w:rsidRDefault="003F2287" w:rsidP="003F2287">
      <w:pPr>
        <w:pStyle w:val="Title1LevelTitre1Niveau-AltL"/>
        <w:rPr>
          <w:rFonts w:cs="Times New Roman"/>
          <w:lang w:val="fr-CA"/>
        </w:rPr>
      </w:pPr>
      <w:r w:rsidRPr="00394CCC">
        <w:rPr>
          <w:rFonts w:cs="Times New Roman"/>
          <w:lang w:val="fr-CA"/>
        </w:rPr>
        <w:t>Le droit</w:t>
      </w:r>
    </w:p>
    <w:p w:rsidR="003F2287" w:rsidRPr="00394CCC" w:rsidRDefault="003F2287" w:rsidP="003F2287">
      <w:pPr>
        <w:pStyle w:val="ParaNoNdepar-AltN"/>
        <w:rPr>
          <w:rFonts w:cs="Times New Roman"/>
          <w:lang w:val="fr-CA"/>
        </w:rPr>
      </w:pPr>
      <w:r w:rsidRPr="00394CCC">
        <w:rPr>
          <w:rFonts w:cs="Times New Roman"/>
          <w:lang w:val="fr-CA"/>
        </w:rPr>
        <w:t xml:space="preserve">Les règles de droit régissant la formation des rapports contractuels sont empreintes d’une sagesse pratique. En effet, bon nombre d’engagements informels que prennent les gens ne donnent pas naissance à un contrat. Pensons par exemple au genre d’engagements mutuels que prennent des amis (« au cours de la nouvelle année, nous irons ensemble </w:t>
      </w:r>
      <w:proofErr w:type="gramStart"/>
      <w:r w:rsidRPr="00394CCC">
        <w:rPr>
          <w:rFonts w:cs="Times New Roman"/>
          <w:lang w:val="fr-CA"/>
        </w:rPr>
        <w:t>au</w:t>
      </w:r>
      <w:proofErr w:type="gramEnd"/>
      <w:r w:rsidRPr="00394CCC">
        <w:rPr>
          <w:rFonts w:cs="Times New Roman"/>
          <w:lang w:val="fr-CA"/>
        </w:rPr>
        <w:t xml:space="preserve"> gym trois fois par semaine ») ou des membres d’une maisonnée (« tu t’occupes de faire l’épicerie, je vais nettoyer la cuisine »).</w:t>
      </w:r>
    </w:p>
    <w:p w:rsidR="003F2287" w:rsidRPr="00394CCC" w:rsidRDefault="003F2287" w:rsidP="003F2287">
      <w:pPr>
        <w:pStyle w:val="ParaNoNdepar-AltN"/>
        <w:rPr>
          <w:rFonts w:cs="Times New Roman"/>
          <w:lang w:val="fr-CA"/>
        </w:rPr>
      </w:pPr>
      <w:r w:rsidRPr="00394CCC">
        <w:rPr>
          <w:rFonts w:cs="Times New Roman"/>
          <w:lang w:val="fr-CA"/>
        </w:rPr>
        <w:t>Si elles ne s’accompagnent pas d’autre chose, ni l’une ni l’autre de ces ententes ne créent de contrat. L’élément manquant est l’intention objective de créer des rapports juridiques. Dans aucun de ces deux exemples, les parties (du point de vue d’une personne raisonnable) n’entendent être assujetties au pouvoir des tribunaux de décider si elles ont rempli leurs engagements ou d’imposer des réparations telles que des dommages</w:t>
      </w:r>
      <w:r w:rsidRPr="00394CCC">
        <w:rPr>
          <w:rFonts w:cs="Times New Roman"/>
          <w:lang w:val="fr-CA"/>
        </w:rPr>
        <w:noBreakHyphen/>
        <w:t xml:space="preserve">intérêts ou l’exécution forcée. </w:t>
      </w:r>
    </w:p>
    <w:p w:rsidR="003F2287" w:rsidRPr="00394CCC" w:rsidRDefault="003F2287" w:rsidP="003F2287">
      <w:pPr>
        <w:pStyle w:val="ParaNoNdepar-AltN"/>
        <w:rPr>
          <w:rFonts w:cs="Times New Roman"/>
          <w:lang w:val="fr-CA"/>
        </w:rPr>
      </w:pPr>
      <w:r w:rsidRPr="00394CCC">
        <w:rPr>
          <w:rFonts w:cs="Times New Roman"/>
          <w:lang w:val="fr-CA"/>
        </w:rPr>
        <w:t>Cela ne vaut pas seulement dans le cas des rapports entre particuliers. C’est également vrai pour les personnes qui s’unissent au sein d’associations volontaires. De telles associations constituent un moyen pour des gens de poursuivre des objectifs communs. À cette fin, beaucoup d’associations de ce genre se dotent de règles, parfois même d’une constitution, d</w:t>
      </w:r>
      <w:r>
        <w:rPr>
          <w:rFonts w:cs="Times New Roman"/>
          <w:lang w:val="fr-CA"/>
        </w:rPr>
        <w:t>e</w:t>
      </w:r>
      <w:r w:rsidRPr="00394CCC">
        <w:rPr>
          <w:rFonts w:cs="Times New Roman"/>
          <w:lang w:val="fr-CA"/>
        </w:rPr>
        <w:t xml:space="preserve"> règlement</w:t>
      </w:r>
      <w:r>
        <w:rPr>
          <w:rFonts w:cs="Times New Roman"/>
          <w:lang w:val="fr-CA"/>
        </w:rPr>
        <w:t>s</w:t>
      </w:r>
      <w:r w:rsidRPr="00394CCC">
        <w:rPr>
          <w:rFonts w:cs="Times New Roman"/>
          <w:lang w:val="fr-CA"/>
        </w:rPr>
        <w:t xml:space="preserve"> intérieur</w:t>
      </w:r>
      <w:r>
        <w:rPr>
          <w:rFonts w:cs="Times New Roman"/>
          <w:lang w:val="fr-CA"/>
        </w:rPr>
        <w:t>s</w:t>
      </w:r>
      <w:r w:rsidRPr="00394CCC">
        <w:rPr>
          <w:rFonts w:cs="Times New Roman"/>
          <w:lang w:val="fr-CA"/>
        </w:rPr>
        <w:t xml:space="preserve"> ainsi que d’un organe « directeur » chargé d’adopter ces règles et de veiller à leur application. Il s’agit là de mesures pratiques destinées à faciliter la poursuite des objectifs communs. Toutefois, en soi, ces différentes mesures ne font pas naître de liens contractuels entre les personnes qui s’associent. À titre d’exemples, les membres d’une ligue locale de hockey mineur, d’un groupe constitué pour s’opposer à l’aménagement d’espaces verts ou encore d’un groupe d’étude de la Bible ne contractent pas d’obligations juridiques exécutoires du seul fait qu’ils se sont joints à un groupe doté de règles que les membres sont censés respecter.</w:t>
      </w:r>
    </w:p>
    <w:p w:rsidR="003F2287" w:rsidRPr="00394CCC" w:rsidRDefault="003F2287" w:rsidP="003F2287">
      <w:pPr>
        <w:pStyle w:val="ParaNoNdepar-AltN"/>
        <w:rPr>
          <w:rFonts w:cs="Times New Roman"/>
          <w:lang w:val="fr-CA"/>
        </w:rPr>
      </w:pPr>
      <w:r w:rsidRPr="00394CCC">
        <w:rPr>
          <w:rFonts w:cs="Times New Roman"/>
          <w:lang w:val="fr-CA"/>
        </w:rPr>
        <w:t xml:space="preserve">La sagesse pratique dont est empreinte la common law fait en sorte qu’une large part des engagements que nous prenons dans la vie de tous les jours ne </w:t>
      </w:r>
      <w:proofErr w:type="gramStart"/>
      <w:r w:rsidRPr="00394CCC">
        <w:rPr>
          <w:rFonts w:cs="Times New Roman"/>
          <w:lang w:val="fr-CA"/>
        </w:rPr>
        <w:t>donnent</w:t>
      </w:r>
      <w:proofErr w:type="gramEnd"/>
      <w:r w:rsidRPr="00394CCC">
        <w:rPr>
          <w:rFonts w:cs="Times New Roman"/>
          <w:lang w:val="fr-CA"/>
        </w:rPr>
        <w:t xml:space="preserve"> pas naissance à un contrat. En l’absence de contrat ou d’une autre forme d’obligation connue en droit</w:t>
      </w:r>
      <w:r>
        <w:rPr>
          <w:rFonts w:cs="Times New Roman"/>
          <w:lang w:val="fr-CA"/>
        </w:rPr>
        <w:t>,</w:t>
      </w:r>
      <w:r w:rsidRPr="00394CCC">
        <w:rPr>
          <w:rFonts w:cs="Times New Roman"/>
          <w:lang w:val="fr-CA"/>
        </w:rPr>
        <w:t xml:space="preserve"> il n’existe aucun droit justiciable ni aucune cause d’action.</w:t>
      </w:r>
    </w:p>
    <w:p w:rsidR="003F2287" w:rsidRPr="00394CCC" w:rsidRDefault="003F2287" w:rsidP="003F2287">
      <w:pPr>
        <w:pStyle w:val="Title2LevelTitre2Niveau"/>
        <w:rPr>
          <w:rFonts w:cs="Times New Roman"/>
          <w:lang w:val="fr-CA"/>
        </w:rPr>
      </w:pPr>
      <w:r w:rsidRPr="00394CCC">
        <w:rPr>
          <w:rFonts w:cs="Times New Roman"/>
          <w:lang w:val="fr-CA"/>
        </w:rPr>
        <w:t>Véritable question litigieuse nécessitant la tenue d’une instruction : s’il y a absence de compétence, il y a alors absence de véritable question litigieuse nécessitant la tenue d’une instruction</w:t>
      </w:r>
    </w:p>
    <w:p w:rsidR="003F2287" w:rsidRPr="00394CCC" w:rsidRDefault="003F2287" w:rsidP="003F2287">
      <w:pPr>
        <w:pStyle w:val="ParaNoNdepar-AltN"/>
        <w:rPr>
          <w:rFonts w:cs="Times New Roman"/>
          <w:lang w:val="fr-CA"/>
        </w:rPr>
      </w:pPr>
      <w:r w:rsidRPr="00394CCC">
        <w:rPr>
          <w:rFonts w:eastAsiaTheme="minorHAnsi" w:cs="Times New Roman"/>
          <w:lang w:val="fr-CA"/>
        </w:rPr>
        <w:t xml:space="preserve">Dans </w:t>
      </w:r>
      <w:r w:rsidRPr="00394CCC">
        <w:rPr>
          <w:rFonts w:eastAsiaTheme="minorHAnsi" w:cs="Times New Roman"/>
          <w:i/>
          <w:lang w:val="fr-CA"/>
        </w:rPr>
        <w:t>Hryniak c. Mauldin</w:t>
      </w:r>
      <w:r w:rsidRPr="00394CCC">
        <w:rPr>
          <w:rFonts w:eastAsiaTheme="minorHAnsi" w:cs="Times New Roman"/>
          <w:lang w:val="fr-CA"/>
        </w:rPr>
        <w:t xml:space="preserve">, 2014 CSC 7, [2014] 1 R.C.S. 87, notre Cour a expliqué qu’il n’existe pas de véritable question litigieuse nécessitant la tenue d’une instruction aux termes de l’al. 20.04(2)a) des </w:t>
      </w:r>
      <w:r w:rsidRPr="00394CCC">
        <w:rPr>
          <w:rFonts w:eastAsiaTheme="minorHAnsi" w:cs="Times New Roman"/>
          <w:i/>
          <w:iCs/>
          <w:lang w:val="fr-CA"/>
        </w:rPr>
        <w:t>Règles de procédure civile</w:t>
      </w:r>
      <w:r w:rsidRPr="00394CCC">
        <w:rPr>
          <w:rFonts w:eastAsiaTheme="minorHAnsi" w:cs="Times New Roman"/>
          <w:lang w:val="fr-CA"/>
        </w:rPr>
        <w:t xml:space="preserve"> de l’Ontario « </w:t>
      </w:r>
      <w:r w:rsidRPr="00394CCC">
        <w:rPr>
          <w:rFonts w:cs="Times New Roman"/>
          <w:lang w:val="fr-CA"/>
        </w:rPr>
        <w:t>lorsque le juge est en mesure de statuer justement et équitablement au fond sur une [motion] en jugement sommaire. Ce sera le cas lorsque la procédure de jugement sommaire (1) permet au juge de tirer les conclusions de fait nécessaires, (2) lui permet d’appliquer les règles de droit aux faits et (3) constitue un moyen proportionné, plus expéditif et moins coûteux d’arriver à un résultat juste » : par. 49. Bien qu’il incombe à la partie qui présente la motion d’établir l’existence ou l’inexistence d’une véritable question litigieuse nécessitant la tenue d’une instruction, « [c]</w:t>
      </w:r>
      <w:proofErr w:type="spellStart"/>
      <w:r w:rsidRPr="00394CCC">
        <w:rPr>
          <w:rFonts w:cs="Times New Roman"/>
          <w:lang w:val="fr-CA"/>
        </w:rPr>
        <w:t>haque</w:t>
      </w:r>
      <w:proofErr w:type="spellEnd"/>
      <w:r w:rsidRPr="00394CCC">
        <w:rPr>
          <w:rFonts w:cs="Times New Roman"/>
          <w:lang w:val="fr-CA"/>
        </w:rPr>
        <w:t xml:space="preserve"> partie doit [</w:t>
      </w:r>
      <w:r w:rsidRPr="00394CCC">
        <w:rPr>
          <w:rFonts w:cs="Times New Roman"/>
          <w:smallCaps/>
          <w:lang w:val="fr-CA"/>
        </w:rPr>
        <w:t>traduction</w:t>
      </w:r>
      <w:r w:rsidRPr="00394CCC">
        <w:rPr>
          <w:rFonts w:cs="Times New Roman"/>
          <w:lang w:val="fr-CA"/>
        </w:rPr>
        <w:t xml:space="preserve">] </w:t>
      </w:r>
      <w:r w:rsidRPr="00394CCC">
        <w:rPr>
          <w:rFonts w:cs="Times New Roman"/>
          <w:iCs/>
          <w:lang w:val="fr-CA"/>
        </w:rPr>
        <w:t>“</w:t>
      </w:r>
      <w:r w:rsidRPr="00394CCC">
        <w:rPr>
          <w:rFonts w:cs="Times New Roman"/>
          <w:lang w:val="fr-CA"/>
        </w:rPr>
        <w:t>présenter ses meilleurs arguments</w:t>
      </w:r>
      <w:r w:rsidRPr="00394CCC">
        <w:rPr>
          <w:rFonts w:cs="Times New Roman"/>
          <w:iCs/>
          <w:lang w:val="fr-CA"/>
        </w:rPr>
        <w:t>”</w:t>
      </w:r>
      <w:r w:rsidRPr="00394CCC">
        <w:rPr>
          <w:rFonts w:cs="Times New Roman"/>
          <w:lang w:val="fr-CA"/>
        </w:rPr>
        <w:t xml:space="preserve"> en ce qui concerne l’existence ou la non</w:t>
      </w:r>
      <w:r w:rsidRPr="00394CCC">
        <w:rPr>
          <w:rFonts w:cs="Times New Roman"/>
          <w:lang w:val="fr-CA"/>
        </w:rPr>
        <w:noBreakHyphen/>
        <w:t xml:space="preserve">existence de questions importantes à débattre » : </w:t>
      </w:r>
      <w:r w:rsidRPr="00394CCC">
        <w:rPr>
          <w:rFonts w:cs="Times New Roman"/>
          <w:i/>
          <w:lang w:val="fr-CA"/>
        </w:rPr>
        <w:t xml:space="preserve">Canada (Procureur général) c. </w:t>
      </w:r>
      <w:proofErr w:type="spellStart"/>
      <w:r w:rsidRPr="00394CCC">
        <w:rPr>
          <w:rFonts w:cs="Times New Roman"/>
          <w:i/>
          <w:lang w:val="fr-CA"/>
        </w:rPr>
        <w:t>Lameman</w:t>
      </w:r>
      <w:proofErr w:type="spellEnd"/>
      <w:r w:rsidRPr="00394CCC">
        <w:rPr>
          <w:rFonts w:cs="Times New Roman"/>
          <w:lang w:val="fr-CA"/>
        </w:rPr>
        <w:t>,</w:t>
      </w:r>
      <w:r w:rsidRPr="00394CCC">
        <w:rPr>
          <w:rFonts w:cs="Times New Roman"/>
          <w:i/>
          <w:lang w:val="fr-CA"/>
        </w:rPr>
        <w:t xml:space="preserve"> </w:t>
      </w:r>
      <w:r w:rsidRPr="00394CCC">
        <w:rPr>
          <w:rFonts w:cs="Times New Roman"/>
          <w:lang w:val="fr-CA"/>
        </w:rPr>
        <w:t xml:space="preserve">2008 CSC 14, [2008] 1 R.C.S. 372, par. 11, citant </w:t>
      </w:r>
      <w:proofErr w:type="spellStart"/>
      <w:r w:rsidRPr="00394CCC">
        <w:rPr>
          <w:rFonts w:cs="Times New Roman"/>
          <w:i/>
          <w:iCs/>
          <w:szCs w:val="24"/>
          <w:shd w:val="clear" w:color="auto" w:fill="FFFFFF"/>
          <w:lang w:val="fr-CA"/>
        </w:rPr>
        <w:t>Transamerica</w:t>
      </w:r>
      <w:proofErr w:type="spellEnd"/>
      <w:r w:rsidRPr="00394CCC">
        <w:rPr>
          <w:rFonts w:cs="Times New Roman"/>
          <w:i/>
          <w:iCs/>
          <w:szCs w:val="24"/>
          <w:shd w:val="clear" w:color="auto" w:fill="FFFFFF"/>
          <w:lang w:val="fr-CA"/>
        </w:rPr>
        <w:t xml:space="preserve"> Life </w:t>
      </w:r>
      <w:proofErr w:type="spellStart"/>
      <w:r w:rsidRPr="00394CCC">
        <w:rPr>
          <w:rFonts w:cs="Times New Roman"/>
          <w:i/>
          <w:iCs/>
          <w:szCs w:val="24"/>
          <w:shd w:val="clear" w:color="auto" w:fill="FFFFFF"/>
          <w:lang w:val="fr-CA"/>
        </w:rPr>
        <w:t>Insurance</w:t>
      </w:r>
      <w:proofErr w:type="spellEnd"/>
      <w:r w:rsidRPr="00394CCC">
        <w:rPr>
          <w:rFonts w:cs="Times New Roman"/>
          <w:i/>
          <w:iCs/>
          <w:szCs w:val="24"/>
          <w:shd w:val="clear" w:color="auto" w:fill="FFFFFF"/>
          <w:lang w:val="fr-CA"/>
        </w:rPr>
        <w:t xml:space="preserve"> Co. of Canada c. Canada Life Assurance Co. </w:t>
      </w:r>
      <w:r w:rsidRPr="00394CCC">
        <w:rPr>
          <w:rStyle w:val="reflex3-block"/>
          <w:rFonts w:cs="Times New Roman"/>
          <w:szCs w:val="24"/>
          <w:shd w:val="clear" w:color="auto" w:fill="FFFFFF"/>
          <w:lang w:val="fr-CA"/>
        </w:rPr>
        <w:t xml:space="preserve">(1996), </w:t>
      </w:r>
      <w:r w:rsidRPr="00394CCC">
        <w:rPr>
          <w:rStyle w:val="reflex3-alt"/>
          <w:rFonts w:cs="Times New Roman"/>
          <w:szCs w:val="24"/>
          <w:shd w:val="clear" w:color="auto" w:fill="FFFFFF"/>
          <w:lang w:val="fr-CA"/>
        </w:rPr>
        <w:t xml:space="preserve">28 O.R. (3d) 423 (C.J. (Div. </w:t>
      </w:r>
      <w:proofErr w:type="spellStart"/>
      <w:r w:rsidRPr="00394CCC">
        <w:rPr>
          <w:rStyle w:val="reflex3-alt"/>
          <w:rFonts w:cs="Times New Roman"/>
          <w:szCs w:val="24"/>
          <w:shd w:val="clear" w:color="auto" w:fill="FFFFFF"/>
          <w:lang w:val="fr-CA"/>
        </w:rPr>
        <w:t>gén</w:t>
      </w:r>
      <w:proofErr w:type="spellEnd"/>
      <w:r w:rsidRPr="00394CCC">
        <w:rPr>
          <w:rStyle w:val="reflex3-alt"/>
          <w:rFonts w:cs="Times New Roman"/>
          <w:szCs w:val="24"/>
          <w:shd w:val="clear" w:color="auto" w:fill="FFFFFF"/>
          <w:lang w:val="fr-CA"/>
        </w:rPr>
        <w:t>.))</w:t>
      </w:r>
      <w:r w:rsidRPr="00394CCC">
        <w:rPr>
          <w:rStyle w:val="reflex3-block"/>
          <w:rFonts w:cs="Times New Roman"/>
          <w:szCs w:val="24"/>
          <w:shd w:val="clear" w:color="auto" w:fill="FFFFFF"/>
          <w:lang w:val="fr-CA"/>
        </w:rPr>
        <w:t>, p. 434</w:t>
      </w:r>
      <w:r w:rsidRPr="00394CCC">
        <w:rPr>
          <w:rFonts w:cs="Times New Roman"/>
          <w:szCs w:val="24"/>
          <w:shd w:val="clear" w:color="auto" w:fill="FFFFFF"/>
          <w:lang w:val="fr-CA"/>
        </w:rPr>
        <w:t>, conf. par [1997] O.J. No. 3754 (</w:t>
      </w:r>
      <w:proofErr w:type="spellStart"/>
      <w:r w:rsidRPr="00394CCC">
        <w:rPr>
          <w:rFonts w:cs="Times New Roman"/>
          <w:szCs w:val="24"/>
          <w:shd w:val="clear" w:color="auto" w:fill="FFFFFF"/>
          <w:lang w:val="fr-CA"/>
        </w:rPr>
        <w:t>QL</w:t>
      </w:r>
      <w:proofErr w:type="spellEnd"/>
      <w:r w:rsidRPr="00394CCC">
        <w:rPr>
          <w:rFonts w:cs="Times New Roman"/>
          <w:szCs w:val="24"/>
          <w:shd w:val="clear" w:color="auto" w:fill="FFFFFF"/>
          <w:lang w:val="fr-CA"/>
        </w:rPr>
        <w:t xml:space="preserve">) (C.A.), et </w:t>
      </w:r>
      <w:proofErr w:type="spellStart"/>
      <w:r w:rsidRPr="00394CCC">
        <w:rPr>
          <w:rFonts w:cs="Times New Roman"/>
          <w:i/>
          <w:szCs w:val="24"/>
          <w:shd w:val="clear" w:color="auto" w:fill="FFFFFF"/>
          <w:lang w:val="fr-CA"/>
        </w:rPr>
        <w:t>Goudie</w:t>
      </w:r>
      <w:proofErr w:type="spellEnd"/>
      <w:r w:rsidRPr="00394CCC">
        <w:rPr>
          <w:rFonts w:cs="Times New Roman"/>
          <w:i/>
          <w:szCs w:val="24"/>
          <w:shd w:val="clear" w:color="auto" w:fill="FFFFFF"/>
          <w:lang w:val="fr-CA"/>
        </w:rPr>
        <w:t xml:space="preserve"> c. Ottawa (Ville)</w:t>
      </w:r>
      <w:r w:rsidRPr="00394CCC">
        <w:rPr>
          <w:rFonts w:cs="Times New Roman"/>
          <w:szCs w:val="24"/>
          <w:shd w:val="clear" w:color="auto" w:fill="FFFFFF"/>
          <w:lang w:val="fr-CA"/>
        </w:rPr>
        <w:t>, 2003 CSC 14, [2003] 1 R.C.S. 141, par. 32.</w:t>
      </w:r>
    </w:p>
    <w:p w:rsidR="003F2287" w:rsidRPr="00394CCC" w:rsidRDefault="003F2287" w:rsidP="003F2287">
      <w:pPr>
        <w:pStyle w:val="ParaNoNdepar-AltN"/>
        <w:tabs>
          <w:tab w:val="clear" w:pos="1166"/>
          <w:tab w:val="num" w:pos="1152"/>
        </w:tabs>
        <w:rPr>
          <w:rFonts w:cs="Times New Roman"/>
          <w:lang w:val="fr-CA"/>
        </w:rPr>
      </w:pPr>
      <w:r w:rsidRPr="00394CCC">
        <w:rPr>
          <w:rFonts w:cs="Times New Roman"/>
          <w:lang w:val="fr-CA"/>
        </w:rPr>
        <w:t>La position des appelants à l’égard de la motion en jugement sommaire est que le tribunal n’avait pas compétence pour contrôler ou annuler la décision d’exclure les intimés</w:t>
      </w:r>
      <w:r w:rsidRPr="00394CCC">
        <w:rPr>
          <w:rFonts w:cs="Times New Roman"/>
          <w:szCs w:val="24"/>
          <w:shd w:val="clear" w:color="auto" w:fill="FFFFFF"/>
          <w:lang w:val="fr-CA"/>
        </w:rPr>
        <w:t>. Il va de soi que, si le tribunal n’a pas compétence, il n’y a pas de véritable question litigieuse nécessitant la tenue d’une instruction. Bien que ce soit les appelants, en tant qu’auteurs de la motion, qui avaient l’obligation de prouver l’absence de compétence et ainsi l’absence de véritable question litigieuse nécessitant la tenue d’une instruction, les intimés étaient pour leur part tenus de « présenter [leurs] meilleurs arguments » et de produire la meilleure preuve possible afin d’établir les assises de la compétence du tribunal, et, par extension, l’existence d’une véritable question litigieuse nécessitant la tenue d’une instruction.</w:t>
      </w:r>
    </w:p>
    <w:p w:rsidR="003F2287" w:rsidRPr="00394CCC" w:rsidRDefault="003F2287" w:rsidP="003F2287">
      <w:pPr>
        <w:pStyle w:val="Title2LevelTitre2Niveau"/>
        <w:rPr>
          <w:rFonts w:cs="Times New Roman"/>
          <w:lang w:val="fr-CA"/>
        </w:rPr>
      </w:pPr>
      <w:r w:rsidRPr="00394CCC">
        <w:rPr>
          <w:rFonts w:cs="Times New Roman"/>
          <w:lang w:val="fr-CA"/>
        </w:rPr>
        <w:t>Compétence : s’il y a absence de contrat ou d’un autre droit légal, il y a alors absence de compétence</w:t>
      </w:r>
    </w:p>
    <w:p w:rsidR="003F2287" w:rsidRPr="00394CCC" w:rsidRDefault="003F2287" w:rsidP="003F2287">
      <w:pPr>
        <w:pStyle w:val="ParaNoNdepar-AltN"/>
        <w:tabs>
          <w:tab w:val="clear" w:pos="1166"/>
          <w:tab w:val="num" w:pos="1152"/>
        </w:tabs>
        <w:rPr>
          <w:rFonts w:cs="Times New Roman"/>
          <w:lang w:val="fr-CA"/>
        </w:rPr>
      </w:pPr>
      <w:r w:rsidRPr="00394CCC">
        <w:rPr>
          <w:rFonts w:cs="Times New Roman"/>
          <w:lang w:val="fr-CA"/>
        </w:rPr>
        <w:t xml:space="preserve">Les tribunaux n’ont compétence pour intervenir relativement aux décisions prises par des associations volontaires que dans les cas où un droit légal est touché. Cette proposition n’est pas nouvelle. Dans </w:t>
      </w:r>
      <w:proofErr w:type="spellStart"/>
      <w:r w:rsidRPr="00394CCC">
        <w:rPr>
          <w:rFonts w:cs="Times New Roman"/>
          <w:i/>
          <w:lang w:val="fr-CA"/>
        </w:rPr>
        <w:t>Dunnet</w:t>
      </w:r>
      <w:proofErr w:type="spellEnd"/>
      <w:r w:rsidRPr="00394CCC">
        <w:rPr>
          <w:rFonts w:cs="Times New Roman"/>
          <w:i/>
          <w:lang w:val="fr-CA"/>
        </w:rPr>
        <w:t xml:space="preserve"> c. </w:t>
      </w:r>
      <w:proofErr w:type="spellStart"/>
      <w:r w:rsidRPr="00394CCC">
        <w:rPr>
          <w:rFonts w:cs="Times New Roman"/>
          <w:i/>
          <w:lang w:val="fr-CA"/>
        </w:rPr>
        <w:t>Forneri</w:t>
      </w:r>
      <w:proofErr w:type="spellEnd"/>
      <w:r w:rsidRPr="00394CCC">
        <w:rPr>
          <w:rFonts w:cs="Times New Roman"/>
          <w:lang w:val="fr-CA"/>
        </w:rPr>
        <w:t xml:space="preserve"> (1877), </w:t>
      </w:r>
      <w:r w:rsidRPr="00394CCC">
        <w:rPr>
          <w:rFonts w:cs="Times New Roman"/>
          <w:lang w:val="fr-CA" w:bidi="en-US"/>
        </w:rPr>
        <w:t>25 Gr. 199, la Cour de la chancellerie de l’Ontario a conclu que les organisations religieuses sont [</w:t>
      </w:r>
      <w:r w:rsidRPr="00394CCC">
        <w:rPr>
          <w:rFonts w:cs="Times New Roman"/>
          <w:smallCaps/>
          <w:lang w:val="fr-CA" w:bidi="en-US"/>
        </w:rPr>
        <w:t>traduction</w:t>
      </w:r>
      <w:r w:rsidRPr="00394CCC">
        <w:rPr>
          <w:rFonts w:cs="Times New Roman"/>
          <w:lang w:val="fr-CA" w:bidi="en-US"/>
        </w:rPr>
        <w:t>] « considérées comme des associations volontaires; le droit reconnaît l’existence de ces organisations et protège la jouissance par celles</w:t>
      </w:r>
      <w:r w:rsidRPr="00394CCC">
        <w:rPr>
          <w:rFonts w:cs="Times New Roman"/>
          <w:lang w:val="fr-CA" w:bidi="en-US"/>
        </w:rPr>
        <w:noBreakHyphen/>
        <w:t xml:space="preserve">ci de leurs biens, mais, </w:t>
      </w:r>
      <w:r w:rsidRPr="00394CCC">
        <w:rPr>
          <w:rFonts w:cs="Times New Roman"/>
          <w:u w:val="single"/>
          <w:lang w:val="fr-CA" w:bidi="en-US"/>
        </w:rPr>
        <w:t>à moins que des droits civils ne soient en jeu, il n’intervient pas dans leur fonctionnement</w:t>
      </w:r>
      <w:r w:rsidRPr="00394CCC">
        <w:rPr>
          <w:rFonts w:cs="Times New Roman"/>
          <w:lang w:val="fr-CA" w:bidi="en-US"/>
        </w:rPr>
        <w:t xml:space="preserve"> » : p. 206 (je souligne). Dans </w:t>
      </w:r>
      <w:proofErr w:type="spellStart"/>
      <w:r w:rsidRPr="00394CCC">
        <w:rPr>
          <w:rFonts w:cs="Times New Roman"/>
          <w:bCs/>
          <w:i/>
          <w:lang w:val="fr-CA" w:bidi="en-US"/>
        </w:rPr>
        <w:t>Ukrainian</w:t>
      </w:r>
      <w:proofErr w:type="spellEnd"/>
      <w:r w:rsidRPr="00394CCC">
        <w:rPr>
          <w:rFonts w:cs="Times New Roman"/>
          <w:bCs/>
          <w:i/>
          <w:lang w:val="fr-CA" w:bidi="en-US"/>
        </w:rPr>
        <w:t xml:space="preserve"> Greek </w:t>
      </w:r>
      <w:proofErr w:type="spellStart"/>
      <w:r w:rsidRPr="00394CCC">
        <w:rPr>
          <w:rFonts w:cs="Times New Roman"/>
          <w:bCs/>
          <w:i/>
          <w:lang w:val="fr-CA" w:bidi="en-US"/>
        </w:rPr>
        <w:t>Orthodox</w:t>
      </w:r>
      <w:proofErr w:type="spellEnd"/>
      <w:r w:rsidRPr="00394CCC">
        <w:rPr>
          <w:rFonts w:cs="Times New Roman"/>
          <w:bCs/>
          <w:i/>
          <w:lang w:val="fr-CA" w:bidi="en-US"/>
        </w:rPr>
        <w:t xml:space="preserve"> Church of Canada c. Trustees of the </w:t>
      </w:r>
      <w:proofErr w:type="spellStart"/>
      <w:r w:rsidRPr="00394CCC">
        <w:rPr>
          <w:rFonts w:cs="Times New Roman"/>
          <w:bCs/>
          <w:i/>
          <w:lang w:val="fr-CA" w:bidi="en-US"/>
        </w:rPr>
        <w:t>Ukrainian</w:t>
      </w:r>
      <w:proofErr w:type="spellEnd"/>
      <w:r w:rsidRPr="00394CCC">
        <w:rPr>
          <w:rFonts w:cs="Times New Roman"/>
          <w:bCs/>
          <w:i/>
          <w:lang w:val="fr-CA" w:bidi="en-US"/>
        </w:rPr>
        <w:t xml:space="preserve"> Greek </w:t>
      </w:r>
      <w:proofErr w:type="spellStart"/>
      <w:r w:rsidRPr="00394CCC">
        <w:rPr>
          <w:rFonts w:cs="Times New Roman"/>
          <w:bCs/>
          <w:i/>
          <w:lang w:val="fr-CA" w:bidi="en-US"/>
        </w:rPr>
        <w:t>Orthodox</w:t>
      </w:r>
      <w:proofErr w:type="spellEnd"/>
      <w:r w:rsidRPr="00394CCC">
        <w:rPr>
          <w:rFonts w:cs="Times New Roman"/>
          <w:bCs/>
          <w:i/>
          <w:lang w:val="fr-CA" w:bidi="en-US"/>
        </w:rPr>
        <w:t xml:space="preserve"> </w:t>
      </w:r>
      <w:proofErr w:type="spellStart"/>
      <w:r w:rsidRPr="00394CCC">
        <w:rPr>
          <w:rFonts w:cs="Times New Roman"/>
          <w:bCs/>
          <w:i/>
          <w:lang w:val="fr-CA" w:bidi="en-US"/>
        </w:rPr>
        <w:t>Cathedral</w:t>
      </w:r>
      <w:proofErr w:type="spellEnd"/>
      <w:r w:rsidRPr="00394CCC">
        <w:rPr>
          <w:rFonts w:cs="Times New Roman"/>
          <w:bCs/>
          <w:i/>
          <w:lang w:val="fr-CA" w:bidi="en-US"/>
        </w:rPr>
        <w:t xml:space="preserve"> of St. Mary the </w:t>
      </w:r>
      <w:proofErr w:type="spellStart"/>
      <w:r w:rsidRPr="00394CCC">
        <w:rPr>
          <w:rFonts w:cs="Times New Roman"/>
          <w:bCs/>
          <w:i/>
          <w:lang w:val="fr-CA" w:bidi="en-US"/>
        </w:rPr>
        <w:t>Protectress</w:t>
      </w:r>
      <w:proofErr w:type="spellEnd"/>
      <w:r w:rsidRPr="00394CCC">
        <w:rPr>
          <w:rFonts w:cs="Times New Roman"/>
          <w:bCs/>
          <w:lang w:val="fr-CA" w:bidi="en-US"/>
        </w:rPr>
        <w:t xml:space="preserve">, [1940] </w:t>
      </w:r>
      <w:proofErr w:type="spellStart"/>
      <w:r w:rsidRPr="00394CCC">
        <w:rPr>
          <w:rFonts w:cs="Times New Roman"/>
          <w:bCs/>
          <w:lang w:val="fr-CA" w:bidi="en-US"/>
        </w:rPr>
        <w:t>R.C.S</w:t>
      </w:r>
      <w:proofErr w:type="spellEnd"/>
      <w:r w:rsidRPr="00394CCC">
        <w:rPr>
          <w:rFonts w:cs="Times New Roman"/>
          <w:bCs/>
          <w:lang w:val="fr-CA" w:bidi="en-US"/>
        </w:rPr>
        <w:t xml:space="preserve">. 586, p. 591, le juge </w:t>
      </w:r>
      <w:proofErr w:type="spellStart"/>
      <w:r w:rsidRPr="00394CCC">
        <w:rPr>
          <w:rFonts w:cs="Times New Roman"/>
          <w:bCs/>
          <w:lang w:val="fr-CA" w:bidi="en-US"/>
        </w:rPr>
        <w:t>Crocket</w:t>
      </w:r>
      <w:proofErr w:type="spellEnd"/>
      <w:r w:rsidRPr="00394CCC">
        <w:rPr>
          <w:rFonts w:cs="Times New Roman"/>
          <w:bCs/>
          <w:lang w:val="fr-CA" w:bidi="en-US"/>
        </w:rPr>
        <w:t xml:space="preserve"> a écrit que, [</w:t>
      </w:r>
      <w:r w:rsidRPr="00394CCC">
        <w:rPr>
          <w:rFonts w:cs="Times New Roman"/>
          <w:smallCaps/>
          <w:lang w:val="fr-CA" w:bidi="en-US"/>
        </w:rPr>
        <w:t>traduction</w:t>
      </w:r>
      <w:r w:rsidRPr="00394CCC">
        <w:rPr>
          <w:rFonts w:cs="Times New Roman"/>
          <w:bCs/>
          <w:lang w:val="fr-CA" w:bidi="en-US"/>
        </w:rPr>
        <w:t xml:space="preserve">] « sauf dans les cas où un droit de propriété ou un droit civil est touché par une telle mesure, les tribunaux civils de notre pays ne permettront pas qu’on s’adresse à eux pour obtenir l’exécution d’un décret ou d’une ordonnance purement ecclésiastique ». Ce principe a été réitéré dans l’arrêt </w:t>
      </w:r>
      <w:proofErr w:type="spellStart"/>
      <w:r w:rsidRPr="00394CCC">
        <w:rPr>
          <w:rFonts w:cs="Times New Roman"/>
          <w:bCs/>
          <w:i/>
          <w:lang w:val="fr-CA" w:bidi="en-US"/>
        </w:rPr>
        <w:t>Lakeside</w:t>
      </w:r>
      <w:proofErr w:type="spellEnd"/>
      <w:r w:rsidRPr="00394CCC">
        <w:rPr>
          <w:rFonts w:cs="Times New Roman"/>
          <w:bCs/>
          <w:i/>
          <w:lang w:val="fr-CA" w:bidi="en-US"/>
        </w:rPr>
        <w:t xml:space="preserve"> </w:t>
      </w:r>
      <w:proofErr w:type="spellStart"/>
      <w:r w:rsidRPr="00394CCC">
        <w:rPr>
          <w:rFonts w:cs="Times New Roman"/>
          <w:bCs/>
          <w:i/>
          <w:lang w:val="fr-CA" w:bidi="en-US"/>
        </w:rPr>
        <w:t>Colony</w:t>
      </w:r>
      <w:proofErr w:type="spellEnd"/>
      <w:r w:rsidRPr="00394CCC">
        <w:rPr>
          <w:rFonts w:cs="Times New Roman"/>
          <w:bCs/>
          <w:i/>
          <w:lang w:val="fr-CA" w:bidi="en-US"/>
        </w:rPr>
        <w:t xml:space="preserve"> of </w:t>
      </w:r>
      <w:proofErr w:type="spellStart"/>
      <w:r w:rsidRPr="00394CCC">
        <w:rPr>
          <w:rFonts w:cs="Times New Roman"/>
          <w:bCs/>
          <w:i/>
          <w:lang w:val="fr-CA" w:bidi="en-US"/>
        </w:rPr>
        <w:t>Hutterian</w:t>
      </w:r>
      <w:proofErr w:type="spellEnd"/>
      <w:r w:rsidRPr="00394CCC">
        <w:rPr>
          <w:rFonts w:cs="Times New Roman"/>
          <w:bCs/>
          <w:i/>
          <w:lang w:val="fr-CA" w:bidi="en-US"/>
        </w:rPr>
        <w:t xml:space="preserve"> </w:t>
      </w:r>
      <w:proofErr w:type="spellStart"/>
      <w:r w:rsidRPr="00394CCC">
        <w:rPr>
          <w:rFonts w:cs="Times New Roman"/>
          <w:bCs/>
          <w:i/>
          <w:lang w:val="fr-CA" w:bidi="en-US"/>
        </w:rPr>
        <w:t>Brethren</w:t>
      </w:r>
      <w:proofErr w:type="spellEnd"/>
      <w:r w:rsidRPr="00394CCC">
        <w:rPr>
          <w:rFonts w:cs="Times New Roman"/>
          <w:bCs/>
          <w:i/>
          <w:lang w:val="fr-CA" w:bidi="en-US"/>
        </w:rPr>
        <w:t xml:space="preserve"> </w:t>
      </w:r>
      <w:r w:rsidRPr="00394CCC">
        <w:rPr>
          <w:rFonts w:cs="Times New Roman"/>
          <w:bCs/>
          <w:i/>
          <w:iCs/>
          <w:lang w:val="fr-CA" w:bidi="en-US"/>
        </w:rPr>
        <w:t>c</w:t>
      </w:r>
      <w:r w:rsidRPr="00394CCC">
        <w:rPr>
          <w:rFonts w:cs="Times New Roman"/>
          <w:bCs/>
          <w:i/>
          <w:lang w:val="fr-CA" w:bidi="en-US"/>
        </w:rPr>
        <w:t>. Hofer</w:t>
      </w:r>
      <w:r w:rsidRPr="00394CCC">
        <w:rPr>
          <w:rFonts w:cs="Times New Roman"/>
          <w:bCs/>
          <w:lang w:val="fr-CA" w:bidi="en-US"/>
        </w:rPr>
        <w:t xml:space="preserve">, [1992] 3 R.C.S. 165, p. 174, et plus récemment encore, dans l’affaire </w:t>
      </w:r>
      <w:r w:rsidRPr="00394CCC">
        <w:rPr>
          <w:rFonts w:cs="Times New Roman"/>
          <w:bCs/>
          <w:i/>
          <w:lang w:val="fr-CA" w:bidi="en-US"/>
        </w:rPr>
        <w:t>Wall</w:t>
      </w:r>
      <w:r w:rsidRPr="00394CCC">
        <w:rPr>
          <w:rFonts w:cs="Times New Roman"/>
          <w:bCs/>
          <w:lang w:val="fr-CA" w:bidi="en-US"/>
        </w:rPr>
        <w:t>, par. 24, où la Cour a conclu que, « [p]</w:t>
      </w:r>
      <w:proofErr w:type="spellStart"/>
      <w:r w:rsidRPr="00394CCC">
        <w:rPr>
          <w:rFonts w:cs="Times New Roman"/>
          <w:bCs/>
          <w:lang w:val="fr-CA" w:bidi="en-US"/>
        </w:rPr>
        <w:t>our</w:t>
      </w:r>
      <w:proofErr w:type="spellEnd"/>
      <w:r w:rsidRPr="00394CCC">
        <w:rPr>
          <w:rFonts w:cs="Times New Roman"/>
          <w:bCs/>
          <w:lang w:val="fr-CA" w:bidi="en-US"/>
        </w:rPr>
        <w:t xml:space="preserve"> [que les tribunaux] aient compétence, il doit exister un droit légal qu’une partie cherche à faire valoir ». </w:t>
      </w:r>
    </w:p>
    <w:p w:rsidR="003F2287" w:rsidRPr="00394CCC" w:rsidRDefault="003F2287" w:rsidP="003F2287">
      <w:pPr>
        <w:pStyle w:val="ParaNoNdepar-AltN"/>
        <w:tabs>
          <w:tab w:val="clear" w:pos="1166"/>
          <w:tab w:val="num" w:pos="1152"/>
        </w:tabs>
        <w:rPr>
          <w:rFonts w:cs="Times New Roman"/>
          <w:lang w:val="fr-CA"/>
        </w:rPr>
      </w:pPr>
      <w:r w:rsidRPr="00394CCC">
        <w:rPr>
          <w:rFonts w:cs="Times New Roman"/>
          <w:lang w:val="fr-CA"/>
        </w:rPr>
        <w:t>Ainsi, bien que les questions purement théologiques ne soient pas justiciables (</w:t>
      </w:r>
      <w:r w:rsidRPr="00394CCC">
        <w:rPr>
          <w:rFonts w:cs="Times New Roman"/>
          <w:i/>
          <w:iCs/>
          <w:lang w:val="fr-CA"/>
        </w:rPr>
        <w:t>Wall</w:t>
      </w:r>
      <w:r w:rsidRPr="00394CCC">
        <w:rPr>
          <w:rFonts w:cs="Times New Roman"/>
          <w:lang w:val="fr-CA"/>
        </w:rPr>
        <w:t xml:space="preserve">, par. 12 et 36), dans les cas où un droit légal est en litige, il est possible que les tribunaux doivent examiner des questions comportant un aspect religieux afin de statuer à l’égard du droit en question. Comme l’a expliqué notre Cour dans </w:t>
      </w:r>
      <w:proofErr w:type="spellStart"/>
      <w:r w:rsidRPr="00394CCC">
        <w:rPr>
          <w:rFonts w:cs="Times New Roman"/>
          <w:i/>
          <w:lang w:val="fr-CA" w:bidi="en-US"/>
        </w:rPr>
        <w:t>Bruker</w:t>
      </w:r>
      <w:proofErr w:type="spellEnd"/>
      <w:r w:rsidRPr="00394CCC">
        <w:rPr>
          <w:rFonts w:cs="Times New Roman"/>
          <w:i/>
          <w:lang w:val="fr-CA" w:bidi="en-US"/>
        </w:rPr>
        <w:t xml:space="preserve"> c</w:t>
      </w:r>
      <w:r w:rsidRPr="00394CCC">
        <w:rPr>
          <w:rFonts w:cs="Times New Roman"/>
          <w:i/>
          <w:iCs/>
          <w:lang w:val="fr-CA" w:bidi="en-US"/>
        </w:rPr>
        <w:t>.</w:t>
      </w:r>
      <w:r w:rsidRPr="00394CCC">
        <w:rPr>
          <w:rFonts w:cs="Times New Roman"/>
          <w:i/>
          <w:lang w:val="fr-CA" w:bidi="en-US"/>
        </w:rPr>
        <w:t xml:space="preserve"> </w:t>
      </w:r>
      <w:proofErr w:type="spellStart"/>
      <w:r w:rsidRPr="00394CCC">
        <w:rPr>
          <w:rFonts w:cs="Times New Roman"/>
          <w:i/>
          <w:lang w:val="fr-CA" w:bidi="en-US"/>
        </w:rPr>
        <w:t>Marcovitz</w:t>
      </w:r>
      <w:proofErr w:type="spellEnd"/>
      <w:r w:rsidRPr="00394CCC">
        <w:rPr>
          <w:rFonts w:cs="Times New Roman"/>
          <w:lang w:val="fr-CA" w:bidi="en-US"/>
        </w:rPr>
        <w:t>, 2007 CSC 54</w:t>
      </w:r>
      <w:r w:rsidRPr="00394CCC">
        <w:rPr>
          <w:rFonts w:cs="Times New Roman"/>
          <w:lang w:val="fr-CA"/>
        </w:rPr>
        <w:t xml:space="preserve">, </w:t>
      </w:r>
      <w:r w:rsidRPr="00394CCC">
        <w:rPr>
          <w:rFonts w:cs="Times New Roman"/>
          <w:lang w:val="fr-CA" w:bidi="en-US"/>
        </w:rPr>
        <w:t xml:space="preserve">[2007] 3 R.C.S. 607, </w:t>
      </w:r>
      <w:r w:rsidRPr="00394CCC">
        <w:rPr>
          <w:rFonts w:cs="Times New Roman"/>
          <w:lang w:val="fr-CA"/>
        </w:rPr>
        <w:t>par. </w:t>
      </w:r>
      <w:r w:rsidRPr="00394CCC">
        <w:rPr>
          <w:rFonts w:cs="Times New Roman"/>
          <w:szCs w:val="24"/>
          <w:lang w:val="fr-CA"/>
        </w:rPr>
        <w:t>41, « [l]e fait qu’un litige comporte un aspect religieux ne le rend pas nécessairement non justiciable ». Plutôt, comme a eu raison de conclure le juge de première instance dans cette affaire</w:t>
      </w:r>
      <w:r w:rsidRPr="00394CCC">
        <w:rPr>
          <w:rFonts w:cs="Times New Roman"/>
          <w:szCs w:val="24"/>
          <w:lang w:val="fr-CA"/>
        </w:rPr>
        <w:noBreakHyphen/>
        <w:t>là, « la réclamation en dommages</w:t>
      </w:r>
      <w:r w:rsidRPr="00394CCC">
        <w:rPr>
          <w:rFonts w:cs="Times New Roman"/>
          <w:szCs w:val="24"/>
          <w:lang w:val="fr-CA"/>
        </w:rPr>
        <w:noBreakHyphen/>
        <w:t>intérêts fondée sur le manquement à une obligation civile, même si elle comporte des aspects religieux, continue à relever des tribunaux civils » :</w:t>
      </w:r>
      <w:r w:rsidRPr="00394CCC">
        <w:rPr>
          <w:rFonts w:cs="Times New Roman"/>
          <w:lang w:val="fr-CA" w:bidi="en-US"/>
        </w:rPr>
        <w:t xml:space="preserve"> </w:t>
      </w:r>
      <w:proofErr w:type="spellStart"/>
      <w:r w:rsidRPr="00394CCC">
        <w:rPr>
          <w:rFonts w:cs="Times New Roman"/>
          <w:i/>
          <w:lang w:val="fr-CA" w:bidi="en-US"/>
        </w:rPr>
        <w:t>Bruker</w:t>
      </w:r>
      <w:proofErr w:type="spellEnd"/>
      <w:r w:rsidRPr="00394CCC">
        <w:rPr>
          <w:rFonts w:cs="Times New Roman"/>
          <w:lang w:val="fr-CA" w:bidi="en-US"/>
        </w:rPr>
        <w:t>, par. 32. À titre d’exemple, les tribunaux appelés à trancher des différends concernant les biens d’une Église pourraient devoir examiner le respect des règles internes de celle</w:t>
      </w:r>
      <w:r w:rsidRPr="00394CCC">
        <w:rPr>
          <w:rFonts w:cs="Times New Roman"/>
          <w:lang w:val="fr-CA" w:bidi="en-US"/>
        </w:rPr>
        <w:noBreakHyphen/>
        <w:t xml:space="preserve">ci, même si ces règles sont destinées à donner effet à des engagements religieux : </w:t>
      </w:r>
      <w:r w:rsidRPr="00394CCC">
        <w:rPr>
          <w:rFonts w:cs="Times New Roman"/>
          <w:i/>
          <w:iCs/>
          <w:lang w:val="fr-CA" w:bidi="en-US"/>
        </w:rPr>
        <w:t>Wall</w:t>
      </w:r>
      <w:r w:rsidRPr="00394CCC">
        <w:rPr>
          <w:rFonts w:cs="Times New Roman"/>
          <w:lang w:val="fr-CA" w:bidi="en-US"/>
        </w:rPr>
        <w:t>, par. 38.</w:t>
      </w:r>
    </w:p>
    <w:p w:rsidR="003F2287" w:rsidRPr="00394CCC" w:rsidRDefault="003F2287" w:rsidP="003F2287">
      <w:pPr>
        <w:pStyle w:val="ParaNoNdepar-AltN"/>
        <w:tabs>
          <w:tab w:val="clear" w:pos="1166"/>
          <w:tab w:val="num" w:pos="1152"/>
        </w:tabs>
        <w:rPr>
          <w:rFonts w:cs="Times New Roman"/>
          <w:lang w:val="fr-CA"/>
        </w:rPr>
      </w:pPr>
      <w:r w:rsidRPr="00394CCC">
        <w:rPr>
          <w:rFonts w:cs="Times New Roman"/>
          <w:lang w:val="fr-CA"/>
        </w:rPr>
        <w:t xml:space="preserve">Les droits légaux susceptibles de conférer compétence aux tribunaux incluent les droits privés — droit de propriété, droit contractuel, délit civil ou enrichissement sans cause — et les causes d’action prévues par la loi : </w:t>
      </w:r>
      <w:r w:rsidRPr="00394CCC">
        <w:rPr>
          <w:rFonts w:cs="Times New Roman"/>
          <w:i/>
          <w:iCs/>
          <w:lang w:val="fr-CA"/>
        </w:rPr>
        <w:t>Wall</w:t>
      </w:r>
      <w:r w:rsidRPr="00394CCC">
        <w:rPr>
          <w:rFonts w:cs="Times New Roman"/>
          <w:lang w:val="fr-CA"/>
        </w:rPr>
        <w:t xml:space="preserve">, par. 13 et 25. Les causes dans lesquelles les tribunaux sont intervenus dans les affaires d’une association volontaire le confirment. Dans l’arrêt </w:t>
      </w:r>
      <w:proofErr w:type="spellStart"/>
      <w:r w:rsidRPr="00394CCC">
        <w:rPr>
          <w:rFonts w:cs="Times New Roman"/>
          <w:i/>
          <w:lang w:val="fr-CA"/>
        </w:rPr>
        <w:t>Lakeside</w:t>
      </w:r>
      <w:proofErr w:type="spellEnd"/>
      <w:r w:rsidRPr="00394CCC">
        <w:rPr>
          <w:rFonts w:cs="Times New Roman"/>
          <w:iCs/>
          <w:lang w:val="fr-CA"/>
        </w:rPr>
        <w:t xml:space="preserve">, la Cour a accordé réparation à des membres d’une colonie agricole à vocation religieuse qui avaient été expulsés et, de ce fait, privés de leur droit de vivre dans la colonie et de bénéficier de son soutien. Le juge Gonthier a souligné, à la p. 174, que ces droits comportaient des aspects de nature </w:t>
      </w:r>
      <w:proofErr w:type="spellStart"/>
      <w:r w:rsidRPr="00394CCC">
        <w:rPr>
          <w:rFonts w:cs="Times New Roman"/>
          <w:iCs/>
          <w:lang w:val="fr-CA"/>
        </w:rPr>
        <w:t>propriétale</w:t>
      </w:r>
      <w:proofErr w:type="spellEnd"/>
      <w:r w:rsidRPr="00394CCC">
        <w:rPr>
          <w:rFonts w:cs="Times New Roman"/>
          <w:iCs/>
          <w:lang w:val="fr-CA"/>
        </w:rPr>
        <w:t xml:space="preserve"> et contractuelle. Des droits similaires étaient en litige dans l’arrêt </w:t>
      </w:r>
      <w:r w:rsidRPr="00394CCC">
        <w:rPr>
          <w:rFonts w:cs="Times New Roman"/>
          <w:bCs/>
          <w:i/>
          <w:lang w:val="fr-CA"/>
        </w:rPr>
        <w:t>Hofer c. Hofer</w:t>
      </w:r>
      <w:r w:rsidRPr="00394CCC">
        <w:rPr>
          <w:rFonts w:cs="Times New Roman"/>
          <w:bCs/>
          <w:lang w:val="fr-CA"/>
        </w:rPr>
        <w:t xml:space="preserve">, [1970] R.C.S. 958, en plus d’une demande de partage des biens de la colonie. Les tribunaux ont également compétence pour décider la question de savoir si le fait de priver une personne de la capacité de gagner sa vie constitue une violation contractuelle, comme c’était le cas dans </w:t>
      </w:r>
      <w:proofErr w:type="spellStart"/>
      <w:r w:rsidRPr="00394CCC">
        <w:rPr>
          <w:rFonts w:cs="Times New Roman"/>
          <w:i/>
          <w:lang w:val="fr-CA"/>
        </w:rPr>
        <w:t>McCaw</w:t>
      </w:r>
      <w:proofErr w:type="spellEnd"/>
      <w:r w:rsidRPr="00394CCC">
        <w:rPr>
          <w:rFonts w:cs="Times New Roman"/>
          <w:i/>
          <w:lang w:val="fr-CA"/>
        </w:rPr>
        <w:t xml:space="preserve"> c. United Church of Canada</w:t>
      </w:r>
      <w:r w:rsidRPr="00394CCC">
        <w:rPr>
          <w:rFonts w:cs="Times New Roman"/>
          <w:lang w:val="fr-CA"/>
        </w:rPr>
        <w:t xml:space="preserve"> (1991), </w:t>
      </w:r>
      <w:r w:rsidRPr="00394CCC">
        <w:rPr>
          <w:rFonts w:cs="Times New Roman"/>
          <w:lang w:val="fr-CA" w:bidi="en-US"/>
        </w:rPr>
        <w:t xml:space="preserve">4 O.R. (3d) 481 (C.A.), et de statuer sur des revendications concurrentes à l’égard d’un bien, comme dans </w:t>
      </w:r>
      <w:proofErr w:type="spellStart"/>
      <w:r w:rsidRPr="00394CCC">
        <w:rPr>
          <w:rFonts w:cs="Times New Roman"/>
          <w:i/>
          <w:lang w:val="fr-CA" w:bidi="en-US"/>
        </w:rPr>
        <w:t>Polish</w:t>
      </w:r>
      <w:proofErr w:type="spellEnd"/>
      <w:r w:rsidRPr="00394CCC">
        <w:rPr>
          <w:rFonts w:cs="Times New Roman"/>
          <w:i/>
          <w:lang w:val="fr-CA" w:bidi="en-US"/>
        </w:rPr>
        <w:t xml:space="preserve"> Alliance of Association of Toronto Ltd. c. The </w:t>
      </w:r>
      <w:proofErr w:type="spellStart"/>
      <w:r w:rsidRPr="00394CCC">
        <w:rPr>
          <w:rFonts w:cs="Times New Roman"/>
          <w:i/>
          <w:lang w:val="fr-CA" w:bidi="en-US"/>
        </w:rPr>
        <w:t>Polish</w:t>
      </w:r>
      <w:proofErr w:type="spellEnd"/>
      <w:r w:rsidRPr="00394CCC">
        <w:rPr>
          <w:rFonts w:cs="Times New Roman"/>
          <w:i/>
          <w:lang w:val="fr-CA" w:bidi="en-US"/>
        </w:rPr>
        <w:t xml:space="preserve"> Alliance of Canada</w:t>
      </w:r>
      <w:r w:rsidRPr="00394CCC">
        <w:rPr>
          <w:rFonts w:cs="Times New Roman"/>
          <w:lang w:val="fr-CA" w:bidi="en-US"/>
        </w:rPr>
        <w:t xml:space="preserve">, 2017 ONCA 574, 32 E.T.R. (4th) 64. Par contraste, dans l’arrêt </w:t>
      </w:r>
      <w:r w:rsidRPr="00394CCC">
        <w:rPr>
          <w:rFonts w:cs="Times New Roman"/>
          <w:i/>
          <w:iCs/>
          <w:lang w:val="fr-CA" w:bidi="en-US"/>
        </w:rPr>
        <w:t>Wall</w:t>
      </w:r>
      <w:r w:rsidRPr="00394CCC">
        <w:rPr>
          <w:rFonts w:cs="Times New Roman"/>
          <w:lang w:val="fr-CA" w:bidi="en-US"/>
        </w:rPr>
        <w:t>, parce qu’il n’y avait pas de droit légal lié à l’appartenance du demandeur à sa congrégation religieuse, les tribunaux n’avaient pas compétence pour décider s’il avait été excommunié régulièrement.</w:t>
      </w:r>
    </w:p>
    <w:p w:rsidR="003F2287" w:rsidRPr="00394CCC" w:rsidRDefault="003F2287" w:rsidP="003F2287">
      <w:pPr>
        <w:pStyle w:val="ParaNoNdepar-AltN"/>
        <w:rPr>
          <w:rFonts w:cs="Times New Roman"/>
          <w:iCs/>
          <w:lang w:val="fr-CA"/>
        </w:rPr>
      </w:pPr>
      <w:r w:rsidRPr="00394CCC">
        <w:rPr>
          <w:rFonts w:cs="Times New Roman"/>
          <w:lang w:val="fr-CA"/>
        </w:rPr>
        <w:t xml:space="preserve">Il s’ensuit que, ainsi qu’a conclu notre Cour dans l’arrêt </w:t>
      </w:r>
      <w:r w:rsidRPr="00394CCC">
        <w:rPr>
          <w:rFonts w:cs="Times New Roman"/>
          <w:i/>
          <w:iCs/>
          <w:lang w:val="fr-CA"/>
        </w:rPr>
        <w:t>Wall</w:t>
      </w:r>
      <w:r w:rsidRPr="00394CCC">
        <w:rPr>
          <w:rFonts w:cs="Times New Roman"/>
          <w:lang w:val="fr-CA"/>
        </w:rPr>
        <w:t xml:space="preserve">, par. 24, « il n’existe aucun droit autonome à l’équité procédurale relativement aux décisions prises par des associations volontaires ». En d’autres termes, la justice naturelle n’est pas source de compétence, mais lorsqu’un droit légal est en litige, elle peut toutefois être pertinente pour déterminer s’il y a eu atteinte à ce droit. Dans l’arrêt </w:t>
      </w:r>
      <w:proofErr w:type="spellStart"/>
      <w:r w:rsidRPr="00394CCC">
        <w:rPr>
          <w:rFonts w:cs="Times New Roman"/>
          <w:i/>
          <w:lang w:val="fr-CA"/>
        </w:rPr>
        <w:t>Lakeside</w:t>
      </w:r>
      <w:proofErr w:type="spellEnd"/>
      <w:r w:rsidRPr="00394CCC">
        <w:rPr>
          <w:rFonts w:cs="Times New Roman"/>
          <w:lang w:val="fr-CA"/>
        </w:rPr>
        <w:t>,</w:t>
      </w:r>
      <w:r w:rsidRPr="00394CCC">
        <w:rPr>
          <w:rFonts w:cs="Times New Roman"/>
          <w:i/>
          <w:lang w:val="fr-CA"/>
        </w:rPr>
        <w:t xml:space="preserve"> </w:t>
      </w:r>
      <w:r w:rsidRPr="00394CCC">
        <w:rPr>
          <w:rFonts w:cs="Times New Roman"/>
          <w:iCs/>
          <w:lang w:val="fr-CA"/>
        </w:rPr>
        <w:t xml:space="preserve">le droit contractuel des demandeurs de demeurer dans la colonie était en cause; le fait que la colonie n’avait pas respecté les principes de justice naturelle constituait un fondement permettant de conclure qu’il y avait eu manquement à ces contrats. Pareillement, dans l’affaire </w:t>
      </w:r>
      <w:r w:rsidRPr="00394CCC">
        <w:rPr>
          <w:rFonts w:cs="Times New Roman"/>
          <w:i/>
          <w:lang w:val="fr-CA"/>
        </w:rPr>
        <w:t>Senez</w:t>
      </w:r>
      <w:r w:rsidRPr="00394CCC">
        <w:rPr>
          <w:rFonts w:cs="Times New Roman"/>
          <w:lang w:val="fr-CA"/>
        </w:rPr>
        <w:t xml:space="preserve">, il existait une relation contractuelle entre le demandeur et la personne morale dont il était membre. En conséquence, le fait que la personne morale n’avait pas respecté les modalités de ce contrat lorsqu’elle l’avait expulsé ⸺ modalités qui incluaient l’obligation de respecter les règles de justice naturelle ⸺ constituait une violation du contrat. Même si l’arrêt </w:t>
      </w:r>
      <w:r w:rsidRPr="00394CCC">
        <w:rPr>
          <w:rFonts w:cs="Times New Roman"/>
          <w:i/>
          <w:iCs/>
          <w:lang w:val="fr-CA"/>
        </w:rPr>
        <w:t>Senez</w:t>
      </w:r>
      <w:r w:rsidRPr="00394CCC">
        <w:rPr>
          <w:rFonts w:cs="Times New Roman"/>
          <w:lang w:val="fr-CA"/>
        </w:rPr>
        <w:t xml:space="preserve"> concernait une personne morale, et non une association volontaire, le rôle que joue la justice naturelle en matière contractuelle est néanmoins instructif.</w:t>
      </w:r>
    </w:p>
    <w:p w:rsidR="003F2287" w:rsidRPr="00394CCC" w:rsidRDefault="003F2287" w:rsidP="003F2287">
      <w:pPr>
        <w:pStyle w:val="ParaNoNdepar-AltN"/>
        <w:tabs>
          <w:tab w:val="clear" w:pos="1166"/>
          <w:tab w:val="num" w:pos="1152"/>
        </w:tabs>
        <w:rPr>
          <w:rFonts w:cs="Times New Roman"/>
          <w:lang w:val="fr-CA"/>
        </w:rPr>
      </w:pPr>
      <w:r w:rsidRPr="00394CCC">
        <w:rPr>
          <w:rFonts w:cs="Times New Roman"/>
          <w:lang w:val="fr-CA"/>
        </w:rPr>
        <w:t>Bien entendu, de nombreuses associations volontaires exercent certains droits légaux, par exemple en possédant des biens ou en concluant des contrats de service. La question à trancher dans une affaire donnée n’est pas celle de savoir si l’association volontaire exerce des droits légaux en général, mais plutôt celle de savoir si la réparation particulière recherchée par le demandeur est fondée sur un droit légal qu’il cherche à faire valoir. Si ce n’est pas le cas, il n’y a alors tout simplement pas de cause d’action (</w:t>
      </w:r>
      <w:r w:rsidRPr="00394CCC">
        <w:rPr>
          <w:rFonts w:cs="Times New Roman"/>
          <w:i/>
          <w:lang w:val="fr-CA"/>
        </w:rPr>
        <w:t>Wall</w:t>
      </w:r>
      <w:r w:rsidRPr="00394CCC">
        <w:rPr>
          <w:rFonts w:cs="Times New Roman"/>
          <w:lang w:val="fr-CA"/>
        </w:rPr>
        <w:t>, par. 13) et de fondement justifiant d’accorder une réparation.</w:t>
      </w:r>
    </w:p>
    <w:p w:rsidR="003F2287" w:rsidRPr="00394CCC" w:rsidRDefault="003F2287" w:rsidP="003F2287">
      <w:pPr>
        <w:pStyle w:val="ParaNoNdepar-AltN"/>
        <w:rPr>
          <w:rFonts w:cs="Times New Roman"/>
          <w:lang w:val="fr-CA"/>
        </w:rPr>
      </w:pPr>
      <w:r w:rsidRPr="00394CCC">
        <w:rPr>
          <w:rFonts w:cs="Times New Roman"/>
          <w:lang w:val="fr-CA"/>
        </w:rPr>
        <w:t>En l’espèce, le seul droit légal potentiel ⸺ et le seul mentionné par la Cour d’appel ou avancé par les parties ⸺ serait un contrat. Je vais donc me pencher maintenant sur les circonstances dans lesquelles il existe des contrats au sein d’associations volontaires.</w:t>
      </w:r>
    </w:p>
    <w:p w:rsidR="003F2287" w:rsidRPr="00394CCC" w:rsidRDefault="003F2287" w:rsidP="003F2287">
      <w:pPr>
        <w:pStyle w:val="Title2LevelTitre2Niveau"/>
        <w:rPr>
          <w:rFonts w:cs="Times New Roman"/>
          <w:lang w:val="fr-CA"/>
        </w:rPr>
      </w:pPr>
      <w:r w:rsidRPr="00394CCC">
        <w:rPr>
          <w:rFonts w:cs="Times New Roman"/>
          <w:lang w:val="fr-CA"/>
        </w:rPr>
        <w:t>Contrat au sein d’une association volontaire :</w:t>
      </w:r>
      <w:r w:rsidRPr="00394CCC">
        <w:rPr>
          <w:rFonts w:cs="Times New Roman"/>
          <w:bCs/>
          <w:lang w:val="fr-CA"/>
        </w:rPr>
        <w:t xml:space="preserve"> s’il y a absence d’intention de créer des rapports juridiques, il y a alors absence de contrat</w:t>
      </w:r>
    </w:p>
    <w:p w:rsidR="003F2287" w:rsidRPr="00394CCC" w:rsidRDefault="003F2287" w:rsidP="003F2287">
      <w:pPr>
        <w:pStyle w:val="ParaNoNdepar-AltN"/>
        <w:rPr>
          <w:rFonts w:cs="Times New Roman"/>
          <w:lang w:val="fr-CA" w:bidi="en-US"/>
        </w:rPr>
      </w:pPr>
      <w:r w:rsidRPr="00394CCC">
        <w:rPr>
          <w:rFonts w:cs="Times New Roman"/>
          <w:lang w:val="fr-CA" w:bidi="en-US"/>
        </w:rPr>
        <w:t>Dans la présente section, je vais expliquer dans quelles circonstances il existe un contrat au sein d’une association volontaire. En résumé, l’appartenance à une association volontaire n’est pas automatiquement de nature contractuelle. C’est plutôt uniquement lorsque les conditions de formation des contrats, y compris l’intention de créer des rapports juridiques, sont réunies qu’il y a contrat. Par conséquent, certaines associations volontaires, mais pas toutes, sont constituées par contrat.</w:t>
      </w:r>
    </w:p>
    <w:p w:rsidR="003F2287" w:rsidRPr="00394CCC" w:rsidRDefault="003F2287" w:rsidP="003F2287">
      <w:pPr>
        <w:pStyle w:val="Title3LevelTitre3Niveau"/>
        <w:rPr>
          <w:rFonts w:cs="Times New Roman"/>
          <w:lang w:val="fr-CA"/>
        </w:rPr>
      </w:pPr>
      <w:r w:rsidRPr="00394CCC">
        <w:rPr>
          <w:rFonts w:cs="Times New Roman"/>
          <w:lang w:val="fr-CA"/>
        </w:rPr>
        <w:t>Les conditions de formation des contrats</w:t>
      </w:r>
    </w:p>
    <w:p w:rsidR="003F2287" w:rsidRPr="00394CCC" w:rsidRDefault="003F2287" w:rsidP="003F2287">
      <w:pPr>
        <w:pStyle w:val="ParaNoNdepar-AltN"/>
        <w:rPr>
          <w:rFonts w:cs="Times New Roman"/>
          <w:lang w:val="fr-CA"/>
        </w:rPr>
      </w:pPr>
      <w:r w:rsidRPr="00394CCC">
        <w:rPr>
          <w:rFonts w:cs="Times New Roman"/>
          <w:lang w:val="fr-CA"/>
        </w:rPr>
        <w:t xml:space="preserve">Comme a conclu notre Cour dans l’arrêt </w:t>
      </w:r>
      <w:r w:rsidRPr="00394CCC">
        <w:rPr>
          <w:rFonts w:cs="Times New Roman"/>
          <w:i/>
          <w:lang w:val="fr-CA"/>
        </w:rPr>
        <w:t>Wall</w:t>
      </w:r>
      <w:r w:rsidRPr="00394CCC">
        <w:rPr>
          <w:rFonts w:cs="Times New Roman"/>
          <w:lang w:val="fr-CA"/>
        </w:rPr>
        <w:t xml:space="preserve">, par. 29, </w:t>
      </w:r>
      <w:r w:rsidRPr="00394CCC">
        <w:rPr>
          <w:rFonts w:cs="Times New Roman"/>
          <w:iCs/>
          <w:lang w:val="fr-CA"/>
        </w:rPr>
        <w:t xml:space="preserve">« [l]a </w:t>
      </w:r>
      <w:r w:rsidRPr="00394CCC">
        <w:rPr>
          <w:rFonts w:cs="Times New Roman"/>
          <w:lang w:val="fr-CA"/>
        </w:rPr>
        <w:t xml:space="preserve">partie qui allègue l’existence d’un contrat doit démontrer que les parties avaient l’intention d’établir des rapports contractuels. Bien que cela puisse se révéler plus difficile à démontrer dans un contexte religieux, </w:t>
      </w:r>
      <w:r w:rsidRPr="00394CCC">
        <w:rPr>
          <w:rFonts w:cs="Times New Roman"/>
          <w:u w:val="single"/>
          <w:lang w:val="fr-CA"/>
        </w:rPr>
        <w:t>les principes généraux du droit des contrats s’appliqueront dans un tel cas</w:t>
      </w:r>
      <w:r w:rsidRPr="00394CCC">
        <w:rPr>
          <w:rFonts w:cs="Times New Roman"/>
          <w:lang w:val="fr-CA"/>
        </w:rPr>
        <w:t xml:space="preserve"> » (je souligne). Ces principes sont décisifs dans le présent pourvoi. </w:t>
      </w:r>
    </w:p>
    <w:p w:rsidR="003F2287" w:rsidRPr="00394CCC" w:rsidRDefault="003F2287" w:rsidP="003F2287">
      <w:pPr>
        <w:pStyle w:val="ParaNoNdepar-AltN"/>
        <w:rPr>
          <w:rFonts w:cs="Times New Roman"/>
          <w:lang w:val="fr-CA"/>
        </w:rPr>
      </w:pPr>
      <w:r w:rsidRPr="00394CCC">
        <w:rPr>
          <w:rFonts w:cs="Times New Roman"/>
          <w:lang w:val="fr-CA"/>
        </w:rPr>
        <w:t xml:space="preserve">Un contrat se manifeste par « une offre faite par une partie et acceptée par l’autre, avec l’intention d’établir entre elles un lien juridique, et il s’accompagne d’une considération » : </w:t>
      </w:r>
      <w:proofErr w:type="spellStart"/>
      <w:r w:rsidRPr="00394CCC">
        <w:rPr>
          <w:rFonts w:cs="Times New Roman"/>
          <w:i/>
          <w:lang w:val="fr-CA"/>
        </w:rPr>
        <w:t>Scotsburn</w:t>
      </w:r>
      <w:proofErr w:type="spellEnd"/>
      <w:r w:rsidRPr="00394CCC">
        <w:rPr>
          <w:rFonts w:cs="Times New Roman"/>
          <w:i/>
          <w:lang w:val="fr-CA"/>
        </w:rPr>
        <w:t xml:space="preserve"> </w:t>
      </w:r>
      <w:proofErr w:type="spellStart"/>
      <w:r w:rsidRPr="00394CCC">
        <w:rPr>
          <w:rFonts w:cs="Times New Roman"/>
          <w:i/>
          <w:lang w:val="fr-CA"/>
        </w:rPr>
        <w:t>Co</w:t>
      </w:r>
      <w:r w:rsidRPr="00394CCC">
        <w:rPr>
          <w:rFonts w:cs="Times New Roman"/>
          <w:i/>
          <w:lang w:val="fr-CA"/>
        </w:rPr>
        <w:noBreakHyphen/>
        <w:t>operative</w:t>
      </w:r>
      <w:proofErr w:type="spellEnd"/>
      <w:r w:rsidRPr="00394CCC">
        <w:rPr>
          <w:rFonts w:cs="Times New Roman"/>
          <w:i/>
          <w:lang w:val="fr-CA"/>
        </w:rPr>
        <w:t xml:space="preserve"> Services Ltd. </w:t>
      </w:r>
      <w:r w:rsidRPr="00394CCC">
        <w:rPr>
          <w:rFonts w:cs="Times New Roman"/>
          <w:i/>
          <w:iCs/>
          <w:lang w:val="fr-CA"/>
        </w:rPr>
        <w:t>c.</w:t>
      </w:r>
      <w:r w:rsidRPr="00394CCC">
        <w:rPr>
          <w:rFonts w:cs="Times New Roman"/>
          <w:i/>
          <w:lang w:val="fr-CA"/>
        </w:rPr>
        <w:t xml:space="preserve"> W. T. </w:t>
      </w:r>
      <w:proofErr w:type="spellStart"/>
      <w:r w:rsidRPr="00394CCC">
        <w:rPr>
          <w:rFonts w:cs="Times New Roman"/>
          <w:i/>
          <w:lang w:val="fr-CA"/>
        </w:rPr>
        <w:t>Goodwin</w:t>
      </w:r>
      <w:proofErr w:type="spellEnd"/>
      <w:r w:rsidRPr="00394CCC">
        <w:rPr>
          <w:rFonts w:cs="Times New Roman"/>
          <w:i/>
          <w:lang w:val="fr-CA"/>
        </w:rPr>
        <w:t xml:space="preserve"> Ltd.</w:t>
      </w:r>
      <w:r w:rsidRPr="00394CCC">
        <w:rPr>
          <w:rFonts w:cs="Times New Roman"/>
          <w:lang w:val="fr-CA"/>
        </w:rPr>
        <w:t xml:space="preserve">, [1985] 1 R.C.S. 54, p. 63. La common law applique une théorie objective en matière de formation des contrats. Cela signifie que, pour déterminer si la conduite des parties a satisfait aux conditions de formation des contrats, le tribunal doit examiner « comment la conduite de chaque partie serait perçue par une personne raisonnable placée dans la même situation que l’autre partie » : </w:t>
      </w:r>
      <w:r w:rsidRPr="00394CCC">
        <w:rPr>
          <w:rFonts w:cs="Times New Roman"/>
          <w:i/>
          <w:lang w:val="fr-CA" w:bidi="en-US"/>
        </w:rPr>
        <w:t xml:space="preserve">Owners, Strata Plan LMS 3905 </w:t>
      </w:r>
      <w:r w:rsidRPr="00394CCC">
        <w:rPr>
          <w:rFonts w:cs="Times New Roman"/>
          <w:i/>
          <w:iCs/>
          <w:lang w:val="fr-CA" w:bidi="en-US"/>
        </w:rPr>
        <w:t>c.</w:t>
      </w:r>
      <w:r w:rsidRPr="00394CCC">
        <w:rPr>
          <w:rFonts w:cs="Times New Roman"/>
          <w:i/>
          <w:lang w:val="fr-CA" w:bidi="en-US"/>
        </w:rPr>
        <w:t xml:space="preserve"> Crystal Square Parking Corp.</w:t>
      </w:r>
      <w:r w:rsidRPr="00394CCC">
        <w:rPr>
          <w:rFonts w:cs="Times New Roman"/>
          <w:lang w:val="fr-CA" w:bidi="en-US"/>
        </w:rPr>
        <w:t>, 2020 CSC </w:t>
      </w:r>
      <w:r w:rsidR="00516A24" w:rsidRPr="00516A24">
        <w:rPr>
          <w:bCs/>
          <w:iCs/>
          <w:lang w:val="fr-CA" w:bidi="en-US"/>
        </w:rPr>
        <w:t xml:space="preserve">29, [2020] 3 </w:t>
      </w:r>
      <w:proofErr w:type="spellStart"/>
      <w:r w:rsidR="00516A24" w:rsidRPr="00516A24">
        <w:rPr>
          <w:bCs/>
          <w:iCs/>
          <w:lang w:val="fr-CA" w:bidi="en-US"/>
        </w:rPr>
        <w:t>R.C.S</w:t>
      </w:r>
      <w:proofErr w:type="spellEnd"/>
      <w:r w:rsidR="00516A24" w:rsidRPr="00516A24">
        <w:rPr>
          <w:bCs/>
          <w:iCs/>
          <w:lang w:val="fr-CA" w:bidi="en-US"/>
        </w:rPr>
        <w:t xml:space="preserve">. </w:t>
      </w:r>
      <w:r w:rsidR="0055119B">
        <w:rPr>
          <w:bCs/>
          <w:iCs/>
          <w:lang w:val="fr-CA" w:bidi="en-US"/>
        </w:rPr>
        <w:t>247</w:t>
      </w:r>
      <w:bookmarkStart w:id="6" w:name="_GoBack"/>
      <w:bookmarkEnd w:id="6"/>
      <w:r w:rsidRPr="00394CCC">
        <w:rPr>
          <w:rFonts w:cs="Times New Roman"/>
          <w:lang w:val="fr-CA" w:bidi="en-US"/>
        </w:rPr>
        <w:t xml:space="preserve">, par. 33. </w:t>
      </w:r>
    </w:p>
    <w:p w:rsidR="003F2287" w:rsidRPr="00394CCC" w:rsidRDefault="003F2287" w:rsidP="003F2287">
      <w:pPr>
        <w:pStyle w:val="ParaNoNdepar-AltN"/>
        <w:rPr>
          <w:rFonts w:cs="Times New Roman"/>
          <w:lang w:val="fr-CA"/>
        </w:rPr>
      </w:pPr>
      <w:r w:rsidRPr="00394CCC">
        <w:rPr>
          <w:rFonts w:cs="Times New Roman"/>
          <w:lang w:val="fr-CA"/>
        </w:rPr>
        <w:t xml:space="preserve">Pour les besoins du présent pourvoi, il suffira de s’attacher à la condition requérant l’existence d’une intention de créer des rapports juridiques. Comme l’a expliqué G. H. L. </w:t>
      </w:r>
      <w:proofErr w:type="spellStart"/>
      <w:r w:rsidRPr="00394CCC">
        <w:rPr>
          <w:rFonts w:cs="Times New Roman"/>
          <w:lang w:val="fr-CA"/>
        </w:rPr>
        <w:t>Fridman</w:t>
      </w:r>
      <w:proofErr w:type="spellEnd"/>
      <w:r w:rsidRPr="00394CCC">
        <w:rPr>
          <w:rFonts w:cs="Times New Roman"/>
          <w:lang w:val="fr-CA"/>
        </w:rPr>
        <w:t>, [</w:t>
      </w:r>
      <w:r w:rsidRPr="00394CCC">
        <w:rPr>
          <w:rFonts w:cs="Times New Roman"/>
          <w:smallCaps/>
          <w:lang w:val="fr-CA"/>
        </w:rPr>
        <w:t>traduction</w:t>
      </w:r>
      <w:r w:rsidRPr="00394CCC">
        <w:rPr>
          <w:rFonts w:cs="Times New Roman"/>
          <w:lang w:val="fr-CA"/>
        </w:rPr>
        <w:t>] « </w:t>
      </w:r>
      <w:r w:rsidRPr="00394CCC">
        <w:rPr>
          <w:rFonts w:cs="Times New Roman"/>
          <w:szCs w:val="24"/>
          <w:lang w:val="fr-CA"/>
        </w:rPr>
        <w:t>le critère applicable pour savoir s’il y a eu entente au sens juridique du terme consiste à se demander si les parties ont indiqué au monde extérieur, à savoir un observateur objectif raisonnable,</w:t>
      </w:r>
      <w:r w:rsidRPr="00394CCC">
        <w:rPr>
          <w:rFonts w:cs="Times New Roman"/>
          <w:sz w:val="22"/>
          <w:lang w:val="fr-CA"/>
        </w:rPr>
        <w:t xml:space="preserve"> </w:t>
      </w:r>
      <w:r w:rsidRPr="00394CCC">
        <w:rPr>
          <w:rFonts w:cs="Times New Roman"/>
          <w:lang w:val="fr-CA"/>
        </w:rPr>
        <w:t xml:space="preserve">leur intention de conclure un contrat ainsi que les modalités de ce dernier » : </w:t>
      </w:r>
      <w:r w:rsidRPr="00394CCC">
        <w:rPr>
          <w:rFonts w:cs="Times New Roman"/>
          <w:i/>
          <w:iCs/>
          <w:lang w:val="fr-CA" w:bidi="en-US"/>
        </w:rPr>
        <w:t xml:space="preserve">The Law of </w:t>
      </w:r>
      <w:proofErr w:type="spellStart"/>
      <w:r w:rsidRPr="00394CCC">
        <w:rPr>
          <w:rFonts w:cs="Times New Roman"/>
          <w:i/>
          <w:iCs/>
          <w:lang w:val="fr-CA" w:bidi="en-US"/>
        </w:rPr>
        <w:t>Contract</w:t>
      </w:r>
      <w:proofErr w:type="spellEnd"/>
      <w:r w:rsidRPr="00394CCC">
        <w:rPr>
          <w:rFonts w:cs="Times New Roman"/>
          <w:i/>
          <w:iCs/>
          <w:lang w:val="fr-CA" w:bidi="en-US"/>
        </w:rPr>
        <w:t xml:space="preserve"> in Canada</w:t>
      </w:r>
      <w:r w:rsidRPr="00394CCC">
        <w:rPr>
          <w:rFonts w:cs="Times New Roman"/>
          <w:lang w:val="fr-CA" w:bidi="en-US"/>
        </w:rPr>
        <w:t xml:space="preserve"> (</w:t>
      </w:r>
      <w:proofErr w:type="spellStart"/>
      <w:r w:rsidRPr="00394CCC">
        <w:rPr>
          <w:rFonts w:cs="Times New Roman"/>
          <w:lang w:val="fr-CA" w:bidi="en-US"/>
        </w:rPr>
        <w:t>6</w:t>
      </w:r>
      <w:r w:rsidRPr="00394CCC">
        <w:rPr>
          <w:rFonts w:cs="Times New Roman"/>
          <w:vertAlign w:val="superscript"/>
          <w:lang w:val="fr-CA" w:bidi="en-US"/>
        </w:rPr>
        <w:t>e</w:t>
      </w:r>
      <w:proofErr w:type="spellEnd"/>
      <w:r w:rsidRPr="00394CCC">
        <w:rPr>
          <w:rFonts w:cs="Times New Roman"/>
          <w:lang w:val="fr-CA" w:bidi="en-US"/>
        </w:rPr>
        <w:t xml:space="preserve"> éd. 2011), p. 15; voir également S. M. </w:t>
      </w:r>
      <w:proofErr w:type="spellStart"/>
      <w:r w:rsidRPr="00394CCC">
        <w:rPr>
          <w:rFonts w:cs="Times New Roman"/>
          <w:lang w:val="fr-CA" w:bidi="en-US"/>
        </w:rPr>
        <w:t>Waddams</w:t>
      </w:r>
      <w:proofErr w:type="spellEnd"/>
      <w:r w:rsidRPr="00394CCC">
        <w:rPr>
          <w:rFonts w:cs="Times New Roman"/>
          <w:lang w:val="fr-CA" w:bidi="en-US"/>
        </w:rPr>
        <w:t xml:space="preserve">, </w:t>
      </w:r>
      <w:r w:rsidRPr="00394CCC">
        <w:rPr>
          <w:rFonts w:cs="Times New Roman"/>
          <w:i/>
          <w:lang w:val="fr-CA" w:bidi="en-US"/>
        </w:rPr>
        <w:t xml:space="preserve">The Law of </w:t>
      </w:r>
      <w:proofErr w:type="spellStart"/>
      <w:r w:rsidRPr="00394CCC">
        <w:rPr>
          <w:rFonts w:cs="Times New Roman"/>
          <w:i/>
          <w:lang w:val="fr-CA" w:bidi="en-US"/>
        </w:rPr>
        <w:t>Contracts</w:t>
      </w:r>
      <w:proofErr w:type="spellEnd"/>
      <w:r w:rsidRPr="00394CCC">
        <w:rPr>
          <w:rFonts w:cs="Times New Roman"/>
          <w:lang w:val="fr-CA" w:bidi="en-US"/>
        </w:rPr>
        <w:t xml:space="preserve"> (</w:t>
      </w:r>
      <w:proofErr w:type="spellStart"/>
      <w:r w:rsidRPr="00394CCC">
        <w:rPr>
          <w:rFonts w:cs="Times New Roman"/>
          <w:lang w:val="fr-CA" w:bidi="en-US"/>
        </w:rPr>
        <w:t>7</w:t>
      </w:r>
      <w:r w:rsidRPr="00394CCC">
        <w:rPr>
          <w:rFonts w:cs="Times New Roman"/>
          <w:vertAlign w:val="superscript"/>
          <w:lang w:val="fr-CA" w:bidi="en-US"/>
        </w:rPr>
        <w:t>e</w:t>
      </w:r>
      <w:proofErr w:type="spellEnd"/>
      <w:r w:rsidRPr="00394CCC">
        <w:rPr>
          <w:rFonts w:cs="Times New Roman"/>
          <w:lang w:val="fr-CA" w:bidi="en-US"/>
        </w:rPr>
        <w:t> éd. 2017), p. 105. Cette condition peut être considérée comme un aspect d’une offre et d’une acceptation valides, en ce sens qu’une offre et une acceptation valides doivent révéler objectivement une intention d’être lié par contrat :</w:t>
      </w:r>
      <w:r w:rsidRPr="00394CCC">
        <w:rPr>
          <w:rFonts w:cs="Times New Roman"/>
          <w:lang w:val="fr-CA"/>
        </w:rPr>
        <w:t xml:space="preserve"> </w:t>
      </w:r>
      <w:r w:rsidRPr="00394CCC">
        <w:rPr>
          <w:rFonts w:cs="Times New Roman"/>
          <w:i/>
          <w:lang w:val="fr-CA"/>
        </w:rPr>
        <w:t>Crystal Square</w:t>
      </w:r>
      <w:r w:rsidRPr="00394CCC">
        <w:rPr>
          <w:rFonts w:cs="Times New Roman"/>
          <w:lang w:val="fr-CA"/>
        </w:rPr>
        <w:t>, par. 49</w:t>
      </w:r>
      <w:r w:rsidRPr="00394CCC">
        <w:rPr>
          <w:rFonts w:cs="Times New Roman"/>
          <w:lang w:val="fr-CA"/>
        </w:rPr>
        <w:noBreakHyphen/>
        <w:t xml:space="preserve">50. </w:t>
      </w:r>
    </w:p>
    <w:p w:rsidR="003F2287" w:rsidRPr="00394CCC" w:rsidRDefault="003F2287" w:rsidP="003F2287">
      <w:pPr>
        <w:pStyle w:val="ParaNoNdepar-AltN"/>
        <w:rPr>
          <w:rFonts w:cs="Times New Roman"/>
          <w:lang w:val="fr-CA"/>
        </w:rPr>
      </w:pPr>
      <w:r w:rsidRPr="00394CCC">
        <w:rPr>
          <w:rFonts w:cs="Times New Roman"/>
          <w:lang w:val="fr-CA"/>
        </w:rPr>
        <w:t xml:space="preserve">Le critère applicable pour statuer sur l’existence d’une intention de créer des rapports juridiques est objectif. Il ne s’agit pas de déterminer ce que les parties avaient subjectivement à l’esprit, mais plutôt si leur conduite était telle qu’une personne raisonnable aurait conclu qu’elles avaient l’intention d’être liées par contrat : </w:t>
      </w:r>
      <w:proofErr w:type="spellStart"/>
      <w:r w:rsidRPr="00394CCC">
        <w:rPr>
          <w:rFonts w:cs="Times New Roman"/>
          <w:i/>
          <w:lang w:val="fr-CA"/>
        </w:rPr>
        <w:t>Kernwood</w:t>
      </w:r>
      <w:proofErr w:type="spellEnd"/>
      <w:r w:rsidRPr="00394CCC">
        <w:rPr>
          <w:rFonts w:cs="Times New Roman"/>
          <w:i/>
          <w:lang w:val="fr-CA"/>
        </w:rPr>
        <w:t xml:space="preserve"> Ltd. c. </w:t>
      </w:r>
      <w:proofErr w:type="spellStart"/>
      <w:r w:rsidRPr="00394CCC">
        <w:rPr>
          <w:rFonts w:cs="Times New Roman"/>
          <w:i/>
          <w:lang w:val="fr-CA"/>
        </w:rPr>
        <w:t>Renegade</w:t>
      </w:r>
      <w:proofErr w:type="spellEnd"/>
      <w:r w:rsidRPr="00394CCC">
        <w:rPr>
          <w:rFonts w:cs="Times New Roman"/>
          <w:i/>
          <w:lang w:val="fr-CA"/>
        </w:rPr>
        <w:t xml:space="preserve"> Capital Corp. </w:t>
      </w:r>
      <w:r w:rsidRPr="00394CCC">
        <w:rPr>
          <w:rFonts w:cs="Times New Roman"/>
          <w:lang w:val="en-US"/>
        </w:rPr>
        <w:t xml:space="preserve">(1997), 97 O.A.C. 3; </w:t>
      </w:r>
      <w:r w:rsidRPr="00394CCC">
        <w:rPr>
          <w:rFonts w:cs="Times New Roman"/>
          <w:i/>
          <w:iCs/>
          <w:lang w:val="en-US"/>
        </w:rPr>
        <w:t>Smith c. Hughes</w:t>
      </w:r>
      <w:r w:rsidRPr="00394CCC">
        <w:rPr>
          <w:rFonts w:cs="Times New Roman"/>
          <w:lang w:val="en-US"/>
        </w:rPr>
        <w:t xml:space="preserve"> (1871), L.R. 6 Q.B. 597, p. 607. </w:t>
      </w:r>
      <w:r w:rsidRPr="00394CCC">
        <w:rPr>
          <w:rFonts w:cs="Times New Roman"/>
          <w:lang w:val="fr-CA"/>
        </w:rPr>
        <w:t xml:space="preserve">Pour répondre à cette question, les tribunaux ne sont pas limités au seul texte de l’entente visée; ils peuvent examiner l’ensemble des circonstances entourant sa conclusion : </w:t>
      </w:r>
      <w:proofErr w:type="spellStart"/>
      <w:r w:rsidRPr="00394CCC">
        <w:rPr>
          <w:rFonts w:cs="Times New Roman"/>
          <w:i/>
          <w:lang w:val="fr-CA"/>
        </w:rPr>
        <w:t>Leemhuis</w:t>
      </w:r>
      <w:proofErr w:type="spellEnd"/>
      <w:r w:rsidRPr="00394CCC">
        <w:rPr>
          <w:rFonts w:cs="Times New Roman"/>
          <w:i/>
          <w:lang w:val="fr-CA"/>
        </w:rPr>
        <w:t xml:space="preserve"> c. </w:t>
      </w:r>
      <w:proofErr w:type="spellStart"/>
      <w:r w:rsidRPr="00394CCC">
        <w:rPr>
          <w:rFonts w:cs="Times New Roman"/>
          <w:i/>
          <w:lang w:val="fr-CA"/>
        </w:rPr>
        <w:t>Kardash</w:t>
      </w:r>
      <w:proofErr w:type="spellEnd"/>
      <w:r w:rsidRPr="00394CCC">
        <w:rPr>
          <w:rFonts w:cs="Times New Roman"/>
          <w:i/>
          <w:lang w:val="fr-CA"/>
        </w:rPr>
        <w:t xml:space="preserve"> </w:t>
      </w:r>
      <w:proofErr w:type="spellStart"/>
      <w:r w:rsidRPr="00394CCC">
        <w:rPr>
          <w:rFonts w:cs="Times New Roman"/>
          <w:i/>
          <w:lang w:val="fr-CA"/>
        </w:rPr>
        <w:t>Plumbing</w:t>
      </w:r>
      <w:proofErr w:type="spellEnd"/>
      <w:r w:rsidRPr="00394CCC">
        <w:rPr>
          <w:rFonts w:cs="Times New Roman"/>
          <w:i/>
          <w:lang w:val="fr-CA"/>
        </w:rPr>
        <w:t xml:space="preserve"> Ltd.</w:t>
      </w:r>
      <w:r w:rsidRPr="00394CCC">
        <w:rPr>
          <w:rFonts w:cs="Times New Roman"/>
          <w:lang w:val="fr-CA"/>
        </w:rPr>
        <w:t xml:space="preserve">, 2020 BCCA 99, 34 B.C.L.R. (6th) 248, par. 17; </w:t>
      </w:r>
      <w:r w:rsidRPr="00394CCC">
        <w:rPr>
          <w:rFonts w:cs="Times New Roman"/>
          <w:i/>
          <w:lang w:val="fr-CA"/>
        </w:rPr>
        <w:t>Crystal Square</w:t>
      </w:r>
      <w:r w:rsidRPr="00394CCC">
        <w:rPr>
          <w:rFonts w:cs="Times New Roman"/>
          <w:lang w:val="fr-CA"/>
        </w:rPr>
        <w:t>,</w:t>
      </w:r>
      <w:r w:rsidRPr="00394CCC">
        <w:rPr>
          <w:rFonts w:cs="Times New Roman"/>
          <w:i/>
          <w:lang w:val="fr-CA"/>
        </w:rPr>
        <w:t xml:space="preserve"> </w:t>
      </w:r>
      <w:r w:rsidRPr="00394CCC">
        <w:rPr>
          <w:rFonts w:cs="Times New Roman"/>
          <w:lang w:val="fr-CA"/>
        </w:rPr>
        <w:t xml:space="preserve">par. 37. </w:t>
      </w:r>
    </w:p>
    <w:p w:rsidR="003F2287" w:rsidRPr="00394CCC" w:rsidRDefault="003F2287" w:rsidP="003F2287">
      <w:pPr>
        <w:pStyle w:val="ParaNoNdepar-AltN"/>
        <w:rPr>
          <w:rFonts w:cs="Times New Roman"/>
          <w:lang w:val="fr-CA"/>
        </w:rPr>
      </w:pPr>
      <w:r w:rsidRPr="00394CCC">
        <w:rPr>
          <w:rFonts w:cs="Times New Roman"/>
          <w:lang w:val="fr-CA"/>
        </w:rPr>
        <w:t xml:space="preserve">Selon le critère objectif, la nature des liens qui existent entre les parties, ainsi que les intérêts en jeu peuvent être pertinents relativement à l’existence ou non d’une intention de créer des rapports juridiques. Par exemple, les tribunaux supposeront souvent qu’une telle intention est inexistante dans le cas d’ententes informelles entre conjoints ou amis : </w:t>
      </w:r>
      <w:r w:rsidRPr="00394CCC">
        <w:rPr>
          <w:rFonts w:cs="Times New Roman"/>
          <w:i/>
          <w:lang w:val="fr-CA"/>
        </w:rPr>
        <w:t>Balfour c. Balfour</w:t>
      </w:r>
      <w:r w:rsidRPr="00394CCC">
        <w:rPr>
          <w:rFonts w:cs="Times New Roman"/>
          <w:lang w:val="fr-CA"/>
        </w:rPr>
        <w:t xml:space="preserve">, [1919] 2 K.B. 571 (C.A.); </w:t>
      </w:r>
      <w:r w:rsidRPr="00394CCC">
        <w:rPr>
          <w:rFonts w:cs="Times New Roman"/>
          <w:i/>
          <w:lang w:val="fr-CA"/>
        </w:rPr>
        <w:t>Eng c. Evans</w:t>
      </w:r>
      <w:r w:rsidRPr="00394CCC">
        <w:rPr>
          <w:rFonts w:cs="Times New Roman"/>
          <w:lang w:val="fr-CA"/>
        </w:rPr>
        <w:t xml:space="preserve"> (1991), 83 Alta. L.R. (2d) 107 (B.R.). Dans tous les cas, la question consiste à dégager l’intention qui ressort objectivement de la conduite des parties.</w:t>
      </w:r>
    </w:p>
    <w:p w:rsidR="003F2287" w:rsidRPr="00394CCC" w:rsidRDefault="003F2287" w:rsidP="003F2287">
      <w:pPr>
        <w:pStyle w:val="ParaNoNdepar-AltN"/>
        <w:rPr>
          <w:rFonts w:cs="Times New Roman"/>
          <w:lang w:val="fr-CA"/>
        </w:rPr>
      </w:pPr>
      <w:r w:rsidRPr="00394CCC">
        <w:rPr>
          <w:rFonts w:cs="Times New Roman"/>
          <w:lang w:val="fr-CA"/>
        </w:rPr>
        <w:t xml:space="preserve">Ces principes s’appliquent directement à la question de savoir si une association volontaire donnée est constituée par contrat. Comme a écrit Stephen Aylward dans </w:t>
      </w:r>
      <w:r w:rsidRPr="00394CCC">
        <w:rPr>
          <w:rFonts w:cs="Times New Roman"/>
          <w:i/>
          <w:lang w:val="fr-CA"/>
        </w:rPr>
        <w:t xml:space="preserve">The Law of </w:t>
      </w:r>
      <w:proofErr w:type="spellStart"/>
      <w:r w:rsidRPr="00394CCC">
        <w:rPr>
          <w:rFonts w:cs="Times New Roman"/>
          <w:i/>
          <w:lang w:val="fr-CA"/>
        </w:rPr>
        <w:t>Unincorporated</w:t>
      </w:r>
      <w:proofErr w:type="spellEnd"/>
      <w:r w:rsidRPr="00394CCC">
        <w:rPr>
          <w:rFonts w:cs="Times New Roman"/>
          <w:i/>
          <w:lang w:val="fr-CA"/>
        </w:rPr>
        <w:t xml:space="preserve"> Associations in Canada </w:t>
      </w:r>
      <w:r w:rsidRPr="00394CCC">
        <w:rPr>
          <w:rFonts w:cs="Times New Roman"/>
          <w:lang w:val="fr-CA"/>
        </w:rPr>
        <w:t>(2020), §1.32, [</w:t>
      </w:r>
      <w:r w:rsidRPr="00394CCC">
        <w:rPr>
          <w:rFonts w:cs="Times New Roman"/>
          <w:smallCaps/>
          <w:lang w:val="fr-CA"/>
        </w:rPr>
        <w:t>traduction</w:t>
      </w:r>
      <w:r w:rsidRPr="00394CCC">
        <w:rPr>
          <w:rFonts w:cs="Times New Roman"/>
          <w:lang w:val="fr-CA"/>
        </w:rPr>
        <w:t>] « [l]’élément clé de la création d’une association réside dans l’intention, de la part de ses membres, d’établir des rapports contractuels. Il s’agit de la distinction fondamentale entre des activités sociales informelles et une association comportant une dimension juridique. » Il peut arriver que le club local de philatélie ou un club de bridge se soient dotés de règles, mais, en l’absence d’autre chose, personne ne supposerait que leurs membres entendaient que ces règles soient juridiquement exécutoires. Or, bien que les circonstances susceptibles de révéler une telle intention varient d’une affaire à l’autre, il est possible de formuler deux observations générales qui sont pertinentes dans le présent cas.</w:t>
      </w:r>
    </w:p>
    <w:p w:rsidR="003F2287" w:rsidRPr="00394CCC" w:rsidRDefault="003F2287" w:rsidP="003F2287">
      <w:pPr>
        <w:pStyle w:val="ParaNoNdepar-AltN"/>
        <w:rPr>
          <w:rFonts w:cs="Times New Roman"/>
          <w:lang w:val="fr-CA"/>
        </w:rPr>
      </w:pPr>
      <w:r w:rsidRPr="00394CCC">
        <w:rPr>
          <w:rFonts w:cs="Times New Roman"/>
          <w:lang w:val="fr-CA"/>
        </w:rPr>
        <w:t xml:space="preserve">Premièrement, lorsque des biens ou des emplois sont en jeu, il est davantage probable qu’une intention objective de créer des rapports juridiques existe : J. R. S. Forbes, </w:t>
      </w:r>
      <w:r w:rsidRPr="00394CCC">
        <w:rPr>
          <w:rFonts w:cs="Times New Roman"/>
          <w:i/>
          <w:lang w:val="fr-CA"/>
        </w:rPr>
        <w:t xml:space="preserve">The Law of </w:t>
      </w:r>
      <w:proofErr w:type="spellStart"/>
      <w:r w:rsidRPr="00394CCC">
        <w:rPr>
          <w:rFonts w:cs="Times New Roman"/>
          <w:i/>
          <w:lang w:val="fr-CA"/>
        </w:rPr>
        <w:t>Domestic</w:t>
      </w:r>
      <w:proofErr w:type="spellEnd"/>
      <w:r w:rsidRPr="00394CCC">
        <w:rPr>
          <w:rFonts w:cs="Times New Roman"/>
          <w:i/>
          <w:lang w:val="fr-CA"/>
        </w:rPr>
        <w:t xml:space="preserve"> or </w:t>
      </w:r>
      <w:proofErr w:type="spellStart"/>
      <w:r w:rsidRPr="00394CCC">
        <w:rPr>
          <w:rFonts w:cs="Times New Roman"/>
          <w:i/>
          <w:lang w:val="fr-CA"/>
        </w:rPr>
        <w:t>Private</w:t>
      </w:r>
      <w:proofErr w:type="spellEnd"/>
      <w:r w:rsidRPr="00394CCC">
        <w:rPr>
          <w:rFonts w:cs="Times New Roman"/>
          <w:i/>
          <w:lang w:val="fr-CA"/>
        </w:rPr>
        <w:t xml:space="preserve"> </w:t>
      </w:r>
      <w:proofErr w:type="spellStart"/>
      <w:r w:rsidRPr="00394CCC">
        <w:rPr>
          <w:rFonts w:cs="Times New Roman"/>
          <w:i/>
          <w:lang w:val="fr-CA"/>
        </w:rPr>
        <w:t>Tribunals</w:t>
      </w:r>
      <w:proofErr w:type="spellEnd"/>
      <w:r w:rsidRPr="00394CCC">
        <w:rPr>
          <w:rFonts w:cs="Times New Roman"/>
          <w:iCs/>
          <w:lang w:val="fr-CA"/>
        </w:rPr>
        <w:t xml:space="preserve"> </w:t>
      </w:r>
      <w:r w:rsidRPr="00394CCC">
        <w:rPr>
          <w:rFonts w:cs="Times New Roman"/>
          <w:lang w:val="fr-CA"/>
        </w:rPr>
        <w:t>(1982), p. 20</w:t>
      </w:r>
      <w:r w:rsidRPr="00394CCC">
        <w:rPr>
          <w:rFonts w:cs="Times New Roman"/>
          <w:lang w:val="fr-CA"/>
        </w:rPr>
        <w:noBreakHyphen/>
        <w:t xml:space="preserve">21. Lorsque des parties concluent un accord régissant leur droit de demeurer dans leur résidence ou leur capacité de gagner leur vie, un observateur raisonnable supposerait vraisemblablement que les parties entendaient que cet accord soit exécutoire. Ainsi, dans les arrêts </w:t>
      </w:r>
      <w:r w:rsidRPr="00394CCC">
        <w:rPr>
          <w:rFonts w:cs="Times New Roman"/>
          <w:i/>
          <w:iCs/>
          <w:lang w:val="fr-CA"/>
        </w:rPr>
        <w:t>Hofer</w:t>
      </w:r>
      <w:r w:rsidRPr="00394CCC">
        <w:rPr>
          <w:rFonts w:cs="Times New Roman"/>
          <w:lang w:val="fr-CA"/>
        </w:rPr>
        <w:t xml:space="preserve"> et </w:t>
      </w:r>
      <w:proofErr w:type="spellStart"/>
      <w:r w:rsidRPr="00394CCC">
        <w:rPr>
          <w:rFonts w:cs="Times New Roman"/>
          <w:i/>
          <w:iCs/>
          <w:lang w:val="fr-CA"/>
        </w:rPr>
        <w:t>Lakeside</w:t>
      </w:r>
      <w:proofErr w:type="spellEnd"/>
      <w:r w:rsidRPr="00394CCC">
        <w:rPr>
          <w:rFonts w:cs="Times New Roman"/>
          <w:lang w:val="fr-CA"/>
        </w:rPr>
        <w:t>, où l’accord conclu par les parties prévoyait à la fois leur droit de vivre dans la colonie et leur droit d’être soutenus par celle</w:t>
      </w:r>
      <w:r w:rsidRPr="00394CCC">
        <w:rPr>
          <w:rFonts w:cs="Times New Roman"/>
          <w:lang w:val="fr-CA"/>
        </w:rPr>
        <w:noBreakHyphen/>
        <w:t xml:space="preserve">ci, ce facteur appuyait la conclusion que les parties avaient souhaité que l’accord soit juridiquement contraignant. C’était aussi le cas dans l’affaire </w:t>
      </w:r>
      <w:proofErr w:type="spellStart"/>
      <w:r w:rsidRPr="00394CCC">
        <w:rPr>
          <w:rFonts w:cs="Times New Roman"/>
          <w:i/>
          <w:iCs/>
          <w:lang w:val="fr-CA"/>
        </w:rPr>
        <w:t>McCaw</w:t>
      </w:r>
      <w:proofErr w:type="spellEnd"/>
      <w:r w:rsidRPr="00394CCC">
        <w:rPr>
          <w:rFonts w:cs="Times New Roman"/>
          <w:iCs/>
          <w:lang w:val="fr-CA"/>
        </w:rPr>
        <w:t>,</w:t>
      </w:r>
      <w:r w:rsidRPr="00394CCC">
        <w:rPr>
          <w:rFonts w:cs="Times New Roman"/>
          <w:lang w:val="fr-CA"/>
        </w:rPr>
        <w:t xml:space="preserve"> où l’accord entre les parties déterminait si le ministre du culte pouvait gagner sa vie au sein de l’Église, et dans </w:t>
      </w:r>
      <w:proofErr w:type="spellStart"/>
      <w:r w:rsidRPr="00394CCC">
        <w:rPr>
          <w:rFonts w:cs="Times New Roman"/>
          <w:i/>
          <w:lang w:val="fr-CA"/>
        </w:rPr>
        <w:t>Foran</w:t>
      </w:r>
      <w:proofErr w:type="spellEnd"/>
      <w:r w:rsidRPr="00394CCC">
        <w:rPr>
          <w:rFonts w:cs="Times New Roman"/>
          <w:i/>
          <w:lang w:val="fr-CA"/>
        </w:rPr>
        <w:t xml:space="preserve"> c. </w:t>
      </w:r>
      <w:proofErr w:type="spellStart"/>
      <w:r w:rsidRPr="00394CCC">
        <w:rPr>
          <w:rFonts w:cs="Times New Roman"/>
          <w:i/>
          <w:lang w:val="fr-CA"/>
        </w:rPr>
        <w:t>Kottmeier</w:t>
      </w:r>
      <w:proofErr w:type="spellEnd"/>
      <w:r w:rsidRPr="00394CCC">
        <w:rPr>
          <w:rFonts w:cs="Times New Roman"/>
          <w:lang w:val="fr-CA"/>
        </w:rPr>
        <w:t xml:space="preserve">, [1973] 3 </w:t>
      </w:r>
      <w:proofErr w:type="spellStart"/>
      <w:r w:rsidRPr="00394CCC">
        <w:rPr>
          <w:rFonts w:cs="Times New Roman"/>
          <w:lang w:val="fr-CA"/>
        </w:rPr>
        <w:t>O.R</w:t>
      </w:r>
      <w:proofErr w:type="spellEnd"/>
      <w:r w:rsidRPr="00394CCC">
        <w:rPr>
          <w:rFonts w:cs="Times New Roman"/>
          <w:lang w:val="fr-CA"/>
        </w:rPr>
        <w:t>. 1002 (C.A.), où une organisation de personnel infirmier assignait des mandats à ses membres.</w:t>
      </w:r>
    </w:p>
    <w:p w:rsidR="003F2287" w:rsidRPr="00394CCC" w:rsidRDefault="003F2287" w:rsidP="003F2287">
      <w:pPr>
        <w:pStyle w:val="ParaNoNdepar-AltN"/>
        <w:rPr>
          <w:rFonts w:cs="Times New Roman"/>
          <w:lang w:val="fr-CA"/>
        </w:rPr>
      </w:pPr>
      <w:r w:rsidRPr="00394CCC">
        <w:rPr>
          <w:rFonts w:cs="Times New Roman"/>
          <w:lang w:val="fr-CA"/>
        </w:rPr>
        <w:t xml:space="preserve">Deuxièmement, l’existence d’une intention objective de créer des rapports juridiques peut à l’inverse se révéler « plus difficile à démontrer dans un contexte religieux » : </w:t>
      </w:r>
      <w:r w:rsidRPr="00394CCC">
        <w:rPr>
          <w:rFonts w:cs="Times New Roman"/>
          <w:i/>
          <w:lang w:val="fr-CA"/>
        </w:rPr>
        <w:t>Wall</w:t>
      </w:r>
      <w:r w:rsidRPr="00394CCC">
        <w:rPr>
          <w:rFonts w:cs="Times New Roman"/>
          <w:lang w:val="fr-CA"/>
        </w:rPr>
        <w:t xml:space="preserve">, par. 29. Dans </w:t>
      </w:r>
      <w:proofErr w:type="spellStart"/>
      <w:r w:rsidRPr="00394CCC">
        <w:rPr>
          <w:rFonts w:cs="Times New Roman"/>
          <w:i/>
          <w:lang w:val="fr-CA"/>
        </w:rPr>
        <w:t>Pinke</w:t>
      </w:r>
      <w:proofErr w:type="spellEnd"/>
      <w:r w:rsidRPr="00394CCC">
        <w:rPr>
          <w:rFonts w:cs="Times New Roman"/>
          <w:i/>
          <w:lang w:val="fr-CA"/>
        </w:rPr>
        <w:t xml:space="preserve"> c. </w:t>
      </w:r>
      <w:proofErr w:type="spellStart"/>
      <w:r w:rsidRPr="00394CCC">
        <w:rPr>
          <w:rFonts w:cs="Times New Roman"/>
          <w:i/>
          <w:lang w:val="fr-CA"/>
        </w:rPr>
        <w:t>Bornhold</w:t>
      </w:r>
      <w:proofErr w:type="spellEnd"/>
      <w:r w:rsidRPr="00394CCC">
        <w:rPr>
          <w:rFonts w:cs="Times New Roman"/>
          <w:lang w:val="fr-CA"/>
        </w:rPr>
        <w:t xml:space="preserve"> (1904), 8 </w:t>
      </w:r>
      <w:proofErr w:type="spellStart"/>
      <w:r w:rsidRPr="00394CCC">
        <w:rPr>
          <w:rFonts w:cs="Times New Roman"/>
          <w:lang w:val="fr-CA"/>
        </w:rPr>
        <w:t>O.L.R</w:t>
      </w:r>
      <w:proofErr w:type="spellEnd"/>
      <w:r w:rsidRPr="00394CCC">
        <w:rPr>
          <w:rFonts w:cs="Times New Roman"/>
          <w:lang w:val="fr-CA"/>
        </w:rPr>
        <w:t xml:space="preserve">. 575 (H.C.J.), le </w:t>
      </w:r>
      <w:r>
        <w:rPr>
          <w:rFonts w:cs="Times New Roman"/>
          <w:lang w:val="fr-CA"/>
        </w:rPr>
        <w:t>demandeur</w:t>
      </w:r>
      <w:r w:rsidRPr="00394CCC">
        <w:rPr>
          <w:rFonts w:cs="Times New Roman"/>
          <w:lang w:val="fr-CA"/>
        </w:rPr>
        <w:t xml:space="preserve"> avait été exclu sans préavis et déchu de son statut de membre d’une Église à laquelle il avait fait des dons. En rejetant sa demande de réparation, le tribunal a conclu, à la p. 578, que [</w:t>
      </w:r>
      <w:r w:rsidRPr="00394CCC">
        <w:rPr>
          <w:rFonts w:cs="Times New Roman"/>
          <w:smallCaps/>
          <w:lang w:val="fr-CA"/>
        </w:rPr>
        <w:t>traduction</w:t>
      </w:r>
      <w:r w:rsidRPr="00394CCC">
        <w:rPr>
          <w:rFonts w:cs="Times New Roman"/>
          <w:lang w:val="fr-CA"/>
        </w:rPr>
        <w:t>] « [l]es contributions du demandeur à l’Église et au presbytère étaient volontaires. Ses droits civils n’</w:t>
      </w:r>
      <w:r>
        <w:rPr>
          <w:rFonts w:cs="Times New Roman"/>
          <w:lang w:val="fr-CA"/>
        </w:rPr>
        <w:t>on</w:t>
      </w:r>
      <w:r w:rsidRPr="00394CCC">
        <w:rPr>
          <w:rFonts w:cs="Times New Roman"/>
          <w:lang w:val="fr-CA"/>
        </w:rPr>
        <w:t>t donc pas été lésés par suite de la résolution des membres du conseil presbytéral de l’excommunier. » Plus récemment, la Cour d’appel de l’Alberta a examiné une demande présentée par des personnes qui avaient été excommuniées d’une congrégation des Témoins de Jéhovah. La cour a rejeté leur demande, statuant que [</w:t>
      </w:r>
      <w:r w:rsidRPr="00394CCC">
        <w:rPr>
          <w:rFonts w:cs="Times New Roman"/>
          <w:smallCaps/>
          <w:lang w:val="fr-CA"/>
        </w:rPr>
        <w:t>traduction</w:t>
      </w:r>
      <w:r w:rsidRPr="00394CCC">
        <w:rPr>
          <w:rFonts w:cs="Times New Roman"/>
          <w:lang w:val="fr-CA"/>
        </w:rPr>
        <w:t xml:space="preserve">] « tous les travaux ainsi que toutes les autres contributions qu’ont pu fournir les appelants l’ont été sur une base purement volontaire et ne leur ont conféré aucun intérêt de propriété » : </w:t>
      </w:r>
      <w:proofErr w:type="spellStart"/>
      <w:r w:rsidRPr="00394CCC">
        <w:rPr>
          <w:rFonts w:cs="Times New Roman"/>
          <w:i/>
          <w:lang w:val="fr-CA"/>
        </w:rPr>
        <w:t>Zebroski</w:t>
      </w:r>
      <w:proofErr w:type="spellEnd"/>
      <w:r w:rsidRPr="00394CCC">
        <w:rPr>
          <w:rFonts w:cs="Times New Roman"/>
          <w:i/>
          <w:lang w:val="fr-CA"/>
        </w:rPr>
        <w:t xml:space="preserve"> c. </w:t>
      </w:r>
      <w:proofErr w:type="spellStart"/>
      <w:r w:rsidRPr="00394CCC">
        <w:rPr>
          <w:rFonts w:cs="Times New Roman"/>
          <w:i/>
          <w:lang w:val="fr-CA"/>
        </w:rPr>
        <w:t>Jehovah’s</w:t>
      </w:r>
      <w:proofErr w:type="spellEnd"/>
      <w:r w:rsidRPr="00394CCC">
        <w:rPr>
          <w:rFonts w:cs="Times New Roman"/>
          <w:i/>
          <w:lang w:val="fr-CA"/>
        </w:rPr>
        <w:t xml:space="preserve"> </w:t>
      </w:r>
      <w:proofErr w:type="spellStart"/>
      <w:r w:rsidRPr="00394CCC">
        <w:rPr>
          <w:rFonts w:cs="Times New Roman"/>
          <w:i/>
          <w:lang w:val="fr-CA"/>
        </w:rPr>
        <w:t>Witnesses</w:t>
      </w:r>
      <w:proofErr w:type="spellEnd"/>
      <w:r w:rsidRPr="00394CCC">
        <w:rPr>
          <w:rFonts w:cs="Times New Roman"/>
          <w:lang w:val="fr-CA"/>
        </w:rPr>
        <w:t xml:space="preserve"> (1988), 87 A.R. 229 (C.A.), par. 21. En contexte religieux, </w:t>
      </w:r>
      <w:bookmarkStart w:id="7" w:name="_Hlk66028339"/>
      <w:r w:rsidRPr="00394CCC">
        <w:rPr>
          <w:rFonts w:cs="Times New Roman"/>
          <w:lang w:val="fr-CA"/>
        </w:rPr>
        <w:t>même l’utilisation de concepts tels que autorité et devoir ne reflètent pas nécessairement une intention de créer des rapports juridiques : il est possible que les parties se réfèrent à des obligations</w:t>
      </w:r>
      <w:bookmarkEnd w:id="7"/>
      <w:r w:rsidRPr="00394CCC">
        <w:rPr>
          <w:rFonts w:cs="Times New Roman"/>
          <w:lang w:val="fr-CA"/>
        </w:rPr>
        <w:t xml:space="preserve"> religieuses plutôt que juridiques. Bien qu’une intention objective de conclure des rapports juridiques soit possible dans un contexte religieux ⸺ par exemple, un contrat de travail entre un ministre du culte et son Église ⸺ chaque affaire doit être tranchée selon les faits qui lui sont propres : </w:t>
      </w:r>
      <w:r w:rsidRPr="00394CCC">
        <w:rPr>
          <w:rFonts w:cs="Times New Roman"/>
          <w:i/>
          <w:lang w:val="fr-CA"/>
        </w:rPr>
        <w:t xml:space="preserve">E. c. English Province of Our Lady of </w:t>
      </w:r>
      <w:proofErr w:type="spellStart"/>
      <w:r w:rsidRPr="00394CCC">
        <w:rPr>
          <w:rFonts w:cs="Times New Roman"/>
          <w:i/>
          <w:lang w:val="fr-CA"/>
        </w:rPr>
        <w:t>Charity</w:t>
      </w:r>
      <w:proofErr w:type="spellEnd"/>
      <w:r w:rsidRPr="00394CCC">
        <w:rPr>
          <w:rFonts w:cs="Times New Roman"/>
          <w:lang w:val="fr-CA"/>
        </w:rPr>
        <w:t xml:space="preserve">, [2012] </w:t>
      </w:r>
      <w:proofErr w:type="spellStart"/>
      <w:r w:rsidRPr="00394CCC">
        <w:rPr>
          <w:rFonts w:cs="Times New Roman"/>
          <w:lang w:val="fr-CA"/>
        </w:rPr>
        <w:t>EWCA</w:t>
      </w:r>
      <w:proofErr w:type="spellEnd"/>
      <w:r w:rsidRPr="00394CCC">
        <w:rPr>
          <w:rFonts w:cs="Times New Roman"/>
          <w:lang w:val="fr-CA"/>
        </w:rPr>
        <w:t xml:space="preserve"> </w:t>
      </w:r>
      <w:proofErr w:type="spellStart"/>
      <w:r w:rsidRPr="00394CCC">
        <w:rPr>
          <w:rFonts w:cs="Times New Roman"/>
          <w:lang w:val="fr-CA"/>
        </w:rPr>
        <w:t>Civ</w:t>
      </w:r>
      <w:proofErr w:type="spellEnd"/>
      <w:r w:rsidRPr="00394CCC">
        <w:rPr>
          <w:rFonts w:cs="Times New Roman"/>
          <w:lang w:val="fr-CA"/>
        </w:rPr>
        <w:t xml:space="preserve"> 938, [2013] Q.B. 722, par. 29; </w:t>
      </w:r>
      <w:r w:rsidRPr="00394CCC">
        <w:rPr>
          <w:rFonts w:cs="Times New Roman"/>
          <w:i/>
          <w:lang w:val="fr-CA"/>
        </w:rPr>
        <w:t>Percy c. Board of National Mission of the Church of Scotland</w:t>
      </w:r>
      <w:r w:rsidRPr="00394CCC">
        <w:rPr>
          <w:rFonts w:cs="Times New Roman"/>
          <w:lang w:val="fr-CA"/>
        </w:rPr>
        <w:t>, [2005] UKHL 73, [2006] 2 A.C. 28.</w:t>
      </w:r>
    </w:p>
    <w:p w:rsidR="003F2287" w:rsidRPr="00394CCC" w:rsidRDefault="003F2287" w:rsidP="003F2287">
      <w:pPr>
        <w:pStyle w:val="ParaNoNdepar-AltN"/>
        <w:rPr>
          <w:rFonts w:cs="Times New Roman"/>
          <w:lang w:val="fr-CA"/>
        </w:rPr>
      </w:pPr>
      <w:r w:rsidRPr="00394CCC">
        <w:rPr>
          <w:rFonts w:cs="Times New Roman"/>
          <w:lang w:val="fr-CA"/>
        </w:rPr>
        <w:t xml:space="preserve">En résumé, il s’ensuit que les tribunaux doivent disposer de la compétence requise pour donner effet aux droits légaux </w:t>
      </w:r>
      <w:r w:rsidRPr="00394CCC">
        <w:rPr>
          <w:rFonts w:cs="Times New Roman"/>
        </w:rPr>
        <w:t>⸺</w:t>
      </w:r>
      <w:r w:rsidRPr="00394CCC">
        <w:rPr>
          <w:rFonts w:cs="Times New Roman"/>
          <w:lang w:val="fr-CA"/>
        </w:rPr>
        <w:t xml:space="preserve"> y compris les droits légaux dont bénéficient les membres d’associations religieuses et qui sont lésés de manière inacceptable dans le cours des activités de ces associations (comme l’a fait observer l’intervenant Fonds Égale Canada pour les droits de la personne). Par ailleurs, les tribunaux ne devraient toutefois pas qualifier trop hâtivement de juridiquement contraignants des engagements religieux (ainsi que l’a souligné l’intervenante Association for Reformed Political Action (ARPA) Canada). </w:t>
      </w:r>
    </w:p>
    <w:p w:rsidR="003F2287" w:rsidRPr="00394CCC" w:rsidRDefault="003F2287" w:rsidP="003F2287">
      <w:pPr>
        <w:pStyle w:val="Title3LevelTitre3Niveau"/>
        <w:rPr>
          <w:rFonts w:cs="Times New Roman"/>
          <w:lang w:val="fr-CA"/>
        </w:rPr>
      </w:pPr>
      <w:r w:rsidRPr="00394CCC">
        <w:rPr>
          <w:rFonts w:cs="Times New Roman"/>
          <w:lang w:val="fr-CA"/>
        </w:rPr>
        <w:t>Affaires portant sur l’existence d’un réseau de contrats</w:t>
      </w:r>
    </w:p>
    <w:p w:rsidR="003F2287" w:rsidRPr="00394CCC" w:rsidRDefault="003F2287" w:rsidP="003F2287">
      <w:pPr>
        <w:pStyle w:val="ParaNoNdepar-AltN"/>
        <w:rPr>
          <w:rFonts w:cs="Times New Roman"/>
          <w:lang w:val="fr-CA"/>
        </w:rPr>
      </w:pPr>
      <w:r w:rsidRPr="00394CCC">
        <w:rPr>
          <w:rFonts w:cs="Times New Roman"/>
          <w:lang w:val="fr-CA" w:bidi="en-US"/>
        </w:rPr>
        <w:t xml:space="preserve">J’ouvre une parenthèse ici afin de formuler quelques remarques sur les affaires dites de « série ou réseau de contrats », et de préciser comment ces affaires devraient être interprétées et appliquées. Comme je l’ai expliqué précédemment, il y a contrat au sein d’une association volontaire uniquement lorsque les conditions de formation des contrats sont réunies. En conséquence, ce ne sont pas toutes les associations volontaires qui sont constituées par contrat. Cependant, la Cour d’appel semble avoir adopté un point de vue différent. Se référant aux arrêts </w:t>
      </w:r>
      <w:r w:rsidRPr="00394CCC">
        <w:rPr>
          <w:rFonts w:cs="Times New Roman"/>
          <w:i/>
          <w:iCs/>
          <w:lang w:val="fr-CA" w:bidi="en-US"/>
        </w:rPr>
        <w:t>Senez</w:t>
      </w:r>
      <w:r w:rsidRPr="00394CCC">
        <w:rPr>
          <w:rFonts w:cs="Times New Roman"/>
          <w:lang w:val="fr-CA" w:bidi="en-US"/>
        </w:rPr>
        <w:t xml:space="preserve"> et </w:t>
      </w:r>
      <w:proofErr w:type="spellStart"/>
      <w:r w:rsidRPr="00394CCC">
        <w:rPr>
          <w:rFonts w:cs="Times New Roman"/>
          <w:i/>
          <w:iCs/>
          <w:lang w:val="fr-CA" w:bidi="en-US"/>
        </w:rPr>
        <w:t>Ahenakew</w:t>
      </w:r>
      <w:proofErr w:type="spellEnd"/>
      <w:r w:rsidRPr="00394CCC">
        <w:rPr>
          <w:rFonts w:cs="Times New Roman"/>
          <w:lang w:val="fr-CA" w:bidi="en-US"/>
        </w:rPr>
        <w:t>, elle a conclu que l’appartenance à une association volontaire qui possède une constitution écrite et des règlements intérieurs constitue en soi un contrat. Cette théorie [</w:t>
      </w:r>
      <w:r w:rsidRPr="00394CCC">
        <w:rPr>
          <w:rFonts w:cs="Times New Roman"/>
          <w:smallCaps/>
          <w:lang w:val="fr-CA" w:bidi="en-US"/>
        </w:rPr>
        <w:t>traduction</w:t>
      </w:r>
      <w:r w:rsidRPr="00394CCC">
        <w:rPr>
          <w:rFonts w:cs="Times New Roman"/>
          <w:lang w:val="fr-CA" w:bidi="en-US"/>
        </w:rPr>
        <w:t>] « éliminerait concrètement tout besoin à l’avenir pour les tribunaux de justifier leur intervention dans les différends des organisations religieuses » : M. </w:t>
      </w:r>
      <w:r>
        <w:rPr>
          <w:rFonts w:cs="Times New Roman"/>
          <w:lang w:val="fr-CA" w:bidi="en-US"/>
        </w:rPr>
        <w:t>H. </w:t>
      </w:r>
      <w:proofErr w:type="spellStart"/>
      <w:r w:rsidRPr="00394CCC">
        <w:rPr>
          <w:rFonts w:cs="Times New Roman"/>
          <w:lang w:val="fr-CA" w:bidi="en-US"/>
        </w:rPr>
        <w:t>Ogilvie</w:t>
      </w:r>
      <w:proofErr w:type="spellEnd"/>
      <w:r w:rsidRPr="00394CCC">
        <w:rPr>
          <w:rFonts w:cs="Times New Roman"/>
          <w:lang w:val="fr-CA" w:bidi="en-US"/>
        </w:rPr>
        <w:t xml:space="preserve">, « Case </w:t>
      </w:r>
      <w:proofErr w:type="spellStart"/>
      <w:r w:rsidRPr="00394CCC">
        <w:rPr>
          <w:rFonts w:cs="Times New Roman"/>
          <w:lang w:val="fr-CA" w:bidi="en-US"/>
        </w:rPr>
        <w:t>Comments</w:t>
      </w:r>
      <w:proofErr w:type="spellEnd"/>
      <w:r w:rsidRPr="00394CCC">
        <w:rPr>
          <w:rFonts w:cs="Times New Roman"/>
          <w:lang w:val="fr-CA" w:bidi="en-US"/>
        </w:rPr>
        <w:t xml:space="preserve"> : </w:t>
      </w:r>
      <w:proofErr w:type="spellStart"/>
      <w:r w:rsidRPr="00394CCC">
        <w:rPr>
          <w:rFonts w:cs="Times New Roman"/>
          <w:i/>
          <w:lang w:val="fr-CA" w:bidi="en-US"/>
        </w:rPr>
        <w:t>Lakeside</w:t>
      </w:r>
      <w:proofErr w:type="spellEnd"/>
      <w:r w:rsidRPr="00394CCC">
        <w:rPr>
          <w:rFonts w:cs="Times New Roman"/>
          <w:i/>
          <w:lang w:val="fr-CA" w:bidi="en-US"/>
        </w:rPr>
        <w:t xml:space="preserve"> </w:t>
      </w:r>
      <w:proofErr w:type="spellStart"/>
      <w:r w:rsidRPr="00394CCC">
        <w:rPr>
          <w:rFonts w:cs="Times New Roman"/>
          <w:i/>
          <w:lang w:val="fr-CA" w:bidi="en-US"/>
        </w:rPr>
        <w:t>Colony</w:t>
      </w:r>
      <w:proofErr w:type="spellEnd"/>
      <w:r w:rsidRPr="00394CCC">
        <w:rPr>
          <w:rFonts w:cs="Times New Roman"/>
          <w:i/>
          <w:lang w:val="fr-CA" w:bidi="en-US"/>
        </w:rPr>
        <w:t xml:space="preserve"> of </w:t>
      </w:r>
      <w:proofErr w:type="spellStart"/>
      <w:r w:rsidRPr="00394CCC">
        <w:rPr>
          <w:rFonts w:cs="Times New Roman"/>
          <w:i/>
          <w:lang w:val="fr-CA" w:bidi="en-US"/>
        </w:rPr>
        <w:t>Hutterian</w:t>
      </w:r>
      <w:proofErr w:type="spellEnd"/>
      <w:r w:rsidRPr="00394CCC">
        <w:rPr>
          <w:rFonts w:cs="Times New Roman"/>
          <w:i/>
          <w:lang w:val="fr-CA" w:bidi="en-US"/>
        </w:rPr>
        <w:t xml:space="preserve"> </w:t>
      </w:r>
      <w:proofErr w:type="spellStart"/>
      <w:r w:rsidRPr="00394CCC">
        <w:rPr>
          <w:rFonts w:cs="Times New Roman"/>
          <w:i/>
          <w:lang w:val="fr-CA" w:bidi="en-US"/>
        </w:rPr>
        <w:t>Brethren</w:t>
      </w:r>
      <w:proofErr w:type="spellEnd"/>
      <w:r w:rsidRPr="00394CCC">
        <w:rPr>
          <w:rFonts w:cs="Times New Roman"/>
          <w:lang w:val="fr-CA" w:bidi="en-US"/>
        </w:rPr>
        <w:t xml:space="preserve"> v. </w:t>
      </w:r>
      <w:r w:rsidRPr="00394CCC">
        <w:rPr>
          <w:rFonts w:cs="Times New Roman"/>
          <w:i/>
          <w:lang w:val="fr-CA" w:bidi="en-US"/>
        </w:rPr>
        <w:t>Hofer</w:t>
      </w:r>
      <w:r w:rsidRPr="00394CCC">
        <w:rPr>
          <w:rFonts w:cs="Times New Roman"/>
          <w:lang w:val="fr-CA" w:bidi="en-US"/>
        </w:rPr>
        <w:t xml:space="preserve"> » (1993), 72 </w:t>
      </w:r>
      <w:r w:rsidRPr="00394CCC">
        <w:rPr>
          <w:rFonts w:cs="Times New Roman"/>
          <w:i/>
          <w:lang w:val="fr-CA" w:bidi="en-US"/>
        </w:rPr>
        <w:t xml:space="preserve">R. du B. </w:t>
      </w:r>
      <w:proofErr w:type="spellStart"/>
      <w:r w:rsidRPr="00394CCC">
        <w:rPr>
          <w:rFonts w:cs="Times New Roman"/>
          <w:i/>
          <w:lang w:val="fr-CA" w:bidi="en-US"/>
        </w:rPr>
        <w:t>can</w:t>
      </w:r>
      <w:proofErr w:type="spellEnd"/>
      <w:r w:rsidRPr="00394CCC">
        <w:rPr>
          <w:rFonts w:cs="Times New Roman"/>
          <w:i/>
          <w:lang w:val="fr-CA" w:bidi="en-US"/>
        </w:rPr>
        <w:t>.</w:t>
      </w:r>
      <w:r w:rsidRPr="00394CCC">
        <w:rPr>
          <w:rFonts w:cs="Times New Roman"/>
          <w:lang w:val="fr-CA" w:bidi="en-US"/>
        </w:rPr>
        <w:t xml:space="preserve"> 238, p. 248. Si la seule appartenance à une organisation volontaire dotée de règles écrites créait un « droit légal » de la nature de celui dont il est question dans l’arrêt </w:t>
      </w:r>
      <w:r w:rsidRPr="00394CCC">
        <w:rPr>
          <w:rFonts w:cs="Times New Roman"/>
          <w:i/>
          <w:iCs/>
          <w:lang w:val="fr-CA" w:bidi="en-US"/>
        </w:rPr>
        <w:t>Wall</w:t>
      </w:r>
      <w:r w:rsidRPr="00394CCC">
        <w:rPr>
          <w:rFonts w:cs="Times New Roman"/>
          <w:lang w:val="fr-CA" w:bidi="en-US"/>
        </w:rPr>
        <w:t xml:space="preserve">, l’intervention des tribunaux serait alors automatique et généralisée. L’exigence relative à l’existence d’un droit légal serait vidée de son sens : </w:t>
      </w:r>
      <w:r w:rsidRPr="00394CCC">
        <w:rPr>
          <w:rFonts w:cs="Times New Roman"/>
          <w:i/>
          <w:iCs/>
          <w:lang w:val="fr-CA" w:bidi="en-US"/>
        </w:rPr>
        <w:t>Wall</w:t>
      </w:r>
      <w:r w:rsidRPr="00394CCC">
        <w:rPr>
          <w:rFonts w:cs="Times New Roman"/>
          <w:lang w:val="fr-CA" w:bidi="en-US"/>
        </w:rPr>
        <w:t>, par. 29. Comme je vais l’expliquer, la jurisprudence n’étaye pas ce point de vue.</w:t>
      </w:r>
    </w:p>
    <w:p w:rsidR="003F2287" w:rsidRPr="00394CCC" w:rsidRDefault="003F2287" w:rsidP="003F2287">
      <w:pPr>
        <w:pStyle w:val="ParaNoNdepar-AltN"/>
        <w:rPr>
          <w:rFonts w:cs="Times New Roman"/>
          <w:lang w:val="fr-CA"/>
        </w:rPr>
      </w:pPr>
      <w:r w:rsidRPr="00394CCC">
        <w:rPr>
          <w:rFonts w:cs="Times New Roman"/>
          <w:lang w:val="fr-CA"/>
        </w:rPr>
        <w:t xml:space="preserve">Dans l’arrêt </w:t>
      </w:r>
      <w:r w:rsidRPr="00394CCC">
        <w:rPr>
          <w:rFonts w:cs="Times New Roman"/>
          <w:i/>
          <w:iCs/>
          <w:lang w:val="fr-CA"/>
        </w:rPr>
        <w:t>Senez</w:t>
      </w:r>
      <w:r w:rsidRPr="00394CCC">
        <w:rPr>
          <w:rFonts w:cs="Times New Roman"/>
          <w:lang w:val="fr-CA"/>
        </w:rPr>
        <w:t>, un membre d’une chambre immobilière constituée en société a été expulsé et a intenté une poursuite en dommages</w:t>
      </w:r>
      <w:r w:rsidRPr="00394CCC">
        <w:rPr>
          <w:rFonts w:cs="Times New Roman"/>
          <w:lang w:val="fr-CA"/>
        </w:rPr>
        <w:noBreakHyphen/>
        <w:t>intérêts contre la chambre. Son emploi dépendait du maintien de son appartenance à la chambre, et il était légalement tenu de payer des cotisations à cette dernière. Il était donc indubitable que la constitution et le règlement intérieur de la chambre étaient juridiquement contraignants à l’égard de celle</w:t>
      </w:r>
      <w:r w:rsidRPr="00394CCC">
        <w:rPr>
          <w:rFonts w:cs="Times New Roman"/>
          <w:lang w:val="fr-CA"/>
        </w:rPr>
        <w:noBreakHyphen/>
        <w:t xml:space="preserve">ci et du membre. La question que la Cour devait trancher était celle de savoir si une expulsion effectuée en violation du règlement intérieur de la chambre constituait un délit (assujetti à un délai de prescription court, selon le droit applicable) ou une violation contractuelle (assujettie à un délai de prescription plus long). C’est dans ce contexte que le juge Beetz a conclu, à la p. 567, que « l’obligation de la corporation de fournir les services convenus et d’observer ses propres règlements, en ce qui concerne l’expulsion d’un membre comme à tous autres égards, est [. . .] de nature contractuelle ». En bref, l’arrêt </w:t>
      </w:r>
      <w:r w:rsidRPr="00394CCC">
        <w:rPr>
          <w:rFonts w:cs="Times New Roman"/>
          <w:i/>
          <w:iCs/>
          <w:lang w:val="fr-CA"/>
        </w:rPr>
        <w:t>Senez</w:t>
      </w:r>
      <w:r w:rsidRPr="00394CCC">
        <w:rPr>
          <w:rFonts w:cs="Times New Roman"/>
          <w:lang w:val="fr-CA"/>
        </w:rPr>
        <w:t xml:space="preserve"> portait sur la qualification des règles juridiquement contraignantes d’une société. Il ne s’agissait pas de décider fondamentalement si les règles d’une association non constituée en société sont juridiquement contraignantes. </w:t>
      </w:r>
    </w:p>
    <w:p w:rsidR="003F2287" w:rsidRPr="00394CCC" w:rsidRDefault="003F2287" w:rsidP="003F2287">
      <w:pPr>
        <w:pStyle w:val="ParaNoNdepar-AltN"/>
        <w:rPr>
          <w:rFonts w:cs="Times New Roman"/>
          <w:lang w:val="fr-CA"/>
        </w:rPr>
      </w:pPr>
      <w:r w:rsidRPr="00394CCC">
        <w:rPr>
          <w:rFonts w:cs="Times New Roman"/>
          <w:lang w:val="fr-CA"/>
        </w:rPr>
        <w:t xml:space="preserve">Il est vrai que le juge Beetz, </w:t>
      </w:r>
      <w:proofErr w:type="gramStart"/>
      <w:r w:rsidRPr="00394CCC">
        <w:rPr>
          <w:rFonts w:cs="Times New Roman"/>
          <w:lang w:val="fr-CA"/>
        </w:rPr>
        <w:t>aux p. 570</w:t>
      </w:r>
      <w:proofErr w:type="gramEnd"/>
      <w:r w:rsidRPr="00394CCC">
        <w:rPr>
          <w:rFonts w:cs="Times New Roman"/>
          <w:lang w:val="fr-CA"/>
        </w:rPr>
        <w:noBreakHyphen/>
        <w:t xml:space="preserve">571, s’est référé à des affaires concernant des associations volontaires, notamment des syndicats de travailleurs constitués par contrat. L’élément crucial dans ces affaires est le fait que les associations volontaires ne jouissent pas de la personnalité juridique, sauf si le législateur leur a expressément ou implicitement conféré cette personnalité : </w:t>
      </w:r>
      <w:r w:rsidRPr="00394CCC">
        <w:rPr>
          <w:rFonts w:cs="Times New Roman"/>
          <w:i/>
          <w:iCs/>
          <w:lang w:val="fr-CA"/>
        </w:rPr>
        <w:t xml:space="preserve">Berry c. </w:t>
      </w:r>
      <w:proofErr w:type="spellStart"/>
      <w:r w:rsidRPr="00394CCC">
        <w:rPr>
          <w:rFonts w:cs="Times New Roman"/>
          <w:i/>
          <w:iCs/>
          <w:lang w:val="fr-CA"/>
        </w:rPr>
        <w:t>Pulley</w:t>
      </w:r>
      <w:proofErr w:type="spellEnd"/>
      <w:r w:rsidRPr="00394CCC">
        <w:rPr>
          <w:rFonts w:cs="Times New Roman"/>
          <w:lang w:val="fr-CA"/>
        </w:rPr>
        <w:t xml:space="preserve">, 2002 CSC 40, [2002] 2 R.C.S. 493, par. 46; Aylward, § 1.3. Un membre lésé par une telle association ne peut pas intenter une action directement contre l’association, à moins que cela ne soit prévu par la loi. Pour combler ce vide juridique, la common law a élaboré la théorie selon laquelle certaines associations volontaires sont constituées par un réseau de contrats liant chacun des membres : </w:t>
      </w:r>
      <w:r w:rsidRPr="00394CCC">
        <w:rPr>
          <w:rFonts w:cs="Times New Roman"/>
          <w:i/>
          <w:lang w:val="fr-CA"/>
        </w:rPr>
        <w:t xml:space="preserve">The </w:t>
      </w:r>
      <w:proofErr w:type="spellStart"/>
      <w:r w:rsidRPr="00394CCC">
        <w:rPr>
          <w:rFonts w:cs="Times New Roman"/>
          <w:i/>
          <w:lang w:val="fr-CA"/>
        </w:rPr>
        <w:t>Satanita</w:t>
      </w:r>
      <w:proofErr w:type="spellEnd"/>
      <w:r w:rsidRPr="00394CCC">
        <w:rPr>
          <w:rFonts w:cs="Times New Roman"/>
          <w:lang w:val="fr-CA"/>
        </w:rPr>
        <w:t xml:space="preserve">, [1895] P. 248 (C.A.), conf. par </w:t>
      </w:r>
      <w:r w:rsidRPr="00394CCC">
        <w:rPr>
          <w:rFonts w:cs="Times New Roman"/>
          <w:i/>
          <w:iCs/>
          <w:lang w:val="fr-CA"/>
        </w:rPr>
        <w:t xml:space="preserve">Clarke c. Earl of </w:t>
      </w:r>
      <w:proofErr w:type="spellStart"/>
      <w:r w:rsidRPr="00394CCC">
        <w:rPr>
          <w:rFonts w:cs="Times New Roman"/>
          <w:i/>
          <w:iCs/>
          <w:lang w:val="fr-CA"/>
        </w:rPr>
        <w:t>Dunraven</w:t>
      </w:r>
      <w:proofErr w:type="spellEnd"/>
      <w:r w:rsidRPr="00394CCC">
        <w:rPr>
          <w:rFonts w:cs="Times New Roman"/>
          <w:lang w:val="fr-CA"/>
        </w:rPr>
        <w:t xml:space="preserve">, [1897] </w:t>
      </w:r>
      <w:proofErr w:type="spellStart"/>
      <w:r w:rsidRPr="00394CCC">
        <w:rPr>
          <w:rFonts w:cs="Times New Roman"/>
          <w:lang w:val="fr-CA"/>
        </w:rPr>
        <w:t>A.C</w:t>
      </w:r>
      <w:proofErr w:type="spellEnd"/>
      <w:r w:rsidRPr="00394CCC">
        <w:rPr>
          <w:rFonts w:cs="Times New Roman"/>
          <w:lang w:val="fr-CA"/>
        </w:rPr>
        <w:t xml:space="preserve">. 59 (H.L.). </w:t>
      </w:r>
    </w:p>
    <w:p w:rsidR="003F2287" w:rsidRPr="00394CCC" w:rsidRDefault="003F2287" w:rsidP="003F2287">
      <w:pPr>
        <w:pStyle w:val="ParaNoNdepar-AltN"/>
        <w:rPr>
          <w:rFonts w:cs="Times New Roman"/>
          <w:lang w:val="fr-CA"/>
        </w:rPr>
      </w:pPr>
      <w:r w:rsidRPr="00394CCC">
        <w:rPr>
          <w:rFonts w:cs="Times New Roman"/>
          <w:lang w:val="fr-CA"/>
        </w:rPr>
        <w:t xml:space="preserve">Dans des arrêts tels </w:t>
      </w:r>
      <w:proofErr w:type="spellStart"/>
      <w:r w:rsidRPr="00394CCC">
        <w:rPr>
          <w:rFonts w:cs="Times New Roman"/>
          <w:i/>
          <w:lang w:val="fr-CA"/>
        </w:rPr>
        <w:t>Lakeside</w:t>
      </w:r>
      <w:proofErr w:type="spellEnd"/>
      <w:r w:rsidRPr="00394CCC">
        <w:rPr>
          <w:rFonts w:cs="Times New Roman"/>
          <w:lang w:val="fr-CA"/>
        </w:rPr>
        <w:t xml:space="preserve"> et </w:t>
      </w:r>
      <w:r w:rsidRPr="00394CCC">
        <w:rPr>
          <w:rFonts w:cs="Times New Roman"/>
          <w:i/>
          <w:lang w:val="fr-CA"/>
        </w:rPr>
        <w:t>Hofer</w:t>
      </w:r>
      <w:r w:rsidRPr="00394CCC">
        <w:rPr>
          <w:rFonts w:cs="Times New Roman"/>
          <w:lang w:val="fr-CA"/>
        </w:rPr>
        <w:t xml:space="preserve">, l’existence d’un réseau de contrats peut être considérée comme le résultat d’une interprétation objective de l’intention des parties. L’offre, l’acceptation et la contrepartie sont toutes des conditions nécessaires, mais, suivant les principes généraux du droit des contrats, elles peuvent souvent découler de l’existence d’une intention objective. Lorsqu’il est démontré que les membres de l’association avaient objectivement l’intention de créer des rapports contractuels, l’offre, l’acceptation et la contrepartie entre chacun des membres peuvent souvent être dégagées implicitement des circonstances. Un exemple d’une telle situation est l’affaire </w:t>
      </w:r>
      <w:r w:rsidRPr="00394CCC">
        <w:rPr>
          <w:rFonts w:cs="Times New Roman"/>
          <w:i/>
          <w:lang w:val="fr-CA"/>
        </w:rPr>
        <w:t xml:space="preserve">The </w:t>
      </w:r>
      <w:proofErr w:type="spellStart"/>
      <w:r w:rsidRPr="00394CCC">
        <w:rPr>
          <w:rFonts w:cs="Times New Roman"/>
          <w:i/>
          <w:lang w:val="fr-CA"/>
        </w:rPr>
        <w:t>Satanita</w:t>
      </w:r>
      <w:proofErr w:type="spellEnd"/>
      <w:r w:rsidRPr="00394CCC">
        <w:rPr>
          <w:rFonts w:cs="Times New Roman"/>
          <w:lang w:val="fr-CA"/>
        </w:rPr>
        <w:t>, dans laquelle il a été décidé que les participants à une course de voiliers avaient conclu des contrats les uns avec les autres de la manière suivante :</w:t>
      </w:r>
    </w:p>
    <w:p w:rsidR="003F2287" w:rsidRPr="00394CCC" w:rsidRDefault="003F2287" w:rsidP="003F2287">
      <w:pPr>
        <w:pStyle w:val="Citation-AltC"/>
        <w:spacing w:after="240"/>
        <w:ind w:left="1168" w:hanging="1168"/>
        <w:contextualSpacing w:val="0"/>
        <w:rPr>
          <w:lang w:val="fr-CA"/>
        </w:rPr>
      </w:pPr>
      <w:r w:rsidRPr="00394CCC">
        <w:rPr>
          <w:lang w:val="fr-CA"/>
        </w:rPr>
        <w:tab/>
        <w:t>[</w:t>
      </w:r>
      <w:r w:rsidRPr="00394CCC">
        <w:rPr>
          <w:smallCaps/>
          <w:lang w:val="fr-CA"/>
        </w:rPr>
        <w:t>traduction</w:t>
      </w:r>
      <w:r w:rsidRPr="00394CCC">
        <w:rPr>
          <w:lang w:val="fr-CA"/>
        </w:rPr>
        <w:t>] Un certain nombre de messieurs se sont constitués en comité et ont proposé de remettre des prix à l’issue de courses de voiliers se déroulant à un endroit précis et un jour donné, et ils ont publié certaines règles et déclaré ceci : « Si vous voulez naviguer lors de l’une de nos courses dans le but de remporter notre prix, vous ne pouvez le faire que si vous vous soumettez aux conditions que nous avons ainsi établies. Et l’une de ces conditions est que, si vous naviguez dans le but de remporter l’un de ces prix, vous devez vous obliger comme suit envers les propriétaires des voiliers qui participent eux aussi à la compétition, lesquels s’obligent en même temps similairement envers vous, à savoir que, si par un manquement à l’une ou l’autre de nos règles, vous causez des dommages matériels ou physiques au propriétaire d’un voilier en compétition, vous serez responsables de la réparation des dommages que vous aurez ainsi causés. » Si c’est le cas, alors lorsqu’ils naviguent, et pas avant, la relation est immédiatement formée entre les propriétaires des voiliers.</w:t>
      </w:r>
    </w:p>
    <w:p w:rsidR="003F2287" w:rsidRPr="00394CCC" w:rsidRDefault="003F2287" w:rsidP="003F2287">
      <w:pPr>
        <w:pStyle w:val="Citation-AltC"/>
        <w:ind w:left="1168" w:hanging="1168"/>
        <w:contextualSpacing w:val="0"/>
        <w:rPr>
          <w:lang w:val="fr-CA"/>
        </w:rPr>
      </w:pPr>
      <w:r w:rsidRPr="00394CCC">
        <w:rPr>
          <w:lang w:val="fr-CA"/>
        </w:rPr>
        <w:t>(</w:t>
      </w:r>
      <w:r w:rsidRPr="00394CCC">
        <w:rPr>
          <w:i/>
          <w:lang w:val="fr-CA"/>
        </w:rPr>
        <w:t xml:space="preserve">The </w:t>
      </w:r>
      <w:proofErr w:type="spellStart"/>
      <w:r w:rsidRPr="00394CCC">
        <w:rPr>
          <w:i/>
          <w:lang w:val="fr-CA"/>
        </w:rPr>
        <w:t>Satanita</w:t>
      </w:r>
      <w:proofErr w:type="spellEnd"/>
      <w:r w:rsidRPr="00394CCC">
        <w:rPr>
          <w:lang w:val="fr-CA"/>
        </w:rPr>
        <w:t>, p. 255, le maître des rôles lord Esher)</w:t>
      </w:r>
    </w:p>
    <w:p w:rsidR="003F2287" w:rsidRPr="00394CCC" w:rsidRDefault="003F2287" w:rsidP="003F2287">
      <w:pPr>
        <w:pStyle w:val="ParaNoNdepar-AltN"/>
        <w:rPr>
          <w:rFonts w:cs="Times New Roman"/>
          <w:lang w:val="fr-CA"/>
        </w:rPr>
      </w:pPr>
      <w:r w:rsidRPr="00394CCC">
        <w:rPr>
          <w:rFonts w:cs="Times New Roman"/>
          <w:lang w:val="fr-CA"/>
        </w:rPr>
        <w:t xml:space="preserve">Par contraste, il est possible qu’une intention objective de créer des rapports juridiques n’entraîne pas la création d’un réseau de contrats liant chacun des membres dans les cas où la personnalité juridique a été conférée à une association par la loi. Dans l’arrêt </w:t>
      </w:r>
      <w:proofErr w:type="spellStart"/>
      <w:r w:rsidRPr="00394CCC">
        <w:rPr>
          <w:rFonts w:cs="Times New Roman"/>
          <w:i/>
          <w:lang w:val="fr-CA"/>
        </w:rPr>
        <w:t>Orchard</w:t>
      </w:r>
      <w:proofErr w:type="spellEnd"/>
      <w:r w:rsidRPr="00394CCC">
        <w:rPr>
          <w:rFonts w:cs="Times New Roman"/>
          <w:i/>
          <w:lang w:val="fr-CA"/>
        </w:rPr>
        <w:t xml:space="preserve"> c. </w:t>
      </w:r>
      <w:proofErr w:type="spellStart"/>
      <w:r w:rsidRPr="00394CCC">
        <w:rPr>
          <w:rFonts w:cs="Times New Roman"/>
          <w:i/>
          <w:lang w:val="fr-CA"/>
        </w:rPr>
        <w:t>Tunney</w:t>
      </w:r>
      <w:proofErr w:type="spellEnd"/>
      <w:r w:rsidRPr="00394CCC">
        <w:rPr>
          <w:rFonts w:cs="Times New Roman"/>
          <w:lang w:val="fr-CA"/>
        </w:rPr>
        <w:t xml:space="preserve">, [1957] </w:t>
      </w:r>
      <w:proofErr w:type="spellStart"/>
      <w:r w:rsidRPr="00394CCC">
        <w:rPr>
          <w:rFonts w:cs="Times New Roman"/>
          <w:lang w:val="fr-CA"/>
        </w:rPr>
        <w:t>R.C.S</w:t>
      </w:r>
      <w:proofErr w:type="spellEnd"/>
      <w:r w:rsidRPr="00394CCC">
        <w:rPr>
          <w:rFonts w:cs="Times New Roman"/>
          <w:lang w:val="fr-CA"/>
        </w:rPr>
        <w:t xml:space="preserve">. 436, la Cour a jugé que les syndicats étaient constitués par un réseau de contrats liant chacun des membres. Une telle structure était nécessaire à l’époque pour offrir certains recours aux membres syndiqués lésés, mais elle a été écartée par une réforme législative subséquente : </w:t>
      </w:r>
      <w:r w:rsidRPr="00394CCC">
        <w:rPr>
          <w:rFonts w:cs="Times New Roman"/>
          <w:i/>
          <w:lang w:val="fr-CA"/>
        </w:rPr>
        <w:t>Berry</w:t>
      </w:r>
      <w:r w:rsidRPr="00394CCC">
        <w:rPr>
          <w:rFonts w:cs="Times New Roman"/>
          <w:lang w:val="fr-CA"/>
        </w:rPr>
        <w:t>, par. 37</w:t>
      </w:r>
      <w:r w:rsidRPr="00394CCC">
        <w:rPr>
          <w:rFonts w:cs="Times New Roman"/>
          <w:lang w:val="fr-CA"/>
        </w:rPr>
        <w:noBreakHyphen/>
        <w:t xml:space="preserve">39. Conformément à l’arrêt </w:t>
      </w:r>
      <w:proofErr w:type="spellStart"/>
      <w:r w:rsidRPr="00394CCC">
        <w:rPr>
          <w:rFonts w:cs="Times New Roman"/>
          <w:i/>
          <w:lang w:val="fr-CA"/>
        </w:rPr>
        <w:t>Taff</w:t>
      </w:r>
      <w:proofErr w:type="spellEnd"/>
      <w:r w:rsidRPr="00394CCC">
        <w:rPr>
          <w:rFonts w:cs="Times New Roman"/>
          <w:i/>
          <w:lang w:val="fr-CA"/>
        </w:rPr>
        <w:t xml:space="preserve"> Vale </w:t>
      </w:r>
      <w:proofErr w:type="spellStart"/>
      <w:r w:rsidRPr="00394CCC">
        <w:rPr>
          <w:rFonts w:cs="Times New Roman"/>
          <w:i/>
          <w:lang w:val="fr-CA"/>
        </w:rPr>
        <w:t>Railway</w:t>
      </w:r>
      <w:proofErr w:type="spellEnd"/>
      <w:r w:rsidRPr="00394CCC">
        <w:rPr>
          <w:rFonts w:cs="Times New Roman"/>
          <w:i/>
          <w:lang w:val="fr-CA"/>
        </w:rPr>
        <w:t xml:space="preserve"> Co. c. </w:t>
      </w:r>
      <w:proofErr w:type="spellStart"/>
      <w:r w:rsidRPr="00394CCC">
        <w:rPr>
          <w:rFonts w:cs="Times New Roman"/>
          <w:i/>
          <w:lang w:val="fr-CA"/>
        </w:rPr>
        <w:t>Amalgamated</w:t>
      </w:r>
      <w:proofErr w:type="spellEnd"/>
      <w:r w:rsidRPr="00394CCC">
        <w:rPr>
          <w:rFonts w:cs="Times New Roman"/>
          <w:i/>
          <w:lang w:val="fr-CA"/>
        </w:rPr>
        <w:t xml:space="preserve"> Society of </w:t>
      </w:r>
      <w:proofErr w:type="spellStart"/>
      <w:r w:rsidRPr="00394CCC">
        <w:rPr>
          <w:rFonts w:cs="Times New Roman"/>
          <w:i/>
          <w:lang w:val="fr-CA"/>
        </w:rPr>
        <w:t>Railway</w:t>
      </w:r>
      <w:proofErr w:type="spellEnd"/>
      <w:r w:rsidRPr="00394CCC">
        <w:rPr>
          <w:rFonts w:cs="Times New Roman"/>
          <w:i/>
          <w:lang w:val="fr-CA"/>
        </w:rPr>
        <w:t xml:space="preserve"> Servants</w:t>
      </w:r>
      <w:r w:rsidRPr="00394CCC">
        <w:rPr>
          <w:rFonts w:cs="Times New Roman"/>
          <w:lang w:val="fr-CA"/>
        </w:rPr>
        <w:t xml:space="preserve">, [1901] A.C. 426 (H.L.), notre Cour a jugé dans </w:t>
      </w:r>
      <w:r w:rsidRPr="00394CCC">
        <w:rPr>
          <w:rFonts w:cs="Times New Roman"/>
          <w:i/>
          <w:lang w:val="fr-CA"/>
        </w:rPr>
        <w:t>Berry</w:t>
      </w:r>
      <w:r w:rsidRPr="00394CCC">
        <w:rPr>
          <w:rFonts w:cs="Times New Roman"/>
          <w:lang w:val="fr-CA"/>
        </w:rPr>
        <w:t xml:space="preserve"> que, en conférant dans la loi d’importants droits et obligations aux organisations syndicales, les législateurs avaient implicitement voulu leur accorder la personnalité juridique. Un membre qui adhérait à un syndicat pouvait donc conclure un contrat avec le syndicat lui</w:t>
      </w:r>
      <w:r w:rsidRPr="00394CCC">
        <w:rPr>
          <w:rFonts w:cs="Times New Roman"/>
          <w:lang w:val="fr-CA"/>
        </w:rPr>
        <w:noBreakHyphen/>
        <w:t xml:space="preserve">même. Soutenir que chaque membre était lié par contrat à tous les autres était devenu une fiction juridique qui n’était « plus nécessaire » : </w:t>
      </w:r>
      <w:r w:rsidRPr="00394CCC">
        <w:rPr>
          <w:rFonts w:cs="Times New Roman"/>
          <w:i/>
          <w:lang w:val="fr-CA"/>
        </w:rPr>
        <w:t>Berry</w:t>
      </w:r>
      <w:r w:rsidRPr="00394CCC">
        <w:rPr>
          <w:rFonts w:cs="Times New Roman"/>
          <w:lang w:val="fr-CA"/>
        </w:rPr>
        <w:t xml:space="preserve">, par. 54. Au paragraphe 32 de l’arrêt </w:t>
      </w:r>
      <w:proofErr w:type="spellStart"/>
      <w:r w:rsidRPr="00394CCC">
        <w:rPr>
          <w:rFonts w:cs="Times New Roman"/>
          <w:i/>
          <w:iCs/>
          <w:lang w:val="fr-CA"/>
        </w:rPr>
        <w:t>Ahenakew</w:t>
      </w:r>
      <w:proofErr w:type="spellEnd"/>
      <w:r w:rsidRPr="00394CCC">
        <w:rPr>
          <w:rFonts w:cs="Times New Roman"/>
          <w:lang w:val="fr-CA"/>
        </w:rPr>
        <w:t xml:space="preserve">, la Cour d’appel de l’Ontario a conclu que le législateur avait implicitement accordé la personnalité juridique aux partis politiques de la même manière. La mesure dans laquelle ce raisonnement s’applique à d’autres types d’associations non constituées en personne morale dépendra du régime législatif en cause, et de la question de savoir s’il existe même un régime législatif applicable : </w:t>
      </w:r>
      <w:r w:rsidRPr="00394CCC">
        <w:rPr>
          <w:rFonts w:cs="Times New Roman"/>
          <w:i/>
          <w:iCs/>
          <w:lang w:val="fr-CA"/>
        </w:rPr>
        <w:t>Berry</w:t>
      </w:r>
      <w:r w:rsidRPr="00394CCC">
        <w:rPr>
          <w:rFonts w:cs="Times New Roman"/>
          <w:lang w:val="fr-CA"/>
        </w:rPr>
        <w:t xml:space="preserve">, par. 51; </w:t>
      </w:r>
      <w:proofErr w:type="spellStart"/>
      <w:r w:rsidRPr="00394CCC">
        <w:rPr>
          <w:rFonts w:cs="Times New Roman"/>
          <w:i/>
          <w:lang w:val="fr-CA"/>
        </w:rPr>
        <w:t>Polish</w:t>
      </w:r>
      <w:proofErr w:type="spellEnd"/>
      <w:r w:rsidRPr="00394CCC">
        <w:rPr>
          <w:rFonts w:cs="Times New Roman"/>
          <w:i/>
          <w:lang w:val="fr-CA"/>
        </w:rPr>
        <w:t xml:space="preserve"> Alliance</w:t>
      </w:r>
      <w:r w:rsidRPr="00394CCC">
        <w:rPr>
          <w:rFonts w:cs="Times New Roman"/>
          <w:lang w:val="fr-CA"/>
        </w:rPr>
        <w:t>, par. 21.</w:t>
      </w:r>
    </w:p>
    <w:p w:rsidR="003F2287" w:rsidRPr="00394CCC" w:rsidRDefault="003F2287" w:rsidP="003F2287">
      <w:pPr>
        <w:pStyle w:val="ParaNoNdepar-AltN"/>
        <w:rPr>
          <w:rFonts w:cs="Times New Roman"/>
          <w:lang w:val="fr-CA"/>
        </w:rPr>
      </w:pPr>
      <w:r w:rsidRPr="00394CCC">
        <w:rPr>
          <w:rFonts w:cs="Times New Roman"/>
          <w:lang w:val="fr-CA"/>
        </w:rPr>
        <w:t xml:space="preserve">Toutes ces affaires portent sur la structure juridique d’associations dont les règles sont manifestement censées être juridiquement contraignantes. Cette constatation vaut autant pour les affaires où ces règles constituent un réseau de contrats liant chacun des membres de l’association que pour celles où le législateur a écarté la notion de réseau de contrats en accordant la personnalité juridique à l’association. Dans aucune de ces affaires, il n’a été décidé que les règles d’une association </w:t>
      </w:r>
      <w:r w:rsidRPr="00394CCC">
        <w:rPr>
          <w:rFonts w:cs="Times New Roman"/>
        </w:rPr>
        <w:t>⸺</w:t>
      </w:r>
      <w:r w:rsidRPr="00394CCC">
        <w:rPr>
          <w:rFonts w:cs="Times New Roman"/>
          <w:lang w:val="fr-CA"/>
        </w:rPr>
        <w:t xml:space="preserve"> qu’elles soient écrites ou non </w:t>
      </w:r>
      <w:r w:rsidRPr="00394CCC">
        <w:rPr>
          <w:rFonts w:cs="Times New Roman"/>
        </w:rPr>
        <w:t>⸺</w:t>
      </w:r>
      <w:r w:rsidRPr="00394CCC">
        <w:rPr>
          <w:rFonts w:cs="Times New Roman"/>
          <w:lang w:val="fr-CA"/>
        </w:rPr>
        <w:t xml:space="preserve"> constituent dans tous les cas un contrat, peu importe l’intention des membres. Comme c’est le cas pour tout contrat, l’existence d’un réseau de contrats requiert l’existence d’une intention de créer des rapports juridiques.</w:t>
      </w:r>
    </w:p>
    <w:p w:rsidR="003F2287" w:rsidRPr="00394CCC" w:rsidRDefault="003F2287" w:rsidP="003F2287">
      <w:pPr>
        <w:pStyle w:val="Title2LevelTitre2Niveau"/>
        <w:rPr>
          <w:rFonts w:cs="Times New Roman"/>
          <w:lang w:val="fr-CA"/>
        </w:rPr>
      </w:pPr>
      <w:r w:rsidRPr="00394CCC">
        <w:rPr>
          <w:rFonts w:cs="Times New Roman"/>
          <w:lang w:val="fr-CA"/>
        </w:rPr>
        <w:t>Conclusion</w:t>
      </w:r>
    </w:p>
    <w:p w:rsidR="003F2287" w:rsidRPr="00394CCC" w:rsidRDefault="003F2287" w:rsidP="003F2287">
      <w:pPr>
        <w:pStyle w:val="ParaNoNdepar-AltN"/>
        <w:rPr>
          <w:rFonts w:cs="Times New Roman"/>
          <w:lang w:val="fr-CA"/>
        </w:rPr>
      </w:pPr>
      <w:r w:rsidRPr="00394CCC">
        <w:rPr>
          <w:rFonts w:cs="Times New Roman"/>
          <w:lang w:val="fr-CA"/>
        </w:rPr>
        <w:t>En résumé, les tribunaux peuvent uniquement intervenir dans les affaires d’une association volontaire pour statuer sur un droit légal, par exemple un droit de propriété ou un droit contractuel. L’appartenance à une association volontaire n’est pas automatiquement de nature contractuelle. Même l’existence d’une constitution écrite ne suffit pas. L’appartenance est de nature contractuelle seulement lorsque les conditions de formation des contrats sont réunies, y compris l’intention objective de créer des rapports juridiques. Une telle intention est davantage susceptible d’exister lorsque des biens ou des emplois sont en jeu. Elle l’est moins dans des contextes religieux, où il est possible que les personnes veuillent que leurs obligations mutuelles soient contraignantes sur le plan spirituel, mais non sur le plan juridique. Une association volontaire est constituée par un réseau de contrats liant chacun des membres uniquement lorsque les conditions de formation des contrats sont réunies.</w:t>
      </w:r>
    </w:p>
    <w:p w:rsidR="003F2287" w:rsidRPr="00394CCC" w:rsidRDefault="003F2287" w:rsidP="003F2287">
      <w:pPr>
        <w:pStyle w:val="Title1LevelTitre1Niveau-AltL"/>
        <w:rPr>
          <w:rFonts w:cs="Times New Roman"/>
          <w:lang w:val="fr-CA"/>
        </w:rPr>
      </w:pPr>
      <w:r w:rsidRPr="00394CCC">
        <w:rPr>
          <w:rFonts w:cs="Times New Roman"/>
          <w:lang w:val="fr-CA"/>
        </w:rPr>
        <w:t>Application</w:t>
      </w:r>
    </w:p>
    <w:p w:rsidR="003F2287" w:rsidRPr="00394CCC" w:rsidRDefault="003F2287" w:rsidP="003F2287">
      <w:pPr>
        <w:pStyle w:val="ParaNoNdepar-AltN"/>
        <w:rPr>
          <w:rFonts w:eastAsiaTheme="minorHAnsi" w:cs="Times New Roman"/>
          <w:lang w:val="fr-CA"/>
        </w:rPr>
      </w:pPr>
      <w:r w:rsidRPr="00394CCC">
        <w:rPr>
          <w:rFonts w:eastAsiaTheme="minorHAnsi" w:cs="Times New Roman"/>
          <w:lang w:val="fr-CA"/>
        </w:rPr>
        <w:t xml:space="preserve">Au vu du dossier dans la présente affaire, il n’y a aucune preuve de l’existence d’une intention objective de créer des rapports juridiques. Comme a eu raison de conclure la juge des motions, il y a par conséquent absence de contrat, absence de compétence et absence de véritable question nécessitant la tenue d’une instruction. </w:t>
      </w:r>
    </w:p>
    <w:p w:rsidR="003F2287" w:rsidRPr="00394CCC" w:rsidRDefault="003F2287" w:rsidP="003F2287">
      <w:pPr>
        <w:pStyle w:val="ParaNoNdepar-AltN"/>
        <w:rPr>
          <w:rFonts w:eastAsiaTheme="minorHAnsi" w:cs="Times New Roman"/>
          <w:lang w:val="fr-CA"/>
        </w:rPr>
      </w:pPr>
      <w:r w:rsidRPr="00394CCC">
        <w:rPr>
          <w:rFonts w:eastAsiaTheme="minorHAnsi" w:cs="Times New Roman"/>
          <w:lang w:val="fr-CA"/>
        </w:rPr>
        <w:t>La juge des motions a conclu que les intimés n’avaient pas apporté la preuve de l’existence d’un contrat, soulignant qu’un des éléments essentiels d’un contrat est l’intention mutuelle des parties d’être liées par les modalités de celui</w:t>
      </w:r>
      <w:r w:rsidRPr="00394CCC">
        <w:rPr>
          <w:rFonts w:eastAsiaTheme="minorHAnsi" w:cs="Times New Roman"/>
          <w:lang w:val="fr-CA"/>
        </w:rPr>
        <w:noBreakHyphen/>
        <w:t xml:space="preserve">ci. Les intimés ont fait valoir, dans le cadre de la motion en jugement sommaire, que la Constitution et le Règlement intérieur constituaient un contrat juridiquement contraignant, mais la juge des motions a statué que les intimés ne connaissaient même pas l’existence du Règlement intérieur ou de ses modalités lorsqu’ils sont devenus membres. Facteur plus important encore, le fait de devenir membre d’une association volontaire </w:t>
      </w:r>
      <w:r w:rsidRPr="00394CCC">
        <w:rPr>
          <w:rFonts w:eastAsiaTheme="minorHAnsi" w:cs="Times New Roman"/>
          <w:i/>
          <w:iCs/>
          <w:lang w:val="fr-CA"/>
        </w:rPr>
        <w:t>religieuse</w:t>
      </w:r>
      <w:r w:rsidRPr="00394CCC">
        <w:rPr>
          <w:rFonts w:eastAsiaTheme="minorHAnsi" w:cs="Times New Roman"/>
          <w:lang w:val="fr-CA"/>
        </w:rPr>
        <w:t xml:space="preserve"> </w:t>
      </w:r>
      <w:r w:rsidRPr="00394CCC">
        <w:rPr>
          <w:rFonts w:cs="Times New Roman"/>
        </w:rPr>
        <w:t>⸺</w:t>
      </w:r>
      <w:r w:rsidRPr="00394CCC">
        <w:rPr>
          <w:rFonts w:cs="Times New Roman"/>
          <w:lang w:val="fr-CA"/>
        </w:rPr>
        <w:t xml:space="preserve"> </w:t>
      </w:r>
      <w:r w:rsidRPr="00394CCC">
        <w:rPr>
          <w:rFonts w:eastAsiaTheme="minorHAnsi" w:cs="Times New Roman"/>
          <w:lang w:val="fr-CA"/>
        </w:rPr>
        <w:t>et même le fait d’accepter d’être lié par certaines règles de cette association</w:t>
      </w:r>
      <w:r w:rsidRPr="00394CCC">
        <w:rPr>
          <w:rFonts w:cs="Times New Roman"/>
          <w:lang w:val="fr-CA"/>
        </w:rPr>
        <w:t xml:space="preserve"> </w:t>
      </w:r>
      <w:r w:rsidRPr="00394CCC">
        <w:rPr>
          <w:rFonts w:cs="Times New Roman"/>
        </w:rPr>
        <w:t>⸺</w:t>
      </w:r>
      <w:r w:rsidRPr="00394CCC">
        <w:rPr>
          <w:rFonts w:cs="Times New Roman"/>
          <w:lang w:val="fr-CA"/>
        </w:rPr>
        <w:t xml:space="preserve"> </w:t>
      </w:r>
      <w:r w:rsidRPr="00394CCC">
        <w:rPr>
          <w:rFonts w:eastAsiaTheme="minorHAnsi" w:cs="Times New Roman"/>
          <w:lang w:val="fr-CA"/>
        </w:rPr>
        <w:t xml:space="preserve">n’établit pas, à lui seul, l’intention objective de conclure juridiquement un contrat dont l’exécution peut être demandée aux tribunaux. Les membres d’une association volontaire religieuse peuvent contracter des obligations religieuses sans contracter d’obligations juridiques. </w:t>
      </w:r>
    </w:p>
    <w:p w:rsidR="003F2287" w:rsidRPr="00394CCC" w:rsidRDefault="003F2287" w:rsidP="003F2287">
      <w:pPr>
        <w:pStyle w:val="ParaNoNdepar-AltN"/>
        <w:rPr>
          <w:rFonts w:eastAsiaTheme="minorHAnsi" w:cs="Times New Roman"/>
          <w:lang w:val="fr-CA"/>
        </w:rPr>
      </w:pPr>
      <w:r w:rsidRPr="00394CCC">
        <w:rPr>
          <w:rFonts w:eastAsiaTheme="minorHAnsi" w:cs="Times New Roman"/>
          <w:lang w:val="fr-CA"/>
        </w:rPr>
        <w:t>En l’espèce, il n’y a aucune preuve de l’existence d’une intention objective de créer des rapports juridiques, et cette constatation est fatale à la demande des intimés. Il importe peu que les intimés se soient engagés ou non à verser de l’argent lorsqu’ils sont devenus membres de la Congrégation (point qui est contesté, comme je l’explique plus loin), et que certains d’entre eux aient signé les lignes directrices du comité d’enquête dans lesquel</w:t>
      </w:r>
      <w:r>
        <w:rPr>
          <w:rFonts w:eastAsiaTheme="minorHAnsi" w:cs="Times New Roman"/>
          <w:lang w:val="fr-CA"/>
        </w:rPr>
        <w:t>le</w:t>
      </w:r>
      <w:r w:rsidRPr="00394CCC">
        <w:rPr>
          <w:rFonts w:eastAsiaTheme="minorHAnsi" w:cs="Times New Roman"/>
          <w:lang w:val="fr-CA"/>
        </w:rPr>
        <w:t xml:space="preserve">s il était fait mention des règles et règlements de l’Église (fait survenu de nombreuses années après la prétendue formation du contrat, je tiens à le préciser). En l’absence d’une intention objective de créer des rapports contractuels, rien de tout cela n’a d’importance. Il n’y a, dans le dossier dont je dispose, rien qui puisse être qualifié d’intention objective de la part de l’un ou l’autre des appelants de faire une offre, et rien qui puisse être qualifié d’intention objective de la part de l’un ou l’autre des intimés d’accepter une telle offre, et vice versa. </w:t>
      </w:r>
    </w:p>
    <w:p w:rsidR="003F2287" w:rsidRPr="00394CCC" w:rsidRDefault="003F2287" w:rsidP="003F2287">
      <w:pPr>
        <w:pStyle w:val="ParaNoNdepar-AltN"/>
        <w:rPr>
          <w:rFonts w:cs="Times New Roman"/>
          <w:lang w:val="fr-CA"/>
        </w:rPr>
      </w:pPr>
      <w:r w:rsidRPr="00394CCC">
        <w:rPr>
          <w:rFonts w:eastAsiaTheme="minorHAnsi" w:cs="Times New Roman"/>
          <w:lang w:val="fr-CA"/>
        </w:rPr>
        <w:t>Il n’est donc pas nécessaire d’examiner la question de savoir si les intimés ont fait des dons ou versé des frais d’adhésion, et, dans l’affirmative, si ces paiements pouvaient constituer une contrepartie. Il n’est pas non plus nécessaire de se pencher sur la question de savoir si la Constitution ou le Règlement intérieur</w:t>
      </w:r>
      <w:r w:rsidRPr="00394CCC">
        <w:rPr>
          <w:rFonts w:cs="Times New Roman"/>
          <w:lang w:val="fr-CA"/>
        </w:rPr>
        <w:t xml:space="preserve"> </w:t>
      </w:r>
      <w:r w:rsidRPr="00394CCC">
        <w:rPr>
          <w:rFonts w:cs="Times New Roman"/>
        </w:rPr>
        <w:t>⸺</w:t>
      </w:r>
      <w:r w:rsidRPr="00394CCC">
        <w:rPr>
          <w:rFonts w:cs="Times New Roman"/>
          <w:lang w:val="fr-CA"/>
        </w:rPr>
        <w:t xml:space="preserve"> à supposer qu’ils constituent </w:t>
      </w:r>
      <w:r w:rsidRPr="00394CCC">
        <w:rPr>
          <w:rFonts w:eastAsiaTheme="minorHAnsi" w:cs="Times New Roman"/>
          <w:lang w:val="fr-CA"/>
        </w:rPr>
        <w:t>les modalités d’un contrat</w:t>
      </w:r>
      <w:r w:rsidRPr="00394CCC">
        <w:rPr>
          <w:rFonts w:cs="Times New Roman"/>
          <w:lang w:val="fr-CA"/>
        </w:rPr>
        <w:t xml:space="preserve"> </w:t>
      </w:r>
      <w:r w:rsidRPr="00394CCC">
        <w:rPr>
          <w:rFonts w:cs="Times New Roman"/>
        </w:rPr>
        <w:t>⸺</w:t>
      </w:r>
      <w:r w:rsidRPr="00394CCC">
        <w:rPr>
          <w:rFonts w:cs="Times New Roman"/>
          <w:lang w:val="fr-CA"/>
        </w:rPr>
        <w:t xml:space="preserve"> ont </w:t>
      </w:r>
      <w:r w:rsidRPr="00394CCC">
        <w:rPr>
          <w:rFonts w:eastAsiaTheme="minorHAnsi" w:cs="Times New Roman"/>
          <w:lang w:val="fr-CA"/>
        </w:rPr>
        <w:t>fait naître une obligation de respecter certaines procédures décisionnelles, y compris une obligation d’équité procédurale, ni sur aucune autre des questions soulevées par les appelants</w:t>
      </w:r>
      <w:r w:rsidRPr="00394CCC">
        <w:rPr>
          <w:rFonts w:cs="Times New Roman"/>
          <w:lang w:val="fr-CA"/>
        </w:rPr>
        <w:t xml:space="preserve">. </w:t>
      </w:r>
    </w:p>
    <w:p w:rsidR="003F2287" w:rsidRPr="00394CCC" w:rsidRDefault="003F2287" w:rsidP="003F2287">
      <w:pPr>
        <w:pStyle w:val="Title1LevelTitre1Niveau-AltL"/>
        <w:rPr>
          <w:rFonts w:cs="Times New Roman"/>
          <w:lang w:val="fr-CA"/>
        </w:rPr>
      </w:pPr>
      <w:r w:rsidRPr="00394CCC">
        <w:rPr>
          <w:rFonts w:cs="Times New Roman"/>
          <w:lang w:val="fr-CA"/>
        </w:rPr>
        <w:t>Requête en vue de produire un nouvel élément de preuve</w:t>
      </w:r>
    </w:p>
    <w:p w:rsidR="003F2287" w:rsidRPr="00394CCC" w:rsidRDefault="003F2287" w:rsidP="003F2287">
      <w:pPr>
        <w:pStyle w:val="ParaNoNdepar-AltN"/>
        <w:rPr>
          <w:rFonts w:cs="Times New Roman"/>
          <w:lang w:val="fr-CA"/>
        </w:rPr>
      </w:pPr>
      <w:r w:rsidRPr="00394CCC">
        <w:rPr>
          <w:rFonts w:cs="Times New Roman"/>
          <w:lang w:val="fr-CA"/>
        </w:rPr>
        <w:t xml:space="preserve">Avant l’audience, les appelants ont présenté une requête sollicitant l’autorisation de produire un nouvel élément de preuve en vertu du par. 62(3) de la </w:t>
      </w:r>
      <w:r w:rsidRPr="00394CCC">
        <w:rPr>
          <w:rFonts w:cs="Times New Roman"/>
          <w:i/>
          <w:iCs/>
          <w:lang w:val="fr-CA"/>
        </w:rPr>
        <w:t>Loi sur la Cour suprême</w:t>
      </w:r>
      <w:r w:rsidRPr="00394CCC">
        <w:rPr>
          <w:rFonts w:cs="Times New Roman"/>
          <w:lang w:val="fr-CA"/>
        </w:rPr>
        <w:t>,</w:t>
      </w:r>
      <w:r w:rsidRPr="00394CCC">
        <w:rPr>
          <w:rFonts w:cs="Times New Roman"/>
          <w:i/>
          <w:lang w:val="fr-CA"/>
        </w:rPr>
        <w:t xml:space="preserve"> </w:t>
      </w:r>
      <w:r w:rsidRPr="00394CCC">
        <w:rPr>
          <w:rFonts w:cs="Times New Roman"/>
          <w:lang w:val="fr-CA"/>
        </w:rPr>
        <w:t>L.R.C. 1985, c. S</w:t>
      </w:r>
      <w:r w:rsidRPr="00394CCC">
        <w:rPr>
          <w:rFonts w:cs="Times New Roman"/>
          <w:lang w:val="fr-CA"/>
        </w:rPr>
        <w:noBreakHyphen/>
        <w:t xml:space="preserve">26, et de la règle 47 des </w:t>
      </w:r>
      <w:r w:rsidRPr="00394CCC">
        <w:rPr>
          <w:rFonts w:cs="Times New Roman"/>
          <w:i/>
          <w:lang w:val="fr-CA"/>
        </w:rPr>
        <w:t>Règles de la Cour suprême du Canada</w:t>
      </w:r>
      <w:r w:rsidRPr="00394CCC">
        <w:rPr>
          <w:rFonts w:cs="Times New Roman"/>
          <w:lang w:val="fr-CA"/>
        </w:rPr>
        <w:t>,</w:t>
      </w:r>
      <w:r w:rsidRPr="00394CCC">
        <w:rPr>
          <w:rFonts w:cs="Times New Roman"/>
          <w:i/>
          <w:lang w:val="fr-CA"/>
        </w:rPr>
        <w:t xml:space="preserve"> </w:t>
      </w:r>
      <w:r w:rsidRPr="00394CCC">
        <w:rPr>
          <w:rFonts w:cs="Times New Roman"/>
          <w:lang w:val="fr-CA"/>
        </w:rPr>
        <w:t>DORS/2002</w:t>
      </w:r>
      <w:r w:rsidRPr="00394CCC">
        <w:rPr>
          <w:rFonts w:cs="Times New Roman"/>
          <w:lang w:val="fr-CA"/>
        </w:rPr>
        <w:noBreakHyphen/>
        <w:t>156. La requête a été déférée à la formation de juges chargée d’entendre le pourvoi.</w:t>
      </w:r>
    </w:p>
    <w:p w:rsidR="003F2287" w:rsidRPr="00394CCC" w:rsidRDefault="003F2287" w:rsidP="003F2287">
      <w:pPr>
        <w:pStyle w:val="ParaNoNdepar-AltN"/>
        <w:rPr>
          <w:rFonts w:cs="Times New Roman"/>
          <w:lang w:val="fr-CA"/>
        </w:rPr>
      </w:pPr>
      <w:r w:rsidRPr="00394CCC">
        <w:rPr>
          <w:rFonts w:cs="Times New Roman"/>
          <w:lang w:val="fr-CA"/>
        </w:rPr>
        <w:t xml:space="preserve">Le nouvel élément de preuve est un affidavit souscrit par </w:t>
      </w:r>
      <w:proofErr w:type="spellStart"/>
      <w:r w:rsidRPr="00394CCC">
        <w:rPr>
          <w:rFonts w:cs="Times New Roman"/>
          <w:lang w:val="fr-CA"/>
        </w:rPr>
        <w:t>Hiwot</w:t>
      </w:r>
      <w:proofErr w:type="spellEnd"/>
      <w:r w:rsidRPr="00394CCC">
        <w:rPr>
          <w:rFonts w:cs="Times New Roman"/>
          <w:lang w:val="fr-CA"/>
        </w:rPr>
        <w:t xml:space="preserve"> </w:t>
      </w:r>
      <w:proofErr w:type="spellStart"/>
      <w:r w:rsidRPr="00394CCC">
        <w:rPr>
          <w:rFonts w:cs="Times New Roman"/>
          <w:lang w:val="fr-CA"/>
        </w:rPr>
        <w:t>Gudeta</w:t>
      </w:r>
      <w:proofErr w:type="spellEnd"/>
      <w:r w:rsidRPr="00394CCC">
        <w:rPr>
          <w:rFonts w:cs="Times New Roman"/>
          <w:lang w:val="fr-CA"/>
        </w:rPr>
        <w:t xml:space="preserve">, l’une des personnes physiques appelantes (nommée Hiwot Bekele dans l’intitulé de l’instance). </w:t>
      </w:r>
      <w:r>
        <w:rPr>
          <w:rFonts w:cs="Times New Roman"/>
          <w:lang w:val="fr-CA"/>
        </w:rPr>
        <w:t>C</w:t>
      </w:r>
      <w:r w:rsidRPr="00394CCC">
        <w:rPr>
          <w:rFonts w:cs="Times New Roman"/>
          <w:lang w:val="fr-CA"/>
        </w:rPr>
        <w:t>et affidavit</w:t>
      </w:r>
      <w:r>
        <w:rPr>
          <w:rFonts w:cs="Times New Roman"/>
          <w:lang w:val="fr-CA"/>
        </w:rPr>
        <w:t xml:space="preserve"> indique que</w:t>
      </w:r>
      <w:r w:rsidRPr="00394CCC">
        <w:rPr>
          <w:rFonts w:cs="Times New Roman"/>
          <w:lang w:val="fr-CA"/>
        </w:rPr>
        <w:t xml:space="preserve"> l’Église traite les contributions financières comme des dons de bienfaisance</w:t>
      </w:r>
      <w:r>
        <w:rPr>
          <w:rFonts w:cs="Times New Roman"/>
          <w:lang w:val="fr-CA"/>
        </w:rPr>
        <w:t>. L</w:t>
      </w:r>
      <w:r w:rsidRPr="00394CCC">
        <w:rPr>
          <w:rFonts w:cs="Times New Roman"/>
          <w:lang w:val="fr-CA"/>
        </w:rPr>
        <w:t>es formulaires de demande d’adhésion des cinq intimés sont joints à cet affidavit en tant que pièces</w:t>
      </w:r>
      <w:r>
        <w:rPr>
          <w:rFonts w:cs="Times New Roman"/>
          <w:lang w:val="fr-CA"/>
        </w:rPr>
        <w:t xml:space="preserve"> et</w:t>
      </w:r>
      <w:r w:rsidRPr="00394CCC">
        <w:rPr>
          <w:rFonts w:cs="Times New Roman"/>
          <w:lang w:val="fr-CA"/>
        </w:rPr>
        <w:t xml:space="preserve"> ne font état d’aucun engagement à verser des contributions financières à l’Église. Le nouvel élément de preuve comprend aussi l’avis d’appel et les mémoires des parties à la Cour d’appel, ainsi que les motifs de la Cour d’appel et la déclaration, documents qui figurent déjà au dossier. </w:t>
      </w:r>
    </w:p>
    <w:p w:rsidR="003F2287" w:rsidRPr="00394CCC" w:rsidRDefault="003F2287" w:rsidP="003F2287">
      <w:pPr>
        <w:pStyle w:val="ParaNoNdepar-AltN"/>
        <w:rPr>
          <w:rFonts w:cs="Times New Roman"/>
          <w:lang w:val="fr-CA"/>
        </w:rPr>
      </w:pPr>
      <w:r w:rsidRPr="00394CCC">
        <w:rPr>
          <w:rFonts w:cs="Times New Roman"/>
          <w:lang w:val="fr-CA"/>
        </w:rPr>
        <w:t xml:space="preserve">L’analyse applicable pour décider si un nouvel élément de preuve est admissible en appel a été énoncée dans l’arrêt </w:t>
      </w:r>
      <w:r w:rsidRPr="00394CCC">
        <w:rPr>
          <w:rFonts w:cs="Times New Roman"/>
          <w:i/>
          <w:lang w:val="fr-CA"/>
        </w:rPr>
        <w:t>Palmer c. La Reine</w:t>
      </w:r>
      <w:r w:rsidRPr="00394CCC">
        <w:rPr>
          <w:rFonts w:cs="Times New Roman"/>
          <w:lang w:val="fr-CA"/>
        </w:rPr>
        <w:t>,</w:t>
      </w:r>
      <w:r w:rsidRPr="00394CCC">
        <w:rPr>
          <w:rFonts w:cs="Times New Roman"/>
          <w:i/>
          <w:lang w:val="fr-CA"/>
        </w:rPr>
        <w:t xml:space="preserve"> </w:t>
      </w:r>
      <w:r w:rsidRPr="00394CCC">
        <w:rPr>
          <w:rFonts w:cs="Times New Roman"/>
          <w:lang w:val="fr-CA"/>
        </w:rPr>
        <w:t>[1980] 1 R.C.S. 759, p. 775 :</w:t>
      </w:r>
    </w:p>
    <w:p w:rsidR="003F2287" w:rsidRPr="00394CCC" w:rsidRDefault="003F2287" w:rsidP="003F2287">
      <w:pPr>
        <w:pStyle w:val="Citation-AltC"/>
        <w:numPr>
          <w:ilvl w:val="3"/>
          <w:numId w:val="1"/>
        </w:numPr>
        <w:spacing w:after="240"/>
        <w:ind w:left="1077" w:firstLine="0"/>
        <w:contextualSpacing w:val="0"/>
        <w:rPr>
          <w:lang w:val="fr-CA"/>
        </w:rPr>
      </w:pPr>
      <w:r w:rsidRPr="00394CCC">
        <w:rPr>
          <w:lang w:val="fr-CA"/>
        </w:rPr>
        <w:t>On ne devrait généralement pas admettre une déposition qui, avec diligence raisonnable, aurait pu être produite au procès, à condition de ne pas appliquer ce principe général de manière aussi stricte dans les affaires criminelles que dans les affaires civiles.</w:t>
      </w:r>
    </w:p>
    <w:p w:rsidR="003F2287" w:rsidRPr="00394CCC" w:rsidRDefault="003F2287" w:rsidP="003F2287">
      <w:pPr>
        <w:pStyle w:val="Citation-AltC"/>
        <w:numPr>
          <w:ilvl w:val="3"/>
          <w:numId w:val="1"/>
        </w:numPr>
        <w:spacing w:after="240"/>
        <w:ind w:left="1077" w:firstLine="0"/>
        <w:contextualSpacing w:val="0"/>
        <w:rPr>
          <w:lang w:val="fr-CA"/>
        </w:rPr>
      </w:pPr>
      <w:r w:rsidRPr="00394CCC">
        <w:rPr>
          <w:lang w:val="fr-CA"/>
        </w:rPr>
        <w:t>La déposition doit être pertinente, en ce sens qu’elle doit porter sur une question décisive ou potentiellement décisive quant au procès.</w:t>
      </w:r>
    </w:p>
    <w:p w:rsidR="003F2287" w:rsidRPr="00394CCC" w:rsidRDefault="003F2287" w:rsidP="003F2287">
      <w:pPr>
        <w:pStyle w:val="Citation-AltC"/>
        <w:numPr>
          <w:ilvl w:val="3"/>
          <w:numId w:val="1"/>
        </w:numPr>
        <w:spacing w:after="240"/>
        <w:ind w:left="1077" w:firstLine="0"/>
        <w:contextualSpacing w:val="0"/>
        <w:rPr>
          <w:lang w:val="fr-CA"/>
        </w:rPr>
      </w:pPr>
      <w:r w:rsidRPr="00394CCC">
        <w:rPr>
          <w:lang w:val="fr-CA"/>
        </w:rPr>
        <w:t>La déposition doit être plausible, en ce sens qu’on puisse raisonnablement y ajouter foi.</w:t>
      </w:r>
    </w:p>
    <w:p w:rsidR="003F2287" w:rsidRPr="00394CCC" w:rsidRDefault="003F2287" w:rsidP="003F2287">
      <w:pPr>
        <w:pStyle w:val="Citation-AltC"/>
        <w:numPr>
          <w:ilvl w:val="3"/>
          <w:numId w:val="1"/>
        </w:numPr>
        <w:ind w:left="1077" w:firstLine="0"/>
        <w:contextualSpacing w:val="0"/>
        <w:rPr>
          <w:lang w:val="fr-CA"/>
        </w:rPr>
      </w:pPr>
      <w:r w:rsidRPr="00394CCC">
        <w:rPr>
          <w:lang w:val="fr-CA"/>
        </w:rPr>
        <w:t>Elle doit être telle que si l’on y ajoute foi, on puisse raisonnablement penser qu’avec les autres éléments de preuve produits au procès, elle aurait influé sur le résultat.</w:t>
      </w:r>
    </w:p>
    <w:p w:rsidR="003F2287" w:rsidRPr="00394CCC" w:rsidRDefault="003F2287" w:rsidP="003F2287">
      <w:pPr>
        <w:pStyle w:val="ParaNoNdepar-AltN"/>
        <w:rPr>
          <w:rFonts w:cs="Times New Roman"/>
          <w:lang w:val="fr-CA"/>
        </w:rPr>
      </w:pPr>
      <w:r w:rsidRPr="00394CCC">
        <w:rPr>
          <w:rFonts w:cs="Times New Roman"/>
          <w:lang w:val="fr-CA"/>
        </w:rPr>
        <w:t>Je suis d’avis de refuser d’admettre le nouvel élément de preuve. Il n’est pertinent qu’à l’égard de la question de la contrepartie, et plus précisément de la question de savoir si les intimés se sont à quelque moment engagés à verser des contributions financières lorsqu’ils sont devenus membres, et comment les appelants auraient interprété de tels paiements. Vu l’absence de preuve d’une intention objective de créer des rapports juridiques, il ne s’agit pas d’une question décisive et l’élément de preuve n’aurait pu influer sur le résultat. La requête est rejetée sans dépens.</w:t>
      </w:r>
    </w:p>
    <w:p w:rsidR="003F2287" w:rsidRPr="00394CCC" w:rsidRDefault="003F2287" w:rsidP="003F2287">
      <w:pPr>
        <w:pStyle w:val="Title1LevelTitre1Niveau-AltL"/>
        <w:rPr>
          <w:rFonts w:cs="Times New Roman"/>
          <w:lang w:val="fr-CA"/>
        </w:rPr>
      </w:pPr>
      <w:r w:rsidRPr="00394CCC">
        <w:rPr>
          <w:rFonts w:cs="Times New Roman"/>
          <w:lang w:val="fr-CA"/>
        </w:rPr>
        <w:t>Dispositif</w:t>
      </w:r>
    </w:p>
    <w:p w:rsidR="003F2287" w:rsidRPr="00614067" w:rsidRDefault="003F2287" w:rsidP="003F2287">
      <w:pPr>
        <w:pStyle w:val="ParaNoNdepar-AltN"/>
        <w:rPr>
          <w:rFonts w:cs="Times New Roman"/>
          <w:lang w:val="fr-CA"/>
        </w:rPr>
      </w:pPr>
      <w:r w:rsidRPr="00394CCC">
        <w:rPr>
          <w:rFonts w:cs="Times New Roman"/>
          <w:lang w:val="fr-CA"/>
        </w:rPr>
        <w:t>Le pourvoi est accueilli, l’ordonnance de la Cour d’appel est annulée et l’ordonnance de la juge des motions accordant un jugement sommaire et rejetant l’action est rétablie. Les appelants ont droit à leurs dépens devant toutes les cours.</w:t>
      </w:r>
    </w:p>
    <w:p w:rsidR="00C81AA4" w:rsidRPr="001D0B71" w:rsidRDefault="00C81AA4" w:rsidP="00C81AA4">
      <w:pPr>
        <w:pStyle w:val="SCCNormalDoubleSpacing"/>
        <w:spacing w:after="480"/>
        <w:rPr>
          <w:i/>
          <w:lang w:val="fr-CA"/>
        </w:rPr>
      </w:pPr>
      <w:r w:rsidRPr="001D0B71">
        <w:rPr>
          <w:lang w:val="fr-CA"/>
        </w:rPr>
        <w:tab/>
      </w:r>
      <w:r w:rsidRPr="001D0B71">
        <w:rPr>
          <w:i/>
          <w:lang w:val="fr-CA"/>
        </w:rPr>
        <w:t>Pourvoi accueilli avec dépens devant toutes les cours.</w:t>
      </w:r>
    </w:p>
    <w:p w:rsidR="00C81AA4" w:rsidRPr="001D0B71" w:rsidRDefault="00C81AA4" w:rsidP="00C81AA4">
      <w:pPr>
        <w:pStyle w:val="SCCLawFirm"/>
        <w:spacing w:after="480"/>
        <w:rPr>
          <w:lang w:val="fr-CA"/>
        </w:rPr>
      </w:pPr>
      <w:r w:rsidRPr="001D0B71">
        <w:rPr>
          <w:lang w:val="fr-CA"/>
        </w:rPr>
        <w:tab/>
        <w:t xml:space="preserve">Procureurs des appelants : Philip H. </w:t>
      </w:r>
      <w:proofErr w:type="spellStart"/>
      <w:r w:rsidRPr="001D0B71">
        <w:rPr>
          <w:lang w:val="fr-CA"/>
        </w:rPr>
        <w:t>Horgan</w:t>
      </w:r>
      <w:proofErr w:type="spellEnd"/>
      <w:r w:rsidRPr="001D0B71">
        <w:rPr>
          <w:lang w:val="fr-CA"/>
        </w:rPr>
        <w:t xml:space="preserve"> Law Office, Toronto.</w:t>
      </w:r>
    </w:p>
    <w:p w:rsidR="00C81AA4" w:rsidRPr="001D0B71" w:rsidRDefault="00C81AA4" w:rsidP="00C81AA4">
      <w:pPr>
        <w:pStyle w:val="SCCLawFirm"/>
        <w:spacing w:after="480"/>
        <w:rPr>
          <w:lang w:val="fr-CA"/>
        </w:rPr>
      </w:pPr>
      <w:r w:rsidRPr="001D0B71">
        <w:rPr>
          <w:lang w:val="fr-CA"/>
        </w:rPr>
        <w:tab/>
        <w:t>Procureurs des intimés : Lento Professional Corporation, Toronto.</w:t>
      </w:r>
    </w:p>
    <w:p w:rsidR="00C81AA4" w:rsidRPr="001D0B71" w:rsidRDefault="00C81AA4" w:rsidP="00C81AA4">
      <w:pPr>
        <w:pStyle w:val="SCCLawFirm"/>
        <w:spacing w:after="480"/>
        <w:rPr>
          <w:lang w:val="fr-CA"/>
        </w:rPr>
      </w:pPr>
      <w:r w:rsidRPr="001D0B71">
        <w:rPr>
          <w:lang w:val="fr-CA"/>
        </w:rPr>
        <w:tab/>
        <w:t>Procureurs de l’intervenante l’Association canadienne des avocats musulmans : Abrahams, Toronto.</w:t>
      </w:r>
    </w:p>
    <w:p w:rsidR="00C81AA4" w:rsidRPr="001D0B71" w:rsidRDefault="00C81AA4" w:rsidP="00C81AA4">
      <w:pPr>
        <w:pStyle w:val="SCCLawFirm"/>
        <w:spacing w:after="480"/>
        <w:rPr>
          <w:lang w:val="fr-CA"/>
        </w:rPr>
      </w:pPr>
      <w:r w:rsidRPr="001D0B71">
        <w:rPr>
          <w:lang w:val="fr-CA"/>
        </w:rPr>
        <w:tab/>
        <w:t>Procureur de l’intervenante Association for Reformed Political Action (ARPA) Canada : Association for Reformed Political Action (ARPA) Canada, Ottawa.</w:t>
      </w:r>
    </w:p>
    <w:p w:rsidR="00C81AA4" w:rsidRPr="001D0B71" w:rsidRDefault="00C81AA4" w:rsidP="00C81AA4">
      <w:pPr>
        <w:pStyle w:val="SCCLawFirm"/>
        <w:spacing w:after="480"/>
        <w:rPr>
          <w:lang w:val="fr-CA"/>
        </w:rPr>
      </w:pPr>
      <w:r w:rsidRPr="001D0B71">
        <w:rPr>
          <w:lang w:val="fr-CA"/>
        </w:rPr>
        <w:tab/>
        <w:t>Procureur de l’intervenante l’Association canadienne des libertés civiles : Association canadienne des libertés civiles, Toronto.</w:t>
      </w:r>
    </w:p>
    <w:p w:rsidR="00C81AA4" w:rsidRPr="001D0B71" w:rsidRDefault="00C81AA4" w:rsidP="00C81AA4">
      <w:pPr>
        <w:pStyle w:val="SCCLawFirm"/>
        <w:spacing w:after="480"/>
        <w:rPr>
          <w:lang w:val="fr-CA"/>
        </w:rPr>
      </w:pPr>
      <w:r w:rsidRPr="001D0B71">
        <w:rPr>
          <w:lang w:val="fr-CA"/>
        </w:rPr>
        <w:tab/>
        <w:t>Procureurs des intervenantes l’Alliance évangélique du Canada et la Ligue catholique pour les droits de l’homme : Vincent Dagenais Gibson, Ottawa.</w:t>
      </w:r>
    </w:p>
    <w:p w:rsidR="00C81AA4" w:rsidRPr="001D0B71" w:rsidRDefault="00C81AA4" w:rsidP="00C81AA4">
      <w:pPr>
        <w:pStyle w:val="SCCLawFirm"/>
        <w:spacing w:after="480"/>
        <w:rPr>
          <w:lang w:val="fr-CA"/>
        </w:rPr>
      </w:pPr>
      <w:r w:rsidRPr="001D0B71">
        <w:rPr>
          <w:lang w:val="fr-CA"/>
        </w:rPr>
        <w:tab/>
        <w:t>Procureurs de l’intervenante</w:t>
      </w:r>
      <w:r w:rsidR="00CB3303">
        <w:rPr>
          <w:lang w:val="fr-CA"/>
        </w:rPr>
        <w:t xml:space="preserve"> la</w:t>
      </w:r>
      <w:r w:rsidRPr="001D0B71">
        <w:rPr>
          <w:lang w:val="fr-CA"/>
        </w:rPr>
        <w:t xml:space="preserve"> Tour de Garde Société de Bibles et de Tracts du Canada : W. Glen How &amp; Associates, Georgetown, Ontario.</w:t>
      </w:r>
    </w:p>
    <w:p w:rsidR="00C81AA4" w:rsidRPr="001D0B71" w:rsidRDefault="00C81AA4" w:rsidP="00C81AA4">
      <w:pPr>
        <w:pStyle w:val="SCCLawFirm"/>
        <w:spacing w:after="480"/>
        <w:rPr>
          <w:lang w:val="fr-CA"/>
        </w:rPr>
      </w:pPr>
      <w:r w:rsidRPr="001D0B71">
        <w:rPr>
          <w:lang w:val="fr-CA"/>
        </w:rPr>
        <w:tab/>
        <w:t>Procureurs de l’intervenante British Columbia Humanist Association : Allen/McMillan Litigation Counsel, Vancouver.</w:t>
      </w:r>
    </w:p>
    <w:p w:rsidR="00C81AA4" w:rsidRPr="001D0B71" w:rsidRDefault="00C81AA4" w:rsidP="00C81AA4">
      <w:pPr>
        <w:pStyle w:val="SCCLawFirm"/>
        <w:spacing w:after="480"/>
        <w:rPr>
          <w:lang w:val="fr-CA"/>
        </w:rPr>
      </w:pPr>
      <w:r w:rsidRPr="001D0B71">
        <w:rPr>
          <w:lang w:val="fr-CA"/>
        </w:rPr>
        <w:tab/>
        <w:t>Procureurs de l’intervenante l’Église adventiste du septième jour au Canada : Kuhn, Abbotsford, Colombie</w:t>
      </w:r>
      <w:r w:rsidRPr="001D0B71">
        <w:rPr>
          <w:lang w:val="fr-CA"/>
        </w:rPr>
        <w:noBreakHyphen/>
        <w:t>Britannique.</w:t>
      </w:r>
    </w:p>
    <w:p w:rsidR="00C81AA4" w:rsidRPr="001D0B71" w:rsidRDefault="00C81AA4" w:rsidP="00C81AA4">
      <w:pPr>
        <w:pStyle w:val="SCCLawFirm"/>
        <w:spacing w:after="480"/>
        <w:rPr>
          <w:lang w:val="fr-CA"/>
        </w:rPr>
      </w:pPr>
      <w:r w:rsidRPr="001D0B71">
        <w:rPr>
          <w:lang w:val="fr-CA"/>
        </w:rPr>
        <w:tab/>
        <w:t>Procureur de l’intervenante l’Alliance des chrétiens en droit : Alliance des chrétiens en droit, London.</w:t>
      </w:r>
    </w:p>
    <w:p w:rsidR="00C81AA4" w:rsidRPr="001D0B71" w:rsidRDefault="00C81AA4" w:rsidP="00C81AA4">
      <w:pPr>
        <w:pStyle w:val="SCCLawFirm"/>
        <w:spacing w:after="480"/>
        <w:rPr>
          <w:lang w:val="fr-CA"/>
        </w:rPr>
      </w:pPr>
      <w:r w:rsidRPr="001D0B71">
        <w:rPr>
          <w:lang w:val="fr-CA"/>
        </w:rPr>
        <w:tab/>
        <w:t>Procureurs de l’intervenant le Conseil national des musulmans canadiens : Borden Ladner Gervais, Toronto.</w:t>
      </w:r>
    </w:p>
    <w:p w:rsidR="00C81AA4" w:rsidRPr="001D0B71" w:rsidRDefault="00C81AA4" w:rsidP="00C81AA4">
      <w:pPr>
        <w:pStyle w:val="SCCLawFirm"/>
        <w:spacing w:after="480"/>
        <w:rPr>
          <w:lang w:val="fr-CA"/>
        </w:rPr>
      </w:pPr>
      <w:r w:rsidRPr="001D0B71">
        <w:rPr>
          <w:lang w:val="fr-CA"/>
        </w:rPr>
        <w:tab/>
        <w:t>Procureurs de l’intervenant le Fonds Égale Canada pour les droits de la personne : McCarthy Tétrault, Toronto.</w:t>
      </w:r>
    </w:p>
    <w:p w:rsidR="003C3670" w:rsidRPr="001D0B71" w:rsidRDefault="00C81AA4">
      <w:pPr>
        <w:pStyle w:val="SCCLawFirm"/>
        <w:rPr>
          <w:lang w:val="fr-CA"/>
        </w:rPr>
      </w:pPr>
      <w:r w:rsidRPr="001D0B71">
        <w:rPr>
          <w:lang w:val="fr-CA"/>
        </w:rPr>
        <w:tab/>
        <w:t>Procureur de l’intervenant Canadian Centre for Christian Charities : Canadian Centre for Christian Charities, Elmira, Ontario.</w:t>
      </w:r>
    </w:p>
    <w:sectPr w:rsidR="003C3670" w:rsidRPr="001D0B71"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7A4" w:rsidRDefault="00CC47A4">
      <w:r>
        <w:separator/>
      </w:r>
    </w:p>
  </w:endnote>
  <w:endnote w:type="continuationSeparator" w:id="0">
    <w:p w:rsidR="00CC47A4" w:rsidRDefault="00CC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BA3" w:rsidRDefault="00F53B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BA3" w:rsidRDefault="00F53B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BA3" w:rsidRDefault="00F53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7A4" w:rsidRDefault="00CC47A4">
      <w:r>
        <w:separator/>
      </w:r>
    </w:p>
  </w:footnote>
  <w:footnote w:type="continuationSeparator" w:id="0">
    <w:p w:rsidR="00CC47A4" w:rsidRDefault="00CC4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BA3" w:rsidRDefault="00F53B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BA3" w:rsidRDefault="00F53B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1848C5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color w:val="auto"/>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1154"/>
    <w:rsid w:val="00023FC7"/>
    <w:rsid w:val="00025198"/>
    <w:rsid w:val="0003092D"/>
    <w:rsid w:val="00037ACA"/>
    <w:rsid w:val="00055DC2"/>
    <w:rsid w:val="000578A3"/>
    <w:rsid w:val="000648CC"/>
    <w:rsid w:val="00083836"/>
    <w:rsid w:val="00084768"/>
    <w:rsid w:val="0008725D"/>
    <w:rsid w:val="000C59B8"/>
    <w:rsid w:val="000C6AF0"/>
    <w:rsid w:val="000D0A77"/>
    <w:rsid w:val="000D728A"/>
    <w:rsid w:val="000F7993"/>
    <w:rsid w:val="001030B6"/>
    <w:rsid w:val="00104F33"/>
    <w:rsid w:val="00111DE2"/>
    <w:rsid w:val="00116B38"/>
    <w:rsid w:val="00134BE8"/>
    <w:rsid w:val="00135406"/>
    <w:rsid w:val="001355DC"/>
    <w:rsid w:val="00135972"/>
    <w:rsid w:val="00141A08"/>
    <w:rsid w:val="001426A9"/>
    <w:rsid w:val="00154D7C"/>
    <w:rsid w:val="001570B0"/>
    <w:rsid w:val="0015752C"/>
    <w:rsid w:val="00157737"/>
    <w:rsid w:val="00165277"/>
    <w:rsid w:val="00170592"/>
    <w:rsid w:val="001720F7"/>
    <w:rsid w:val="001779A5"/>
    <w:rsid w:val="00195D83"/>
    <w:rsid w:val="001A00C1"/>
    <w:rsid w:val="001B33E0"/>
    <w:rsid w:val="001B4573"/>
    <w:rsid w:val="001C779F"/>
    <w:rsid w:val="001D0B71"/>
    <w:rsid w:val="001D2AC1"/>
    <w:rsid w:val="001D4E88"/>
    <w:rsid w:val="001F6939"/>
    <w:rsid w:val="00220FC2"/>
    <w:rsid w:val="002222F4"/>
    <w:rsid w:val="00224FC0"/>
    <w:rsid w:val="00225EA4"/>
    <w:rsid w:val="00226EAF"/>
    <w:rsid w:val="00231F3A"/>
    <w:rsid w:val="0023396F"/>
    <w:rsid w:val="002406EE"/>
    <w:rsid w:val="00243EC8"/>
    <w:rsid w:val="00270D93"/>
    <w:rsid w:val="002745CC"/>
    <w:rsid w:val="002B6FBE"/>
    <w:rsid w:val="002B7924"/>
    <w:rsid w:val="002C10A6"/>
    <w:rsid w:val="002D28C3"/>
    <w:rsid w:val="002D39A4"/>
    <w:rsid w:val="002D446F"/>
    <w:rsid w:val="002E6705"/>
    <w:rsid w:val="0030329A"/>
    <w:rsid w:val="0031086F"/>
    <w:rsid w:val="0031414C"/>
    <w:rsid w:val="00314E01"/>
    <w:rsid w:val="003177F6"/>
    <w:rsid w:val="0032089D"/>
    <w:rsid w:val="0032663E"/>
    <w:rsid w:val="003310DE"/>
    <w:rsid w:val="003323B0"/>
    <w:rsid w:val="00340A49"/>
    <w:rsid w:val="0035169A"/>
    <w:rsid w:val="0035259D"/>
    <w:rsid w:val="00364B18"/>
    <w:rsid w:val="003A125D"/>
    <w:rsid w:val="003A4C70"/>
    <w:rsid w:val="003B215F"/>
    <w:rsid w:val="003C3670"/>
    <w:rsid w:val="003C799C"/>
    <w:rsid w:val="003D0399"/>
    <w:rsid w:val="003E1C71"/>
    <w:rsid w:val="003F2287"/>
    <w:rsid w:val="003F327B"/>
    <w:rsid w:val="003F6412"/>
    <w:rsid w:val="00406166"/>
    <w:rsid w:val="0040704B"/>
    <w:rsid w:val="00410A55"/>
    <w:rsid w:val="00411300"/>
    <w:rsid w:val="00413F17"/>
    <w:rsid w:val="00415417"/>
    <w:rsid w:val="00426659"/>
    <w:rsid w:val="00450352"/>
    <w:rsid w:val="00450B04"/>
    <w:rsid w:val="00454BDB"/>
    <w:rsid w:val="00465132"/>
    <w:rsid w:val="00480C90"/>
    <w:rsid w:val="0048396F"/>
    <w:rsid w:val="00493C18"/>
    <w:rsid w:val="004962B5"/>
    <w:rsid w:val="004A600C"/>
    <w:rsid w:val="004A6118"/>
    <w:rsid w:val="004B62E8"/>
    <w:rsid w:val="004C478D"/>
    <w:rsid w:val="004C64A0"/>
    <w:rsid w:val="004D6AE1"/>
    <w:rsid w:val="004D7D95"/>
    <w:rsid w:val="004E2C26"/>
    <w:rsid w:val="005125A8"/>
    <w:rsid w:val="00516A24"/>
    <w:rsid w:val="00517549"/>
    <w:rsid w:val="00520ABC"/>
    <w:rsid w:val="00521AE8"/>
    <w:rsid w:val="00527180"/>
    <w:rsid w:val="0055119B"/>
    <w:rsid w:val="00552390"/>
    <w:rsid w:val="00555291"/>
    <w:rsid w:val="00566AD1"/>
    <w:rsid w:val="00567949"/>
    <w:rsid w:val="00583EDE"/>
    <w:rsid w:val="005971D8"/>
    <w:rsid w:val="005A6079"/>
    <w:rsid w:val="005B4CD9"/>
    <w:rsid w:val="005C200F"/>
    <w:rsid w:val="005E3D6F"/>
    <w:rsid w:val="005E4698"/>
    <w:rsid w:val="005F5EA7"/>
    <w:rsid w:val="00603924"/>
    <w:rsid w:val="00610539"/>
    <w:rsid w:val="00613969"/>
    <w:rsid w:val="00614067"/>
    <w:rsid w:val="00625C35"/>
    <w:rsid w:val="00647E49"/>
    <w:rsid w:val="00656313"/>
    <w:rsid w:val="006565F4"/>
    <w:rsid w:val="00656E7E"/>
    <w:rsid w:val="00684EEA"/>
    <w:rsid w:val="0069689B"/>
    <w:rsid w:val="006B5FF5"/>
    <w:rsid w:val="006D3BDC"/>
    <w:rsid w:val="006F30AF"/>
    <w:rsid w:val="00701759"/>
    <w:rsid w:val="00705C15"/>
    <w:rsid w:val="007110F6"/>
    <w:rsid w:val="007208D1"/>
    <w:rsid w:val="00744518"/>
    <w:rsid w:val="00746798"/>
    <w:rsid w:val="00747288"/>
    <w:rsid w:val="00747DD3"/>
    <w:rsid w:val="007549C8"/>
    <w:rsid w:val="00766D14"/>
    <w:rsid w:val="00767A0F"/>
    <w:rsid w:val="00791272"/>
    <w:rsid w:val="007A05F6"/>
    <w:rsid w:val="007B6F4A"/>
    <w:rsid w:val="007C6901"/>
    <w:rsid w:val="007E1C47"/>
    <w:rsid w:val="007E337A"/>
    <w:rsid w:val="007E5C70"/>
    <w:rsid w:val="007F2FF5"/>
    <w:rsid w:val="007F3F08"/>
    <w:rsid w:val="00804CC6"/>
    <w:rsid w:val="00817190"/>
    <w:rsid w:val="008260E2"/>
    <w:rsid w:val="008322BD"/>
    <w:rsid w:val="00834F73"/>
    <w:rsid w:val="008610D1"/>
    <w:rsid w:val="00864C8A"/>
    <w:rsid w:val="00864CF8"/>
    <w:rsid w:val="00874914"/>
    <w:rsid w:val="00891422"/>
    <w:rsid w:val="00892E1A"/>
    <w:rsid w:val="008A4564"/>
    <w:rsid w:val="008B660A"/>
    <w:rsid w:val="008C01DA"/>
    <w:rsid w:val="008C2CE6"/>
    <w:rsid w:val="008F2674"/>
    <w:rsid w:val="008F27FA"/>
    <w:rsid w:val="008F78E9"/>
    <w:rsid w:val="0091542F"/>
    <w:rsid w:val="009179F9"/>
    <w:rsid w:val="00917C7A"/>
    <w:rsid w:val="009333FE"/>
    <w:rsid w:val="00933E5E"/>
    <w:rsid w:val="00935218"/>
    <w:rsid w:val="00937C52"/>
    <w:rsid w:val="009403F3"/>
    <w:rsid w:val="009466AF"/>
    <w:rsid w:val="00953638"/>
    <w:rsid w:val="009555B7"/>
    <w:rsid w:val="009567AA"/>
    <w:rsid w:val="009602C9"/>
    <w:rsid w:val="00967374"/>
    <w:rsid w:val="00972621"/>
    <w:rsid w:val="009A343A"/>
    <w:rsid w:val="009A7589"/>
    <w:rsid w:val="009B1337"/>
    <w:rsid w:val="009B2F23"/>
    <w:rsid w:val="009B57B3"/>
    <w:rsid w:val="009D2920"/>
    <w:rsid w:val="009D5AEB"/>
    <w:rsid w:val="009F0E33"/>
    <w:rsid w:val="00A05AF8"/>
    <w:rsid w:val="00A149DF"/>
    <w:rsid w:val="00A1755C"/>
    <w:rsid w:val="00A21B90"/>
    <w:rsid w:val="00A22AAC"/>
    <w:rsid w:val="00A41805"/>
    <w:rsid w:val="00A44D4F"/>
    <w:rsid w:val="00A51882"/>
    <w:rsid w:val="00A52AFB"/>
    <w:rsid w:val="00A548CB"/>
    <w:rsid w:val="00A5521C"/>
    <w:rsid w:val="00A60E29"/>
    <w:rsid w:val="00A643E7"/>
    <w:rsid w:val="00A73C38"/>
    <w:rsid w:val="00A921A7"/>
    <w:rsid w:val="00AB670D"/>
    <w:rsid w:val="00AE4B21"/>
    <w:rsid w:val="00AF03C5"/>
    <w:rsid w:val="00B000D8"/>
    <w:rsid w:val="00B00F75"/>
    <w:rsid w:val="00B145B6"/>
    <w:rsid w:val="00B17F8B"/>
    <w:rsid w:val="00B279EB"/>
    <w:rsid w:val="00B4128D"/>
    <w:rsid w:val="00B50C81"/>
    <w:rsid w:val="00B557F8"/>
    <w:rsid w:val="00B815FC"/>
    <w:rsid w:val="00B93FBC"/>
    <w:rsid w:val="00BA6E16"/>
    <w:rsid w:val="00BA7DA0"/>
    <w:rsid w:val="00BB2EE4"/>
    <w:rsid w:val="00BB4C92"/>
    <w:rsid w:val="00BC2108"/>
    <w:rsid w:val="00BD0E9E"/>
    <w:rsid w:val="00BD1BEC"/>
    <w:rsid w:val="00BD32FF"/>
    <w:rsid w:val="00BF6FE9"/>
    <w:rsid w:val="00C02092"/>
    <w:rsid w:val="00C24D91"/>
    <w:rsid w:val="00C26DB2"/>
    <w:rsid w:val="00C33927"/>
    <w:rsid w:val="00C471A4"/>
    <w:rsid w:val="00C53F14"/>
    <w:rsid w:val="00C600CF"/>
    <w:rsid w:val="00C6084F"/>
    <w:rsid w:val="00C62A66"/>
    <w:rsid w:val="00C66359"/>
    <w:rsid w:val="00C70571"/>
    <w:rsid w:val="00C71458"/>
    <w:rsid w:val="00C77613"/>
    <w:rsid w:val="00C81812"/>
    <w:rsid w:val="00C81AA4"/>
    <w:rsid w:val="00C828E7"/>
    <w:rsid w:val="00C83B8F"/>
    <w:rsid w:val="00C86719"/>
    <w:rsid w:val="00C921DD"/>
    <w:rsid w:val="00CA6391"/>
    <w:rsid w:val="00CB16CE"/>
    <w:rsid w:val="00CB3303"/>
    <w:rsid w:val="00CC47A4"/>
    <w:rsid w:val="00CE036E"/>
    <w:rsid w:val="00CE3171"/>
    <w:rsid w:val="00CF1601"/>
    <w:rsid w:val="00CF25C3"/>
    <w:rsid w:val="00D0172F"/>
    <w:rsid w:val="00D01E33"/>
    <w:rsid w:val="00D068A7"/>
    <w:rsid w:val="00D17476"/>
    <w:rsid w:val="00D17B0E"/>
    <w:rsid w:val="00D23821"/>
    <w:rsid w:val="00D2738F"/>
    <w:rsid w:val="00D32086"/>
    <w:rsid w:val="00D37A3F"/>
    <w:rsid w:val="00D4431D"/>
    <w:rsid w:val="00D4667A"/>
    <w:rsid w:val="00D56D1C"/>
    <w:rsid w:val="00D63A1C"/>
    <w:rsid w:val="00D6681A"/>
    <w:rsid w:val="00D7516F"/>
    <w:rsid w:val="00D75F5E"/>
    <w:rsid w:val="00D95F8E"/>
    <w:rsid w:val="00DA0590"/>
    <w:rsid w:val="00DC0CA6"/>
    <w:rsid w:val="00DC1739"/>
    <w:rsid w:val="00DC1788"/>
    <w:rsid w:val="00DC25D0"/>
    <w:rsid w:val="00DD6009"/>
    <w:rsid w:val="00DE319C"/>
    <w:rsid w:val="00DF0CA8"/>
    <w:rsid w:val="00DF2B48"/>
    <w:rsid w:val="00DF434A"/>
    <w:rsid w:val="00DF49A7"/>
    <w:rsid w:val="00DF61BF"/>
    <w:rsid w:val="00E07EE2"/>
    <w:rsid w:val="00E07FD1"/>
    <w:rsid w:val="00E24573"/>
    <w:rsid w:val="00E25E1E"/>
    <w:rsid w:val="00E27EE7"/>
    <w:rsid w:val="00E31D7C"/>
    <w:rsid w:val="00E35404"/>
    <w:rsid w:val="00E45109"/>
    <w:rsid w:val="00E46BF2"/>
    <w:rsid w:val="00E47B7A"/>
    <w:rsid w:val="00E56A44"/>
    <w:rsid w:val="00E60269"/>
    <w:rsid w:val="00E81FC9"/>
    <w:rsid w:val="00E97830"/>
    <w:rsid w:val="00EB075D"/>
    <w:rsid w:val="00EC4F60"/>
    <w:rsid w:val="00EE0830"/>
    <w:rsid w:val="00EE508E"/>
    <w:rsid w:val="00EE6CB8"/>
    <w:rsid w:val="00EE7D3E"/>
    <w:rsid w:val="00EF0683"/>
    <w:rsid w:val="00F0070C"/>
    <w:rsid w:val="00F00EB7"/>
    <w:rsid w:val="00F339E5"/>
    <w:rsid w:val="00F36AB6"/>
    <w:rsid w:val="00F37A09"/>
    <w:rsid w:val="00F409CE"/>
    <w:rsid w:val="00F4379D"/>
    <w:rsid w:val="00F50D2D"/>
    <w:rsid w:val="00F53BA3"/>
    <w:rsid w:val="00F56C8B"/>
    <w:rsid w:val="00F62639"/>
    <w:rsid w:val="00F66810"/>
    <w:rsid w:val="00F7046E"/>
    <w:rsid w:val="00F84DF4"/>
    <w:rsid w:val="00F85C97"/>
    <w:rsid w:val="00FB21D2"/>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 type="connector" idref="#AutoShape 2"/>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link w:val="ParaNoNdepar-AltNChar"/>
    <w:qFormat/>
    <w:rsid w:val="00055DC2"/>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055DC2"/>
    <w:rPr>
      <w:rFonts w:eastAsiaTheme="minorEastAsia" w:cstheme="minorBidi"/>
      <w:sz w:val="24"/>
      <w:szCs w:val="22"/>
      <w:lang w:eastAsia="en-US"/>
    </w:rPr>
  </w:style>
  <w:style w:type="paragraph" w:customStyle="1" w:styleId="sccnormaldoublespacing1">
    <w:name w:val="sccnormaldoublespacing1"/>
    <w:basedOn w:val="Normal"/>
    <w:rsid w:val="00055DC2"/>
    <w:pPr>
      <w:spacing w:line="480" w:lineRule="auto"/>
      <w:jc w:val="both"/>
    </w:pPr>
    <w:rPr>
      <w:szCs w:val="24"/>
      <w:lang w:val="en-US" w:eastAsia="en-US"/>
    </w:rPr>
  </w:style>
  <w:style w:type="paragraph" w:customStyle="1" w:styleId="SCCLsocOtherPartyRoleSeparator">
    <w:name w:val="SCC.Lsoc.OtherPartyRoleSeparator"/>
    <w:basedOn w:val="Normal"/>
    <w:next w:val="Normal"/>
    <w:link w:val="SCCLsocOtherPartyRoleSeparatorChar"/>
    <w:rsid w:val="003F2287"/>
    <w:pPr>
      <w:spacing w:after="480"/>
    </w:pPr>
    <w:rPr>
      <w:rFonts w:eastAsiaTheme="minorHAnsi" w:cstheme="minorBidi"/>
      <w:szCs w:val="22"/>
      <w:lang w:eastAsia="en-US"/>
    </w:rPr>
  </w:style>
  <w:style w:type="paragraph" w:customStyle="1" w:styleId="SCCCoram">
    <w:name w:val="SCC.Coram"/>
    <w:basedOn w:val="Normal"/>
    <w:next w:val="Normal"/>
    <w:link w:val="SCCCoramChar"/>
    <w:rsid w:val="003F228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F2287"/>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3F2287"/>
    <w:rPr>
      <w:rFonts w:eastAsiaTheme="minorHAnsi" w:cstheme="minorBidi"/>
      <w:sz w:val="24"/>
      <w:szCs w:val="22"/>
      <w:lang w:eastAsia="en-US"/>
    </w:rPr>
  </w:style>
  <w:style w:type="character" w:customStyle="1" w:styleId="SCCBanSummaryChar">
    <w:name w:val="SCC.BanSummary Char"/>
    <w:basedOn w:val="DefaultParagraphFont"/>
    <w:link w:val="SCCBanSummary"/>
    <w:rsid w:val="003F2287"/>
    <w:rPr>
      <w:b/>
      <w:sz w:val="24"/>
    </w:rPr>
  </w:style>
  <w:style w:type="table" w:styleId="TableGrid">
    <w:name w:val="Table Grid"/>
    <w:basedOn w:val="TableNormal"/>
    <w:uiPriority w:val="59"/>
    <w:rsid w:val="003F2287"/>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F2287"/>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3F2287"/>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3F2287"/>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qFormat/>
    <w:rsid w:val="003F2287"/>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qFormat/>
    <w:rsid w:val="003F2287"/>
    <w:pPr>
      <w:numPr>
        <w:ilvl w:val="1"/>
      </w:numPr>
      <w:outlineLvl w:val="1"/>
    </w:pPr>
    <w:rPr>
      <w:i/>
      <w:u w:val="none"/>
    </w:rPr>
  </w:style>
  <w:style w:type="paragraph" w:customStyle="1" w:styleId="Title3LevelTitre3Niveau">
    <w:name w:val="Title 3 Level / Titre 3 Niveau"/>
    <w:basedOn w:val="Title1LevelTitre1Niveau-AltL"/>
    <w:next w:val="ParaNoNdepar-AltN"/>
    <w:qFormat/>
    <w:rsid w:val="003F2287"/>
    <w:pPr>
      <w:numPr>
        <w:ilvl w:val="2"/>
      </w:numPr>
      <w:outlineLvl w:val="2"/>
    </w:pPr>
  </w:style>
  <w:style w:type="paragraph" w:customStyle="1" w:styleId="Title4LevelTitre4Niveau">
    <w:name w:val="Title 4 Level / Titre 4 Niveau"/>
    <w:basedOn w:val="Title3LevelTitre3Niveau"/>
    <w:next w:val="ParaNoNdepar-AltN"/>
    <w:qFormat/>
    <w:rsid w:val="003F2287"/>
    <w:pPr>
      <w:numPr>
        <w:ilvl w:val="3"/>
      </w:numPr>
      <w:outlineLvl w:val="3"/>
    </w:pPr>
    <w:rPr>
      <w:i/>
      <w:u w:val="none"/>
    </w:rPr>
  </w:style>
  <w:style w:type="paragraph" w:customStyle="1" w:styleId="Title5LevelTitre5Niveau">
    <w:name w:val="Title 5 Level / Titre 5 Niveau"/>
    <w:basedOn w:val="Title1LevelTitre1Niveau-AltL"/>
    <w:next w:val="ParaNoNdepar-AltN"/>
    <w:qFormat/>
    <w:rsid w:val="003F2287"/>
    <w:pPr>
      <w:numPr>
        <w:ilvl w:val="4"/>
      </w:numPr>
      <w:outlineLvl w:val="4"/>
    </w:pPr>
  </w:style>
  <w:style w:type="paragraph" w:styleId="TOC1">
    <w:name w:val="toc 1"/>
    <w:basedOn w:val="Normal"/>
    <w:next w:val="Normal"/>
    <w:autoRedefine/>
    <w:uiPriority w:val="39"/>
    <w:unhideWhenUsed/>
    <w:rsid w:val="003F2287"/>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3F2287"/>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3F2287"/>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3F2287"/>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3F2287"/>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3F2287"/>
    <w:pPr>
      <w:tabs>
        <w:tab w:val="left" w:pos="2160"/>
        <w:tab w:val="right" w:leader="dot" w:pos="8270"/>
      </w:tabs>
      <w:spacing w:after="100"/>
      <w:ind w:left="1800"/>
    </w:pPr>
    <w:rPr>
      <w:noProof/>
    </w:rPr>
  </w:style>
  <w:style w:type="table" w:customStyle="1" w:styleId="TableGrid1">
    <w:name w:val="Table Grid1"/>
    <w:basedOn w:val="TableNormal"/>
    <w:uiPriority w:val="59"/>
    <w:rsid w:val="003F2287"/>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3F2287"/>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qFormat/>
    <w:rsid w:val="003F2287"/>
    <w:pPr>
      <w:numPr>
        <w:ilvl w:val="5"/>
      </w:numPr>
      <w:outlineLvl w:val="5"/>
    </w:pPr>
    <w:rPr>
      <w:i/>
      <w:u w:val="none"/>
    </w:rPr>
  </w:style>
  <w:style w:type="paragraph" w:styleId="FootnoteText">
    <w:name w:val="footnote text"/>
    <w:basedOn w:val="Normal"/>
    <w:link w:val="FootnoteTextChar"/>
    <w:uiPriority w:val="99"/>
    <w:unhideWhenUsed/>
    <w:rsid w:val="003F2287"/>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3F2287"/>
  </w:style>
  <w:style w:type="character" w:styleId="FootnoteReference">
    <w:name w:val="footnote reference"/>
    <w:basedOn w:val="DefaultParagraphFont"/>
    <w:uiPriority w:val="99"/>
    <w:semiHidden/>
    <w:unhideWhenUsed/>
    <w:rsid w:val="003F2287"/>
    <w:rPr>
      <w:vertAlign w:val="superscript"/>
    </w:rPr>
  </w:style>
  <w:style w:type="character" w:customStyle="1" w:styleId="reflex3-block">
    <w:name w:val="reflex3-block"/>
    <w:basedOn w:val="DefaultParagraphFont"/>
    <w:rsid w:val="003F2287"/>
  </w:style>
  <w:style w:type="character" w:customStyle="1" w:styleId="reflex3-alt">
    <w:name w:val="reflex3-alt"/>
    <w:basedOn w:val="DefaultParagraphFont"/>
    <w:rsid w:val="003F2287"/>
  </w:style>
  <w:style w:type="paragraph" w:styleId="CommentText">
    <w:name w:val="annotation text"/>
    <w:basedOn w:val="Normal"/>
    <w:link w:val="CommentTextChar"/>
    <w:uiPriority w:val="99"/>
    <w:unhideWhenUsed/>
    <w:rsid w:val="003F2287"/>
    <w:rPr>
      <w:sz w:val="20"/>
    </w:rPr>
  </w:style>
  <w:style w:type="character" w:customStyle="1" w:styleId="CommentTextChar">
    <w:name w:val="Comment Text Char"/>
    <w:basedOn w:val="DefaultParagraphFont"/>
    <w:link w:val="CommentText"/>
    <w:uiPriority w:val="99"/>
    <w:rsid w:val="003F2287"/>
  </w:style>
  <w:style w:type="character" w:styleId="CommentReference">
    <w:name w:val="annotation reference"/>
    <w:basedOn w:val="DefaultParagraphFont"/>
    <w:uiPriority w:val="99"/>
    <w:semiHidden/>
    <w:unhideWhenUsed/>
    <w:rsid w:val="003F2287"/>
    <w:rPr>
      <w:sz w:val="16"/>
      <w:szCs w:val="16"/>
    </w:rPr>
  </w:style>
  <w:style w:type="paragraph" w:styleId="CommentSubject">
    <w:name w:val="annotation subject"/>
    <w:basedOn w:val="CommentText"/>
    <w:next w:val="CommentText"/>
    <w:link w:val="CommentSubjectChar"/>
    <w:uiPriority w:val="99"/>
    <w:semiHidden/>
    <w:unhideWhenUsed/>
    <w:rsid w:val="003F2287"/>
    <w:rPr>
      <w:b/>
      <w:bCs/>
    </w:rPr>
  </w:style>
  <w:style w:type="character" w:customStyle="1" w:styleId="CommentSubjectChar">
    <w:name w:val="Comment Subject Char"/>
    <w:basedOn w:val="CommentTextChar"/>
    <w:link w:val="CommentSubject"/>
    <w:uiPriority w:val="99"/>
    <w:semiHidden/>
    <w:rsid w:val="003F2287"/>
    <w:rPr>
      <w:b/>
      <w:bCs/>
    </w:rPr>
  </w:style>
  <w:style w:type="character" w:styleId="Emphasis">
    <w:name w:val="Emphasis"/>
    <w:basedOn w:val="DefaultParagraphFont"/>
    <w:uiPriority w:val="20"/>
    <w:qFormat/>
    <w:rsid w:val="003F2287"/>
    <w:rPr>
      <w:i/>
      <w:iCs/>
    </w:rPr>
  </w:style>
  <w:style w:type="paragraph" w:styleId="ListParagraph">
    <w:name w:val="List Paragraph"/>
    <w:basedOn w:val="Normal"/>
    <w:uiPriority w:val="34"/>
    <w:rsid w:val="003F2287"/>
    <w:pPr>
      <w:ind w:left="720"/>
      <w:contextualSpacing/>
    </w:pPr>
    <w:rPr>
      <w:szCs w:val="24"/>
    </w:rPr>
  </w:style>
  <w:style w:type="character" w:styleId="Hyperlink">
    <w:name w:val="Hyperlink"/>
    <w:basedOn w:val="DefaultParagraphFont"/>
    <w:uiPriority w:val="99"/>
    <w:unhideWhenUsed/>
    <w:rsid w:val="003F2287"/>
    <w:rPr>
      <w:color w:val="0000FF" w:themeColor="hyperlink"/>
      <w:u w:val="single"/>
    </w:rPr>
  </w:style>
  <w:style w:type="character" w:customStyle="1" w:styleId="UnresolvedMention">
    <w:name w:val="Unresolved Mention"/>
    <w:basedOn w:val="DefaultParagraphFont"/>
    <w:uiPriority w:val="99"/>
    <w:semiHidden/>
    <w:unhideWhenUsed/>
    <w:rsid w:val="003F2287"/>
    <w:rPr>
      <w:color w:val="605E5C"/>
      <w:shd w:val="clear" w:color="auto" w:fill="E1DFDD"/>
    </w:rPr>
  </w:style>
  <w:style w:type="character" w:customStyle="1" w:styleId="characterstyle6">
    <w:name w:val="characterstyle6"/>
    <w:basedOn w:val="DefaultParagraphFont"/>
    <w:rsid w:val="003F2287"/>
  </w:style>
  <w:style w:type="table" w:customStyle="1" w:styleId="TableGrid2">
    <w:name w:val="Table Grid2"/>
    <w:basedOn w:val="TableNormal"/>
    <w:next w:val="TableGrid"/>
    <w:uiPriority w:val="59"/>
    <w:rsid w:val="003F2287"/>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10330</Words>
  <Characters>55718</Characters>
  <Application>Microsoft Office Word</Application>
  <DocSecurity>0</DocSecurity>
  <Lines>464</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2021-05-20T19:07:00Z</dcterms:created>
  <dcterms:modified xsi:type="dcterms:W3CDTF">2024-02-18T23:11:00Z</dcterms:modified>
</cp:coreProperties>
</file>