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46"/>
        <w:gridCol w:w="2235"/>
        <w:gridCol w:w="3160"/>
        <w:gridCol w:w="19"/>
      </w:tblGrid>
      <w:tr w:rsidR="003B623F" w:rsidTr="003B623F">
        <w:trPr>
          <w:trHeight w:val="1786"/>
        </w:trPr>
        <w:tc>
          <w:tcPr>
            <w:tcW w:w="5000" w:type="pct"/>
            <w:gridSpan w:val="4"/>
            <w:hideMark/>
          </w:tcPr>
          <w:p w:rsidR="003B623F" w:rsidRDefault="003B623F">
            <w:pPr>
              <w:jc w:val="center"/>
            </w:pPr>
            <w:r>
              <w:rPr>
                <w:noProof/>
                <w:lang w:val="fr-CA" w:eastAsia="fr-CA"/>
              </w:rPr>
              <w:drawing>
                <wp:inline distT="0" distB="0" distL="0" distR="0">
                  <wp:extent cx="1188720" cy="1638300"/>
                  <wp:effectExtent l="0" t="0" r="0"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rsidR="003B623F" w:rsidRDefault="003B623F">
            <w:pPr>
              <w:spacing w:before="120" w:after="100" w:afterAutospacing="1"/>
              <w:jc w:val="center"/>
              <w:rPr>
                <w:rFonts w:eastAsia="Calibri"/>
              </w:rPr>
            </w:pPr>
            <w:proofErr w:type="spellStart"/>
            <w:r>
              <w:rPr>
                <w:rFonts w:eastAsia="Calibri"/>
                <w:b/>
                <w:szCs w:val="24"/>
                <w:lang w:eastAsia="en-US"/>
              </w:rPr>
              <w:t>COUR</w:t>
            </w:r>
            <w:proofErr w:type="spellEnd"/>
            <w:r>
              <w:rPr>
                <w:rFonts w:eastAsia="Calibri"/>
                <w:b/>
                <w:szCs w:val="24"/>
                <w:lang w:eastAsia="en-US"/>
              </w:rPr>
              <w:t xml:space="preserve"> </w:t>
            </w:r>
            <w:proofErr w:type="spellStart"/>
            <w:r>
              <w:rPr>
                <w:rFonts w:eastAsia="Calibri"/>
                <w:b/>
                <w:szCs w:val="24"/>
                <w:lang w:eastAsia="en-US"/>
              </w:rPr>
              <w:t>SUPRÊME</w:t>
            </w:r>
            <w:proofErr w:type="spellEnd"/>
            <w:r>
              <w:rPr>
                <w:rFonts w:eastAsia="Calibri"/>
                <w:b/>
                <w:szCs w:val="24"/>
                <w:lang w:eastAsia="en-US"/>
              </w:rPr>
              <w:t xml:space="preserve"> DU CANADA</w:t>
            </w:r>
          </w:p>
        </w:tc>
      </w:tr>
      <w:tr w:rsidR="003B623F" w:rsidTr="003B623F">
        <w:trPr>
          <w:gridAfter w:val="1"/>
          <w:wAfter w:w="10" w:type="pct"/>
        </w:trPr>
        <w:tc>
          <w:tcPr>
            <w:tcW w:w="2108" w:type="pct"/>
            <w:tcMar>
              <w:top w:w="284" w:type="dxa"/>
              <w:left w:w="57" w:type="dxa"/>
              <w:bottom w:w="57" w:type="dxa"/>
              <w:right w:w="57" w:type="dxa"/>
            </w:tcMar>
            <w:hideMark/>
          </w:tcPr>
          <w:p w:rsidR="003B623F" w:rsidRDefault="003B623F">
            <w:pPr>
              <w:spacing w:before="100" w:beforeAutospacing="1"/>
              <w:rPr>
                <w:rFonts w:eastAsia="Calibri"/>
                <w:lang w:val="fr-CA"/>
              </w:rPr>
            </w:pPr>
            <w:r>
              <w:rPr>
                <w:b/>
                <w:smallCaps/>
                <w:lang w:val="fr-CA"/>
              </w:rPr>
              <w:t>Référence :</w:t>
            </w:r>
            <w:r>
              <w:rPr>
                <w:lang w:val="fr-CA"/>
              </w:rPr>
              <w:t xml:space="preserve"> R. </w:t>
            </w:r>
            <w:r>
              <w:rPr>
                <w:i/>
                <w:lang w:val="fr-CA"/>
              </w:rPr>
              <w:t>c.</w:t>
            </w:r>
            <w:r>
              <w:rPr>
                <w:lang w:val="fr-CA"/>
              </w:rPr>
              <w:t xml:space="preserve"> </w:t>
            </w:r>
            <w:proofErr w:type="spellStart"/>
            <w:r>
              <w:rPr>
                <w:lang w:val="fr-CA"/>
              </w:rPr>
              <w:t>Morrow</w:t>
            </w:r>
            <w:proofErr w:type="spellEnd"/>
            <w:r>
              <w:rPr>
                <w:lang w:val="fr-CA"/>
              </w:rPr>
              <w:t>, 2021 CSC 21</w:t>
            </w:r>
            <w:r>
              <w:rPr>
                <w:lang w:val="fr-CA"/>
              </w:rPr>
              <w:t xml:space="preserve">, [2021] 1 </w:t>
            </w:r>
            <w:proofErr w:type="spellStart"/>
            <w:r>
              <w:rPr>
                <w:lang w:val="fr-CA"/>
              </w:rPr>
              <w:t>R.C.S</w:t>
            </w:r>
            <w:proofErr w:type="spellEnd"/>
            <w:r>
              <w:rPr>
                <w:lang w:val="fr-CA"/>
              </w:rPr>
              <w:t>. 864</w:t>
            </w:r>
          </w:p>
        </w:tc>
        <w:tc>
          <w:tcPr>
            <w:tcW w:w="1194" w:type="pct"/>
          </w:tcPr>
          <w:p w:rsidR="003B623F" w:rsidRDefault="003B623F">
            <w:pPr>
              <w:rPr>
                <w:b/>
                <w:smallCaps/>
                <w:lang w:val="fr-CA"/>
              </w:rPr>
            </w:pPr>
          </w:p>
        </w:tc>
        <w:tc>
          <w:tcPr>
            <w:tcW w:w="1688" w:type="pct"/>
            <w:tcMar>
              <w:top w:w="284" w:type="dxa"/>
              <w:left w:w="57" w:type="dxa"/>
              <w:bottom w:w="57" w:type="dxa"/>
              <w:right w:w="57" w:type="dxa"/>
            </w:tcMar>
            <w:hideMark/>
          </w:tcPr>
          <w:p w:rsidR="003B623F" w:rsidRDefault="003B623F">
            <w:pPr>
              <w:rPr>
                <w:lang w:val="fr-CA"/>
              </w:rPr>
            </w:pPr>
            <w:r>
              <w:rPr>
                <w:b/>
                <w:smallCaps/>
                <w:lang w:val="fr-CA"/>
              </w:rPr>
              <w:t>Appel entendu :</w:t>
            </w:r>
            <w:r>
              <w:rPr>
                <w:lang w:val="fr-CA"/>
              </w:rPr>
              <w:t xml:space="preserve"> 19 mai 2021</w:t>
            </w:r>
          </w:p>
          <w:p w:rsidR="003B623F" w:rsidRDefault="003B623F">
            <w:pPr>
              <w:rPr>
                <w:b/>
                <w:smallCaps/>
                <w:lang w:val="fr-CA"/>
              </w:rPr>
            </w:pPr>
            <w:r>
              <w:rPr>
                <w:b/>
                <w:smallCaps/>
                <w:lang w:val="fr-CA"/>
              </w:rPr>
              <w:t xml:space="preserve">Jugement rendu : </w:t>
            </w:r>
            <w:r>
              <w:rPr>
                <w:lang w:val="fr-CA"/>
              </w:rPr>
              <w:t>19 mai 2021</w:t>
            </w:r>
          </w:p>
          <w:p w:rsidR="003B623F" w:rsidRDefault="003B623F">
            <w:pPr>
              <w:rPr>
                <w:rFonts w:eastAsia="Calibri"/>
                <w:lang w:val="fr-CA"/>
              </w:rPr>
            </w:pPr>
            <w:r>
              <w:rPr>
                <w:b/>
                <w:smallCaps/>
                <w:lang w:val="fr-CA"/>
              </w:rPr>
              <w:t>Dossier :</w:t>
            </w:r>
            <w:r>
              <w:rPr>
                <w:lang w:val="fr-CA"/>
              </w:rPr>
              <w:t xml:space="preserve"> 39456</w:t>
            </w:r>
          </w:p>
        </w:tc>
      </w:tr>
      <w:tr w:rsidR="003B623F" w:rsidTr="003B623F">
        <w:tc>
          <w:tcPr>
            <w:tcW w:w="5000" w:type="pct"/>
            <w:gridSpan w:val="4"/>
          </w:tcPr>
          <w:p w:rsidR="003B623F" w:rsidRDefault="003B623F">
            <w:pPr>
              <w:rPr>
                <w:rFonts w:eastAsiaTheme="minorHAnsi" w:cstheme="minorBidi"/>
                <w:b/>
                <w:smallCaps/>
                <w:szCs w:val="24"/>
                <w:lang w:val="fr-CA" w:eastAsia="en-US"/>
              </w:rPr>
            </w:pPr>
          </w:p>
          <w:p w:rsidR="003B623F" w:rsidRDefault="003B623F">
            <w:pPr>
              <w:rPr>
                <w:rFonts w:eastAsiaTheme="minorHAnsi" w:cstheme="minorBidi"/>
                <w:b/>
                <w:smallCaps/>
                <w:szCs w:val="24"/>
                <w:lang w:val="fr-CA" w:eastAsia="en-US"/>
              </w:rPr>
            </w:pPr>
            <w:r>
              <w:rPr>
                <w:rFonts w:eastAsiaTheme="minorHAnsi" w:cstheme="minorBidi"/>
                <w:b/>
                <w:smallCaps/>
                <w:szCs w:val="24"/>
                <w:lang w:val="fr-CA" w:eastAsia="en-US"/>
              </w:rPr>
              <w:t>Entre :</w:t>
            </w:r>
          </w:p>
          <w:p w:rsidR="003B623F" w:rsidRDefault="003B623F">
            <w:pPr>
              <w:rPr>
                <w:rFonts w:eastAsiaTheme="minorHAnsi" w:cstheme="minorBidi"/>
                <w:b/>
                <w:smallCaps/>
                <w:szCs w:val="24"/>
                <w:lang w:val="fr-CA" w:eastAsia="en-US"/>
              </w:rPr>
            </w:pPr>
          </w:p>
          <w:p w:rsidR="003B623F" w:rsidRDefault="003B623F">
            <w:pPr>
              <w:jc w:val="center"/>
              <w:rPr>
                <w:rFonts w:eastAsiaTheme="minorHAnsi" w:cstheme="minorBidi"/>
                <w:b/>
                <w:szCs w:val="24"/>
                <w:lang w:val="fr-CA" w:eastAsia="en-US"/>
              </w:rPr>
            </w:pPr>
            <w:r>
              <w:rPr>
                <w:rFonts w:eastAsiaTheme="minorHAnsi" w:cstheme="minorBidi"/>
                <w:b/>
                <w:szCs w:val="24"/>
                <w:lang w:val="fr-CA" w:eastAsia="en-US"/>
              </w:rPr>
              <w:t xml:space="preserve">Tanner Jay </w:t>
            </w:r>
            <w:proofErr w:type="spellStart"/>
            <w:r>
              <w:rPr>
                <w:rFonts w:eastAsiaTheme="minorHAnsi" w:cstheme="minorBidi"/>
                <w:b/>
                <w:szCs w:val="24"/>
                <w:lang w:val="fr-CA" w:eastAsia="en-US"/>
              </w:rPr>
              <w:t>Morrow</w:t>
            </w:r>
            <w:proofErr w:type="spellEnd"/>
          </w:p>
          <w:p w:rsidR="003B623F" w:rsidRDefault="003B623F">
            <w:pPr>
              <w:jc w:val="center"/>
              <w:rPr>
                <w:rFonts w:eastAsiaTheme="minorHAnsi" w:cstheme="minorBidi"/>
                <w:szCs w:val="24"/>
                <w:lang w:val="fr-CA" w:eastAsia="en-US"/>
              </w:rPr>
            </w:pPr>
            <w:r>
              <w:rPr>
                <w:rFonts w:eastAsiaTheme="minorHAnsi" w:cstheme="minorBidi"/>
                <w:szCs w:val="24"/>
                <w:lang w:val="fr-CA" w:eastAsia="en-US"/>
              </w:rPr>
              <w:t>Appelant</w:t>
            </w:r>
          </w:p>
          <w:p w:rsidR="003B623F" w:rsidRDefault="003B623F">
            <w:pPr>
              <w:jc w:val="center"/>
              <w:rPr>
                <w:rFonts w:eastAsiaTheme="minorHAnsi" w:cstheme="minorBidi"/>
                <w:szCs w:val="24"/>
                <w:lang w:val="fr-CA" w:eastAsia="en-US"/>
              </w:rPr>
            </w:pPr>
          </w:p>
          <w:p w:rsidR="003B623F" w:rsidRDefault="003B623F">
            <w:pPr>
              <w:jc w:val="center"/>
              <w:rPr>
                <w:rFonts w:eastAsiaTheme="minorHAnsi" w:cstheme="minorBidi"/>
                <w:szCs w:val="24"/>
                <w:lang w:val="fr-CA" w:eastAsia="en-US"/>
              </w:rPr>
            </w:pPr>
            <w:r>
              <w:rPr>
                <w:rFonts w:eastAsiaTheme="minorHAnsi" w:cstheme="minorBidi"/>
                <w:szCs w:val="24"/>
                <w:lang w:val="fr-CA" w:eastAsia="en-US"/>
              </w:rPr>
              <w:t>et</w:t>
            </w:r>
          </w:p>
          <w:p w:rsidR="003B623F" w:rsidRDefault="003B623F">
            <w:pPr>
              <w:jc w:val="center"/>
              <w:rPr>
                <w:rFonts w:eastAsiaTheme="minorHAnsi" w:cstheme="minorBidi"/>
                <w:szCs w:val="24"/>
                <w:lang w:val="fr-CA" w:eastAsia="en-US"/>
              </w:rPr>
            </w:pPr>
          </w:p>
          <w:p w:rsidR="003B623F" w:rsidRDefault="003B623F">
            <w:pPr>
              <w:jc w:val="center"/>
              <w:rPr>
                <w:rFonts w:eastAsiaTheme="minorHAnsi" w:cstheme="minorBidi"/>
                <w:b/>
                <w:szCs w:val="24"/>
                <w:lang w:val="fr-CA" w:eastAsia="en-US"/>
              </w:rPr>
            </w:pPr>
            <w:r>
              <w:rPr>
                <w:rFonts w:eastAsiaTheme="minorHAnsi" w:cstheme="minorBidi"/>
                <w:b/>
                <w:szCs w:val="24"/>
                <w:lang w:val="fr-CA" w:eastAsia="en-US"/>
              </w:rPr>
              <w:t>Sa Majesté la Reine</w:t>
            </w:r>
          </w:p>
          <w:p w:rsidR="003B623F" w:rsidRDefault="003B623F">
            <w:pPr>
              <w:jc w:val="center"/>
              <w:rPr>
                <w:rFonts w:eastAsiaTheme="minorHAnsi" w:cstheme="minorBidi"/>
                <w:szCs w:val="24"/>
                <w:lang w:val="fr-CA" w:eastAsia="en-US"/>
              </w:rPr>
            </w:pPr>
            <w:r>
              <w:rPr>
                <w:rFonts w:eastAsiaTheme="minorHAnsi" w:cstheme="minorBidi"/>
                <w:szCs w:val="24"/>
                <w:lang w:val="fr-CA" w:eastAsia="en-US"/>
              </w:rPr>
              <w:t>Intimée</w:t>
            </w:r>
          </w:p>
          <w:p w:rsidR="003B623F" w:rsidRDefault="003B623F">
            <w:pPr>
              <w:jc w:val="center"/>
              <w:rPr>
                <w:rFonts w:eastAsiaTheme="minorHAnsi" w:cstheme="minorBidi"/>
                <w:szCs w:val="24"/>
                <w:lang w:val="fr-CA" w:eastAsia="en-US"/>
              </w:rPr>
            </w:pPr>
          </w:p>
          <w:p w:rsidR="003B623F" w:rsidRDefault="003B623F">
            <w:pPr>
              <w:jc w:val="center"/>
              <w:rPr>
                <w:rFonts w:eastAsiaTheme="minorHAnsi" w:cstheme="minorBidi"/>
                <w:szCs w:val="24"/>
                <w:lang w:val="fr-CA" w:eastAsia="en-US"/>
              </w:rPr>
            </w:pPr>
          </w:p>
          <w:p w:rsidR="003B623F" w:rsidRDefault="003B623F">
            <w:pPr>
              <w:jc w:val="center"/>
              <w:rPr>
                <w:rFonts w:eastAsiaTheme="minorHAnsi" w:cstheme="minorBidi"/>
                <w:szCs w:val="24"/>
                <w:lang w:val="fr-CA" w:eastAsia="en-US"/>
              </w:rPr>
            </w:pPr>
            <w:r>
              <w:rPr>
                <w:b/>
                <w:smallCaps/>
                <w:lang w:val="fr-CA"/>
              </w:rPr>
              <w:t>Traduction française officielle</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237"/>
        <w:gridCol w:w="7102"/>
        <w:gridCol w:w="21"/>
      </w:tblGrid>
      <w:tr w:rsidR="003B623F" w:rsidTr="003B623F">
        <w:trPr>
          <w:cantSplit/>
          <w:trHeight w:val="508"/>
        </w:trPr>
        <w:tc>
          <w:tcPr>
            <w:tcW w:w="5000" w:type="pct"/>
            <w:gridSpan w:val="3"/>
            <w:tcMar>
              <w:top w:w="284" w:type="dxa"/>
              <w:left w:w="58" w:type="dxa"/>
              <w:bottom w:w="57" w:type="dxa"/>
              <w:right w:w="58" w:type="dxa"/>
            </w:tcMar>
            <w:vAlign w:val="center"/>
          </w:tcPr>
          <w:p w:rsidR="003B623F" w:rsidRDefault="003B623F">
            <w:pPr>
              <w:rPr>
                <w:lang w:val="fr-CA"/>
              </w:rPr>
            </w:pPr>
            <w:r>
              <w:rPr>
                <w:b/>
                <w:smallCaps/>
                <w:lang w:val="fr-CA"/>
              </w:rPr>
              <w:t>Coram :</w:t>
            </w:r>
            <w:r>
              <w:rPr>
                <w:lang w:val="fr-CA"/>
              </w:rPr>
              <w:t xml:space="preserve"> Les juges </w:t>
            </w:r>
            <w:proofErr w:type="spellStart"/>
            <w:r>
              <w:rPr>
                <w:lang w:val="fr-CA"/>
              </w:rPr>
              <w:t>Moldaver</w:t>
            </w:r>
            <w:proofErr w:type="spellEnd"/>
            <w:r>
              <w:rPr>
                <w:lang w:val="fr-CA"/>
              </w:rPr>
              <w:t xml:space="preserve">, </w:t>
            </w:r>
            <w:proofErr w:type="spellStart"/>
            <w:r>
              <w:rPr>
                <w:lang w:val="fr-CA"/>
              </w:rPr>
              <w:t>Karakatsanis</w:t>
            </w:r>
            <w:proofErr w:type="spellEnd"/>
            <w:r>
              <w:rPr>
                <w:lang w:val="fr-CA"/>
              </w:rPr>
              <w:t xml:space="preserve">, Côté, Rowe et </w:t>
            </w:r>
            <w:proofErr w:type="spellStart"/>
            <w:r>
              <w:rPr>
                <w:lang w:val="fr-CA"/>
              </w:rPr>
              <w:t>Kasirer</w:t>
            </w:r>
            <w:proofErr w:type="spellEnd"/>
          </w:p>
          <w:p w:rsidR="003B623F" w:rsidRDefault="003B623F">
            <w:pPr>
              <w:rPr>
                <w:lang w:val="fr-CA"/>
              </w:rPr>
            </w:pPr>
          </w:p>
        </w:tc>
      </w:tr>
      <w:tr w:rsidR="003B623F" w:rsidTr="003B623F">
        <w:trPr>
          <w:gridAfter w:val="1"/>
          <w:wAfter w:w="10" w:type="pct"/>
          <w:cantSplit/>
        </w:trPr>
        <w:tc>
          <w:tcPr>
            <w:tcW w:w="1195" w:type="pct"/>
            <w:tcMar>
              <w:top w:w="284" w:type="dxa"/>
              <w:left w:w="58" w:type="dxa"/>
              <w:bottom w:w="57" w:type="dxa"/>
              <w:right w:w="58" w:type="dxa"/>
            </w:tcMar>
            <w:vAlign w:val="center"/>
            <w:hideMark/>
          </w:tcPr>
          <w:p w:rsidR="003B623F" w:rsidRDefault="003B623F">
            <w:pPr>
              <w:rPr>
                <w:b/>
                <w:smallCaps/>
                <w:lang w:val="fr-CA"/>
              </w:rPr>
            </w:pPr>
            <w:r>
              <w:rPr>
                <w:b/>
                <w:smallCaps/>
                <w:lang w:val="fr-CA"/>
              </w:rPr>
              <w:t xml:space="preserve">Jugement lu par : </w:t>
            </w:r>
          </w:p>
          <w:p w:rsidR="003B623F" w:rsidRDefault="003B623F">
            <w:pPr>
              <w:rPr>
                <w:b/>
                <w:smallCaps/>
                <w:lang w:val="fr-CA"/>
              </w:rPr>
            </w:pPr>
            <w:r>
              <w:rPr>
                <w:lang w:val="fr-CA"/>
              </w:rPr>
              <w:t>(par. 1 à 3)</w:t>
            </w:r>
          </w:p>
        </w:tc>
        <w:tc>
          <w:tcPr>
            <w:tcW w:w="3794" w:type="pct"/>
            <w:tcMar>
              <w:top w:w="284" w:type="dxa"/>
              <w:left w:w="58" w:type="dxa"/>
              <w:bottom w:w="58" w:type="dxa"/>
              <w:right w:w="58" w:type="dxa"/>
            </w:tcMar>
            <w:vAlign w:val="center"/>
          </w:tcPr>
          <w:p w:rsidR="003B623F" w:rsidRDefault="003B623F">
            <w:pPr>
              <w:rPr>
                <w:b/>
                <w:smallCaps/>
                <w:lang w:val="fr-CA"/>
              </w:rPr>
            </w:pPr>
            <w:r>
              <w:rPr>
                <w:lang w:val="fr-CA"/>
              </w:rPr>
              <w:t xml:space="preserve">Le juge </w:t>
            </w:r>
            <w:proofErr w:type="spellStart"/>
            <w:r>
              <w:rPr>
                <w:lang w:val="fr-CA"/>
              </w:rPr>
              <w:t>Moldaver</w:t>
            </w:r>
            <w:proofErr w:type="spellEnd"/>
          </w:p>
          <w:p w:rsidR="003B623F" w:rsidRDefault="003B623F">
            <w:pPr>
              <w:rPr>
                <w:b/>
                <w:smallCaps/>
                <w:lang w:val="fr-CA"/>
              </w:rPr>
            </w:pPr>
          </w:p>
        </w:tc>
      </w:tr>
      <w:tr w:rsidR="003B623F" w:rsidTr="003B623F">
        <w:trPr>
          <w:gridAfter w:val="1"/>
          <w:wAfter w:w="10" w:type="pct"/>
          <w:cantSplit/>
        </w:trPr>
        <w:tc>
          <w:tcPr>
            <w:tcW w:w="1195" w:type="pct"/>
            <w:tcMar>
              <w:top w:w="284" w:type="dxa"/>
              <w:left w:w="58" w:type="dxa"/>
              <w:bottom w:w="57" w:type="dxa"/>
              <w:right w:w="58" w:type="dxa"/>
            </w:tcMar>
            <w:vAlign w:val="center"/>
            <w:hideMark/>
          </w:tcPr>
          <w:p w:rsidR="003B623F" w:rsidRDefault="003B623F">
            <w:pPr>
              <w:rPr>
                <w:b/>
                <w:smallCaps/>
                <w:lang w:val="fr-CA"/>
              </w:rPr>
            </w:pPr>
            <w:r>
              <w:rPr>
                <w:b/>
                <w:smallCaps/>
                <w:lang w:val="fr-CA"/>
              </w:rPr>
              <w:t>Dissidence lue par :</w:t>
            </w:r>
          </w:p>
          <w:p w:rsidR="003B623F" w:rsidRDefault="003B623F">
            <w:pPr>
              <w:rPr>
                <w:b/>
                <w:smallCaps/>
                <w:lang w:val="fr-CA"/>
              </w:rPr>
            </w:pPr>
            <w:r>
              <w:rPr>
                <w:lang w:val="fr-CA"/>
              </w:rPr>
              <w:t>(par. 4)</w:t>
            </w:r>
          </w:p>
        </w:tc>
        <w:tc>
          <w:tcPr>
            <w:tcW w:w="3794" w:type="pct"/>
            <w:tcMar>
              <w:top w:w="284" w:type="dxa"/>
              <w:left w:w="58" w:type="dxa"/>
              <w:bottom w:w="58" w:type="dxa"/>
              <w:right w:w="58" w:type="dxa"/>
            </w:tcMar>
            <w:vAlign w:val="center"/>
          </w:tcPr>
          <w:p w:rsidR="003B623F" w:rsidRDefault="003B623F">
            <w:pPr>
              <w:rPr>
                <w:lang w:val="fr-CA"/>
              </w:rPr>
            </w:pPr>
            <w:r>
              <w:rPr>
                <w:lang w:val="fr-CA"/>
              </w:rPr>
              <w:t>La juge Côté</w:t>
            </w:r>
          </w:p>
          <w:p w:rsidR="003B623F" w:rsidRDefault="003B623F">
            <w:pPr>
              <w:rPr>
                <w:lang w:val="fr-CA"/>
              </w:rPr>
            </w:pPr>
          </w:p>
        </w:tc>
      </w:tr>
      <w:tr w:rsidR="003B623F" w:rsidTr="003B623F">
        <w:trPr>
          <w:gridAfter w:val="1"/>
          <w:wAfter w:w="10" w:type="pct"/>
          <w:cantSplit/>
        </w:trPr>
        <w:tc>
          <w:tcPr>
            <w:tcW w:w="1195" w:type="pct"/>
            <w:tcMar>
              <w:top w:w="284" w:type="dxa"/>
              <w:left w:w="58" w:type="dxa"/>
              <w:bottom w:w="57" w:type="dxa"/>
              <w:right w:w="58" w:type="dxa"/>
            </w:tcMar>
            <w:vAlign w:val="center"/>
            <w:hideMark/>
          </w:tcPr>
          <w:p w:rsidR="003B623F" w:rsidRDefault="003B623F">
            <w:pPr>
              <w:rPr>
                <w:b/>
                <w:smallCaps/>
                <w:lang w:val="fr-CA"/>
              </w:rPr>
            </w:pPr>
            <w:r>
              <w:rPr>
                <w:b/>
                <w:smallCaps/>
                <w:lang w:val="fr-CA"/>
              </w:rPr>
              <w:t>Majorité :</w:t>
            </w:r>
          </w:p>
        </w:tc>
        <w:tc>
          <w:tcPr>
            <w:tcW w:w="3794" w:type="pct"/>
            <w:tcMar>
              <w:top w:w="284" w:type="dxa"/>
              <w:left w:w="58" w:type="dxa"/>
              <w:bottom w:w="58" w:type="dxa"/>
              <w:right w:w="58" w:type="dxa"/>
            </w:tcMar>
            <w:vAlign w:val="center"/>
            <w:hideMark/>
          </w:tcPr>
          <w:p w:rsidR="003B623F" w:rsidRDefault="003B623F">
            <w:pPr>
              <w:rPr>
                <w:lang w:val="fr-CA"/>
              </w:rPr>
            </w:pPr>
            <w:r>
              <w:rPr>
                <w:lang w:val="fr-CA"/>
              </w:rPr>
              <w:t xml:space="preserve">Les juges </w:t>
            </w:r>
            <w:proofErr w:type="spellStart"/>
            <w:r>
              <w:rPr>
                <w:lang w:val="fr-CA"/>
              </w:rPr>
              <w:t>Moldaver</w:t>
            </w:r>
            <w:proofErr w:type="spellEnd"/>
            <w:r>
              <w:rPr>
                <w:lang w:val="fr-CA"/>
              </w:rPr>
              <w:t xml:space="preserve">, </w:t>
            </w:r>
            <w:proofErr w:type="spellStart"/>
            <w:r>
              <w:rPr>
                <w:lang w:val="fr-CA"/>
              </w:rPr>
              <w:t>Karakatsanis</w:t>
            </w:r>
            <w:proofErr w:type="spellEnd"/>
            <w:r>
              <w:rPr>
                <w:lang w:val="fr-CA"/>
              </w:rPr>
              <w:t xml:space="preserve">, Rowe et </w:t>
            </w:r>
            <w:proofErr w:type="spellStart"/>
            <w:r>
              <w:rPr>
                <w:lang w:val="fr-CA"/>
              </w:rPr>
              <w:t>Kasirer</w:t>
            </w:r>
            <w:proofErr w:type="spellEnd"/>
          </w:p>
        </w:tc>
      </w:tr>
      <w:tr w:rsidR="003B623F" w:rsidTr="003B623F">
        <w:trPr>
          <w:gridAfter w:val="1"/>
          <w:wAfter w:w="10" w:type="pct"/>
          <w:cantSplit/>
        </w:trPr>
        <w:tc>
          <w:tcPr>
            <w:tcW w:w="1195" w:type="pct"/>
            <w:tcMar>
              <w:top w:w="284" w:type="dxa"/>
              <w:left w:w="58" w:type="dxa"/>
              <w:bottom w:w="57" w:type="dxa"/>
              <w:right w:w="58" w:type="dxa"/>
            </w:tcMar>
            <w:vAlign w:val="center"/>
            <w:hideMark/>
          </w:tcPr>
          <w:p w:rsidR="003B623F" w:rsidRDefault="003B623F">
            <w:pPr>
              <w:rPr>
                <w:b/>
                <w:smallCaps/>
                <w:lang w:val="fr-CA"/>
              </w:rPr>
            </w:pPr>
            <w:r>
              <w:rPr>
                <w:b/>
                <w:smallCaps/>
                <w:lang w:val="fr-CA"/>
              </w:rPr>
              <w:t>Dissidence :</w:t>
            </w:r>
          </w:p>
        </w:tc>
        <w:tc>
          <w:tcPr>
            <w:tcW w:w="3794" w:type="pct"/>
            <w:tcMar>
              <w:top w:w="284" w:type="dxa"/>
              <w:left w:w="58" w:type="dxa"/>
              <w:bottom w:w="58" w:type="dxa"/>
              <w:right w:w="58" w:type="dxa"/>
            </w:tcMar>
            <w:vAlign w:val="center"/>
            <w:hideMark/>
          </w:tcPr>
          <w:p w:rsidR="003B623F" w:rsidRDefault="003B623F">
            <w:pPr>
              <w:rPr>
                <w:lang w:val="fr-CA"/>
              </w:rPr>
            </w:pPr>
            <w:r>
              <w:rPr>
                <w:lang w:val="fr-CA"/>
              </w:rPr>
              <w:t>La juge Côté</w:t>
            </w:r>
          </w:p>
        </w:tc>
      </w:tr>
    </w:tbl>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026"/>
        <w:gridCol w:w="4034"/>
        <w:gridCol w:w="3020"/>
        <w:gridCol w:w="6"/>
      </w:tblGrid>
      <w:tr w:rsidR="003B623F" w:rsidTr="003B623F">
        <w:trPr>
          <w:gridAfter w:val="1"/>
          <w:wAfter w:w="6" w:type="dxa"/>
        </w:trPr>
        <w:tc>
          <w:tcPr>
            <w:tcW w:w="10080" w:type="dxa"/>
            <w:gridSpan w:val="3"/>
          </w:tcPr>
          <w:p w:rsidR="003B623F" w:rsidRDefault="003B623F">
            <w:pPr>
              <w:jc w:val="both"/>
              <w:rPr>
                <w:lang w:val="fr-CA"/>
              </w:rPr>
            </w:pPr>
          </w:p>
        </w:tc>
      </w:tr>
      <w:tr w:rsidR="003B623F" w:rsidTr="003B623F">
        <w:tblPrEx>
          <w:tblCellMar>
            <w:top w:w="0" w:type="dxa"/>
            <w:left w:w="108" w:type="dxa"/>
            <w:bottom w:w="0" w:type="dxa"/>
            <w:right w:w="108" w:type="dxa"/>
          </w:tblCellMar>
        </w:tblPrEx>
        <w:tc>
          <w:tcPr>
            <w:tcW w:w="3026" w:type="dxa"/>
            <w:tcMar>
              <w:top w:w="284" w:type="dxa"/>
              <w:left w:w="108" w:type="dxa"/>
              <w:bottom w:w="0" w:type="dxa"/>
              <w:right w:w="108" w:type="dxa"/>
            </w:tcMar>
          </w:tcPr>
          <w:p w:rsidR="003B623F" w:rsidRDefault="003B623F">
            <w:pPr>
              <w:rPr>
                <w:rFonts w:eastAsia="Calibri"/>
                <w:szCs w:val="24"/>
                <w:lang w:val="fr-CA" w:eastAsia="en-US"/>
              </w:rPr>
            </w:pPr>
          </w:p>
        </w:tc>
        <w:tc>
          <w:tcPr>
            <w:tcW w:w="4034" w:type="dxa"/>
            <w:tcBorders>
              <w:top w:val="nil"/>
              <w:left w:val="nil"/>
              <w:bottom w:val="single" w:sz="4" w:space="0" w:color="auto"/>
              <w:right w:val="nil"/>
            </w:tcBorders>
            <w:tcMar>
              <w:top w:w="284" w:type="dxa"/>
              <w:left w:w="108" w:type="dxa"/>
              <w:bottom w:w="0" w:type="dxa"/>
              <w:right w:w="108" w:type="dxa"/>
            </w:tcMar>
          </w:tcPr>
          <w:p w:rsidR="003B623F" w:rsidRDefault="003B623F">
            <w:pPr>
              <w:rPr>
                <w:rFonts w:eastAsia="Calibri"/>
                <w:szCs w:val="24"/>
                <w:lang w:val="fr-CA" w:eastAsia="en-US"/>
              </w:rPr>
            </w:pPr>
          </w:p>
        </w:tc>
        <w:tc>
          <w:tcPr>
            <w:tcW w:w="3026" w:type="dxa"/>
            <w:gridSpan w:val="2"/>
            <w:tcMar>
              <w:top w:w="284" w:type="dxa"/>
              <w:left w:w="108" w:type="dxa"/>
              <w:bottom w:w="0" w:type="dxa"/>
              <w:right w:w="108" w:type="dxa"/>
            </w:tcMar>
          </w:tcPr>
          <w:p w:rsidR="003B623F" w:rsidRDefault="003B623F">
            <w:pPr>
              <w:rPr>
                <w:rFonts w:eastAsia="Calibri"/>
                <w:szCs w:val="24"/>
                <w:lang w:val="fr-CA" w:eastAsia="en-US"/>
              </w:rPr>
            </w:pPr>
          </w:p>
        </w:tc>
      </w:tr>
    </w:tbl>
    <w:p w:rsidR="009E04A9" w:rsidRPr="00206DC1" w:rsidRDefault="009E04A9" w:rsidP="009E04A9">
      <w:pPr>
        <w:spacing w:after="720"/>
        <w:jc w:val="both"/>
        <w:rPr>
          <w:lang w:val="en-US"/>
        </w:rPr>
      </w:pPr>
      <w:bookmarkStart w:id="0" w:name="_GoBack"/>
      <w:bookmarkEnd w:id="0"/>
    </w:p>
    <w:p w:rsidR="009E04A9" w:rsidRPr="00206DC1" w:rsidRDefault="009E04A9" w:rsidP="009E04A9">
      <w:pPr>
        <w:pStyle w:val="SCCLsocLastPartyInRole"/>
        <w:rPr>
          <w:lang w:val="en-US"/>
        </w:rPr>
      </w:pPr>
      <w:r w:rsidRPr="00243299">
        <w:rPr>
          <w:bCs/>
        </w:rPr>
        <w:t>Tanner Jay Morrow</w:t>
      </w:r>
      <w:r w:rsidRPr="00206DC1">
        <w:rPr>
          <w:rStyle w:val="SCCLsocPartyRole"/>
          <w:lang w:val="en-US"/>
        </w:rPr>
        <w:tab/>
      </w:r>
      <w:proofErr w:type="spellStart"/>
      <w:r w:rsidRPr="00206DC1">
        <w:rPr>
          <w:rStyle w:val="SCCLsocPartyRole"/>
          <w:lang w:val="en-US"/>
        </w:rPr>
        <w:t>Appelant</w:t>
      </w:r>
      <w:proofErr w:type="spellEnd"/>
    </w:p>
    <w:p w:rsidR="009E04A9" w:rsidRPr="00F11682" w:rsidRDefault="009E04A9" w:rsidP="009E04A9">
      <w:pPr>
        <w:pStyle w:val="SCCLsocVersus"/>
        <w:rPr>
          <w:lang w:val="fr-CA"/>
        </w:rPr>
      </w:pPr>
      <w:proofErr w:type="gramStart"/>
      <w:r w:rsidRPr="00F11682">
        <w:rPr>
          <w:lang w:val="fr-CA"/>
        </w:rPr>
        <w:t>c</w:t>
      </w:r>
      <w:proofErr w:type="gramEnd"/>
      <w:r w:rsidRPr="00F11682">
        <w:rPr>
          <w:lang w:val="fr-CA"/>
        </w:rPr>
        <w:t>.</w:t>
      </w:r>
    </w:p>
    <w:p w:rsidR="009E04A9" w:rsidRPr="00CC55B7" w:rsidRDefault="009E04A9" w:rsidP="009E04A9">
      <w:pPr>
        <w:pStyle w:val="SCCLsocLastPartyInRole"/>
        <w:rPr>
          <w:lang w:val="fr-CA"/>
        </w:rPr>
      </w:pPr>
      <w:r w:rsidRPr="00CC55B7">
        <w:rPr>
          <w:bCs/>
          <w:lang w:val="fr-CA"/>
        </w:rPr>
        <w:t>Sa Majesté la Reine</w:t>
      </w:r>
      <w:r w:rsidRPr="00CC55B7">
        <w:rPr>
          <w:rStyle w:val="SCCLsocPartyRole"/>
          <w:lang w:val="fr-CA"/>
        </w:rPr>
        <w:tab/>
        <w:t>Intimé</w:t>
      </w:r>
      <w:r>
        <w:rPr>
          <w:rStyle w:val="SCCLsocPartyRole"/>
          <w:lang w:val="fr-CA"/>
        </w:rPr>
        <w:t>e</w:t>
      </w:r>
    </w:p>
    <w:p w:rsidR="009E04A9" w:rsidRPr="009E04A9" w:rsidRDefault="009E04A9" w:rsidP="009E04A9">
      <w:pPr>
        <w:spacing w:after="720"/>
        <w:jc w:val="both"/>
        <w:rPr>
          <w:b/>
          <w:lang w:val="en-US"/>
        </w:rPr>
      </w:pPr>
      <w:proofErr w:type="spellStart"/>
      <w:proofErr w:type="gramStart"/>
      <w:r w:rsidRPr="009E04A9">
        <w:rPr>
          <w:b/>
          <w:lang w:val="en-US"/>
        </w:rPr>
        <w:t>Répertorié</w:t>
      </w:r>
      <w:proofErr w:type="spellEnd"/>
      <w:r w:rsidRPr="009E04A9">
        <w:rPr>
          <w:b/>
          <w:lang w:val="en-US"/>
        </w:rPr>
        <w:t> :</w:t>
      </w:r>
      <w:proofErr w:type="gramEnd"/>
      <w:r w:rsidRPr="009E04A9">
        <w:rPr>
          <w:b/>
          <w:lang w:val="en-US"/>
        </w:rPr>
        <w:t xml:space="preserve"> R. </w:t>
      </w:r>
      <w:r w:rsidRPr="009E04A9">
        <w:rPr>
          <w:b/>
          <w:i/>
          <w:iCs/>
          <w:lang w:val="en-US"/>
        </w:rPr>
        <w:t>c.</w:t>
      </w:r>
      <w:r w:rsidRPr="009E04A9">
        <w:rPr>
          <w:b/>
          <w:lang w:val="en-US"/>
        </w:rPr>
        <w:t xml:space="preserve"> Morrow</w:t>
      </w:r>
    </w:p>
    <w:p w:rsidR="009E04A9" w:rsidRPr="009E04A9" w:rsidRDefault="009E04A9" w:rsidP="009E04A9">
      <w:pPr>
        <w:pStyle w:val="SCCSystemYear"/>
        <w:spacing w:after="720"/>
        <w:jc w:val="both"/>
        <w:rPr>
          <w:lang w:val="en-US"/>
        </w:rPr>
      </w:pPr>
      <w:r w:rsidRPr="009E04A9">
        <w:rPr>
          <w:lang w:val="en-US"/>
        </w:rPr>
        <w:t>2021 CSC 21</w:t>
      </w:r>
    </w:p>
    <w:p w:rsidR="009E04A9" w:rsidRPr="00AE3A60" w:rsidRDefault="009E04A9" w:rsidP="009E04A9">
      <w:pPr>
        <w:spacing w:after="720"/>
        <w:jc w:val="both"/>
        <w:rPr>
          <w:lang w:val="fr-CA"/>
        </w:rPr>
      </w:pPr>
      <w:r w:rsidRPr="00AE3A60">
        <w:rPr>
          <w:lang w:val="fr-CA"/>
        </w:rPr>
        <w:t>N</w:t>
      </w:r>
      <w:r w:rsidRPr="00AE3A60">
        <w:rPr>
          <w:vertAlign w:val="superscript"/>
          <w:lang w:val="fr-CA"/>
        </w:rPr>
        <w:t>o</w:t>
      </w:r>
      <w:r>
        <w:rPr>
          <w:lang w:val="fr-CA"/>
        </w:rPr>
        <w:t xml:space="preserve"> du greffe : </w:t>
      </w:r>
      <w:r w:rsidRPr="00CC55B7">
        <w:rPr>
          <w:color w:val="000000"/>
          <w:lang w:val="fr-CA"/>
        </w:rPr>
        <w:t>39456</w:t>
      </w:r>
      <w:r w:rsidRPr="00AE3A60">
        <w:rPr>
          <w:lang w:val="fr-CA"/>
        </w:rPr>
        <w:t>.</w:t>
      </w:r>
    </w:p>
    <w:p w:rsidR="009E04A9" w:rsidRPr="00AE3A60" w:rsidRDefault="009E04A9" w:rsidP="009E04A9">
      <w:pPr>
        <w:spacing w:after="720"/>
        <w:jc w:val="both"/>
        <w:rPr>
          <w:lang w:val="fr-CA"/>
        </w:rPr>
      </w:pPr>
      <w:r w:rsidRPr="00AE3A60">
        <w:rPr>
          <w:lang w:val="fr-CA"/>
        </w:rPr>
        <w:t>2021</w:t>
      </w:r>
      <w:r>
        <w:rPr>
          <w:lang w:val="fr-CA"/>
        </w:rPr>
        <w:t> </w:t>
      </w:r>
      <w:r w:rsidRPr="00AE3A60">
        <w:rPr>
          <w:lang w:val="fr-CA"/>
        </w:rPr>
        <w:t>:</w:t>
      </w:r>
      <w:r>
        <w:rPr>
          <w:lang w:val="fr-CA"/>
        </w:rPr>
        <w:t xml:space="preserve"> </w:t>
      </w:r>
      <w:r w:rsidRPr="00CC55B7">
        <w:rPr>
          <w:color w:val="000000"/>
          <w:lang w:val="fr-CA"/>
        </w:rPr>
        <w:t>19 mai</w:t>
      </w:r>
      <w:r w:rsidRPr="00AE3A60">
        <w:rPr>
          <w:lang w:val="fr-CA"/>
        </w:rPr>
        <w:t>.</w:t>
      </w:r>
    </w:p>
    <w:p w:rsidR="009E04A9" w:rsidRPr="0017235F" w:rsidRDefault="009E04A9" w:rsidP="009E04A9">
      <w:pPr>
        <w:spacing w:after="720"/>
        <w:jc w:val="both"/>
        <w:rPr>
          <w:lang w:val="fr-CA"/>
        </w:rPr>
      </w:pPr>
      <w:r>
        <w:rPr>
          <w:lang w:val="fr-CA"/>
        </w:rPr>
        <w:t xml:space="preserve">Présents : </w:t>
      </w:r>
      <w:r w:rsidRPr="00CC55B7">
        <w:rPr>
          <w:color w:val="000000"/>
          <w:lang w:val="fr-CA"/>
        </w:rPr>
        <w:t xml:space="preserve">Les juges </w:t>
      </w:r>
      <w:proofErr w:type="spellStart"/>
      <w:r w:rsidRPr="00CC55B7">
        <w:rPr>
          <w:color w:val="000000"/>
          <w:lang w:val="fr-CA"/>
        </w:rPr>
        <w:t>Moldaver</w:t>
      </w:r>
      <w:proofErr w:type="spellEnd"/>
      <w:r w:rsidRPr="00CC55B7">
        <w:rPr>
          <w:color w:val="000000"/>
          <w:lang w:val="fr-CA"/>
        </w:rPr>
        <w:t xml:space="preserve">, </w:t>
      </w:r>
      <w:proofErr w:type="spellStart"/>
      <w:r w:rsidRPr="00CC55B7">
        <w:rPr>
          <w:color w:val="000000"/>
          <w:lang w:val="fr-CA"/>
        </w:rPr>
        <w:t>Karakatsanis</w:t>
      </w:r>
      <w:proofErr w:type="spellEnd"/>
      <w:r w:rsidRPr="00CC55B7">
        <w:rPr>
          <w:color w:val="000000"/>
          <w:lang w:val="fr-CA"/>
        </w:rPr>
        <w:t xml:space="preserve">, Côté, Rowe et </w:t>
      </w:r>
      <w:proofErr w:type="spellStart"/>
      <w:r w:rsidRPr="00CC55B7">
        <w:rPr>
          <w:color w:val="000000"/>
          <w:lang w:val="fr-CA"/>
        </w:rPr>
        <w:t>Kasirer</w:t>
      </w:r>
      <w:proofErr w:type="spellEnd"/>
      <w:r>
        <w:rPr>
          <w:color w:val="000000"/>
          <w:lang w:val="fr-CA"/>
        </w:rPr>
        <w:t>.</w:t>
      </w:r>
    </w:p>
    <w:p w:rsidR="009E04A9" w:rsidRPr="00CC55B7" w:rsidRDefault="009E04A9" w:rsidP="009E04A9">
      <w:pPr>
        <w:spacing w:after="720"/>
        <w:jc w:val="both"/>
        <w:rPr>
          <w:smallCaps/>
          <w:lang w:val="fr-CA"/>
        </w:rPr>
      </w:pPr>
      <w:r w:rsidRPr="006517E8">
        <w:rPr>
          <w:smallCaps/>
          <w:lang w:val="fr-CA"/>
        </w:rPr>
        <w:t xml:space="preserve">en appel de la cour d’appel </w:t>
      </w:r>
      <w:r w:rsidRPr="00AF0A56">
        <w:rPr>
          <w:smallCaps/>
          <w:lang w:val="fr-CA"/>
        </w:rPr>
        <w:t xml:space="preserve">de </w:t>
      </w:r>
      <w:proofErr w:type="spellStart"/>
      <w:r>
        <w:rPr>
          <w:smallCaps/>
          <w:lang w:val="fr-CA"/>
        </w:rPr>
        <w:t>l’a</w:t>
      </w:r>
      <w:r w:rsidRPr="00CC55B7">
        <w:rPr>
          <w:smallCaps/>
          <w:lang w:val="fr-CA"/>
        </w:rPr>
        <w:t>lberta</w:t>
      </w:r>
      <w:proofErr w:type="spellEnd"/>
    </w:p>
    <w:p w:rsidR="009E04A9" w:rsidRDefault="009E04A9" w:rsidP="009E04A9">
      <w:pPr>
        <w:pStyle w:val="SCCNormalDoubleSpacing"/>
        <w:spacing w:after="480"/>
        <w:rPr>
          <w:i/>
          <w:lang w:val="fr-CA"/>
        </w:rPr>
      </w:pPr>
      <w:r w:rsidRPr="00BB4C92">
        <w:rPr>
          <w:lang w:val="fr-CA"/>
        </w:rPr>
        <w:tab/>
      </w:r>
      <w:r w:rsidRPr="00DD6B7B">
        <w:rPr>
          <w:i/>
          <w:lang w:val="fr-CA"/>
        </w:rPr>
        <w:t>Droit criminel — Entrave à la justice</w:t>
      </w:r>
      <w:r>
        <w:rPr>
          <w:i/>
          <w:lang w:val="fr-CA"/>
        </w:rPr>
        <w:t xml:space="preserve"> — É</w:t>
      </w:r>
      <w:r w:rsidRPr="00DD6B7B">
        <w:rPr>
          <w:i/>
          <w:lang w:val="fr-CA"/>
        </w:rPr>
        <w:t>léments de l’infraction — Dissuader ou tenter de dissuader une pers</w:t>
      </w:r>
      <w:r>
        <w:rPr>
          <w:i/>
          <w:lang w:val="fr-CA"/>
        </w:rPr>
        <w:t>onne, par des menaces, des pots</w:t>
      </w:r>
      <w:r>
        <w:rPr>
          <w:i/>
          <w:lang w:val="fr-CA"/>
        </w:rPr>
        <w:noBreakHyphen/>
        <w:t>de</w:t>
      </w:r>
      <w:r>
        <w:rPr>
          <w:i/>
          <w:lang w:val="fr-CA"/>
        </w:rPr>
        <w:noBreakHyphen/>
      </w:r>
      <w:r w:rsidRPr="00DD6B7B">
        <w:rPr>
          <w:i/>
          <w:lang w:val="fr-CA"/>
        </w:rPr>
        <w:t>vin ou d’autres moyens de corruption, de témoigner — Accusé déclaré coupable d’entrave à la justice parce qu</w:t>
      </w:r>
      <w:r>
        <w:rPr>
          <w:i/>
          <w:lang w:val="fr-CA"/>
        </w:rPr>
        <w:t>’</w:t>
      </w:r>
      <w:r w:rsidRPr="00DD6B7B">
        <w:rPr>
          <w:i/>
          <w:lang w:val="fr-CA"/>
        </w:rPr>
        <w:t xml:space="preserve">il </w:t>
      </w:r>
      <w:r w:rsidRPr="007D7EEC">
        <w:rPr>
          <w:i/>
          <w:lang w:val="fr-CA"/>
        </w:rPr>
        <w:t>s’est rendu</w:t>
      </w:r>
      <w:r w:rsidRPr="00DD6B7B">
        <w:rPr>
          <w:i/>
          <w:lang w:val="fr-CA"/>
        </w:rPr>
        <w:t xml:space="preserve"> au domicile de </w:t>
      </w:r>
      <w:r>
        <w:rPr>
          <w:i/>
          <w:lang w:val="fr-CA"/>
        </w:rPr>
        <w:t>la plaignante</w:t>
      </w:r>
      <w:r w:rsidRPr="00DD6B7B">
        <w:rPr>
          <w:i/>
          <w:lang w:val="fr-CA"/>
        </w:rPr>
        <w:t xml:space="preserve"> afin de lui fournir de</w:t>
      </w:r>
      <w:r>
        <w:rPr>
          <w:i/>
          <w:lang w:val="fr-CA"/>
        </w:rPr>
        <w:t xml:space="preserve"> l’information </w:t>
      </w:r>
      <w:r w:rsidRPr="00DD6B7B">
        <w:rPr>
          <w:i/>
          <w:lang w:val="fr-CA"/>
        </w:rPr>
        <w:t xml:space="preserve">sur la façon de retirer les accusations de harcèlement criminel qu’elle avait </w:t>
      </w:r>
      <w:r w:rsidRPr="007D7EEC">
        <w:rPr>
          <w:i/>
          <w:lang w:val="fr-CA"/>
        </w:rPr>
        <w:t>récemment</w:t>
      </w:r>
      <w:r>
        <w:rPr>
          <w:i/>
          <w:lang w:val="fr-CA"/>
        </w:rPr>
        <w:t xml:space="preserve"> </w:t>
      </w:r>
      <w:r w:rsidRPr="00DD6B7B">
        <w:rPr>
          <w:i/>
          <w:lang w:val="fr-CA"/>
        </w:rPr>
        <w:t xml:space="preserve">déposées contre lui — </w:t>
      </w:r>
      <w:r>
        <w:rPr>
          <w:i/>
          <w:lang w:val="fr-CA"/>
        </w:rPr>
        <w:t xml:space="preserve">Décision du </w:t>
      </w:r>
      <w:r>
        <w:rPr>
          <w:i/>
          <w:lang w:val="fr-CA"/>
        </w:rPr>
        <w:lastRenderedPageBreak/>
        <w:t xml:space="preserve">juge du procès portant que les actes de l’accusé avaient été volontaires et accomplis dans le but de tenter de dissuader la plaignante de témoigner — Arrêt majoritaire de la Cour d’appel concluant que le dossier permettait d’inférer que l’accusé avait exercé de la pression sur la plaignante dans un but </w:t>
      </w:r>
      <w:r w:rsidRPr="007D7EEC">
        <w:rPr>
          <w:i/>
          <w:lang w:val="fr-CA"/>
        </w:rPr>
        <w:t>illicite</w:t>
      </w:r>
      <w:r>
        <w:rPr>
          <w:i/>
          <w:lang w:val="fr-CA"/>
        </w:rPr>
        <w:t xml:space="preserve"> et confirmant la déclaration de culpabilité — </w:t>
      </w:r>
      <w:r w:rsidRPr="007D7EEC">
        <w:rPr>
          <w:i/>
          <w:lang w:val="fr-CA"/>
        </w:rPr>
        <w:t>Motifs</w:t>
      </w:r>
      <w:r>
        <w:rPr>
          <w:i/>
          <w:lang w:val="fr-CA"/>
        </w:rPr>
        <w:t xml:space="preserve"> du juge dissident concluant que la déclaration de culpabilité devrait être annulée pour le motif que la communication par l’accusé d’information au sujet du retrait des accusations n’avait pas un caractère </w:t>
      </w:r>
      <w:r w:rsidRPr="007D7EEC">
        <w:rPr>
          <w:i/>
          <w:lang w:val="fr-CA"/>
        </w:rPr>
        <w:t>illicite</w:t>
      </w:r>
      <w:r>
        <w:rPr>
          <w:i/>
          <w:lang w:val="fr-CA"/>
        </w:rPr>
        <w:t xml:space="preserve"> et ne constituait pas des menaces, des pots-de-vin ou d’autres moyens de corruption</w:t>
      </w:r>
      <w:r w:rsidRPr="00784E7A">
        <w:rPr>
          <w:i/>
          <w:lang w:val="fr-CA"/>
        </w:rPr>
        <w:t xml:space="preserve"> — Déclaration de culpabilité confirmée — Code criminel, L.R.C. </w:t>
      </w:r>
      <w:r>
        <w:rPr>
          <w:i/>
          <w:lang w:val="fr-CA"/>
        </w:rPr>
        <w:t>1985, c. C</w:t>
      </w:r>
      <w:r>
        <w:rPr>
          <w:i/>
          <w:lang w:val="fr-CA"/>
        </w:rPr>
        <w:noBreakHyphen/>
        <w:t>46, art. </w:t>
      </w:r>
      <w:r w:rsidRPr="00784E7A">
        <w:rPr>
          <w:i/>
          <w:lang w:val="fr-CA"/>
        </w:rPr>
        <w:t>139(3).</w:t>
      </w:r>
    </w:p>
    <w:p w:rsidR="009E04A9" w:rsidRDefault="009E04A9" w:rsidP="009E04A9">
      <w:pPr>
        <w:pStyle w:val="SCCNormalDoubleSpacing"/>
        <w:widowControl w:val="0"/>
        <w:spacing w:after="720" w:line="360" w:lineRule="auto"/>
        <w:rPr>
          <w:b/>
          <w:lang w:val="fr-CA"/>
        </w:rPr>
      </w:pPr>
      <w:r w:rsidRPr="004D7D95">
        <w:rPr>
          <w:b/>
          <w:lang w:val="fr-CA"/>
        </w:rPr>
        <w:t>Jurisprudence</w:t>
      </w:r>
    </w:p>
    <w:p w:rsidR="009E04A9" w:rsidRPr="006A5E68" w:rsidRDefault="009E04A9" w:rsidP="009E04A9">
      <w:pPr>
        <w:pStyle w:val="SCCNormalDoubleSpacing"/>
        <w:widowControl w:val="0"/>
        <w:spacing w:after="720" w:line="360" w:lineRule="auto"/>
        <w:rPr>
          <w:lang w:val="fr-CA"/>
        </w:rPr>
      </w:pPr>
      <w:r>
        <w:rPr>
          <w:color w:val="000000"/>
          <w:lang w:val="fr-CA"/>
        </w:rPr>
        <w:t>Citée par la juge Côté (dissidente)</w:t>
      </w:r>
    </w:p>
    <w:p w:rsidR="009E04A9" w:rsidRDefault="009E04A9" w:rsidP="009E04A9">
      <w:pPr>
        <w:pStyle w:val="SCCNormalDoubleSpacing"/>
        <w:widowControl w:val="0"/>
        <w:spacing w:after="720" w:line="360" w:lineRule="auto"/>
        <w:rPr>
          <w:color w:val="000000"/>
          <w:lang w:val="fr-CA"/>
        </w:rPr>
      </w:pPr>
      <w:r>
        <w:rPr>
          <w:b/>
          <w:lang w:val="fr-CA"/>
        </w:rPr>
        <w:tab/>
      </w:r>
      <w:r w:rsidRPr="00CC55B7">
        <w:rPr>
          <w:i/>
          <w:iCs/>
          <w:color w:val="000000"/>
          <w:lang w:val="fr-CA"/>
        </w:rPr>
        <w:t xml:space="preserve">R. c. </w:t>
      </w:r>
      <w:proofErr w:type="spellStart"/>
      <w:r w:rsidRPr="00CC55B7">
        <w:rPr>
          <w:i/>
          <w:iCs/>
          <w:color w:val="000000"/>
          <w:lang w:val="fr-CA"/>
        </w:rPr>
        <w:t>Crazyboy</w:t>
      </w:r>
      <w:proofErr w:type="spellEnd"/>
      <w:r w:rsidRPr="00CC55B7">
        <w:rPr>
          <w:color w:val="000000"/>
          <w:lang w:val="fr-CA"/>
        </w:rPr>
        <w:t xml:space="preserve">, 2011 </w:t>
      </w:r>
      <w:proofErr w:type="spellStart"/>
      <w:r w:rsidRPr="00CC55B7">
        <w:rPr>
          <w:color w:val="000000"/>
          <w:lang w:val="fr-CA"/>
        </w:rPr>
        <w:t>ABPC</w:t>
      </w:r>
      <w:proofErr w:type="spellEnd"/>
      <w:r w:rsidRPr="00CC55B7">
        <w:rPr>
          <w:color w:val="000000"/>
          <w:lang w:val="fr-CA"/>
        </w:rPr>
        <w:t xml:space="preserve"> 369</w:t>
      </w:r>
      <w:r>
        <w:rPr>
          <w:color w:val="000000"/>
          <w:lang w:val="fr-CA"/>
        </w:rPr>
        <w:t>.</w:t>
      </w:r>
    </w:p>
    <w:p w:rsidR="009E04A9" w:rsidRDefault="009E04A9" w:rsidP="009E04A9">
      <w:pPr>
        <w:pStyle w:val="SCCNormalDoubleSpacing"/>
        <w:widowControl w:val="0"/>
        <w:spacing w:after="720" w:line="360" w:lineRule="auto"/>
        <w:rPr>
          <w:b/>
          <w:lang w:val="fr-CA"/>
        </w:rPr>
      </w:pPr>
      <w:r w:rsidRPr="00720623">
        <w:rPr>
          <w:b/>
          <w:bCs/>
          <w:color w:val="000000"/>
          <w:lang w:val="fr-CA"/>
        </w:rPr>
        <w:t>Lois et règlements cités</w:t>
      </w:r>
    </w:p>
    <w:p w:rsidR="009E04A9" w:rsidRPr="00AF0A56" w:rsidRDefault="009E04A9" w:rsidP="009E04A9">
      <w:pPr>
        <w:pStyle w:val="SCCNormalDoubleSpacing"/>
        <w:widowControl w:val="0"/>
        <w:spacing w:after="720" w:line="360" w:lineRule="auto"/>
        <w:rPr>
          <w:b/>
          <w:lang w:val="fr-CA"/>
        </w:rPr>
      </w:pPr>
      <w:r w:rsidRPr="003447FE">
        <w:rPr>
          <w:rFonts w:eastAsiaTheme="majorEastAsia"/>
          <w:i/>
          <w:iCs/>
          <w:lang w:val="fr-CA"/>
        </w:rPr>
        <w:t>Code criminel</w:t>
      </w:r>
      <w:r>
        <w:rPr>
          <w:rFonts w:eastAsiaTheme="majorEastAsia"/>
          <w:lang w:val="fr-CA"/>
        </w:rPr>
        <w:t>, L.R.C. 1985, c. C</w:t>
      </w:r>
      <w:r>
        <w:rPr>
          <w:rFonts w:eastAsiaTheme="majorEastAsia"/>
          <w:lang w:val="fr-CA"/>
        </w:rPr>
        <w:noBreakHyphen/>
      </w:r>
      <w:r w:rsidRPr="003447FE">
        <w:rPr>
          <w:rFonts w:eastAsiaTheme="majorEastAsia"/>
          <w:lang w:val="fr-CA"/>
        </w:rPr>
        <w:t>46</w:t>
      </w:r>
      <w:r w:rsidRPr="00720623">
        <w:rPr>
          <w:color w:val="000000"/>
          <w:lang w:val="fr-CA"/>
        </w:rPr>
        <w:t>,</w:t>
      </w:r>
      <w:r>
        <w:rPr>
          <w:color w:val="000000"/>
          <w:lang w:val="fr-CA"/>
        </w:rPr>
        <w:t xml:space="preserve"> art. 139(3).</w:t>
      </w:r>
    </w:p>
    <w:p w:rsidR="009E04A9" w:rsidRPr="003575A9" w:rsidRDefault="009E04A9" w:rsidP="009E04A9">
      <w:pPr>
        <w:pStyle w:val="SCCNormalDoubleSpacing"/>
        <w:spacing w:after="480"/>
        <w:rPr>
          <w:lang w:val="fr-CA"/>
        </w:rPr>
      </w:pPr>
      <w:r w:rsidRPr="004D7D95">
        <w:rPr>
          <w:lang w:val="fr-CA"/>
        </w:rPr>
        <w:tab/>
        <w:t xml:space="preserve">POURVOI contre un arrêt de la </w:t>
      </w:r>
      <w:r w:rsidRPr="00AE3A60">
        <w:rPr>
          <w:lang w:val="fr-CA"/>
        </w:rPr>
        <w:t xml:space="preserve">Cour d’appel </w:t>
      </w:r>
      <w:r w:rsidRPr="00AF0A56">
        <w:rPr>
          <w:color w:val="000000"/>
          <w:lang w:val="fr-CA"/>
        </w:rPr>
        <w:t xml:space="preserve">de </w:t>
      </w:r>
      <w:r w:rsidRPr="00CC55B7">
        <w:rPr>
          <w:color w:val="000000"/>
          <w:lang w:val="fr-CA"/>
        </w:rPr>
        <w:t>l’Alberta</w:t>
      </w:r>
      <w:r>
        <w:rPr>
          <w:lang w:val="fr-CA"/>
        </w:rPr>
        <w:t xml:space="preserve"> (les juges</w:t>
      </w:r>
      <w:r w:rsidRPr="005E3E2B">
        <w:rPr>
          <w:lang w:val="fr-CA"/>
        </w:rPr>
        <w:t xml:space="preserve"> </w:t>
      </w:r>
      <w:proofErr w:type="spellStart"/>
      <w:r w:rsidRPr="003575A9">
        <w:rPr>
          <w:lang w:val="fr-CA"/>
        </w:rPr>
        <w:t>Paperny</w:t>
      </w:r>
      <w:proofErr w:type="spellEnd"/>
      <w:r w:rsidRPr="003575A9">
        <w:rPr>
          <w:lang w:val="fr-CA"/>
        </w:rPr>
        <w:t xml:space="preserve">, </w:t>
      </w:r>
      <w:proofErr w:type="spellStart"/>
      <w:r w:rsidRPr="003575A9">
        <w:rPr>
          <w:lang w:val="fr-CA"/>
        </w:rPr>
        <w:t>Slatter</w:t>
      </w:r>
      <w:proofErr w:type="spellEnd"/>
      <w:r w:rsidRPr="003575A9">
        <w:rPr>
          <w:lang w:val="fr-CA"/>
        </w:rPr>
        <w:t xml:space="preserve"> </w:t>
      </w:r>
      <w:r w:rsidRPr="005E3E2B">
        <w:rPr>
          <w:lang w:val="fr-CA"/>
        </w:rPr>
        <w:t xml:space="preserve">et </w:t>
      </w:r>
      <w:r w:rsidRPr="003575A9">
        <w:rPr>
          <w:lang w:val="fr-CA"/>
        </w:rPr>
        <w:t>Antonio</w:t>
      </w:r>
      <w:r>
        <w:rPr>
          <w:lang w:val="fr-CA"/>
        </w:rPr>
        <w:t>),</w:t>
      </w:r>
      <w:r w:rsidRPr="006517E8">
        <w:rPr>
          <w:lang w:val="fr-CA"/>
        </w:rPr>
        <w:t xml:space="preserve"> </w:t>
      </w:r>
      <w:r w:rsidRPr="003575A9">
        <w:rPr>
          <w:color w:val="000000"/>
          <w:lang w:val="fr-CA"/>
        </w:rPr>
        <w:t>2020 ABCA 407, 458 D.L.R. (4th) 5, [2020] A.J. No. 1243 (</w:t>
      </w:r>
      <w:proofErr w:type="spellStart"/>
      <w:r w:rsidRPr="003575A9">
        <w:rPr>
          <w:color w:val="000000"/>
          <w:lang w:val="fr-CA"/>
        </w:rPr>
        <w:t>QL</w:t>
      </w:r>
      <w:proofErr w:type="spellEnd"/>
      <w:r w:rsidRPr="003575A9">
        <w:rPr>
          <w:color w:val="000000"/>
          <w:lang w:val="fr-CA"/>
        </w:rPr>
        <w:t xml:space="preserve">), 2020 </w:t>
      </w:r>
      <w:proofErr w:type="spellStart"/>
      <w:r w:rsidRPr="003575A9">
        <w:rPr>
          <w:color w:val="000000"/>
          <w:lang w:val="fr-CA"/>
        </w:rPr>
        <w:t>CarswellAlta</w:t>
      </w:r>
      <w:proofErr w:type="spellEnd"/>
      <w:r w:rsidRPr="003575A9">
        <w:rPr>
          <w:color w:val="000000"/>
          <w:lang w:val="fr-CA"/>
        </w:rPr>
        <w:t xml:space="preserve"> 2169</w:t>
      </w:r>
      <w:r w:rsidRPr="00CC0AC5">
        <w:rPr>
          <w:color w:val="000000"/>
          <w:lang w:val="fr-CA"/>
        </w:rPr>
        <w:t xml:space="preserve"> </w:t>
      </w:r>
      <w:r w:rsidRPr="006517E8">
        <w:rPr>
          <w:color w:val="000000"/>
          <w:lang w:val="fr-CA"/>
        </w:rPr>
        <w:t>(</w:t>
      </w:r>
      <w:proofErr w:type="spellStart"/>
      <w:r w:rsidRPr="006517E8">
        <w:rPr>
          <w:color w:val="000000"/>
          <w:lang w:val="fr-CA"/>
        </w:rPr>
        <w:t>WL</w:t>
      </w:r>
      <w:proofErr w:type="spellEnd"/>
      <w:r w:rsidRPr="006517E8">
        <w:rPr>
          <w:color w:val="000000"/>
          <w:lang w:val="fr-CA"/>
        </w:rPr>
        <w:t xml:space="preserve"> Can.),</w:t>
      </w:r>
      <w:r>
        <w:rPr>
          <w:color w:val="000000"/>
          <w:lang w:val="fr-CA"/>
        </w:rPr>
        <w:t xml:space="preserve"> </w:t>
      </w:r>
      <w:r w:rsidRPr="00383161">
        <w:rPr>
          <w:lang w:val="fr-CA"/>
        </w:rPr>
        <w:t>qui a confirmé l</w:t>
      </w:r>
      <w:r>
        <w:rPr>
          <w:lang w:val="fr-CA"/>
        </w:rPr>
        <w:t>a</w:t>
      </w:r>
      <w:r w:rsidRPr="00383161">
        <w:rPr>
          <w:lang w:val="fr-CA"/>
        </w:rPr>
        <w:t xml:space="preserve"> déclaration de culpabilité pour </w:t>
      </w:r>
      <w:r w:rsidRPr="00383161">
        <w:rPr>
          <w:color w:val="000000"/>
          <w:lang w:val="fr-CA"/>
        </w:rPr>
        <w:t xml:space="preserve">entrave à la justice </w:t>
      </w:r>
      <w:r>
        <w:rPr>
          <w:color w:val="000000"/>
          <w:lang w:val="fr-CA"/>
        </w:rPr>
        <w:t>prononcée contre l’accusé</w:t>
      </w:r>
      <w:r w:rsidRPr="006517E8">
        <w:rPr>
          <w:bCs/>
          <w:lang w:val="fr-CA"/>
        </w:rPr>
        <w:t xml:space="preserve">. </w:t>
      </w:r>
      <w:r w:rsidRPr="003575A9">
        <w:rPr>
          <w:bCs/>
          <w:lang w:val="fr-CA"/>
        </w:rPr>
        <w:t>Pourvoi rejeté, la juge Côté est dissidente.</w:t>
      </w:r>
    </w:p>
    <w:p w:rsidR="009E04A9" w:rsidRPr="003575A9" w:rsidRDefault="009E04A9" w:rsidP="009E04A9">
      <w:pPr>
        <w:pStyle w:val="SCCNormalDoubleSpacing"/>
        <w:spacing w:after="480"/>
        <w:rPr>
          <w:color w:val="000000"/>
          <w:szCs w:val="24"/>
          <w:lang w:val="fr-CA" w:eastAsia="en-US"/>
        </w:rPr>
      </w:pPr>
      <w:r w:rsidRPr="003575A9">
        <w:rPr>
          <w:lang w:val="fr-CA"/>
        </w:rPr>
        <w:tab/>
      </w:r>
      <w:r w:rsidRPr="009E04A9">
        <w:rPr>
          <w:i/>
          <w:iCs/>
          <w:lang w:val="fr-CA"/>
        </w:rPr>
        <w:t xml:space="preserve">H. Markham </w:t>
      </w:r>
      <w:proofErr w:type="spellStart"/>
      <w:r w:rsidRPr="009E04A9">
        <w:rPr>
          <w:i/>
          <w:iCs/>
          <w:lang w:val="fr-CA"/>
        </w:rPr>
        <w:t>Silver</w:t>
      </w:r>
      <w:proofErr w:type="spellEnd"/>
      <w:r w:rsidRPr="0040790D">
        <w:rPr>
          <w:iCs/>
          <w:lang w:val="fr-CA"/>
        </w:rPr>
        <w:t>,</w:t>
      </w:r>
      <w:r w:rsidRPr="009E04A9">
        <w:rPr>
          <w:i/>
          <w:iCs/>
          <w:lang w:val="fr-CA"/>
        </w:rPr>
        <w:t xml:space="preserve"> </w:t>
      </w:r>
      <w:proofErr w:type="spellStart"/>
      <w:proofErr w:type="gramStart"/>
      <w:r w:rsidRPr="009E04A9">
        <w:rPr>
          <w:i/>
          <w:iCs/>
          <w:lang w:val="fr-CA"/>
        </w:rPr>
        <w:t>c.r</w:t>
      </w:r>
      <w:proofErr w:type="spellEnd"/>
      <w:r w:rsidRPr="009E04A9">
        <w:rPr>
          <w:i/>
          <w:iCs/>
          <w:lang w:val="fr-CA"/>
        </w:rPr>
        <w:t>.</w:t>
      </w:r>
      <w:r w:rsidRPr="0040790D">
        <w:rPr>
          <w:iCs/>
          <w:lang w:val="fr-CA"/>
        </w:rPr>
        <w:t>,</w:t>
      </w:r>
      <w:proofErr w:type="gramEnd"/>
      <w:r w:rsidRPr="003575A9">
        <w:rPr>
          <w:iCs/>
          <w:lang w:val="fr-CA"/>
        </w:rPr>
        <w:t xml:space="preserve"> et</w:t>
      </w:r>
      <w:r>
        <w:rPr>
          <w:iCs/>
          <w:lang w:val="fr-CA"/>
        </w:rPr>
        <w:t xml:space="preserve"> </w:t>
      </w:r>
      <w:r w:rsidRPr="009E04A9">
        <w:rPr>
          <w:i/>
          <w:iCs/>
          <w:lang w:val="fr-CA"/>
        </w:rPr>
        <w:t xml:space="preserve">Andrea L. </w:t>
      </w:r>
      <w:proofErr w:type="spellStart"/>
      <w:r w:rsidRPr="009E04A9">
        <w:rPr>
          <w:i/>
          <w:iCs/>
          <w:lang w:val="fr-CA"/>
        </w:rPr>
        <w:t>Serink</w:t>
      </w:r>
      <w:proofErr w:type="spellEnd"/>
      <w:r w:rsidRPr="003575A9">
        <w:rPr>
          <w:color w:val="000000"/>
          <w:szCs w:val="24"/>
          <w:lang w:val="fr-CA" w:eastAsia="en-US"/>
        </w:rPr>
        <w:t>, pour l’appelant.</w:t>
      </w:r>
    </w:p>
    <w:p w:rsidR="009E04A9" w:rsidRPr="003575A9" w:rsidRDefault="009E04A9" w:rsidP="009E04A9">
      <w:pPr>
        <w:pStyle w:val="SCCNormalDoubleSpacing"/>
        <w:spacing w:after="480"/>
        <w:rPr>
          <w:color w:val="000000"/>
          <w:szCs w:val="24"/>
          <w:lang w:val="fr-CA" w:eastAsia="en-US"/>
        </w:rPr>
      </w:pPr>
      <w:r w:rsidRPr="003575A9">
        <w:rPr>
          <w:color w:val="000000"/>
          <w:szCs w:val="24"/>
          <w:lang w:val="fr-CA" w:eastAsia="en-US"/>
        </w:rPr>
        <w:tab/>
      </w:r>
      <w:r w:rsidRPr="009E04A9">
        <w:rPr>
          <w:i/>
          <w:iCs/>
          <w:lang w:val="fr-CA"/>
        </w:rPr>
        <w:t xml:space="preserve">Andrew </w:t>
      </w:r>
      <w:proofErr w:type="spellStart"/>
      <w:r w:rsidRPr="009E04A9">
        <w:rPr>
          <w:i/>
          <w:iCs/>
          <w:lang w:val="fr-CA"/>
        </w:rPr>
        <w:t>Barg</w:t>
      </w:r>
      <w:proofErr w:type="spellEnd"/>
      <w:r w:rsidRPr="003575A9">
        <w:rPr>
          <w:color w:val="000000"/>
          <w:szCs w:val="24"/>
          <w:lang w:val="fr-CA" w:eastAsia="en-US"/>
        </w:rPr>
        <w:t>, pour l’intimée.</w:t>
      </w:r>
    </w:p>
    <w:p w:rsidR="009E04A9" w:rsidRDefault="009E04A9" w:rsidP="009E04A9">
      <w:pPr>
        <w:pStyle w:val="SCCNormalDoubleSpacing"/>
        <w:spacing w:after="480"/>
        <w:rPr>
          <w:color w:val="000000"/>
          <w:lang w:val="fr-CA"/>
        </w:rPr>
      </w:pPr>
      <w:r w:rsidRPr="003575A9">
        <w:rPr>
          <w:color w:val="000000"/>
          <w:lang w:val="fr-CA"/>
        </w:rPr>
        <w:tab/>
      </w:r>
      <w:r w:rsidRPr="00FA71F0">
        <w:rPr>
          <w:color w:val="000000"/>
          <w:lang w:val="fr-CA"/>
        </w:rPr>
        <w:t xml:space="preserve">Version française du jugement des juges </w:t>
      </w:r>
      <w:proofErr w:type="spellStart"/>
      <w:r w:rsidRPr="00FA71F0">
        <w:rPr>
          <w:color w:val="000000"/>
          <w:lang w:val="fr-CA"/>
        </w:rPr>
        <w:t>Moldaver</w:t>
      </w:r>
      <w:proofErr w:type="spellEnd"/>
      <w:r w:rsidRPr="00FA71F0">
        <w:rPr>
          <w:color w:val="000000"/>
          <w:lang w:val="fr-CA"/>
        </w:rPr>
        <w:t xml:space="preserve">, </w:t>
      </w:r>
      <w:proofErr w:type="spellStart"/>
      <w:r w:rsidRPr="00FA71F0">
        <w:rPr>
          <w:color w:val="000000"/>
          <w:lang w:val="fr-CA"/>
        </w:rPr>
        <w:t>Karakatsanis</w:t>
      </w:r>
      <w:proofErr w:type="spellEnd"/>
      <w:r w:rsidRPr="00FA71F0">
        <w:rPr>
          <w:color w:val="000000"/>
          <w:lang w:val="fr-CA"/>
        </w:rPr>
        <w:t xml:space="preserve">, Rowe et </w:t>
      </w:r>
      <w:proofErr w:type="spellStart"/>
      <w:r w:rsidRPr="00FA71F0">
        <w:rPr>
          <w:color w:val="000000"/>
          <w:lang w:val="fr-CA"/>
        </w:rPr>
        <w:t>Kasirer</w:t>
      </w:r>
      <w:proofErr w:type="spellEnd"/>
      <w:r w:rsidRPr="00FA71F0">
        <w:rPr>
          <w:color w:val="000000"/>
          <w:lang w:val="fr-CA"/>
        </w:rPr>
        <w:t xml:space="preserve"> rendu oralement par</w:t>
      </w:r>
    </w:p>
    <w:p w:rsidR="009E04A9" w:rsidRPr="003575A9" w:rsidRDefault="009E04A9" w:rsidP="009E04A9">
      <w:pPr>
        <w:pStyle w:val="SCCNormalDoubleSpacing"/>
        <w:spacing w:after="480"/>
        <w:rPr>
          <w:color w:val="000000"/>
          <w:lang w:val="fr-CA"/>
        </w:rPr>
      </w:pPr>
      <w:r>
        <w:rPr>
          <w:lang w:val="fr-CA"/>
        </w:rPr>
        <w:t>[1]</w:t>
      </w:r>
      <w:r>
        <w:rPr>
          <w:lang w:val="fr-CA"/>
        </w:rPr>
        <w:tab/>
      </w:r>
      <w:r w:rsidRPr="003575A9">
        <w:rPr>
          <w:smallCaps/>
          <w:color w:val="000000"/>
          <w:lang w:val="fr-CA"/>
        </w:rPr>
        <w:t xml:space="preserve">Le juge </w:t>
      </w:r>
      <w:proofErr w:type="spellStart"/>
      <w:r w:rsidRPr="003575A9">
        <w:rPr>
          <w:smallCaps/>
          <w:color w:val="000000"/>
          <w:lang w:val="fr-CA"/>
        </w:rPr>
        <w:t>Moldaver</w:t>
      </w:r>
      <w:proofErr w:type="spellEnd"/>
      <w:r w:rsidRPr="00351398">
        <w:rPr>
          <w:lang w:val="fr-CA"/>
        </w:rPr>
        <w:t xml:space="preserve"> — </w:t>
      </w:r>
      <w:r w:rsidRPr="003575A9">
        <w:rPr>
          <w:color w:val="000000"/>
          <w:lang w:val="fr-CA"/>
        </w:rPr>
        <w:t xml:space="preserve">La Cour, à la majorité, est d’avis de rejeter l’appel, essentiellement pour les motifs exposés par les juges majoritaires de la Cour d’appel, aux </w:t>
      </w:r>
      <w:proofErr w:type="spellStart"/>
      <w:r w:rsidRPr="003575A9">
        <w:rPr>
          <w:color w:val="000000"/>
          <w:lang w:val="fr-CA"/>
        </w:rPr>
        <w:t>par</w:t>
      </w:r>
      <w:proofErr w:type="spellEnd"/>
      <w:r w:rsidRPr="003575A9">
        <w:rPr>
          <w:color w:val="000000"/>
          <w:lang w:val="fr-CA"/>
        </w:rPr>
        <w:t>. 16 et 17 de l’arrêt de la cour. Comme l’ont fait remarquer les juges majoritaires, le dossier étaye clairement l’inférence tirée par le juge du procès selon laquelle M. </w:t>
      </w:r>
      <w:proofErr w:type="spellStart"/>
      <w:r w:rsidRPr="003575A9">
        <w:rPr>
          <w:color w:val="000000"/>
          <w:lang w:val="fr-CA"/>
        </w:rPr>
        <w:t>Morrow</w:t>
      </w:r>
      <w:proofErr w:type="spellEnd"/>
      <w:r w:rsidRPr="003575A9">
        <w:rPr>
          <w:color w:val="000000"/>
          <w:lang w:val="fr-CA"/>
        </w:rPr>
        <w:t xml:space="preserve"> a tenté, par des moyens de corruption, de dissuader la plaignante de témoigner. Monsieur </w:t>
      </w:r>
      <w:proofErr w:type="spellStart"/>
      <w:r w:rsidRPr="003575A9">
        <w:rPr>
          <w:color w:val="000000"/>
          <w:lang w:val="fr-CA"/>
        </w:rPr>
        <w:t>Morrow</w:t>
      </w:r>
      <w:proofErr w:type="spellEnd"/>
      <w:r w:rsidRPr="003575A9">
        <w:rPr>
          <w:color w:val="000000"/>
          <w:lang w:val="fr-CA"/>
        </w:rPr>
        <w:t xml:space="preserve"> savait que des accusations </w:t>
      </w:r>
      <w:r>
        <w:rPr>
          <w:color w:val="000000"/>
          <w:lang w:val="fr-CA"/>
        </w:rPr>
        <w:t>de harcèlement criminel avaient</w:t>
      </w:r>
      <w:r w:rsidRPr="003575A9">
        <w:rPr>
          <w:color w:val="000000"/>
          <w:lang w:val="fr-CA"/>
        </w:rPr>
        <w:t xml:space="preserve"> récemment été portées contre lui et qu’il lui était interdit de communiquer avec la plaignante. Malgré cela, il s’est présenté au domicile de cette dernière sans y être invité et a engagé avec elle une longue et pénible discussion au sujet de la procédure à suivre pour retirer les accusations ainsi que des raisons pour lesquelles elle avait porté ces accusations. La plaignante a témoigné que, du fait de cet échange, elle s’était sentie [</w:t>
      </w:r>
      <w:r w:rsidRPr="003575A9">
        <w:rPr>
          <w:smallCaps/>
          <w:color w:val="000000"/>
          <w:lang w:val="fr-CA"/>
        </w:rPr>
        <w:t>traduction</w:t>
      </w:r>
      <w:r>
        <w:rPr>
          <w:color w:val="000000"/>
          <w:lang w:val="fr-CA"/>
        </w:rPr>
        <w:t>] « </w:t>
      </w:r>
      <w:r w:rsidRPr="003575A9">
        <w:rPr>
          <w:color w:val="000000"/>
          <w:lang w:val="fr-CA"/>
        </w:rPr>
        <w:t>[c]</w:t>
      </w:r>
      <w:proofErr w:type="spellStart"/>
      <w:r w:rsidRPr="003575A9">
        <w:rPr>
          <w:color w:val="000000"/>
          <w:lang w:val="fr-CA"/>
        </w:rPr>
        <w:t>ontra</w:t>
      </w:r>
      <w:r>
        <w:rPr>
          <w:color w:val="000000"/>
          <w:lang w:val="fr-CA"/>
        </w:rPr>
        <w:t>inte</w:t>
      </w:r>
      <w:proofErr w:type="spellEnd"/>
      <w:r>
        <w:rPr>
          <w:color w:val="000000"/>
          <w:lang w:val="fr-CA"/>
        </w:rPr>
        <w:t xml:space="preserve"> de se montrer accommodante » envers M. </w:t>
      </w:r>
      <w:proofErr w:type="spellStart"/>
      <w:r w:rsidRPr="003575A9">
        <w:rPr>
          <w:color w:val="000000"/>
          <w:lang w:val="fr-CA"/>
        </w:rPr>
        <w:t>Morrow</w:t>
      </w:r>
      <w:proofErr w:type="spellEnd"/>
      <w:r w:rsidRPr="003575A9">
        <w:rPr>
          <w:color w:val="000000"/>
          <w:lang w:val="fr-CA"/>
        </w:rPr>
        <w:t xml:space="preserve"> afin de l’amener à quitter </w:t>
      </w:r>
      <w:r>
        <w:rPr>
          <w:color w:val="000000"/>
          <w:lang w:val="fr-CA"/>
        </w:rPr>
        <w:t>la maison (</w:t>
      </w:r>
      <w:proofErr w:type="spellStart"/>
      <w:proofErr w:type="gramStart"/>
      <w:r>
        <w:rPr>
          <w:color w:val="000000"/>
          <w:lang w:val="fr-CA"/>
        </w:rPr>
        <w:t>d.a</w:t>
      </w:r>
      <w:proofErr w:type="spellEnd"/>
      <w:r>
        <w:rPr>
          <w:color w:val="000000"/>
          <w:lang w:val="fr-CA"/>
        </w:rPr>
        <w:t>.,</w:t>
      </w:r>
      <w:proofErr w:type="gramEnd"/>
      <w:r>
        <w:rPr>
          <w:color w:val="000000"/>
          <w:lang w:val="fr-CA"/>
        </w:rPr>
        <w:t xml:space="preserve"> vol. II, p. </w:t>
      </w:r>
      <w:r w:rsidRPr="003575A9">
        <w:rPr>
          <w:color w:val="000000"/>
          <w:lang w:val="fr-CA"/>
        </w:rPr>
        <w:t>30). Peu de temps après, M. </w:t>
      </w:r>
      <w:proofErr w:type="spellStart"/>
      <w:r w:rsidRPr="003575A9">
        <w:rPr>
          <w:color w:val="000000"/>
          <w:lang w:val="fr-CA"/>
        </w:rPr>
        <w:t>Morrow</w:t>
      </w:r>
      <w:proofErr w:type="spellEnd"/>
      <w:r w:rsidRPr="003575A9">
        <w:rPr>
          <w:color w:val="000000"/>
          <w:lang w:val="fr-CA"/>
        </w:rPr>
        <w:t xml:space="preserve"> l’a agressée sexuellement, ce qui a exacerbé ses craintes. Sur la base de ce témoignage, il était loisible au ju</w:t>
      </w:r>
      <w:r>
        <w:rPr>
          <w:color w:val="000000"/>
          <w:lang w:val="fr-CA"/>
        </w:rPr>
        <w:t>ge du procès de conclure que M. </w:t>
      </w:r>
      <w:proofErr w:type="spellStart"/>
      <w:r w:rsidRPr="003575A9">
        <w:rPr>
          <w:color w:val="000000"/>
          <w:lang w:val="fr-CA"/>
        </w:rPr>
        <w:t>Morrow</w:t>
      </w:r>
      <w:proofErr w:type="spellEnd"/>
      <w:r w:rsidRPr="003575A9">
        <w:rPr>
          <w:color w:val="000000"/>
          <w:lang w:val="fr-CA"/>
        </w:rPr>
        <w:t xml:space="preserve"> avait l’intention d’exercer de la pression sur la plaignante et, ultimement, de la manipuler pour qu’elle laisse tomber les accusations por</w:t>
      </w:r>
      <w:r>
        <w:rPr>
          <w:color w:val="000000"/>
          <w:lang w:val="fr-CA"/>
        </w:rPr>
        <w:t>tées contre lui. Le fait que M. </w:t>
      </w:r>
      <w:proofErr w:type="spellStart"/>
      <w:r w:rsidRPr="003575A9">
        <w:rPr>
          <w:color w:val="000000"/>
          <w:lang w:val="fr-CA"/>
        </w:rPr>
        <w:t>Morrow</w:t>
      </w:r>
      <w:proofErr w:type="spellEnd"/>
      <w:r w:rsidRPr="003575A9">
        <w:rPr>
          <w:color w:val="000000"/>
          <w:lang w:val="fr-CA"/>
        </w:rPr>
        <w:t xml:space="preserve"> ait pu également être motivé par le désir de renouer avec la plaignante ne faisait pas obstacle à cette conclusion.</w:t>
      </w:r>
    </w:p>
    <w:p w:rsidR="009E04A9" w:rsidRPr="003575A9" w:rsidRDefault="009E04A9" w:rsidP="009E04A9">
      <w:pPr>
        <w:pStyle w:val="SCCNormalDoubleSpacing"/>
        <w:spacing w:after="480"/>
        <w:rPr>
          <w:color w:val="000000"/>
          <w:lang w:val="fr-CA"/>
        </w:rPr>
      </w:pPr>
      <w:r>
        <w:rPr>
          <w:color w:val="000000"/>
          <w:lang w:val="fr-CA"/>
        </w:rPr>
        <w:t>[2]</w:t>
      </w:r>
      <w:r>
        <w:rPr>
          <w:color w:val="000000"/>
          <w:lang w:val="fr-CA"/>
        </w:rPr>
        <w:tab/>
      </w:r>
      <w:r w:rsidRPr="003575A9">
        <w:rPr>
          <w:color w:val="000000"/>
          <w:lang w:val="fr-CA"/>
        </w:rPr>
        <w:t>Il y avait en outre des éléments de preuve</w:t>
      </w:r>
      <w:r>
        <w:rPr>
          <w:color w:val="000000"/>
          <w:lang w:val="fr-CA"/>
        </w:rPr>
        <w:t xml:space="preserve"> contredisant la position de M. </w:t>
      </w:r>
      <w:proofErr w:type="spellStart"/>
      <w:r w:rsidRPr="003575A9">
        <w:rPr>
          <w:color w:val="000000"/>
          <w:lang w:val="fr-CA"/>
        </w:rPr>
        <w:t>Morrow</w:t>
      </w:r>
      <w:proofErr w:type="spellEnd"/>
      <w:r w:rsidRPr="003575A9">
        <w:rPr>
          <w:color w:val="000000"/>
          <w:lang w:val="fr-CA"/>
        </w:rPr>
        <w:t xml:space="preserve"> selon laquelle il ne faisait que répondre à une demande de renseignements. La plaignante n’a présenté aucune demande de la sorte à M. </w:t>
      </w:r>
      <w:proofErr w:type="spellStart"/>
      <w:r w:rsidRPr="003575A9">
        <w:rPr>
          <w:color w:val="000000"/>
          <w:lang w:val="fr-CA"/>
        </w:rPr>
        <w:t>Morrow</w:t>
      </w:r>
      <w:proofErr w:type="spellEnd"/>
      <w:r w:rsidRPr="003575A9">
        <w:rPr>
          <w:color w:val="000000"/>
          <w:lang w:val="fr-CA"/>
        </w:rPr>
        <w:t>, et elle ne comptait pas sur l’information qu’il a fournie, et n’était pas non plus intéressée à l’obtenir.</w:t>
      </w:r>
    </w:p>
    <w:p w:rsidR="009E04A9" w:rsidRDefault="009E04A9" w:rsidP="009E04A9">
      <w:pPr>
        <w:pStyle w:val="SCCNormalDoubleSpacing"/>
        <w:spacing w:after="480"/>
        <w:rPr>
          <w:color w:val="000000"/>
          <w:lang w:val="fr-CA"/>
        </w:rPr>
      </w:pPr>
      <w:r>
        <w:rPr>
          <w:color w:val="000000"/>
          <w:lang w:val="fr-CA"/>
        </w:rPr>
        <w:t>[3]</w:t>
      </w:r>
      <w:r>
        <w:rPr>
          <w:color w:val="000000"/>
          <w:lang w:val="fr-CA"/>
        </w:rPr>
        <w:tab/>
      </w:r>
      <w:r w:rsidRPr="003575A9">
        <w:rPr>
          <w:color w:val="000000"/>
          <w:lang w:val="fr-CA"/>
        </w:rPr>
        <w:t xml:space="preserve">Compte tenu de ces circonstances, et eu égard au fait que les survivants de violence familiale sont particulièrement vulnérables aux actes d’intimidation et de manipulation, le verdict du juge du procès était raisonnable. </w:t>
      </w:r>
      <w:r w:rsidRPr="00F11682">
        <w:rPr>
          <w:color w:val="000000"/>
          <w:lang w:val="fr-CA"/>
        </w:rPr>
        <w:t>Il n’y a pas matière à intervention en appel.</w:t>
      </w:r>
    </w:p>
    <w:p w:rsidR="009E04A9" w:rsidRPr="00F11682" w:rsidRDefault="009E04A9" w:rsidP="009E04A9">
      <w:pPr>
        <w:pStyle w:val="SCCNormalDoubleSpacing"/>
        <w:spacing w:after="480"/>
        <w:rPr>
          <w:color w:val="000000"/>
          <w:lang w:val="fr-CA"/>
        </w:rPr>
      </w:pPr>
      <w:r>
        <w:rPr>
          <w:lang w:val="fr-CA"/>
        </w:rPr>
        <w:tab/>
      </w:r>
      <w:r w:rsidRPr="00FA71F0">
        <w:rPr>
          <w:lang w:val="fr-CA"/>
        </w:rPr>
        <w:t xml:space="preserve">Version française des motifs rendus </w:t>
      </w:r>
      <w:r w:rsidRPr="00FA71F0">
        <w:rPr>
          <w:color w:val="000000"/>
          <w:lang w:val="fr-CA"/>
        </w:rPr>
        <w:t xml:space="preserve">oralement </w:t>
      </w:r>
      <w:r w:rsidRPr="00FA71F0">
        <w:rPr>
          <w:lang w:val="fr-CA"/>
        </w:rPr>
        <w:t>par</w:t>
      </w:r>
    </w:p>
    <w:p w:rsidR="009E04A9" w:rsidRPr="003575A9" w:rsidRDefault="009E04A9" w:rsidP="009E04A9">
      <w:pPr>
        <w:pStyle w:val="SCCNormalDoubleSpacing"/>
        <w:spacing w:after="480"/>
        <w:rPr>
          <w:color w:val="000000"/>
          <w:lang w:val="fr-CA"/>
        </w:rPr>
      </w:pPr>
      <w:r w:rsidRPr="003575A9">
        <w:rPr>
          <w:color w:val="000000"/>
          <w:lang w:val="fr-CA"/>
        </w:rPr>
        <w:t>[4]</w:t>
      </w:r>
      <w:r w:rsidRPr="003575A9">
        <w:rPr>
          <w:color w:val="000000"/>
          <w:lang w:val="fr-CA"/>
        </w:rPr>
        <w:tab/>
      </w:r>
      <w:r w:rsidRPr="003575A9">
        <w:rPr>
          <w:smallCaps/>
          <w:color w:val="000000"/>
          <w:lang w:val="fr-CA"/>
        </w:rPr>
        <w:t>La juge Côté</w:t>
      </w:r>
      <w:r w:rsidR="0094021F">
        <w:rPr>
          <w:smallCaps/>
          <w:color w:val="000000"/>
          <w:lang w:val="fr-CA"/>
        </w:rPr>
        <w:t xml:space="preserve"> </w:t>
      </w:r>
      <w:r w:rsidR="0094021F">
        <w:rPr>
          <w:color w:val="000000"/>
          <w:lang w:val="fr-CA"/>
        </w:rPr>
        <w:t>(dissidente)</w:t>
      </w:r>
      <w:r>
        <w:rPr>
          <w:color w:val="000000"/>
          <w:lang w:val="fr-CA"/>
        </w:rPr>
        <w:t xml:space="preserve"> </w:t>
      </w:r>
      <w:r w:rsidRPr="003575A9">
        <w:rPr>
          <w:color w:val="000000"/>
          <w:lang w:val="fr-CA"/>
        </w:rPr>
        <w:t>— Le texte de l’accusation exigeait la preuve que l’appelant avait tenté de dissuader la plaignante, « par des menaces, des pots-de-vin ou d’autres moyens de corruption, de témoigner</w:t>
      </w:r>
      <w:r>
        <w:rPr>
          <w:color w:val="000000"/>
          <w:lang w:val="fr-CA"/>
        </w:rPr>
        <w:t> » (</w:t>
      </w:r>
      <w:proofErr w:type="spellStart"/>
      <w:proofErr w:type="gramStart"/>
      <w:r>
        <w:rPr>
          <w:color w:val="000000"/>
          <w:lang w:val="fr-CA"/>
        </w:rPr>
        <w:t>d.a</w:t>
      </w:r>
      <w:proofErr w:type="spellEnd"/>
      <w:r>
        <w:rPr>
          <w:color w:val="000000"/>
          <w:lang w:val="fr-CA"/>
        </w:rPr>
        <w:t>.,</w:t>
      </w:r>
      <w:proofErr w:type="gramEnd"/>
      <w:r>
        <w:rPr>
          <w:color w:val="000000"/>
          <w:lang w:val="fr-CA"/>
        </w:rPr>
        <w:t xml:space="preserve"> vol. I, p. </w:t>
      </w:r>
      <w:r w:rsidRPr="003575A9">
        <w:rPr>
          <w:color w:val="000000"/>
          <w:lang w:val="fr-CA"/>
        </w:rPr>
        <w:t>2). Il n’existe aucune preuve en ce sens dans la présente affaire. La conduite de l’appelant ne saurait, en l’espèce, être qual</w:t>
      </w:r>
      <w:r>
        <w:rPr>
          <w:color w:val="000000"/>
          <w:lang w:val="fr-CA"/>
        </w:rPr>
        <w:t xml:space="preserve">ifiée de « moyens de corruption » au sens du </w:t>
      </w:r>
      <w:r w:rsidRPr="003575A9">
        <w:rPr>
          <w:rFonts w:eastAsiaTheme="majorEastAsia"/>
          <w:lang w:val="fr-CA"/>
        </w:rPr>
        <w:t>par. 139(3)</w:t>
      </w:r>
      <w:r>
        <w:rPr>
          <w:color w:val="000000"/>
          <w:lang w:val="fr-CA"/>
        </w:rPr>
        <w:t xml:space="preserve"> du </w:t>
      </w:r>
      <w:r>
        <w:rPr>
          <w:rFonts w:eastAsiaTheme="majorEastAsia"/>
          <w:i/>
          <w:iCs/>
          <w:lang w:val="fr-CA"/>
        </w:rPr>
        <w:t xml:space="preserve">Code </w:t>
      </w:r>
      <w:r w:rsidRPr="003575A9">
        <w:rPr>
          <w:rFonts w:eastAsiaTheme="majorEastAsia"/>
          <w:i/>
          <w:iCs/>
          <w:lang w:val="fr-CA"/>
        </w:rPr>
        <w:t>criminel</w:t>
      </w:r>
      <w:r>
        <w:rPr>
          <w:rFonts w:eastAsiaTheme="majorEastAsia"/>
          <w:lang w:val="fr-CA"/>
        </w:rPr>
        <w:t>, L.R.C. 1985, c. C</w:t>
      </w:r>
      <w:r>
        <w:rPr>
          <w:rFonts w:eastAsiaTheme="majorEastAsia"/>
          <w:lang w:val="fr-CA"/>
        </w:rPr>
        <w:noBreakHyphen/>
      </w:r>
      <w:r w:rsidRPr="003575A9">
        <w:rPr>
          <w:rFonts w:eastAsiaTheme="majorEastAsia"/>
          <w:lang w:val="fr-CA"/>
        </w:rPr>
        <w:t>46</w:t>
      </w:r>
      <w:r w:rsidRPr="003575A9">
        <w:rPr>
          <w:color w:val="000000"/>
          <w:lang w:val="fr-CA"/>
        </w:rPr>
        <w:t>. En appeler à l’affection d’une personne ou chercher à exploiter ce sentiment chez elle sont des moyens de persuasion au même titre que le fait d’en appeler à la raison d’une personne ou de chercher à exploiter cette faculté chez cette personne. Rien dans les circonstances de la présente affaire ne transforme ces moyens de persuasion en mo</w:t>
      </w:r>
      <w:r>
        <w:rPr>
          <w:color w:val="000000"/>
          <w:lang w:val="fr-CA"/>
        </w:rPr>
        <w:t>yens de « </w:t>
      </w:r>
      <w:r w:rsidRPr="003575A9">
        <w:rPr>
          <w:color w:val="000000"/>
          <w:lang w:val="fr-CA"/>
        </w:rPr>
        <w:t>corruption ». Le juge du procès a fait erreur en concluant différemment. Il a e</w:t>
      </w:r>
      <w:r>
        <w:rPr>
          <w:color w:val="000000"/>
          <w:lang w:val="fr-CA"/>
        </w:rPr>
        <w:t xml:space="preserve">u tort de s’appuyer sur l’arrêt </w:t>
      </w:r>
      <w:r w:rsidRPr="003575A9">
        <w:rPr>
          <w:i/>
          <w:iCs/>
          <w:color w:val="000000"/>
          <w:lang w:val="fr-CA"/>
        </w:rPr>
        <w:t xml:space="preserve">R. c. </w:t>
      </w:r>
      <w:proofErr w:type="spellStart"/>
      <w:r w:rsidRPr="003575A9">
        <w:rPr>
          <w:i/>
          <w:iCs/>
          <w:color w:val="000000"/>
          <w:lang w:val="fr-CA"/>
        </w:rPr>
        <w:t>Crazyboy</w:t>
      </w:r>
      <w:proofErr w:type="spellEnd"/>
      <w:r w:rsidRPr="003575A9">
        <w:rPr>
          <w:color w:val="000000"/>
          <w:lang w:val="fr-CA"/>
        </w:rPr>
        <w:t xml:space="preserve">, 2011 </w:t>
      </w:r>
      <w:proofErr w:type="spellStart"/>
      <w:r w:rsidRPr="003575A9">
        <w:rPr>
          <w:color w:val="000000"/>
          <w:lang w:val="fr-CA"/>
        </w:rPr>
        <w:t>ABPC</w:t>
      </w:r>
      <w:proofErr w:type="spellEnd"/>
      <w:r w:rsidRPr="003575A9">
        <w:rPr>
          <w:color w:val="000000"/>
          <w:lang w:val="fr-CA"/>
        </w:rPr>
        <w:t xml:space="preserve"> 369, et ce, pour deux raisons. Premièrement, aucune conclusion n’a été tirée quant à l’existence de « moyens de corruption</w:t>
      </w:r>
      <w:r>
        <w:rPr>
          <w:color w:val="000000"/>
          <w:lang w:val="fr-CA"/>
        </w:rPr>
        <w:t> </w:t>
      </w:r>
      <w:r w:rsidRPr="003575A9">
        <w:rPr>
          <w:color w:val="000000"/>
          <w:lang w:val="fr-CA"/>
        </w:rPr>
        <w:t>» dans cette affaire, car le texte de l’accusation n’exigeait pas la présence de tels moyens. Deuxièmement, M. </w:t>
      </w:r>
      <w:proofErr w:type="spellStart"/>
      <w:r w:rsidRPr="003575A9">
        <w:rPr>
          <w:color w:val="000000"/>
          <w:lang w:val="fr-CA"/>
        </w:rPr>
        <w:t>Crazyboy</w:t>
      </w:r>
      <w:proofErr w:type="spellEnd"/>
      <w:r w:rsidRPr="003575A9">
        <w:rPr>
          <w:color w:val="000000"/>
          <w:lang w:val="fr-CA"/>
        </w:rPr>
        <w:t xml:space="preserve"> a tenté de manipuler la plaignante et il l’a incitée à adopter un comportement illégal et à fuir son domicile afin qu’elle ne puisse être emmenée devant le tribunal pour y témoigner. En l’espèce, l’appelant a simplement fourni de l’information sur la procédure à suivre pour retirer des accusations. À l’instar du juge d’appel </w:t>
      </w:r>
      <w:proofErr w:type="spellStart"/>
      <w:r w:rsidRPr="003575A9">
        <w:rPr>
          <w:color w:val="000000"/>
          <w:lang w:val="fr-CA"/>
        </w:rPr>
        <w:t>Slatter</w:t>
      </w:r>
      <w:proofErr w:type="spellEnd"/>
      <w:r w:rsidRPr="003575A9">
        <w:rPr>
          <w:color w:val="000000"/>
          <w:lang w:val="fr-CA"/>
        </w:rPr>
        <w:t>, j’estime que la déclaration de culpabilité pour tentative d’entrave à la justice n’est pas fondée au vu du présent dossier, et qu’elle est déraisonnable. Par conséquent, je ferais droit à l’appel et j’inscrirais un verdict d’acquittement.</w:t>
      </w:r>
    </w:p>
    <w:p w:rsidR="009E04A9" w:rsidRPr="00715595" w:rsidRDefault="009E04A9" w:rsidP="009E04A9">
      <w:pPr>
        <w:pStyle w:val="SCCNormalDoubleSpacing"/>
        <w:spacing w:after="480"/>
        <w:rPr>
          <w:i/>
          <w:iCs/>
          <w:color w:val="000000"/>
          <w:lang w:val="fr-CA"/>
        </w:rPr>
      </w:pPr>
      <w:r w:rsidRPr="006517E8">
        <w:rPr>
          <w:lang w:val="fr-CA"/>
        </w:rPr>
        <w:tab/>
      </w:r>
      <w:r w:rsidRPr="00715595">
        <w:rPr>
          <w:i/>
          <w:iCs/>
          <w:color w:val="000000"/>
          <w:lang w:val="fr-CA"/>
        </w:rPr>
        <w:t>Jugement en conséquence.</w:t>
      </w:r>
    </w:p>
    <w:p w:rsidR="009E04A9" w:rsidRDefault="009E04A9" w:rsidP="009E04A9">
      <w:pPr>
        <w:pStyle w:val="SCCNormalDoubleSpacing"/>
        <w:spacing w:after="480"/>
        <w:rPr>
          <w:i/>
          <w:iCs/>
          <w:color w:val="000000"/>
          <w:lang w:val="fr-CA"/>
        </w:rPr>
      </w:pPr>
      <w:r>
        <w:rPr>
          <w:i/>
          <w:iCs/>
          <w:color w:val="000000"/>
          <w:lang w:val="fr-CA"/>
        </w:rPr>
        <w:tab/>
      </w:r>
      <w:r w:rsidRPr="00715595">
        <w:rPr>
          <w:i/>
          <w:iCs/>
          <w:color w:val="000000"/>
          <w:lang w:val="fr-CA"/>
        </w:rPr>
        <w:t>Procureur</w:t>
      </w:r>
      <w:r>
        <w:rPr>
          <w:i/>
          <w:iCs/>
          <w:color w:val="000000"/>
          <w:lang w:val="fr-CA"/>
        </w:rPr>
        <w:t>s</w:t>
      </w:r>
      <w:r w:rsidRPr="00715595">
        <w:rPr>
          <w:i/>
          <w:iCs/>
          <w:color w:val="000000"/>
          <w:lang w:val="fr-CA"/>
        </w:rPr>
        <w:t xml:space="preserve"> de l’appelant : </w:t>
      </w:r>
      <w:r w:rsidRPr="00314752">
        <w:rPr>
          <w:bCs/>
          <w:i/>
          <w:szCs w:val="24"/>
          <w:lang w:val="fr-CA" w:eastAsia="en-US"/>
        </w:rPr>
        <w:t xml:space="preserve">H. Markham </w:t>
      </w:r>
      <w:proofErr w:type="spellStart"/>
      <w:r w:rsidRPr="00314752">
        <w:rPr>
          <w:bCs/>
          <w:i/>
          <w:szCs w:val="24"/>
          <w:lang w:val="fr-CA" w:eastAsia="en-US"/>
        </w:rPr>
        <w:t>Silver</w:t>
      </w:r>
      <w:proofErr w:type="spellEnd"/>
      <w:r w:rsidRPr="00314752">
        <w:rPr>
          <w:bCs/>
          <w:i/>
          <w:szCs w:val="24"/>
          <w:lang w:val="fr-CA" w:eastAsia="en-US"/>
        </w:rPr>
        <w:t xml:space="preserve">, Calgary; </w:t>
      </w:r>
      <w:proofErr w:type="spellStart"/>
      <w:r w:rsidRPr="003575A9">
        <w:rPr>
          <w:bCs/>
          <w:i/>
          <w:lang w:val="fr-CA"/>
        </w:rPr>
        <w:t>Serink</w:t>
      </w:r>
      <w:proofErr w:type="spellEnd"/>
      <w:r w:rsidRPr="003575A9">
        <w:rPr>
          <w:bCs/>
          <w:i/>
          <w:lang w:val="fr-CA"/>
        </w:rPr>
        <w:t xml:space="preserve"> Law Office</w:t>
      </w:r>
      <w:r w:rsidRPr="003575A9">
        <w:rPr>
          <w:i/>
          <w:iCs/>
          <w:lang w:val="fr-CA"/>
        </w:rPr>
        <w:t>, Calgary</w:t>
      </w:r>
      <w:r w:rsidRPr="00715595">
        <w:rPr>
          <w:i/>
          <w:iCs/>
          <w:color w:val="000000"/>
          <w:lang w:val="fr-CA"/>
        </w:rPr>
        <w:t>.</w:t>
      </w:r>
    </w:p>
    <w:p w:rsidR="00C22905" w:rsidRPr="00A9085B" w:rsidRDefault="009E04A9" w:rsidP="009E04A9">
      <w:pPr>
        <w:pStyle w:val="SCCNormalDoubleSpacing"/>
        <w:spacing w:after="480"/>
        <w:rPr>
          <w:rFonts w:eastAsia="Calibri"/>
          <w:szCs w:val="24"/>
          <w:lang w:val="fr-CA" w:eastAsia="en-US"/>
        </w:rPr>
      </w:pPr>
      <w:r>
        <w:rPr>
          <w:i/>
          <w:iCs/>
          <w:color w:val="000000"/>
          <w:lang w:val="fr-CA"/>
        </w:rPr>
        <w:tab/>
      </w:r>
      <w:r w:rsidRPr="00CC55B7">
        <w:rPr>
          <w:i/>
          <w:iCs/>
          <w:color w:val="000000"/>
          <w:lang w:val="fr-CA"/>
        </w:rPr>
        <w:t>Procureur de l’intimé</w:t>
      </w:r>
      <w:r>
        <w:rPr>
          <w:i/>
          <w:iCs/>
          <w:color w:val="000000"/>
          <w:lang w:val="fr-CA"/>
        </w:rPr>
        <w:t>e</w:t>
      </w:r>
      <w:r w:rsidRPr="00CC55B7">
        <w:rPr>
          <w:i/>
          <w:iCs/>
          <w:color w:val="000000"/>
          <w:lang w:val="fr-CA"/>
        </w:rPr>
        <w:t xml:space="preserve"> : </w:t>
      </w:r>
      <w:r>
        <w:rPr>
          <w:i/>
          <w:iCs/>
          <w:color w:val="000000"/>
          <w:lang w:val="fr-CA"/>
        </w:rPr>
        <w:t>Procureur général de l’Alberta</w:t>
      </w:r>
      <w:r w:rsidRPr="00CC55B7">
        <w:rPr>
          <w:i/>
          <w:iCs/>
          <w:color w:val="000000"/>
          <w:lang w:val="fr-CA"/>
        </w:rPr>
        <w:t xml:space="preserve">, </w:t>
      </w:r>
      <w:r>
        <w:rPr>
          <w:i/>
          <w:iCs/>
          <w:color w:val="000000"/>
          <w:lang w:val="fr-CA"/>
        </w:rPr>
        <w:t>Calgar</w:t>
      </w:r>
      <w:r w:rsidR="0040790D">
        <w:rPr>
          <w:i/>
          <w:iCs/>
          <w:color w:val="000000"/>
          <w:lang w:val="fr-CA"/>
        </w:rPr>
        <w:t>y.</w:t>
      </w:r>
    </w:p>
    <w:sectPr w:rsidR="00C22905" w:rsidRPr="00A9085B" w:rsidSect="0027418B">
      <w:headerReference w:type="default" r:id="rId10"/>
      <w:headerReference w:type="first" r:id="rId11"/>
      <w:pgSz w:w="12240" w:h="15840"/>
      <w:pgMar w:top="1440" w:right="1440" w:bottom="144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51" w:rsidRDefault="00C52B51">
      <w:r>
        <w:separator/>
      </w:r>
    </w:p>
  </w:endnote>
  <w:endnote w:type="continuationSeparator" w:id="0">
    <w:p w:rsidR="00C52B51" w:rsidRDefault="00C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51" w:rsidRDefault="00C52B51">
      <w:r>
        <w:separator/>
      </w:r>
    </w:p>
  </w:footnote>
  <w:footnote w:type="continuationSeparator" w:id="0">
    <w:p w:rsidR="00C52B51" w:rsidRDefault="00C52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0F" w:rsidRPr="009E04A9" w:rsidRDefault="003B623F" w:rsidP="009E0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55" w:rsidRPr="009E04A9" w:rsidRDefault="003B623F" w:rsidP="009E0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6467"/>
    <w:rsid w:val="00040D1B"/>
    <w:rsid w:val="00041BDD"/>
    <w:rsid w:val="000578A3"/>
    <w:rsid w:val="000648CC"/>
    <w:rsid w:val="00076E46"/>
    <w:rsid w:val="00094FED"/>
    <w:rsid w:val="000B34E8"/>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34F55"/>
    <w:rsid w:val="00135406"/>
    <w:rsid w:val="00135972"/>
    <w:rsid w:val="00136268"/>
    <w:rsid w:val="00137E61"/>
    <w:rsid w:val="001426A9"/>
    <w:rsid w:val="00142D29"/>
    <w:rsid w:val="0014546A"/>
    <w:rsid w:val="00154563"/>
    <w:rsid w:val="00154D7C"/>
    <w:rsid w:val="001570B0"/>
    <w:rsid w:val="0015752C"/>
    <w:rsid w:val="00157737"/>
    <w:rsid w:val="00160B2D"/>
    <w:rsid w:val="00165277"/>
    <w:rsid w:val="001677C1"/>
    <w:rsid w:val="00170592"/>
    <w:rsid w:val="00186351"/>
    <w:rsid w:val="00195D83"/>
    <w:rsid w:val="001977DB"/>
    <w:rsid w:val="001A00C1"/>
    <w:rsid w:val="001A42A4"/>
    <w:rsid w:val="001B33E0"/>
    <w:rsid w:val="001B4573"/>
    <w:rsid w:val="001C779F"/>
    <w:rsid w:val="001D2AC1"/>
    <w:rsid w:val="001D4DDF"/>
    <w:rsid w:val="001D4E88"/>
    <w:rsid w:val="001D65FF"/>
    <w:rsid w:val="001D6E70"/>
    <w:rsid w:val="001E053D"/>
    <w:rsid w:val="001E477D"/>
    <w:rsid w:val="00220FC2"/>
    <w:rsid w:val="002222F4"/>
    <w:rsid w:val="00224FC0"/>
    <w:rsid w:val="00225EA4"/>
    <w:rsid w:val="00226EAF"/>
    <w:rsid w:val="002310A2"/>
    <w:rsid w:val="00231407"/>
    <w:rsid w:val="00231F3A"/>
    <w:rsid w:val="00234199"/>
    <w:rsid w:val="00236389"/>
    <w:rsid w:val="00237AFE"/>
    <w:rsid w:val="002406EE"/>
    <w:rsid w:val="00243EC8"/>
    <w:rsid w:val="0026412B"/>
    <w:rsid w:val="00264B77"/>
    <w:rsid w:val="00270D93"/>
    <w:rsid w:val="0027418B"/>
    <w:rsid w:val="002745CC"/>
    <w:rsid w:val="002909F6"/>
    <w:rsid w:val="0029178F"/>
    <w:rsid w:val="002B7924"/>
    <w:rsid w:val="002B7ABA"/>
    <w:rsid w:val="002C300E"/>
    <w:rsid w:val="002D2226"/>
    <w:rsid w:val="002D28C3"/>
    <w:rsid w:val="002D294E"/>
    <w:rsid w:val="002D3505"/>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3EF2"/>
    <w:rsid w:val="00355C66"/>
    <w:rsid w:val="00362ADA"/>
    <w:rsid w:val="00364B18"/>
    <w:rsid w:val="00381C49"/>
    <w:rsid w:val="00396BF3"/>
    <w:rsid w:val="003A125D"/>
    <w:rsid w:val="003A4C70"/>
    <w:rsid w:val="003B215F"/>
    <w:rsid w:val="003B623F"/>
    <w:rsid w:val="003C2CFF"/>
    <w:rsid w:val="003C799C"/>
    <w:rsid w:val="003D0399"/>
    <w:rsid w:val="003E1C71"/>
    <w:rsid w:val="003E2693"/>
    <w:rsid w:val="003E53AC"/>
    <w:rsid w:val="003F327B"/>
    <w:rsid w:val="003F7ACB"/>
    <w:rsid w:val="00400B24"/>
    <w:rsid w:val="00404D28"/>
    <w:rsid w:val="00406166"/>
    <w:rsid w:val="0040704B"/>
    <w:rsid w:val="00407839"/>
    <w:rsid w:val="0040790D"/>
    <w:rsid w:val="00410003"/>
    <w:rsid w:val="00410A55"/>
    <w:rsid w:val="00411300"/>
    <w:rsid w:val="00415417"/>
    <w:rsid w:val="00424FE1"/>
    <w:rsid w:val="00426659"/>
    <w:rsid w:val="00426D16"/>
    <w:rsid w:val="00450352"/>
    <w:rsid w:val="00454BDB"/>
    <w:rsid w:val="00456FFF"/>
    <w:rsid w:val="00463A7A"/>
    <w:rsid w:val="00464800"/>
    <w:rsid w:val="00464BF6"/>
    <w:rsid w:val="00465132"/>
    <w:rsid w:val="00465EF1"/>
    <w:rsid w:val="004707F9"/>
    <w:rsid w:val="00470DB3"/>
    <w:rsid w:val="0047411A"/>
    <w:rsid w:val="00480C90"/>
    <w:rsid w:val="0048396F"/>
    <w:rsid w:val="00486C55"/>
    <w:rsid w:val="00493C18"/>
    <w:rsid w:val="00495D96"/>
    <w:rsid w:val="004A600C"/>
    <w:rsid w:val="004A6118"/>
    <w:rsid w:val="004C2314"/>
    <w:rsid w:val="004C25EE"/>
    <w:rsid w:val="004C478D"/>
    <w:rsid w:val="004D4FEC"/>
    <w:rsid w:val="004E0D6A"/>
    <w:rsid w:val="004E2C26"/>
    <w:rsid w:val="004E61A7"/>
    <w:rsid w:val="004F36FF"/>
    <w:rsid w:val="00506A78"/>
    <w:rsid w:val="005125A8"/>
    <w:rsid w:val="00516DED"/>
    <w:rsid w:val="00517BC7"/>
    <w:rsid w:val="00521AE8"/>
    <w:rsid w:val="00524449"/>
    <w:rsid w:val="00527180"/>
    <w:rsid w:val="005341CE"/>
    <w:rsid w:val="00534AB2"/>
    <w:rsid w:val="0054201E"/>
    <w:rsid w:val="00547FB8"/>
    <w:rsid w:val="005541DB"/>
    <w:rsid w:val="00555291"/>
    <w:rsid w:val="0056265A"/>
    <w:rsid w:val="00565BEE"/>
    <w:rsid w:val="00566AD1"/>
    <w:rsid w:val="0057257D"/>
    <w:rsid w:val="00572D92"/>
    <w:rsid w:val="00575FF2"/>
    <w:rsid w:val="00583EDE"/>
    <w:rsid w:val="00586928"/>
    <w:rsid w:val="00590A7E"/>
    <w:rsid w:val="005966EF"/>
    <w:rsid w:val="005A4F85"/>
    <w:rsid w:val="005A6079"/>
    <w:rsid w:val="005C7840"/>
    <w:rsid w:val="005E4698"/>
    <w:rsid w:val="006003EE"/>
    <w:rsid w:val="006055B2"/>
    <w:rsid w:val="00610539"/>
    <w:rsid w:val="00613969"/>
    <w:rsid w:val="0061523C"/>
    <w:rsid w:val="00617208"/>
    <w:rsid w:val="00625C35"/>
    <w:rsid w:val="00626A7D"/>
    <w:rsid w:val="00626CCC"/>
    <w:rsid w:val="0062787A"/>
    <w:rsid w:val="00635521"/>
    <w:rsid w:val="006468AB"/>
    <w:rsid w:val="00656313"/>
    <w:rsid w:val="006565F4"/>
    <w:rsid w:val="0066108F"/>
    <w:rsid w:val="00666098"/>
    <w:rsid w:val="006763FD"/>
    <w:rsid w:val="00684EEA"/>
    <w:rsid w:val="006908E8"/>
    <w:rsid w:val="0069689B"/>
    <w:rsid w:val="006A1551"/>
    <w:rsid w:val="006A48DB"/>
    <w:rsid w:val="006B29F5"/>
    <w:rsid w:val="006B5FF5"/>
    <w:rsid w:val="006B7683"/>
    <w:rsid w:val="006D4200"/>
    <w:rsid w:val="006D65A1"/>
    <w:rsid w:val="006F30AF"/>
    <w:rsid w:val="006F7FA0"/>
    <w:rsid w:val="007009A0"/>
    <w:rsid w:val="00701759"/>
    <w:rsid w:val="00701CF2"/>
    <w:rsid w:val="00703329"/>
    <w:rsid w:val="00705C15"/>
    <w:rsid w:val="00712E55"/>
    <w:rsid w:val="00713025"/>
    <w:rsid w:val="00714103"/>
    <w:rsid w:val="007154A1"/>
    <w:rsid w:val="0071600E"/>
    <w:rsid w:val="007162FD"/>
    <w:rsid w:val="00717FDC"/>
    <w:rsid w:val="007208D1"/>
    <w:rsid w:val="0072428C"/>
    <w:rsid w:val="0072436C"/>
    <w:rsid w:val="00730177"/>
    <w:rsid w:val="00742119"/>
    <w:rsid w:val="00744F09"/>
    <w:rsid w:val="00747288"/>
    <w:rsid w:val="00747DD3"/>
    <w:rsid w:val="007549C8"/>
    <w:rsid w:val="00754A0B"/>
    <w:rsid w:val="00766D14"/>
    <w:rsid w:val="00767A0F"/>
    <w:rsid w:val="007735A7"/>
    <w:rsid w:val="00775C3E"/>
    <w:rsid w:val="00796207"/>
    <w:rsid w:val="007A05F6"/>
    <w:rsid w:val="007B1289"/>
    <w:rsid w:val="007B3D74"/>
    <w:rsid w:val="007B6F4A"/>
    <w:rsid w:val="007D097E"/>
    <w:rsid w:val="007E1C47"/>
    <w:rsid w:val="007E337A"/>
    <w:rsid w:val="007E5C70"/>
    <w:rsid w:val="007F2FF5"/>
    <w:rsid w:val="007F3F08"/>
    <w:rsid w:val="00804CC6"/>
    <w:rsid w:val="00813B48"/>
    <w:rsid w:val="00817190"/>
    <w:rsid w:val="00820223"/>
    <w:rsid w:val="00820EE5"/>
    <w:rsid w:val="008244E9"/>
    <w:rsid w:val="008260E2"/>
    <w:rsid w:val="008322BD"/>
    <w:rsid w:val="008323C4"/>
    <w:rsid w:val="00833E0A"/>
    <w:rsid w:val="00834F73"/>
    <w:rsid w:val="00847F55"/>
    <w:rsid w:val="00853C19"/>
    <w:rsid w:val="008544FA"/>
    <w:rsid w:val="00864CF8"/>
    <w:rsid w:val="00872819"/>
    <w:rsid w:val="00874914"/>
    <w:rsid w:val="00883F8A"/>
    <w:rsid w:val="00891422"/>
    <w:rsid w:val="00892E1A"/>
    <w:rsid w:val="008A3F29"/>
    <w:rsid w:val="008B660A"/>
    <w:rsid w:val="008B70F9"/>
    <w:rsid w:val="008C01DA"/>
    <w:rsid w:val="008C02C9"/>
    <w:rsid w:val="008C7263"/>
    <w:rsid w:val="008D2104"/>
    <w:rsid w:val="008E18E5"/>
    <w:rsid w:val="008E3C2D"/>
    <w:rsid w:val="008F78E9"/>
    <w:rsid w:val="00903C32"/>
    <w:rsid w:val="00911989"/>
    <w:rsid w:val="009179F9"/>
    <w:rsid w:val="0093031F"/>
    <w:rsid w:val="00931C1C"/>
    <w:rsid w:val="00933E5E"/>
    <w:rsid w:val="00935218"/>
    <w:rsid w:val="0094021F"/>
    <w:rsid w:val="009403F3"/>
    <w:rsid w:val="009555B7"/>
    <w:rsid w:val="009567AA"/>
    <w:rsid w:val="0096473A"/>
    <w:rsid w:val="00967374"/>
    <w:rsid w:val="00976EB5"/>
    <w:rsid w:val="00981B4D"/>
    <w:rsid w:val="00982D32"/>
    <w:rsid w:val="00983AF6"/>
    <w:rsid w:val="009A343A"/>
    <w:rsid w:val="009A4E51"/>
    <w:rsid w:val="009A520F"/>
    <w:rsid w:val="009B2F23"/>
    <w:rsid w:val="009B57B3"/>
    <w:rsid w:val="009B6FFE"/>
    <w:rsid w:val="009C5B92"/>
    <w:rsid w:val="009D2920"/>
    <w:rsid w:val="009D5AEB"/>
    <w:rsid w:val="009E04A9"/>
    <w:rsid w:val="009E1388"/>
    <w:rsid w:val="009F0E33"/>
    <w:rsid w:val="009F1E77"/>
    <w:rsid w:val="00A003F4"/>
    <w:rsid w:val="00A030CE"/>
    <w:rsid w:val="00A07549"/>
    <w:rsid w:val="00A149DF"/>
    <w:rsid w:val="00A1755C"/>
    <w:rsid w:val="00A21B90"/>
    <w:rsid w:val="00A41805"/>
    <w:rsid w:val="00A42DCD"/>
    <w:rsid w:val="00A44699"/>
    <w:rsid w:val="00A46FB0"/>
    <w:rsid w:val="00A52AFB"/>
    <w:rsid w:val="00A548CB"/>
    <w:rsid w:val="00A5521C"/>
    <w:rsid w:val="00A557A1"/>
    <w:rsid w:val="00A55CEF"/>
    <w:rsid w:val="00A60E0C"/>
    <w:rsid w:val="00A643E7"/>
    <w:rsid w:val="00A73C38"/>
    <w:rsid w:val="00A9085B"/>
    <w:rsid w:val="00AA3A80"/>
    <w:rsid w:val="00AB59C4"/>
    <w:rsid w:val="00AB670D"/>
    <w:rsid w:val="00AC6FA4"/>
    <w:rsid w:val="00AD2826"/>
    <w:rsid w:val="00AD342F"/>
    <w:rsid w:val="00AE25FE"/>
    <w:rsid w:val="00AE4535"/>
    <w:rsid w:val="00AF03C5"/>
    <w:rsid w:val="00AF0B26"/>
    <w:rsid w:val="00AF4773"/>
    <w:rsid w:val="00AF49CC"/>
    <w:rsid w:val="00B000D8"/>
    <w:rsid w:val="00B00F75"/>
    <w:rsid w:val="00B11735"/>
    <w:rsid w:val="00B1431F"/>
    <w:rsid w:val="00B145B6"/>
    <w:rsid w:val="00B2215E"/>
    <w:rsid w:val="00B279EB"/>
    <w:rsid w:val="00B30E18"/>
    <w:rsid w:val="00B32357"/>
    <w:rsid w:val="00B43559"/>
    <w:rsid w:val="00B50C81"/>
    <w:rsid w:val="00B557F8"/>
    <w:rsid w:val="00B56AAF"/>
    <w:rsid w:val="00B67199"/>
    <w:rsid w:val="00B776AC"/>
    <w:rsid w:val="00B815FC"/>
    <w:rsid w:val="00B838B8"/>
    <w:rsid w:val="00B93FBC"/>
    <w:rsid w:val="00BA066D"/>
    <w:rsid w:val="00BA7DA0"/>
    <w:rsid w:val="00BB13D1"/>
    <w:rsid w:val="00BB2366"/>
    <w:rsid w:val="00BB2EE4"/>
    <w:rsid w:val="00BB5AE6"/>
    <w:rsid w:val="00BC2108"/>
    <w:rsid w:val="00BC5642"/>
    <w:rsid w:val="00BD0E9E"/>
    <w:rsid w:val="00BD1BEC"/>
    <w:rsid w:val="00BD32FF"/>
    <w:rsid w:val="00BD67ED"/>
    <w:rsid w:val="00BE7206"/>
    <w:rsid w:val="00BF4234"/>
    <w:rsid w:val="00C02092"/>
    <w:rsid w:val="00C22905"/>
    <w:rsid w:val="00C229CD"/>
    <w:rsid w:val="00C24D91"/>
    <w:rsid w:val="00C31D39"/>
    <w:rsid w:val="00C52B51"/>
    <w:rsid w:val="00C53F14"/>
    <w:rsid w:val="00C600CF"/>
    <w:rsid w:val="00C6084F"/>
    <w:rsid w:val="00C62A66"/>
    <w:rsid w:val="00C62FD6"/>
    <w:rsid w:val="00C71458"/>
    <w:rsid w:val="00C77613"/>
    <w:rsid w:val="00C828E7"/>
    <w:rsid w:val="00C86719"/>
    <w:rsid w:val="00C921DD"/>
    <w:rsid w:val="00CA6391"/>
    <w:rsid w:val="00CA7B39"/>
    <w:rsid w:val="00CB5B04"/>
    <w:rsid w:val="00CC34BD"/>
    <w:rsid w:val="00CD5CC7"/>
    <w:rsid w:val="00CE161A"/>
    <w:rsid w:val="00CE317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77CCC"/>
    <w:rsid w:val="00D82454"/>
    <w:rsid w:val="00D83628"/>
    <w:rsid w:val="00D8579F"/>
    <w:rsid w:val="00D8628D"/>
    <w:rsid w:val="00D90B9E"/>
    <w:rsid w:val="00D91A89"/>
    <w:rsid w:val="00D95F8E"/>
    <w:rsid w:val="00DA0590"/>
    <w:rsid w:val="00DB342C"/>
    <w:rsid w:val="00DB7BEA"/>
    <w:rsid w:val="00DC1739"/>
    <w:rsid w:val="00DC1788"/>
    <w:rsid w:val="00DC2F37"/>
    <w:rsid w:val="00DD105B"/>
    <w:rsid w:val="00DE319C"/>
    <w:rsid w:val="00DE54B0"/>
    <w:rsid w:val="00DF0CA8"/>
    <w:rsid w:val="00DF22E3"/>
    <w:rsid w:val="00DF2B48"/>
    <w:rsid w:val="00DF49A7"/>
    <w:rsid w:val="00E07EE2"/>
    <w:rsid w:val="00E07FD1"/>
    <w:rsid w:val="00E10A5C"/>
    <w:rsid w:val="00E176D8"/>
    <w:rsid w:val="00E24573"/>
    <w:rsid w:val="00E25E1E"/>
    <w:rsid w:val="00E27EE7"/>
    <w:rsid w:val="00E31D67"/>
    <w:rsid w:val="00E3214F"/>
    <w:rsid w:val="00E333F9"/>
    <w:rsid w:val="00E35404"/>
    <w:rsid w:val="00E45109"/>
    <w:rsid w:val="00E47B7A"/>
    <w:rsid w:val="00E5476E"/>
    <w:rsid w:val="00E56A44"/>
    <w:rsid w:val="00E60269"/>
    <w:rsid w:val="00E653D0"/>
    <w:rsid w:val="00E65A2E"/>
    <w:rsid w:val="00E71951"/>
    <w:rsid w:val="00E77932"/>
    <w:rsid w:val="00E83FDA"/>
    <w:rsid w:val="00E92347"/>
    <w:rsid w:val="00E97830"/>
    <w:rsid w:val="00EA1D3B"/>
    <w:rsid w:val="00EB0D87"/>
    <w:rsid w:val="00EB3C1E"/>
    <w:rsid w:val="00ED681A"/>
    <w:rsid w:val="00EE0B3C"/>
    <w:rsid w:val="00EE5737"/>
    <w:rsid w:val="00EE643C"/>
    <w:rsid w:val="00EF0683"/>
    <w:rsid w:val="00EF69D2"/>
    <w:rsid w:val="00EF766E"/>
    <w:rsid w:val="00F0070C"/>
    <w:rsid w:val="00F00EB7"/>
    <w:rsid w:val="00F03D8E"/>
    <w:rsid w:val="00F36AB6"/>
    <w:rsid w:val="00F36FA8"/>
    <w:rsid w:val="00F37A09"/>
    <w:rsid w:val="00F409CE"/>
    <w:rsid w:val="00F4379D"/>
    <w:rsid w:val="00F43876"/>
    <w:rsid w:val="00F50635"/>
    <w:rsid w:val="00F50D2D"/>
    <w:rsid w:val="00F56C8B"/>
    <w:rsid w:val="00F66810"/>
    <w:rsid w:val="00F846D9"/>
    <w:rsid w:val="00F84DF4"/>
    <w:rsid w:val="00F85C97"/>
    <w:rsid w:val="00F94A57"/>
    <w:rsid w:val="00FA51A0"/>
    <w:rsid w:val="00FB010F"/>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27418B"/>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27418B"/>
    <w:rPr>
      <w:rFonts w:eastAsiaTheme="minorHAnsi" w:cstheme="minorBidi"/>
      <w:b/>
      <w:szCs w:val="22"/>
      <w:lang w:eastAsia="en-US"/>
    </w:rPr>
  </w:style>
  <w:style w:type="character" w:customStyle="1" w:styleId="SCCLsocPrefixChar">
    <w:name w:val="SCC.Lsoc.Prefix Char"/>
    <w:basedOn w:val="DefaultParagraphFont"/>
    <w:link w:val="SCCLsocPrefix"/>
    <w:rsid w:val="0027418B"/>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69453">
      <w:bodyDiv w:val="1"/>
      <w:marLeft w:val="0"/>
      <w:marRight w:val="0"/>
      <w:marTop w:val="0"/>
      <w:marBottom w:val="0"/>
      <w:divBdr>
        <w:top w:val="none" w:sz="0" w:space="0" w:color="auto"/>
        <w:left w:val="none" w:sz="0" w:space="0" w:color="auto"/>
        <w:bottom w:val="none" w:sz="0" w:space="0" w:color="auto"/>
        <w:right w:val="none" w:sz="0" w:space="0" w:color="auto"/>
      </w:divBdr>
    </w:div>
    <w:div w:id="679165398">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D9AD-8015-4074-9B1E-E27305BE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2021-05-27T14:58:00Z</dcterms:created>
  <dcterms:modified xsi:type="dcterms:W3CDTF">2024-02-18T23:04:00Z</dcterms:modified>
</cp:coreProperties>
</file>